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DEBA93">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绍兴市口腔医院关于互联互通成熟度测评项目</w:t>
      </w:r>
    </w:p>
    <w:p w14:paraId="02DFC343">
      <w:pPr>
        <w:jc w:val="center"/>
        <w:outlineLvl w:val="0"/>
        <w:rPr>
          <w:rFonts w:hint="eastAsia" w:ascii="仿宋" w:hAnsi="仿宋" w:eastAsia="仿宋" w:cs="仿宋"/>
          <w:b/>
          <w:color w:val="auto"/>
          <w:sz w:val="72"/>
          <w:szCs w:val="72"/>
          <w:highlight w:val="none"/>
        </w:rPr>
      </w:pPr>
    </w:p>
    <w:p w14:paraId="18F2FB0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7160A5A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08C38F7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0D2B95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ABFC9B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78DB9A9">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8A699EE">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E505BEB">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532CD389">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ZJFY-20240016</w:t>
      </w:r>
    </w:p>
    <w:tbl>
      <w:tblPr>
        <w:tblStyle w:val="63"/>
        <w:tblW w:w="7801" w:type="dxa"/>
        <w:jc w:val="center"/>
        <w:tblLayout w:type="fixed"/>
        <w:tblCellMar>
          <w:top w:w="0" w:type="dxa"/>
          <w:left w:w="108" w:type="dxa"/>
          <w:bottom w:w="0" w:type="dxa"/>
          <w:right w:w="108" w:type="dxa"/>
        </w:tblCellMar>
      </w:tblPr>
      <w:tblGrid>
        <w:gridCol w:w="2356"/>
        <w:gridCol w:w="5445"/>
      </w:tblGrid>
      <w:tr w14:paraId="4861F94C">
        <w:tblPrEx>
          <w:tblCellMar>
            <w:top w:w="0" w:type="dxa"/>
            <w:left w:w="108" w:type="dxa"/>
            <w:bottom w:w="0" w:type="dxa"/>
            <w:right w:w="108" w:type="dxa"/>
          </w:tblCellMar>
        </w:tblPrEx>
        <w:trPr>
          <w:trHeight w:val="443" w:hRule="atLeast"/>
          <w:jc w:val="center"/>
        </w:trPr>
        <w:tc>
          <w:tcPr>
            <w:tcW w:w="2356" w:type="dxa"/>
          </w:tcPr>
          <w:p w14:paraId="193C62B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09EB3CA">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绍兴市口腔医院</w:t>
            </w:r>
          </w:p>
        </w:tc>
      </w:tr>
      <w:tr w14:paraId="4DCFFFB0">
        <w:tblPrEx>
          <w:tblCellMar>
            <w:top w:w="0" w:type="dxa"/>
            <w:left w:w="108" w:type="dxa"/>
            <w:bottom w:w="0" w:type="dxa"/>
            <w:right w:w="108" w:type="dxa"/>
          </w:tblCellMar>
        </w:tblPrEx>
        <w:trPr>
          <w:trHeight w:val="494" w:hRule="atLeast"/>
          <w:jc w:val="center"/>
        </w:trPr>
        <w:tc>
          <w:tcPr>
            <w:tcW w:w="2356" w:type="dxa"/>
          </w:tcPr>
          <w:p w14:paraId="6FBAB1F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1154316"/>
              </w:rPr>
              <w:t>采购代理机构</w:t>
            </w:r>
            <w:r>
              <w:rPr>
                <w:rFonts w:hint="eastAsia" w:ascii="仿宋" w:hAnsi="仿宋" w:eastAsia="仿宋" w:cs="仿宋"/>
                <w:color w:val="auto"/>
                <w:sz w:val="28"/>
                <w:szCs w:val="28"/>
                <w:highlight w:val="none"/>
              </w:rPr>
              <w:t>：</w:t>
            </w:r>
          </w:p>
        </w:tc>
        <w:tc>
          <w:tcPr>
            <w:tcW w:w="5445" w:type="dxa"/>
          </w:tcPr>
          <w:p w14:paraId="6AF1359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浙江泛亚工程咨询有限公司</w:t>
            </w:r>
          </w:p>
        </w:tc>
      </w:tr>
      <w:tr w14:paraId="40044C88">
        <w:tblPrEx>
          <w:tblCellMar>
            <w:top w:w="0" w:type="dxa"/>
            <w:left w:w="108" w:type="dxa"/>
            <w:bottom w:w="0" w:type="dxa"/>
            <w:right w:w="108" w:type="dxa"/>
          </w:tblCellMar>
        </w:tblPrEx>
        <w:trPr>
          <w:trHeight w:val="397" w:hRule="atLeast"/>
          <w:jc w:val="center"/>
        </w:trPr>
        <w:tc>
          <w:tcPr>
            <w:tcW w:w="2356" w:type="dxa"/>
            <w:vAlign w:val="center"/>
          </w:tcPr>
          <w:p w14:paraId="20C8385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2C4F835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216A268F">
        <w:tblPrEx>
          <w:tblCellMar>
            <w:top w:w="0" w:type="dxa"/>
            <w:left w:w="108" w:type="dxa"/>
            <w:bottom w:w="0" w:type="dxa"/>
            <w:right w:w="108" w:type="dxa"/>
          </w:tblCellMar>
        </w:tblPrEx>
        <w:trPr>
          <w:trHeight w:val="333" w:hRule="atLeast"/>
          <w:jc w:val="center"/>
        </w:trPr>
        <w:tc>
          <w:tcPr>
            <w:tcW w:w="7801" w:type="dxa"/>
            <w:gridSpan w:val="2"/>
          </w:tcPr>
          <w:p w14:paraId="1FBA0E37">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十一</w:t>
            </w:r>
            <w:r>
              <w:rPr>
                <w:rFonts w:hint="eastAsia" w:ascii="仿宋" w:hAnsi="仿宋" w:eastAsia="仿宋" w:cs="仿宋"/>
                <w:color w:val="auto"/>
                <w:sz w:val="28"/>
                <w:szCs w:val="28"/>
                <w:highlight w:val="none"/>
              </w:rPr>
              <w:t>月</w:t>
            </w:r>
          </w:p>
        </w:tc>
      </w:tr>
    </w:tbl>
    <w:p w14:paraId="3A611E6C">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7DCC55F3">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03EABB2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bookmarkStart w:id="226" w:name="_GoBack"/>
      <w:bookmarkEnd w:id="226"/>
    </w:p>
    <w:p w14:paraId="6F8D74E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4BFBDE0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37A111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4C5CCC8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AAB11E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B976E3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88C96D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90CCF1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117144F">
      <w:pPr>
        <w:spacing w:line="360" w:lineRule="auto"/>
        <w:ind w:firstLine="549" w:firstLineChars="229"/>
        <w:rPr>
          <w:rFonts w:hint="eastAsia" w:ascii="仿宋" w:hAnsi="仿宋" w:eastAsia="仿宋" w:cs="仿宋"/>
          <w:color w:val="auto"/>
          <w:sz w:val="24"/>
          <w:highlight w:val="none"/>
        </w:rPr>
      </w:pPr>
    </w:p>
    <w:p w14:paraId="2FB02E7C">
      <w:pPr>
        <w:spacing w:line="360" w:lineRule="auto"/>
        <w:ind w:firstLine="549" w:firstLineChars="229"/>
        <w:rPr>
          <w:rFonts w:hint="eastAsia" w:ascii="仿宋" w:hAnsi="仿宋" w:eastAsia="仿宋" w:cs="仿宋"/>
          <w:color w:val="auto"/>
          <w:sz w:val="24"/>
          <w:highlight w:val="none"/>
        </w:rPr>
      </w:pPr>
    </w:p>
    <w:p w14:paraId="489E7AE1">
      <w:pPr>
        <w:spacing w:line="360" w:lineRule="auto"/>
        <w:ind w:firstLine="549" w:firstLineChars="229"/>
        <w:rPr>
          <w:rFonts w:hint="eastAsia" w:ascii="仿宋" w:hAnsi="仿宋" w:eastAsia="仿宋" w:cs="仿宋"/>
          <w:color w:val="auto"/>
          <w:sz w:val="24"/>
          <w:highlight w:val="none"/>
        </w:rPr>
      </w:pPr>
    </w:p>
    <w:p w14:paraId="758ADACC">
      <w:pPr>
        <w:spacing w:line="360" w:lineRule="auto"/>
        <w:ind w:firstLine="549" w:firstLineChars="229"/>
        <w:rPr>
          <w:rFonts w:hint="eastAsia" w:ascii="仿宋" w:hAnsi="仿宋" w:eastAsia="仿宋" w:cs="仿宋"/>
          <w:color w:val="auto"/>
          <w:sz w:val="24"/>
          <w:highlight w:val="none"/>
        </w:rPr>
      </w:pPr>
    </w:p>
    <w:p w14:paraId="37C23E7A">
      <w:pPr>
        <w:spacing w:line="360" w:lineRule="auto"/>
        <w:ind w:firstLine="549" w:firstLineChars="229"/>
        <w:rPr>
          <w:rFonts w:hint="eastAsia" w:ascii="仿宋" w:hAnsi="仿宋" w:eastAsia="仿宋" w:cs="仿宋"/>
          <w:color w:val="auto"/>
          <w:sz w:val="24"/>
          <w:highlight w:val="none"/>
        </w:rPr>
      </w:pPr>
    </w:p>
    <w:p w14:paraId="452E968A">
      <w:pPr>
        <w:spacing w:line="360" w:lineRule="auto"/>
        <w:ind w:firstLine="549" w:firstLineChars="229"/>
        <w:rPr>
          <w:rFonts w:hint="eastAsia" w:ascii="仿宋" w:hAnsi="仿宋" w:eastAsia="仿宋" w:cs="仿宋"/>
          <w:color w:val="auto"/>
          <w:sz w:val="24"/>
          <w:highlight w:val="none"/>
        </w:rPr>
      </w:pPr>
    </w:p>
    <w:p w14:paraId="061E42C2">
      <w:pPr>
        <w:spacing w:line="360" w:lineRule="auto"/>
        <w:ind w:firstLine="549" w:firstLineChars="229"/>
        <w:rPr>
          <w:rFonts w:hint="eastAsia" w:ascii="仿宋" w:hAnsi="仿宋" w:eastAsia="仿宋" w:cs="仿宋"/>
          <w:color w:val="auto"/>
          <w:sz w:val="24"/>
          <w:highlight w:val="none"/>
        </w:rPr>
      </w:pPr>
    </w:p>
    <w:p w14:paraId="0AB8E1E0">
      <w:pPr>
        <w:spacing w:line="360" w:lineRule="auto"/>
        <w:ind w:firstLine="549" w:firstLineChars="229"/>
        <w:rPr>
          <w:rFonts w:hint="eastAsia" w:ascii="仿宋" w:hAnsi="仿宋" w:eastAsia="仿宋" w:cs="仿宋"/>
          <w:color w:val="auto"/>
          <w:sz w:val="24"/>
          <w:highlight w:val="none"/>
        </w:rPr>
      </w:pPr>
    </w:p>
    <w:p w14:paraId="5198B321">
      <w:pPr>
        <w:spacing w:line="360" w:lineRule="auto"/>
        <w:ind w:firstLine="549" w:firstLineChars="229"/>
        <w:rPr>
          <w:rFonts w:hint="eastAsia" w:ascii="仿宋" w:hAnsi="仿宋" w:eastAsia="仿宋" w:cs="仿宋"/>
          <w:color w:val="auto"/>
          <w:sz w:val="24"/>
          <w:highlight w:val="none"/>
        </w:rPr>
      </w:pPr>
    </w:p>
    <w:p w14:paraId="78221C36">
      <w:pPr>
        <w:spacing w:line="360" w:lineRule="auto"/>
        <w:ind w:firstLine="549" w:firstLineChars="229"/>
        <w:rPr>
          <w:rFonts w:hint="eastAsia" w:ascii="仿宋" w:hAnsi="仿宋" w:eastAsia="仿宋" w:cs="仿宋"/>
          <w:color w:val="auto"/>
          <w:sz w:val="24"/>
          <w:highlight w:val="none"/>
        </w:rPr>
      </w:pPr>
    </w:p>
    <w:p w14:paraId="6F7BDB6B">
      <w:pPr>
        <w:spacing w:line="360" w:lineRule="auto"/>
        <w:ind w:firstLine="549" w:firstLineChars="229"/>
        <w:rPr>
          <w:rFonts w:hint="eastAsia" w:ascii="仿宋" w:hAnsi="仿宋" w:eastAsia="仿宋" w:cs="仿宋"/>
          <w:color w:val="auto"/>
          <w:sz w:val="24"/>
          <w:highlight w:val="none"/>
        </w:rPr>
      </w:pPr>
    </w:p>
    <w:p w14:paraId="090EF40C">
      <w:pPr>
        <w:spacing w:line="360" w:lineRule="auto"/>
        <w:rPr>
          <w:rFonts w:hint="eastAsia" w:ascii="仿宋" w:hAnsi="仿宋" w:eastAsia="仿宋" w:cs="仿宋"/>
          <w:color w:val="auto"/>
          <w:sz w:val="24"/>
          <w:highlight w:val="none"/>
        </w:rPr>
      </w:pPr>
    </w:p>
    <w:bookmarkEnd w:id="1"/>
    <w:p w14:paraId="5F00042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683D0F5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51F4727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561D52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BEFAA4F">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绍兴市口腔医院关于互联互通成熟度测评项目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年月</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A5F70D3">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09DC2C3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ZJFY-20240016</w:t>
      </w:r>
    </w:p>
    <w:p w14:paraId="5AF3386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绍兴市口腔医院关于互联互通成熟度测评项目</w:t>
      </w:r>
      <w:r>
        <w:rPr>
          <w:rFonts w:hint="eastAsia" w:ascii="仿宋" w:hAnsi="仿宋" w:eastAsia="仿宋" w:cs="仿宋"/>
          <w:color w:val="auto"/>
          <w:sz w:val="24"/>
          <w:highlight w:val="none"/>
          <w:lang w:val="en-US" w:eastAsia="zh-CN"/>
        </w:rPr>
        <w:t xml:space="preserve"> </w:t>
      </w:r>
    </w:p>
    <w:p w14:paraId="6E623BF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3200000.00</w:t>
      </w:r>
    </w:p>
    <w:p w14:paraId="3AA5334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3200000.00</w:t>
      </w:r>
    </w:p>
    <w:p w14:paraId="442B368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59C0A7C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1F890B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eastAsia="zh-CN"/>
        </w:rPr>
        <w:t>数字化软件采购项目</w:t>
      </w:r>
    </w:p>
    <w:p w14:paraId="32C5816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54ACA3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3200000.00</w:t>
      </w:r>
    </w:p>
    <w:p w14:paraId="6D02C8C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6D96407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按双方合同约定条款执行。</w:t>
      </w:r>
    </w:p>
    <w:p w14:paraId="5C36650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highlight w:val="none"/>
            <w:lang w:eastAsia="zh-CN"/>
          </w:rPr>
          <w:id w:val="337506595"/>
        </w:sdtPr>
        <w:sdtEndPr>
          <w:rPr>
            <w:rFonts w:hint="eastAsia" w:ascii="仿宋" w:hAnsi="仿宋" w:eastAsia="仿宋" w:cs="仿宋"/>
            <w:color w:val="auto"/>
            <w:sz w:val="24"/>
            <w:highlight w:val="none"/>
            <w:lang w:eastAsia="zh-CN"/>
          </w:rPr>
        </w:sdtEndPr>
        <w:sdtContent>
          <w:r>
            <w:rPr>
              <w:rFonts w:hint="eastAsia" w:ascii="仿宋" w:hAnsi="仿宋" w:eastAsia="仿宋" w:cs="仿宋"/>
              <w:color w:val="auto"/>
              <w:sz w:val="24"/>
              <w:highlight w:val="none"/>
              <w:lang w:eastAsia="zh-CN"/>
            </w:rPr>
            <w:sym w:font="Wingdings" w:char="F0FE"/>
          </w:r>
        </w:sdtContent>
      </w:sdt>
      <w:r>
        <w:rPr>
          <w:rFonts w:hint="eastAsia" w:ascii="仿宋" w:hAnsi="仿宋" w:eastAsia="仿宋" w:cs="仿宋"/>
          <w:color w:val="auto"/>
          <w:sz w:val="24"/>
          <w:highlight w:val="none"/>
          <w:lang w:eastAsia="zh-CN"/>
        </w:rPr>
        <w:t>是，☐否。</w:t>
      </w:r>
    </w:p>
    <w:p w14:paraId="399B713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9B9BB0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45DDC21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4F24A95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231DFC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4E46D4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30F76F4">
      <w:pPr>
        <w:spacing w:line="360" w:lineRule="auto"/>
        <w:ind w:firstLine="897" w:firstLineChars="374"/>
        <w:rPr>
          <w:rFonts w:ascii="仿宋_GB2312" w:hAnsi="仿宋" w:eastAsia="仿宋_GB2312"/>
          <w:color w:val="auto"/>
          <w:sz w:val="24"/>
          <w:highlight w:val="none"/>
        </w:rPr>
      </w:pPr>
      <w:r>
        <w:rPr>
          <w:rFonts w:hint="eastAsia" w:ascii="仿宋" w:hAnsi="仿宋" w:eastAsia="仿宋" w:cs="仿宋"/>
          <w:color w:val="auto"/>
          <w:kern w:val="0"/>
          <w:sz w:val="24"/>
          <w:highlight w:val="none"/>
          <w:lang w:eastAsia="zh-CN"/>
        </w:rPr>
        <w:t>☑</w:t>
      </w:r>
      <w:r>
        <w:rPr>
          <w:rFonts w:hint="eastAsia" w:ascii="仿宋_GB2312" w:hAnsi="仿宋" w:eastAsia="仿宋_GB2312"/>
          <w:color w:val="auto"/>
          <w:sz w:val="24"/>
          <w:highlight w:val="none"/>
        </w:rPr>
        <w:t>货物全部由符合政策要求的中小企业制造，提供中小企业声明函；</w:t>
      </w:r>
    </w:p>
    <w:p w14:paraId="0CCD0BDD">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货物全部由符合政策要求的小微企业制造，提供中小企业声明函；</w:t>
      </w:r>
    </w:p>
    <w:p w14:paraId="11E991E4">
      <w:pPr>
        <w:spacing w:line="360" w:lineRule="auto"/>
        <w:ind w:firstLine="897" w:firstLineChars="374"/>
        <w:rPr>
          <w:rFonts w:ascii="仿宋_GB2312" w:hAnsi="仿宋" w:eastAsia="仿宋_GB2312"/>
          <w:color w:val="auto"/>
          <w:sz w:val="24"/>
          <w:highlight w:val="none"/>
        </w:rPr>
      </w:pPr>
      <w:r>
        <w:rPr>
          <w:rFonts w:hint="eastAsia" w:ascii="仿宋" w:hAnsi="仿宋" w:eastAsia="仿宋" w:cs="仿宋"/>
          <w:color w:val="auto"/>
          <w:kern w:val="0"/>
          <w:sz w:val="24"/>
          <w:highlight w:val="none"/>
        </w:rPr>
        <w:t>☐</w:t>
      </w:r>
      <w:r>
        <w:rPr>
          <w:rFonts w:hint="eastAsia" w:ascii="仿宋_GB2312" w:hAnsi="仿宋" w:eastAsia="仿宋_GB2312"/>
          <w:color w:val="auto"/>
          <w:sz w:val="24"/>
          <w:highlight w:val="none"/>
        </w:rPr>
        <w:t>服务全部由符合政策要求的中小企业承接，提供中小企业声明函；</w:t>
      </w:r>
    </w:p>
    <w:p w14:paraId="32076B01">
      <w:pPr>
        <w:spacing w:line="360" w:lineRule="auto"/>
        <w:ind w:firstLine="897" w:firstLineChars="374"/>
        <w:rPr>
          <w:rFonts w:ascii="仿宋_GB2312" w:hAnsi="仿宋" w:eastAsia="仿宋_GB2312"/>
          <w:color w:val="auto"/>
          <w:sz w:val="24"/>
          <w:highlight w:val="none"/>
        </w:rPr>
      </w:pPr>
      <w:r>
        <w:rPr>
          <w:rFonts w:hint="eastAsia" w:ascii="仿宋" w:hAnsi="仿宋" w:eastAsia="仿宋" w:cs="仿宋"/>
          <w:color w:val="auto"/>
          <w:kern w:val="0"/>
          <w:sz w:val="24"/>
          <w:highlight w:val="none"/>
        </w:rPr>
        <w:t>☐</w:t>
      </w:r>
      <w:r>
        <w:rPr>
          <w:rFonts w:hint="eastAsia" w:ascii="仿宋_GB2312" w:hAnsi="仿宋" w:eastAsia="仿宋_GB2312"/>
          <w:color w:val="auto"/>
          <w:sz w:val="24"/>
          <w:highlight w:val="none"/>
        </w:rPr>
        <w:t>服务全部由符合政策要求的小微企业承接，提供中小企业声明函；</w:t>
      </w:r>
    </w:p>
    <w:p w14:paraId="7D73D1C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6144AE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06F20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val="0"/>
          <w:bCs w:val="0"/>
          <w:color w:val="auto"/>
          <w:sz w:val="24"/>
          <w:highlight w:val="none"/>
          <w:u w:val="single"/>
          <w:lang w:val="en-US" w:eastAsia="zh-CN"/>
        </w:rPr>
        <w:t>/</w:t>
      </w:r>
      <w:r>
        <w:rPr>
          <w:rFonts w:hint="eastAsia" w:ascii="仿宋" w:hAnsi="仿宋" w:eastAsia="仿宋" w:cs="仿宋"/>
          <w:b w:val="0"/>
          <w:bCs w:val="0"/>
          <w:color w:val="auto"/>
          <w:sz w:val="24"/>
          <w:highlight w:val="none"/>
          <w:u w:val="single"/>
        </w:rPr>
        <w:t>；</w:t>
      </w:r>
    </w:p>
    <w:p w14:paraId="2E7C3599">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C0D9F99">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08E77A9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4B68BE9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3E03C2B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F6D83A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33883B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1B0C6E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2C1D190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808DDC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394FACD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r>
        <w:rPr>
          <w:rFonts w:hint="eastAsia" w:ascii="仿宋" w:hAnsi="仿宋" w:eastAsia="仿宋" w:cs="仿宋"/>
          <w:color w:val="auto"/>
          <w:sz w:val="24"/>
          <w:highlight w:val="none"/>
          <w:lang w:eastAsia="zh-CN"/>
        </w:rPr>
        <w:t>，绍兴市越城区稽山街道天姥路5号楼2幢2楼201室（浙江泛亚工程咨询有限公司）</w:t>
      </w:r>
    </w:p>
    <w:p w14:paraId="0D8C3A10">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605E8BA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CB6F42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79034A1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1D63EE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w:t>
      </w:r>
      <w:r>
        <w:rPr>
          <w:rFonts w:hint="eastAsia" w:ascii="仿宋" w:hAnsi="仿宋" w:eastAsia="仿宋" w:cs="仿宋"/>
          <w:color w:val="auto"/>
          <w:sz w:val="24"/>
          <w:highlight w:val="none"/>
          <w:lang w:eastAsia="zh-CN"/>
        </w:rPr>
        <w:t>浙江政务服务网</w:t>
      </w:r>
      <w:r>
        <w:rPr>
          <w:rFonts w:hint="eastAsia" w:ascii="仿宋" w:hAnsi="仿宋" w:eastAsia="仿宋" w:cs="仿宋"/>
          <w:color w:val="auto"/>
          <w:sz w:val="24"/>
          <w:highlight w:val="none"/>
        </w:rPr>
        <w:t>-政府采购投诉处理-在线办理。</w:t>
      </w:r>
    </w:p>
    <w:p w14:paraId="02A962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90117C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6FA6C3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7CA9C543">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28359019"/>
      <w:bookmarkStart w:id="7" w:name="_Toc3539380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39BC90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绍兴市口腔医院</w:t>
      </w:r>
    </w:p>
    <w:p w14:paraId="63657A0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址：绍兴市延安东路399号 </w:t>
      </w:r>
    </w:p>
    <w:p w14:paraId="275E17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3BA5610D">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项目联系人（询问）：王佳南</w:t>
      </w:r>
    </w:p>
    <w:p w14:paraId="53835475">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rPr>
        <w:t>0575-88307773</w:t>
      </w:r>
    </w:p>
    <w:p w14:paraId="7F92AAB2">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质疑联系人：单浩涵</w:t>
      </w:r>
    </w:p>
    <w:p w14:paraId="46DE65A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质疑联系方式：0575-88551156</w:t>
      </w:r>
    </w:p>
    <w:p w14:paraId="68223C87">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28359020"/>
      <w:bookmarkStart w:id="11" w:name="_Toc35393807"/>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2D16373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称：浙江泛亚工程咨询有限公司             </w:t>
      </w:r>
    </w:p>
    <w:p w14:paraId="4618220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址：绍兴市越城区稽山街道天姥路5号楼2幢2楼201室 </w:t>
      </w:r>
    </w:p>
    <w:p w14:paraId="2D9DC59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B7F99C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项目联系人（询问）：王伟</w:t>
      </w:r>
      <w:r>
        <w:rPr>
          <w:rFonts w:hint="eastAsia" w:ascii="仿宋" w:hAnsi="仿宋" w:eastAsia="仿宋" w:cs="仿宋"/>
          <w:color w:val="auto"/>
          <w:sz w:val="24"/>
          <w:highlight w:val="none"/>
          <w:lang w:eastAsia="zh-CN"/>
        </w:rPr>
        <w:t>、于欢</w:t>
      </w:r>
    </w:p>
    <w:p w14:paraId="5A35336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项目联系方式（询问）：13858435067 </w:t>
      </w:r>
    </w:p>
    <w:p w14:paraId="3E71543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质疑联系人：丁燕华             </w:t>
      </w:r>
    </w:p>
    <w:p w14:paraId="79A4BDA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8258004530</w:t>
      </w:r>
    </w:p>
    <w:p w14:paraId="29C22BD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35393639"/>
      <w:bookmarkStart w:id="15" w:name="_Toc28359098"/>
      <w:bookmarkStart w:id="16"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1E494BA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1B65F52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509DA89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2784FAD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r>
        <w:rPr>
          <w:rFonts w:hint="eastAsia" w:ascii="仿宋" w:hAnsi="仿宋" w:eastAsia="仿宋" w:cs="仿宋"/>
          <w:color w:val="auto"/>
          <w:sz w:val="24"/>
          <w:highlight w:val="none"/>
          <w:lang w:val="en-US" w:eastAsia="zh-CN"/>
        </w:rPr>
        <w:t xml:space="preserve"> </w:t>
      </w:r>
    </w:p>
    <w:p w14:paraId="1A8669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14:paraId="2DD4582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F5C60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91CB23F">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0E38A6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259046E">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1623"/>
        <w:gridCol w:w="5892"/>
      </w:tblGrid>
      <w:tr w14:paraId="0810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FDBDB1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3"/>
            <w:vAlign w:val="center"/>
          </w:tcPr>
          <w:p w14:paraId="0CBF87D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16E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5CC398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3"/>
            <w:vAlign w:val="center"/>
          </w:tcPr>
          <w:p w14:paraId="31BF22D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投标人按照项目要求特许资格、资信证明文件（如果有）：</w:t>
            </w: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013F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3C4C4B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3"/>
            <w:vAlign w:val="center"/>
          </w:tcPr>
          <w:p w14:paraId="5A07E7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F3E71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7906D53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59A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4781C1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3"/>
            <w:vAlign w:val="center"/>
          </w:tcPr>
          <w:p w14:paraId="08093F3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E76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70" w:type="dxa"/>
            <w:vAlign w:val="center"/>
          </w:tcPr>
          <w:p w14:paraId="2199FBB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3"/>
            <w:vAlign w:val="center"/>
          </w:tcPr>
          <w:p w14:paraId="730E9CA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81A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E5C143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3"/>
            <w:vAlign w:val="center"/>
          </w:tcPr>
          <w:p w14:paraId="354FB1F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14:paraId="665C24A8">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1C94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826106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3"/>
            <w:vAlign w:val="center"/>
          </w:tcPr>
          <w:p w14:paraId="6E610BF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AED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36181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3"/>
            <w:vAlign w:val="center"/>
          </w:tcPr>
          <w:p w14:paraId="1E292FC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A2CED6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6FD944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3E4D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7D0994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3"/>
            <w:vAlign w:val="center"/>
          </w:tcPr>
          <w:p w14:paraId="5E90D6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25B119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130E22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7E2F58A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highlight w:val="none"/>
              </w:rPr>
              <w:t>；</w:t>
            </w:r>
          </w:p>
          <w:p w14:paraId="66E5EB9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w:t>
            </w:r>
          </w:p>
          <w:p w14:paraId="1C9F70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w:t>
            </w:r>
          </w:p>
          <w:p w14:paraId="3FE8A5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w:t>
            </w:r>
          </w:p>
          <w:p w14:paraId="4A31E49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lang w:val="en-US" w:eastAsia="zh-CN"/>
              </w:rPr>
              <w:t>/</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07FD9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BC3C1F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7AC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E13380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3"/>
            <w:vAlign w:val="center"/>
          </w:tcPr>
          <w:p w14:paraId="1CC03578">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21473415">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568D1AF2">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14:paraId="3EC09F4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30</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10B8547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1AFCF77E">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3C0F1DD3">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方式二：现场</w:t>
            </w:r>
            <w:r>
              <w:rPr>
                <w:rFonts w:hint="eastAsia" w:ascii="仿宋" w:hAnsi="仿宋" w:eastAsia="仿宋" w:cs="仿宋"/>
                <w:color w:val="auto"/>
                <w:sz w:val="24"/>
                <w:szCs w:val="24"/>
                <w:highlight w:val="none"/>
                <w:lang w:val="en-US" w:eastAsia="zh-CN"/>
              </w:rPr>
              <w:t>视频</w:t>
            </w:r>
            <w:r>
              <w:rPr>
                <w:rFonts w:hint="eastAsia" w:ascii="仿宋" w:hAnsi="仿宋" w:eastAsia="仿宋" w:cs="仿宋"/>
                <w:color w:val="auto"/>
                <w:sz w:val="24"/>
                <w:szCs w:val="24"/>
                <w:highlight w:val="none"/>
                <w:lang w:val="zh-CN"/>
              </w:rPr>
              <w:t>演示。</w:t>
            </w:r>
            <w:r>
              <w:rPr>
                <w:rFonts w:hint="eastAsia" w:ascii="仿宋" w:hAnsi="仿宋" w:eastAsia="仿宋" w:cs="仿宋"/>
                <w:color w:val="auto"/>
                <w:sz w:val="24"/>
                <w:szCs w:val="24"/>
                <w:highlight w:val="none"/>
                <w:lang w:val="en-US" w:eastAsia="zh-CN"/>
              </w:rPr>
              <w:t>视频</w:t>
            </w:r>
            <w:r>
              <w:rPr>
                <w:rFonts w:hint="eastAsia" w:ascii="仿宋" w:hAnsi="仿宋" w:eastAsia="仿宋" w:cs="仿宋"/>
                <w:color w:val="auto"/>
                <w:sz w:val="24"/>
                <w:szCs w:val="24"/>
                <w:highlight w:val="none"/>
                <w:lang w:val="zh-CN"/>
              </w:rPr>
              <w:t>讲解地点为</w:t>
            </w:r>
            <w:r>
              <w:rPr>
                <w:rFonts w:hint="eastAsia" w:ascii="仿宋" w:hAnsi="仿宋" w:eastAsia="仿宋" w:cs="仿宋"/>
                <w:color w:val="auto"/>
                <w:kern w:val="0"/>
                <w:sz w:val="24"/>
                <w:szCs w:val="24"/>
                <w:u w:val="single"/>
              </w:rPr>
              <w:t>演示视频录制并刻录拷贝至U盘</w:t>
            </w:r>
            <w:r>
              <w:rPr>
                <w:rFonts w:hint="eastAsia" w:ascii="仿宋" w:hAnsi="仿宋" w:eastAsia="仿宋" w:cs="仿宋"/>
                <w:color w:val="auto"/>
                <w:kern w:val="0"/>
                <w:sz w:val="24"/>
                <w:szCs w:val="24"/>
                <w:u w:val="single"/>
                <w:lang w:val="en-US" w:eastAsia="zh-CN"/>
              </w:rPr>
              <w:t>密封送至</w:t>
            </w:r>
            <w:r>
              <w:rPr>
                <w:rFonts w:hint="eastAsia" w:ascii="仿宋" w:hAnsi="仿宋" w:eastAsia="仿宋" w:cs="仿宋"/>
                <w:color w:val="auto"/>
                <w:sz w:val="24"/>
                <w:highlight w:val="none"/>
                <w:u w:val="single"/>
              </w:rPr>
              <w:t>绍兴市越城区稽山街道天姥路5号楼2幢2楼201室</w:t>
            </w:r>
            <w:r>
              <w:rPr>
                <w:rFonts w:hint="eastAsia" w:ascii="仿宋" w:hAnsi="仿宋" w:eastAsia="仿宋" w:cs="仿宋"/>
                <w:color w:val="auto"/>
                <w:sz w:val="24"/>
                <w:szCs w:val="24"/>
                <w:highlight w:val="none"/>
                <w:lang w:val="zh-CN"/>
              </w:rPr>
              <w:t>。</w:t>
            </w:r>
          </w:p>
          <w:p w14:paraId="41BDF3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2E0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92291C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131DA6F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gridSpan w:val="2"/>
            <w:vAlign w:val="center"/>
          </w:tcPr>
          <w:p w14:paraId="1C36C3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3AE130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81E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70" w:type="dxa"/>
            <w:vAlign w:val="center"/>
          </w:tcPr>
          <w:p w14:paraId="3277808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2478" w:type="dxa"/>
            <w:gridSpan w:val="2"/>
            <w:vAlign w:val="center"/>
          </w:tcPr>
          <w:p w14:paraId="1E0D21F4">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5892" w:type="dxa"/>
            <w:vAlign w:val="center"/>
          </w:tcPr>
          <w:p w14:paraId="3A1D8BE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核心产品为：医院信息集成平台</w:t>
            </w:r>
            <w:r>
              <w:rPr>
                <w:rFonts w:hint="eastAsia" w:ascii="仿宋" w:hAnsi="仿宋" w:eastAsia="仿宋" w:cs="仿宋"/>
                <w:color w:val="auto"/>
                <w:sz w:val="24"/>
                <w:highlight w:val="none"/>
              </w:rPr>
              <w:t>。</w:t>
            </w:r>
          </w:p>
          <w:p w14:paraId="480AE39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8B1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FC21DA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2478" w:type="dxa"/>
            <w:gridSpan w:val="2"/>
            <w:vAlign w:val="center"/>
          </w:tcPr>
          <w:p w14:paraId="4B154FE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5892" w:type="dxa"/>
            <w:vAlign w:val="center"/>
          </w:tcPr>
          <w:p w14:paraId="5F7B05B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val="en-US" w:eastAsia="zh-CN"/>
              </w:rPr>
              <w:t xml:space="preserve"> 01标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行业；</w:t>
            </w:r>
          </w:p>
        </w:tc>
      </w:tr>
      <w:tr w14:paraId="6A0E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A02015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3733BBC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gridSpan w:val="2"/>
            <w:vAlign w:val="center"/>
          </w:tcPr>
          <w:p w14:paraId="7EDF26A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C08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86764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7604F8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14:paraId="706F043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37A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D60B0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02B928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14:paraId="72BDB28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43FA02A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E1D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34A17ED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3"/>
            <w:vAlign w:val="center"/>
          </w:tcPr>
          <w:p w14:paraId="5BD9619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0CA1F40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58F0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BE8421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3"/>
            <w:vAlign w:val="center"/>
          </w:tcPr>
          <w:p w14:paraId="532367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C58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70" w:type="dxa"/>
            <w:vAlign w:val="center"/>
          </w:tcPr>
          <w:p w14:paraId="15E40A8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3"/>
            <w:vAlign w:val="center"/>
          </w:tcPr>
          <w:p w14:paraId="6BAB86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5BAD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69D33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3"/>
            <w:vAlign w:val="center"/>
          </w:tcPr>
          <w:p w14:paraId="5143EA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FBD362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58C52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C5D14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2D807AD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165C35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38F32990">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55F08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5E35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645CB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3"/>
            <w:vAlign w:val="center"/>
          </w:tcPr>
          <w:p w14:paraId="429EADE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特别说明：</w:t>
            </w: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F76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BB6B72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3"/>
            <w:vAlign w:val="center"/>
          </w:tcPr>
          <w:p w14:paraId="59FBA5A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260A8DD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A65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5BCD8EB">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3"/>
            <w:vAlign w:val="center"/>
          </w:tcPr>
          <w:p w14:paraId="06A4B77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2219681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中标供应商须向采购代理机构按如下标准和规定交纳代理服务费：</w:t>
            </w:r>
          </w:p>
          <w:p w14:paraId="62262BE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①</w:t>
            </w:r>
            <w:r>
              <w:rPr>
                <w:rFonts w:hint="eastAsia" w:ascii="仿宋" w:hAnsi="仿宋" w:eastAsia="仿宋" w:cs="仿宋"/>
                <w:color w:val="auto"/>
                <w:sz w:val="24"/>
                <w:highlight w:val="none"/>
                <w:lang w:eastAsia="zh-CN"/>
              </w:rPr>
              <w:t>代理服务费收费标准：以中标通知书中确定的中标总金额作为服务费的计算基数，采用差额定率累进法进行计算，具体收费标准：中标金额在100万以下部分为1.5%，100万元到500万元部分为0.80%，在此基础上*50%，代理服务费超过15000元按照15000元计。</w:t>
            </w:r>
          </w:p>
          <w:p w14:paraId="5490419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14:paraId="4FB4146C">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用银行支票、汇票、电汇、现金等付款方式直接交纳代理服务费。</w:t>
            </w:r>
          </w:p>
          <w:p w14:paraId="20AC6011">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公司名称：浙江泛亚工程咨询有限公司</w:t>
            </w:r>
          </w:p>
          <w:p w14:paraId="5F70B6D3">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开户行：中国建设银行杭州西湖支行</w:t>
            </w:r>
          </w:p>
          <w:p w14:paraId="5E73D23D">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账  号：33001619635050000853</w:t>
            </w:r>
          </w:p>
          <w:p w14:paraId="50D9CC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rPr>
              <w:t>③中标服务费的交纳时间：领取中标通知书前交纳。</w:t>
            </w:r>
          </w:p>
        </w:tc>
      </w:tr>
      <w:tr w14:paraId="497D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14:paraId="2C28160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5590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14:paraId="3D3760B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DC771A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1BE29BF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1B736DF2">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1F312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DBB04A5">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FEBF6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67A9F3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5D413F7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30AD986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215FD81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7790D39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44E3E5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C26A07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7780C3D3">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7401599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8336962">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15ED948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FF17BBF">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7FCF7E0">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17DE894D">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F2106DE">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221FAC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3619A7F4">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8568F0D">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3396820E">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367A5AB6">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37BE9DC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5B16633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77CCB27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4AE03838">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2AE98FB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76812A3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8BCE00D">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62BB9172">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对省级以上主管部门认定的首台套产品，自纳入《省推广应用指导目录》起三年内参加政府采购活动，视同已具备相应销售业绩，业绩分为满分。</w:t>
      </w:r>
    </w:p>
    <w:p w14:paraId="7B1CCA62">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14:paraId="65E81682">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187238BF">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13B5A4B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40D2475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124E5AA5">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248BDA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20A8A41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F9EAD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E90418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DA1009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57929E5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10DDFD3">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6AC90F5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82E89B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E6EC6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2DCC0A0A">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0B9409F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34A03D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30D2C81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66D9AC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0DC4252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89273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175544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937CB7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D043260">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4E2A51C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0BFB98EB">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C5D63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6488F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B0A5B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10312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3E7E8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A93E1F8">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14F1DD0">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5360C13">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613AC2A6">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758A3912">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63982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2754A8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01F46E8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0DB7ADD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170B49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1.4落实政府采购政策需满足的资格要求：</w:t>
      </w:r>
    </w:p>
    <w:p w14:paraId="5525360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960" w:firstLineChars="4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2.1.4.1中小企业声明函（格式见第六部分附件）；</w:t>
      </w:r>
    </w:p>
    <w:p w14:paraId="18DDC1C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2.1.4.2残疾人福利性单位声明函（如果有）。</w:t>
      </w:r>
    </w:p>
    <w:p w14:paraId="27C0C13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8D7CD4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26D6F9F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2.2.1投标函；</w:t>
      </w:r>
      <w:r>
        <w:rPr>
          <w:rFonts w:hint="eastAsia" w:ascii="仿宋" w:hAnsi="仿宋" w:eastAsia="仿宋" w:cs="仿宋"/>
          <w:color w:val="auto"/>
          <w:sz w:val="24"/>
          <w:highlight w:val="none"/>
          <w:lang w:val="zh-CN" w:eastAsia="zh-CN"/>
        </w:rPr>
        <w:t xml:space="preserve"> </w:t>
      </w:r>
    </w:p>
    <w:p w14:paraId="0731AB9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2.2.2法定代表人授权委托书；</w:t>
      </w:r>
    </w:p>
    <w:p w14:paraId="643B896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2.2.3授权代表社保证明；</w:t>
      </w:r>
    </w:p>
    <w:p w14:paraId="4466E01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2.2.4法定代表</w:t>
      </w:r>
      <w:r>
        <w:rPr>
          <w:rFonts w:hint="eastAsia" w:ascii="仿宋" w:hAnsi="仿宋" w:eastAsia="仿宋" w:cs="仿宋"/>
          <w:color w:val="auto"/>
          <w:sz w:val="24"/>
          <w:highlight w:val="none"/>
        </w:rPr>
        <w:t>人身份证明书；</w:t>
      </w:r>
    </w:p>
    <w:p w14:paraId="1935FB3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970FF2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6858AE4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5E49A9A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555C41B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E66B67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BB0AF9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27AC05D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2.2.9针对本项目建设的详细实施计划。本项目详细工作实施组织方案，包括(但不限于)以下内容：组织机构、工作时间进度表、工作程序和步骤、管理和协调方法、关键步骤的思路和要点。（如有）</w:t>
      </w:r>
    </w:p>
    <w:p w14:paraId="63A5A5D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有）</w:t>
      </w:r>
    </w:p>
    <w:p w14:paraId="66398AC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2.2.11供应商售后服务证明材料：合作单位营业执照或供应商在本地（绍兴市行政区域范围内）设立的项目部、办公室、办事处等机构的证明材料或供应商作出的成交后提供本地化服务的承诺；（如有）</w:t>
      </w:r>
    </w:p>
    <w:p w14:paraId="371A06B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有）</w:t>
      </w:r>
    </w:p>
    <w:p w14:paraId="7A0A9C7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4F0F851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2.2.14备品备件清单（含随机自带的备品备件和质保期后供采购人选择的备品备件及配套零部件，明细备品备件及价格，且供货价格不高于成交价格；成交货物设备应提供易损部件的备件和整机备品）；（如有）</w:t>
      </w:r>
    </w:p>
    <w:p w14:paraId="5A6ED9C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4FA5B65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2.2.16验收方案；（如有）</w:t>
      </w:r>
    </w:p>
    <w:p w14:paraId="013AFDF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3" w:firstLineChars="3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2.2.17未尽事宜请各投标单位按评分标准和相对应标项相关要求制作；</w:t>
      </w:r>
    </w:p>
    <w:p w14:paraId="124E680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2.2.18投标人需要说明的其他文件和说明（格式自拟）。</w:t>
      </w:r>
    </w:p>
    <w:p w14:paraId="5DB7051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38E894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7B9C6A7D">
      <w:pPr>
        <w:keepNext w:val="0"/>
        <w:keepLines w:val="0"/>
        <w:pageBreakBefore w:val="0"/>
        <w:widowControl w:val="0"/>
        <w:kinsoku/>
        <w:wordWrap/>
        <w:overflowPunct/>
        <w:topLinePunct w:val="0"/>
        <w:autoSpaceDE/>
        <w:autoSpaceDN/>
        <w:bidi w:val="0"/>
        <w:adjustRightInd w:val="0"/>
        <w:snapToGrid w:val="0"/>
        <w:spacing w:beforeAutospacing="0" w:line="440" w:lineRule="exact"/>
        <w:textAlignment w:val="auto"/>
        <w:rPr>
          <w:rFonts w:hint="eastAsia" w:ascii="仿宋" w:hAnsi="仿宋" w:eastAsia="仿宋" w:cs="仿宋"/>
          <w:b/>
          <w:bCs/>
          <w:color w:val="auto"/>
          <w:sz w:val="24"/>
          <w:highlight w:val="none"/>
          <w:lang w:val="en-US" w:eastAsia="zh-CN"/>
        </w:rPr>
      </w:pPr>
      <w:r>
        <w:rPr>
          <w:rFonts w:hint="default"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lang w:val="en-US" w:eastAsia="zh-CN"/>
        </w:rPr>
        <w:t>投标报价</w:t>
      </w:r>
    </w:p>
    <w:p w14:paraId="20E8643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1FA64124">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30566061">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65BE9EA8">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0E257E45">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8F09589">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9C215B6">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5DB0E1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54ADF281">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0E0FBB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0276523C">
      <w:pPr>
        <w:pStyle w:val="133"/>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488DD21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58D691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EBFE3D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E2A9AD6">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7A59494E">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.1投标有效期为从提交投标文件的截止之日起90天。投标人的投标文件中承诺的投标有效期少于招标文件中载明的投标有效期的，投标无效。</w:t>
      </w:r>
    </w:p>
    <w:p w14:paraId="025CA13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.2投标文件合格投递后，自投标截止日期起，在投标有效期内有效。</w:t>
      </w:r>
    </w:p>
    <w:p w14:paraId="5F039CBB">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14:paraId="488C512C">
      <w:pPr>
        <w:pStyle w:val="133"/>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632EFD5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279F883C">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20ACFC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45864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25D2CB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169E2A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778216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56FF89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5B8FDE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67436BE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035D7E7">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6F62C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3A6000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7BE2D7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43B57F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1CA4A7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0B7728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EBFD14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582BB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326AAC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43ABBA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12E2C1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60A6A0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B55F2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355408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085B6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01CB35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67FC4486">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279E5A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298FB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4D35B9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0BC578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C7A84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832D00A">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2F6717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79CB7E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F7DFAE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6DC62C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665578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EA190FB">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23D2F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76B3B9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42A8A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05777A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4CF271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4A2930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6D9B6A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AF417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20B6E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0CA060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57ED24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4DE590B6">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5511330">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B38E7A7">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9BE43E4">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56237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D410A3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6128BF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66F726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5FA8F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946C7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237049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BF2326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7B3463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B6DA69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885D19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1ADE8D6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4E6032E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7D04DC3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3B1175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3B887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1753CA2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919D3E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5ED62D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00D83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32F5CC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283E5A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7F079E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3E6EA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4BF3CF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41AD74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6949992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27F4C6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4556DA1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BCAE2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0F7385B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D842C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EDDE9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109D62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AA45F4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9DB30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6787C6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EA031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0AB52D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DB50A5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5B75D0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1318B5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160CA06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2ACE151F">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343000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A2E9E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E6FF25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370EDA79">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403820"/>
      <w:bookmarkEnd w:id="20"/>
      <w:bookmarkStart w:id="21" w:name="_Hlt68057669"/>
      <w:bookmarkEnd w:id="21"/>
      <w:bookmarkStart w:id="22" w:name="_Hlt75236290"/>
      <w:bookmarkEnd w:id="22"/>
      <w:bookmarkStart w:id="23" w:name="_Hlt74730295"/>
      <w:bookmarkEnd w:id="23"/>
      <w:bookmarkStart w:id="24" w:name="_Hlt74729768"/>
      <w:bookmarkEnd w:id="24"/>
      <w:bookmarkStart w:id="25" w:name="_Hlt68072998"/>
      <w:bookmarkEnd w:id="25"/>
      <w:bookmarkStart w:id="26" w:name="_Hlt74714665"/>
      <w:bookmarkEnd w:id="26"/>
      <w:bookmarkStart w:id="27" w:name="_Hlt68073093"/>
      <w:bookmarkEnd w:id="27"/>
      <w:bookmarkStart w:id="28" w:name="_Hlt75236101"/>
      <w:bookmarkEnd w:id="28"/>
      <w:bookmarkStart w:id="29" w:name="_Hlt68072990"/>
      <w:bookmarkEnd w:id="29"/>
      <w:bookmarkStart w:id="30" w:name="_Hlt74707468"/>
      <w:bookmarkEnd w:id="30"/>
      <w:bookmarkStart w:id="31" w:name="_Hlt75236011"/>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4577C5F0">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65FFF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00279F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85B1C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B0C48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44E4E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7F6F2CF">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375BD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587DD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3FC20B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EA2A8E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C06C9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0C0A7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758B0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B24064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288032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253CA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0898B9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304B64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296CFAA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280A90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59A74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9AADED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4A9D91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C0C2F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19D1E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2B985DCE">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9925F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C4649C6">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790799E3">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7F4F136E">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B5E981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w:t>
      </w:r>
      <w:r>
        <w:rPr>
          <w:rFonts w:hint="eastAsia" w:ascii="仿宋" w:hAnsi="仿宋" w:eastAsia="仿宋" w:cs="仿宋"/>
          <w:b w:val="0"/>
          <w:bCs w:val="0"/>
          <w:i w:val="0"/>
          <w:iCs w:val="0"/>
          <w:color w:val="auto"/>
          <w:kern w:val="2"/>
          <w:sz w:val="24"/>
          <w:szCs w:val="20"/>
          <w:highlight w:val="none"/>
          <w:vertAlign w:val="baseline"/>
          <w:lang w:val="en-US" w:eastAsia="zh-CN" w:bidi="ar-SA"/>
        </w:rPr>
        <w:t>浙江政务服务网</w:t>
      </w:r>
      <w:r>
        <w:rPr>
          <w:rFonts w:hint="default" w:ascii="仿宋" w:hAnsi="仿宋" w:eastAsia="仿宋" w:cs="仿宋"/>
          <w:b w:val="0"/>
          <w:bCs w:val="0"/>
          <w:i w:val="0"/>
          <w:iCs w:val="0"/>
          <w:color w:val="auto"/>
          <w:kern w:val="2"/>
          <w:sz w:val="24"/>
          <w:szCs w:val="20"/>
          <w:highlight w:val="none"/>
          <w:vertAlign w:val="baseline"/>
          <w:lang w:val="en-US" w:eastAsia="zh-CN" w:bidi="ar-SA"/>
        </w:rPr>
        <w:t>-政府采购投诉处理-在线办理。</w:t>
      </w:r>
    </w:p>
    <w:p w14:paraId="1493F37B">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1E07382">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8ED379F">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930ED5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1F3F19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F2F4E3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D581AFC">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17B0B7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4892A7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6C40A0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4450378">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1EE75E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11C54E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2927D8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D6D1D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401BFC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2552338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1D9DB6D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7C85764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EA5DCD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575EC47">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EB33F8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61F189E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82EE28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BC6EDD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E8C560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D99CF2B">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08E9368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4DB77C13">
      <w:pPr>
        <w:keepNext w:val="0"/>
        <w:keepLines w:val="0"/>
        <w:pageBreakBefore w:val="0"/>
        <w:kinsoku/>
        <w:wordWrap/>
        <w:overflowPunct/>
        <w:topLinePunct w:val="0"/>
        <w:autoSpaceDE/>
        <w:autoSpaceDN/>
        <w:bidi w:val="0"/>
        <w:adjustRightInd w:val="0"/>
        <w:snapToGrid w:val="0"/>
        <w:spacing w:line="440" w:lineRule="exact"/>
        <w:ind w:left="0" w:leftChars="0" w:right="0" w:rightChars="0"/>
        <w:rPr>
          <w:rFonts w:ascii="仿宋_GB2312" w:hAnsi="新宋体" w:eastAsia="仿宋_GB2312" w:cs="Arial"/>
          <w:b/>
          <w:bCs/>
          <w:color w:val="auto"/>
          <w:sz w:val="24"/>
          <w:highlight w:val="none"/>
        </w:rPr>
      </w:pPr>
      <w:bookmarkStart w:id="36" w:name="第五部分"/>
      <w:bookmarkStart w:id="37" w:name="_Toc86217003"/>
      <w:r>
        <w:rPr>
          <w:rFonts w:hint="eastAsia" w:ascii="仿宋_GB2312" w:hAnsi="新宋体" w:eastAsia="仿宋_GB2312" w:cs="Arial"/>
          <w:b/>
          <w:bCs/>
          <w:color w:val="auto"/>
          <w:sz w:val="24"/>
          <w:highlight w:val="none"/>
          <w:bdr w:val="single" w:color="auto" w:sz="4" w:space="0"/>
        </w:rPr>
        <w:t>01标</w:t>
      </w:r>
      <w:bookmarkStart w:id="38" w:name="_Toc7206"/>
      <w:bookmarkStart w:id="39" w:name="_Toc32678"/>
      <w:r>
        <w:rPr>
          <w:rFonts w:hint="eastAsia" w:ascii="仿宋_GB2312" w:hAnsi="新宋体" w:eastAsia="仿宋_GB2312" w:cs="Arial"/>
          <w:b/>
          <w:bCs/>
          <w:color w:val="auto"/>
          <w:sz w:val="24"/>
          <w:highlight w:val="none"/>
          <w:lang w:eastAsia="zh-CN"/>
        </w:rPr>
        <w:t>绍兴市口腔医院关于互联互通成熟度测评项目</w:t>
      </w:r>
    </w:p>
    <w:bookmarkEnd w:id="38"/>
    <w:bookmarkEnd w:id="39"/>
    <w:p w14:paraId="444C785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eastAsia="zh-CN"/>
        </w:rPr>
        <w:t>一、</w:t>
      </w:r>
      <w:r>
        <w:rPr>
          <w:rFonts w:hint="eastAsia" w:ascii="仿宋" w:hAnsi="仿宋" w:eastAsia="仿宋" w:cs="仿宋"/>
          <w:b/>
          <w:bCs/>
          <w:color w:val="auto"/>
          <w:kern w:val="0"/>
          <w:sz w:val="24"/>
          <w:szCs w:val="24"/>
          <w:highlight w:val="none"/>
        </w:rPr>
        <w:t>招标项目名称及数量</w:t>
      </w:r>
      <w:r>
        <w:rPr>
          <w:rFonts w:hint="eastAsia" w:ascii="仿宋" w:hAnsi="仿宋" w:eastAsia="仿宋" w:cs="仿宋"/>
          <w:color w:val="auto"/>
          <w:kern w:val="0"/>
          <w:sz w:val="24"/>
          <w:szCs w:val="24"/>
          <w:highlight w:val="none"/>
        </w:rPr>
        <w:t>：</w:t>
      </w:r>
    </w:p>
    <w:tbl>
      <w:tblPr>
        <w:tblStyle w:val="63"/>
        <w:tblW w:w="47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828"/>
        <w:gridCol w:w="1239"/>
        <w:gridCol w:w="3390"/>
        <w:gridCol w:w="766"/>
        <w:gridCol w:w="796"/>
      </w:tblGrid>
      <w:tr w14:paraId="107E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6" w:type="pct"/>
            <w:tcBorders>
              <w:tl2br w:val="nil"/>
              <w:tr2bl w:val="nil"/>
            </w:tcBorders>
            <w:shd w:val="clear" w:color="auto" w:fill="auto"/>
            <w:vAlign w:val="center"/>
          </w:tcPr>
          <w:p w14:paraId="1373BFA8">
            <w:pPr>
              <w:adjustRightInd/>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w:t>
            </w:r>
          </w:p>
        </w:tc>
        <w:tc>
          <w:tcPr>
            <w:tcW w:w="1038" w:type="pct"/>
            <w:tcBorders>
              <w:tl2br w:val="nil"/>
              <w:tr2bl w:val="nil"/>
            </w:tcBorders>
            <w:shd w:val="clear" w:color="auto" w:fill="auto"/>
            <w:vAlign w:val="center"/>
          </w:tcPr>
          <w:p w14:paraId="4BD11CBB">
            <w:pPr>
              <w:adjustRightInd/>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类别</w:t>
            </w:r>
          </w:p>
        </w:tc>
        <w:tc>
          <w:tcPr>
            <w:tcW w:w="2629" w:type="pct"/>
            <w:gridSpan w:val="2"/>
            <w:tcBorders>
              <w:tl2br w:val="nil"/>
              <w:tr2bl w:val="nil"/>
            </w:tcBorders>
            <w:shd w:val="clear" w:color="auto" w:fill="auto"/>
            <w:vAlign w:val="center"/>
          </w:tcPr>
          <w:p w14:paraId="7D615224">
            <w:pPr>
              <w:adjustRightInd/>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内容</w:t>
            </w:r>
          </w:p>
        </w:tc>
        <w:tc>
          <w:tcPr>
            <w:tcW w:w="434" w:type="pct"/>
            <w:tcBorders>
              <w:tl2br w:val="nil"/>
              <w:tr2bl w:val="nil"/>
            </w:tcBorders>
            <w:shd w:val="clear" w:color="auto" w:fill="auto"/>
            <w:vAlign w:val="center"/>
          </w:tcPr>
          <w:p w14:paraId="54F9B497">
            <w:pPr>
              <w:adjustRightInd/>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数量</w:t>
            </w:r>
          </w:p>
        </w:tc>
        <w:tc>
          <w:tcPr>
            <w:tcW w:w="451" w:type="pct"/>
            <w:tcBorders>
              <w:tl2br w:val="nil"/>
              <w:tr2bl w:val="nil"/>
            </w:tcBorders>
            <w:shd w:val="clear" w:color="auto" w:fill="auto"/>
            <w:vAlign w:val="center"/>
          </w:tcPr>
          <w:p w14:paraId="718453DB">
            <w:pPr>
              <w:adjustRightInd/>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单位</w:t>
            </w:r>
          </w:p>
        </w:tc>
      </w:tr>
      <w:tr w14:paraId="4AF0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46" w:type="pct"/>
            <w:vMerge w:val="restart"/>
            <w:tcBorders>
              <w:tl2br w:val="nil"/>
              <w:tr2bl w:val="nil"/>
            </w:tcBorders>
            <w:shd w:val="clear" w:color="auto" w:fill="auto"/>
            <w:vAlign w:val="center"/>
          </w:tcPr>
          <w:p w14:paraId="61AF00D1">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038" w:type="pct"/>
            <w:vMerge w:val="restart"/>
            <w:tcBorders>
              <w:tl2br w:val="nil"/>
              <w:tr2bl w:val="nil"/>
            </w:tcBorders>
            <w:shd w:val="clear" w:color="auto" w:fill="auto"/>
            <w:vAlign w:val="center"/>
          </w:tcPr>
          <w:p w14:paraId="7059BF81">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医院信息集成平台</w:t>
            </w:r>
          </w:p>
        </w:tc>
        <w:tc>
          <w:tcPr>
            <w:tcW w:w="2629" w:type="pct"/>
            <w:gridSpan w:val="2"/>
            <w:tcBorders>
              <w:tl2br w:val="nil"/>
              <w:tr2bl w:val="nil"/>
            </w:tcBorders>
            <w:shd w:val="clear" w:color="auto" w:fill="auto"/>
            <w:vAlign w:val="center"/>
          </w:tcPr>
          <w:p w14:paraId="03F2B630">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企业服务总线</w:t>
            </w:r>
          </w:p>
        </w:tc>
        <w:tc>
          <w:tcPr>
            <w:tcW w:w="434" w:type="pct"/>
            <w:tcBorders>
              <w:tl2br w:val="nil"/>
              <w:tr2bl w:val="nil"/>
            </w:tcBorders>
            <w:shd w:val="clear" w:color="auto" w:fill="auto"/>
            <w:vAlign w:val="center"/>
          </w:tcPr>
          <w:p w14:paraId="092E7354">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51" w:type="pct"/>
            <w:tcBorders>
              <w:tl2br w:val="nil"/>
              <w:tr2bl w:val="nil"/>
            </w:tcBorders>
            <w:shd w:val="clear" w:color="auto" w:fill="auto"/>
            <w:vAlign w:val="center"/>
          </w:tcPr>
          <w:p w14:paraId="6455F3BB">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r>
      <w:tr w14:paraId="4AA9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46" w:type="pct"/>
            <w:vMerge w:val="continue"/>
            <w:tcBorders>
              <w:tl2br w:val="nil"/>
              <w:tr2bl w:val="nil"/>
            </w:tcBorders>
            <w:vAlign w:val="center"/>
          </w:tcPr>
          <w:p w14:paraId="48458408">
            <w:pPr>
              <w:adjustRightInd/>
              <w:jc w:val="left"/>
              <w:rPr>
                <w:rFonts w:hint="eastAsia" w:ascii="仿宋" w:hAnsi="仿宋" w:eastAsia="仿宋" w:cs="仿宋"/>
                <w:color w:val="auto"/>
                <w:kern w:val="0"/>
                <w:sz w:val="24"/>
                <w:szCs w:val="24"/>
                <w:highlight w:val="none"/>
              </w:rPr>
            </w:pPr>
          </w:p>
        </w:tc>
        <w:tc>
          <w:tcPr>
            <w:tcW w:w="1038" w:type="pct"/>
            <w:vMerge w:val="continue"/>
            <w:tcBorders>
              <w:tl2br w:val="nil"/>
              <w:tr2bl w:val="nil"/>
            </w:tcBorders>
            <w:vAlign w:val="center"/>
          </w:tcPr>
          <w:p w14:paraId="4EA63633">
            <w:pPr>
              <w:adjustRightInd/>
              <w:jc w:val="left"/>
              <w:rPr>
                <w:rFonts w:hint="eastAsia" w:ascii="仿宋" w:hAnsi="仿宋" w:eastAsia="仿宋" w:cs="仿宋"/>
                <w:color w:val="auto"/>
                <w:kern w:val="0"/>
                <w:sz w:val="24"/>
                <w:szCs w:val="24"/>
                <w:highlight w:val="none"/>
              </w:rPr>
            </w:pPr>
          </w:p>
        </w:tc>
        <w:tc>
          <w:tcPr>
            <w:tcW w:w="2629" w:type="pct"/>
            <w:gridSpan w:val="2"/>
            <w:tcBorders>
              <w:tl2br w:val="nil"/>
              <w:tr2bl w:val="nil"/>
            </w:tcBorders>
            <w:shd w:val="clear" w:color="auto" w:fill="auto"/>
            <w:vAlign w:val="center"/>
          </w:tcPr>
          <w:p w14:paraId="0A3A7B4D">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主数据管理系统</w:t>
            </w:r>
          </w:p>
        </w:tc>
        <w:tc>
          <w:tcPr>
            <w:tcW w:w="434" w:type="pct"/>
            <w:tcBorders>
              <w:tl2br w:val="nil"/>
              <w:tr2bl w:val="nil"/>
            </w:tcBorders>
            <w:shd w:val="clear" w:color="auto" w:fill="auto"/>
            <w:vAlign w:val="center"/>
          </w:tcPr>
          <w:p w14:paraId="7ED2AF76">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51" w:type="pct"/>
            <w:tcBorders>
              <w:tl2br w:val="nil"/>
              <w:tr2bl w:val="nil"/>
            </w:tcBorders>
            <w:shd w:val="clear" w:color="auto" w:fill="auto"/>
            <w:vAlign w:val="center"/>
          </w:tcPr>
          <w:p w14:paraId="65C8D8DD">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r>
      <w:tr w14:paraId="39FE8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46" w:type="pct"/>
            <w:vMerge w:val="continue"/>
            <w:tcBorders>
              <w:tl2br w:val="nil"/>
              <w:tr2bl w:val="nil"/>
            </w:tcBorders>
            <w:vAlign w:val="center"/>
          </w:tcPr>
          <w:p w14:paraId="773D66AD">
            <w:pPr>
              <w:adjustRightInd/>
              <w:jc w:val="left"/>
              <w:rPr>
                <w:rFonts w:hint="eastAsia" w:ascii="仿宋" w:hAnsi="仿宋" w:eastAsia="仿宋" w:cs="仿宋"/>
                <w:color w:val="auto"/>
                <w:kern w:val="0"/>
                <w:sz w:val="24"/>
                <w:szCs w:val="24"/>
                <w:highlight w:val="none"/>
              </w:rPr>
            </w:pPr>
          </w:p>
        </w:tc>
        <w:tc>
          <w:tcPr>
            <w:tcW w:w="1038" w:type="pct"/>
            <w:vMerge w:val="continue"/>
            <w:tcBorders>
              <w:tl2br w:val="nil"/>
              <w:tr2bl w:val="nil"/>
            </w:tcBorders>
            <w:vAlign w:val="center"/>
          </w:tcPr>
          <w:p w14:paraId="6D9887DE">
            <w:pPr>
              <w:adjustRightInd/>
              <w:jc w:val="left"/>
              <w:rPr>
                <w:rFonts w:hint="eastAsia" w:ascii="仿宋" w:hAnsi="仿宋" w:eastAsia="仿宋" w:cs="仿宋"/>
                <w:color w:val="auto"/>
                <w:kern w:val="0"/>
                <w:sz w:val="24"/>
                <w:szCs w:val="24"/>
                <w:highlight w:val="none"/>
              </w:rPr>
            </w:pPr>
          </w:p>
        </w:tc>
        <w:tc>
          <w:tcPr>
            <w:tcW w:w="2629" w:type="pct"/>
            <w:gridSpan w:val="2"/>
            <w:tcBorders>
              <w:tl2br w:val="nil"/>
              <w:tr2bl w:val="nil"/>
            </w:tcBorders>
            <w:shd w:val="clear" w:color="auto" w:fill="auto"/>
            <w:vAlign w:val="center"/>
          </w:tcPr>
          <w:p w14:paraId="0FEF761E">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患者主索引系统</w:t>
            </w:r>
          </w:p>
        </w:tc>
        <w:tc>
          <w:tcPr>
            <w:tcW w:w="434" w:type="pct"/>
            <w:tcBorders>
              <w:tl2br w:val="nil"/>
              <w:tr2bl w:val="nil"/>
            </w:tcBorders>
            <w:shd w:val="clear" w:color="auto" w:fill="auto"/>
            <w:vAlign w:val="center"/>
          </w:tcPr>
          <w:p w14:paraId="6436FE6F">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51" w:type="pct"/>
            <w:tcBorders>
              <w:tl2br w:val="nil"/>
              <w:tr2bl w:val="nil"/>
            </w:tcBorders>
            <w:shd w:val="clear" w:color="auto" w:fill="auto"/>
            <w:vAlign w:val="center"/>
          </w:tcPr>
          <w:p w14:paraId="7D5F7D94">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r>
      <w:tr w14:paraId="1107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46" w:type="pct"/>
            <w:vMerge w:val="continue"/>
            <w:tcBorders>
              <w:tl2br w:val="nil"/>
              <w:tr2bl w:val="nil"/>
            </w:tcBorders>
            <w:vAlign w:val="center"/>
          </w:tcPr>
          <w:p w14:paraId="0E84610F">
            <w:pPr>
              <w:adjustRightInd/>
              <w:jc w:val="left"/>
              <w:rPr>
                <w:rFonts w:hint="eastAsia" w:ascii="仿宋" w:hAnsi="仿宋" w:eastAsia="仿宋" w:cs="仿宋"/>
                <w:color w:val="auto"/>
                <w:kern w:val="0"/>
                <w:sz w:val="24"/>
                <w:szCs w:val="24"/>
                <w:highlight w:val="none"/>
              </w:rPr>
            </w:pPr>
          </w:p>
        </w:tc>
        <w:tc>
          <w:tcPr>
            <w:tcW w:w="1038" w:type="pct"/>
            <w:vMerge w:val="continue"/>
            <w:tcBorders>
              <w:tl2br w:val="nil"/>
              <w:tr2bl w:val="nil"/>
            </w:tcBorders>
            <w:vAlign w:val="center"/>
          </w:tcPr>
          <w:p w14:paraId="06E7C873">
            <w:pPr>
              <w:adjustRightInd/>
              <w:jc w:val="left"/>
              <w:rPr>
                <w:rFonts w:hint="eastAsia" w:ascii="仿宋" w:hAnsi="仿宋" w:eastAsia="仿宋" w:cs="仿宋"/>
                <w:color w:val="auto"/>
                <w:kern w:val="0"/>
                <w:sz w:val="24"/>
                <w:szCs w:val="24"/>
                <w:highlight w:val="none"/>
              </w:rPr>
            </w:pPr>
          </w:p>
        </w:tc>
        <w:tc>
          <w:tcPr>
            <w:tcW w:w="2629" w:type="pct"/>
            <w:gridSpan w:val="2"/>
            <w:tcBorders>
              <w:tl2br w:val="nil"/>
              <w:tr2bl w:val="nil"/>
            </w:tcBorders>
            <w:shd w:val="clear" w:color="auto" w:fill="auto"/>
            <w:vAlign w:val="center"/>
          </w:tcPr>
          <w:p w14:paraId="6C91274D">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统一用户认证与单点登录系统</w:t>
            </w:r>
          </w:p>
        </w:tc>
        <w:tc>
          <w:tcPr>
            <w:tcW w:w="434" w:type="pct"/>
            <w:tcBorders>
              <w:tl2br w:val="nil"/>
              <w:tr2bl w:val="nil"/>
            </w:tcBorders>
            <w:shd w:val="clear" w:color="auto" w:fill="auto"/>
            <w:vAlign w:val="center"/>
          </w:tcPr>
          <w:p w14:paraId="2E88CA1A">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51" w:type="pct"/>
            <w:tcBorders>
              <w:tl2br w:val="nil"/>
              <w:tr2bl w:val="nil"/>
            </w:tcBorders>
            <w:shd w:val="clear" w:color="auto" w:fill="auto"/>
            <w:vAlign w:val="center"/>
          </w:tcPr>
          <w:p w14:paraId="431AF78B">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r>
      <w:tr w14:paraId="3EEA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46" w:type="pct"/>
            <w:vMerge w:val="continue"/>
            <w:tcBorders>
              <w:tl2br w:val="nil"/>
              <w:tr2bl w:val="nil"/>
            </w:tcBorders>
            <w:vAlign w:val="center"/>
          </w:tcPr>
          <w:p w14:paraId="0B29B425">
            <w:pPr>
              <w:adjustRightInd/>
              <w:jc w:val="left"/>
              <w:rPr>
                <w:rFonts w:hint="eastAsia" w:ascii="仿宋" w:hAnsi="仿宋" w:eastAsia="仿宋" w:cs="仿宋"/>
                <w:color w:val="auto"/>
                <w:kern w:val="0"/>
                <w:sz w:val="24"/>
                <w:szCs w:val="24"/>
                <w:highlight w:val="none"/>
              </w:rPr>
            </w:pPr>
          </w:p>
        </w:tc>
        <w:tc>
          <w:tcPr>
            <w:tcW w:w="1038" w:type="pct"/>
            <w:vMerge w:val="continue"/>
            <w:tcBorders>
              <w:tl2br w:val="nil"/>
              <w:tr2bl w:val="nil"/>
            </w:tcBorders>
            <w:vAlign w:val="center"/>
          </w:tcPr>
          <w:p w14:paraId="1CB6C45E">
            <w:pPr>
              <w:adjustRightInd/>
              <w:jc w:val="left"/>
              <w:rPr>
                <w:rFonts w:hint="eastAsia" w:ascii="仿宋" w:hAnsi="仿宋" w:eastAsia="仿宋" w:cs="仿宋"/>
                <w:color w:val="auto"/>
                <w:kern w:val="0"/>
                <w:sz w:val="24"/>
                <w:szCs w:val="24"/>
                <w:highlight w:val="none"/>
              </w:rPr>
            </w:pPr>
          </w:p>
        </w:tc>
        <w:tc>
          <w:tcPr>
            <w:tcW w:w="2629" w:type="pct"/>
            <w:gridSpan w:val="2"/>
            <w:tcBorders>
              <w:tl2br w:val="nil"/>
              <w:tr2bl w:val="nil"/>
            </w:tcBorders>
            <w:shd w:val="clear" w:color="auto" w:fill="auto"/>
            <w:vAlign w:val="center"/>
          </w:tcPr>
          <w:p w14:paraId="3D90BC8F">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监控平台</w:t>
            </w:r>
          </w:p>
        </w:tc>
        <w:tc>
          <w:tcPr>
            <w:tcW w:w="434" w:type="pct"/>
            <w:tcBorders>
              <w:tl2br w:val="nil"/>
              <w:tr2bl w:val="nil"/>
            </w:tcBorders>
            <w:shd w:val="clear" w:color="auto" w:fill="auto"/>
            <w:vAlign w:val="center"/>
          </w:tcPr>
          <w:p w14:paraId="70007BF2">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51" w:type="pct"/>
            <w:tcBorders>
              <w:tl2br w:val="nil"/>
              <w:tr2bl w:val="nil"/>
            </w:tcBorders>
            <w:shd w:val="clear" w:color="auto" w:fill="auto"/>
            <w:vAlign w:val="center"/>
          </w:tcPr>
          <w:p w14:paraId="46BB6407">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r>
      <w:tr w14:paraId="4527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46" w:type="pct"/>
            <w:vMerge w:val="continue"/>
            <w:tcBorders>
              <w:tl2br w:val="nil"/>
              <w:tr2bl w:val="nil"/>
            </w:tcBorders>
            <w:vAlign w:val="center"/>
          </w:tcPr>
          <w:p w14:paraId="1052D585">
            <w:pPr>
              <w:adjustRightInd/>
              <w:jc w:val="left"/>
              <w:rPr>
                <w:rFonts w:hint="eastAsia" w:ascii="仿宋" w:hAnsi="仿宋" w:eastAsia="仿宋" w:cs="仿宋"/>
                <w:color w:val="auto"/>
                <w:kern w:val="0"/>
                <w:sz w:val="24"/>
                <w:szCs w:val="24"/>
                <w:highlight w:val="none"/>
              </w:rPr>
            </w:pPr>
          </w:p>
        </w:tc>
        <w:tc>
          <w:tcPr>
            <w:tcW w:w="1038" w:type="pct"/>
            <w:vMerge w:val="continue"/>
            <w:tcBorders>
              <w:tl2br w:val="nil"/>
              <w:tr2bl w:val="nil"/>
            </w:tcBorders>
            <w:vAlign w:val="center"/>
          </w:tcPr>
          <w:p w14:paraId="5E21D078">
            <w:pPr>
              <w:adjustRightInd/>
              <w:jc w:val="left"/>
              <w:rPr>
                <w:rFonts w:hint="eastAsia" w:ascii="仿宋" w:hAnsi="仿宋" w:eastAsia="仿宋" w:cs="仿宋"/>
                <w:color w:val="auto"/>
                <w:kern w:val="0"/>
                <w:sz w:val="24"/>
                <w:szCs w:val="24"/>
                <w:highlight w:val="none"/>
              </w:rPr>
            </w:pPr>
          </w:p>
        </w:tc>
        <w:tc>
          <w:tcPr>
            <w:tcW w:w="703" w:type="pct"/>
            <w:vMerge w:val="restart"/>
            <w:tcBorders>
              <w:tl2br w:val="nil"/>
              <w:tr2bl w:val="nil"/>
            </w:tcBorders>
            <w:shd w:val="clear" w:color="auto" w:fill="auto"/>
            <w:vAlign w:val="center"/>
          </w:tcPr>
          <w:p w14:paraId="7736330D">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基于平台的系统集成</w:t>
            </w:r>
          </w:p>
        </w:tc>
        <w:tc>
          <w:tcPr>
            <w:tcW w:w="1925" w:type="pct"/>
            <w:tcBorders>
              <w:tl2br w:val="nil"/>
              <w:tr2bl w:val="nil"/>
            </w:tcBorders>
            <w:shd w:val="clear" w:color="auto" w:fill="auto"/>
            <w:vAlign w:val="center"/>
          </w:tcPr>
          <w:p w14:paraId="4657EF07">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临床服务系统接入</w:t>
            </w:r>
          </w:p>
        </w:tc>
        <w:tc>
          <w:tcPr>
            <w:tcW w:w="434" w:type="pct"/>
            <w:tcBorders>
              <w:tl2br w:val="nil"/>
              <w:tr2bl w:val="nil"/>
            </w:tcBorders>
            <w:shd w:val="clear" w:color="auto" w:fill="auto"/>
            <w:vAlign w:val="center"/>
          </w:tcPr>
          <w:p w14:paraId="05173EFD">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51" w:type="pct"/>
            <w:tcBorders>
              <w:tl2br w:val="nil"/>
              <w:tr2bl w:val="nil"/>
            </w:tcBorders>
            <w:shd w:val="clear" w:color="auto" w:fill="auto"/>
            <w:vAlign w:val="center"/>
          </w:tcPr>
          <w:p w14:paraId="3DCE06CE">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r>
      <w:tr w14:paraId="5CB4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46" w:type="pct"/>
            <w:vMerge w:val="continue"/>
            <w:tcBorders>
              <w:tl2br w:val="nil"/>
              <w:tr2bl w:val="nil"/>
            </w:tcBorders>
            <w:vAlign w:val="center"/>
          </w:tcPr>
          <w:p w14:paraId="347E42F8">
            <w:pPr>
              <w:adjustRightInd/>
              <w:jc w:val="left"/>
              <w:rPr>
                <w:rFonts w:hint="eastAsia" w:ascii="仿宋" w:hAnsi="仿宋" w:eastAsia="仿宋" w:cs="仿宋"/>
                <w:color w:val="auto"/>
                <w:kern w:val="0"/>
                <w:sz w:val="24"/>
                <w:szCs w:val="24"/>
                <w:highlight w:val="none"/>
              </w:rPr>
            </w:pPr>
          </w:p>
        </w:tc>
        <w:tc>
          <w:tcPr>
            <w:tcW w:w="1038" w:type="pct"/>
            <w:vMerge w:val="continue"/>
            <w:tcBorders>
              <w:tl2br w:val="nil"/>
              <w:tr2bl w:val="nil"/>
            </w:tcBorders>
            <w:vAlign w:val="center"/>
          </w:tcPr>
          <w:p w14:paraId="60848E3B">
            <w:pPr>
              <w:adjustRightInd/>
              <w:jc w:val="left"/>
              <w:rPr>
                <w:rFonts w:hint="eastAsia" w:ascii="仿宋" w:hAnsi="仿宋" w:eastAsia="仿宋" w:cs="仿宋"/>
                <w:color w:val="auto"/>
                <w:kern w:val="0"/>
                <w:sz w:val="24"/>
                <w:szCs w:val="24"/>
                <w:highlight w:val="none"/>
              </w:rPr>
            </w:pPr>
          </w:p>
        </w:tc>
        <w:tc>
          <w:tcPr>
            <w:tcW w:w="703" w:type="pct"/>
            <w:vMerge w:val="continue"/>
            <w:tcBorders>
              <w:tl2br w:val="nil"/>
              <w:tr2bl w:val="nil"/>
            </w:tcBorders>
            <w:shd w:val="clear" w:color="auto" w:fill="auto"/>
            <w:vAlign w:val="center"/>
          </w:tcPr>
          <w:p w14:paraId="66F4D08F">
            <w:pPr>
              <w:adjustRightInd/>
              <w:jc w:val="center"/>
              <w:rPr>
                <w:rFonts w:hint="eastAsia" w:ascii="仿宋" w:hAnsi="仿宋" w:eastAsia="仿宋" w:cs="仿宋"/>
                <w:color w:val="auto"/>
                <w:kern w:val="0"/>
                <w:sz w:val="24"/>
                <w:szCs w:val="24"/>
                <w:highlight w:val="none"/>
              </w:rPr>
            </w:pPr>
          </w:p>
        </w:tc>
        <w:tc>
          <w:tcPr>
            <w:tcW w:w="1925" w:type="pct"/>
            <w:tcBorders>
              <w:tl2br w:val="nil"/>
              <w:tr2bl w:val="nil"/>
            </w:tcBorders>
            <w:shd w:val="clear" w:color="auto" w:fill="auto"/>
            <w:vAlign w:val="center"/>
          </w:tcPr>
          <w:p w14:paraId="5DCD7645">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医疗管理系统接入</w:t>
            </w:r>
          </w:p>
        </w:tc>
        <w:tc>
          <w:tcPr>
            <w:tcW w:w="434" w:type="pct"/>
            <w:tcBorders>
              <w:tl2br w:val="nil"/>
              <w:tr2bl w:val="nil"/>
            </w:tcBorders>
            <w:shd w:val="clear" w:color="auto" w:fill="auto"/>
            <w:vAlign w:val="center"/>
          </w:tcPr>
          <w:p w14:paraId="2CAB3136">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51" w:type="pct"/>
            <w:tcBorders>
              <w:tl2br w:val="nil"/>
              <w:tr2bl w:val="nil"/>
            </w:tcBorders>
            <w:shd w:val="clear" w:color="auto" w:fill="auto"/>
            <w:vAlign w:val="center"/>
          </w:tcPr>
          <w:p w14:paraId="0B7A6D54">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r>
      <w:tr w14:paraId="1335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46" w:type="pct"/>
            <w:vMerge w:val="continue"/>
            <w:tcBorders>
              <w:tl2br w:val="nil"/>
              <w:tr2bl w:val="nil"/>
            </w:tcBorders>
            <w:vAlign w:val="center"/>
          </w:tcPr>
          <w:p w14:paraId="47DE3C2B">
            <w:pPr>
              <w:adjustRightInd/>
              <w:jc w:val="left"/>
              <w:rPr>
                <w:rFonts w:hint="eastAsia" w:ascii="仿宋" w:hAnsi="仿宋" w:eastAsia="仿宋" w:cs="仿宋"/>
                <w:color w:val="auto"/>
                <w:kern w:val="0"/>
                <w:sz w:val="24"/>
                <w:szCs w:val="24"/>
                <w:highlight w:val="none"/>
              </w:rPr>
            </w:pPr>
          </w:p>
        </w:tc>
        <w:tc>
          <w:tcPr>
            <w:tcW w:w="1038" w:type="pct"/>
            <w:vMerge w:val="continue"/>
            <w:tcBorders>
              <w:tl2br w:val="nil"/>
              <w:tr2bl w:val="nil"/>
            </w:tcBorders>
            <w:vAlign w:val="center"/>
          </w:tcPr>
          <w:p w14:paraId="79AF043F">
            <w:pPr>
              <w:adjustRightInd/>
              <w:jc w:val="left"/>
              <w:rPr>
                <w:rFonts w:hint="eastAsia" w:ascii="仿宋" w:hAnsi="仿宋" w:eastAsia="仿宋" w:cs="仿宋"/>
                <w:color w:val="auto"/>
                <w:kern w:val="0"/>
                <w:sz w:val="24"/>
                <w:szCs w:val="24"/>
                <w:highlight w:val="none"/>
              </w:rPr>
            </w:pPr>
          </w:p>
        </w:tc>
        <w:tc>
          <w:tcPr>
            <w:tcW w:w="703" w:type="pct"/>
            <w:vMerge w:val="continue"/>
            <w:tcBorders>
              <w:tl2br w:val="nil"/>
              <w:tr2bl w:val="nil"/>
            </w:tcBorders>
            <w:shd w:val="clear" w:color="auto" w:fill="auto"/>
            <w:vAlign w:val="center"/>
          </w:tcPr>
          <w:p w14:paraId="0617EF66">
            <w:pPr>
              <w:adjustRightInd/>
              <w:jc w:val="center"/>
              <w:rPr>
                <w:rFonts w:hint="eastAsia" w:ascii="仿宋" w:hAnsi="仿宋" w:eastAsia="仿宋" w:cs="仿宋"/>
                <w:color w:val="auto"/>
                <w:kern w:val="0"/>
                <w:sz w:val="24"/>
                <w:szCs w:val="24"/>
                <w:highlight w:val="none"/>
              </w:rPr>
            </w:pPr>
          </w:p>
        </w:tc>
        <w:tc>
          <w:tcPr>
            <w:tcW w:w="1925" w:type="pct"/>
            <w:tcBorders>
              <w:tl2br w:val="nil"/>
              <w:tr2bl w:val="nil"/>
            </w:tcBorders>
            <w:shd w:val="clear" w:color="auto" w:fill="auto"/>
            <w:vAlign w:val="center"/>
          </w:tcPr>
          <w:p w14:paraId="78EDE88A">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运营管理系统接入</w:t>
            </w:r>
          </w:p>
        </w:tc>
        <w:tc>
          <w:tcPr>
            <w:tcW w:w="434" w:type="pct"/>
            <w:tcBorders>
              <w:tl2br w:val="nil"/>
              <w:tr2bl w:val="nil"/>
            </w:tcBorders>
            <w:shd w:val="clear" w:color="auto" w:fill="auto"/>
            <w:vAlign w:val="center"/>
          </w:tcPr>
          <w:p w14:paraId="5657D14C">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51" w:type="pct"/>
            <w:tcBorders>
              <w:tl2br w:val="nil"/>
              <w:tr2bl w:val="nil"/>
            </w:tcBorders>
            <w:shd w:val="clear" w:color="auto" w:fill="auto"/>
            <w:vAlign w:val="center"/>
          </w:tcPr>
          <w:p w14:paraId="76FDABCC">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r>
      <w:tr w14:paraId="4DBC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46" w:type="pct"/>
            <w:vMerge w:val="continue"/>
            <w:tcBorders>
              <w:tl2br w:val="nil"/>
              <w:tr2bl w:val="nil"/>
            </w:tcBorders>
            <w:vAlign w:val="center"/>
          </w:tcPr>
          <w:p w14:paraId="09219EAE">
            <w:pPr>
              <w:adjustRightInd/>
              <w:jc w:val="left"/>
              <w:rPr>
                <w:rFonts w:hint="eastAsia" w:ascii="仿宋" w:hAnsi="仿宋" w:eastAsia="仿宋" w:cs="仿宋"/>
                <w:color w:val="auto"/>
                <w:kern w:val="0"/>
                <w:sz w:val="24"/>
                <w:szCs w:val="24"/>
                <w:highlight w:val="none"/>
              </w:rPr>
            </w:pPr>
          </w:p>
        </w:tc>
        <w:tc>
          <w:tcPr>
            <w:tcW w:w="1038" w:type="pct"/>
            <w:vMerge w:val="continue"/>
            <w:tcBorders>
              <w:tl2br w:val="nil"/>
              <w:tr2bl w:val="nil"/>
            </w:tcBorders>
            <w:vAlign w:val="center"/>
          </w:tcPr>
          <w:p w14:paraId="12E3AEED">
            <w:pPr>
              <w:adjustRightInd/>
              <w:jc w:val="left"/>
              <w:rPr>
                <w:rFonts w:hint="eastAsia" w:ascii="仿宋" w:hAnsi="仿宋" w:eastAsia="仿宋" w:cs="仿宋"/>
                <w:color w:val="auto"/>
                <w:kern w:val="0"/>
                <w:sz w:val="24"/>
                <w:szCs w:val="24"/>
                <w:highlight w:val="none"/>
              </w:rPr>
            </w:pPr>
          </w:p>
        </w:tc>
        <w:tc>
          <w:tcPr>
            <w:tcW w:w="703" w:type="pct"/>
            <w:vMerge w:val="continue"/>
            <w:tcBorders>
              <w:tl2br w:val="nil"/>
              <w:tr2bl w:val="nil"/>
            </w:tcBorders>
            <w:shd w:val="clear" w:color="auto" w:fill="auto"/>
            <w:vAlign w:val="center"/>
          </w:tcPr>
          <w:p w14:paraId="0D6A9A98">
            <w:pPr>
              <w:adjustRightInd/>
              <w:jc w:val="center"/>
              <w:rPr>
                <w:rFonts w:hint="eastAsia" w:ascii="仿宋" w:hAnsi="仿宋" w:eastAsia="仿宋" w:cs="仿宋"/>
                <w:color w:val="auto"/>
                <w:kern w:val="0"/>
                <w:sz w:val="24"/>
                <w:szCs w:val="24"/>
                <w:highlight w:val="none"/>
              </w:rPr>
            </w:pPr>
          </w:p>
        </w:tc>
        <w:tc>
          <w:tcPr>
            <w:tcW w:w="1925" w:type="pct"/>
            <w:tcBorders>
              <w:tl2br w:val="nil"/>
              <w:tr2bl w:val="nil"/>
            </w:tcBorders>
            <w:shd w:val="clear" w:color="auto" w:fill="auto"/>
            <w:vAlign w:val="center"/>
          </w:tcPr>
          <w:p w14:paraId="65E01D4A">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公众服务应用接入</w:t>
            </w:r>
          </w:p>
        </w:tc>
        <w:tc>
          <w:tcPr>
            <w:tcW w:w="434" w:type="pct"/>
            <w:tcBorders>
              <w:tl2br w:val="nil"/>
              <w:tr2bl w:val="nil"/>
            </w:tcBorders>
            <w:shd w:val="clear" w:color="auto" w:fill="auto"/>
            <w:vAlign w:val="center"/>
          </w:tcPr>
          <w:p w14:paraId="6A36AB6E">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51" w:type="pct"/>
            <w:tcBorders>
              <w:tl2br w:val="nil"/>
              <w:tr2bl w:val="nil"/>
            </w:tcBorders>
            <w:shd w:val="clear" w:color="auto" w:fill="auto"/>
            <w:vAlign w:val="center"/>
          </w:tcPr>
          <w:p w14:paraId="48389BEF">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r>
      <w:tr w14:paraId="1A89F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46" w:type="pct"/>
            <w:vMerge w:val="continue"/>
            <w:tcBorders>
              <w:tl2br w:val="nil"/>
              <w:tr2bl w:val="nil"/>
            </w:tcBorders>
            <w:vAlign w:val="center"/>
          </w:tcPr>
          <w:p w14:paraId="5797FC11">
            <w:pPr>
              <w:adjustRightInd/>
              <w:jc w:val="left"/>
              <w:rPr>
                <w:rFonts w:hint="eastAsia" w:ascii="仿宋" w:hAnsi="仿宋" w:eastAsia="仿宋" w:cs="仿宋"/>
                <w:color w:val="auto"/>
                <w:kern w:val="0"/>
                <w:sz w:val="24"/>
                <w:szCs w:val="24"/>
                <w:highlight w:val="none"/>
              </w:rPr>
            </w:pPr>
          </w:p>
        </w:tc>
        <w:tc>
          <w:tcPr>
            <w:tcW w:w="1038" w:type="pct"/>
            <w:vMerge w:val="continue"/>
            <w:tcBorders>
              <w:tl2br w:val="nil"/>
              <w:tr2bl w:val="nil"/>
            </w:tcBorders>
            <w:vAlign w:val="center"/>
          </w:tcPr>
          <w:p w14:paraId="28EB8D92">
            <w:pPr>
              <w:adjustRightInd/>
              <w:jc w:val="left"/>
              <w:rPr>
                <w:rFonts w:hint="eastAsia" w:ascii="仿宋" w:hAnsi="仿宋" w:eastAsia="仿宋" w:cs="仿宋"/>
                <w:color w:val="auto"/>
                <w:kern w:val="0"/>
                <w:sz w:val="24"/>
                <w:szCs w:val="24"/>
                <w:highlight w:val="none"/>
              </w:rPr>
            </w:pPr>
          </w:p>
        </w:tc>
        <w:tc>
          <w:tcPr>
            <w:tcW w:w="703" w:type="pct"/>
            <w:vMerge w:val="continue"/>
            <w:tcBorders>
              <w:tl2br w:val="nil"/>
              <w:tr2bl w:val="nil"/>
            </w:tcBorders>
            <w:shd w:val="clear" w:color="auto" w:fill="auto"/>
            <w:vAlign w:val="center"/>
          </w:tcPr>
          <w:p w14:paraId="3140AD45">
            <w:pPr>
              <w:adjustRightInd/>
              <w:jc w:val="center"/>
              <w:rPr>
                <w:rFonts w:hint="eastAsia" w:ascii="仿宋" w:hAnsi="仿宋" w:eastAsia="仿宋" w:cs="仿宋"/>
                <w:color w:val="auto"/>
                <w:kern w:val="0"/>
                <w:sz w:val="24"/>
                <w:szCs w:val="24"/>
                <w:highlight w:val="none"/>
              </w:rPr>
            </w:pPr>
          </w:p>
        </w:tc>
        <w:tc>
          <w:tcPr>
            <w:tcW w:w="1925" w:type="pct"/>
            <w:tcBorders>
              <w:tl2br w:val="nil"/>
              <w:tr2bl w:val="nil"/>
            </w:tcBorders>
            <w:shd w:val="clear" w:color="auto" w:fill="auto"/>
            <w:vAlign w:val="center"/>
          </w:tcPr>
          <w:p w14:paraId="0DF3721D">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外部机构接入</w:t>
            </w:r>
          </w:p>
        </w:tc>
        <w:tc>
          <w:tcPr>
            <w:tcW w:w="434" w:type="pct"/>
            <w:tcBorders>
              <w:tl2br w:val="nil"/>
              <w:tr2bl w:val="nil"/>
            </w:tcBorders>
            <w:shd w:val="clear" w:color="auto" w:fill="auto"/>
            <w:vAlign w:val="center"/>
          </w:tcPr>
          <w:p w14:paraId="31785337">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51" w:type="pct"/>
            <w:tcBorders>
              <w:tl2br w:val="nil"/>
              <w:tr2bl w:val="nil"/>
            </w:tcBorders>
            <w:shd w:val="clear" w:color="auto" w:fill="auto"/>
            <w:vAlign w:val="center"/>
          </w:tcPr>
          <w:p w14:paraId="74481CA3">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r>
      <w:tr w14:paraId="12D8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46" w:type="pct"/>
            <w:vMerge w:val="restart"/>
            <w:tcBorders>
              <w:tl2br w:val="nil"/>
              <w:tr2bl w:val="nil"/>
            </w:tcBorders>
            <w:shd w:val="clear" w:color="auto" w:fill="auto"/>
            <w:vAlign w:val="center"/>
          </w:tcPr>
          <w:p w14:paraId="343F417C">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1038" w:type="pct"/>
            <w:vMerge w:val="restart"/>
            <w:tcBorders>
              <w:tl2br w:val="nil"/>
              <w:tr2bl w:val="nil"/>
            </w:tcBorders>
            <w:shd w:val="clear" w:color="auto" w:fill="auto"/>
            <w:vAlign w:val="center"/>
          </w:tcPr>
          <w:p w14:paraId="6DED04DD">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临床数据中心</w:t>
            </w:r>
          </w:p>
        </w:tc>
        <w:tc>
          <w:tcPr>
            <w:tcW w:w="2629" w:type="pct"/>
            <w:gridSpan w:val="2"/>
            <w:tcBorders>
              <w:tl2br w:val="nil"/>
              <w:tr2bl w:val="nil"/>
            </w:tcBorders>
            <w:shd w:val="clear" w:color="auto" w:fill="auto"/>
            <w:vAlign w:val="center"/>
          </w:tcPr>
          <w:p w14:paraId="6244F63B">
            <w:pPr>
              <w:widowControl/>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临床数据检索系统</w:t>
            </w:r>
          </w:p>
        </w:tc>
        <w:tc>
          <w:tcPr>
            <w:tcW w:w="434" w:type="pct"/>
            <w:tcBorders>
              <w:tl2br w:val="nil"/>
              <w:tr2bl w:val="nil"/>
            </w:tcBorders>
            <w:shd w:val="clear" w:color="auto" w:fill="auto"/>
            <w:vAlign w:val="center"/>
          </w:tcPr>
          <w:p w14:paraId="197D59BD">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51" w:type="pct"/>
            <w:tcBorders>
              <w:tl2br w:val="nil"/>
              <w:tr2bl w:val="nil"/>
            </w:tcBorders>
            <w:shd w:val="clear" w:color="auto" w:fill="auto"/>
            <w:vAlign w:val="center"/>
          </w:tcPr>
          <w:p w14:paraId="44C3CB86">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r>
      <w:tr w14:paraId="2783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46" w:type="pct"/>
            <w:vMerge w:val="continue"/>
            <w:tcBorders>
              <w:tl2br w:val="nil"/>
              <w:tr2bl w:val="nil"/>
            </w:tcBorders>
            <w:vAlign w:val="center"/>
          </w:tcPr>
          <w:p w14:paraId="25C79A99">
            <w:pPr>
              <w:adjustRightInd/>
              <w:jc w:val="center"/>
              <w:rPr>
                <w:rFonts w:hint="eastAsia" w:ascii="仿宋" w:hAnsi="仿宋" w:eastAsia="仿宋" w:cs="仿宋"/>
                <w:color w:val="auto"/>
                <w:kern w:val="0"/>
                <w:sz w:val="24"/>
                <w:szCs w:val="24"/>
                <w:highlight w:val="none"/>
              </w:rPr>
            </w:pPr>
          </w:p>
        </w:tc>
        <w:tc>
          <w:tcPr>
            <w:tcW w:w="1038" w:type="pct"/>
            <w:vMerge w:val="continue"/>
            <w:tcBorders>
              <w:tl2br w:val="nil"/>
              <w:tr2bl w:val="nil"/>
            </w:tcBorders>
            <w:vAlign w:val="center"/>
          </w:tcPr>
          <w:p w14:paraId="7F0FE3DC">
            <w:pPr>
              <w:adjustRightInd/>
              <w:jc w:val="left"/>
              <w:rPr>
                <w:rFonts w:hint="eastAsia" w:ascii="仿宋" w:hAnsi="仿宋" w:eastAsia="仿宋" w:cs="仿宋"/>
                <w:color w:val="auto"/>
                <w:kern w:val="0"/>
                <w:sz w:val="24"/>
                <w:szCs w:val="24"/>
                <w:highlight w:val="none"/>
              </w:rPr>
            </w:pPr>
          </w:p>
        </w:tc>
        <w:tc>
          <w:tcPr>
            <w:tcW w:w="2629" w:type="pct"/>
            <w:gridSpan w:val="2"/>
            <w:tcBorders>
              <w:tl2br w:val="nil"/>
              <w:tr2bl w:val="nil"/>
            </w:tcBorders>
            <w:shd w:val="clear" w:color="auto" w:fill="auto"/>
            <w:vAlign w:val="center"/>
          </w:tcPr>
          <w:p w14:paraId="7267EE7A">
            <w:pPr>
              <w:widowControl/>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临床知识库</w:t>
            </w:r>
          </w:p>
        </w:tc>
        <w:tc>
          <w:tcPr>
            <w:tcW w:w="434" w:type="pct"/>
            <w:tcBorders>
              <w:tl2br w:val="nil"/>
              <w:tr2bl w:val="nil"/>
            </w:tcBorders>
            <w:shd w:val="clear" w:color="auto" w:fill="auto"/>
            <w:vAlign w:val="center"/>
          </w:tcPr>
          <w:p w14:paraId="333B252F">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51" w:type="pct"/>
            <w:tcBorders>
              <w:tl2br w:val="nil"/>
              <w:tr2bl w:val="nil"/>
            </w:tcBorders>
            <w:shd w:val="clear" w:color="auto" w:fill="auto"/>
            <w:vAlign w:val="center"/>
          </w:tcPr>
          <w:p w14:paraId="546F717C">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r>
      <w:tr w14:paraId="0C33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46" w:type="pct"/>
            <w:vMerge w:val="continue"/>
            <w:tcBorders>
              <w:tl2br w:val="nil"/>
              <w:tr2bl w:val="nil"/>
            </w:tcBorders>
            <w:vAlign w:val="center"/>
          </w:tcPr>
          <w:p w14:paraId="299C145C">
            <w:pPr>
              <w:adjustRightInd/>
              <w:jc w:val="center"/>
              <w:rPr>
                <w:rFonts w:hint="eastAsia" w:ascii="仿宋" w:hAnsi="仿宋" w:eastAsia="仿宋" w:cs="仿宋"/>
                <w:color w:val="auto"/>
                <w:kern w:val="0"/>
                <w:sz w:val="24"/>
                <w:szCs w:val="24"/>
                <w:highlight w:val="none"/>
              </w:rPr>
            </w:pPr>
          </w:p>
        </w:tc>
        <w:tc>
          <w:tcPr>
            <w:tcW w:w="1038" w:type="pct"/>
            <w:vMerge w:val="continue"/>
            <w:tcBorders>
              <w:tl2br w:val="nil"/>
              <w:tr2bl w:val="nil"/>
            </w:tcBorders>
            <w:vAlign w:val="center"/>
          </w:tcPr>
          <w:p w14:paraId="6DD18E73">
            <w:pPr>
              <w:adjustRightInd/>
              <w:jc w:val="left"/>
              <w:rPr>
                <w:rFonts w:hint="eastAsia" w:ascii="仿宋" w:hAnsi="仿宋" w:eastAsia="仿宋" w:cs="仿宋"/>
                <w:color w:val="auto"/>
                <w:kern w:val="0"/>
                <w:sz w:val="24"/>
                <w:szCs w:val="24"/>
                <w:highlight w:val="none"/>
              </w:rPr>
            </w:pPr>
          </w:p>
        </w:tc>
        <w:tc>
          <w:tcPr>
            <w:tcW w:w="2629" w:type="pct"/>
            <w:gridSpan w:val="2"/>
            <w:tcBorders>
              <w:tl2br w:val="nil"/>
              <w:tr2bl w:val="nil"/>
            </w:tcBorders>
            <w:shd w:val="clear" w:color="auto" w:fill="auto"/>
            <w:vAlign w:val="center"/>
          </w:tcPr>
          <w:p w14:paraId="7AF7AC9F">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电子病历共享文档库</w:t>
            </w:r>
          </w:p>
        </w:tc>
        <w:tc>
          <w:tcPr>
            <w:tcW w:w="434" w:type="pct"/>
            <w:tcBorders>
              <w:tl2br w:val="nil"/>
              <w:tr2bl w:val="nil"/>
            </w:tcBorders>
            <w:shd w:val="clear" w:color="auto" w:fill="auto"/>
            <w:vAlign w:val="center"/>
          </w:tcPr>
          <w:p w14:paraId="26255769">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51" w:type="pct"/>
            <w:tcBorders>
              <w:tl2br w:val="nil"/>
              <w:tr2bl w:val="nil"/>
            </w:tcBorders>
            <w:shd w:val="clear" w:color="auto" w:fill="auto"/>
            <w:vAlign w:val="center"/>
          </w:tcPr>
          <w:p w14:paraId="051F328C">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r>
      <w:tr w14:paraId="6937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46" w:type="pct"/>
            <w:vMerge w:val="continue"/>
            <w:tcBorders>
              <w:tl2br w:val="nil"/>
              <w:tr2bl w:val="nil"/>
            </w:tcBorders>
            <w:shd w:val="clear" w:color="auto" w:fill="auto"/>
            <w:vAlign w:val="center"/>
          </w:tcPr>
          <w:p w14:paraId="0996C7F0">
            <w:pPr>
              <w:adjustRightInd/>
              <w:jc w:val="center"/>
              <w:rPr>
                <w:rFonts w:hint="eastAsia" w:ascii="仿宋" w:hAnsi="仿宋" w:eastAsia="仿宋" w:cs="仿宋"/>
                <w:color w:val="auto"/>
                <w:kern w:val="0"/>
                <w:sz w:val="24"/>
                <w:szCs w:val="24"/>
                <w:highlight w:val="none"/>
              </w:rPr>
            </w:pPr>
          </w:p>
        </w:tc>
        <w:tc>
          <w:tcPr>
            <w:tcW w:w="1038" w:type="pct"/>
            <w:vMerge w:val="continue"/>
            <w:tcBorders>
              <w:tl2br w:val="nil"/>
              <w:tr2bl w:val="nil"/>
            </w:tcBorders>
            <w:vAlign w:val="center"/>
          </w:tcPr>
          <w:p w14:paraId="0B312C58">
            <w:pPr>
              <w:adjustRightInd/>
              <w:jc w:val="left"/>
              <w:rPr>
                <w:rFonts w:hint="eastAsia" w:ascii="仿宋" w:hAnsi="仿宋" w:eastAsia="仿宋" w:cs="仿宋"/>
                <w:color w:val="auto"/>
                <w:kern w:val="0"/>
                <w:sz w:val="24"/>
                <w:szCs w:val="24"/>
                <w:highlight w:val="none"/>
              </w:rPr>
            </w:pPr>
          </w:p>
        </w:tc>
        <w:tc>
          <w:tcPr>
            <w:tcW w:w="2629" w:type="pct"/>
            <w:gridSpan w:val="2"/>
            <w:tcBorders>
              <w:tl2br w:val="nil"/>
              <w:tr2bl w:val="nil"/>
            </w:tcBorders>
            <w:shd w:val="clear" w:color="auto" w:fill="auto"/>
            <w:vAlign w:val="center"/>
          </w:tcPr>
          <w:p w14:paraId="3E05572B">
            <w:pPr>
              <w:widowControl/>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患者全息视图</w:t>
            </w:r>
          </w:p>
        </w:tc>
        <w:tc>
          <w:tcPr>
            <w:tcW w:w="434" w:type="pct"/>
            <w:tcBorders>
              <w:tl2br w:val="nil"/>
              <w:tr2bl w:val="nil"/>
            </w:tcBorders>
            <w:shd w:val="clear" w:color="auto" w:fill="auto"/>
            <w:vAlign w:val="center"/>
          </w:tcPr>
          <w:p w14:paraId="69DB59A2">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51" w:type="pct"/>
            <w:tcBorders>
              <w:tl2br w:val="nil"/>
              <w:tr2bl w:val="nil"/>
            </w:tcBorders>
            <w:shd w:val="clear" w:color="auto" w:fill="auto"/>
            <w:vAlign w:val="center"/>
          </w:tcPr>
          <w:p w14:paraId="013E7B62">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r>
      <w:tr w14:paraId="314F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46" w:type="pct"/>
            <w:vMerge w:val="restart"/>
            <w:tcBorders>
              <w:tl2br w:val="nil"/>
              <w:tr2bl w:val="nil"/>
            </w:tcBorders>
            <w:shd w:val="clear" w:color="auto" w:fill="auto"/>
            <w:vAlign w:val="center"/>
          </w:tcPr>
          <w:p w14:paraId="0BEFDD5B">
            <w:pPr>
              <w:widowControl/>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038" w:type="pct"/>
            <w:vMerge w:val="restart"/>
            <w:tcBorders>
              <w:bottom w:val="nil"/>
              <w:tl2br w:val="nil"/>
              <w:tr2bl w:val="nil"/>
            </w:tcBorders>
            <w:vAlign w:val="center"/>
          </w:tcPr>
          <w:p w14:paraId="2DECFAA6">
            <w:pPr>
              <w:widowControl/>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运营数据中心</w:t>
            </w:r>
          </w:p>
        </w:tc>
        <w:tc>
          <w:tcPr>
            <w:tcW w:w="2629" w:type="pct"/>
            <w:gridSpan w:val="2"/>
            <w:tcBorders>
              <w:tl2br w:val="nil"/>
              <w:tr2bl w:val="nil"/>
            </w:tcBorders>
            <w:shd w:val="clear" w:color="auto" w:fill="auto"/>
            <w:vAlign w:val="center"/>
          </w:tcPr>
          <w:p w14:paraId="71F4B53D">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综合监管（院领导驾驶舱系统）</w:t>
            </w:r>
          </w:p>
        </w:tc>
        <w:tc>
          <w:tcPr>
            <w:tcW w:w="434" w:type="pct"/>
            <w:tcBorders>
              <w:tl2br w:val="nil"/>
              <w:tr2bl w:val="nil"/>
            </w:tcBorders>
            <w:shd w:val="clear" w:color="auto" w:fill="auto"/>
            <w:vAlign w:val="center"/>
          </w:tcPr>
          <w:p w14:paraId="5C8F539C">
            <w:pPr>
              <w:widowControl/>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451" w:type="pct"/>
            <w:tcBorders>
              <w:tl2br w:val="nil"/>
              <w:tr2bl w:val="nil"/>
            </w:tcBorders>
            <w:shd w:val="clear" w:color="auto" w:fill="auto"/>
            <w:vAlign w:val="center"/>
          </w:tcPr>
          <w:p w14:paraId="0829225B">
            <w:pPr>
              <w:widowControl/>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套</w:t>
            </w:r>
          </w:p>
        </w:tc>
      </w:tr>
      <w:tr w14:paraId="446C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446" w:type="pct"/>
            <w:vMerge w:val="continue"/>
            <w:tcBorders>
              <w:bottom w:val="nil"/>
              <w:tl2br w:val="nil"/>
              <w:tr2bl w:val="nil"/>
            </w:tcBorders>
            <w:shd w:val="clear" w:color="auto" w:fill="auto"/>
            <w:vAlign w:val="center"/>
          </w:tcPr>
          <w:p w14:paraId="7CA2253C">
            <w:pPr>
              <w:widowControl/>
              <w:adjustRightInd/>
              <w:spacing w:line="360" w:lineRule="auto"/>
              <w:jc w:val="center"/>
              <w:rPr>
                <w:rFonts w:hint="eastAsia" w:ascii="仿宋" w:hAnsi="仿宋" w:eastAsia="仿宋" w:cs="仿宋"/>
                <w:color w:val="auto"/>
                <w:sz w:val="24"/>
                <w:szCs w:val="24"/>
                <w:highlight w:val="none"/>
              </w:rPr>
            </w:pPr>
          </w:p>
        </w:tc>
        <w:tc>
          <w:tcPr>
            <w:tcW w:w="1038" w:type="pct"/>
            <w:vMerge w:val="continue"/>
            <w:tcBorders>
              <w:top w:val="nil"/>
              <w:tl2br w:val="nil"/>
              <w:tr2bl w:val="nil"/>
            </w:tcBorders>
            <w:vAlign w:val="center"/>
          </w:tcPr>
          <w:p w14:paraId="20822D41">
            <w:pPr>
              <w:widowControl/>
              <w:adjustRightInd/>
              <w:spacing w:line="360" w:lineRule="auto"/>
              <w:jc w:val="center"/>
              <w:rPr>
                <w:rFonts w:hint="eastAsia" w:ascii="仿宋" w:hAnsi="仿宋" w:eastAsia="仿宋" w:cs="仿宋"/>
                <w:color w:val="auto"/>
                <w:sz w:val="24"/>
                <w:szCs w:val="24"/>
                <w:highlight w:val="none"/>
                <w:lang w:bidi="ar"/>
              </w:rPr>
            </w:pPr>
          </w:p>
        </w:tc>
        <w:tc>
          <w:tcPr>
            <w:tcW w:w="2629" w:type="pct"/>
            <w:gridSpan w:val="2"/>
            <w:tcBorders>
              <w:tl2br w:val="nil"/>
              <w:tr2bl w:val="nil"/>
            </w:tcBorders>
            <w:shd w:val="clear" w:color="auto" w:fill="auto"/>
            <w:vAlign w:val="center"/>
          </w:tcPr>
          <w:p w14:paraId="4D9E18E4">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移动端BI</w:t>
            </w:r>
          </w:p>
        </w:tc>
        <w:tc>
          <w:tcPr>
            <w:tcW w:w="434" w:type="pct"/>
            <w:tcBorders>
              <w:tl2br w:val="nil"/>
              <w:tr2bl w:val="nil"/>
            </w:tcBorders>
            <w:shd w:val="clear" w:color="auto" w:fill="auto"/>
            <w:vAlign w:val="center"/>
          </w:tcPr>
          <w:p w14:paraId="4C28B606">
            <w:pPr>
              <w:widowControl/>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451" w:type="pct"/>
            <w:tcBorders>
              <w:tl2br w:val="nil"/>
              <w:tr2bl w:val="nil"/>
            </w:tcBorders>
            <w:shd w:val="clear" w:color="auto" w:fill="auto"/>
            <w:vAlign w:val="center"/>
          </w:tcPr>
          <w:p w14:paraId="63CC230B">
            <w:pPr>
              <w:widowControl/>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套</w:t>
            </w:r>
          </w:p>
        </w:tc>
      </w:tr>
      <w:tr w14:paraId="1BCE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46" w:type="pct"/>
            <w:vMerge w:val="restart"/>
            <w:tcBorders>
              <w:tl2br w:val="nil"/>
              <w:tr2bl w:val="nil"/>
            </w:tcBorders>
            <w:shd w:val="clear" w:color="auto" w:fill="auto"/>
            <w:vAlign w:val="center"/>
          </w:tcPr>
          <w:p w14:paraId="3D1C2972">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w:t>
            </w:r>
          </w:p>
        </w:tc>
        <w:tc>
          <w:tcPr>
            <w:tcW w:w="1038" w:type="pct"/>
            <w:vMerge w:val="restart"/>
            <w:tcBorders>
              <w:tl2br w:val="nil"/>
              <w:tr2bl w:val="nil"/>
            </w:tcBorders>
            <w:shd w:val="clear" w:color="auto" w:fill="auto"/>
            <w:vAlign w:val="center"/>
          </w:tcPr>
          <w:p w14:paraId="73FFD42C">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互联互通三级测评配套系统</w:t>
            </w:r>
          </w:p>
        </w:tc>
        <w:tc>
          <w:tcPr>
            <w:tcW w:w="2629" w:type="pct"/>
            <w:gridSpan w:val="2"/>
            <w:tcBorders>
              <w:tl2br w:val="nil"/>
              <w:tr2bl w:val="nil"/>
            </w:tcBorders>
            <w:shd w:val="clear" w:color="auto" w:fill="auto"/>
            <w:vAlign w:val="center"/>
          </w:tcPr>
          <w:p w14:paraId="7844FC4A">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急诊临床信息系统</w:t>
            </w:r>
          </w:p>
        </w:tc>
        <w:tc>
          <w:tcPr>
            <w:tcW w:w="434" w:type="pct"/>
            <w:tcBorders>
              <w:tl2br w:val="nil"/>
              <w:tr2bl w:val="nil"/>
            </w:tcBorders>
            <w:shd w:val="clear" w:color="auto" w:fill="auto"/>
            <w:vAlign w:val="center"/>
          </w:tcPr>
          <w:p w14:paraId="11F66534">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51" w:type="pct"/>
            <w:tcBorders>
              <w:tl2br w:val="nil"/>
              <w:tr2bl w:val="nil"/>
            </w:tcBorders>
            <w:shd w:val="clear" w:color="auto" w:fill="auto"/>
            <w:vAlign w:val="center"/>
          </w:tcPr>
          <w:p w14:paraId="315B231D">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r>
      <w:tr w14:paraId="3939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46" w:type="pct"/>
            <w:vMerge w:val="continue"/>
            <w:tcBorders>
              <w:tl2br w:val="nil"/>
              <w:tr2bl w:val="nil"/>
            </w:tcBorders>
            <w:shd w:val="clear" w:color="auto" w:fill="auto"/>
            <w:vAlign w:val="center"/>
          </w:tcPr>
          <w:p w14:paraId="28CBA562">
            <w:pPr>
              <w:adjustRightInd/>
              <w:jc w:val="center"/>
              <w:rPr>
                <w:rFonts w:hint="eastAsia" w:ascii="仿宋" w:hAnsi="仿宋" w:eastAsia="仿宋" w:cs="仿宋"/>
                <w:color w:val="auto"/>
                <w:kern w:val="0"/>
                <w:sz w:val="24"/>
                <w:szCs w:val="24"/>
                <w:highlight w:val="none"/>
              </w:rPr>
            </w:pPr>
          </w:p>
        </w:tc>
        <w:tc>
          <w:tcPr>
            <w:tcW w:w="1038" w:type="pct"/>
            <w:vMerge w:val="continue"/>
            <w:tcBorders>
              <w:tl2br w:val="nil"/>
              <w:tr2bl w:val="nil"/>
            </w:tcBorders>
            <w:vAlign w:val="center"/>
          </w:tcPr>
          <w:p w14:paraId="3F440758">
            <w:pPr>
              <w:adjustRightInd/>
              <w:jc w:val="left"/>
              <w:rPr>
                <w:rFonts w:hint="eastAsia" w:ascii="仿宋" w:hAnsi="仿宋" w:eastAsia="仿宋" w:cs="仿宋"/>
                <w:color w:val="auto"/>
                <w:kern w:val="0"/>
                <w:sz w:val="24"/>
                <w:szCs w:val="24"/>
                <w:highlight w:val="none"/>
              </w:rPr>
            </w:pPr>
          </w:p>
        </w:tc>
        <w:tc>
          <w:tcPr>
            <w:tcW w:w="2629" w:type="pct"/>
            <w:gridSpan w:val="2"/>
            <w:tcBorders>
              <w:tl2br w:val="nil"/>
              <w:tr2bl w:val="nil"/>
            </w:tcBorders>
            <w:shd w:val="clear" w:color="auto" w:fill="auto"/>
            <w:vAlign w:val="center"/>
          </w:tcPr>
          <w:p w14:paraId="032B6133">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病理管理系统</w:t>
            </w:r>
          </w:p>
        </w:tc>
        <w:tc>
          <w:tcPr>
            <w:tcW w:w="434" w:type="pct"/>
            <w:tcBorders>
              <w:tl2br w:val="nil"/>
              <w:tr2bl w:val="nil"/>
            </w:tcBorders>
            <w:shd w:val="clear" w:color="auto" w:fill="auto"/>
            <w:vAlign w:val="center"/>
          </w:tcPr>
          <w:p w14:paraId="10ADEC19">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51" w:type="pct"/>
            <w:tcBorders>
              <w:tl2br w:val="nil"/>
              <w:tr2bl w:val="nil"/>
            </w:tcBorders>
            <w:shd w:val="clear" w:color="auto" w:fill="auto"/>
            <w:vAlign w:val="center"/>
          </w:tcPr>
          <w:p w14:paraId="53180BB8">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r>
      <w:tr w14:paraId="2637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446" w:type="pct"/>
            <w:vMerge w:val="restart"/>
            <w:tcBorders>
              <w:tl2br w:val="nil"/>
              <w:tr2bl w:val="nil"/>
            </w:tcBorders>
            <w:shd w:val="clear" w:color="auto" w:fill="auto"/>
            <w:vAlign w:val="center"/>
          </w:tcPr>
          <w:p w14:paraId="0B31A14B">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w:t>
            </w:r>
          </w:p>
        </w:tc>
        <w:tc>
          <w:tcPr>
            <w:tcW w:w="1038" w:type="pct"/>
            <w:vMerge w:val="restart"/>
            <w:tcBorders>
              <w:bottom w:val="nil"/>
              <w:tl2br w:val="nil"/>
              <w:tr2bl w:val="nil"/>
            </w:tcBorders>
            <w:vAlign w:val="center"/>
          </w:tcPr>
          <w:p w14:paraId="784F2CEA">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互联互通三级评级服务</w:t>
            </w:r>
          </w:p>
        </w:tc>
        <w:tc>
          <w:tcPr>
            <w:tcW w:w="2629" w:type="pct"/>
            <w:gridSpan w:val="2"/>
            <w:tcBorders>
              <w:tl2br w:val="nil"/>
              <w:tr2bl w:val="nil"/>
            </w:tcBorders>
            <w:shd w:val="clear" w:color="auto" w:fill="auto"/>
            <w:vAlign w:val="center"/>
          </w:tcPr>
          <w:p w14:paraId="3F3637FD">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互联互通标准化评审数据质量评价工具</w:t>
            </w:r>
          </w:p>
        </w:tc>
        <w:tc>
          <w:tcPr>
            <w:tcW w:w="434" w:type="pct"/>
            <w:tcBorders>
              <w:tl2br w:val="nil"/>
              <w:tr2bl w:val="nil"/>
            </w:tcBorders>
            <w:shd w:val="clear" w:color="auto" w:fill="auto"/>
            <w:vAlign w:val="center"/>
          </w:tcPr>
          <w:p w14:paraId="06AC4F9C">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51" w:type="pct"/>
            <w:tcBorders>
              <w:tl2br w:val="nil"/>
              <w:tr2bl w:val="nil"/>
            </w:tcBorders>
            <w:shd w:val="clear" w:color="auto" w:fill="auto"/>
            <w:vAlign w:val="center"/>
          </w:tcPr>
          <w:p w14:paraId="588B7AE7">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r>
      <w:tr w14:paraId="008D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46" w:type="pct"/>
            <w:vMerge w:val="continue"/>
            <w:tcBorders>
              <w:tl2br w:val="nil"/>
              <w:tr2bl w:val="nil"/>
            </w:tcBorders>
            <w:shd w:val="clear" w:color="auto" w:fill="auto"/>
            <w:vAlign w:val="center"/>
          </w:tcPr>
          <w:p w14:paraId="35EE84C8">
            <w:pPr>
              <w:adjustRightInd/>
              <w:jc w:val="center"/>
              <w:rPr>
                <w:rFonts w:hint="eastAsia" w:ascii="仿宋" w:hAnsi="仿宋" w:eastAsia="仿宋" w:cs="仿宋"/>
                <w:color w:val="auto"/>
                <w:kern w:val="0"/>
                <w:sz w:val="24"/>
                <w:szCs w:val="24"/>
                <w:highlight w:val="none"/>
              </w:rPr>
            </w:pPr>
          </w:p>
        </w:tc>
        <w:tc>
          <w:tcPr>
            <w:tcW w:w="1038" w:type="pct"/>
            <w:vMerge w:val="continue"/>
            <w:tcBorders>
              <w:tl2br w:val="nil"/>
              <w:tr2bl w:val="nil"/>
            </w:tcBorders>
            <w:vAlign w:val="center"/>
          </w:tcPr>
          <w:p w14:paraId="0226C5C1">
            <w:pPr>
              <w:adjustRightInd/>
              <w:jc w:val="center"/>
              <w:rPr>
                <w:rFonts w:hint="eastAsia" w:ascii="仿宋" w:hAnsi="仿宋" w:eastAsia="仿宋" w:cs="仿宋"/>
                <w:color w:val="auto"/>
                <w:kern w:val="0"/>
                <w:sz w:val="24"/>
                <w:szCs w:val="24"/>
                <w:highlight w:val="none"/>
              </w:rPr>
            </w:pPr>
          </w:p>
        </w:tc>
        <w:tc>
          <w:tcPr>
            <w:tcW w:w="2629" w:type="pct"/>
            <w:gridSpan w:val="2"/>
            <w:tcBorders>
              <w:tl2br w:val="nil"/>
              <w:tr2bl w:val="nil"/>
            </w:tcBorders>
            <w:shd w:val="clear" w:color="auto" w:fill="auto"/>
            <w:vAlign w:val="center"/>
          </w:tcPr>
          <w:p w14:paraId="1E786E80">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互联互通评审咨询服务</w:t>
            </w:r>
          </w:p>
        </w:tc>
        <w:tc>
          <w:tcPr>
            <w:tcW w:w="434" w:type="pct"/>
            <w:tcBorders>
              <w:tl2br w:val="nil"/>
              <w:tr2bl w:val="nil"/>
            </w:tcBorders>
            <w:shd w:val="clear" w:color="auto" w:fill="auto"/>
            <w:vAlign w:val="center"/>
          </w:tcPr>
          <w:p w14:paraId="08E2F395">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51" w:type="pct"/>
            <w:tcBorders>
              <w:tl2br w:val="nil"/>
              <w:tr2bl w:val="nil"/>
            </w:tcBorders>
            <w:shd w:val="clear" w:color="auto" w:fill="auto"/>
            <w:vAlign w:val="center"/>
          </w:tcPr>
          <w:p w14:paraId="748EDFAB">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r>
    </w:tbl>
    <w:p w14:paraId="09FD8FC3">
      <w:pPr>
        <w:keepNext/>
        <w:keepLines/>
        <w:spacing w:line="440" w:lineRule="atLeast"/>
        <w:jc w:val="left"/>
        <w:outlineLvl w:val="1"/>
        <w:rPr>
          <w:rFonts w:hint="eastAsia" w:ascii="仿宋" w:hAnsi="仿宋" w:eastAsia="仿宋" w:cs="仿宋"/>
          <w:b/>
          <w:bCs/>
          <w:color w:val="auto"/>
          <w:sz w:val="24"/>
          <w:szCs w:val="24"/>
          <w:highlight w:val="none"/>
        </w:rPr>
      </w:pPr>
    </w:p>
    <w:p w14:paraId="25397686">
      <w:pPr>
        <w:keepNext/>
        <w:keepLines/>
        <w:spacing w:line="440" w:lineRule="atLeast"/>
        <w:jc w:val="left"/>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1.建设需求</w:t>
      </w:r>
    </w:p>
    <w:p w14:paraId="68873D2A">
      <w:pPr>
        <w:keepNext/>
        <w:keepLines/>
        <w:spacing w:line="440" w:lineRule="atLeast"/>
        <w:jc w:val="left"/>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1.1总体需求</w:t>
      </w:r>
    </w:p>
    <w:p w14:paraId="461521E1">
      <w:pPr>
        <w:keepNext/>
        <w:keepLines/>
        <w:pageBreakBefore w:val="0"/>
        <w:kinsoku/>
        <w:wordWrap/>
        <w:overflowPunct/>
        <w:topLinePunct w:val="0"/>
        <w:autoSpaceDE/>
        <w:autoSpaceDN/>
        <w:bidi w:val="0"/>
        <w:adjustRightInd/>
        <w:snapToGrid/>
        <w:spacing w:line="440" w:lineRule="atLeast"/>
        <w:ind w:firstLine="482" w:firstLineChars="200"/>
        <w:jc w:val="left"/>
        <w:textAlignment w:val="auto"/>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1.1.1建设背景</w:t>
      </w:r>
    </w:p>
    <w:p w14:paraId="25F92011">
      <w:pPr>
        <w:pageBreakBefore w:val="0"/>
        <w:widowControl/>
        <w:kinsoku/>
        <w:wordWrap/>
        <w:overflowPunct/>
        <w:topLinePunct w:val="0"/>
        <w:autoSpaceDE/>
        <w:autoSpaceDN/>
        <w:bidi w:val="0"/>
        <w:adjustRightInd/>
        <w:snapToGrid/>
        <w:spacing w:line="440" w:lineRule="atLeas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国家医疗健康信息医院信息互联互通标准化成熟度测评方案》（2020年新版）从数据资源标准化建设、互联互通标准化建设、基础设施建设和互联互通应用效果四个方面进行综合测评，评定医院信息互联互通标准化成熟度。</w:t>
      </w:r>
      <w:r>
        <w:rPr>
          <w:rFonts w:hint="eastAsia" w:ascii="仿宋" w:hAnsi="仿宋" w:eastAsia="仿宋" w:cs="仿宋"/>
          <w:bCs/>
          <w:color w:val="auto"/>
          <w:sz w:val="24"/>
          <w:szCs w:val="24"/>
          <w:highlight w:val="none"/>
        </w:rPr>
        <w:t>以测促用、以测促改、以测促建，推进医疗卫生服务与管理系统的标准化建设，促进业务协同，为医疗卫生机构之间标准化互联互通和信息共享</w:t>
      </w:r>
      <w:r>
        <w:rPr>
          <w:rFonts w:hint="eastAsia" w:ascii="仿宋" w:hAnsi="仿宋" w:eastAsia="仿宋" w:cs="仿宋"/>
          <w:color w:val="auto"/>
          <w:sz w:val="24"/>
          <w:szCs w:val="24"/>
          <w:highlight w:val="none"/>
        </w:rPr>
        <w:t>提供技术保障。</w:t>
      </w:r>
    </w:p>
    <w:p w14:paraId="21A52ED3">
      <w:pPr>
        <w:keepNext/>
        <w:keepLines/>
        <w:pageBreakBefore w:val="0"/>
        <w:kinsoku/>
        <w:wordWrap/>
        <w:overflowPunct/>
        <w:topLinePunct w:val="0"/>
        <w:autoSpaceDE/>
        <w:autoSpaceDN/>
        <w:bidi w:val="0"/>
        <w:adjustRightInd/>
        <w:snapToGrid/>
        <w:spacing w:line="440" w:lineRule="atLeast"/>
        <w:ind w:firstLine="482" w:firstLineChars="200"/>
        <w:jc w:val="left"/>
        <w:textAlignment w:val="auto"/>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1.1.2建设目标</w:t>
      </w:r>
    </w:p>
    <w:p w14:paraId="1A7AB37E">
      <w:pPr>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顶层架构设计是在遵循国际、国家卫健委、省卫健委发布的相关标准和规范基础上，按照“整体规划，急用先行，分步实施”的原则，充分借鉴国内先进医院信息化建设成果与经验，按照“智慧医疗”的理念和“国内先进、省内领先”的目标，建立统一的数据、技术和管理标准，项目建设满足医院未来5-8年发展要求</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本项目的目标是通过</w:t>
      </w:r>
      <w:r>
        <w:rPr>
          <w:rFonts w:hint="eastAsia" w:ascii="仿宋" w:hAnsi="仿宋" w:eastAsia="仿宋" w:cs="仿宋"/>
          <w:color w:val="auto"/>
          <w:sz w:val="24"/>
          <w:szCs w:val="24"/>
          <w:highlight w:val="none"/>
        </w:rPr>
        <w:t>医院互联互通三级评测，</w:t>
      </w:r>
      <w:r>
        <w:rPr>
          <w:rFonts w:hint="eastAsia" w:ascii="仿宋" w:hAnsi="仿宋" w:eastAsia="仿宋" w:cs="仿宋"/>
          <w:color w:val="auto"/>
          <w:kern w:val="0"/>
          <w:sz w:val="24"/>
          <w:szCs w:val="24"/>
          <w:highlight w:val="none"/>
        </w:rPr>
        <w:t>依照</w:t>
      </w:r>
      <w:r>
        <w:rPr>
          <w:rFonts w:hint="eastAsia" w:ascii="仿宋" w:hAnsi="仿宋" w:eastAsia="仿宋" w:cs="仿宋"/>
          <w:color w:val="auto"/>
          <w:sz w:val="24"/>
          <w:szCs w:val="24"/>
          <w:highlight w:val="none"/>
        </w:rPr>
        <w:t>互联互通标准化成熟度测评</w:t>
      </w:r>
      <w:r>
        <w:rPr>
          <w:rFonts w:hint="eastAsia" w:ascii="仿宋" w:hAnsi="仿宋" w:eastAsia="仿宋" w:cs="仿宋"/>
          <w:color w:val="auto"/>
          <w:kern w:val="0"/>
          <w:sz w:val="24"/>
          <w:szCs w:val="24"/>
          <w:highlight w:val="none"/>
        </w:rPr>
        <w:t>标准基本实现互联互通与资源共享，</w:t>
      </w:r>
      <w:r>
        <w:rPr>
          <w:rFonts w:hint="eastAsia" w:ascii="仿宋" w:hAnsi="仿宋" w:eastAsia="仿宋" w:cs="仿宋"/>
          <w:color w:val="auto"/>
          <w:sz w:val="24"/>
          <w:szCs w:val="24"/>
          <w:highlight w:val="none"/>
        </w:rPr>
        <w:t>解决信息数据复杂且分散、缺乏有效整合的孤岛问题，</w:t>
      </w:r>
      <w:r>
        <w:rPr>
          <w:rFonts w:hint="eastAsia" w:ascii="仿宋" w:hAnsi="仿宋" w:eastAsia="仿宋" w:cs="仿宋"/>
          <w:color w:val="auto"/>
          <w:kern w:val="0"/>
          <w:sz w:val="24"/>
          <w:szCs w:val="24"/>
          <w:highlight w:val="none"/>
        </w:rPr>
        <w:t>促进医院医疗业务的闭环管理；减轻临床人员的工作负担，为医院的运营、管理、绩效、临床等各方面提供支持，提高整个医院的工作效率及医疗质量，进一步为管理者提供决策依据，初步实现对医院的精细化管理。</w:t>
      </w:r>
    </w:p>
    <w:p w14:paraId="4DDFD97B">
      <w:pPr>
        <w:keepNext/>
        <w:keepLines/>
        <w:pageBreakBefore w:val="0"/>
        <w:kinsoku/>
        <w:wordWrap/>
        <w:overflowPunct/>
        <w:topLinePunct w:val="0"/>
        <w:autoSpaceDE/>
        <w:autoSpaceDN/>
        <w:bidi w:val="0"/>
        <w:adjustRightInd/>
        <w:snapToGrid/>
        <w:spacing w:line="440" w:lineRule="atLeast"/>
        <w:jc w:val="left"/>
        <w:textAlignment w:val="auto"/>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1.2.总体技术要求</w:t>
      </w:r>
    </w:p>
    <w:p w14:paraId="29BBA90E">
      <w:pPr>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1、系统建立必须符合业界的统一标准，遵循HL7 RIM CDA, HL7数据交换、ICD-9、ICD-10、SNOMED、IHE等规范和标准，以及与信息相关的国家标准和规范。</w:t>
      </w:r>
    </w:p>
    <w:p w14:paraId="1E7A192F">
      <w:pPr>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仿宋" w:hAnsi="仿宋" w:eastAsia="仿宋" w:cs="仿宋"/>
          <w:b/>
          <w:bCs/>
          <w:color w:val="auto"/>
          <w:kern w:val="0"/>
          <w:sz w:val="24"/>
          <w:szCs w:val="24"/>
          <w:highlight w:val="none"/>
        </w:rPr>
      </w:pPr>
      <w:r>
        <w:rPr>
          <w:rFonts w:hint="eastAsia" w:ascii="仿宋" w:hAnsi="仿宋" w:eastAsia="仿宋" w:cs="仿宋"/>
          <w:color w:val="auto"/>
          <w:kern w:val="0"/>
          <w:sz w:val="24"/>
          <w:szCs w:val="24"/>
          <w:highlight w:val="none"/>
        </w:rPr>
        <w:t>2、</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投标方必须承诺，必须结合临床、临床管理应用场景，配套EMR、HIS系统进行流程与页面的改造，确保原始数据的可及性和准确性，方便医生通过电子病历系统快速通过统一视图查阅临床诊疗数，所涉及到的EMR、HIS系统的对接改造费用，由投标人与第三方公司自行协商解决。</w:t>
      </w:r>
      <w:r>
        <w:rPr>
          <w:rFonts w:hint="eastAsia" w:ascii="仿宋" w:hAnsi="仿宋" w:eastAsia="仿宋" w:cs="仿宋"/>
          <w:b/>
          <w:bCs/>
          <w:color w:val="auto"/>
          <w:kern w:val="0"/>
          <w:sz w:val="24"/>
          <w:szCs w:val="24"/>
          <w:highlight w:val="none"/>
        </w:rPr>
        <w:t>（投标人须提供承诺函并加盖公章）。</w:t>
      </w:r>
    </w:p>
    <w:p w14:paraId="1CAB47EA">
      <w:pPr>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3、数据中心需以分布式部署文件方式进行数据存储，以便提供高性能、不停机扩展节点应用，不允许存在原先离线数据的概念。</w:t>
      </w:r>
    </w:p>
    <w:p w14:paraId="245E69DA">
      <w:pPr>
        <w:pageBreakBefore w:val="0"/>
        <w:widowControl/>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4、实现多种维度可直观展示的患者诊疗信息集成视图，并能够基于我院电子病历系统中产生的各项数据构建患者诊疗视图，真正为临床提供最人性化的数据服务，提升临床应用的体验感。</w:t>
      </w:r>
    </w:p>
    <w:p w14:paraId="5144EE7A">
      <w:pPr>
        <w:pageBreakBefore w:val="0"/>
        <w:widowControl/>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5、建立标准的临床数据元、数据集，保障数据中心数据的标准化存储处理，以支持医院信息化长远发展。</w:t>
      </w:r>
    </w:p>
    <w:p w14:paraId="593736F3">
      <w:pPr>
        <w:pageBreakBefore w:val="0"/>
        <w:widowControl/>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6、系统性能要求：在各类服务器及网络环境运行稳定状态良好的前提下，临床数据中心系统功能打开操作响应时间应及时。</w:t>
      </w:r>
    </w:p>
    <w:p w14:paraId="7AFD7F64">
      <w:pPr>
        <w:pageBreakBefore w:val="0"/>
        <w:widowControl/>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7、为保证项目信息互联互通的效果，投标人所提供的医院信息集成平台产品须符合《国家医疗健康信息医院信息互联互通标准化成熟度测评方案（2020年版）》的标准。</w:t>
      </w:r>
    </w:p>
    <w:p w14:paraId="0AA2244E">
      <w:pPr>
        <w:keepNext/>
        <w:keepLines/>
        <w:pageBreakBefore w:val="0"/>
        <w:kinsoku/>
        <w:wordWrap/>
        <w:overflowPunct/>
        <w:topLinePunct w:val="0"/>
        <w:autoSpaceDE/>
        <w:autoSpaceDN/>
        <w:bidi w:val="0"/>
        <w:spacing w:line="440" w:lineRule="exact"/>
        <w:jc w:val="left"/>
        <w:textAlignment w:val="auto"/>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1.3项目遵循的政策法规</w:t>
      </w:r>
    </w:p>
    <w:p w14:paraId="53E0A714">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(1)《“健康中国2030”规划纲要》</w:t>
      </w:r>
    </w:p>
    <w:p w14:paraId="65C80264">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(2)《国民经济和社会发展第十四个五年规划纲要》</w:t>
      </w:r>
    </w:p>
    <w:p w14:paraId="711435E5">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(3)《“十四五”卫生与健康规划》</w:t>
      </w:r>
    </w:p>
    <w:p w14:paraId="15FAE206">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(4)《信息安全等级保护管理办法》(公通字[2007]43号)；</w:t>
      </w:r>
    </w:p>
    <w:p w14:paraId="4A66454C">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(5)中华人民共和国计算机信息系统安全保护条例(国务院147号令)；</w:t>
      </w:r>
    </w:p>
    <w:p w14:paraId="2A49ECF8">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(6)关于信息安全等级保护工作的实施意见(公通字[2004]66号)；</w:t>
      </w:r>
    </w:p>
    <w:p w14:paraId="3DC5F5E2">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(7)《关于促进“互联网+医疗健康”发展的意见》；</w:t>
      </w:r>
    </w:p>
    <w:p w14:paraId="62ACCF30">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(8)《全国医院信息化建设标准与规范（试行）》；</w:t>
      </w:r>
    </w:p>
    <w:p w14:paraId="193142FD">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(9)《卫生系统电子认证服务规范》；</w:t>
      </w:r>
    </w:p>
    <w:p w14:paraId="4355FE8E">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)《电子病历系统功能应用水平分级评价方法及标准》2018年；</w:t>
      </w:r>
    </w:p>
    <w:p w14:paraId="367F329E">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)医院信息互联互通标准化成熟度测评相关标准（2020年）；</w:t>
      </w:r>
    </w:p>
    <w:p w14:paraId="3CB56FE0">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)《基于电子病历的医院信息平台建设技术解决方案（1.0）》 </w:t>
      </w:r>
    </w:p>
    <w:p w14:paraId="66CD282B">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)《医疗环境电子数据交换标准HL7v3.0》</w:t>
      </w:r>
    </w:p>
    <w:p w14:paraId="072C5AA3">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)《疾病和有关问题的国际统计分类》（ICD-10）</w:t>
      </w:r>
    </w:p>
    <w:p w14:paraId="7FB2350E">
      <w:pPr>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)《国际疾病分类-手术操作编码》（ICD-9-CM-3）</w:t>
      </w:r>
    </w:p>
    <w:p w14:paraId="0B7138ED">
      <w:pPr>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)《医院智慧服务分级评估标准体系（试行）》</w:t>
      </w:r>
    </w:p>
    <w:p w14:paraId="2ADE5815">
      <w:pPr>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)《电子病历基本架构和数据标准 》</w:t>
      </w:r>
    </w:p>
    <w:p w14:paraId="0A9EA640">
      <w:pPr>
        <w:keepNext/>
        <w:keepLines/>
        <w:pageBreakBefore w:val="0"/>
        <w:kinsoku/>
        <w:wordWrap/>
        <w:overflowPunct/>
        <w:topLinePunct w:val="0"/>
        <w:autoSpaceDE/>
        <w:autoSpaceDN/>
        <w:bidi w:val="0"/>
        <w:spacing w:line="440" w:lineRule="exact"/>
        <w:jc w:val="left"/>
        <w:textAlignment w:val="auto"/>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1.4项目建设原则</w:t>
      </w:r>
    </w:p>
    <w:p w14:paraId="5482ECD0">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系统建设要基于医院现状，本着先进、实用的原则，利用先进的计算机、网络技术和医学信息处理技术，结合现代化的医院管理模式，为医院提供全面的、开放的、高效的、安全的、可持续扩展的医院基础信息系统平台。</w:t>
      </w:r>
    </w:p>
    <w:p w14:paraId="6C416CF4">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1.标准化和开放性</w:t>
      </w:r>
    </w:p>
    <w:p w14:paraId="0026ECDB">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的标准化和开放性是必须遵循的，要实现信息通讯与共享，须规范信息技术标准。采用业务内标准的技术体系和设计方法，使系统具备与各种层次的平台的无关性和兼容性。在使用新技术的同时，充分考虑技术的国际标准化，严格按照国际国内相关标准设计实施。</w:t>
      </w:r>
    </w:p>
    <w:p w14:paraId="4575A6B6">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2.先进性和超前性</w:t>
      </w:r>
    </w:p>
    <w:p w14:paraId="31B3DC2A">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实用可靠的前提下还要具有可扩展性，避免不必要的浪费。技术上立足于长远发展，坚持选用开放性系统，使系统和将来的新技术能平滑过渡。采用先进的体系结构和技术发展的主流产品，确保整个系统高效运行。</w:t>
      </w:r>
    </w:p>
    <w:p w14:paraId="2728D349">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3.实用性和方便性</w:t>
      </w:r>
    </w:p>
    <w:p w14:paraId="5C94DB50">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系统建设要以满足需求为首要目标，采用稳定可靠的成熟技术，保证系统长期安全运行。确保系统应用后能为各级业务和管理节点提供智能化的网络信息环境，以提高管理水平和工作的效率。</w:t>
      </w:r>
    </w:p>
    <w:p w14:paraId="57E04ABD">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4.安全性和保密性</w:t>
      </w:r>
    </w:p>
    <w:p w14:paraId="3714151F">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遵循有关信息安全标准，具有切实可行的安全保护和保密措施，确保数据永久安全。系统应提供多方式、多层次、多渠道的安全保密措施，防止各种形式与途径的非法侵入和机密信息的泄露，保证系统中数据的安全。</w:t>
      </w:r>
    </w:p>
    <w:p w14:paraId="156DCE05">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5.稳定性和可靠性</w:t>
      </w:r>
    </w:p>
    <w:p w14:paraId="7F619F9B">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建成并投入使用后，将成为支撑系统平稳运转的运行平台和开发新业务系统的基础平台。因此系统必须在成本可以接受的条件下，从系统结构、设计方案、设备选型、厂商的技术服务、维护响应能力以及备件供应能力等方面考虑，使系统故障发生的可能性尽可能少，对各种可能出现的紧急情况有可行的应急预案。</w:t>
      </w:r>
    </w:p>
    <w:p w14:paraId="3DA01F44">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6.跨平台性和可移植性</w:t>
      </w:r>
    </w:p>
    <w:p w14:paraId="4181E563">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由于系统建设的复杂性要求，在设计时，要充分考虑系统的跨平台、跨系统、跨应用、跨地区性和在各种操作系统、不同的中间件平台上可移植。</w:t>
      </w:r>
    </w:p>
    <w:p w14:paraId="3DC3FDFC">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7.可维护性和可扩展性</w:t>
      </w:r>
    </w:p>
    <w:p w14:paraId="35B33FEA">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要保证系统能在各种操作系统和不同的中间件平台上移植，实现信息标准统一，以便日后的系统维护。在数据中心设计过程中，充分考虑在未来若干年内的发展趋势，具有一定的前瞻性，并充分考虑了系统升级、扩容、扩充和维护的可行性。</w:t>
      </w:r>
    </w:p>
    <w:p w14:paraId="6EC6DD6E">
      <w:pPr>
        <w:pageBreakBefore w:val="0"/>
        <w:kinsoku/>
        <w:wordWrap/>
        <w:overflowPunct/>
        <w:topLinePunct w:val="0"/>
        <w:autoSpaceDE/>
        <w:autoSpaceDN/>
        <w:bidi w:val="0"/>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1.4建设内容</w:t>
      </w:r>
    </w:p>
    <w:p w14:paraId="569ED96B">
      <w:pPr>
        <w:pageBreakBefore w:val="0"/>
        <w:kinsoku/>
        <w:wordWrap/>
        <w:overflowPunct/>
        <w:topLinePunct w:val="0"/>
        <w:autoSpaceDE/>
        <w:autoSpaceDN/>
        <w:bidi w:val="0"/>
        <w:adjustRightInd/>
        <w:spacing w:line="440" w:lineRule="exact"/>
        <w:ind w:right="65"/>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1.4.1医院信息集成平台</w:t>
      </w:r>
    </w:p>
    <w:p w14:paraId="29C69ED8">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依据《基于电子病历的医院信息平台技术规范》（2014版）《基于电子病历的医院信息平台建设技术解决方案（1.0版）》（2011版）等规范要求，通过医院服务总线实现各医院应用系统之间的互联互通，解决医院信息系统的系统异构集成、流程定义、数据共享和数据交换传输标准等关键性技术问题，实现全面集成；医院信息集成平台采用具有中心式自动更新维护功能的B/S或C/S结构体系，降低维护的复杂性，本次医院信息集成平台产品应遵循医院信息系统功能规范、电子病历分级评价和互联互通相关评测等要求。</w:t>
      </w:r>
      <w:bookmarkStart w:id="40" w:name="_Toc131751119"/>
      <w:bookmarkStart w:id="41" w:name="_Toc142056155"/>
      <w:r>
        <w:rPr>
          <w:rFonts w:hint="eastAsia" w:ascii="仿宋" w:hAnsi="仿宋" w:eastAsia="仿宋" w:cs="仿宋"/>
          <w:color w:val="auto"/>
          <w:sz w:val="24"/>
          <w:szCs w:val="24"/>
          <w:highlight w:val="none"/>
        </w:rPr>
        <w:br w:type="textWrapping"/>
      </w:r>
      <w:r>
        <w:rPr>
          <w:rFonts w:hint="eastAsia" w:ascii="仿宋" w:hAnsi="仿宋" w:eastAsia="仿宋" w:cs="仿宋"/>
          <w:b/>
          <w:bCs/>
          <w:color w:val="auto"/>
          <w:sz w:val="24"/>
          <w:szCs w:val="24"/>
          <w:highlight w:val="none"/>
        </w:rPr>
        <w:t>1.4.1.1企业服务总线</w:t>
      </w:r>
      <w:bookmarkEnd w:id="40"/>
      <w:bookmarkEnd w:id="41"/>
      <w:bookmarkStart w:id="42" w:name="_Toc142056156"/>
      <w:bookmarkStart w:id="43" w:name="_Toc131751120"/>
    </w:p>
    <w:p w14:paraId="53A38446">
      <w:pPr>
        <w:pageBreakBefore w:val="0"/>
        <w:kinsoku/>
        <w:wordWrap/>
        <w:overflowPunct/>
        <w:topLinePunct w:val="0"/>
        <w:autoSpaceDE/>
        <w:autoSpaceDN/>
        <w:bidi w:val="0"/>
        <w:adjustRightInd/>
        <w:spacing w:line="440" w:lineRule="exact"/>
        <w:ind w:right="65"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1.服务总线</w:t>
      </w:r>
    </w:p>
    <w:p w14:paraId="793786B4">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1)遵循SOA设计原则和技术标准，构建标准的企业服务总线平台，采用松耦合、分布式模式，将业务逻辑和应用逻辑、数据逻辑等分离开。</w:t>
      </w:r>
    </w:p>
    <w:p w14:paraId="4321A7E5">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能提供统一的数据交互开发运行环境，以创建和扩展图形化数据转换业务流程建模，能提供基于XML表示方式，可同时进行图形化和基于代码或文档的开发工作，为服务提供远程调用支持。提供服务卸载和更新服务。</w:t>
      </w:r>
    </w:p>
    <w:p w14:paraId="2E022720">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3)能提供创建定制适配器、消息、业务服务、业务操作和业务流程以及数据转换的向导。</w:t>
      </w:r>
    </w:p>
    <w:p w14:paraId="6ADD67DA">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4)支持应用系统之间各功能服务和接口的调用权限管理，提供应用节点与应用节点之间，应用节点到接口服务之间的权限控制，以保证数据交换的合法性。</w:t>
      </w:r>
    </w:p>
    <w:p w14:paraId="0D2817C5">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5)支持WebService服务、socket服务、MQ消息服务的多种类型服务的接入和输出。</w:t>
      </w:r>
    </w:p>
    <w:p w14:paraId="7D26CEBB">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6)提供基于规则的数据发布/订阅服务，也提供基于多路由的消息队列选择和传输。满足平台数据交互高并发、大数据量、实时性高等需求，保持高性能运行。</w:t>
      </w:r>
    </w:p>
    <w:p w14:paraId="2DBCFD4F">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7)提供基于业务流程的流程配置服务，定制化服务配置，并可提供远程调用服务和分布式服务调用，并实现负载均衡，故障转移等基本功能。</w:t>
      </w:r>
    </w:p>
    <w:p w14:paraId="4FAC03CD">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8)支持对每一个消息传输环节的监控和审核，对于数据传输状况有较灵活的反馈服务，具有自动补传、重传等功能。</w:t>
      </w:r>
    </w:p>
    <w:p w14:paraId="7CB982C0">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9)支持应用节点和接口服务的统一配置管理，监控平台应能对各接口调用历史进行负载和响应时间分析，以便通过集成平台来一步优化性能。集成平台配置管理系统应能支持数据协议和公用代码标准化管理。</w:t>
      </w:r>
    </w:p>
    <w:p w14:paraId="23A0B119">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10)提供基于集成平台的二次开发包，可以基于开发包扩展服务组件。</w:t>
      </w:r>
    </w:p>
    <w:p w14:paraId="594E51A8">
      <w:pPr>
        <w:pageBreakBefore w:val="0"/>
        <w:kinsoku/>
        <w:wordWrap/>
        <w:overflowPunct/>
        <w:topLinePunct w:val="0"/>
        <w:autoSpaceDE/>
        <w:autoSpaceDN/>
        <w:bidi w:val="0"/>
        <w:adjustRightInd/>
        <w:spacing w:line="440" w:lineRule="exact"/>
        <w:ind w:right="65"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2.消息引擎</w:t>
      </w:r>
    </w:p>
    <w:p w14:paraId="4D9C58F5">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1)提供HL7与XML消息等交换协议的配置、转换、对照功能。</w:t>
      </w:r>
    </w:p>
    <w:p w14:paraId="5D3A42DE">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2)提供HL7消息与自定义xml消息的协议转换服务组件。</w:t>
      </w:r>
    </w:p>
    <w:p w14:paraId="3436102B">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3)提供基于内容和规则的消息路由机制。</w:t>
      </w:r>
    </w:p>
    <w:p w14:paraId="37C00B93">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4)提供基于规则的消息发布/订阅机制。</w:t>
      </w:r>
    </w:p>
    <w:p w14:paraId="3C910992">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支持各种工业标准如外部消息引擎：MQ和JMS，系统可以和企业中其他的消息总线结合；为实现支持异构环境的灵活性，可以和Java和.Net互操作；支持聚合、Web服务协议和标准，包括XML、WSDL、SOAP、UDDI和BPEL4WS；支持其他的公共工业标准如J2EE、JDBC、ODBC和COM。</w:t>
      </w:r>
    </w:p>
    <w:p w14:paraId="107863A6">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3.服务集群管理</w:t>
      </w:r>
    </w:p>
    <w:p w14:paraId="79BF9402">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1)提供基于业务域的服务集群管理模式。</w:t>
      </w:r>
    </w:p>
    <w:p w14:paraId="3E99073F">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4.运行监控</w:t>
      </w:r>
    </w:p>
    <w:p w14:paraId="2A075ECC">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提供数据交换服务监控：可监控统计所有服务性能，可按照业务系统、服务节点、时间角度统计服务调用时间、响应时间、耗时、消息结果，提供服务分析调优。针对异常记录，可追踪异常发生节点、该节点的输入输出、错误信息提示，准确掌握错误，精准修复。且可统计监控平台接入层的接入点名称，请求IP，总体响应时间等信息。</w:t>
      </w:r>
    </w:p>
    <w:p w14:paraId="27BEF209">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2)提供服务监控功能，支持展示接收消息数量、发送消息数量、处理消息数量、异常消息数量、等待队列总数。</w:t>
      </w:r>
    </w:p>
    <w:p w14:paraId="1CE3D31F">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3)提供基于医院互联互通测评要求的临床服务、医疗管理、运营管理、外部机构分类以及业务系统角度查看系统对接服务情况展示。</w:t>
      </w:r>
    </w:p>
    <w:p w14:paraId="725FBFB2">
      <w:pPr>
        <w:pStyle w:val="5"/>
        <w:pageBreakBefore w:val="0"/>
        <w:numPr>
          <w:ilvl w:val="2"/>
          <w:numId w:val="0"/>
        </w:numPr>
        <w:kinsoku/>
        <w:wordWrap/>
        <w:overflowPunct/>
        <w:topLinePunct w:val="0"/>
        <w:autoSpaceDE/>
        <w:autoSpaceDN/>
        <w:bidi w:val="0"/>
        <w:adjustRightInd/>
        <w:spacing w:before="0" w:after="0"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1.4.1.2主数据管理系统</w:t>
      </w:r>
      <w:bookmarkEnd w:id="42"/>
      <w:bookmarkEnd w:id="43"/>
    </w:p>
    <w:p w14:paraId="0939F3A8">
      <w:pPr>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1.图形界面：提供主数据管理和维护的图形界面，实现界面化对字典数据的统一维护（如人员、ICD诊断码）及映射；</w:t>
      </w:r>
    </w:p>
    <w:p w14:paraId="49CF64EB">
      <w:pPr>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基础服务组件：对于数据字典等其他主数据提供下载、订阅服务，调用下载服务则将对应的主数据全部下载到本地，对于订阅服务，则主数据发生变化时(新增、删除、修改)主动推送相关的信息给订阅了服务的业务系统；</w:t>
      </w:r>
    </w:p>
    <w:p w14:paraId="78CCFB07">
      <w:pPr>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3.域信息管理：按照国家规范标准对院内相关数据值域进行统一管理，主要提供注册、更新、通知、映射等功能，实现医院标准与国家标准的对照映射，建立标准医院标准值域库；</w:t>
      </w:r>
    </w:p>
    <w:p w14:paraId="22738F6A">
      <w:pPr>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4.支持对全院的科室主数据进行管理，需支持科室详细信息和历史变更信息的查看；具有版本记录功能，支持查看历史版本；根据科室编码、科室名称查询科室；支持不同系统的科室信息映射；</w:t>
      </w:r>
    </w:p>
    <w:p w14:paraId="3EFDAB67">
      <w:pPr>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5.支持对职工索引进行管理，能够对职工主数据进行查询；</w:t>
      </w:r>
    </w:p>
    <w:p w14:paraId="186AF5FA">
      <w:pPr>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6.主数据管理系统需要对数据库进行开发，并可跟进医院的实际主数据情况进行自由数据建模并提供主数据管理建模工具；</w:t>
      </w:r>
    </w:p>
    <w:p w14:paraId="67446F33">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7.主数据管理系统采用具有中心式自动更新维护功能的B/S或C/S结构体系。</w:t>
      </w:r>
      <w:bookmarkStart w:id="44" w:name="_Toc142056157"/>
    </w:p>
    <w:p w14:paraId="5CC87F09">
      <w:pPr>
        <w:pageBreakBefore w:val="0"/>
        <w:kinsoku/>
        <w:wordWrap/>
        <w:overflowPunct/>
        <w:topLinePunct w:val="0"/>
        <w:autoSpaceDE/>
        <w:autoSpaceDN/>
        <w:bidi w:val="0"/>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1.4.1.3患者主索引管理</w:t>
      </w:r>
    </w:p>
    <w:p w14:paraId="57DC208E">
      <w:pPr>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患者主索引系统用于全院范围内患者基本信息索引的创建、搜索和维护，可以智能地协助医疗人员对病人有效地进行搜索。医疗机构通过建设主索引（EMPI）来识别、匹配、合并、取消重复的数据，净化病人记录，利用主索引可获得完整而单一的病人视图。</w:t>
      </w:r>
    </w:p>
    <w:p w14:paraId="25E29B30">
      <w:pPr>
        <w:pageBreakBefore w:val="0"/>
        <w:kinsoku/>
        <w:wordWrap/>
        <w:overflowPunct/>
        <w:topLinePunct w:val="0"/>
        <w:autoSpaceDE/>
        <w:autoSpaceDN/>
        <w:bidi w:val="0"/>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主索引建设包含如下主要内容：</w:t>
      </w:r>
    </w:p>
    <w:p w14:paraId="77466A69">
      <w:pPr>
        <w:pageBreakBefore w:val="0"/>
        <w:kinsoku/>
        <w:wordWrap/>
        <w:overflowPunct/>
        <w:topLinePunct w:val="0"/>
        <w:autoSpaceDE/>
        <w:autoSpaceDN/>
        <w:bidi w:val="0"/>
        <w:adjustRightInd/>
        <w:spacing w:line="440" w:lineRule="exact"/>
        <w:ind w:right="62"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1.对院内患者主索引进行集中存储和管理；</w:t>
      </w:r>
    </w:p>
    <w:p w14:paraId="53558858">
      <w:pPr>
        <w:pageBreakBefore w:val="0"/>
        <w:kinsoku/>
        <w:wordWrap/>
        <w:overflowPunct/>
        <w:topLinePunct w:val="0"/>
        <w:autoSpaceDE/>
        <w:autoSpaceDN/>
        <w:bidi w:val="0"/>
        <w:spacing w:line="440" w:lineRule="exact"/>
        <w:ind w:right="62"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2.保证单个患者在一定范围内的唯一性和可靠性，能够识别不同来源系统间患者的关联性；</w:t>
      </w:r>
    </w:p>
    <w:p w14:paraId="5F0B1DAC">
      <w:pPr>
        <w:pageBreakBefore w:val="0"/>
        <w:kinsoku/>
        <w:wordWrap/>
        <w:overflowPunct/>
        <w:topLinePunct w:val="0"/>
        <w:autoSpaceDE/>
        <w:autoSpaceDN/>
        <w:bidi w:val="0"/>
        <w:spacing w:line="440" w:lineRule="exact"/>
        <w:ind w:right="62"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3.提供一个管理控制台，对患者数据进行图形化管理；</w:t>
      </w:r>
    </w:p>
    <w:p w14:paraId="23DE5476">
      <w:pPr>
        <w:pageBreakBefore w:val="0"/>
        <w:kinsoku/>
        <w:wordWrap/>
        <w:overflowPunct/>
        <w:topLinePunct w:val="0"/>
        <w:autoSpaceDE/>
        <w:autoSpaceDN/>
        <w:bidi w:val="0"/>
        <w:spacing w:line="440" w:lineRule="exact"/>
        <w:ind w:right="62"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4.通过配置界面对对主索引的属性和唯一性识别规则、权重进行定义；</w:t>
      </w:r>
    </w:p>
    <w:p w14:paraId="5F0B22E2">
      <w:pPr>
        <w:pageBreakBefore w:val="0"/>
        <w:kinsoku/>
        <w:wordWrap/>
        <w:overflowPunct/>
        <w:topLinePunct w:val="0"/>
        <w:autoSpaceDE/>
        <w:autoSpaceDN/>
        <w:bidi w:val="0"/>
        <w:spacing w:line="440" w:lineRule="exact"/>
        <w:ind w:right="62"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5.提供主索引维护界面。包括对主索引的修改、手工合并拆分；</w:t>
      </w:r>
    </w:p>
    <w:p w14:paraId="45CDBC0A">
      <w:pPr>
        <w:pageBreakBefore w:val="0"/>
        <w:kinsoku/>
        <w:wordWrap/>
        <w:overflowPunct/>
        <w:topLinePunct w:val="0"/>
        <w:autoSpaceDE/>
        <w:autoSpaceDN/>
        <w:bidi w:val="0"/>
        <w:spacing w:line="440" w:lineRule="exact"/>
        <w:ind w:right="62"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6.提供标准化的接口方式同外部系统进行交互，如患者注册、查询等；</w:t>
      </w:r>
    </w:p>
    <w:p w14:paraId="3C5A758D">
      <w:pPr>
        <w:pageBreakBefore w:val="0"/>
        <w:kinsoku/>
        <w:wordWrap/>
        <w:overflowPunct/>
        <w:topLinePunct w:val="0"/>
        <w:autoSpaceDE/>
        <w:autoSpaceDN/>
        <w:bidi w:val="0"/>
        <w:spacing w:line="440" w:lineRule="exact"/>
        <w:ind w:right="62"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7.提供日志审计功能，提供详尽的患者主索引变动日志。</w:t>
      </w:r>
    </w:p>
    <w:p w14:paraId="6DA8BC02">
      <w:pPr>
        <w:pageBreakBefore w:val="0"/>
        <w:kinsoku/>
        <w:wordWrap/>
        <w:overflowPunct/>
        <w:topLinePunct w:val="0"/>
        <w:autoSpaceDE/>
        <w:autoSpaceDN/>
        <w:bidi w:val="0"/>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功能要求：</w:t>
      </w:r>
    </w:p>
    <w:p w14:paraId="7C69A0B8">
      <w:pPr>
        <w:pageBreakBefore w:val="0"/>
        <w:kinsoku/>
        <w:wordWrap/>
        <w:overflowPunct/>
        <w:topLinePunct w:val="0"/>
        <w:autoSpaceDE/>
        <w:autoSpaceDN/>
        <w:bidi w:val="0"/>
        <w:spacing w:line="440" w:lineRule="exact"/>
        <w:ind w:right="62"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1.患者信息注册：</w:t>
      </w:r>
    </w:p>
    <w:p w14:paraId="2AD19BE7">
      <w:pPr>
        <w:pageBreakBefore w:val="0"/>
        <w:kinsoku/>
        <w:wordWrap/>
        <w:overflowPunct/>
        <w:topLinePunct w:val="0"/>
        <w:autoSpaceDE/>
        <w:autoSpaceDN/>
        <w:bidi w:val="0"/>
        <w:spacing w:line="440" w:lineRule="exact"/>
        <w:ind w:right="62"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务系统希望把一个患者的索引加入到EMPI系统时，向EMPI系统传送请求注册消息，消息中包含待注册的患者信息，主要元素包括：业务系统ID、患者ID、姓名、性别、出生日期、出生地、民族、母亲姓名、婚姻状况、身份证号、住址、电话等；</w:t>
      </w:r>
    </w:p>
    <w:p w14:paraId="2597A2EA">
      <w:pPr>
        <w:pageBreakBefore w:val="0"/>
        <w:kinsoku/>
        <w:wordWrap/>
        <w:overflowPunct/>
        <w:topLinePunct w:val="0"/>
        <w:autoSpaceDE/>
        <w:autoSpaceDN/>
        <w:bidi w:val="0"/>
        <w:spacing w:line="440" w:lineRule="exact"/>
        <w:ind w:right="62"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EMPI系统通过匹配规则检查系统中是否已存在该患者的索引，按照新增索引或更新索引两种情况分别处理；</w:t>
      </w:r>
    </w:p>
    <w:p w14:paraId="57484F3D">
      <w:pPr>
        <w:pageBreakBefore w:val="0"/>
        <w:kinsoku/>
        <w:wordWrap/>
        <w:overflowPunct/>
        <w:topLinePunct w:val="0"/>
        <w:autoSpaceDE/>
        <w:autoSpaceDN/>
        <w:bidi w:val="0"/>
        <w:spacing w:line="440" w:lineRule="exact"/>
        <w:ind w:right="62"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新增索引需要在EMPI系统中记录业务系统的索引，同时产生主索引；</w:t>
      </w:r>
    </w:p>
    <w:p w14:paraId="413D21BC">
      <w:pPr>
        <w:pageBreakBefore w:val="0"/>
        <w:kinsoku/>
        <w:wordWrap/>
        <w:overflowPunct/>
        <w:topLinePunct w:val="0"/>
        <w:autoSpaceDE/>
        <w:autoSpaceDN/>
        <w:bidi w:val="0"/>
        <w:spacing w:line="440" w:lineRule="exact"/>
        <w:ind w:right="62"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更新索引需要更新匹配的业务系统的索引，同时更新主索引；</w:t>
      </w:r>
    </w:p>
    <w:p w14:paraId="6F458EB4">
      <w:pPr>
        <w:pageBreakBefore w:val="0"/>
        <w:kinsoku/>
        <w:wordWrap/>
        <w:overflowPunct/>
        <w:topLinePunct w:val="0"/>
        <w:autoSpaceDE/>
        <w:autoSpaceDN/>
        <w:bidi w:val="0"/>
        <w:spacing w:line="440" w:lineRule="exact"/>
        <w:ind w:right="62"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主索引更新时，需要对订阅主索引的系统发布更新的主索引。</w:t>
      </w:r>
    </w:p>
    <w:p w14:paraId="7B90F163">
      <w:pPr>
        <w:pageBreakBefore w:val="0"/>
        <w:kinsoku/>
        <w:wordWrap/>
        <w:overflowPunct/>
        <w:topLinePunct w:val="0"/>
        <w:autoSpaceDE/>
        <w:autoSpaceDN/>
        <w:bidi w:val="0"/>
        <w:spacing w:line="440" w:lineRule="exact"/>
        <w:ind w:right="62"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2.主索引管理：对院内的主索引进行集中存储和管理；</w:t>
      </w:r>
    </w:p>
    <w:p w14:paraId="308E3512">
      <w:pPr>
        <w:pageBreakBefore w:val="0"/>
        <w:kinsoku/>
        <w:wordWrap/>
        <w:overflowPunct/>
        <w:topLinePunct w:val="0"/>
        <w:autoSpaceDE/>
        <w:autoSpaceDN/>
        <w:bidi w:val="0"/>
        <w:spacing w:line="440" w:lineRule="exact"/>
        <w:ind w:right="62"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3.主索引合并：提供界面用于手工对主索引进新合并，拆分，修改等；</w:t>
      </w:r>
    </w:p>
    <w:p w14:paraId="24DAB71D">
      <w:pPr>
        <w:pageBreakBefore w:val="0"/>
        <w:kinsoku/>
        <w:wordWrap/>
        <w:overflowPunct/>
        <w:topLinePunct w:val="0"/>
        <w:autoSpaceDE/>
        <w:autoSpaceDN/>
        <w:bidi w:val="0"/>
        <w:spacing w:line="440" w:lineRule="exact"/>
        <w:ind w:right="62"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4.主索引统计：按时间段统计主索引新增情况；</w:t>
      </w:r>
    </w:p>
    <w:p w14:paraId="070CC037">
      <w:pPr>
        <w:pageBreakBefore w:val="0"/>
        <w:kinsoku/>
        <w:wordWrap/>
        <w:overflowPunct/>
        <w:topLinePunct w:val="0"/>
        <w:autoSpaceDE/>
        <w:autoSpaceDN/>
        <w:bidi w:val="0"/>
        <w:spacing w:line="440" w:lineRule="exact"/>
        <w:ind w:right="62"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5.主索引操作日志：EMPI系统业务记录发生的变化都需要记录操作日志。需要记录的业务操作有：创建主索引，修改主索引，合并索引，设置疑似，取消疑似、拆分索引。</w:t>
      </w:r>
    </w:p>
    <w:p w14:paraId="781421E8">
      <w:pPr>
        <w:pageBreakBefore w:val="0"/>
        <w:kinsoku/>
        <w:wordWrap/>
        <w:overflowPunct/>
        <w:topLinePunct w:val="0"/>
        <w:autoSpaceDE/>
        <w:autoSpaceDN/>
        <w:bidi w:val="0"/>
        <w:spacing w:line="440" w:lineRule="exact"/>
        <w:ind w:right="62" w:firstLine="480"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6.▲支持主索引合并规则维护，可设置合并权重、疑似权重，支持根据成人、儿童分别设置合并规则。</w:t>
      </w:r>
      <w:r>
        <w:rPr>
          <w:rFonts w:hint="eastAsia" w:ascii="仿宋" w:hAnsi="仿宋" w:eastAsia="仿宋" w:cs="仿宋"/>
          <w:b/>
          <w:bCs/>
          <w:color w:val="auto"/>
          <w:sz w:val="24"/>
          <w:szCs w:val="24"/>
          <w:highlight w:val="none"/>
        </w:rPr>
        <w:t>（提供系统</w:t>
      </w:r>
      <w:r>
        <w:rPr>
          <w:rFonts w:hint="eastAsia" w:ascii="仿宋" w:hAnsi="仿宋" w:eastAsia="仿宋" w:cs="仿宋"/>
          <w:b/>
          <w:bCs/>
          <w:color w:val="auto"/>
          <w:sz w:val="24"/>
          <w:szCs w:val="24"/>
          <w:highlight w:val="none"/>
          <w:lang w:val="en-US" w:eastAsia="zh-CN"/>
        </w:rPr>
        <w:t>功能</w:t>
      </w:r>
      <w:r>
        <w:rPr>
          <w:rFonts w:hint="eastAsia" w:ascii="仿宋" w:hAnsi="仿宋" w:eastAsia="仿宋" w:cs="仿宋"/>
          <w:b/>
          <w:bCs/>
          <w:color w:val="auto"/>
          <w:sz w:val="24"/>
          <w:szCs w:val="24"/>
          <w:highlight w:val="none"/>
        </w:rPr>
        <w:t>截图证明）</w:t>
      </w:r>
      <w:bookmarkEnd w:id="44"/>
      <w:bookmarkStart w:id="45" w:name="_Toc142056158"/>
      <w:bookmarkStart w:id="46" w:name="_Toc131751122"/>
    </w:p>
    <w:p w14:paraId="3C856E2E">
      <w:pPr>
        <w:pageBreakBefore w:val="0"/>
        <w:widowControl/>
        <w:kinsoku/>
        <w:wordWrap/>
        <w:overflowPunct/>
        <w:topLinePunct w:val="0"/>
        <w:autoSpaceDE/>
        <w:autoSpaceDN/>
        <w:bidi w:val="0"/>
        <w:adjustRightInd/>
        <w:spacing w:line="440" w:lineRule="exact"/>
        <w:ind w:right="65"/>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1.4.1.4统一用户认证与单点登录系统</w:t>
      </w:r>
    </w:p>
    <w:bookmarkEnd w:id="45"/>
    <w:bookmarkEnd w:id="46"/>
    <w:p w14:paraId="5B7C0687">
      <w:pPr>
        <w:pageBreakBefore w:val="0"/>
        <w:kinsoku/>
        <w:wordWrap/>
        <w:overflowPunct/>
        <w:topLinePunct w:val="0"/>
        <w:autoSpaceDE/>
        <w:autoSpaceDN/>
        <w:bidi w:val="0"/>
        <w:adjustRightInd/>
        <w:spacing w:line="440" w:lineRule="exact"/>
        <w:ind w:right="65"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具有统一的数字身份管理功能，能够为各类应用提供数字身份的可靠认证和授权管理，需满足以下要求：</w:t>
      </w:r>
    </w:p>
    <w:p w14:paraId="5B8988C5">
      <w:pPr>
        <w:pageBreakBefore w:val="0"/>
        <w:kinsoku/>
        <w:wordWrap/>
        <w:overflowPunct/>
        <w:topLinePunct w:val="0"/>
        <w:autoSpaceDE/>
        <w:autoSpaceDN/>
        <w:bidi w:val="0"/>
        <w:adjustRightInd/>
        <w:spacing w:line="440" w:lineRule="exact"/>
        <w:ind w:right="65"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1.身份管理：需要基于身份管理，实现对用户的身份进行标识与鉴别；</w:t>
      </w:r>
    </w:p>
    <w:p w14:paraId="6A335158">
      <w:pPr>
        <w:pageBreakBefore w:val="0"/>
        <w:kinsoku/>
        <w:wordWrap/>
        <w:overflowPunct/>
        <w:topLinePunct w:val="0"/>
        <w:autoSpaceDE/>
        <w:autoSpaceDN/>
        <w:bidi w:val="0"/>
        <w:adjustRightInd/>
        <w:spacing w:line="440" w:lineRule="exact"/>
        <w:ind w:right="65"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2.授权管理：提供授权管理功能，对用户访问资源的权限进行标识与管理；</w:t>
      </w:r>
    </w:p>
    <w:p w14:paraId="204C3162">
      <w:pPr>
        <w:pageBreakBefore w:val="0"/>
        <w:kinsoku/>
        <w:wordWrap/>
        <w:overflowPunct/>
        <w:topLinePunct w:val="0"/>
        <w:autoSpaceDE/>
        <w:autoSpaceDN/>
        <w:bidi w:val="0"/>
        <w:adjustRightInd/>
        <w:spacing w:line="440" w:lineRule="exact"/>
        <w:ind w:right="65"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数字认证：需要对每个用户构建起以数字身份为核心思想的综合信任机制，将其基本信息与各种特定领域的信息标识进行统一管理，并体现为不同的具体凭证，为各类应用提供基于数字身份的可靠认证和授权控制；</w:t>
      </w:r>
    </w:p>
    <w:p w14:paraId="352D4729">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4.统一用户认证：以统一用户为基础，对所有应用系统提供统一的认证方式和认证策略，以识别用户身份的合法性；</w:t>
      </w:r>
    </w:p>
    <w:p w14:paraId="04376027">
      <w:pPr>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5.单点登录：能够针对不同的应用系统，提供统一的登录入口，并统一对用户的权限进行判断校验，建立应用模块的导引，同时支持对C/S或B/S架构的应用系统的接入；</w:t>
      </w:r>
    </w:p>
    <w:p w14:paraId="67F860D3">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6.门户服务：提供一站式单点登录，统一登录界面，通过用户的一次性鉴别登录，可获得所需访问的各应用系统的授权；</w:t>
      </w:r>
    </w:p>
    <w:p w14:paraId="53977BF7">
      <w:pPr>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7.分级管理：系统应能通过权限设置和委托，实现分级管理功能，以方便管理部门管理各用户信息；</w:t>
      </w:r>
    </w:p>
    <w:p w14:paraId="5A42ECF4">
      <w:pPr>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8.安全审计：可以对用户所有登录认证操作及授权访问行为的全面记录和监控，确保所有操作处于可控和可审计状态。</w:t>
      </w:r>
    </w:p>
    <w:p w14:paraId="7FFE1412">
      <w:pPr>
        <w:pStyle w:val="5"/>
        <w:pageBreakBefore w:val="0"/>
        <w:numPr>
          <w:ilvl w:val="2"/>
          <w:numId w:val="0"/>
        </w:numPr>
        <w:kinsoku/>
        <w:wordWrap/>
        <w:overflowPunct/>
        <w:topLinePunct w:val="0"/>
        <w:autoSpaceDE/>
        <w:autoSpaceDN/>
        <w:bidi w:val="0"/>
        <w:adjustRightInd/>
        <w:spacing w:before="0" w:after="0" w:line="440" w:lineRule="exact"/>
        <w:textAlignment w:val="auto"/>
        <w:rPr>
          <w:rFonts w:hint="eastAsia" w:ascii="仿宋" w:hAnsi="仿宋" w:eastAsia="仿宋" w:cs="仿宋"/>
          <w:color w:val="auto"/>
          <w:sz w:val="24"/>
          <w:szCs w:val="24"/>
          <w:highlight w:val="none"/>
        </w:rPr>
      </w:pPr>
      <w:bookmarkStart w:id="47" w:name="_Toc142056161"/>
      <w:bookmarkStart w:id="48" w:name="_Toc88742968"/>
      <w:bookmarkStart w:id="49" w:name="_Toc131751128"/>
      <w:r>
        <w:rPr>
          <w:rFonts w:hint="eastAsia" w:ascii="仿宋" w:hAnsi="仿宋" w:eastAsia="仿宋" w:cs="仿宋"/>
          <w:color w:val="auto"/>
          <w:sz w:val="24"/>
          <w:szCs w:val="24"/>
          <w:highlight w:val="none"/>
        </w:rPr>
        <w:t>1.4.1.5 消息管理</w:t>
      </w:r>
    </w:p>
    <w:p w14:paraId="63771335">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通过对医院门诊、住院的核心业务流程进行分析、梳理，对所有业务交互正常、特殊流程进行整理，找出医院各系统之间有交互关系的场景，对每个交互场景所涉及的系统、触发时机、交互信息进行整理，按业务领域编制集成规范，将领域所涉及的集成流程设计、集成场景说明、集成消息定义在具体的文档当中，作为医院集成平台信息交互规范。要求现有业务系统按此规范设计、开发接口接入平台。对于后期接入的新系统和更替的系统也按此规范接入平台。</w:t>
      </w:r>
    </w:p>
    <w:p w14:paraId="1E25B27B">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1.消息定义:对所有支持的消息进行统一管理，版本控制。</w:t>
      </w:r>
    </w:p>
    <w:p w14:paraId="1AA48A09">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2.消息路由:需提供可视化的路由配置界面，通过拖曳，勾选即可完成路由的配置。通过可视化界面可直观展示目前接入系统情况，每个接入系统的发送和接收消息列表。</w:t>
      </w:r>
    </w:p>
    <w:p w14:paraId="3B61E634">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3.消息追踪:在运行过程中需要及时对平台的消息流向进行监控，故而平台需提供消息追踪功能，能够清楚的显示出消息的源头及消息被那些应用系统接收以及接收后反馈。</w:t>
      </w:r>
    </w:p>
    <w:p w14:paraId="709F522D">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4.故障恢复:网络原因或应用系统接入失败，在网络通畅或应用接入恢复时，可向特定的接入应用发起消息重传功能，保证对方业务系统能够迅速恢复。</w:t>
      </w:r>
    </w:p>
    <w:p w14:paraId="7BC6234B">
      <w:pPr>
        <w:pStyle w:val="5"/>
        <w:pageBreakBefore w:val="0"/>
        <w:numPr>
          <w:ilvl w:val="2"/>
          <w:numId w:val="0"/>
        </w:numPr>
        <w:kinsoku/>
        <w:wordWrap/>
        <w:overflowPunct/>
        <w:topLinePunct w:val="0"/>
        <w:autoSpaceDE/>
        <w:autoSpaceDN/>
        <w:bidi w:val="0"/>
        <w:adjustRightInd/>
        <w:spacing w:before="0" w:after="0"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1.4.1.6监控平台</w:t>
      </w:r>
    </w:p>
    <w:p w14:paraId="539AF820">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1.总览</w:t>
      </w:r>
    </w:p>
    <w:p w14:paraId="7F90574D">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1)支持服务调用情况监控功能，能够展示当日服务调用总数；</w:t>
      </w:r>
    </w:p>
    <w:p w14:paraId="78F2E15E">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2)支持服务调用情况监控分析功能，支持用曲线图展现自定义时间范围内的发送消息、接收消息数量的趋势图；</w:t>
      </w:r>
    </w:p>
    <w:p w14:paraId="78F04DDF">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3)支持当前服务接入系统数监控功能，能够展示目前接入系统数量；</w:t>
      </w:r>
    </w:p>
    <w:p w14:paraId="4824A04F">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4)支持当前数据源监控功能，能够展示目前数据源数量；</w:t>
      </w:r>
    </w:p>
    <w:p w14:paraId="5951E877">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5)支持当前服务器监控功能，能够展示目前服务器数量；</w:t>
      </w:r>
    </w:p>
    <w:p w14:paraId="44924B97">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 ▲支持当前ETL运行情况监控功能，能够展示目前ETL模型数量、ETL今日运行总数、今日失败次数、ETL异常占比；</w:t>
      </w:r>
    </w:p>
    <w:p w14:paraId="2E964D43">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7)支持ETL运行情况TOP展示功能，能够展示昨日、今日、最近7日以及自定义时间范围内ETL运行情况的TOP5。</w:t>
      </w:r>
    </w:p>
    <w:p w14:paraId="55D7B070">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2.服务监控</w:t>
      </w:r>
    </w:p>
    <w:p w14:paraId="1F250ED2">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1)支持服务监控功能，支持展示接收消息数量、发送消息数量、今日消息数、今日失败消息数、今日错误消息数、等待队列总数；</w:t>
      </w:r>
    </w:p>
    <w:p w14:paraId="39A5DBC7">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2)支持服务调用数量展示功能，并用曲线图展现自定义时间范围内发送消息、接收消息数量的趋势图；</w:t>
      </w:r>
    </w:p>
    <w:p w14:paraId="74921485">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3)支持服务排名展示功能，支持按照服务调用数量从多到少进行排列；</w:t>
      </w:r>
    </w:p>
    <w:p w14:paraId="5A274002">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4)支持服务统计信息监控分析功能，并用曲线图展现自定义时间范围内处理消息数量的趋势图；</w:t>
      </w:r>
    </w:p>
    <w:p w14:paraId="53F1E4B5">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5)支持服务消息比例展示功能。</w:t>
      </w:r>
    </w:p>
    <w:p w14:paraId="5C6C48A7">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3.ETL总览</w:t>
      </w:r>
    </w:p>
    <w:p w14:paraId="49556F10">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1)支持平台接入的各服务器当前状态监控功能，能够展示各服务器的CPU和内存的状态；</w:t>
      </w:r>
    </w:p>
    <w:p w14:paraId="2028443B">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2)支持ETL运行次数监控分析功能，并用曲线图展现自定义时间范围内ETL成功次数、失败次数的趋势图；</w:t>
      </w:r>
    </w:p>
    <w:p w14:paraId="3B6862B7">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3)支持ETL模型耗时排名展示功能，支持展示当前运行的模型中耗时TOP5的模型信息，并展示耗时时长。</w:t>
      </w:r>
    </w:p>
    <w:p w14:paraId="43416A40">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4.ETL查询</w:t>
      </w:r>
    </w:p>
    <w:p w14:paraId="7B69DDDE">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支持可视化的ETL运行情况监控分析功能，具体要求如下：</w:t>
      </w:r>
    </w:p>
    <w:p w14:paraId="21D9B6CD">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1)支持展示ETL运行总次数、失败次数、异常占比信息；</w:t>
      </w:r>
    </w:p>
    <w:p w14:paraId="5C939602">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2)支持以列表的形式展示ETL作业的详情，包括ETL作业ID、ETL作业名称、运行服务器、ETL路径、抽取数据时间范围、下一次运行时间、执行耗时、运行状态、启动状态。</w:t>
      </w:r>
    </w:p>
    <w:p w14:paraId="79C1A75E">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5.服务器监控</w:t>
      </w:r>
    </w:p>
    <w:p w14:paraId="6AAE6FCD">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支持可视化的服务器运行监控功能，支持根据服务器的用途，分模块展示不同用途下的服务器的运行情况，包括内存、存储、CPU。</w:t>
      </w:r>
    </w:p>
    <w:p w14:paraId="41CEB703">
      <w:pPr>
        <w:pStyle w:val="5"/>
        <w:pageBreakBefore w:val="0"/>
        <w:numPr>
          <w:ilvl w:val="2"/>
          <w:numId w:val="0"/>
        </w:numPr>
        <w:kinsoku/>
        <w:wordWrap/>
        <w:overflowPunct/>
        <w:topLinePunct w:val="0"/>
        <w:autoSpaceDE/>
        <w:autoSpaceDN/>
        <w:bidi w:val="0"/>
        <w:adjustRightInd/>
        <w:spacing w:before="0" w:after="0"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1.4.1.7基于平台的业务</w:t>
      </w:r>
      <w:bookmarkEnd w:id="47"/>
      <w:r>
        <w:rPr>
          <w:rFonts w:hint="eastAsia" w:ascii="仿宋" w:hAnsi="仿宋" w:eastAsia="仿宋" w:cs="仿宋"/>
          <w:color w:val="auto"/>
          <w:sz w:val="24"/>
          <w:szCs w:val="24"/>
          <w:highlight w:val="none"/>
        </w:rPr>
        <w:t>集成</w:t>
      </w:r>
    </w:p>
    <w:p w14:paraId="21690E1E">
      <w:pPr>
        <w:pStyle w:val="5"/>
        <w:pageBreakBefore w:val="0"/>
        <w:numPr>
          <w:ilvl w:val="2"/>
          <w:numId w:val="0"/>
        </w:numPr>
        <w:kinsoku/>
        <w:wordWrap/>
        <w:overflowPunct/>
        <w:topLinePunct w:val="0"/>
        <w:autoSpaceDE/>
        <w:autoSpaceDN/>
        <w:bidi w:val="0"/>
        <w:adjustRightInd/>
        <w:spacing w:before="0" w:after="0" w:line="440" w:lineRule="exact"/>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本项目要求医院信息集成平台与原有系统整合，投标人须承诺能与医院原有第三方（如HIS、EMR、LIS等）系统对接。</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1.4.1.7.1临床服务系统接入</w:t>
      </w:r>
    </w:p>
    <w:p w14:paraId="7A6AF956">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1.门诊就诊流程整合</w:t>
      </w:r>
    </w:p>
    <w:p w14:paraId="74B9CA8E">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1)提供基于集成平台的门诊就诊流程交互服务。</w:t>
      </w:r>
    </w:p>
    <w:p w14:paraId="4326C74E">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2)门诊就诊流程交互服务包括预约、挂号、排队、就诊、诊断、处方等业务流程服务。</w:t>
      </w:r>
    </w:p>
    <w:p w14:paraId="4D350544">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3)提供业务服务的标准消息协议。</w:t>
      </w:r>
    </w:p>
    <w:p w14:paraId="0EA44154">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2.住院就诊流程整合</w:t>
      </w:r>
    </w:p>
    <w:p w14:paraId="54FC6AB6">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1)提供基于集成平台的住院入出院流程交互服务。</w:t>
      </w:r>
    </w:p>
    <w:p w14:paraId="3F23236E">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2)住院入出院流程交互服务包括登记、入科、诊断、换床/转床、医嘱、出科、出院等业务服务。</w:t>
      </w:r>
    </w:p>
    <w:p w14:paraId="7A865336">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3)提供业务服务的标准消息协议。</w:t>
      </w:r>
    </w:p>
    <w:p w14:paraId="598640A3">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3.检验业务流程整合</w:t>
      </w:r>
    </w:p>
    <w:p w14:paraId="4781829B">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1)提供基于集成平台的检验流程交互服务。</w:t>
      </w:r>
    </w:p>
    <w:p w14:paraId="69577BEE">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2)检验流程交互服务包含检验申请单信息同步服务、及检验报告信息同步服务。</w:t>
      </w:r>
    </w:p>
    <w:p w14:paraId="1E0CCCC5">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3)对院内提供检验结果调阅功能。</w:t>
      </w:r>
    </w:p>
    <w:p w14:paraId="24D4EEA1">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4)提供业务服务的标准消息协议。</w:t>
      </w:r>
    </w:p>
    <w:p w14:paraId="40B328A8">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4.影像检查流程整合</w:t>
      </w:r>
    </w:p>
    <w:p w14:paraId="33EABEEF">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1)提供基于集成平台的影像检查流程交互服务。</w:t>
      </w:r>
    </w:p>
    <w:p w14:paraId="21454525">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2)影像检查流程交互服务需包含检查申请单信息同步服务，影像检查报告信息同步服务。</w:t>
      </w:r>
    </w:p>
    <w:p w14:paraId="20838896">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3)对院内提供检查结果调阅功能。</w:t>
      </w:r>
    </w:p>
    <w:p w14:paraId="3C16DB77">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5.其他临床业务流程整合</w:t>
      </w:r>
    </w:p>
    <w:p w14:paraId="59B51419">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1)基于医院服务总线，提供其他临床服务系统的业务交互服务组件，实现院内基于平台的临床服务系统的互联互通。</w:t>
      </w:r>
    </w:p>
    <w:p w14:paraId="7611E441">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2)提供业务服务的标准消息协议。</w:t>
      </w:r>
    </w:p>
    <w:p w14:paraId="47F98AA0">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6.系统接口：提供临床业务系统接口开发文档，指导配合相关系统进行改造和联调。</w:t>
      </w:r>
    </w:p>
    <w:p w14:paraId="2F0874D2">
      <w:pPr>
        <w:pStyle w:val="7"/>
        <w:pageBreakBefore w:val="0"/>
        <w:numPr>
          <w:ilvl w:val="3"/>
          <w:numId w:val="0"/>
        </w:numPr>
        <w:kinsoku/>
        <w:wordWrap/>
        <w:overflowPunct/>
        <w:topLinePunct w:val="0"/>
        <w:autoSpaceDE/>
        <w:autoSpaceDN/>
        <w:bidi w:val="0"/>
        <w:adjustRightInd/>
        <w:spacing w:before="0" w:after="0"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1.4.1.7.2</w:t>
      </w:r>
      <w:r>
        <w:rPr>
          <w:rFonts w:hint="eastAsia" w:ascii="仿宋" w:hAnsi="仿宋" w:eastAsia="仿宋" w:cs="仿宋"/>
          <w:color w:val="auto"/>
          <w:sz w:val="24"/>
          <w:szCs w:val="24"/>
          <w:highlight w:val="none"/>
        </w:rPr>
        <w:t>医疗管理系统接入</w:t>
      </w:r>
    </w:p>
    <w:p w14:paraId="45CF22DC">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1.医疗管理系统接入</w:t>
      </w:r>
    </w:p>
    <w:p w14:paraId="1344CE65">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1)基于医院服务总线，提供医疗管理系统的业务交互服务组件，实现院内基于平台的医疗管理系统的互联互通。</w:t>
      </w:r>
    </w:p>
    <w:p w14:paraId="09D1E90B">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2)提供业务服务的标准消息协议。</w:t>
      </w:r>
    </w:p>
    <w:p w14:paraId="4AC74A1B">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2.系统接口：提供医疗管理系统接口开发文档，指导配合相关系统进行改造和联调。</w:t>
      </w:r>
    </w:p>
    <w:p w14:paraId="42FCCA22">
      <w:pPr>
        <w:pStyle w:val="7"/>
        <w:pageBreakBefore w:val="0"/>
        <w:numPr>
          <w:ilvl w:val="3"/>
          <w:numId w:val="0"/>
        </w:numPr>
        <w:kinsoku/>
        <w:wordWrap/>
        <w:overflowPunct/>
        <w:topLinePunct w:val="0"/>
        <w:autoSpaceDE/>
        <w:autoSpaceDN/>
        <w:bidi w:val="0"/>
        <w:adjustRightInd/>
        <w:spacing w:before="0" w:after="0"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1.4.1.7.3</w:t>
      </w:r>
      <w:r>
        <w:rPr>
          <w:rFonts w:hint="eastAsia" w:ascii="仿宋" w:hAnsi="仿宋" w:eastAsia="仿宋" w:cs="仿宋"/>
          <w:color w:val="auto"/>
          <w:sz w:val="24"/>
          <w:szCs w:val="24"/>
          <w:highlight w:val="none"/>
        </w:rPr>
        <w:t>运营管理系统接入</w:t>
      </w:r>
    </w:p>
    <w:p w14:paraId="7B08FC4B">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1.运营管理系统接入</w:t>
      </w:r>
      <w:r>
        <w:rPr>
          <w:rFonts w:hint="eastAsia" w:ascii="仿宋" w:hAnsi="仿宋" w:eastAsia="仿宋" w:cs="仿宋"/>
          <w:color w:val="auto"/>
          <w:sz w:val="24"/>
          <w:szCs w:val="24"/>
          <w:highlight w:val="none"/>
        </w:rPr>
        <w:tab/>
      </w:r>
    </w:p>
    <w:p w14:paraId="32C01E66">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1)基于医院服务总线，提供运营管理系统的业务交互服务组件，实现院内基于平台的运营管理系统的互联互通。</w:t>
      </w:r>
    </w:p>
    <w:p w14:paraId="2C913A02">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2)提供业务服务的标准消息协议。</w:t>
      </w:r>
    </w:p>
    <w:p w14:paraId="6DF1332E">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2.系统接口：提供运营管理系统接口开发文档，指导配合相关系统进行改造和联调。</w:t>
      </w:r>
    </w:p>
    <w:p w14:paraId="227B090A">
      <w:pPr>
        <w:pStyle w:val="7"/>
        <w:pageBreakBefore w:val="0"/>
        <w:numPr>
          <w:ilvl w:val="3"/>
          <w:numId w:val="0"/>
        </w:numPr>
        <w:kinsoku/>
        <w:wordWrap/>
        <w:overflowPunct/>
        <w:topLinePunct w:val="0"/>
        <w:autoSpaceDE/>
        <w:autoSpaceDN/>
        <w:bidi w:val="0"/>
        <w:adjustRightInd/>
        <w:spacing w:before="0" w:after="0"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1.4.1.7.4</w:t>
      </w:r>
      <w:r>
        <w:rPr>
          <w:rFonts w:hint="eastAsia" w:ascii="仿宋" w:hAnsi="仿宋" w:eastAsia="仿宋" w:cs="仿宋"/>
          <w:color w:val="auto"/>
          <w:sz w:val="24"/>
          <w:szCs w:val="24"/>
          <w:highlight w:val="none"/>
        </w:rPr>
        <w:t>公众服务应用接入</w:t>
      </w:r>
    </w:p>
    <w:p w14:paraId="30016756">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1.病人自助终端应用服务接入</w:t>
      </w:r>
      <w:r>
        <w:rPr>
          <w:rFonts w:hint="eastAsia" w:ascii="仿宋" w:hAnsi="仿宋" w:eastAsia="仿宋" w:cs="仿宋"/>
          <w:color w:val="auto"/>
          <w:sz w:val="24"/>
          <w:szCs w:val="24"/>
          <w:highlight w:val="none"/>
        </w:rPr>
        <w:tab/>
      </w:r>
    </w:p>
    <w:p w14:paraId="73E5E0F5">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提供（包括但不限于）：自助挂号、处方/费用自助查询、检验检查报告自助打印、自助交费等应用整合标准。</w:t>
      </w:r>
    </w:p>
    <w:p w14:paraId="6A356707">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达到满足互联互通三级对系统接入个数要求。</w:t>
      </w:r>
    </w:p>
    <w:p w14:paraId="6B4CF348">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2.患者线上服务（患者主动使用）应用服务接入</w:t>
      </w:r>
      <w:r>
        <w:rPr>
          <w:rFonts w:hint="eastAsia" w:ascii="仿宋" w:hAnsi="仿宋" w:eastAsia="仿宋" w:cs="仿宋"/>
          <w:color w:val="auto"/>
          <w:sz w:val="24"/>
          <w:szCs w:val="24"/>
          <w:highlight w:val="none"/>
        </w:rPr>
        <w:tab/>
      </w:r>
    </w:p>
    <w:p w14:paraId="17D57D58">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1)提供（包括但不限于）：身份认证、预约挂号、在线交费、就诊信息查看、费用查看、检验检查结果查看等应用整合标准。</w:t>
      </w:r>
    </w:p>
    <w:p w14:paraId="6E06E2A8">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2)达到满足互联互通三级的系统对接个数要求。</w:t>
      </w:r>
    </w:p>
    <w:p w14:paraId="775BFC56">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3.系统接口：提供接口开发文档，指导配合相关系统进行改造和联调。</w:t>
      </w:r>
    </w:p>
    <w:p w14:paraId="70A4D3C6">
      <w:pPr>
        <w:pStyle w:val="7"/>
        <w:pageBreakBefore w:val="0"/>
        <w:numPr>
          <w:ilvl w:val="3"/>
          <w:numId w:val="0"/>
        </w:numPr>
        <w:kinsoku/>
        <w:wordWrap/>
        <w:overflowPunct/>
        <w:topLinePunct w:val="0"/>
        <w:autoSpaceDE/>
        <w:autoSpaceDN/>
        <w:bidi w:val="0"/>
        <w:adjustRightInd/>
        <w:spacing w:before="0" w:after="0"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1.4.1.7.5</w:t>
      </w:r>
      <w:r>
        <w:rPr>
          <w:rFonts w:hint="eastAsia" w:ascii="仿宋" w:hAnsi="仿宋" w:eastAsia="仿宋" w:cs="仿宋"/>
          <w:color w:val="auto"/>
          <w:sz w:val="24"/>
          <w:szCs w:val="24"/>
          <w:highlight w:val="none"/>
        </w:rPr>
        <w:t>外部机构接入</w:t>
      </w:r>
    </w:p>
    <w:p w14:paraId="779C2278">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1.提供（包括但不限于）：银行、医保、保险、非银支付机构、外部数据上报平台或监管平台等外部机构的接入标准。</w:t>
      </w:r>
    </w:p>
    <w:p w14:paraId="4C99943D">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2.达到满足互联互通三级的系统对接个数要求。</w:t>
      </w:r>
    </w:p>
    <w:p w14:paraId="4363AA2A">
      <w:pPr>
        <w:pageBreakBefore w:val="0"/>
        <w:kinsoku/>
        <w:wordWrap/>
        <w:overflowPunct/>
        <w:topLinePunct w:val="0"/>
        <w:autoSpaceDE/>
        <w:autoSpaceDN/>
        <w:bidi w:val="0"/>
        <w:adjustRightInd/>
        <w:spacing w:line="440" w:lineRule="exact"/>
        <w:ind w:right="65"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3.系统接口：提供接口开发文档，指导配合相关系统进行改造和联调。</w:t>
      </w:r>
    </w:p>
    <w:bookmarkEnd w:id="48"/>
    <w:bookmarkEnd w:id="49"/>
    <w:p w14:paraId="6685BDF4">
      <w:pPr>
        <w:keepNext w:val="0"/>
        <w:keepLines w:val="0"/>
        <w:pageBreakBefore w:val="0"/>
        <w:widowControl w:val="0"/>
        <w:kinsoku/>
        <w:wordWrap/>
        <w:overflowPunct/>
        <w:topLinePunct w:val="0"/>
        <w:autoSpaceDE/>
        <w:autoSpaceDN/>
        <w:bidi w:val="0"/>
        <w:adjustRightInd/>
        <w:snapToGrid/>
        <w:spacing w:line="440" w:lineRule="exact"/>
        <w:ind w:right="62"/>
        <w:textAlignment w:val="auto"/>
        <w:rPr>
          <w:rFonts w:hint="eastAsia" w:ascii="仿宋" w:hAnsi="仿宋" w:eastAsia="仿宋" w:cs="仿宋"/>
          <w:color w:val="auto"/>
          <w:sz w:val="24"/>
          <w:szCs w:val="24"/>
          <w:highlight w:val="none"/>
        </w:rPr>
      </w:pPr>
      <w:bookmarkStart w:id="50" w:name="_Toc131751129"/>
      <w:bookmarkStart w:id="51" w:name="_Toc142056163"/>
      <w:bookmarkStart w:id="52" w:name="_Toc88742969"/>
      <w:r>
        <w:rPr>
          <w:rFonts w:hint="eastAsia" w:ascii="仿宋" w:hAnsi="仿宋" w:eastAsia="仿宋" w:cs="仿宋"/>
          <w:b/>
          <w:bCs/>
          <w:color w:val="auto"/>
          <w:sz w:val="24"/>
          <w:szCs w:val="24"/>
          <w:highlight w:val="none"/>
        </w:rPr>
        <w:t>1.4.2临床数据中心</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xml:space="preserve">1.4.2.1 </w:t>
      </w:r>
      <w:bookmarkEnd w:id="50"/>
      <w:bookmarkEnd w:id="51"/>
      <w:bookmarkEnd w:id="52"/>
      <w:r>
        <w:rPr>
          <w:rFonts w:hint="eastAsia" w:ascii="仿宋" w:hAnsi="仿宋" w:eastAsia="仿宋" w:cs="仿宋"/>
          <w:color w:val="auto"/>
          <w:sz w:val="24"/>
          <w:szCs w:val="24"/>
          <w:highlight w:val="none"/>
        </w:rPr>
        <w:t>临床数据检索系统</w:t>
      </w:r>
    </w:p>
    <w:p w14:paraId="6940CB4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2" w:firstLineChars="200"/>
        <w:textAlignment w:val="auto"/>
        <w:rPr>
          <w:rFonts w:hint="eastAsia" w:ascii="仿宋" w:hAnsi="仿宋" w:eastAsia="仿宋" w:cs="仿宋"/>
          <w:b/>
          <w:bCs/>
          <w:color w:val="auto"/>
          <w:sz w:val="24"/>
          <w:szCs w:val="24"/>
          <w:highlight w:val="none"/>
          <w:lang w:val="en-US"/>
        </w:rPr>
      </w:pPr>
      <w:r>
        <w:rPr>
          <w:rFonts w:hint="eastAsia" w:ascii="仿宋" w:hAnsi="仿宋" w:eastAsia="仿宋" w:cs="仿宋"/>
          <w:b/>
          <w:bCs/>
          <w:color w:val="auto"/>
          <w:kern w:val="2"/>
          <w:sz w:val="24"/>
          <w:szCs w:val="24"/>
          <w:highlight w:val="none"/>
          <w:lang w:val="en-US" w:eastAsia="zh-CN" w:bidi="ar-SA"/>
        </w:rPr>
        <w:t>1.</w:t>
      </w:r>
      <w:r>
        <w:rPr>
          <w:rFonts w:hint="eastAsia" w:ascii="仿宋" w:hAnsi="仿宋" w:eastAsia="仿宋" w:cs="仿宋"/>
          <w:b/>
          <w:bCs/>
          <w:color w:val="auto"/>
          <w:sz w:val="24"/>
          <w:szCs w:val="24"/>
          <w:highlight w:val="none"/>
          <w:lang w:val="en-US"/>
        </w:rPr>
        <w:t>住院病历检索</w:t>
      </w:r>
    </w:p>
    <w:p w14:paraId="765D875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1.1查询条件定义</w:t>
      </w:r>
    </w:p>
    <w:p w14:paraId="12140D19">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支持对诊断检索条件的设置；</w:t>
      </w:r>
    </w:p>
    <w:p w14:paraId="13FA8847">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支持对手术检索条件的设置；</w:t>
      </w:r>
    </w:p>
    <w:p w14:paraId="798DD670">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支持对操作检索条件的设置；</w:t>
      </w:r>
    </w:p>
    <w:p w14:paraId="51C71116">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right="62" w:rightChars="0" w:firstLine="480" w:firstLineChars="200"/>
        <w:textAlignment w:val="auto"/>
        <w:rPr>
          <w:rFonts w:hint="eastAsia" w:ascii="仿宋" w:hAnsi="仿宋" w:eastAsia="仿宋" w:cs="仿宋"/>
          <w:color w:val="auto"/>
          <w:sz w:val="24"/>
          <w:szCs w:val="24"/>
          <w:highlight w:val="none"/>
          <w:lang w:val="en-US"/>
        </w:rPr>
      </w:pPr>
      <w:r>
        <w:rPr>
          <w:rFonts w:hint="eastAsia" w:ascii="仿宋" w:hAnsi="仿宋" w:eastAsia="仿宋" w:cs="仿宋"/>
          <w:b w:val="0"/>
          <w:bCs w:val="0"/>
          <w:color w:val="auto"/>
          <w:sz w:val="24"/>
          <w:szCs w:val="24"/>
          <w:highlight w:val="none"/>
          <w:lang w:val="en-US"/>
        </w:rPr>
        <w:t>▲支持对结构化病历文书条件的设置，可精确到具体文书类型中的具体结构化数据，让检索结果更加符合临床及科研需要；同种病历文书支持组合检索，即可同时检索多个关键字，基于搜索引擎的方式，多包含多个关键字的病历内容进行展示，检索内容更加精确；</w:t>
      </w:r>
      <w:r>
        <w:rPr>
          <w:rFonts w:hint="eastAsia" w:ascii="仿宋" w:hAnsi="仿宋" w:eastAsia="仿宋" w:cs="仿宋"/>
          <w:b/>
          <w:bCs/>
          <w:color w:val="auto"/>
          <w:sz w:val="24"/>
          <w:szCs w:val="24"/>
          <w:highlight w:val="none"/>
          <w:lang w:val="en-US"/>
        </w:rPr>
        <w:t>（提供系统功能截图证明）</w:t>
      </w:r>
    </w:p>
    <w:p w14:paraId="00D7A0DA">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right="62" w:rightChars="0" w:firstLine="480" w:firstLineChars="200"/>
        <w:textAlignment w:val="auto"/>
        <w:rPr>
          <w:rFonts w:hint="eastAsia" w:ascii="仿宋" w:hAnsi="仿宋" w:eastAsia="仿宋" w:cs="仿宋"/>
          <w:color w:val="auto"/>
          <w:sz w:val="24"/>
          <w:szCs w:val="24"/>
          <w:highlight w:val="none"/>
          <w:lang w:val="en-US"/>
        </w:rPr>
      </w:pPr>
      <w:r>
        <w:rPr>
          <w:rFonts w:hint="eastAsia" w:ascii="仿宋" w:hAnsi="仿宋" w:eastAsia="仿宋" w:cs="仿宋"/>
          <w:b w:val="0"/>
          <w:bCs w:val="0"/>
          <w:color w:val="auto"/>
          <w:sz w:val="24"/>
          <w:szCs w:val="24"/>
          <w:highlight w:val="none"/>
          <w:lang w:val="en-US"/>
        </w:rPr>
        <w:t>▲支持对医嘱检索条件的设置，同种条件可设置多个条件，并支持自主设置逻辑与、或关系。</w:t>
      </w:r>
      <w:r>
        <w:rPr>
          <w:rFonts w:hint="eastAsia" w:ascii="仿宋" w:hAnsi="仿宋" w:eastAsia="仿宋" w:cs="仿宋"/>
          <w:b/>
          <w:bCs/>
          <w:color w:val="auto"/>
          <w:sz w:val="24"/>
          <w:szCs w:val="24"/>
          <w:highlight w:val="none"/>
          <w:lang w:val="en-US"/>
        </w:rPr>
        <w:t>（提供系统功能截图证明）</w:t>
      </w:r>
    </w:p>
    <w:p w14:paraId="3FA5F82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1.2查询结果列定义</w:t>
      </w:r>
    </w:p>
    <w:p w14:paraId="5FA3B03C">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color w:val="auto"/>
          <w:sz w:val="24"/>
          <w:szCs w:val="24"/>
          <w:highlight w:val="none"/>
          <w:lang w:val="en-US"/>
        </w:rPr>
      </w:pPr>
      <w:r>
        <w:rPr>
          <w:rFonts w:hint="eastAsia" w:ascii="仿宋" w:hAnsi="仿宋" w:eastAsia="仿宋" w:cs="仿宋"/>
          <w:b w:val="0"/>
          <w:bCs w:val="0"/>
          <w:color w:val="auto"/>
          <w:sz w:val="24"/>
          <w:szCs w:val="24"/>
          <w:highlight w:val="none"/>
          <w:lang w:val="en-US"/>
        </w:rPr>
        <w:t>支持对查询结果列的自主添加，满足多样化的报表要求；支持汉字检索查询结果列，便于用户快速添加所需结果列；</w:t>
      </w:r>
    </w:p>
    <w:p w14:paraId="0F9C1361">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支持查询结果分页展示、查询效率更快捷，同时支持导出excel；</w:t>
      </w:r>
    </w:p>
    <w:p w14:paraId="6A59E8ED">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 xml:space="preserve">支持多个查询结果标签的展示，对不同的条件可支持结果的比对，寻找不同结果的差异性和共性； </w:t>
      </w:r>
    </w:p>
    <w:p w14:paraId="3DBCB36F">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支持查看住院患者历次的住院资料，避免临床数据检索系统与电子病历系统频繁切换；</w:t>
      </w:r>
    </w:p>
    <w:p w14:paraId="3369BBC1">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支持查询结果展示当前导出人姓名的水印，避免患者数据被滥用。</w:t>
      </w:r>
    </w:p>
    <w:p w14:paraId="46EEB10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1.3查询方案定义</w:t>
      </w:r>
    </w:p>
    <w:p w14:paraId="46881DC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kern w:val="2"/>
          <w:sz w:val="24"/>
          <w:szCs w:val="24"/>
          <w:highlight w:val="none"/>
          <w:lang w:val="en-US" w:eastAsia="zh-CN" w:bidi="ar-SA"/>
        </w:rPr>
        <w:t>1)</w:t>
      </w:r>
      <w:r>
        <w:rPr>
          <w:rFonts w:hint="eastAsia" w:ascii="仿宋" w:hAnsi="仿宋" w:eastAsia="仿宋" w:cs="仿宋"/>
          <w:b w:val="0"/>
          <w:bCs w:val="0"/>
          <w:color w:val="auto"/>
          <w:sz w:val="24"/>
          <w:szCs w:val="24"/>
          <w:highlight w:val="none"/>
          <w:lang w:val="en-US"/>
        </w:rPr>
        <w:t>支持将查询条件、查询结果列保存为方案，设置具体的方案名称、排序及方案可见性，便于方案后期的重复利用；</w:t>
      </w:r>
    </w:p>
    <w:p w14:paraId="7D04440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kern w:val="2"/>
          <w:sz w:val="24"/>
          <w:szCs w:val="24"/>
          <w:highlight w:val="none"/>
          <w:lang w:val="en-US" w:eastAsia="zh-CN" w:bidi="ar-SA"/>
        </w:rPr>
        <w:t>2)</w:t>
      </w:r>
      <w:r>
        <w:rPr>
          <w:rFonts w:hint="eastAsia" w:ascii="仿宋" w:hAnsi="仿宋" w:eastAsia="仿宋" w:cs="仿宋"/>
          <w:b w:val="0"/>
          <w:bCs w:val="0"/>
          <w:color w:val="auto"/>
          <w:sz w:val="24"/>
          <w:szCs w:val="24"/>
          <w:highlight w:val="none"/>
          <w:lang w:val="en-US"/>
        </w:rPr>
        <w:t>支持对已保存的方案进行方案名称、排序及方案可见性的修改、删除；</w:t>
      </w:r>
    </w:p>
    <w:p w14:paraId="3F43909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3)支持对已保存的方案进行重新获取，对已保存的查询条件、查询结果支持修改、删除，同时可另存为新方案，定义新方案的名称、排序及可见性；</w:t>
      </w:r>
    </w:p>
    <w:p w14:paraId="6C74C39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4)针对已设置的方案支持汇总统计；</w:t>
      </w:r>
    </w:p>
    <w:p w14:paraId="08CB4B1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5)支持按照科室查询详细的数据并支持数据的深度钻取；</w:t>
      </w:r>
    </w:p>
    <w:p w14:paraId="6B9C63D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1.4查询功能授权</w:t>
      </w:r>
    </w:p>
    <w:p w14:paraId="58D6644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1)支持对查询条件进行授权，满足医生和管理者个性化需求；</w:t>
      </w:r>
    </w:p>
    <w:p w14:paraId="3D997C0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2)支持对查询结果、查询内容如病历文书、医嘱检验、检查、药品进行一一授权，满足医生和管理者不同的需求；</w:t>
      </w:r>
    </w:p>
    <w:p w14:paraId="1BD182C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3)支持对医务管理者、医生、护士不同角色进行授权，分别设置不同的查询条件和查询结果；</w:t>
      </w:r>
    </w:p>
    <w:p w14:paraId="70890A5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4)支持对临床医生不同科室进行授权，分别设置不同的查询条件和查询结果；</w:t>
      </w:r>
    </w:p>
    <w:p w14:paraId="4EFEEAA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5)支持对护士不同病区进行授权，分别设置不同的查询条件和查询结果。</w:t>
      </w:r>
    </w:p>
    <w:p w14:paraId="1E99CD8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2" w:firstLineChars="200"/>
        <w:textAlignment w:val="auto"/>
        <w:rPr>
          <w:rFonts w:hint="eastAsia" w:ascii="仿宋" w:hAnsi="仿宋" w:eastAsia="仿宋" w:cs="仿宋"/>
          <w:b/>
          <w:bCs/>
          <w:color w:val="auto"/>
          <w:sz w:val="24"/>
          <w:szCs w:val="24"/>
          <w:highlight w:val="none"/>
          <w:lang w:val="en-US"/>
        </w:rPr>
      </w:pPr>
      <w:r>
        <w:rPr>
          <w:rFonts w:hint="eastAsia" w:ascii="仿宋" w:hAnsi="仿宋" w:eastAsia="仿宋" w:cs="仿宋"/>
          <w:b/>
          <w:bCs/>
          <w:color w:val="auto"/>
          <w:sz w:val="24"/>
          <w:szCs w:val="24"/>
          <w:highlight w:val="none"/>
          <w:lang w:val="en-US"/>
        </w:rPr>
        <w:t>2.门诊病历检索</w:t>
      </w:r>
    </w:p>
    <w:p w14:paraId="4549C6E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2.1查询条件定义</w:t>
      </w:r>
    </w:p>
    <w:p w14:paraId="52D463A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1)支持对基本信息检索条件的灵活设置；</w:t>
      </w:r>
    </w:p>
    <w:p w14:paraId="0733112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2)支持对诊断检索条件的灵活设置，并支持中文、拼音首字母模糊检索；</w:t>
      </w:r>
    </w:p>
    <w:p w14:paraId="53E2824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3)支持对结构化病历文书中的具体结构化数据的灵活设置，让检索结果更加符合临床及科研需要；同种病历文书支持组合检索，即可同时检索多个关键字，基于搜索引擎的方式，多包含多个关键字的病历内容进行展示，检索内容更加精确；</w:t>
      </w:r>
    </w:p>
    <w:p w14:paraId="42DB29F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4)支持对门诊医嘱条件的灵活设置，同种条件可设置多个条件，并支持自主设置逻辑与、或关系。</w:t>
      </w:r>
    </w:p>
    <w:p w14:paraId="22CC7DF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2.2查询结果列定义</w:t>
      </w:r>
    </w:p>
    <w:p w14:paraId="5C99ED3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1)支持对查询列表的自主添加，满足多样化的报表要求；</w:t>
      </w:r>
    </w:p>
    <w:p w14:paraId="7563B89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2)支持查询结果分页展示、并导出excel；</w:t>
      </w:r>
    </w:p>
    <w:p w14:paraId="60BD9C6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3)支持多个查询结果标签的展示，对不同的条件可支持结果的比对，寻找不同结果的差异性和共性；</w:t>
      </w:r>
    </w:p>
    <w:p w14:paraId="32C5AD9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4)支持查看门诊患者历次的门诊就诊记录，避免临床数据检索系统与门诊电子病历系统频繁切换。</w:t>
      </w:r>
    </w:p>
    <w:p w14:paraId="44417C9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2.3查询方案定义</w:t>
      </w:r>
    </w:p>
    <w:p w14:paraId="37CB038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1)支持将查询条件、查询结果列保存为方案，便于方案后期的重复利用；</w:t>
      </w:r>
    </w:p>
    <w:p w14:paraId="796D3DF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2)支持对已保存的方案进行方案名称、排序及方案可见性的修改、删除；</w:t>
      </w:r>
    </w:p>
    <w:p w14:paraId="62CB6B9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3)支持对已保存的方案进行重新获取，对已保存的查询条件、查询结果支持修改、删除，同时可另存为新方案，定义新方案的名称、排序及可见性。</w:t>
      </w:r>
    </w:p>
    <w:p w14:paraId="7472075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2.4查询功能授权</w:t>
      </w:r>
    </w:p>
    <w:p w14:paraId="7E66FDA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1)支持对查询条件基本信息、病历文书类型及结构化点、医嘱、检验、检查、药品进行授权，满足医生和管理者个性化需求；</w:t>
      </w:r>
    </w:p>
    <w:p w14:paraId="7BBD012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2)支持对查询结果基本信息、病历文书类型及结构化点、医嘱、检验、检查、药品进行授权，满足医生和管理者不同的需求；</w:t>
      </w:r>
    </w:p>
    <w:p w14:paraId="1FC7C56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3)支持对门诊办、门诊医生不同角色进行授权，分别设置不同的查询条件和查询结果；</w:t>
      </w:r>
    </w:p>
    <w:p w14:paraId="61E90D1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4.支持对门诊医生不同科室进行授权，分别设置不同的查询条件和查询结果的权限。</w:t>
      </w:r>
    </w:p>
    <w:p w14:paraId="526D63E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2" w:firstLineChars="200"/>
        <w:textAlignment w:val="auto"/>
        <w:rPr>
          <w:rFonts w:hint="eastAsia" w:ascii="仿宋" w:hAnsi="仿宋" w:eastAsia="仿宋" w:cs="仿宋"/>
          <w:b/>
          <w:bCs/>
          <w:color w:val="auto"/>
          <w:sz w:val="24"/>
          <w:szCs w:val="24"/>
          <w:highlight w:val="none"/>
          <w:lang w:val="en-US"/>
        </w:rPr>
      </w:pPr>
      <w:r>
        <w:rPr>
          <w:rFonts w:hint="eastAsia" w:ascii="仿宋" w:hAnsi="仿宋" w:eastAsia="仿宋" w:cs="仿宋"/>
          <w:b/>
          <w:bCs/>
          <w:color w:val="auto"/>
          <w:sz w:val="24"/>
          <w:szCs w:val="24"/>
          <w:highlight w:val="none"/>
          <w:lang w:val="en-US"/>
        </w:rPr>
        <w:t>3.隐私安全设置</w:t>
      </w:r>
    </w:p>
    <w:p w14:paraId="0EEB0F4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3.1为保护患者隐私，支持对患者信息、病历文书结构化点进行脱敏处理；</w:t>
      </w:r>
    </w:p>
    <w:p w14:paraId="67078AA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3.2支持不同角色、用户导出excel功能的设限；</w:t>
      </w:r>
    </w:p>
    <w:p w14:paraId="2713FED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3.3支持不允许临床检索的诊断名称设置功能，杜绝临床医生检索敏感诊断；</w:t>
      </w:r>
    </w:p>
    <w:p w14:paraId="43F71D8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62"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3.4支持对不同角色、不同用户、不同的职能科室进行隐私设置。</w:t>
      </w:r>
    </w:p>
    <w:p w14:paraId="29E8F28E">
      <w:pPr>
        <w:pStyle w:val="4"/>
        <w:pageBreakBefore w:val="0"/>
        <w:tabs>
          <w:tab w:val="left" w:pos="1145"/>
          <w:tab w:val="clear" w:pos="432"/>
        </w:tabs>
        <w:kinsoku/>
        <w:wordWrap/>
        <w:overflowPunct/>
        <w:topLinePunct w:val="0"/>
        <w:autoSpaceDE/>
        <w:autoSpaceDN/>
        <w:bidi w:val="0"/>
        <w:spacing w:line="440" w:lineRule="exac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4.日志查看</w:t>
      </w:r>
    </w:p>
    <w:p w14:paraId="6B8C5321">
      <w:pPr>
        <w:pStyle w:val="4"/>
        <w:pageBreakBefore w:val="0"/>
        <w:tabs>
          <w:tab w:val="left" w:pos="1145"/>
          <w:tab w:val="clear" w:pos="432"/>
        </w:tabs>
        <w:kinsoku/>
        <w:wordWrap/>
        <w:overflowPunct/>
        <w:topLinePunct w:val="0"/>
        <w:autoSpaceDE/>
        <w:autoSpaceDN/>
        <w:bidi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4.1支持根据操作日期范围、操作类型（包含查询、导出）、操作人ID进行临床数据查询操作；</w:t>
      </w:r>
    </w:p>
    <w:p w14:paraId="47C582D1">
      <w:pPr>
        <w:pStyle w:val="4"/>
        <w:pageBreakBefore w:val="0"/>
        <w:tabs>
          <w:tab w:val="left" w:pos="1145"/>
          <w:tab w:val="clear" w:pos="432"/>
        </w:tabs>
        <w:kinsoku/>
        <w:wordWrap/>
        <w:overflowPunct/>
        <w:topLinePunct w:val="0"/>
        <w:autoSpaceDE/>
        <w:autoSpaceDN/>
        <w:bidi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4.2支持查询结果显示查询操作人、操作人ID、操作人职称、操作时间、操作具体内容及操作者IP地址；</w:t>
      </w:r>
    </w:p>
    <w:p w14:paraId="1E94CAF3">
      <w:pPr>
        <w:pStyle w:val="4"/>
        <w:pageBreakBefore w:val="0"/>
        <w:tabs>
          <w:tab w:val="left" w:pos="1145"/>
          <w:tab w:val="clear" w:pos="432"/>
        </w:tabs>
        <w:kinsoku/>
        <w:wordWrap/>
        <w:overflowPunct/>
        <w:topLinePunct w:val="0"/>
        <w:autoSpaceDE/>
        <w:autoSpaceDN/>
        <w:bidi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4.3支持操作详细内容查看和导出功能；</w:t>
      </w:r>
    </w:p>
    <w:p w14:paraId="5356B77D">
      <w:pPr>
        <w:pStyle w:val="4"/>
        <w:pageBreakBefore w:val="0"/>
        <w:tabs>
          <w:tab w:val="left" w:pos="1145"/>
          <w:tab w:val="clear" w:pos="432"/>
        </w:tabs>
        <w:kinsoku/>
        <w:wordWrap/>
        <w:overflowPunct/>
        <w:topLinePunct w:val="0"/>
        <w:autoSpaceDE/>
        <w:autoSpaceDN/>
        <w:bidi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4.4支持操作日志导出，导出结果列需与系统展示界面内容一致。</w:t>
      </w:r>
    </w:p>
    <w:p w14:paraId="0098775F">
      <w:pPr>
        <w:pageBreakBefore w:val="0"/>
        <w:kinsoku/>
        <w:wordWrap/>
        <w:overflowPunct/>
        <w:topLinePunct w:val="0"/>
        <w:autoSpaceDE/>
        <w:autoSpaceDN/>
        <w:bidi w:val="0"/>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1.4.2.2临床知识库</w:t>
      </w:r>
    </w:p>
    <w:p w14:paraId="40213F07">
      <w:pPr>
        <w:pageBreakBefore w:val="0"/>
        <w:numPr>
          <w:ilvl w:val="0"/>
          <w:numId w:val="0"/>
        </w:numPr>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kern w:val="2"/>
          <w:sz w:val="24"/>
          <w:szCs w:val="24"/>
          <w:highlight w:val="none"/>
          <w:lang w:val="en-US" w:eastAsia="zh-CN" w:bidi="ar-SA"/>
        </w:rPr>
        <w:t>1.</w:t>
      </w:r>
      <w:r>
        <w:rPr>
          <w:rFonts w:hint="eastAsia" w:ascii="仿宋" w:hAnsi="仿宋" w:eastAsia="仿宋" w:cs="仿宋"/>
          <w:b w:val="0"/>
          <w:bCs w:val="0"/>
          <w:color w:val="auto"/>
          <w:sz w:val="24"/>
          <w:szCs w:val="24"/>
          <w:highlight w:val="none"/>
          <w:lang w:val="en-US"/>
        </w:rPr>
        <w:t>知识库管理平台</w:t>
      </w:r>
    </w:p>
    <w:p w14:paraId="1FBF7246">
      <w:pPr>
        <w:pageBreakBefore w:val="0"/>
        <w:numPr>
          <w:ilvl w:val="0"/>
          <w:numId w:val="0"/>
        </w:numPr>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kern w:val="2"/>
          <w:sz w:val="24"/>
          <w:szCs w:val="24"/>
          <w:highlight w:val="none"/>
          <w:lang w:val="en-US" w:eastAsia="zh-CN" w:bidi="ar-SA"/>
        </w:rPr>
        <w:t>2.</w:t>
      </w:r>
      <w:r>
        <w:rPr>
          <w:rFonts w:hint="eastAsia" w:ascii="仿宋" w:hAnsi="仿宋" w:eastAsia="仿宋" w:cs="仿宋"/>
          <w:b w:val="0"/>
          <w:bCs w:val="0"/>
          <w:color w:val="auto"/>
          <w:sz w:val="24"/>
          <w:szCs w:val="24"/>
          <w:highlight w:val="none"/>
          <w:lang w:val="en-US"/>
        </w:rPr>
        <w:t>1.1面向医院提供自建知识库的平台，遵循《医疗机构临床决策支持系统应用管理规范（试行）》规范要求，提供的知识类型要包括但不限于法律法规、部门规章、规范性文件，国家认可的药品说明书、医疗器械注册证、临床路径、临床诊疗指南、技术操作规范、标准、医学教材、专家共识、专著、文献等；</w:t>
      </w:r>
    </w:p>
    <w:p w14:paraId="0D6AF85D">
      <w:pPr>
        <w:pageBreakBefore w:val="0"/>
        <w:numPr>
          <w:ilvl w:val="0"/>
          <w:numId w:val="0"/>
        </w:numPr>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1.2能够按照不同知识类型定义关键节点信息，包括出处、来源、发布时间等；</w:t>
      </w:r>
    </w:p>
    <w:p w14:paraId="2D95D4BD">
      <w:pPr>
        <w:pageBreakBefore w:val="0"/>
        <w:numPr>
          <w:ilvl w:val="0"/>
          <w:numId w:val="0"/>
        </w:numPr>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1.3支持插入图表、图片等功能，以实现不同形式的知识呈现方式；</w:t>
      </w:r>
    </w:p>
    <w:p w14:paraId="680E75EA">
      <w:pPr>
        <w:pageBreakBefore w:val="0"/>
        <w:numPr>
          <w:ilvl w:val="0"/>
          <w:numId w:val="0"/>
        </w:numPr>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1.4支持上传附件和导出功能；</w:t>
      </w:r>
    </w:p>
    <w:p w14:paraId="5E15B4CA">
      <w:pPr>
        <w:pageBreakBefore w:val="0"/>
        <w:numPr>
          <w:ilvl w:val="0"/>
          <w:numId w:val="0"/>
        </w:numPr>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kern w:val="2"/>
          <w:sz w:val="24"/>
          <w:szCs w:val="24"/>
          <w:highlight w:val="none"/>
          <w:lang w:val="en-US" w:eastAsia="zh-CN" w:bidi="ar-SA"/>
        </w:rPr>
        <w:t>2.</w:t>
      </w:r>
      <w:r>
        <w:rPr>
          <w:rFonts w:hint="eastAsia" w:ascii="仿宋" w:hAnsi="仿宋" w:eastAsia="仿宋" w:cs="仿宋"/>
          <w:b w:val="0"/>
          <w:bCs w:val="0"/>
          <w:color w:val="auto"/>
          <w:sz w:val="24"/>
          <w:szCs w:val="24"/>
          <w:highlight w:val="none"/>
          <w:lang w:val="en-US"/>
        </w:rPr>
        <w:t>知识审核管理</w:t>
      </w:r>
    </w:p>
    <w:p w14:paraId="7F9E6BBF">
      <w:pPr>
        <w:pageBreakBefore w:val="0"/>
        <w:numPr>
          <w:ilvl w:val="0"/>
          <w:numId w:val="0"/>
        </w:numPr>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2.1提供全面的院内知识周期管理审核功能，支持逐级审批，确保所维护知识的准确性和权威性；</w:t>
      </w:r>
    </w:p>
    <w:p w14:paraId="798F006A">
      <w:pPr>
        <w:pageBreakBefore w:val="0"/>
        <w:numPr>
          <w:ilvl w:val="0"/>
          <w:numId w:val="0"/>
        </w:numPr>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2.2提供知识审核功能，审核节点可以按照医院要求自定义；</w:t>
      </w:r>
    </w:p>
    <w:p w14:paraId="451450F6">
      <w:pPr>
        <w:pageBreakBefore w:val="0"/>
        <w:numPr>
          <w:ilvl w:val="0"/>
          <w:numId w:val="0"/>
        </w:numPr>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2.3未审核通过的知识条目不能应用于临床；</w:t>
      </w:r>
    </w:p>
    <w:p w14:paraId="6683333E">
      <w:pPr>
        <w:pageBreakBefore w:val="0"/>
        <w:numPr>
          <w:ilvl w:val="0"/>
          <w:numId w:val="0"/>
        </w:numPr>
        <w:kinsoku/>
        <w:wordWrap/>
        <w:overflowPunct/>
        <w:topLinePunct w:val="0"/>
        <w:autoSpaceDE/>
        <w:autoSpaceDN/>
        <w:bidi w:val="0"/>
        <w:spacing w:line="440" w:lineRule="exact"/>
        <w:ind w:left="0" w:lef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kern w:val="2"/>
          <w:sz w:val="24"/>
          <w:szCs w:val="24"/>
          <w:highlight w:val="none"/>
          <w:lang w:val="en-US" w:eastAsia="zh-CN" w:bidi="ar-SA"/>
        </w:rPr>
        <w:t>3.</w:t>
      </w:r>
      <w:r>
        <w:rPr>
          <w:rFonts w:hint="eastAsia" w:ascii="仿宋" w:hAnsi="仿宋" w:eastAsia="仿宋" w:cs="仿宋"/>
          <w:b w:val="0"/>
          <w:bCs w:val="0"/>
          <w:color w:val="auto"/>
          <w:sz w:val="24"/>
          <w:szCs w:val="24"/>
          <w:highlight w:val="none"/>
          <w:lang w:val="en-US"/>
        </w:rPr>
        <w:t>知识应用管理</w:t>
      </w:r>
    </w:p>
    <w:p w14:paraId="685A87E9">
      <w:pPr>
        <w:pageBreakBefore w:val="0"/>
        <w:numPr>
          <w:ilvl w:val="0"/>
          <w:numId w:val="0"/>
        </w:numPr>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提供知识查询功能：医院临床工作站集成知识平台，医护可便捷查询多维筛选专业知识。</w:t>
      </w:r>
    </w:p>
    <w:p w14:paraId="785A62F8">
      <w:pPr>
        <w:pStyle w:val="4"/>
        <w:pageBreakBefore w:val="0"/>
        <w:tabs>
          <w:tab w:val="left" w:pos="1145"/>
          <w:tab w:val="clear" w:pos="432"/>
        </w:tabs>
        <w:kinsoku/>
        <w:wordWrap/>
        <w:overflowPunct/>
        <w:topLinePunct w:val="0"/>
        <w:autoSpaceDE/>
        <w:autoSpaceDN/>
        <w:bidi w:val="0"/>
        <w:spacing w:line="440" w:lineRule="exact"/>
        <w:ind w:left="0" w:firstLine="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1.4.2.3</w:t>
      </w:r>
      <w:r>
        <w:rPr>
          <w:rFonts w:hint="eastAsia" w:ascii="仿宋" w:hAnsi="仿宋" w:eastAsia="仿宋" w:cs="仿宋"/>
          <w:color w:val="auto"/>
          <w:sz w:val="24"/>
          <w:szCs w:val="24"/>
          <w:highlight w:val="none"/>
        </w:rPr>
        <w:t>电子病历共享文档库</w:t>
      </w:r>
    </w:p>
    <w:p w14:paraId="167109A1">
      <w:pPr>
        <w:pStyle w:val="860"/>
        <w:pageBreakBefore w:val="0"/>
        <w:kinsoku/>
        <w:wordWrap/>
        <w:overflowPunct/>
        <w:topLinePunct w:val="0"/>
        <w:autoSpaceDE/>
        <w:autoSpaceDN/>
        <w:bidi w:val="0"/>
        <w:adjustRightInd/>
        <w:spacing w:line="440" w:lineRule="exact"/>
        <w:ind w:firstLine="42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1.建立电子病历文档库，遵循国家卫计委《电子病历共享文档规范》，至少包含标准要求的53类共享文档；并支持自定义扩展。</w:t>
      </w:r>
    </w:p>
    <w:p w14:paraId="735FFBBC">
      <w:pPr>
        <w:pStyle w:val="860"/>
        <w:pageBreakBefore w:val="0"/>
        <w:kinsoku/>
        <w:wordWrap/>
        <w:overflowPunct/>
        <w:topLinePunct w:val="0"/>
        <w:autoSpaceDE/>
        <w:autoSpaceDN/>
        <w:bidi w:val="0"/>
        <w:adjustRightInd/>
        <w:spacing w:line="440" w:lineRule="exact"/>
        <w:ind w:firstLine="42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2.提供独立的非结构化存储的文档数据存储系统，以替代关系数据库的存储模式。</w:t>
      </w:r>
    </w:p>
    <w:p w14:paraId="60CD5DE1">
      <w:pPr>
        <w:pStyle w:val="860"/>
        <w:pageBreakBefore w:val="0"/>
        <w:kinsoku/>
        <w:wordWrap/>
        <w:overflowPunct/>
        <w:topLinePunct w:val="0"/>
        <w:autoSpaceDE/>
        <w:autoSpaceDN/>
        <w:bidi w:val="0"/>
        <w:adjustRightInd/>
        <w:spacing w:line="440" w:lineRule="exact"/>
        <w:ind w:firstLine="42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3.支持非结构化数据的存储，包含但不限于图片、pdf、html、word。</w:t>
      </w:r>
    </w:p>
    <w:p w14:paraId="094CA03E">
      <w:pPr>
        <w:pStyle w:val="860"/>
        <w:pageBreakBefore w:val="0"/>
        <w:kinsoku/>
        <w:wordWrap/>
        <w:overflowPunct/>
        <w:topLinePunct w:val="0"/>
        <w:autoSpaceDE/>
        <w:autoSpaceDN/>
        <w:bidi w:val="0"/>
        <w:adjustRightInd/>
        <w:spacing w:line="440" w:lineRule="exact"/>
        <w:ind w:firstLine="42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4.提供历史数据集生成共享文档CDA的功能，支持增加采集任务，采集对应的数据集，可配置执行时间。</w:t>
      </w:r>
    </w:p>
    <w:p w14:paraId="74F679EC">
      <w:pPr>
        <w:pageBreakBefore w:val="0"/>
        <w:kinsoku/>
        <w:wordWrap/>
        <w:overflowPunct/>
        <w:topLinePunct w:val="0"/>
        <w:autoSpaceDE/>
        <w:autoSpaceDN/>
        <w:bidi w:val="0"/>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1.4.2.4患者全息视图</w:t>
      </w:r>
    </w:p>
    <w:p w14:paraId="1D8A7166">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患者全息视图以合适的UI集中展示医疗活动中需要的客观数据，提供全过程医疗数据的图表化表达，实现对各种医学影像、麻醉监护数据、手术、医嘱、检验、等多种医疗数据的综合阅览分析，为临床医护人员提供统一的、完整的、单一界面的数据整合视图，使医护人员在大量有参考价值的信息基础上，开展下一步的诊疗活动。集成视图打破院区、科室、系统的数据界限，实现医院的信息资产收益最大化。</w:t>
      </w:r>
    </w:p>
    <w:p w14:paraId="401FB42F">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功能要求：</w:t>
      </w:r>
    </w:p>
    <w:p w14:paraId="74F87C82">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sz w:val="24"/>
          <w:szCs w:val="24"/>
          <w:highlight w:val="none"/>
        </w:rPr>
        <w:t>单一界面，方便、准确、快捷的将病人各种资料整合展示；</w:t>
      </w:r>
    </w:p>
    <w:p w14:paraId="601B199B">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2.</w:t>
      </w:r>
      <w:r>
        <w:rPr>
          <w:rFonts w:hint="eastAsia" w:ascii="仿宋" w:hAnsi="仿宋" w:eastAsia="仿宋" w:cs="仿宋"/>
          <w:color w:val="auto"/>
          <w:sz w:val="24"/>
          <w:szCs w:val="24"/>
          <w:highlight w:val="none"/>
        </w:rPr>
        <w:t>提供方便的局部视图数据放大功能；</w:t>
      </w:r>
    </w:p>
    <w:p w14:paraId="6C645B53">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3.</w:t>
      </w:r>
      <w:r>
        <w:rPr>
          <w:rFonts w:hint="eastAsia" w:ascii="仿宋" w:hAnsi="仿宋" w:eastAsia="仿宋" w:cs="仿宋"/>
          <w:color w:val="auto"/>
          <w:sz w:val="24"/>
          <w:szCs w:val="24"/>
          <w:highlight w:val="none"/>
        </w:rPr>
        <w:t>提供查阅历次就诊医疗记录的功能，包含门诊、住院；</w:t>
      </w:r>
    </w:p>
    <w:p w14:paraId="125DBB7D">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4.</w:t>
      </w:r>
      <w:r>
        <w:rPr>
          <w:rFonts w:hint="eastAsia" w:ascii="仿宋" w:hAnsi="仿宋" w:eastAsia="仿宋" w:cs="仿宋"/>
          <w:color w:val="auto"/>
          <w:sz w:val="24"/>
          <w:szCs w:val="24"/>
          <w:highlight w:val="none"/>
        </w:rPr>
        <w:t>集中显示患者既往疾病诊断、既往手术室史、药物过敏史、不良反应史；</w:t>
      </w:r>
    </w:p>
    <w:p w14:paraId="24313582">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5.</w:t>
      </w:r>
      <w:r>
        <w:rPr>
          <w:rFonts w:hint="eastAsia" w:ascii="仿宋" w:hAnsi="仿宋" w:eastAsia="仿宋" w:cs="仿宋"/>
          <w:color w:val="auto"/>
          <w:sz w:val="24"/>
          <w:szCs w:val="24"/>
          <w:highlight w:val="none"/>
        </w:rPr>
        <w:t>提供查阅各类检查、检验报告，检验项目提供参考值，突出显示超出范围值的结果，有同类历史检验项目的，提供图形化比较展现；</w:t>
      </w:r>
    </w:p>
    <w:p w14:paraId="59FCD6B6">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6.</w:t>
      </w:r>
      <w:r>
        <w:rPr>
          <w:rFonts w:hint="eastAsia" w:ascii="仿宋" w:hAnsi="仿宋" w:eastAsia="仿宋" w:cs="仿宋"/>
          <w:color w:val="auto"/>
          <w:sz w:val="24"/>
          <w:szCs w:val="24"/>
          <w:highlight w:val="none"/>
        </w:rPr>
        <w:t>▲系统应支持按照报告单对报告视图进行分类展示，如血常规、尿常规等</w:t>
      </w:r>
      <w:r>
        <w:rPr>
          <w:rFonts w:hint="eastAsia" w:ascii="仿宋" w:hAnsi="仿宋" w:eastAsia="仿宋" w:cs="仿宋"/>
          <w:b/>
          <w:bCs/>
          <w:color w:val="auto"/>
          <w:sz w:val="24"/>
          <w:szCs w:val="24"/>
          <w:highlight w:val="none"/>
        </w:rPr>
        <w:t>（提供系统</w:t>
      </w:r>
      <w:r>
        <w:rPr>
          <w:rFonts w:hint="eastAsia" w:ascii="仿宋" w:hAnsi="仿宋" w:eastAsia="仿宋" w:cs="仿宋"/>
          <w:b/>
          <w:bCs/>
          <w:color w:val="auto"/>
          <w:sz w:val="24"/>
          <w:szCs w:val="24"/>
          <w:highlight w:val="none"/>
          <w:lang w:val="en-US" w:eastAsia="zh-CN"/>
        </w:rPr>
        <w:t>功能</w:t>
      </w:r>
      <w:r>
        <w:rPr>
          <w:rFonts w:hint="eastAsia" w:ascii="仿宋" w:hAnsi="仿宋" w:eastAsia="仿宋" w:cs="仿宋"/>
          <w:b/>
          <w:bCs/>
          <w:color w:val="auto"/>
          <w:sz w:val="24"/>
          <w:szCs w:val="24"/>
          <w:highlight w:val="none"/>
        </w:rPr>
        <w:t>截图证明）</w:t>
      </w:r>
      <w:r>
        <w:rPr>
          <w:rFonts w:hint="eastAsia" w:ascii="仿宋" w:hAnsi="仿宋" w:eastAsia="仿宋" w:cs="仿宋"/>
          <w:color w:val="auto"/>
          <w:sz w:val="24"/>
          <w:szCs w:val="24"/>
          <w:highlight w:val="none"/>
        </w:rPr>
        <w:t>；</w:t>
      </w:r>
    </w:p>
    <w:p w14:paraId="2A502BDA">
      <w:pPr>
        <w:pStyle w:val="860"/>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7.</w:t>
      </w:r>
      <w:r>
        <w:rPr>
          <w:rFonts w:hint="eastAsia" w:ascii="仿宋" w:hAnsi="仿宋" w:eastAsia="仿宋" w:cs="仿宋"/>
          <w:color w:val="auto"/>
          <w:sz w:val="24"/>
          <w:szCs w:val="24"/>
          <w:highlight w:val="none"/>
          <w:lang w:bidi="ar"/>
        </w:rPr>
        <w:t>▲在检验趋势图界面中，系统应支持用户指定节点（如特定时间点或检验项目值）来查看与该节点关联的用药信息，帮助医生了解指标变化与用药之间的关系</w:t>
      </w:r>
      <w:r>
        <w:rPr>
          <w:rFonts w:hint="eastAsia" w:ascii="仿宋" w:hAnsi="仿宋" w:eastAsia="仿宋" w:cs="仿宋"/>
          <w:b/>
          <w:bCs/>
          <w:color w:val="auto"/>
          <w:sz w:val="24"/>
          <w:szCs w:val="24"/>
          <w:highlight w:val="none"/>
        </w:rPr>
        <w:t>（提供系统</w:t>
      </w:r>
      <w:r>
        <w:rPr>
          <w:rFonts w:hint="eastAsia" w:ascii="仿宋" w:hAnsi="仿宋" w:eastAsia="仿宋" w:cs="仿宋"/>
          <w:b/>
          <w:bCs/>
          <w:color w:val="auto"/>
          <w:sz w:val="24"/>
          <w:szCs w:val="24"/>
          <w:highlight w:val="none"/>
          <w:lang w:val="en-US" w:eastAsia="zh-CN"/>
        </w:rPr>
        <w:t>功能</w:t>
      </w:r>
      <w:r>
        <w:rPr>
          <w:rFonts w:hint="eastAsia" w:ascii="仿宋" w:hAnsi="仿宋" w:eastAsia="仿宋" w:cs="仿宋"/>
          <w:b/>
          <w:bCs/>
          <w:color w:val="auto"/>
          <w:sz w:val="24"/>
          <w:szCs w:val="24"/>
          <w:highlight w:val="none"/>
        </w:rPr>
        <w:t>截图证明）</w:t>
      </w:r>
      <w:r>
        <w:rPr>
          <w:rFonts w:hint="eastAsia" w:ascii="仿宋" w:hAnsi="仿宋" w:eastAsia="仿宋" w:cs="仿宋"/>
          <w:color w:val="auto"/>
          <w:sz w:val="24"/>
          <w:szCs w:val="24"/>
          <w:highlight w:val="none"/>
          <w:lang w:bidi="ar"/>
        </w:rPr>
        <w:t>；</w:t>
      </w:r>
    </w:p>
    <w:p w14:paraId="73D67556">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8.</w:t>
      </w:r>
      <w:r>
        <w:rPr>
          <w:rFonts w:hint="eastAsia" w:ascii="仿宋" w:hAnsi="仿宋" w:eastAsia="仿宋" w:cs="仿宋"/>
          <w:color w:val="auto"/>
          <w:sz w:val="24"/>
          <w:szCs w:val="24"/>
          <w:highlight w:val="none"/>
        </w:rPr>
        <w:t>集成影像展现功能；</w:t>
      </w:r>
    </w:p>
    <w:p w14:paraId="677ED8FE">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9.</w:t>
      </w:r>
      <w:r>
        <w:rPr>
          <w:rFonts w:hint="eastAsia" w:ascii="仿宋" w:hAnsi="仿宋" w:eastAsia="仿宋" w:cs="仿宋"/>
          <w:color w:val="auto"/>
          <w:sz w:val="24"/>
          <w:szCs w:val="24"/>
          <w:highlight w:val="none"/>
        </w:rPr>
        <w:t>提供查阅各类检查、检验执行状态的查询，主动生成各类提醒，如危急值、异常值；</w:t>
      </w:r>
    </w:p>
    <w:p w14:paraId="5BA646F1">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10.</w:t>
      </w:r>
      <w:r>
        <w:rPr>
          <w:rFonts w:hint="eastAsia" w:ascii="仿宋" w:hAnsi="仿宋" w:eastAsia="仿宋" w:cs="仿宋"/>
          <w:color w:val="auto"/>
          <w:sz w:val="24"/>
          <w:szCs w:val="24"/>
          <w:highlight w:val="none"/>
        </w:rPr>
        <w:t>图表化展示生命体征和麻醉数据；</w:t>
      </w:r>
    </w:p>
    <w:p w14:paraId="76D67505">
      <w:pPr>
        <w:pStyle w:val="860"/>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11.</w:t>
      </w:r>
      <w:r>
        <w:rPr>
          <w:rFonts w:hint="eastAsia" w:ascii="仿宋" w:hAnsi="仿宋" w:eastAsia="仿宋" w:cs="仿宋"/>
          <w:color w:val="auto"/>
          <w:sz w:val="24"/>
          <w:szCs w:val="24"/>
          <w:highlight w:val="none"/>
        </w:rPr>
        <w:t>▲诊断视图支持用户可以按照不同诊断类型（如门诊诊断、急诊诊断、入院诊断、初步诊断等）查看对应的诊断数量，以了解各类诊断的分布情况；</w:t>
      </w:r>
    </w:p>
    <w:p w14:paraId="6454B854">
      <w:pPr>
        <w:pStyle w:val="860"/>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12.</w:t>
      </w:r>
      <w:r>
        <w:rPr>
          <w:rFonts w:hint="eastAsia" w:ascii="仿宋" w:hAnsi="仿宋" w:eastAsia="仿宋" w:cs="仿宋"/>
          <w:color w:val="auto"/>
          <w:sz w:val="24"/>
          <w:szCs w:val="24"/>
          <w:highlight w:val="none"/>
          <w:lang w:bidi="ar"/>
        </w:rPr>
        <w:t>▲系统应支持点击特定诊断，联动打开患者的诊疗画像</w:t>
      </w:r>
      <w:r>
        <w:rPr>
          <w:rFonts w:hint="eastAsia" w:ascii="仿宋" w:hAnsi="仿宋" w:eastAsia="仿宋" w:cs="仿宋"/>
          <w:b/>
          <w:bCs/>
          <w:color w:val="auto"/>
          <w:sz w:val="24"/>
          <w:szCs w:val="24"/>
          <w:highlight w:val="none"/>
        </w:rPr>
        <w:t>（提供系统</w:t>
      </w:r>
      <w:r>
        <w:rPr>
          <w:rFonts w:hint="eastAsia" w:ascii="仿宋" w:hAnsi="仿宋" w:eastAsia="仿宋" w:cs="仿宋"/>
          <w:b/>
          <w:bCs/>
          <w:color w:val="auto"/>
          <w:sz w:val="24"/>
          <w:szCs w:val="24"/>
          <w:highlight w:val="none"/>
          <w:lang w:val="en-US" w:eastAsia="zh-CN"/>
        </w:rPr>
        <w:t>功能</w:t>
      </w:r>
      <w:r>
        <w:rPr>
          <w:rFonts w:hint="eastAsia" w:ascii="仿宋" w:hAnsi="仿宋" w:eastAsia="仿宋" w:cs="仿宋"/>
          <w:b/>
          <w:bCs/>
          <w:color w:val="auto"/>
          <w:sz w:val="24"/>
          <w:szCs w:val="24"/>
          <w:highlight w:val="none"/>
        </w:rPr>
        <w:t>截图证明）</w:t>
      </w:r>
      <w:r>
        <w:rPr>
          <w:rFonts w:hint="eastAsia" w:ascii="仿宋" w:hAnsi="仿宋" w:eastAsia="仿宋" w:cs="仿宋"/>
          <w:color w:val="auto"/>
          <w:sz w:val="24"/>
          <w:szCs w:val="24"/>
          <w:highlight w:val="none"/>
          <w:lang w:bidi="ar"/>
        </w:rPr>
        <w:t>；</w:t>
      </w:r>
    </w:p>
    <w:p w14:paraId="6CBB9D7E">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13.</w:t>
      </w:r>
      <w:r>
        <w:rPr>
          <w:rFonts w:hint="eastAsia" w:ascii="仿宋" w:hAnsi="仿宋" w:eastAsia="仿宋" w:cs="仿宋"/>
          <w:color w:val="auto"/>
          <w:sz w:val="24"/>
          <w:szCs w:val="24"/>
          <w:highlight w:val="none"/>
        </w:rPr>
        <w:t>集成视图提供完善、丰富的调用接口，供业务系统集成使用；</w:t>
      </w:r>
    </w:p>
    <w:p w14:paraId="06A4988B">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14.</w:t>
      </w:r>
      <w:r>
        <w:rPr>
          <w:rFonts w:hint="eastAsia" w:ascii="仿宋" w:hAnsi="仿宋" w:eastAsia="仿宋" w:cs="仿宋"/>
          <w:color w:val="auto"/>
          <w:sz w:val="24"/>
          <w:szCs w:val="24"/>
          <w:highlight w:val="none"/>
        </w:rPr>
        <w:t>提供所有病历文档的浏览；</w:t>
      </w:r>
    </w:p>
    <w:p w14:paraId="6C784BB2">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15.</w:t>
      </w:r>
      <w:r>
        <w:rPr>
          <w:rFonts w:hint="eastAsia" w:ascii="仿宋" w:hAnsi="仿宋" w:eastAsia="仿宋" w:cs="仿宋"/>
          <w:color w:val="auto"/>
          <w:sz w:val="24"/>
          <w:szCs w:val="24"/>
          <w:highlight w:val="none"/>
        </w:rPr>
        <w:t>提供医嘱动态展示功能；</w:t>
      </w:r>
    </w:p>
    <w:p w14:paraId="0743D64C">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16.</w:t>
      </w:r>
      <w:r>
        <w:rPr>
          <w:rFonts w:hint="eastAsia" w:ascii="仿宋" w:hAnsi="仿宋" w:eastAsia="仿宋" w:cs="仿宋"/>
          <w:color w:val="auto"/>
          <w:sz w:val="24"/>
          <w:szCs w:val="24"/>
          <w:highlight w:val="none"/>
        </w:rPr>
        <w:t>具备完善的权限管理和审核机制；</w:t>
      </w:r>
    </w:p>
    <w:p w14:paraId="334A6329">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17.</w:t>
      </w:r>
      <w:r>
        <w:rPr>
          <w:rFonts w:hint="eastAsia" w:ascii="仿宋" w:hAnsi="仿宋" w:eastAsia="仿宋" w:cs="仿宋"/>
          <w:color w:val="auto"/>
          <w:sz w:val="24"/>
          <w:szCs w:val="24"/>
          <w:highlight w:val="none"/>
        </w:rPr>
        <w:t>支持界面定制，针对不同专科配置视图；</w:t>
      </w:r>
    </w:p>
    <w:p w14:paraId="0D83C8CF">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18.</w:t>
      </w:r>
      <w:r>
        <w:rPr>
          <w:rFonts w:hint="eastAsia" w:ascii="仿宋" w:hAnsi="仿宋" w:eastAsia="仿宋" w:cs="仿宋"/>
          <w:color w:val="auto"/>
          <w:sz w:val="24"/>
          <w:szCs w:val="24"/>
          <w:highlight w:val="none"/>
        </w:rPr>
        <w:t>基于组件化、插件化的思想进行设计、开发，确保系统的稳健和持续发展。</w:t>
      </w:r>
    </w:p>
    <w:p w14:paraId="69C4A410">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19.</w:t>
      </w:r>
      <w:r>
        <w:rPr>
          <w:rFonts w:hint="eastAsia" w:ascii="仿宋" w:hAnsi="仿宋" w:eastAsia="仿宋" w:cs="仿宋"/>
          <w:color w:val="auto"/>
          <w:sz w:val="24"/>
          <w:szCs w:val="24"/>
          <w:highlight w:val="none"/>
        </w:rPr>
        <w:t>支持360按照时间轴展示病人全方位临床数据，常用的内容可分区显示，如检查报告、检验报告、医嘱用药等内容，多份检查检验报告单可进行快速切换。</w:t>
      </w:r>
    </w:p>
    <w:p w14:paraId="068CA8B6">
      <w:pPr>
        <w:pStyle w:val="860"/>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20.</w:t>
      </w:r>
      <w:r>
        <w:rPr>
          <w:rFonts w:hint="eastAsia" w:ascii="仿宋" w:hAnsi="仿宋" w:eastAsia="仿宋" w:cs="仿宋"/>
          <w:color w:val="auto"/>
          <w:sz w:val="24"/>
          <w:szCs w:val="24"/>
          <w:highlight w:val="none"/>
        </w:rPr>
        <w:t>患者画像管理：患者画像应用要涵盖基本信息、医疗史、就诊概况、就诊轨迹、用药信息及系统疾病画像，支持患者收藏功能以便快速查询；支持通过词云、列表多种形式展示患者的历史疾病诊断信息，便于医师快速了解患者所患的高频诊断；提供患者用药信息，包括用药种类、累计药品数量，支持联动查看完整用药明细；支持综合呈现患者的整体患病情况，包括已确诊疾病、历史疾病等，以直观、易懂的方式展示，便于用户快速把握患者的整体健康状态。</w:t>
      </w:r>
    </w:p>
    <w:p w14:paraId="3D386E1F">
      <w:pPr>
        <w:pStyle w:val="860"/>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2"/>
          <w:sz w:val="24"/>
          <w:szCs w:val="24"/>
          <w:highlight w:val="none"/>
          <w:lang w:val="en-US" w:eastAsia="zh-CN" w:bidi="ar-SA"/>
        </w:rPr>
        <w:t>21.</w:t>
      </w:r>
      <w:r>
        <w:rPr>
          <w:rFonts w:hint="eastAsia" w:ascii="仿宋" w:hAnsi="仿宋" w:eastAsia="仿宋" w:cs="仿宋"/>
          <w:color w:val="auto"/>
          <w:sz w:val="24"/>
          <w:szCs w:val="24"/>
          <w:highlight w:val="none"/>
        </w:rPr>
        <w:t>诊疗画像：诊疗画像应用须支持分版块展示，并支持对特定版块进行伸缩、扩展，便于用户聚焦信息；支持展示患者最近简要病史，对最近一次就诊记录内容进行概括提炼；支持采用泳道图模式展示用药信息，重点呈现用药时间、用药剂量、实际使用药品之间的变化关系</w:t>
      </w:r>
      <w:r>
        <w:rPr>
          <w:rFonts w:hint="eastAsia" w:ascii="仿宋" w:hAnsi="仿宋" w:eastAsia="仿宋" w:cs="仿宋"/>
          <w:color w:val="auto"/>
          <w:sz w:val="24"/>
          <w:szCs w:val="24"/>
          <w:highlight w:val="none"/>
          <w:lang w:eastAsia="zh-CN"/>
        </w:rPr>
        <w:t>。</w:t>
      </w:r>
    </w:p>
    <w:p w14:paraId="15BAF9CE">
      <w:pPr>
        <w:keepNext w:val="0"/>
        <w:keepLines w:val="0"/>
        <w:pageBreakBefore w:val="0"/>
        <w:widowControl w:val="0"/>
        <w:kinsoku/>
        <w:wordWrap/>
        <w:overflowPunct/>
        <w:topLinePunct w:val="0"/>
        <w:autoSpaceDE/>
        <w:autoSpaceDN/>
        <w:bidi w:val="0"/>
        <w:snapToGrid/>
        <w:spacing w:line="44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1.4.3运营数据中心</w:t>
      </w:r>
    </w:p>
    <w:p w14:paraId="2AF35D7D">
      <w:pPr>
        <w:pageBreakBefore w:val="0"/>
        <w:kinsoku/>
        <w:wordWrap/>
        <w:overflowPunct/>
        <w:topLinePunct w:val="0"/>
        <w:autoSpaceDE/>
        <w:autoSpaceDN/>
        <w:bidi w:val="0"/>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1.4.</w:t>
      </w:r>
      <w:r>
        <w:rPr>
          <w:rFonts w:hint="eastAsia" w:ascii="仿宋" w:hAnsi="仿宋" w:eastAsia="仿宋" w:cs="仿宋"/>
          <w:b/>
          <w:bCs/>
          <w:color w:val="auto"/>
          <w:sz w:val="24"/>
          <w:szCs w:val="24"/>
          <w:highlight w:val="none"/>
          <w:lang w:val="en-US" w:eastAsia="zh-CN"/>
        </w:rPr>
        <w:t>3.1</w:t>
      </w:r>
      <w:r>
        <w:rPr>
          <w:rFonts w:hint="eastAsia" w:ascii="仿宋" w:hAnsi="仿宋" w:eastAsia="仿宋" w:cs="仿宋"/>
          <w:b/>
          <w:bCs/>
          <w:color w:val="auto"/>
          <w:sz w:val="24"/>
          <w:szCs w:val="24"/>
          <w:highlight w:val="none"/>
        </w:rPr>
        <w:t>综合监管 (院领导驾驶舱系统)</w:t>
      </w:r>
    </w:p>
    <w:p w14:paraId="0691BA6B">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对医院的总体运营情况进行分析，帮助医院的管理者和相关部门，实时了解医院运营状态。总体运营分析要求包括以下分析内容：</w:t>
      </w:r>
    </w:p>
    <w:p w14:paraId="0CDAFD5C">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医院主管领导仪表板（驾驶舱）</w:t>
      </w:r>
    </w:p>
    <w:p w14:paraId="6615C9D3">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运营分析（日、月、季、年）</w:t>
      </w:r>
    </w:p>
    <w:p w14:paraId="1D04D6F4">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全院收入报表</w:t>
      </w:r>
      <w:bookmarkStart w:id="53" w:name="_Toc379626587"/>
    </w:p>
    <w:p w14:paraId="20E48423">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1.住院业务分析</w:t>
      </w:r>
      <w:bookmarkEnd w:id="53"/>
    </w:p>
    <w:p w14:paraId="6286FBCF">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从住院科室/医生/护士工作量，住院手术，用药情况，临床路径，费用信息分析住院情况，为住院绩效和规范提供分析和决策依据。主要要点：患者安全分析，住院病人费用结构分析，住院用药情况分析，住院工作量统计分析。如进行：</w:t>
      </w:r>
    </w:p>
    <w:p w14:paraId="21533971">
      <w:pPr>
        <w:pageBreakBefore w:val="0"/>
        <w:kinsoku/>
        <w:wordWrap/>
        <w:overflowPunct/>
        <w:topLinePunct w:val="0"/>
        <w:autoSpaceDE/>
        <w:autoSpaceDN/>
        <w:bidi w:val="0"/>
        <w:spacing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1.1住院收入报表</w:t>
      </w:r>
    </w:p>
    <w:p w14:paraId="05D529A7">
      <w:pPr>
        <w:pageBreakBefore w:val="0"/>
        <w:kinsoku/>
        <w:wordWrap/>
        <w:overflowPunct/>
        <w:topLinePunct w:val="0"/>
        <w:autoSpaceDE/>
        <w:autoSpaceDN/>
        <w:bidi w:val="0"/>
        <w:spacing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1.2住院均费分析</w:t>
      </w:r>
    </w:p>
    <w:p w14:paraId="755C752B">
      <w:pPr>
        <w:pageBreakBefore w:val="0"/>
        <w:kinsoku/>
        <w:wordWrap/>
        <w:overflowPunct/>
        <w:topLinePunct w:val="0"/>
        <w:autoSpaceDE/>
        <w:autoSpaceDN/>
        <w:bidi w:val="0"/>
        <w:spacing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1.3住院收入核算项目明细报表</w:t>
      </w:r>
    </w:p>
    <w:p w14:paraId="1105AFA6">
      <w:pPr>
        <w:pageBreakBefore w:val="0"/>
        <w:kinsoku/>
        <w:wordWrap/>
        <w:overflowPunct/>
        <w:topLinePunct w:val="0"/>
        <w:autoSpaceDE/>
        <w:autoSpaceDN/>
        <w:bidi w:val="0"/>
        <w:spacing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1.4住院病人分析</w:t>
      </w:r>
    </w:p>
    <w:p w14:paraId="0C47A6C1">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bookmarkStart w:id="54" w:name="_Toc379626588"/>
      <w:r>
        <w:rPr>
          <w:rFonts w:hint="eastAsia" w:ascii="仿宋" w:hAnsi="仿宋" w:eastAsia="仿宋" w:cs="仿宋"/>
          <w:color w:val="auto"/>
          <w:sz w:val="24"/>
          <w:szCs w:val="24"/>
          <w:highlight w:val="none"/>
        </w:rPr>
        <w:t>2.门诊业务分析</w:t>
      </w:r>
      <w:bookmarkEnd w:id="54"/>
    </w:p>
    <w:p w14:paraId="4DF8914C">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从科室/医生/护士工作量，年/月度分析、费用信息、人次分析门诊情况。为优化门诊流程、考核绩效提供分析和决策依据。主要要点：就诊病人分析，就诊时间趋势闭环分析，门诊用药情况分析，门诊工作量统计分析，急诊分析。如：</w:t>
      </w:r>
    </w:p>
    <w:p w14:paraId="27E10995">
      <w:pPr>
        <w:pageBreakBefore w:val="0"/>
        <w:kinsoku/>
        <w:wordWrap/>
        <w:overflowPunct/>
        <w:topLinePunct w:val="0"/>
        <w:autoSpaceDE/>
        <w:autoSpaceDN/>
        <w:bidi w:val="0"/>
        <w:spacing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2.1门诊费用分析</w:t>
      </w:r>
    </w:p>
    <w:p w14:paraId="08FAF824">
      <w:pPr>
        <w:pageBreakBefore w:val="0"/>
        <w:kinsoku/>
        <w:wordWrap/>
        <w:overflowPunct/>
        <w:topLinePunct w:val="0"/>
        <w:autoSpaceDE/>
        <w:autoSpaceDN/>
        <w:bidi w:val="0"/>
        <w:spacing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2.2门诊均费分析</w:t>
      </w:r>
    </w:p>
    <w:p w14:paraId="74192470">
      <w:pPr>
        <w:pageBreakBefore w:val="0"/>
        <w:kinsoku/>
        <w:wordWrap/>
        <w:overflowPunct/>
        <w:topLinePunct w:val="0"/>
        <w:autoSpaceDE/>
        <w:autoSpaceDN/>
        <w:bidi w:val="0"/>
        <w:spacing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2.3门诊效率分析</w:t>
      </w:r>
    </w:p>
    <w:p w14:paraId="4141C698">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bookmarkStart w:id="55" w:name="_Toc379626590"/>
      <w:r>
        <w:rPr>
          <w:rFonts w:hint="eastAsia" w:ascii="仿宋" w:hAnsi="仿宋" w:eastAsia="仿宋" w:cs="仿宋"/>
          <w:color w:val="auto"/>
          <w:sz w:val="24"/>
          <w:szCs w:val="24"/>
          <w:highlight w:val="none"/>
        </w:rPr>
        <w:t>3.手术业务分析</w:t>
      </w:r>
      <w:bookmarkEnd w:id="55"/>
    </w:p>
    <w:p w14:paraId="167EAC0D">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从手术的例数、医生，手术用药情况多方面进行分析，主要包括：切口手术抗菌用药情况分析，各类手术例数分析，医生手术工作量分析等。</w:t>
      </w:r>
    </w:p>
    <w:p w14:paraId="06E6AF3E">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4.其他监管</w:t>
      </w:r>
    </w:p>
    <w:p w14:paraId="3A8A4B5F">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4.1资源配置:对医院的资源配置进行分析，主要包括床位数、人员数等。</w:t>
      </w:r>
    </w:p>
    <w:p w14:paraId="59A37E99">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4.2患者负担:从门诊、住院均费，以及检查、药品占比对患者负担进行分析。</w:t>
      </w:r>
    </w:p>
    <w:p w14:paraId="484A321E">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4.3工作负荷:从住院科室/医生工作量，住院人次、门诊人次情况，为住院绩效和规范提供分析和决策依据。</w:t>
      </w:r>
    </w:p>
    <w:p w14:paraId="127704B2">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4.4医疗质量:从死亡、治愈人次、重返、感染、抢救等方面对医院的医疗质量进行分析，主要进行住院治疗质量分析、重点疾病统计、重点手术统计、术后并发症、重返手术室明细、危重抢救报表等。</w:t>
      </w:r>
    </w:p>
    <w:p w14:paraId="64627996">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4.5智慧医疗:从科室/职工对结算人次、诊间结算率、门诊检查预约率进行统计，以及终端设备工作量统计、挂号预约到诊情况分析、分时段预约就诊情况分析、号源使用情况分析、平均就诊等待时间分析等。</w:t>
      </w:r>
    </w:p>
    <w:p w14:paraId="06A191D4">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4.6合理用药:从门诊、住院科室/医生，对用药情况进行分析，为药品使用规范提供分析和决策依据。主要要点：门诊用药分析，住院用药情况分析，门诊静脉使用抗菌药物，出院患者抗菌药物使用强度，全院药品使用量和金额排名。</w:t>
      </w:r>
    </w:p>
    <w:p w14:paraId="4A15C6F4">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4.7工作效率:通过对出院平均住院日、开放床位数、使用率、床位周转次数等指标对住院工作效率进行分析。</w:t>
      </w:r>
    </w:p>
    <w:p w14:paraId="7F92CD17">
      <w:pPr>
        <w:pageBreakBefore w:val="0"/>
        <w:kinsoku/>
        <w:wordWrap/>
        <w:overflowPunct/>
        <w:topLinePunct w:val="0"/>
        <w:autoSpaceDE/>
        <w:autoSpaceDN/>
        <w:bidi w:val="0"/>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en-US" w:eastAsia="zh-CN"/>
        </w:rPr>
        <w:t>4.3.2</w:t>
      </w:r>
      <w:r>
        <w:rPr>
          <w:rFonts w:hint="eastAsia" w:ascii="仿宋" w:hAnsi="仿宋" w:eastAsia="仿宋" w:cs="仿宋"/>
          <w:b/>
          <w:bCs/>
          <w:color w:val="auto"/>
          <w:sz w:val="24"/>
          <w:szCs w:val="24"/>
          <w:highlight w:val="none"/>
        </w:rPr>
        <w:t>移动端BI</w:t>
      </w:r>
    </w:p>
    <w:p w14:paraId="7821A9D9">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功能要求：</w:t>
      </w:r>
    </w:p>
    <w:p w14:paraId="0B7B98E2">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1.支持移动端报表导航，便于用户快速定位所需报表；</w:t>
      </w:r>
    </w:p>
    <w:p w14:paraId="09431ABD">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2.无缝对接PC端系统，移动端报表即可在手机端查看，也可在PC端查看；</w:t>
      </w:r>
    </w:p>
    <w:p w14:paraId="01C029BD">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3.支持移动报表的快速构建，移动报表不仅可以对接BI数据仓库，也可快速对接其他系统，以便于在某些情况下，快速实现新需求的移动化展示；</w:t>
      </w:r>
    </w:p>
    <w:p w14:paraId="5918731F">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4.支持各类图表，如地图、雷达图、漏斗图等，可以快捷地嵌入第三方图表；</w:t>
      </w:r>
    </w:p>
    <w:p w14:paraId="30815BCC">
      <w:pPr>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5.数据展示简洁、直观，以便于快速定位数据问题。</w:t>
      </w:r>
    </w:p>
    <w:p w14:paraId="6E6409E9">
      <w:pPr>
        <w:pStyle w:val="4"/>
        <w:pageBreakBefore w:val="0"/>
        <w:tabs>
          <w:tab w:val="left" w:pos="1145"/>
          <w:tab w:val="clear" w:pos="432"/>
        </w:tabs>
        <w:kinsoku/>
        <w:wordWrap/>
        <w:overflowPunct/>
        <w:topLinePunct w:val="0"/>
        <w:autoSpaceDE/>
        <w:autoSpaceDN/>
        <w:bidi w:val="0"/>
        <w:spacing w:line="440" w:lineRule="exact"/>
        <w:ind w:left="0" w:leftChars="0" w:firstLine="0" w:firstLineChars="0"/>
        <w:textAlignment w:val="auto"/>
        <w:rPr>
          <w:rFonts w:hint="eastAsia" w:ascii="仿宋" w:hAnsi="仿宋" w:eastAsia="仿宋" w:cs="仿宋"/>
          <w:color w:val="auto"/>
          <w:sz w:val="24"/>
          <w:szCs w:val="24"/>
          <w:highlight w:val="none"/>
        </w:rPr>
      </w:pPr>
      <w:bookmarkStart w:id="56" w:name="_Toc142056176"/>
      <w:r>
        <w:rPr>
          <w:rFonts w:hint="eastAsia" w:ascii="仿宋" w:hAnsi="仿宋" w:eastAsia="仿宋" w:cs="仿宋"/>
          <w:color w:val="auto"/>
          <w:sz w:val="24"/>
          <w:szCs w:val="24"/>
          <w:highlight w:val="none"/>
          <w:lang w:val="en-US"/>
        </w:rPr>
        <w:t>1.4.</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互联互通三级测评配套系统</w:t>
      </w:r>
      <w:bookmarkEnd w:id="56"/>
    </w:p>
    <w:p w14:paraId="057254AD">
      <w:pPr>
        <w:pStyle w:val="7"/>
        <w:pageBreakBefore w:val="0"/>
        <w:tabs>
          <w:tab w:val="left" w:pos="567"/>
          <w:tab w:val="clear" w:pos="864"/>
        </w:tabs>
        <w:kinsoku/>
        <w:wordWrap/>
        <w:overflowPunct/>
        <w:topLinePunct w:val="0"/>
        <w:autoSpaceDE/>
        <w:autoSpaceDN/>
        <w:bidi w:val="0"/>
        <w:spacing w:before="0" w:after="0" w:line="440" w:lineRule="exact"/>
        <w:ind w:left="0" w:firstLine="482" w:firstLineChars="200"/>
        <w:textAlignment w:val="auto"/>
        <w:rPr>
          <w:rFonts w:hint="eastAsia" w:ascii="仿宋" w:hAnsi="仿宋" w:eastAsia="仿宋" w:cs="仿宋"/>
          <w:color w:val="auto"/>
          <w:sz w:val="24"/>
          <w:szCs w:val="24"/>
          <w:highlight w:val="none"/>
        </w:rPr>
      </w:pPr>
      <w:bookmarkStart w:id="57" w:name="_Toc142056177"/>
      <w:r>
        <w:rPr>
          <w:rFonts w:hint="eastAsia" w:ascii="仿宋" w:hAnsi="仿宋" w:eastAsia="仿宋" w:cs="仿宋"/>
          <w:color w:val="auto"/>
          <w:sz w:val="24"/>
          <w:szCs w:val="24"/>
          <w:highlight w:val="none"/>
          <w:lang w:val="en-US"/>
        </w:rPr>
        <w:t>1.4.</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en-US"/>
        </w:rPr>
        <w:t>.1急诊临床信息系统病人选择</w:t>
      </w:r>
    </w:p>
    <w:p w14:paraId="657B7E2A">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iCs/>
          <w:color w:val="auto"/>
          <w:sz w:val="24"/>
          <w:szCs w:val="24"/>
          <w:highlight w:val="none"/>
          <w:lang w:bidi="ar"/>
        </w:rPr>
        <w:t>提供急诊患者选择列表功能，包括留观病人、抢救病人和普通急诊流水病人等；</w:t>
      </w:r>
    </w:p>
    <w:p w14:paraId="6EC21475">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iCs/>
          <w:color w:val="auto"/>
          <w:sz w:val="24"/>
          <w:szCs w:val="24"/>
          <w:highlight w:val="none"/>
          <w:lang w:bidi="ar"/>
        </w:rPr>
        <w:t>提供生命体征信息悬浮显示功能；</w:t>
      </w:r>
    </w:p>
    <w:p w14:paraId="3D8C2304">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iCs/>
          <w:color w:val="auto"/>
          <w:sz w:val="24"/>
          <w:szCs w:val="24"/>
          <w:highlight w:val="none"/>
          <w:lang w:bidi="ar"/>
        </w:rPr>
        <w:t>支持在病人列表上进行患者生命体征信息、检验、检查、会诊信息的提示和一键查阅功能；</w:t>
      </w:r>
    </w:p>
    <w:p w14:paraId="725794B7">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iCs/>
          <w:color w:val="auto"/>
          <w:sz w:val="24"/>
          <w:szCs w:val="24"/>
          <w:highlight w:val="none"/>
          <w:lang w:bidi="ar"/>
        </w:rPr>
        <w:t>支持患者病人列表展示的个性化配置功能。</w:t>
      </w:r>
    </w:p>
    <w:p w14:paraId="7B3CB0CA">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iCs/>
          <w:color w:val="auto"/>
          <w:sz w:val="24"/>
          <w:szCs w:val="24"/>
          <w:highlight w:val="none"/>
          <w:lang w:bidi="ar"/>
        </w:rPr>
        <w:t>支持通过筛选条件对患者进行筛选，如：患者的序号、卡号、姓名以及挂号日期；</w:t>
      </w:r>
    </w:p>
    <w:p w14:paraId="34839964">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iCs/>
          <w:color w:val="auto"/>
          <w:sz w:val="24"/>
          <w:szCs w:val="24"/>
          <w:highlight w:val="none"/>
          <w:lang w:bidi="ar"/>
        </w:rPr>
        <w:t>支持医生将病人加入绿色通道；</w:t>
      </w:r>
    </w:p>
    <w:p w14:paraId="11A3FC5B">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iCs/>
          <w:color w:val="auto"/>
          <w:sz w:val="24"/>
          <w:szCs w:val="24"/>
          <w:highlight w:val="none"/>
          <w:lang w:bidi="ar"/>
        </w:rPr>
        <w:t>支持医生将病人退出绿色通道；</w:t>
      </w:r>
    </w:p>
    <w:p w14:paraId="5341BE56">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iCs/>
          <w:color w:val="auto"/>
          <w:sz w:val="24"/>
          <w:szCs w:val="24"/>
          <w:highlight w:val="none"/>
          <w:lang w:bidi="ar"/>
        </w:rPr>
        <w:t>支持生命体征实时自动同步患者最新的生命体征信息；</w:t>
      </w:r>
    </w:p>
    <w:p w14:paraId="769E6816">
      <w:pPr>
        <w:pStyle w:val="7"/>
        <w:pageBreakBefore w:val="0"/>
        <w:tabs>
          <w:tab w:val="left" w:pos="567"/>
          <w:tab w:val="clear" w:pos="864"/>
        </w:tabs>
        <w:kinsoku/>
        <w:wordWrap/>
        <w:overflowPunct/>
        <w:topLinePunct w:val="0"/>
        <w:autoSpaceDE/>
        <w:autoSpaceDN/>
        <w:bidi w:val="0"/>
        <w:spacing w:before="0" w:after="0" w:line="440" w:lineRule="exact"/>
        <w:ind w:left="0" w:firstLine="482" w:firstLineChars="200"/>
        <w:textAlignment w:val="auto"/>
        <w:rPr>
          <w:rFonts w:hint="eastAsia" w:ascii="仿宋" w:hAnsi="仿宋" w:eastAsia="仿宋" w:cs="仿宋"/>
          <w:color w:val="auto"/>
          <w:sz w:val="24"/>
          <w:szCs w:val="24"/>
          <w:highlight w:val="none"/>
        </w:rPr>
      </w:pPr>
      <w:bookmarkStart w:id="58" w:name="_Toc67493603"/>
      <w:r>
        <w:rPr>
          <w:rFonts w:hint="eastAsia" w:ascii="仿宋" w:hAnsi="仿宋" w:eastAsia="仿宋" w:cs="仿宋"/>
          <w:color w:val="auto"/>
          <w:sz w:val="24"/>
          <w:szCs w:val="24"/>
          <w:highlight w:val="none"/>
          <w:lang w:val="en-US"/>
        </w:rPr>
        <w:t>1.4.</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en-US"/>
        </w:rPr>
        <w:t>.2</w:t>
      </w:r>
      <w:r>
        <w:rPr>
          <w:rFonts w:hint="eastAsia" w:ascii="仿宋" w:hAnsi="仿宋" w:eastAsia="仿宋" w:cs="仿宋"/>
          <w:color w:val="auto"/>
          <w:sz w:val="24"/>
          <w:szCs w:val="24"/>
          <w:highlight w:val="none"/>
        </w:rPr>
        <w:t>急诊诊断</w:t>
      </w:r>
      <w:bookmarkEnd w:id="58"/>
    </w:p>
    <w:p w14:paraId="0288A3C4">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iCs/>
          <w:color w:val="auto"/>
          <w:sz w:val="24"/>
          <w:szCs w:val="24"/>
          <w:highlight w:val="none"/>
          <w:lang w:bidi="ar"/>
        </w:rPr>
        <w:t>提供ICD10诊断、中医疾病症候诊断及院自备诊断；</w:t>
      </w:r>
    </w:p>
    <w:p w14:paraId="363B414A">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iCs/>
          <w:color w:val="auto"/>
          <w:sz w:val="24"/>
          <w:szCs w:val="24"/>
          <w:highlight w:val="none"/>
          <w:lang w:bidi="ar"/>
        </w:rPr>
        <w:t>支持急诊诊断的确诊和疑诊标记功能；</w:t>
      </w:r>
    </w:p>
    <w:p w14:paraId="1EB886E4">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iCs/>
          <w:color w:val="auto"/>
          <w:sz w:val="24"/>
          <w:szCs w:val="24"/>
          <w:highlight w:val="none"/>
          <w:lang w:bidi="ar"/>
        </w:rPr>
        <w:t>提供个人诊断模板维护功能；</w:t>
      </w:r>
    </w:p>
    <w:p w14:paraId="0A88DAB9">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iCs/>
          <w:color w:val="auto"/>
          <w:sz w:val="24"/>
          <w:szCs w:val="24"/>
          <w:highlight w:val="none"/>
          <w:lang w:bidi="ar"/>
        </w:rPr>
        <w:t>支持在诊断页面自动展示患者历次诊断的功能，支持急诊历史诊断的快速引用功能；</w:t>
      </w:r>
      <w:r>
        <w:rPr>
          <w:rFonts w:hint="eastAsia" w:ascii="仿宋" w:hAnsi="仿宋" w:eastAsia="仿宋" w:cs="仿宋"/>
          <w:b/>
          <w:bCs/>
          <w:iCs/>
          <w:color w:val="auto"/>
          <w:sz w:val="24"/>
          <w:szCs w:val="24"/>
          <w:highlight w:val="none"/>
          <w:lang w:bidi="ar"/>
        </w:rPr>
        <w:t xml:space="preserve"> </w:t>
      </w:r>
    </w:p>
    <w:p w14:paraId="13688FAB">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iCs/>
          <w:color w:val="auto"/>
          <w:sz w:val="24"/>
          <w:szCs w:val="24"/>
          <w:highlight w:val="none"/>
          <w:lang w:bidi="ar"/>
        </w:rPr>
        <w:t>支持按照时间周期快速查询历史诊断信息；</w:t>
      </w:r>
    </w:p>
    <w:p w14:paraId="3C3147F2">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iCs/>
          <w:color w:val="auto"/>
          <w:sz w:val="24"/>
          <w:szCs w:val="24"/>
          <w:highlight w:val="none"/>
          <w:lang w:bidi="ar"/>
        </w:rPr>
        <w:t>支持按照就诊日期、科室展示历史急诊诊断内容；</w:t>
      </w:r>
    </w:p>
    <w:p w14:paraId="62507DFA">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iCs/>
          <w:color w:val="auto"/>
          <w:sz w:val="24"/>
          <w:szCs w:val="24"/>
          <w:highlight w:val="none"/>
          <w:lang w:bidi="ar"/>
        </w:rPr>
        <w:t>支持历史诊断内容的批量或部分导入。</w:t>
      </w:r>
    </w:p>
    <w:p w14:paraId="6E8B4617">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iCs/>
          <w:color w:val="auto"/>
          <w:sz w:val="24"/>
          <w:szCs w:val="24"/>
          <w:highlight w:val="none"/>
          <w:lang w:bidi="ar"/>
        </w:rPr>
        <w:t>支持在诊断页面同屏展示常用诊断，支持常用诊断一键引用到当前诊断；</w:t>
      </w:r>
    </w:p>
    <w:p w14:paraId="69113CEA">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iCs/>
          <w:color w:val="auto"/>
          <w:sz w:val="24"/>
          <w:szCs w:val="24"/>
          <w:highlight w:val="none"/>
          <w:lang w:bidi="ar"/>
        </w:rPr>
        <w:t>支持在诊断页面同屏按科室使用频次高低展示诊断，并可一键引用到当前诊断；</w:t>
      </w:r>
    </w:p>
    <w:p w14:paraId="04E23F44">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iCs/>
          <w:color w:val="auto"/>
          <w:sz w:val="24"/>
          <w:szCs w:val="24"/>
          <w:highlight w:val="none"/>
          <w:lang w:bidi="ar"/>
        </w:rPr>
        <w:t>支持急诊诊断与传染病上报的关联，在医生下达传染病相关诊断后，自动提醒医生进行传染病上报；</w:t>
      </w:r>
    </w:p>
    <w:p w14:paraId="696A1307">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iCs/>
          <w:color w:val="auto"/>
          <w:sz w:val="24"/>
          <w:szCs w:val="24"/>
          <w:highlight w:val="none"/>
          <w:lang w:bidi="ar"/>
        </w:rPr>
        <w:t>支持急诊诊断附加描述填写功能，满足临床诊断要求；</w:t>
      </w:r>
    </w:p>
    <w:p w14:paraId="005D3AB8">
      <w:pPr>
        <w:pStyle w:val="7"/>
        <w:pageBreakBefore w:val="0"/>
        <w:tabs>
          <w:tab w:val="left" w:pos="567"/>
          <w:tab w:val="clear" w:pos="864"/>
        </w:tabs>
        <w:kinsoku/>
        <w:wordWrap/>
        <w:overflowPunct/>
        <w:topLinePunct w:val="0"/>
        <w:autoSpaceDE/>
        <w:autoSpaceDN/>
        <w:bidi w:val="0"/>
        <w:spacing w:before="0" w:after="0" w:line="44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1.4.</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en-US"/>
        </w:rPr>
        <w:t>.3</w:t>
      </w:r>
      <w:r>
        <w:rPr>
          <w:rFonts w:hint="eastAsia" w:ascii="仿宋" w:hAnsi="仿宋" w:eastAsia="仿宋" w:cs="仿宋"/>
          <w:color w:val="auto"/>
          <w:sz w:val="24"/>
          <w:szCs w:val="24"/>
          <w:highlight w:val="none"/>
        </w:rPr>
        <w:t>病历书写</w:t>
      </w:r>
    </w:p>
    <w:p w14:paraId="0BE114C7">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iCs/>
          <w:color w:val="auto"/>
          <w:sz w:val="24"/>
          <w:szCs w:val="24"/>
          <w:highlight w:val="none"/>
          <w:lang w:bidi="ar"/>
        </w:rPr>
        <w:t>提供急诊诊室、急诊抢救、急诊留观病历的编辑功能，病历类型包括普通急诊病历，抢救/留观入室记录，病程记录，出室记录，操作记录；</w:t>
      </w:r>
    </w:p>
    <w:p w14:paraId="146983F7">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iCs/>
          <w:color w:val="auto"/>
          <w:sz w:val="24"/>
          <w:szCs w:val="24"/>
          <w:highlight w:val="none"/>
          <w:lang w:bidi="ar"/>
        </w:rPr>
        <w:t>提供疾病病种模板、节点模板、整体模板、文本模板的快捷引用操作；</w:t>
      </w:r>
    </w:p>
    <w:p w14:paraId="1C4A7BD8">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iCs/>
          <w:color w:val="auto"/>
          <w:sz w:val="24"/>
          <w:szCs w:val="24"/>
          <w:highlight w:val="none"/>
          <w:lang w:bidi="ar"/>
        </w:rPr>
        <w:t>支持根据患者当前状态，自动加载不同诊室的病历模板；</w:t>
      </w:r>
    </w:p>
    <w:p w14:paraId="73A6F9E9">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iCs/>
          <w:color w:val="auto"/>
          <w:sz w:val="24"/>
          <w:szCs w:val="24"/>
          <w:highlight w:val="none"/>
          <w:lang w:bidi="ar"/>
        </w:rPr>
        <w:t>提供急诊诊室病历的整体展示功能；</w:t>
      </w:r>
    </w:p>
    <w:p w14:paraId="5A1125C0">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iCs/>
          <w:color w:val="auto"/>
          <w:sz w:val="24"/>
          <w:szCs w:val="24"/>
          <w:highlight w:val="none"/>
          <w:lang w:bidi="ar"/>
        </w:rPr>
        <w:t>提供急诊诊室病历的查看功能；</w:t>
      </w:r>
    </w:p>
    <w:p w14:paraId="777A17BA">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iCs/>
          <w:color w:val="auto"/>
          <w:sz w:val="24"/>
          <w:szCs w:val="24"/>
          <w:highlight w:val="none"/>
          <w:lang w:bidi="ar"/>
        </w:rPr>
        <w:t>提供急诊诊室病历的打印功能；</w:t>
      </w:r>
    </w:p>
    <w:p w14:paraId="30B07650">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iCs/>
          <w:color w:val="auto"/>
          <w:sz w:val="24"/>
          <w:szCs w:val="24"/>
          <w:highlight w:val="none"/>
          <w:lang w:bidi="ar"/>
        </w:rPr>
        <w:t>提供特殊字符、表格、图片、上下标的快捷录入功能，满足病历书写的需求；</w:t>
      </w:r>
    </w:p>
    <w:p w14:paraId="6D7C19FC">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iCs/>
          <w:color w:val="auto"/>
          <w:sz w:val="24"/>
          <w:szCs w:val="24"/>
          <w:highlight w:val="none"/>
          <w:lang w:bidi="ar"/>
        </w:rPr>
        <w:t>在急诊病历书写过程中，可同屏查看和引用检验报告内容；</w:t>
      </w:r>
    </w:p>
    <w:p w14:paraId="19DF6F2C">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r>
        <w:rPr>
          <w:rFonts w:hint="eastAsia" w:ascii="仿宋" w:hAnsi="仿宋" w:eastAsia="仿宋" w:cs="仿宋"/>
          <w:iCs/>
          <w:color w:val="auto"/>
          <w:sz w:val="24"/>
          <w:szCs w:val="24"/>
          <w:highlight w:val="none"/>
          <w:lang w:bidi="ar"/>
        </w:rPr>
        <w:t>在急诊病历书写过程中，可同屏查看及引用检查报告内容；</w:t>
      </w:r>
    </w:p>
    <w:p w14:paraId="06E57F21">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r>
        <w:rPr>
          <w:rFonts w:hint="eastAsia" w:ascii="仿宋" w:hAnsi="仿宋" w:eastAsia="仿宋" w:cs="仿宋"/>
          <w:iCs/>
          <w:color w:val="auto"/>
          <w:sz w:val="24"/>
          <w:szCs w:val="24"/>
          <w:highlight w:val="none"/>
          <w:lang w:bidi="ar"/>
        </w:rPr>
        <w:t>提供患者历史急诊病历查看及引用功能；</w:t>
      </w:r>
    </w:p>
    <w:p w14:paraId="45B26396">
      <w:pPr>
        <w:pStyle w:val="7"/>
        <w:pageBreakBefore w:val="0"/>
        <w:tabs>
          <w:tab w:val="left" w:pos="567"/>
          <w:tab w:val="clear" w:pos="864"/>
        </w:tabs>
        <w:kinsoku/>
        <w:wordWrap/>
        <w:overflowPunct/>
        <w:topLinePunct w:val="0"/>
        <w:autoSpaceDE/>
        <w:autoSpaceDN/>
        <w:bidi w:val="0"/>
        <w:spacing w:before="0" w:after="0" w:line="44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1.4.</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en-US"/>
        </w:rPr>
        <w:t>.4</w:t>
      </w:r>
      <w:r>
        <w:rPr>
          <w:rFonts w:hint="eastAsia" w:ascii="仿宋" w:hAnsi="仿宋" w:eastAsia="仿宋" w:cs="仿宋"/>
          <w:color w:val="auto"/>
          <w:sz w:val="24"/>
          <w:szCs w:val="24"/>
          <w:highlight w:val="none"/>
        </w:rPr>
        <w:t>急诊会诊</w:t>
      </w:r>
    </w:p>
    <w:p w14:paraId="1929D7FE">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iCs/>
          <w:color w:val="auto"/>
          <w:sz w:val="24"/>
          <w:szCs w:val="24"/>
          <w:highlight w:val="none"/>
          <w:lang w:bidi="ar"/>
        </w:rPr>
        <w:t>提供急救会诊功能，被邀会诊科室包括急诊科、门诊和住院，对应门诊科室医生登陆门诊系统进行会诊并将会诊报告提交到急诊系统供医师查看；</w:t>
      </w:r>
    </w:p>
    <w:p w14:paraId="38C6F967">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iCs/>
          <w:color w:val="auto"/>
          <w:sz w:val="24"/>
          <w:szCs w:val="24"/>
          <w:highlight w:val="none"/>
          <w:lang w:bidi="ar"/>
        </w:rPr>
        <w:t>提供会诊记录的填写功能；</w:t>
      </w:r>
    </w:p>
    <w:p w14:paraId="43C7A72A">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iCs/>
          <w:color w:val="auto"/>
          <w:sz w:val="24"/>
          <w:szCs w:val="24"/>
          <w:highlight w:val="none"/>
          <w:lang w:bidi="ar"/>
        </w:rPr>
        <w:t>提供会诊评估功能，从时间、会诊质量、态度、患者满意度等方面对会诊进行评估；</w:t>
      </w:r>
    </w:p>
    <w:p w14:paraId="3E685165">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iCs/>
          <w:color w:val="auto"/>
          <w:sz w:val="24"/>
          <w:szCs w:val="24"/>
          <w:highlight w:val="none"/>
          <w:lang w:bidi="ar"/>
        </w:rPr>
        <w:t>提供会诊的统计功能。</w:t>
      </w:r>
    </w:p>
    <w:p w14:paraId="177E997B">
      <w:pPr>
        <w:pStyle w:val="7"/>
        <w:pageBreakBefore w:val="0"/>
        <w:tabs>
          <w:tab w:val="left" w:pos="567"/>
          <w:tab w:val="clear" w:pos="864"/>
        </w:tabs>
        <w:kinsoku/>
        <w:wordWrap/>
        <w:overflowPunct/>
        <w:topLinePunct w:val="0"/>
        <w:autoSpaceDE/>
        <w:autoSpaceDN/>
        <w:bidi w:val="0"/>
        <w:spacing w:before="0" w:after="0" w:line="44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1.4.</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en-US"/>
        </w:rPr>
        <w:t>.5</w:t>
      </w:r>
      <w:r>
        <w:rPr>
          <w:rFonts w:hint="eastAsia" w:ascii="仿宋" w:hAnsi="仿宋" w:eastAsia="仿宋" w:cs="仿宋"/>
          <w:color w:val="auto"/>
          <w:sz w:val="24"/>
          <w:szCs w:val="24"/>
          <w:highlight w:val="none"/>
        </w:rPr>
        <w:t>病人流转</w:t>
      </w:r>
    </w:p>
    <w:p w14:paraId="11B38B5D">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iCs/>
          <w:color w:val="auto"/>
          <w:sz w:val="24"/>
          <w:szCs w:val="24"/>
          <w:highlight w:val="none"/>
          <w:lang w:bidi="ar"/>
        </w:rPr>
        <w:t>提供急诊科患者与门诊，住院之间的流转，包括急诊病人转住院；</w:t>
      </w:r>
    </w:p>
    <w:p w14:paraId="6AB94AB5">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iCs/>
          <w:color w:val="auto"/>
          <w:sz w:val="24"/>
          <w:szCs w:val="24"/>
          <w:highlight w:val="none"/>
          <w:lang w:bidi="ar"/>
        </w:rPr>
        <w:t>提供流转患者的查询统计功能；</w:t>
      </w:r>
    </w:p>
    <w:p w14:paraId="6D127CC7">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iCs/>
          <w:color w:val="auto"/>
          <w:sz w:val="24"/>
          <w:szCs w:val="24"/>
          <w:highlight w:val="none"/>
          <w:lang w:bidi="ar"/>
        </w:rPr>
        <w:t>提供流转患者的流转时间轴功能，能够直观地展示患者在急诊的诊疗轨迹，并且支持流转后病情查阅功能；</w:t>
      </w:r>
      <w:r>
        <w:rPr>
          <w:rFonts w:hint="eastAsia" w:ascii="仿宋" w:hAnsi="仿宋" w:eastAsia="仿宋" w:cs="仿宋"/>
          <w:b/>
          <w:bCs/>
          <w:iCs/>
          <w:color w:val="auto"/>
          <w:sz w:val="24"/>
          <w:szCs w:val="24"/>
          <w:highlight w:val="none"/>
          <w:lang w:bidi="ar"/>
        </w:rPr>
        <w:t xml:space="preserve"> </w:t>
      </w:r>
    </w:p>
    <w:p w14:paraId="149AE48B">
      <w:pPr>
        <w:pStyle w:val="5"/>
        <w:pageBreakBefore w:val="0"/>
        <w:kinsoku/>
        <w:wordWrap/>
        <w:overflowPunct/>
        <w:topLinePunct w:val="0"/>
        <w:autoSpaceDE/>
        <w:autoSpaceDN/>
        <w:bidi w:val="0"/>
        <w:spacing w:before="0" w:after="0" w:line="44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.6病人信息综合总览</w:t>
      </w:r>
    </w:p>
    <w:p w14:paraId="352A37EC">
      <w:pPr>
        <w:pageBreakBefore w:val="0"/>
        <w:numPr>
          <w:ilvl w:val="0"/>
          <w:numId w:val="0"/>
        </w:numP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iCs/>
          <w:color w:val="auto"/>
          <w:sz w:val="24"/>
          <w:szCs w:val="24"/>
          <w:highlight w:val="none"/>
          <w:lang w:bidi="ar"/>
        </w:rPr>
        <w:t>提供患者信息综合总览功能；</w:t>
      </w:r>
      <w:r>
        <w:rPr>
          <w:rFonts w:hint="eastAsia" w:ascii="仿宋" w:hAnsi="仿宋" w:eastAsia="仿宋" w:cs="仿宋"/>
          <w:b/>
          <w:bCs/>
          <w:iCs/>
          <w:color w:val="auto"/>
          <w:sz w:val="24"/>
          <w:szCs w:val="24"/>
          <w:highlight w:val="none"/>
          <w:lang w:bidi="ar"/>
        </w:rPr>
        <w:t xml:space="preserve"> </w:t>
      </w:r>
    </w:p>
    <w:p w14:paraId="107D5BD7">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iCs/>
          <w:color w:val="auto"/>
          <w:sz w:val="24"/>
          <w:szCs w:val="24"/>
          <w:highlight w:val="none"/>
          <w:lang w:bidi="ar"/>
        </w:rPr>
        <w:t>支持以时间轴的形式展示患者就诊过程；</w:t>
      </w:r>
    </w:p>
    <w:p w14:paraId="7C4F0F50">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iCs/>
          <w:color w:val="auto"/>
          <w:sz w:val="24"/>
          <w:szCs w:val="24"/>
          <w:highlight w:val="none"/>
          <w:lang w:bidi="ar"/>
        </w:rPr>
        <w:t>支持展示患者的基本信息以及过敏信息；</w:t>
      </w:r>
    </w:p>
    <w:p w14:paraId="23FB09AA">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iCs/>
          <w:color w:val="auto"/>
          <w:sz w:val="24"/>
          <w:szCs w:val="24"/>
          <w:highlight w:val="none"/>
          <w:lang w:bidi="ar"/>
        </w:rPr>
        <w:t>支持展示患者的分诊信息，包括分诊级别、分诊去向、分诊护士、分诊时间、绿色通道标记、是否是三无病人、是否是群体事件病人；</w:t>
      </w:r>
    </w:p>
    <w:p w14:paraId="3A4CF875">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iCs/>
          <w:color w:val="auto"/>
          <w:sz w:val="24"/>
          <w:szCs w:val="24"/>
          <w:highlight w:val="none"/>
          <w:lang w:bidi="ar"/>
        </w:rPr>
        <w:t>支持实时展示患者的诊断信息；</w:t>
      </w:r>
    </w:p>
    <w:p w14:paraId="2758FB0C">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iCs/>
          <w:color w:val="auto"/>
          <w:sz w:val="24"/>
          <w:szCs w:val="24"/>
          <w:highlight w:val="none"/>
          <w:lang w:bidi="ar"/>
        </w:rPr>
        <w:t>支持实时展示患者的医嘱信息；</w:t>
      </w:r>
    </w:p>
    <w:p w14:paraId="25F15B4E">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iCs/>
          <w:color w:val="auto"/>
          <w:sz w:val="24"/>
          <w:szCs w:val="24"/>
          <w:highlight w:val="none"/>
          <w:lang w:bidi="ar"/>
        </w:rPr>
        <w:t>支持实时展示患者的护理信息，包括生命体征信息和评估信息。</w:t>
      </w:r>
    </w:p>
    <w:p w14:paraId="4317ED1C">
      <w:pPr>
        <w:pStyle w:val="5"/>
        <w:pageBreakBefore w:val="0"/>
        <w:tabs>
          <w:tab w:val="left" w:pos="567"/>
          <w:tab w:val="clear" w:pos="900"/>
        </w:tabs>
        <w:kinsoku/>
        <w:wordWrap/>
        <w:overflowPunct/>
        <w:topLinePunct w:val="0"/>
        <w:autoSpaceDE/>
        <w:autoSpaceDN/>
        <w:bidi w:val="0"/>
        <w:spacing w:before="0" w:after="0" w:line="44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.7急诊护士预检分诊系统</w:t>
      </w:r>
    </w:p>
    <w:p w14:paraId="36083083">
      <w:pPr>
        <w:pStyle w:val="7"/>
        <w:pageBreakBefore w:val="0"/>
        <w:kinsoku/>
        <w:wordWrap/>
        <w:overflowPunct/>
        <w:topLinePunct w:val="0"/>
        <w:autoSpaceDE/>
        <w:autoSpaceDN/>
        <w:bidi w:val="0"/>
        <w:spacing w:before="0" w:after="0" w:line="44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基本信息采集</w:t>
      </w:r>
    </w:p>
    <w:p w14:paraId="7DFE76F1">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iCs/>
          <w:color w:val="auto"/>
          <w:sz w:val="24"/>
          <w:szCs w:val="24"/>
          <w:highlight w:val="none"/>
          <w:lang w:bidi="ar"/>
        </w:rPr>
        <w:t>提供补充完善患者基本信息功能；</w:t>
      </w:r>
    </w:p>
    <w:p w14:paraId="0D94ED6B">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iCs/>
          <w:color w:val="auto"/>
          <w:sz w:val="24"/>
          <w:szCs w:val="24"/>
          <w:highlight w:val="none"/>
          <w:lang w:bidi="ar"/>
        </w:rPr>
        <w:t>支持基本信息必填项的设定功能，可对就诊卡号、费别、联系人、电话、国籍、地址进行必填项校验；</w:t>
      </w:r>
    </w:p>
    <w:p w14:paraId="2816CF20">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iCs/>
          <w:color w:val="auto"/>
          <w:sz w:val="24"/>
          <w:szCs w:val="24"/>
          <w:highlight w:val="none"/>
          <w:lang w:bidi="ar"/>
        </w:rPr>
        <w:t>提供无名氏建档功能；</w:t>
      </w:r>
    </w:p>
    <w:p w14:paraId="68A7F5FE">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iCs/>
          <w:color w:val="auto"/>
          <w:sz w:val="24"/>
          <w:szCs w:val="24"/>
          <w:highlight w:val="none"/>
          <w:lang w:bidi="ar"/>
        </w:rPr>
        <w:t>支持与读卡设备对接，针对使用就诊卡的患者可通过刷卡查询患者的基本信息；</w:t>
      </w:r>
    </w:p>
    <w:p w14:paraId="7E171D1E">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iCs/>
          <w:color w:val="auto"/>
          <w:sz w:val="24"/>
          <w:szCs w:val="24"/>
          <w:highlight w:val="none"/>
          <w:lang w:bidi="ar"/>
        </w:rPr>
        <w:t>支持对门诊、住院和急诊患者过敏史信息的统一管理，在门急诊、住院录入的过敏信息能够自动带入到患者的过敏史记录中。</w:t>
      </w:r>
    </w:p>
    <w:p w14:paraId="49E73D56">
      <w:pPr>
        <w:pStyle w:val="7"/>
        <w:pageBreakBefore w:val="0"/>
        <w:kinsoku/>
        <w:wordWrap/>
        <w:overflowPunct/>
        <w:topLinePunct w:val="0"/>
        <w:autoSpaceDE/>
        <w:autoSpaceDN/>
        <w:bidi w:val="0"/>
        <w:spacing w:before="0" w:after="0" w:line="44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预诊</w:t>
      </w:r>
    </w:p>
    <w:p w14:paraId="2C4E6055">
      <w:pPr>
        <w:pageBreakBefore w:val="0"/>
        <w:numPr>
          <w:ilvl w:val="0"/>
          <w:numId w:val="0"/>
        </w:numP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iCs/>
          <w:color w:val="auto"/>
          <w:sz w:val="24"/>
          <w:szCs w:val="24"/>
          <w:highlight w:val="none"/>
          <w:lang w:bidi="ar"/>
        </w:rPr>
        <w:t>提供患者来院方式的标记功能，支持来院方式的配置操作；</w:t>
      </w:r>
    </w:p>
    <w:p w14:paraId="5D1D7B09">
      <w:pPr>
        <w:pageBreakBefore w:val="0"/>
        <w:numPr>
          <w:ilvl w:val="0"/>
          <w:numId w:val="0"/>
        </w:numP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iCs/>
          <w:color w:val="auto"/>
          <w:sz w:val="24"/>
          <w:szCs w:val="24"/>
          <w:highlight w:val="none"/>
          <w:lang w:bidi="ar"/>
        </w:rPr>
        <w:t>提供患者生命体征的采集功能；</w:t>
      </w:r>
    </w:p>
    <w:p w14:paraId="1986B373">
      <w:pPr>
        <w:pageBreakBefore w:val="0"/>
        <w:numPr>
          <w:ilvl w:val="0"/>
          <w:numId w:val="0"/>
        </w:numP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iCs/>
          <w:color w:val="auto"/>
          <w:sz w:val="24"/>
          <w:szCs w:val="24"/>
          <w:highlight w:val="none"/>
          <w:lang w:bidi="ar"/>
        </w:rPr>
        <w:t>支持和生命体征设备整合，自动获取生命体征数据；</w:t>
      </w:r>
    </w:p>
    <w:p w14:paraId="04290B77">
      <w:pPr>
        <w:pageBreakBefore w:val="0"/>
        <w:numPr>
          <w:ilvl w:val="0"/>
          <w:numId w:val="0"/>
        </w:numP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iCs/>
          <w:color w:val="auto"/>
          <w:sz w:val="24"/>
          <w:szCs w:val="24"/>
          <w:highlight w:val="none"/>
          <w:lang w:bidi="ar"/>
        </w:rPr>
        <w:t>提供生命体征拒测功能；</w:t>
      </w:r>
    </w:p>
    <w:p w14:paraId="2830D5CB">
      <w:pPr>
        <w:pageBreakBefore w:val="0"/>
        <w:numPr>
          <w:ilvl w:val="0"/>
          <w:numId w:val="0"/>
        </w:numP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iCs/>
          <w:color w:val="auto"/>
          <w:sz w:val="24"/>
          <w:szCs w:val="24"/>
          <w:highlight w:val="none"/>
          <w:lang w:bidi="ar"/>
        </w:rPr>
        <w:t>支持根据生命体征数据自动计算MEWS评分；</w:t>
      </w:r>
    </w:p>
    <w:p w14:paraId="7E09A393">
      <w:pPr>
        <w:pageBreakBefore w:val="0"/>
        <w:numPr>
          <w:ilvl w:val="0"/>
          <w:numId w:val="0"/>
        </w:numP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iCs/>
          <w:color w:val="auto"/>
          <w:sz w:val="24"/>
          <w:szCs w:val="24"/>
          <w:highlight w:val="none"/>
          <w:lang w:bidi="ar"/>
        </w:rPr>
        <w:t>提供病情预诊评估单填写功能，支持评估单的配置功能；</w:t>
      </w:r>
    </w:p>
    <w:p w14:paraId="59363880">
      <w:pPr>
        <w:pageBreakBefore w:val="0"/>
        <w:numPr>
          <w:ilvl w:val="0"/>
          <w:numId w:val="0"/>
        </w:numP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iCs/>
          <w:color w:val="auto"/>
          <w:sz w:val="24"/>
          <w:szCs w:val="24"/>
          <w:highlight w:val="none"/>
          <w:lang w:bidi="ar"/>
        </w:rPr>
        <w:t>提供自定义多模式预检分诊标准及维护功能；</w:t>
      </w:r>
    </w:p>
    <w:p w14:paraId="5130A503">
      <w:pPr>
        <w:pageBreakBefore w:val="0"/>
        <w:numPr>
          <w:ilvl w:val="0"/>
          <w:numId w:val="0"/>
        </w:numP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iCs/>
          <w:color w:val="auto"/>
          <w:sz w:val="24"/>
          <w:szCs w:val="24"/>
          <w:highlight w:val="none"/>
          <w:lang w:bidi="ar"/>
        </w:rPr>
        <w:t>支持将留观或抢救病人预检分诊时的生命体征数据自动生成到护理记录单中。</w:t>
      </w:r>
    </w:p>
    <w:p w14:paraId="0946AC5E">
      <w:pPr>
        <w:pStyle w:val="7"/>
        <w:pageBreakBefore w:val="0"/>
        <w:kinsoku/>
        <w:wordWrap/>
        <w:overflowPunct/>
        <w:topLinePunct w:val="0"/>
        <w:autoSpaceDE/>
        <w:autoSpaceDN/>
        <w:bidi w:val="0"/>
        <w:spacing w:before="0" w:after="0" w:line="44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分诊</w:t>
      </w:r>
    </w:p>
    <w:p w14:paraId="1593E89C">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iCs/>
          <w:color w:val="auto"/>
          <w:sz w:val="24"/>
          <w:szCs w:val="24"/>
          <w:highlight w:val="none"/>
          <w:lang w:bidi="ar"/>
        </w:rPr>
        <w:t>支持对患者进行自动分诊处理；</w:t>
      </w:r>
    </w:p>
    <w:p w14:paraId="426ECC90">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iCs/>
          <w:color w:val="auto"/>
          <w:sz w:val="24"/>
          <w:szCs w:val="24"/>
          <w:highlight w:val="none"/>
          <w:lang w:bidi="ar"/>
        </w:rPr>
        <w:t>支持手动分诊或手动调整分诊级别；</w:t>
      </w:r>
    </w:p>
    <w:p w14:paraId="63450CE1">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iCs/>
          <w:color w:val="auto"/>
          <w:sz w:val="24"/>
          <w:szCs w:val="24"/>
          <w:highlight w:val="none"/>
          <w:lang w:bidi="ar"/>
        </w:rPr>
        <w:t>支持护士根据病情变化进行再分诊操作。</w:t>
      </w:r>
    </w:p>
    <w:p w14:paraId="0B1D90FD">
      <w:pPr>
        <w:pStyle w:val="7"/>
        <w:pageBreakBefore w:val="0"/>
        <w:kinsoku/>
        <w:wordWrap/>
        <w:overflowPunct/>
        <w:topLinePunct w:val="0"/>
        <w:autoSpaceDE/>
        <w:autoSpaceDN/>
        <w:bidi w:val="0"/>
        <w:spacing w:before="0" w:after="0" w:line="44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1.4.</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en-US"/>
        </w:rPr>
        <w:t>.8</w:t>
      </w:r>
      <w:r>
        <w:rPr>
          <w:rFonts w:hint="eastAsia" w:ascii="仿宋" w:hAnsi="仿宋" w:eastAsia="仿宋" w:cs="仿宋"/>
          <w:color w:val="auto"/>
          <w:sz w:val="24"/>
          <w:szCs w:val="24"/>
          <w:highlight w:val="none"/>
        </w:rPr>
        <w:t>绿色通道</w:t>
      </w:r>
    </w:p>
    <w:p w14:paraId="07C35D98">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iCs/>
          <w:color w:val="auto"/>
          <w:sz w:val="24"/>
          <w:szCs w:val="24"/>
          <w:highlight w:val="none"/>
          <w:lang w:bidi="ar"/>
        </w:rPr>
        <w:t>支持对病情特殊、急需救治处理的病人或者“三无病人”绿色通道的标记，凡是加入绿色通道的病人，患者可以不用交费直接用药或者去做相应的检验检查；</w:t>
      </w:r>
    </w:p>
    <w:p w14:paraId="05CE9576">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iCs/>
          <w:color w:val="auto"/>
          <w:sz w:val="24"/>
          <w:szCs w:val="24"/>
          <w:highlight w:val="none"/>
          <w:lang w:bidi="ar"/>
        </w:rPr>
        <w:t>支持绿色通道类型的自定义功能。</w:t>
      </w:r>
    </w:p>
    <w:p w14:paraId="45CE9459">
      <w:pPr>
        <w:pStyle w:val="7"/>
        <w:pageBreakBefore w:val="0"/>
        <w:kinsoku/>
        <w:wordWrap/>
        <w:overflowPunct/>
        <w:topLinePunct w:val="0"/>
        <w:autoSpaceDE/>
        <w:autoSpaceDN/>
        <w:bidi w:val="0"/>
        <w:spacing w:before="0" w:after="0" w:line="44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1.4.</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en-US"/>
        </w:rPr>
        <w:t>.9</w:t>
      </w:r>
      <w:r>
        <w:rPr>
          <w:rFonts w:hint="eastAsia" w:ascii="仿宋" w:hAnsi="仿宋" w:eastAsia="仿宋" w:cs="仿宋"/>
          <w:color w:val="auto"/>
          <w:sz w:val="24"/>
          <w:szCs w:val="24"/>
          <w:highlight w:val="none"/>
        </w:rPr>
        <w:t>分诊条</w:t>
      </w:r>
    </w:p>
    <w:p w14:paraId="3BFDAEBE">
      <w:pPr>
        <w:pageBreakBefore w:val="0"/>
        <w:numPr>
          <w:ilvl w:val="0"/>
          <w:numId w:val="0"/>
        </w:numP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iCs/>
          <w:color w:val="auto"/>
          <w:sz w:val="24"/>
          <w:szCs w:val="24"/>
          <w:highlight w:val="none"/>
          <w:lang w:bidi="ar"/>
        </w:rPr>
        <w:t>提供分诊条自动生成及打印功能；</w:t>
      </w:r>
    </w:p>
    <w:p w14:paraId="7C314903">
      <w:pPr>
        <w:pageBreakBefore w:val="0"/>
        <w:numPr>
          <w:ilvl w:val="0"/>
          <w:numId w:val="0"/>
        </w:numP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iCs/>
          <w:color w:val="auto"/>
          <w:sz w:val="24"/>
          <w:szCs w:val="24"/>
          <w:highlight w:val="none"/>
          <w:lang w:bidi="ar"/>
        </w:rPr>
        <w:t>提供分诊条模板维护功能。</w:t>
      </w:r>
    </w:p>
    <w:p w14:paraId="6CD39EB9">
      <w:pPr>
        <w:pStyle w:val="7"/>
        <w:pageBreakBefore w:val="0"/>
        <w:kinsoku/>
        <w:wordWrap/>
        <w:overflowPunct/>
        <w:topLinePunct w:val="0"/>
        <w:autoSpaceDE/>
        <w:autoSpaceDN/>
        <w:bidi w:val="0"/>
        <w:spacing w:before="0" w:after="0" w:line="44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1.4.</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en-US"/>
        </w:rPr>
        <w:t>.10</w:t>
      </w:r>
      <w:r>
        <w:rPr>
          <w:rFonts w:hint="eastAsia" w:ascii="仿宋" w:hAnsi="仿宋" w:eastAsia="仿宋" w:cs="仿宋"/>
          <w:color w:val="auto"/>
          <w:sz w:val="24"/>
          <w:szCs w:val="24"/>
          <w:highlight w:val="none"/>
        </w:rPr>
        <w:t>分诊统计</w:t>
      </w:r>
    </w:p>
    <w:p w14:paraId="752DB42B">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iCs/>
          <w:color w:val="auto"/>
          <w:sz w:val="24"/>
          <w:szCs w:val="24"/>
          <w:highlight w:val="none"/>
          <w:lang w:bidi="ar"/>
        </w:rPr>
        <w:t>提供预检分诊查询功能，支持通过筛选条件对患者进行筛选，如分诊时间、分诊级别、病历号、卡号以及绿色通道；</w:t>
      </w:r>
    </w:p>
    <w:p w14:paraId="6E0924A6">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iCs/>
          <w:color w:val="auto"/>
          <w:sz w:val="24"/>
          <w:szCs w:val="24"/>
          <w:highlight w:val="none"/>
          <w:lang w:bidi="ar"/>
        </w:rPr>
        <w:t>提供超时/作废预检分诊查询功能，支持通过筛选条件对患者进行筛选，如分诊时间、分诊级别、病历号、卡号以及绿色通道、超时或已作废；</w:t>
      </w:r>
    </w:p>
    <w:p w14:paraId="5221F3AF">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iCs/>
          <w:color w:val="auto"/>
          <w:sz w:val="24"/>
          <w:szCs w:val="24"/>
          <w:highlight w:val="none"/>
          <w:lang w:bidi="ar"/>
        </w:rPr>
        <w:t>提供预检分诊交接班功能，支持自动汇总当日分诊总人数、各级别分诊情况、来院方式情况。</w:t>
      </w:r>
    </w:p>
    <w:p w14:paraId="4CB92C84">
      <w:pPr>
        <w:pageBreakBefore w:val="0"/>
        <w:widowControl w:val="0"/>
        <w:numPr>
          <w:ilvl w:val="255"/>
          <w:numId w:val="0"/>
        </w:numPr>
        <w:kinsoku/>
        <w:wordWrap/>
        <w:overflowPunct/>
        <w:topLinePunct w:val="0"/>
        <w:autoSpaceDE/>
        <w:autoSpaceDN/>
        <w:bidi w:val="0"/>
        <w:adjustRightInd/>
        <w:snapToGrid/>
        <w:spacing w:line="440" w:lineRule="exact"/>
        <w:ind w:left="420" w:leftChars="200"/>
        <w:textAlignment w:val="auto"/>
        <w:rPr>
          <w:rFonts w:hint="eastAsia" w:ascii="仿宋" w:hAnsi="仿宋" w:eastAsia="仿宋" w:cs="仿宋"/>
          <w:color w:val="auto"/>
          <w:sz w:val="24"/>
          <w:szCs w:val="24"/>
          <w:highlight w:val="none"/>
        </w:rPr>
      </w:pPr>
      <w:r>
        <w:rPr>
          <w:rFonts w:hint="eastAsia" w:ascii="仿宋" w:hAnsi="仿宋" w:eastAsia="仿宋" w:cs="仿宋"/>
          <w:iCs/>
          <w:color w:val="auto"/>
          <w:sz w:val="24"/>
          <w:szCs w:val="24"/>
          <w:highlight w:val="none"/>
          <w:lang w:bidi="ar"/>
        </w:rPr>
        <w:t>4.提供预检分诊数据统计功能。</w:t>
      </w:r>
    </w:p>
    <w:p w14:paraId="7F385101">
      <w:pPr>
        <w:pStyle w:val="7"/>
        <w:pageBreakBefore w:val="0"/>
        <w:widowControl w:val="0"/>
        <w:kinsoku/>
        <w:wordWrap/>
        <w:overflowPunct/>
        <w:topLinePunct w:val="0"/>
        <w:autoSpaceDE/>
        <w:autoSpaceDN/>
        <w:bidi w:val="0"/>
        <w:adjustRightInd/>
        <w:snapToGrid/>
        <w:spacing w:before="0" w:after="0" w:line="440" w:lineRule="exact"/>
        <w:ind w:left="0" w:firstLine="482" w:firstLineChars="200"/>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1.4.4.11</w:t>
      </w:r>
      <w:r>
        <w:rPr>
          <w:rFonts w:hint="eastAsia" w:ascii="仿宋" w:hAnsi="仿宋" w:eastAsia="仿宋" w:cs="仿宋"/>
          <w:color w:val="auto"/>
          <w:sz w:val="24"/>
          <w:szCs w:val="24"/>
          <w:highlight w:val="none"/>
          <w:lang w:val="en-US"/>
        </w:rPr>
        <w:t>病理管理系统</w:t>
      </w:r>
    </w:p>
    <w:tbl>
      <w:tblPr>
        <w:tblStyle w:val="63"/>
        <w:tblW w:w="4990" w:type="pct"/>
        <w:jc w:val="center"/>
        <w:tblLayout w:type="autofit"/>
        <w:tblCellMar>
          <w:top w:w="0" w:type="dxa"/>
          <w:left w:w="108" w:type="dxa"/>
          <w:bottom w:w="0" w:type="dxa"/>
          <w:right w:w="108" w:type="dxa"/>
        </w:tblCellMar>
      </w:tblPr>
      <w:tblGrid>
        <w:gridCol w:w="686"/>
        <w:gridCol w:w="1160"/>
        <w:gridCol w:w="7311"/>
      </w:tblGrid>
      <w:tr w14:paraId="5B7C1E27">
        <w:tblPrEx>
          <w:tblCellMar>
            <w:top w:w="0" w:type="dxa"/>
            <w:left w:w="108" w:type="dxa"/>
            <w:bottom w:w="0" w:type="dxa"/>
            <w:right w:w="108" w:type="dxa"/>
          </w:tblCellMar>
        </w:tblPrEx>
        <w:trPr>
          <w:trHeight w:val="567"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5CC212D2">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633" w:type="pct"/>
            <w:tcBorders>
              <w:top w:val="single" w:color="auto" w:sz="4" w:space="0"/>
              <w:left w:val="nil"/>
              <w:bottom w:val="single" w:color="auto" w:sz="4" w:space="0"/>
              <w:right w:val="single" w:color="auto" w:sz="4" w:space="0"/>
            </w:tcBorders>
            <w:shd w:val="clear" w:color="auto" w:fill="auto"/>
            <w:vAlign w:val="center"/>
          </w:tcPr>
          <w:p w14:paraId="054FA56A">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模块</w:t>
            </w:r>
          </w:p>
        </w:tc>
        <w:tc>
          <w:tcPr>
            <w:tcW w:w="3991" w:type="pct"/>
            <w:tcBorders>
              <w:top w:val="single" w:color="auto" w:sz="4" w:space="0"/>
              <w:left w:val="nil"/>
              <w:bottom w:val="single" w:color="auto" w:sz="4" w:space="0"/>
              <w:right w:val="single" w:color="auto" w:sz="4" w:space="0"/>
            </w:tcBorders>
            <w:shd w:val="clear" w:color="auto" w:fill="auto"/>
            <w:vAlign w:val="center"/>
          </w:tcPr>
          <w:p w14:paraId="2C0289E0">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功能参数要求</w:t>
            </w:r>
          </w:p>
        </w:tc>
      </w:tr>
      <w:tr w14:paraId="21AD661D">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0662266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633" w:type="pct"/>
            <w:vMerge w:val="restart"/>
            <w:tcBorders>
              <w:top w:val="nil"/>
              <w:left w:val="single" w:color="auto" w:sz="4" w:space="0"/>
              <w:bottom w:val="single" w:color="auto" w:sz="4" w:space="0"/>
              <w:right w:val="single" w:color="auto" w:sz="4" w:space="0"/>
            </w:tcBorders>
            <w:shd w:val="clear" w:color="auto" w:fill="auto"/>
            <w:vAlign w:val="center"/>
          </w:tcPr>
          <w:p w14:paraId="7FD4692F">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检查登记</w:t>
            </w:r>
          </w:p>
        </w:tc>
        <w:tc>
          <w:tcPr>
            <w:tcW w:w="3991" w:type="pct"/>
            <w:tcBorders>
              <w:top w:val="nil"/>
              <w:left w:val="nil"/>
              <w:bottom w:val="single" w:color="auto" w:sz="4" w:space="0"/>
              <w:right w:val="single" w:color="auto" w:sz="4" w:space="0"/>
            </w:tcBorders>
            <w:shd w:val="clear" w:color="auto" w:fill="auto"/>
            <w:vAlign w:val="center"/>
          </w:tcPr>
          <w:p w14:paraId="4A1C865A">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与HIS系统集成，支持直接从HIS系统获取电子申请单。</w:t>
            </w:r>
          </w:p>
        </w:tc>
      </w:tr>
      <w:tr w14:paraId="59153833">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16B35B2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633" w:type="pct"/>
            <w:vMerge w:val="continue"/>
            <w:tcBorders>
              <w:top w:val="nil"/>
              <w:left w:val="single" w:color="auto" w:sz="4" w:space="0"/>
              <w:bottom w:val="single" w:color="auto" w:sz="4" w:space="0"/>
              <w:right w:val="single" w:color="auto" w:sz="4" w:space="0"/>
            </w:tcBorders>
            <w:vAlign w:val="center"/>
          </w:tcPr>
          <w:p w14:paraId="3F7B6DEC">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6905FBEB">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支持按科室规定的格式打印电子申请单。</w:t>
            </w:r>
          </w:p>
        </w:tc>
      </w:tr>
      <w:tr w14:paraId="536CAF4F">
        <w:tblPrEx>
          <w:tblCellMar>
            <w:top w:w="0" w:type="dxa"/>
            <w:left w:w="108" w:type="dxa"/>
            <w:bottom w:w="0" w:type="dxa"/>
            <w:right w:w="108" w:type="dxa"/>
          </w:tblCellMar>
        </w:tblPrEx>
        <w:trPr>
          <w:trHeight w:val="459"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3F1B4BB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633" w:type="pct"/>
            <w:vMerge w:val="continue"/>
            <w:tcBorders>
              <w:top w:val="nil"/>
              <w:left w:val="single" w:color="auto" w:sz="4" w:space="0"/>
              <w:bottom w:val="single" w:color="auto" w:sz="4" w:space="0"/>
              <w:right w:val="single" w:color="auto" w:sz="4" w:space="0"/>
            </w:tcBorders>
            <w:vAlign w:val="center"/>
          </w:tcPr>
          <w:p w14:paraId="5A0BA904">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43A45701">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支持打印申请单条码，可粘贴在纸质申请单上。</w:t>
            </w:r>
          </w:p>
        </w:tc>
      </w:tr>
      <w:tr w14:paraId="3D1678AB">
        <w:tblPrEx>
          <w:tblCellMar>
            <w:top w:w="0" w:type="dxa"/>
            <w:left w:w="108" w:type="dxa"/>
            <w:bottom w:w="0" w:type="dxa"/>
            <w:right w:w="108" w:type="dxa"/>
          </w:tblCellMar>
        </w:tblPrEx>
        <w:trPr>
          <w:trHeight w:val="44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643D2E0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633" w:type="pct"/>
            <w:vMerge w:val="continue"/>
            <w:tcBorders>
              <w:top w:val="nil"/>
              <w:left w:val="single" w:color="auto" w:sz="4" w:space="0"/>
              <w:bottom w:val="single" w:color="auto" w:sz="4" w:space="0"/>
              <w:right w:val="single" w:color="auto" w:sz="4" w:space="0"/>
            </w:tcBorders>
            <w:vAlign w:val="center"/>
          </w:tcPr>
          <w:p w14:paraId="588FE207">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3DCBB5C8">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支持基本HIS信息集成+手工录入病理检查申请单。</w:t>
            </w:r>
          </w:p>
        </w:tc>
      </w:tr>
      <w:tr w14:paraId="1F1744A8">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3CA1211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633" w:type="pct"/>
            <w:vMerge w:val="continue"/>
            <w:tcBorders>
              <w:top w:val="nil"/>
              <w:left w:val="single" w:color="auto" w:sz="4" w:space="0"/>
              <w:bottom w:val="single" w:color="auto" w:sz="4" w:space="0"/>
              <w:right w:val="single" w:color="auto" w:sz="4" w:space="0"/>
            </w:tcBorders>
            <w:vAlign w:val="center"/>
          </w:tcPr>
          <w:p w14:paraId="4E320525">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38BFE85C">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支持快速条码扫描模式。</w:t>
            </w:r>
          </w:p>
        </w:tc>
      </w:tr>
      <w:tr w14:paraId="5AC7761E">
        <w:tblPrEx>
          <w:tblCellMar>
            <w:top w:w="0" w:type="dxa"/>
            <w:left w:w="108" w:type="dxa"/>
            <w:bottom w:w="0" w:type="dxa"/>
            <w:right w:w="108" w:type="dxa"/>
          </w:tblCellMar>
        </w:tblPrEx>
        <w:trPr>
          <w:trHeight w:val="483"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4327148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633" w:type="pct"/>
            <w:vMerge w:val="continue"/>
            <w:tcBorders>
              <w:top w:val="nil"/>
              <w:left w:val="single" w:color="auto" w:sz="4" w:space="0"/>
              <w:bottom w:val="single" w:color="auto" w:sz="4" w:space="0"/>
              <w:right w:val="single" w:color="auto" w:sz="4" w:space="0"/>
            </w:tcBorders>
            <w:vAlign w:val="center"/>
          </w:tcPr>
          <w:p w14:paraId="6E627ADA">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6652BC5D">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支持常规病理、普通细胞学、液基细胞学、外院会诊登记等。</w:t>
            </w:r>
          </w:p>
        </w:tc>
      </w:tr>
      <w:tr w14:paraId="36B89827">
        <w:tblPrEx>
          <w:tblCellMar>
            <w:top w:w="0" w:type="dxa"/>
            <w:left w:w="108" w:type="dxa"/>
            <w:bottom w:w="0" w:type="dxa"/>
            <w:right w:w="108" w:type="dxa"/>
          </w:tblCellMar>
        </w:tblPrEx>
        <w:trPr>
          <w:trHeight w:val="411"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7408C80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633" w:type="pct"/>
            <w:vMerge w:val="continue"/>
            <w:tcBorders>
              <w:top w:val="nil"/>
              <w:left w:val="single" w:color="auto" w:sz="4" w:space="0"/>
              <w:bottom w:val="single" w:color="auto" w:sz="4" w:space="0"/>
              <w:right w:val="single" w:color="auto" w:sz="4" w:space="0"/>
            </w:tcBorders>
            <w:vAlign w:val="center"/>
          </w:tcPr>
          <w:p w14:paraId="1BCE9F80">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648CB192">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支持将检查申请提前登记到指定日期。</w:t>
            </w:r>
          </w:p>
        </w:tc>
      </w:tr>
      <w:tr w14:paraId="09089D95">
        <w:tblPrEx>
          <w:tblCellMar>
            <w:top w:w="0" w:type="dxa"/>
            <w:left w:w="108" w:type="dxa"/>
            <w:bottom w:w="0" w:type="dxa"/>
            <w:right w:w="108" w:type="dxa"/>
          </w:tblCellMar>
        </w:tblPrEx>
        <w:trPr>
          <w:trHeight w:val="567"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4B247DD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633" w:type="pct"/>
            <w:vMerge w:val="continue"/>
            <w:tcBorders>
              <w:top w:val="single" w:color="auto" w:sz="4" w:space="0"/>
              <w:left w:val="single" w:color="auto" w:sz="4" w:space="0"/>
              <w:bottom w:val="single" w:color="auto" w:sz="4" w:space="0"/>
              <w:right w:val="single" w:color="auto" w:sz="4" w:space="0"/>
            </w:tcBorders>
            <w:vAlign w:val="center"/>
          </w:tcPr>
          <w:p w14:paraId="60339C5B">
            <w:pPr>
              <w:ind w:firstLine="843"/>
              <w:jc w:val="center"/>
              <w:rPr>
                <w:rFonts w:hint="eastAsia" w:ascii="仿宋" w:hAnsi="仿宋" w:eastAsia="仿宋" w:cs="仿宋"/>
                <w:b/>
                <w:color w:val="auto"/>
                <w:sz w:val="24"/>
                <w:szCs w:val="24"/>
                <w:highlight w:val="none"/>
              </w:rPr>
            </w:pPr>
          </w:p>
        </w:tc>
        <w:tc>
          <w:tcPr>
            <w:tcW w:w="3991" w:type="pct"/>
            <w:tcBorders>
              <w:top w:val="single" w:color="auto" w:sz="4" w:space="0"/>
              <w:left w:val="nil"/>
              <w:bottom w:val="single" w:color="auto" w:sz="4" w:space="0"/>
              <w:right w:val="single" w:color="auto" w:sz="4" w:space="0"/>
            </w:tcBorders>
            <w:shd w:val="clear" w:color="auto" w:fill="auto"/>
            <w:vAlign w:val="center"/>
          </w:tcPr>
          <w:p w14:paraId="05A0CCE2">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支持各种检查设置不同格式的病理号。</w:t>
            </w:r>
          </w:p>
        </w:tc>
      </w:tr>
      <w:tr w14:paraId="2B64A4F9">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3DB72DB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633" w:type="pct"/>
            <w:vMerge w:val="continue"/>
            <w:tcBorders>
              <w:top w:val="nil"/>
              <w:left w:val="single" w:color="auto" w:sz="4" w:space="0"/>
              <w:bottom w:val="single" w:color="auto" w:sz="4" w:space="0"/>
              <w:right w:val="single" w:color="auto" w:sz="4" w:space="0"/>
            </w:tcBorders>
            <w:vAlign w:val="center"/>
          </w:tcPr>
          <w:p w14:paraId="49D923C6">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1D21E81E">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登记时出现病理号重号系统会自动提示。</w:t>
            </w:r>
          </w:p>
        </w:tc>
      </w:tr>
      <w:tr w14:paraId="70C76A8F">
        <w:tblPrEx>
          <w:tblCellMar>
            <w:top w:w="0" w:type="dxa"/>
            <w:left w:w="108" w:type="dxa"/>
            <w:bottom w:w="0" w:type="dxa"/>
            <w:right w:w="108" w:type="dxa"/>
          </w:tblCellMar>
        </w:tblPrEx>
        <w:trPr>
          <w:trHeight w:val="567"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794E336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633" w:type="pct"/>
            <w:vMerge w:val="continue"/>
            <w:tcBorders>
              <w:top w:val="single" w:color="auto" w:sz="4" w:space="0"/>
              <w:left w:val="single" w:color="auto" w:sz="4" w:space="0"/>
              <w:bottom w:val="single" w:color="auto" w:sz="4" w:space="0"/>
              <w:right w:val="single" w:color="auto" w:sz="4" w:space="0"/>
            </w:tcBorders>
            <w:vAlign w:val="center"/>
          </w:tcPr>
          <w:p w14:paraId="0610BBD8">
            <w:pPr>
              <w:ind w:firstLine="843"/>
              <w:jc w:val="center"/>
              <w:rPr>
                <w:rFonts w:hint="eastAsia" w:ascii="仿宋" w:hAnsi="仿宋" w:eastAsia="仿宋" w:cs="仿宋"/>
                <w:b/>
                <w:color w:val="auto"/>
                <w:sz w:val="24"/>
                <w:szCs w:val="24"/>
                <w:highlight w:val="none"/>
              </w:rPr>
            </w:pPr>
          </w:p>
        </w:tc>
        <w:tc>
          <w:tcPr>
            <w:tcW w:w="3991" w:type="pct"/>
            <w:tcBorders>
              <w:top w:val="single" w:color="auto" w:sz="4" w:space="0"/>
              <w:left w:val="nil"/>
              <w:bottom w:val="single" w:color="auto" w:sz="4" w:space="0"/>
              <w:right w:val="single" w:color="auto" w:sz="4" w:space="0"/>
            </w:tcBorders>
            <w:shd w:val="clear" w:color="auto" w:fill="auto"/>
            <w:vAlign w:val="center"/>
          </w:tcPr>
          <w:p w14:paraId="61BBDE05">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病理号可设置为按日期+自增量编号模式编号。</w:t>
            </w:r>
          </w:p>
        </w:tc>
      </w:tr>
      <w:tr w14:paraId="14B00B84">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412B351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633" w:type="pct"/>
            <w:vMerge w:val="continue"/>
            <w:tcBorders>
              <w:top w:val="nil"/>
              <w:left w:val="single" w:color="auto" w:sz="4" w:space="0"/>
              <w:bottom w:val="single" w:color="auto" w:sz="4" w:space="0"/>
              <w:right w:val="single" w:color="auto" w:sz="4" w:space="0"/>
            </w:tcBorders>
            <w:vAlign w:val="center"/>
          </w:tcPr>
          <w:p w14:paraId="2EB0DCAE">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25D13F05">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病理号按当前病例库的编号规则自动升位，也可以去自由选择起始号，可以查找一个区间段内没有使用的病理号。</w:t>
            </w:r>
          </w:p>
        </w:tc>
      </w:tr>
      <w:tr w14:paraId="140355CC">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308DAF5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633" w:type="pct"/>
            <w:vMerge w:val="continue"/>
            <w:tcBorders>
              <w:top w:val="nil"/>
              <w:left w:val="single" w:color="auto" w:sz="4" w:space="0"/>
              <w:bottom w:val="single" w:color="auto" w:sz="4" w:space="0"/>
              <w:right w:val="single" w:color="auto" w:sz="4" w:space="0"/>
            </w:tcBorders>
            <w:vAlign w:val="center"/>
          </w:tcPr>
          <w:p w14:paraId="4ACF9407">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18B0BE07">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登记的时候可以选择为加快，并在相应的列表里以不同颜色区分加快、门诊、住院。</w:t>
            </w:r>
          </w:p>
        </w:tc>
      </w:tr>
      <w:tr w14:paraId="62C6DE48">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442AC25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633" w:type="pct"/>
            <w:vMerge w:val="continue"/>
            <w:tcBorders>
              <w:top w:val="nil"/>
              <w:left w:val="single" w:color="auto" w:sz="4" w:space="0"/>
              <w:bottom w:val="single" w:color="auto" w:sz="4" w:space="0"/>
              <w:right w:val="single" w:color="auto" w:sz="4" w:space="0"/>
            </w:tcBorders>
            <w:vAlign w:val="center"/>
          </w:tcPr>
          <w:p w14:paraId="6F90A4D7">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597D492B">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灵活设置病理号规则，支持各种检查项目的病理号格式，前缀是单个或多个字母，中间分隔符等。</w:t>
            </w:r>
          </w:p>
        </w:tc>
      </w:tr>
      <w:tr w14:paraId="72D34778">
        <w:tblPrEx>
          <w:tblCellMar>
            <w:top w:w="0" w:type="dxa"/>
            <w:left w:w="108" w:type="dxa"/>
            <w:bottom w:w="0" w:type="dxa"/>
            <w:right w:w="108" w:type="dxa"/>
          </w:tblCellMar>
        </w:tblPrEx>
        <w:trPr>
          <w:trHeight w:val="567"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6259473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w:t>
            </w:r>
          </w:p>
        </w:tc>
        <w:tc>
          <w:tcPr>
            <w:tcW w:w="633" w:type="pct"/>
            <w:vMerge w:val="continue"/>
            <w:tcBorders>
              <w:top w:val="single" w:color="auto" w:sz="4" w:space="0"/>
              <w:left w:val="single" w:color="auto" w:sz="4" w:space="0"/>
              <w:bottom w:val="single" w:color="auto" w:sz="4" w:space="0"/>
              <w:right w:val="single" w:color="auto" w:sz="4" w:space="0"/>
            </w:tcBorders>
            <w:vAlign w:val="center"/>
          </w:tcPr>
          <w:p w14:paraId="7D7DE126">
            <w:pPr>
              <w:ind w:firstLine="843"/>
              <w:jc w:val="center"/>
              <w:rPr>
                <w:rFonts w:hint="eastAsia" w:ascii="仿宋" w:hAnsi="仿宋" w:eastAsia="仿宋" w:cs="仿宋"/>
                <w:b/>
                <w:color w:val="auto"/>
                <w:sz w:val="24"/>
                <w:szCs w:val="24"/>
                <w:highlight w:val="none"/>
              </w:rPr>
            </w:pPr>
          </w:p>
        </w:tc>
        <w:tc>
          <w:tcPr>
            <w:tcW w:w="3991" w:type="pct"/>
            <w:tcBorders>
              <w:top w:val="single" w:color="auto" w:sz="4" w:space="0"/>
              <w:left w:val="nil"/>
              <w:bottom w:val="single" w:color="auto" w:sz="4" w:space="0"/>
              <w:right w:val="single" w:color="auto" w:sz="4" w:space="0"/>
            </w:tcBorders>
            <w:shd w:val="clear" w:color="auto" w:fill="auto"/>
            <w:vAlign w:val="center"/>
          </w:tcPr>
          <w:p w14:paraId="3AE5CEAC">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保存后置检查状态为『检查已登记』。</w:t>
            </w:r>
          </w:p>
        </w:tc>
      </w:tr>
      <w:tr w14:paraId="36496563">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4AA6F1E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633" w:type="pct"/>
            <w:vMerge w:val="restart"/>
            <w:tcBorders>
              <w:top w:val="nil"/>
              <w:left w:val="single" w:color="auto" w:sz="4" w:space="0"/>
              <w:bottom w:val="single" w:color="auto" w:sz="4" w:space="0"/>
              <w:right w:val="single" w:color="auto" w:sz="4" w:space="0"/>
            </w:tcBorders>
            <w:shd w:val="clear" w:color="auto" w:fill="auto"/>
            <w:vAlign w:val="center"/>
          </w:tcPr>
          <w:p w14:paraId="40C34319">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诊断报告</w:t>
            </w:r>
          </w:p>
        </w:tc>
        <w:tc>
          <w:tcPr>
            <w:tcW w:w="3991" w:type="pct"/>
            <w:tcBorders>
              <w:top w:val="nil"/>
              <w:left w:val="nil"/>
              <w:bottom w:val="single" w:color="auto" w:sz="4" w:space="0"/>
              <w:right w:val="single" w:color="auto" w:sz="4" w:space="0"/>
            </w:tcBorders>
            <w:shd w:val="clear" w:color="auto" w:fill="auto"/>
            <w:vAlign w:val="center"/>
          </w:tcPr>
          <w:p w14:paraId="4EA7E71C">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支持常规病理、普通细胞学、液基细胞学、外院会诊报告。</w:t>
            </w:r>
          </w:p>
        </w:tc>
      </w:tr>
      <w:tr w14:paraId="755FFD22">
        <w:tblPrEx>
          <w:tblCellMar>
            <w:top w:w="0" w:type="dxa"/>
            <w:left w:w="108" w:type="dxa"/>
            <w:bottom w:w="0" w:type="dxa"/>
            <w:right w:w="108" w:type="dxa"/>
          </w:tblCellMar>
        </w:tblPrEx>
        <w:trPr>
          <w:trHeight w:val="567"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7239B12C">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p>
        </w:tc>
        <w:tc>
          <w:tcPr>
            <w:tcW w:w="633" w:type="pct"/>
            <w:vMerge w:val="continue"/>
            <w:tcBorders>
              <w:top w:val="single" w:color="auto" w:sz="4" w:space="0"/>
              <w:left w:val="single" w:color="auto" w:sz="4" w:space="0"/>
              <w:bottom w:val="single" w:color="auto" w:sz="4" w:space="0"/>
              <w:right w:val="single" w:color="auto" w:sz="4" w:space="0"/>
            </w:tcBorders>
            <w:vAlign w:val="center"/>
          </w:tcPr>
          <w:p w14:paraId="50E89CE3">
            <w:pPr>
              <w:ind w:firstLine="843"/>
              <w:jc w:val="center"/>
              <w:rPr>
                <w:rFonts w:hint="eastAsia" w:ascii="仿宋" w:hAnsi="仿宋" w:eastAsia="仿宋" w:cs="仿宋"/>
                <w:b/>
                <w:color w:val="auto"/>
                <w:sz w:val="24"/>
                <w:szCs w:val="24"/>
                <w:highlight w:val="none"/>
              </w:rPr>
            </w:pPr>
          </w:p>
        </w:tc>
        <w:tc>
          <w:tcPr>
            <w:tcW w:w="3991" w:type="pct"/>
            <w:tcBorders>
              <w:top w:val="single" w:color="auto" w:sz="4" w:space="0"/>
              <w:left w:val="nil"/>
              <w:bottom w:val="single" w:color="auto" w:sz="4" w:space="0"/>
              <w:right w:val="single" w:color="auto" w:sz="4" w:space="0"/>
            </w:tcBorders>
            <w:shd w:val="clear" w:color="auto" w:fill="auto"/>
            <w:vAlign w:val="center"/>
          </w:tcPr>
          <w:p w14:paraId="6CDEF908">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系统根据当前检查的病人ID号自动检索历史病理检查信息，并提示是否有历史检查。</w:t>
            </w:r>
          </w:p>
        </w:tc>
      </w:tr>
      <w:tr w14:paraId="32975220">
        <w:tblPrEx>
          <w:tblCellMar>
            <w:top w:w="0" w:type="dxa"/>
            <w:left w:w="108" w:type="dxa"/>
            <w:bottom w:w="0" w:type="dxa"/>
            <w:right w:w="108" w:type="dxa"/>
          </w:tblCellMar>
        </w:tblPrEx>
        <w:trPr>
          <w:trHeight w:val="567"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17F210F1">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633" w:type="pct"/>
            <w:vMerge w:val="continue"/>
            <w:tcBorders>
              <w:top w:val="single" w:color="auto" w:sz="4" w:space="0"/>
              <w:left w:val="single" w:color="auto" w:sz="4" w:space="0"/>
              <w:bottom w:val="single" w:color="auto" w:sz="4" w:space="0"/>
              <w:right w:val="single" w:color="auto" w:sz="4" w:space="0"/>
            </w:tcBorders>
            <w:vAlign w:val="center"/>
          </w:tcPr>
          <w:p w14:paraId="2D854C3E">
            <w:pPr>
              <w:ind w:firstLine="843"/>
              <w:jc w:val="center"/>
              <w:rPr>
                <w:rFonts w:hint="eastAsia" w:ascii="仿宋" w:hAnsi="仿宋" w:eastAsia="仿宋" w:cs="仿宋"/>
                <w:b/>
                <w:color w:val="auto"/>
                <w:sz w:val="24"/>
                <w:szCs w:val="24"/>
                <w:highlight w:val="none"/>
              </w:rPr>
            </w:pPr>
          </w:p>
        </w:tc>
        <w:tc>
          <w:tcPr>
            <w:tcW w:w="3991" w:type="pct"/>
            <w:tcBorders>
              <w:top w:val="single" w:color="auto" w:sz="4" w:space="0"/>
              <w:left w:val="nil"/>
              <w:bottom w:val="single" w:color="auto" w:sz="4" w:space="0"/>
              <w:right w:val="single" w:color="auto" w:sz="4" w:space="0"/>
            </w:tcBorders>
            <w:shd w:val="clear" w:color="auto" w:fill="auto"/>
            <w:vAlign w:val="center"/>
          </w:tcPr>
          <w:p w14:paraId="44C49BF6">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提供各种按钮，供医生查看当前检查申请单、取材信息。</w:t>
            </w:r>
          </w:p>
        </w:tc>
      </w:tr>
      <w:tr w14:paraId="479A5E1B">
        <w:tblPrEx>
          <w:tblCellMar>
            <w:top w:w="0" w:type="dxa"/>
            <w:left w:w="108" w:type="dxa"/>
            <w:bottom w:w="0" w:type="dxa"/>
            <w:right w:w="108" w:type="dxa"/>
          </w:tblCellMar>
        </w:tblPrEx>
        <w:trPr>
          <w:trHeight w:val="567"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57DC491C">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c>
          <w:tcPr>
            <w:tcW w:w="633" w:type="pct"/>
            <w:vMerge w:val="continue"/>
            <w:tcBorders>
              <w:top w:val="single" w:color="auto" w:sz="4" w:space="0"/>
              <w:left w:val="single" w:color="auto" w:sz="4" w:space="0"/>
              <w:bottom w:val="single" w:color="auto" w:sz="4" w:space="0"/>
              <w:right w:val="single" w:color="auto" w:sz="4" w:space="0"/>
            </w:tcBorders>
            <w:vAlign w:val="center"/>
          </w:tcPr>
          <w:p w14:paraId="0A77C60D">
            <w:pPr>
              <w:ind w:firstLine="843"/>
              <w:jc w:val="center"/>
              <w:rPr>
                <w:rFonts w:hint="eastAsia" w:ascii="仿宋" w:hAnsi="仿宋" w:eastAsia="仿宋" w:cs="仿宋"/>
                <w:b/>
                <w:color w:val="auto"/>
                <w:sz w:val="24"/>
                <w:szCs w:val="24"/>
                <w:highlight w:val="none"/>
              </w:rPr>
            </w:pPr>
          </w:p>
        </w:tc>
        <w:tc>
          <w:tcPr>
            <w:tcW w:w="3991" w:type="pct"/>
            <w:tcBorders>
              <w:top w:val="single" w:color="auto" w:sz="4" w:space="0"/>
              <w:left w:val="nil"/>
              <w:bottom w:val="single" w:color="auto" w:sz="4" w:space="0"/>
              <w:right w:val="single" w:color="auto" w:sz="4" w:space="0"/>
            </w:tcBorders>
            <w:shd w:val="clear" w:color="auto" w:fill="auto"/>
            <w:vAlign w:val="center"/>
          </w:tcPr>
          <w:p w14:paraId="0938A9E4">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提供病人历史检查列表，医生可查看每个历史检查报告信息。</w:t>
            </w:r>
          </w:p>
        </w:tc>
      </w:tr>
      <w:tr w14:paraId="3C9BE15B">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325FDCD9">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633" w:type="pct"/>
            <w:vMerge w:val="continue"/>
            <w:tcBorders>
              <w:top w:val="nil"/>
              <w:left w:val="single" w:color="auto" w:sz="4" w:space="0"/>
              <w:bottom w:val="single" w:color="auto" w:sz="4" w:space="0"/>
              <w:right w:val="single" w:color="auto" w:sz="4" w:space="0"/>
            </w:tcBorders>
            <w:vAlign w:val="center"/>
          </w:tcPr>
          <w:p w14:paraId="28159962">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3D8A7C19">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实现全院整合一体化PACS系统，可支持查看病人放射、检查的诊断报告。</w:t>
            </w:r>
          </w:p>
        </w:tc>
      </w:tr>
      <w:tr w14:paraId="605F2A5C">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7A411BF8">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633" w:type="pct"/>
            <w:vMerge w:val="continue"/>
            <w:tcBorders>
              <w:top w:val="nil"/>
              <w:left w:val="single" w:color="auto" w:sz="4" w:space="0"/>
              <w:bottom w:val="single" w:color="auto" w:sz="4" w:space="0"/>
              <w:right w:val="single" w:color="auto" w:sz="4" w:space="0"/>
            </w:tcBorders>
            <w:vAlign w:val="center"/>
          </w:tcPr>
          <w:p w14:paraId="12618D4D">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2820FBCF">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所见即所得的报告编辑功能。</w:t>
            </w:r>
          </w:p>
        </w:tc>
      </w:tr>
      <w:tr w14:paraId="150128F9">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0BC0541C">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c>
          <w:tcPr>
            <w:tcW w:w="633" w:type="pct"/>
            <w:vMerge w:val="continue"/>
            <w:tcBorders>
              <w:top w:val="nil"/>
              <w:left w:val="single" w:color="auto" w:sz="4" w:space="0"/>
              <w:bottom w:val="single" w:color="auto" w:sz="4" w:space="0"/>
              <w:right w:val="single" w:color="auto" w:sz="4" w:space="0"/>
            </w:tcBorders>
            <w:vAlign w:val="center"/>
          </w:tcPr>
          <w:p w14:paraId="1DF63C20">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4746426C">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根据登录用户的权限，分别显示不同的报告级别保存按钮。</w:t>
            </w:r>
          </w:p>
        </w:tc>
      </w:tr>
      <w:tr w14:paraId="7AF88428">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748DFC4A">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p>
        </w:tc>
        <w:tc>
          <w:tcPr>
            <w:tcW w:w="633" w:type="pct"/>
            <w:vMerge w:val="continue"/>
            <w:tcBorders>
              <w:top w:val="nil"/>
              <w:left w:val="single" w:color="auto" w:sz="4" w:space="0"/>
              <w:bottom w:val="single" w:color="auto" w:sz="4" w:space="0"/>
              <w:right w:val="single" w:color="auto" w:sz="4" w:space="0"/>
            </w:tcBorders>
            <w:vAlign w:val="center"/>
          </w:tcPr>
          <w:p w14:paraId="14D39C57">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0ECFB39C">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具有确认报告权限的医生可直接确认报告。</w:t>
            </w:r>
          </w:p>
        </w:tc>
      </w:tr>
      <w:tr w14:paraId="375BF3DC">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068ED7C4">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9</w:t>
            </w:r>
          </w:p>
        </w:tc>
        <w:tc>
          <w:tcPr>
            <w:tcW w:w="633" w:type="pct"/>
            <w:vMerge w:val="continue"/>
            <w:tcBorders>
              <w:top w:val="nil"/>
              <w:left w:val="single" w:color="auto" w:sz="4" w:space="0"/>
              <w:bottom w:val="single" w:color="auto" w:sz="4" w:space="0"/>
              <w:right w:val="single" w:color="auto" w:sz="4" w:space="0"/>
            </w:tcBorders>
            <w:vAlign w:val="center"/>
          </w:tcPr>
          <w:p w14:paraId="1C10F4AF">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7933CD0B">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提供报告内容模板，可按实际需要管理。</w:t>
            </w:r>
          </w:p>
        </w:tc>
      </w:tr>
      <w:tr w14:paraId="24524CEA">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72E03720">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633" w:type="pct"/>
            <w:vMerge w:val="continue"/>
            <w:tcBorders>
              <w:top w:val="nil"/>
              <w:left w:val="single" w:color="auto" w:sz="4" w:space="0"/>
              <w:bottom w:val="single" w:color="auto" w:sz="4" w:space="0"/>
              <w:right w:val="single" w:color="auto" w:sz="4" w:space="0"/>
            </w:tcBorders>
            <w:vAlign w:val="center"/>
          </w:tcPr>
          <w:p w14:paraId="5E71D911">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08336B39">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支持图文报告预览、打印、导出等功能。</w:t>
            </w:r>
          </w:p>
        </w:tc>
      </w:tr>
      <w:tr w14:paraId="55AD241B">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32065218">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633" w:type="pct"/>
            <w:vMerge w:val="continue"/>
            <w:tcBorders>
              <w:top w:val="nil"/>
              <w:left w:val="single" w:color="auto" w:sz="4" w:space="0"/>
              <w:bottom w:val="single" w:color="auto" w:sz="4" w:space="0"/>
              <w:right w:val="single" w:color="auto" w:sz="4" w:space="0"/>
            </w:tcBorders>
            <w:vAlign w:val="center"/>
          </w:tcPr>
          <w:p w14:paraId="5A899EC6">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15A2EB2C">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支持先贴图后文字、先文字后贴图、文字与贴图混排等多种报告单格式。</w:t>
            </w:r>
          </w:p>
        </w:tc>
      </w:tr>
      <w:tr w14:paraId="6F7F4270">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785387E4">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633" w:type="pct"/>
            <w:vMerge w:val="continue"/>
            <w:tcBorders>
              <w:top w:val="nil"/>
              <w:left w:val="single" w:color="auto" w:sz="4" w:space="0"/>
              <w:bottom w:val="single" w:color="auto" w:sz="4" w:space="0"/>
              <w:right w:val="single" w:color="auto" w:sz="4" w:space="0"/>
            </w:tcBorders>
            <w:vAlign w:val="center"/>
          </w:tcPr>
          <w:p w14:paraId="3A935CD7">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2BC4D5D5">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可为不同的检查类型，设置不同的报告单样式。</w:t>
            </w:r>
          </w:p>
        </w:tc>
      </w:tr>
      <w:tr w14:paraId="0B126CB6">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79429AF7">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633" w:type="pct"/>
            <w:vMerge w:val="continue"/>
            <w:tcBorders>
              <w:top w:val="nil"/>
              <w:left w:val="single" w:color="auto" w:sz="4" w:space="0"/>
              <w:bottom w:val="single" w:color="auto" w:sz="4" w:space="0"/>
              <w:right w:val="single" w:color="auto" w:sz="4" w:space="0"/>
            </w:tcBorders>
            <w:vAlign w:val="center"/>
          </w:tcPr>
          <w:p w14:paraId="60053C09">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2A5FF036">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对诊断报告任何做过的修改均留下操作日志。</w:t>
            </w:r>
          </w:p>
        </w:tc>
      </w:tr>
      <w:tr w14:paraId="1087B607">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412E404D">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633" w:type="pct"/>
            <w:vMerge w:val="continue"/>
            <w:tcBorders>
              <w:top w:val="nil"/>
              <w:left w:val="single" w:color="auto" w:sz="4" w:space="0"/>
              <w:bottom w:val="single" w:color="auto" w:sz="4" w:space="0"/>
              <w:right w:val="single" w:color="auto" w:sz="4" w:space="0"/>
            </w:tcBorders>
            <w:vAlign w:val="center"/>
          </w:tcPr>
          <w:p w14:paraId="4C6D36F9">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0594D422">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上级医生可对下级医生书写的报告进行修改和确认（审核）。</w:t>
            </w:r>
          </w:p>
        </w:tc>
      </w:tr>
      <w:tr w14:paraId="378EE3BF">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471AE8CF">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633" w:type="pct"/>
            <w:vMerge w:val="continue"/>
            <w:tcBorders>
              <w:top w:val="nil"/>
              <w:left w:val="single" w:color="auto" w:sz="4" w:space="0"/>
              <w:bottom w:val="single" w:color="auto" w:sz="4" w:space="0"/>
              <w:right w:val="single" w:color="auto" w:sz="4" w:space="0"/>
            </w:tcBorders>
            <w:vAlign w:val="center"/>
          </w:tcPr>
          <w:p w14:paraId="7CF3EA99">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71077C89">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支持报告标记和疾病归类功能，便于病例归档和统计分析。</w:t>
            </w:r>
          </w:p>
        </w:tc>
      </w:tr>
      <w:tr w14:paraId="3FF50357">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0A0AF2C9">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w:t>
            </w:r>
          </w:p>
        </w:tc>
        <w:tc>
          <w:tcPr>
            <w:tcW w:w="633" w:type="pct"/>
            <w:vMerge w:val="continue"/>
            <w:tcBorders>
              <w:top w:val="nil"/>
              <w:left w:val="single" w:color="auto" w:sz="4" w:space="0"/>
              <w:bottom w:val="single" w:color="auto" w:sz="4" w:space="0"/>
              <w:right w:val="single" w:color="auto" w:sz="4" w:space="0"/>
            </w:tcBorders>
            <w:vAlign w:val="center"/>
          </w:tcPr>
          <w:p w14:paraId="37E7A818">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193D0D83">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支持向取材和制片站点分别发送补取、重切、深切、特检等医嘱申请。</w:t>
            </w:r>
          </w:p>
        </w:tc>
      </w:tr>
      <w:tr w14:paraId="269F5E07">
        <w:tblPrEx>
          <w:tblCellMar>
            <w:top w:w="0" w:type="dxa"/>
            <w:left w:w="108" w:type="dxa"/>
            <w:bottom w:w="0" w:type="dxa"/>
            <w:right w:w="108" w:type="dxa"/>
          </w:tblCellMar>
        </w:tblPrEx>
        <w:trPr>
          <w:trHeight w:val="567"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189FC6D8">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c>
          <w:tcPr>
            <w:tcW w:w="633" w:type="pct"/>
            <w:vMerge w:val="continue"/>
            <w:tcBorders>
              <w:top w:val="single" w:color="auto" w:sz="4" w:space="0"/>
              <w:left w:val="single" w:color="auto" w:sz="4" w:space="0"/>
              <w:bottom w:val="single" w:color="auto" w:sz="4" w:space="0"/>
              <w:right w:val="single" w:color="auto" w:sz="4" w:space="0"/>
            </w:tcBorders>
            <w:vAlign w:val="center"/>
          </w:tcPr>
          <w:p w14:paraId="34E2F42F">
            <w:pPr>
              <w:ind w:firstLine="843"/>
              <w:jc w:val="center"/>
              <w:rPr>
                <w:rFonts w:hint="eastAsia" w:ascii="仿宋" w:hAnsi="仿宋" w:eastAsia="仿宋" w:cs="仿宋"/>
                <w:b/>
                <w:color w:val="auto"/>
                <w:sz w:val="24"/>
                <w:szCs w:val="24"/>
                <w:highlight w:val="none"/>
              </w:rPr>
            </w:pPr>
          </w:p>
        </w:tc>
        <w:tc>
          <w:tcPr>
            <w:tcW w:w="3991" w:type="pct"/>
            <w:tcBorders>
              <w:top w:val="single" w:color="auto" w:sz="4" w:space="0"/>
              <w:left w:val="nil"/>
              <w:bottom w:val="single" w:color="auto" w:sz="4" w:space="0"/>
              <w:right w:val="single" w:color="auto" w:sz="4" w:space="0"/>
            </w:tcBorders>
            <w:shd w:val="clear" w:color="auto" w:fill="auto"/>
            <w:vAlign w:val="center"/>
          </w:tcPr>
          <w:p w14:paraId="003004E6">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支持发出科内会诊申请，系统在“科内会诊”列表自动进行提示，其他医生进入系统后可快速打开这些会诊病例并书写自己的会诊意见。</w:t>
            </w:r>
          </w:p>
        </w:tc>
      </w:tr>
      <w:tr w14:paraId="11D5CD19">
        <w:tblPrEx>
          <w:tblCellMar>
            <w:top w:w="0" w:type="dxa"/>
            <w:left w:w="108" w:type="dxa"/>
            <w:bottom w:w="0" w:type="dxa"/>
            <w:right w:w="108" w:type="dxa"/>
          </w:tblCellMar>
        </w:tblPrEx>
        <w:trPr>
          <w:trHeight w:val="567"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58A9E921">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w:t>
            </w:r>
          </w:p>
        </w:tc>
        <w:tc>
          <w:tcPr>
            <w:tcW w:w="633" w:type="pct"/>
            <w:vMerge w:val="continue"/>
            <w:tcBorders>
              <w:top w:val="single" w:color="auto" w:sz="4" w:space="0"/>
              <w:left w:val="single" w:color="auto" w:sz="4" w:space="0"/>
              <w:bottom w:val="single" w:color="auto" w:sz="4" w:space="0"/>
              <w:right w:val="single" w:color="auto" w:sz="4" w:space="0"/>
            </w:tcBorders>
            <w:vAlign w:val="center"/>
          </w:tcPr>
          <w:p w14:paraId="2489AE8C">
            <w:pPr>
              <w:ind w:firstLine="843"/>
              <w:jc w:val="center"/>
              <w:rPr>
                <w:rFonts w:hint="eastAsia" w:ascii="仿宋" w:hAnsi="仿宋" w:eastAsia="仿宋" w:cs="仿宋"/>
                <w:b/>
                <w:color w:val="auto"/>
                <w:sz w:val="24"/>
                <w:szCs w:val="24"/>
                <w:highlight w:val="none"/>
              </w:rPr>
            </w:pPr>
          </w:p>
        </w:tc>
        <w:tc>
          <w:tcPr>
            <w:tcW w:w="3991" w:type="pct"/>
            <w:tcBorders>
              <w:top w:val="single" w:color="auto" w:sz="4" w:space="0"/>
              <w:left w:val="nil"/>
              <w:bottom w:val="single" w:color="auto" w:sz="4" w:space="0"/>
              <w:right w:val="single" w:color="auto" w:sz="4" w:space="0"/>
            </w:tcBorders>
            <w:shd w:val="clear" w:color="auto" w:fill="auto"/>
            <w:vAlign w:val="center"/>
          </w:tcPr>
          <w:p w14:paraId="71885F7F">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提供报告批量打印、批量审核等批处理功能。</w:t>
            </w:r>
          </w:p>
        </w:tc>
      </w:tr>
      <w:tr w14:paraId="7AB9C9FC">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53A042A1">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19</w:t>
            </w:r>
          </w:p>
        </w:tc>
        <w:tc>
          <w:tcPr>
            <w:tcW w:w="633" w:type="pct"/>
            <w:vMerge w:val="continue"/>
            <w:tcBorders>
              <w:top w:val="nil"/>
              <w:left w:val="single" w:color="auto" w:sz="4" w:space="0"/>
              <w:bottom w:val="single" w:color="auto" w:sz="4" w:space="0"/>
              <w:right w:val="single" w:color="auto" w:sz="4" w:space="0"/>
            </w:tcBorders>
            <w:vAlign w:val="center"/>
          </w:tcPr>
          <w:p w14:paraId="519CDC3F">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2264AFDC">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系统对审核后的记录自动进行锁定，需修改时，必须由主任级医生回退到未审核状态下修改。</w:t>
            </w:r>
          </w:p>
        </w:tc>
      </w:tr>
      <w:tr w14:paraId="116DE9D3">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7FD750EE">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c>
          <w:tcPr>
            <w:tcW w:w="633" w:type="pct"/>
            <w:vMerge w:val="continue"/>
            <w:tcBorders>
              <w:top w:val="nil"/>
              <w:left w:val="single" w:color="auto" w:sz="4" w:space="0"/>
              <w:bottom w:val="single" w:color="auto" w:sz="4" w:space="0"/>
              <w:right w:val="single" w:color="auto" w:sz="4" w:space="0"/>
            </w:tcBorders>
            <w:vAlign w:val="center"/>
          </w:tcPr>
          <w:p w14:paraId="2C59F0F5">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08C0AF47">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对记录的修改与删除操作，系统通过日志表功能自动记忆修改前的内容，确保数据安全。</w:t>
            </w:r>
          </w:p>
        </w:tc>
      </w:tr>
      <w:tr w14:paraId="17DC6693">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7907643E">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w:t>
            </w:r>
          </w:p>
        </w:tc>
        <w:tc>
          <w:tcPr>
            <w:tcW w:w="633" w:type="pct"/>
            <w:vMerge w:val="continue"/>
            <w:tcBorders>
              <w:top w:val="nil"/>
              <w:left w:val="single" w:color="auto" w:sz="4" w:space="0"/>
              <w:bottom w:val="single" w:color="auto" w:sz="4" w:space="0"/>
              <w:right w:val="single" w:color="auto" w:sz="4" w:space="0"/>
            </w:tcBorders>
            <w:vAlign w:val="center"/>
          </w:tcPr>
          <w:p w14:paraId="0698CD6C">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62525864">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支持二次报告模式，不覆盖第一次报告，留有前一次诊断记录。</w:t>
            </w:r>
          </w:p>
        </w:tc>
      </w:tr>
      <w:tr w14:paraId="40FA706F">
        <w:tblPrEx>
          <w:tblCellMar>
            <w:top w:w="0" w:type="dxa"/>
            <w:left w:w="108" w:type="dxa"/>
            <w:bottom w:w="0" w:type="dxa"/>
            <w:right w:w="108" w:type="dxa"/>
          </w:tblCellMar>
        </w:tblPrEx>
        <w:trPr>
          <w:trHeight w:val="567"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0F0035F0">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w:t>
            </w:r>
          </w:p>
        </w:tc>
        <w:tc>
          <w:tcPr>
            <w:tcW w:w="633" w:type="pct"/>
            <w:vMerge w:val="continue"/>
            <w:tcBorders>
              <w:top w:val="single" w:color="auto" w:sz="4" w:space="0"/>
              <w:left w:val="single" w:color="auto" w:sz="4" w:space="0"/>
              <w:bottom w:val="single" w:color="auto" w:sz="4" w:space="0"/>
              <w:right w:val="single" w:color="auto" w:sz="4" w:space="0"/>
            </w:tcBorders>
            <w:vAlign w:val="center"/>
          </w:tcPr>
          <w:p w14:paraId="55D2018A">
            <w:pPr>
              <w:ind w:firstLine="843"/>
              <w:jc w:val="center"/>
              <w:rPr>
                <w:rFonts w:hint="eastAsia" w:ascii="仿宋" w:hAnsi="仿宋" w:eastAsia="仿宋" w:cs="仿宋"/>
                <w:b/>
                <w:color w:val="auto"/>
                <w:sz w:val="24"/>
                <w:szCs w:val="24"/>
                <w:highlight w:val="none"/>
              </w:rPr>
            </w:pPr>
          </w:p>
        </w:tc>
        <w:tc>
          <w:tcPr>
            <w:tcW w:w="3991" w:type="pct"/>
            <w:tcBorders>
              <w:top w:val="single" w:color="auto" w:sz="4" w:space="0"/>
              <w:left w:val="nil"/>
              <w:bottom w:val="single" w:color="auto" w:sz="4" w:space="0"/>
              <w:right w:val="single" w:color="auto" w:sz="4" w:space="0"/>
            </w:tcBorders>
            <w:shd w:val="clear" w:color="auto" w:fill="auto"/>
            <w:vAlign w:val="center"/>
          </w:tcPr>
          <w:p w14:paraId="0DDE1044">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报告界面自动显示免疫组化、分子、特殊染色的结果，报告医生可以书写特殊检查结果。并自动将特殊检查的结果合并到常规的报告单之中。</w:t>
            </w:r>
          </w:p>
        </w:tc>
      </w:tr>
      <w:tr w14:paraId="7EF1C1CC">
        <w:tblPrEx>
          <w:tblCellMar>
            <w:top w:w="0" w:type="dxa"/>
            <w:left w:w="108" w:type="dxa"/>
            <w:bottom w:w="0" w:type="dxa"/>
            <w:right w:w="108" w:type="dxa"/>
          </w:tblCellMar>
        </w:tblPrEx>
        <w:trPr>
          <w:trHeight w:val="567"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79E53179">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w:t>
            </w:r>
          </w:p>
        </w:tc>
        <w:tc>
          <w:tcPr>
            <w:tcW w:w="633" w:type="pct"/>
            <w:vMerge w:val="continue"/>
            <w:tcBorders>
              <w:top w:val="single" w:color="auto" w:sz="4" w:space="0"/>
              <w:left w:val="single" w:color="auto" w:sz="4" w:space="0"/>
              <w:bottom w:val="single" w:color="auto" w:sz="4" w:space="0"/>
              <w:right w:val="single" w:color="auto" w:sz="4" w:space="0"/>
            </w:tcBorders>
            <w:vAlign w:val="center"/>
          </w:tcPr>
          <w:p w14:paraId="0B18EC71">
            <w:pPr>
              <w:ind w:firstLine="843"/>
              <w:jc w:val="center"/>
              <w:rPr>
                <w:rFonts w:hint="eastAsia" w:ascii="仿宋" w:hAnsi="仿宋" w:eastAsia="仿宋" w:cs="仿宋"/>
                <w:b/>
                <w:color w:val="auto"/>
                <w:sz w:val="24"/>
                <w:szCs w:val="24"/>
                <w:highlight w:val="none"/>
              </w:rPr>
            </w:pPr>
          </w:p>
        </w:tc>
        <w:tc>
          <w:tcPr>
            <w:tcW w:w="3991" w:type="pct"/>
            <w:tcBorders>
              <w:top w:val="single" w:color="auto" w:sz="4" w:space="0"/>
              <w:left w:val="nil"/>
              <w:bottom w:val="single" w:color="auto" w:sz="4" w:space="0"/>
              <w:right w:val="single" w:color="auto" w:sz="4" w:space="0"/>
            </w:tcBorders>
            <w:shd w:val="clear" w:color="auto" w:fill="auto"/>
            <w:vAlign w:val="center"/>
          </w:tcPr>
          <w:p w14:paraId="2253EEA7">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支持特检报告功能，特检报告有审核和打印报告功能，能够审核和打印免疫组化报告、分子病理报告和特殊染色报告，支持各种项目的分子基因检测报告单。</w:t>
            </w:r>
          </w:p>
        </w:tc>
      </w:tr>
      <w:tr w14:paraId="6024196F">
        <w:tblPrEx>
          <w:tblCellMar>
            <w:top w:w="0" w:type="dxa"/>
            <w:left w:w="108" w:type="dxa"/>
            <w:bottom w:w="0" w:type="dxa"/>
            <w:right w:w="108" w:type="dxa"/>
          </w:tblCellMar>
        </w:tblPrEx>
        <w:trPr>
          <w:trHeight w:val="4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7165272B">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w:t>
            </w:r>
          </w:p>
        </w:tc>
        <w:tc>
          <w:tcPr>
            <w:tcW w:w="633" w:type="pct"/>
            <w:vMerge w:val="continue"/>
            <w:tcBorders>
              <w:top w:val="nil"/>
              <w:left w:val="single" w:color="auto" w:sz="4" w:space="0"/>
              <w:bottom w:val="single" w:color="auto" w:sz="4" w:space="0"/>
              <w:right w:val="single" w:color="auto" w:sz="4" w:space="0"/>
            </w:tcBorders>
            <w:vAlign w:val="center"/>
          </w:tcPr>
          <w:p w14:paraId="67C36218">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63EBC9BE">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初步报告保存后置检查状态为『报告已书写』。</w:t>
            </w:r>
          </w:p>
        </w:tc>
      </w:tr>
      <w:tr w14:paraId="6D3A52AC">
        <w:tblPrEx>
          <w:tblCellMar>
            <w:top w:w="0" w:type="dxa"/>
            <w:left w:w="108" w:type="dxa"/>
            <w:bottom w:w="0" w:type="dxa"/>
            <w:right w:w="108" w:type="dxa"/>
          </w:tblCellMar>
        </w:tblPrEx>
        <w:trPr>
          <w:trHeight w:val="567"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762A5EE0">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w:t>
            </w:r>
          </w:p>
        </w:tc>
        <w:tc>
          <w:tcPr>
            <w:tcW w:w="633" w:type="pct"/>
            <w:vMerge w:val="continue"/>
            <w:tcBorders>
              <w:top w:val="single" w:color="auto" w:sz="4" w:space="0"/>
              <w:left w:val="single" w:color="auto" w:sz="4" w:space="0"/>
              <w:bottom w:val="single" w:color="auto" w:sz="4" w:space="0"/>
              <w:right w:val="single" w:color="auto" w:sz="4" w:space="0"/>
            </w:tcBorders>
            <w:vAlign w:val="center"/>
          </w:tcPr>
          <w:p w14:paraId="1B706682">
            <w:pPr>
              <w:ind w:firstLine="843"/>
              <w:jc w:val="center"/>
              <w:rPr>
                <w:rFonts w:hint="eastAsia" w:ascii="仿宋" w:hAnsi="仿宋" w:eastAsia="仿宋" w:cs="仿宋"/>
                <w:b/>
                <w:color w:val="auto"/>
                <w:sz w:val="24"/>
                <w:szCs w:val="24"/>
                <w:highlight w:val="none"/>
              </w:rPr>
            </w:pPr>
          </w:p>
        </w:tc>
        <w:tc>
          <w:tcPr>
            <w:tcW w:w="3991" w:type="pct"/>
            <w:tcBorders>
              <w:top w:val="single" w:color="auto" w:sz="4" w:space="0"/>
              <w:left w:val="nil"/>
              <w:bottom w:val="single" w:color="auto" w:sz="4" w:space="0"/>
              <w:right w:val="single" w:color="auto" w:sz="4" w:space="0"/>
            </w:tcBorders>
            <w:shd w:val="clear" w:color="auto" w:fill="auto"/>
            <w:vAlign w:val="center"/>
          </w:tcPr>
          <w:p w14:paraId="4506A71F">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初步报告确认后置检查状态为『报告已审核』。</w:t>
            </w:r>
          </w:p>
        </w:tc>
      </w:tr>
      <w:tr w14:paraId="009E6B76">
        <w:tblPrEx>
          <w:tblCellMar>
            <w:top w:w="0" w:type="dxa"/>
            <w:left w:w="108" w:type="dxa"/>
            <w:bottom w:w="0" w:type="dxa"/>
            <w:right w:w="108" w:type="dxa"/>
          </w:tblCellMar>
        </w:tblPrEx>
        <w:trPr>
          <w:trHeight w:val="567"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3D95439C">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26</w:t>
            </w:r>
          </w:p>
        </w:tc>
        <w:tc>
          <w:tcPr>
            <w:tcW w:w="633" w:type="pct"/>
            <w:vMerge w:val="continue"/>
            <w:tcBorders>
              <w:top w:val="single" w:color="auto" w:sz="4" w:space="0"/>
              <w:left w:val="single" w:color="auto" w:sz="4" w:space="0"/>
              <w:bottom w:val="single" w:color="auto" w:sz="4" w:space="0"/>
              <w:right w:val="single" w:color="auto" w:sz="4" w:space="0"/>
            </w:tcBorders>
            <w:vAlign w:val="center"/>
          </w:tcPr>
          <w:p w14:paraId="4EA57652">
            <w:pPr>
              <w:ind w:firstLine="843"/>
              <w:jc w:val="center"/>
              <w:rPr>
                <w:rFonts w:hint="eastAsia" w:ascii="仿宋" w:hAnsi="仿宋" w:eastAsia="仿宋" w:cs="仿宋"/>
                <w:b/>
                <w:color w:val="auto"/>
                <w:sz w:val="24"/>
                <w:szCs w:val="24"/>
                <w:highlight w:val="none"/>
              </w:rPr>
            </w:pPr>
          </w:p>
        </w:tc>
        <w:tc>
          <w:tcPr>
            <w:tcW w:w="3991" w:type="pct"/>
            <w:tcBorders>
              <w:top w:val="single" w:color="auto" w:sz="4" w:space="0"/>
              <w:left w:val="nil"/>
              <w:bottom w:val="single" w:color="auto" w:sz="4" w:space="0"/>
              <w:right w:val="single" w:color="auto" w:sz="4" w:space="0"/>
            </w:tcBorders>
            <w:shd w:val="clear" w:color="auto" w:fill="auto"/>
            <w:vAlign w:val="center"/>
          </w:tcPr>
          <w:p w14:paraId="18E62B85">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报告打印后置检查状态为『报告已打印』。</w:t>
            </w:r>
          </w:p>
        </w:tc>
      </w:tr>
      <w:tr w14:paraId="7283DE18">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24E348D7">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27</w:t>
            </w:r>
          </w:p>
        </w:tc>
        <w:tc>
          <w:tcPr>
            <w:tcW w:w="633" w:type="pct"/>
            <w:vMerge w:val="continue"/>
            <w:tcBorders>
              <w:top w:val="nil"/>
              <w:left w:val="single" w:color="auto" w:sz="4" w:space="0"/>
              <w:bottom w:val="single" w:color="auto" w:sz="4" w:space="0"/>
              <w:right w:val="single" w:color="auto" w:sz="4" w:space="0"/>
            </w:tcBorders>
            <w:vAlign w:val="center"/>
          </w:tcPr>
          <w:p w14:paraId="4D5B5238">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7B63406A">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支持报告分发到临床或回传给HIS方后置检查状态。</w:t>
            </w:r>
          </w:p>
        </w:tc>
      </w:tr>
      <w:tr w14:paraId="638BBCD7">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71A8CE2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633" w:type="pct"/>
            <w:vMerge w:val="restart"/>
            <w:tcBorders>
              <w:top w:val="nil"/>
              <w:left w:val="single" w:color="auto" w:sz="4" w:space="0"/>
              <w:bottom w:val="single" w:color="auto" w:sz="4" w:space="0"/>
              <w:right w:val="single" w:color="auto" w:sz="4" w:space="0"/>
            </w:tcBorders>
            <w:shd w:val="clear" w:color="auto" w:fill="auto"/>
            <w:vAlign w:val="center"/>
          </w:tcPr>
          <w:p w14:paraId="44F81F12">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特殊检查</w:t>
            </w:r>
          </w:p>
        </w:tc>
        <w:tc>
          <w:tcPr>
            <w:tcW w:w="3991" w:type="pct"/>
            <w:tcBorders>
              <w:top w:val="nil"/>
              <w:left w:val="nil"/>
              <w:bottom w:val="single" w:color="auto" w:sz="4" w:space="0"/>
              <w:right w:val="single" w:color="auto" w:sz="4" w:space="0"/>
            </w:tcBorders>
            <w:shd w:val="clear" w:color="auto" w:fill="auto"/>
            <w:vAlign w:val="center"/>
          </w:tcPr>
          <w:p w14:paraId="5E226D8B">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免疫组化的以套餐形式进行申请，免疫标记可以按照字母方便检索。</w:t>
            </w:r>
          </w:p>
        </w:tc>
      </w:tr>
      <w:tr w14:paraId="1DFCB9E8">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0C3F1B2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633" w:type="pct"/>
            <w:vMerge w:val="continue"/>
            <w:tcBorders>
              <w:top w:val="nil"/>
              <w:left w:val="single" w:color="auto" w:sz="4" w:space="0"/>
              <w:bottom w:val="single" w:color="auto" w:sz="4" w:space="0"/>
              <w:right w:val="single" w:color="auto" w:sz="4" w:space="0"/>
            </w:tcBorders>
            <w:vAlign w:val="center"/>
          </w:tcPr>
          <w:p w14:paraId="2FFEC6CE">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40FC7B18">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支持免疫标签的打印。</w:t>
            </w:r>
          </w:p>
        </w:tc>
      </w:tr>
      <w:tr w14:paraId="78C75596">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7AA7352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633" w:type="pct"/>
            <w:vMerge w:val="continue"/>
            <w:tcBorders>
              <w:top w:val="nil"/>
              <w:left w:val="single" w:color="auto" w:sz="4" w:space="0"/>
              <w:bottom w:val="single" w:color="auto" w:sz="4" w:space="0"/>
              <w:right w:val="single" w:color="auto" w:sz="4" w:space="0"/>
            </w:tcBorders>
            <w:vAlign w:val="center"/>
          </w:tcPr>
          <w:p w14:paraId="6427C3CA">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681835AA">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支持特殊检查（免疫组化、分子病理和特殊染色）的医生申请、技术员接受申请和完成，医生签收一系列批量选择操作确认。</w:t>
            </w:r>
          </w:p>
        </w:tc>
      </w:tr>
      <w:tr w14:paraId="73E0D28E">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49915AA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633" w:type="pct"/>
            <w:vMerge w:val="continue"/>
            <w:tcBorders>
              <w:top w:val="nil"/>
              <w:left w:val="single" w:color="auto" w:sz="4" w:space="0"/>
              <w:bottom w:val="single" w:color="auto" w:sz="4" w:space="0"/>
              <w:right w:val="single" w:color="auto" w:sz="4" w:space="0"/>
            </w:tcBorders>
            <w:vAlign w:val="center"/>
          </w:tcPr>
          <w:p w14:paraId="7B9C1226">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11301D6B">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支持特殊检查（免疫组化、分子病理和特殊染色）标签的打印和工作清单打印。</w:t>
            </w:r>
          </w:p>
        </w:tc>
      </w:tr>
      <w:tr w14:paraId="1A940A36">
        <w:tblPrEx>
          <w:tblCellMar>
            <w:top w:w="0" w:type="dxa"/>
            <w:left w:w="108" w:type="dxa"/>
            <w:bottom w:w="0" w:type="dxa"/>
            <w:right w:w="108" w:type="dxa"/>
          </w:tblCellMar>
        </w:tblPrEx>
        <w:trPr>
          <w:trHeight w:val="389"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66C8AE5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633" w:type="pct"/>
            <w:vMerge w:val="continue"/>
            <w:tcBorders>
              <w:top w:val="nil"/>
              <w:left w:val="single" w:color="auto" w:sz="4" w:space="0"/>
              <w:bottom w:val="single" w:color="auto" w:sz="4" w:space="0"/>
              <w:right w:val="single" w:color="auto" w:sz="4" w:space="0"/>
            </w:tcBorders>
            <w:vAlign w:val="center"/>
          </w:tcPr>
          <w:p w14:paraId="774A85D7">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7BE794EB">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支持免疫组化的补做。</w:t>
            </w:r>
          </w:p>
        </w:tc>
      </w:tr>
      <w:tr w14:paraId="50845112">
        <w:tblPrEx>
          <w:tblCellMar>
            <w:top w:w="0" w:type="dxa"/>
            <w:left w:w="108" w:type="dxa"/>
            <w:bottom w:w="0" w:type="dxa"/>
            <w:right w:w="108" w:type="dxa"/>
          </w:tblCellMar>
        </w:tblPrEx>
        <w:trPr>
          <w:trHeight w:val="390"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07824D0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633" w:type="pct"/>
            <w:vMerge w:val="continue"/>
            <w:tcBorders>
              <w:top w:val="nil"/>
              <w:left w:val="single" w:color="auto" w:sz="4" w:space="0"/>
              <w:bottom w:val="single" w:color="auto" w:sz="4" w:space="0"/>
              <w:right w:val="single" w:color="auto" w:sz="4" w:space="0"/>
            </w:tcBorders>
            <w:vAlign w:val="center"/>
          </w:tcPr>
          <w:p w14:paraId="6B8D6EA8">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79953338">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支持特殊检查的结果录入和特检报告打印。</w:t>
            </w:r>
          </w:p>
        </w:tc>
      </w:tr>
      <w:tr w14:paraId="4B6293B8">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015432E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633" w:type="pct"/>
            <w:vMerge w:val="continue"/>
            <w:tcBorders>
              <w:top w:val="nil"/>
              <w:left w:val="single" w:color="auto" w:sz="4" w:space="0"/>
              <w:bottom w:val="single" w:color="auto" w:sz="4" w:space="0"/>
              <w:right w:val="single" w:color="auto" w:sz="4" w:space="0"/>
            </w:tcBorders>
            <w:vAlign w:val="center"/>
          </w:tcPr>
          <w:p w14:paraId="3FE3D545">
            <w:pPr>
              <w:ind w:firstLine="843"/>
              <w:jc w:val="center"/>
              <w:rPr>
                <w:rFonts w:hint="eastAsia" w:ascii="仿宋" w:hAnsi="仿宋" w:eastAsia="仿宋" w:cs="仿宋"/>
                <w:b/>
                <w:strike/>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2A30B634">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从免疫申请到签收和删除一系列的操作有完整的日志记录，并提供日志查看。</w:t>
            </w:r>
          </w:p>
        </w:tc>
      </w:tr>
      <w:tr w14:paraId="232D0B1D">
        <w:tblPrEx>
          <w:tblCellMar>
            <w:top w:w="0" w:type="dxa"/>
            <w:left w:w="108" w:type="dxa"/>
            <w:bottom w:w="0" w:type="dxa"/>
            <w:right w:w="108" w:type="dxa"/>
          </w:tblCellMar>
        </w:tblPrEx>
        <w:trPr>
          <w:trHeight w:val="90"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41C1069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633" w:type="pct"/>
            <w:vMerge w:val="continue"/>
            <w:tcBorders>
              <w:top w:val="nil"/>
              <w:left w:val="single" w:color="auto" w:sz="4" w:space="0"/>
              <w:bottom w:val="single" w:color="auto" w:sz="4" w:space="0"/>
              <w:right w:val="single" w:color="auto" w:sz="4" w:space="0"/>
            </w:tcBorders>
            <w:vAlign w:val="center"/>
          </w:tcPr>
          <w:p w14:paraId="29473B73">
            <w:pPr>
              <w:ind w:firstLine="843"/>
              <w:jc w:val="center"/>
              <w:rPr>
                <w:rFonts w:hint="eastAsia" w:ascii="仿宋" w:hAnsi="仿宋" w:eastAsia="仿宋" w:cs="仿宋"/>
                <w:b/>
                <w:strike/>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436DED1E">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对免疫已完成未签收的病例登录时自动提醒，便于申请医生及时签收。</w:t>
            </w:r>
          </w:p>
        </w:tc>
      </w:tr>
      <w:tr w14:paraId="6682689F">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6361224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633" w:type="pct"/>
            <w:vMerge w:val="restart"/>
            <w:tcBorders>
              <w:top w:val="nil"/>
              <w:left w:val="single" w:color="auto" w:sz="4" w:space="0"/>
              <w:bottom w:val="single" w:color="auto" w:sz="4" w:space="0"/>
              <w:right w:val="single" w:color="auto" w:sz="4" w:space="0"/>
            </w:tcBorders>
            <w:shd w:val="clear" w:color="auto" w:fill="auto"/>
            <w:vAlign w:val="center"/>
          </w:tcPr>
          <w:p w14:paraId="094F3B2A">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档案管理</w:t>
            </w:r>
          </w:p>
        </w:tc>
        <w:tc>
          <w:tcPr>
            <w:tcW w:w="3991" w:type="pct"/>
            <w:tcBorders>
              <w:top w:val="single" w:color="auto" w:sz="4" w:space="0"/>
              <w:left w:val="nil"/>
              <w:bottom w:val="single" w:color="auto" w:sz="4" w:space="0"/>
              <w:right w:val="single" w:color="auto" w:sz="4" w:space="0"/>
            </w:tcBorders>
            <w:shd w:val="clear" w:color="auto" w:fill="auto"/>
            <w:vAlign w:val="center"/>
          </w:tcPr>
          <w:p w14:paraId="287C3F40">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提供病理档案归档登记功能，可通过扫描病理号条形码置检查状态为『已归档』。</w:t>
            </w:r>
          </w:p>
        </w:tc>
      </w:tr>
      <w:tr w14:paraId="590B7B30">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4D7C39A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633" w:type="pct"/>
            <w:vMerge w:val="continue"/>
            <w:tcBorders>
              <w:top w:val="nil"/>
              <w:left w:val="single" w:color="auto" w:sz="4" w:space="0"/>
              <w:bottom w:val="single" w:color="auto" w:sz="4" w:space="0"/>
              <w:right w:val="single" w:color="auto" w:sz="4" w:space="0"/>
            </w:tcBorders>
            <w:vAlign w:val="center"/>
          </w:tcPr>
          <w:p w14:paraId="02E2E1B8">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737CFB8B">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提供档案库存查询，查询并分类显示所有库存、所有借出等信息。</w:t>
            </w:r>
          </w:p>
        </w:tc>
      </w:tr>
      <w:tr w14:paraId="4C9308E9">
        <w:tblPrEx>
          <w:tblCellMar>
            <w:top w:w="0" w:type="dxa"/>
            <w:left w:w="108" w:type="dxa"/>
            <w:bottom w:w="0" w:type="dxa"/>
            <w:right w:w="108" w:type="dxa"/>
          </w:tblCellMar>
        </w:tblPrEx>
        <w:trPr>
          <w:trHeight w:val="567"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6B3977A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633" w:type="pct"/>
            <w:vMerge w:val="continue"/>
            <w:tcBorders>
              <w:top w:val="single" w:color="auto" w:sz="4" w:space="0"/>
              <w:left w:val="single" w:color="auto" w:sz="4" w:space="0"/>
              <w:bottom w:val="single" w:color="auto" w:sz="4" w:space="0"/>
              <w:right w:val="single" w:color="auto" w:sz="4" w:space="0"/>
            </w:tcBorders>
            <w:vAlign w:val="center"/>
          </w:tcPr>
          <w:p w14:paraId="5F2FE19B">
            <w:pPr>
              <w:ind w:firstLine="843"/>
              <w:jc w:val="center"/>
              <w:rPr>
                <w:rFonts w:hint="eastAsia" w:ascii="仿宋" w:hAnsi="仿宋" w:eastAsia="仿宋" w:cs="仿宋"/>
                <w:b/>
                <w:color w:val="auto"/>
                <w:sz w:val="24"/>
                <w:szCs w:val="24"/>
                <w:highlight w:val="none"/>
              </w:rPr>
            </w:pPr>
          </w:p>
        </w:tc>
        <w:tc>
          <w:tcPr>
            <w:tcW w:w="3991" w:type="pct"/>
            <w:tcBorders>
              <w:top w:val="single" w:color="auto" w:sz="4" w:space="0"/>
              <w:left w:val="nil"/>
              <w:bottom w:val="single" w:color="auto" w:sz="4" w:space="0"/>
              <w:right w:val="single" w:color="auto" w:sz="4" w:space="0"/>
            </w:tcBorders>
            <w:shd w:val="clear" w:color="auto" w:fill="auto"/>
            <w:vAlign w:val="center"/>
          </w:tcPr>
          <w:p w14:paraId="65789608">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支持病人家属的借阅并打印借阅单，部门科研的借阅可以批量的进行选择借阅。</w:t>
            </w:r>
          </w:p>
        </w:tc>
      </w:tr>
      <w:tr w14:paraId="193945D8">
        <w:tblPrEx>
          <w:tblCellMar>
            <w:top w:w="0" w:type="dxa"/>
            <w:left w:w="108" w:type="dxa"/>
            <w:bottom w:w="0" w:type="dxa"/>
            <w:right w:w="108" w:type="dxa"/>
          </w:tblCellMar>
        </w:tblPrEx>
        <w:trPr>
          <w:trHeight w:val="567"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53F3337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633" w:type="pct"/>
            <w:vMerge w:val="continue"/>
            <w:tcBorders>
              <w:top w:val="single" w:color="auto" w:sz="4" w:space="0"/>
              <w:left w:val="single" w:color="auto" w:sz="4" w:space="0"/>
              <w:bottom w:val="single" w:color="auto" w:sz="4" w:space="0"/>
              <w:right w:val="single" w:color="auto" w:sz="4" w:space="0"/>
            </w:tcBorders>
            <w:vAlign w:val="center"/>
          </w:tcPr>
          <w:p w14:paraId="27773F55">
            <w:pPr>
              <w:ind w:firstLine="843"/>
              <w:jc w:val="center"/>
              <w:rPr>
                <w:rFonts w:hint="eastAsia" w:ascii="仿宋" w:hAnsi="仿宋" w:eastAsia="仿宋" w:cs="仿宋"/>
                <w:b/>
                <w:color w:val="auto"/>
                <w:sz w:val="24"/>
                <w:szCs w:val="24"/>
                <w:highlight w:val="none"/>
              </w:rPr>
            </w:pPr>
          </w:p>
        </w:tc>
        <w:tc>
          <w:tcPr>
            <w:tcW w:w="3991" w:type="pct"/>
            <w:tcBorders>
              <w:top w:val="single" w:color="auto" w:sz="4" w:space="0"/>
              <w:left w:val="nil"/>
              <w:bottom w:val="single" w:color="auto" w:sz="4" w:space="0"/>
              <w:right w:val="single" w:color="auto" w:sz="4" w:space="0"/>
            </w:tcBorders>
            <w:shd w:val="clear" w:color="auto" w:fill="auto"/>
            <w:vAlign w:val="center"/>
          </w:tcPr>
          <w:p w14:paraId="101191BA">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支持录入归还的时候，录入会诊医院、会诊医师、会诊的结果，为诊断医生提供参考。</w:t>
            </w:r>
          </w:p>
        </w:tc>
      </w:tr>
      <w:tr w14:paraId="45F68B4C">
        <w:tblPrEx>
          <w:tblCellMar>
            <w:top w:w="0" w:type="dxa"/>
            <w:left w:w="108" w:type="dxa"/>
            <w:bottom w:w="0" w:type="dxa"/>
            <w:right w:w="108" w:type="dxa"/>
          </w:tblCellMar>
        </w:tblPrEx>
        <w:trPr>
          <w:trHeight w:val="546"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2BE5845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633" w:type="pct"/>
            <w:vMerge w:val="continue"/>
            <w:tcBorders>
              <w:top w:val="nil"/>
              <w:left w:val="single" w:color="auto" w:sz="4" w:space="0"/>
              <w:bottom w:val="single" w:color="auto" w:sz="4" w:space="0"/>
              <w:right w:val="single" w:color="auto" w:sz="4" w:space="0"/>
            </w:tcBorders>
            <w:vAlign w:val="center"/>
          </w:tcPr>
          <w:p w14:paraId="1D327366">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0571BF7D">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可以按照未归还、已归还形式统计档案的情况。</w:t>
            </w:r>
          </w:p>
        </w:tc>
      </w:tr>
      <w:tr w14:paraId="0F8E8614">
        <w:tblPrEx>
          <w:tblCellMar>
            <w:top w:w="0" w:type="dxa"/>
            <w:left w:w="108" w:type="dxa"/>
            <w:bottom w:w="0" w:type="dxa"/>
            <w:right w:w="108" w:type="dxa"/>
          </w:tblCellMar>
        </w:tblPrEx>
        <w:trPr>
          <w:trHeight w:val="567"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26C16D2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63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695D865">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科室管理</w:t>
            </w:r>
          </w:p>
        </w:tc>
        <w:tc>
          <w:tcPr>
            <w:tcW w:w="3991" w:type="pct"/>
            <w:tcBorders>
              <w:top w:val="nil"/>
              <w:left w:val="nil"/>
              <w:bottom w:val="single" w:color="auto" w:sz="4" w:space="0"/>
              <w:right w:val="single" w:color="auto" w:sz="4" w:space="0"/>
            </w:tcBorders>
            <w:shd w:val="clear" w:color="auto" w:fill="auto"/>
            <w:vAlign w:val="center"/>
          </w:tcPr>
          <w:p w14:paraId="327571E0">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科室人员基本信息管理，记录科室人员基本信息、职称，设置岗位。</w:t>
            </w:r>
          </w:p>
        </w:tc>
      </w:tr>
      <w:tr w14:paraId="0B5CD527">
        <w:tblPrEx>
          <w:tblCellMar>
            <w:top w:w="0" w:type="dxa"/>
            <w:left w:w="108" w:type="dxa"/>
            <w:bottom w:w="0" w:type="dxa"/>
            <w:right w:w="108" w:type="dxa"/>
          </w:tblCellMar>
        </w:tblPrEx>
        <w:trPr>
          <w:trHeight w:val="471"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4C2148E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633" w:type="pct"/>
            <w:vMerge w:val="continue"/>
            <w:tcBorders>
              <w:top w:val="nil"/>
              <w:left w:val="single" w:color="auto" w:sz="4" w:space="0"/>
              <w:bottom w:val="single" w:color="auto" w:sz="4" w:space="0"/>
              <w:right w:val="single" w:color="auto" w:sz="4" w:space="0"/>
            </w:tcBorders>
            <w:vAlign w:val="center"/>
          </w:tcPr>
          <w:p w14:paraId="26C44DB7">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4B095E07">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可为每个科室人员设置不同的权限，精确到每一个功能和流程。</w:t>
            </w:r>
          </w:p>
        </w:tc>
      </w:tr>
      <w:tr w14:paraId="0952F59E">
        <w:tblPrEx>
          <w:tblCellMar>
            <w:top w:w="0" w:type="dxa"/>
            <w:left w:w="108" w:type="dxa"/>
            <w:bottom w:w="0" w:type="dxa"/>
            <w:right w:w="108" w:type="dxa"/>
          </w:tblCellMar>
        </w:tblPrEx>
        <w:trPr>
          <w:trHeight w:val="567"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0D4CDD8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633" w:type="pct"/>
            <w:vMerge w:val="continue"/>
            <w:tcBorders>
              <w:top w:val="single" w:color="auto" w:sz="4" w:space="0"/>
              <w:left w:val="single" w:color="auto" w:sz="4" w:space="0"/>
              <w:bottom w:val="single" w:color="auto" w:sz="4" w:space="0"/>
              <w:right w:val="single" w:color="auto" w:sz="4" w:space="0"/>
            </w:tcBorders>
            <w:vAlign w:val="center"/>
          </w:tcPr>
          <w:p w14:paraId="78E5DD78">
            <w:pPr>
              <w:ind w:firstLine="843"/>
              <w:jc w:val="center"/>
              <w:rPr>
                <w:rFonts w:hint="eastAsia" w:ascii="仿宋" w:hAnsi="仿宋" w:eastAsia="仿宋" w:cs="仿宋"/>
                <w:b/>
                <w:color w:val="auto"/>
                <w:sz w:val="24"/>
                <w:szCs w:val="24"/>
                <w:highlight w:val="none"/>
              </w:rPr>
            </w:pPr>
          </w:p>
        </w:tc>
        <w:tc>
          <w:tcPr>
            <w:tcW w:w="3991" w:type="pct"/>
            <w:tcBorders>
              <w:top w:val="single" w:color="auto" w:sz="4" w:space="0"/>
              <w:left w:val="nil"/>
              <w:bottom w:val="single" w:color="auto" w:sz="4" w:space="0"/>
              <w:right w:val="single" w:color="auto" w:sz="4" w:space="0"/>
            </w:tcBorders>
            <w:shd w:val="clear" w:color="auto" w:fill="auto"/>
            <w:vAlign w:val="center"/>
          </w:tcPr>
          <w:p w14:paraId="722FFD26">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工作量统计，提供通用的工作量统计模板，可由用户自行修改统计模板。</w:t>
            </w:r>
          </w:p>
        </w:tc>
      </w:tr>
      <w:tr w14:paraId="11F6DF52">
        <w:tblPrEx>
          <w:tblCellMar>
            <w:top w:w="0" w:type="dxa"/>
            <w:left w:w="108" w:type="dxa"/>
            <w:bottom w:w="0" w:type="dxa"/>
            <w:right w:w="108" w:type="dxa"/>
          </w:tblCellMar>
        </w:tblPrEx>
        <w:trPr>
          <w:trHeight w:val="444"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5D0302A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633" w:type="pct"/>
            <w:vMerge w:val="continue"/>
            <w:tcBorders>
              <w:top w:val="nil"/>
              <w:left w:val="single" w:color="auto" w:sz="4" w:space="0"/>
              <w:bottom w:val="single" w:color="auto" w:sz="4" w:space="0"/>
              <w:right w:val="single" w:color="auto" w:sz="4" w:space="0"/>
            </w:tcBorders>
            <w:vAlign w:val="center"/>
          </w:tcPr>
          <w:p w14:paraId="2CD45216">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6803FC0D">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可为不同的岗位和各个检查项目分别设置统计加权系数。</w:t>
            </w:r>
          </w:p>
        </w:tc>
      </w:tr>
      <w:tr w14:paraId="3A8386B9">
        <w:tblPrEx>
          <w:tblCellMar>
            <w:top w:w="0" w:type="dxa"/>
            <w:left w:w="108" w:type="dxa"/>
            <w:bottom w:w="0" w:type="dxa"/>
            <w:right w:w="108" w:type="dxa"/>
          </w:tblCellMar>
        </w:tblPrEx>
        <w:trPr>
          <w:trHeight w:val="445"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60120F4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633" w:type="pct"/>
            <w:vMerge w:val="continue"/>
            <w:tcBorders>
              <w:top w:val="nil"/>
              <w:left w:val="single" w:color="auto" w:sz="4" w:space="0"/>
              <w:bottom w:val="single" w:color="auto" w:sz="4" w:space="0"/>
              <w:right w:val="single" w:color="auto" w:sz="4" w:space="0"/>
            </w:tcBorders>
            <w:vAlign w:val="center"/>
          </w:tcPr>
          <w:p w14:paraId="620155A6">
            <w:pPr>
              <w:ind w:firstLine="843"/>
              <w:jc w:val="center"/>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6D913289">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提供各种统计条件，可自由组合得到不同的统计结果。</w:t>
            </w:r>
          </w:p>
        </w:tc>
      </w:tr>
      <w:tr w14:paraId="47595B7D">
        <w:tblPrEx>
          <w:tblCellMar>
            <w:top w:w="0" w:type="dxa"/>
            <w:left w:w="108" w:type="dxa"/>
            <w:bottom w:w="0" w:type="dxa"/>
            <w:right w:w="108" w:type="dxa"/>
          </w:tblCellMar>
        </w:tblPrEx>
        <w:trPr>
          <w:trHeight w:val="485"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0DD1684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633" w:type="pct"/>
            <w:vMerge w:val="continue"/>
            <w:tcBorders>
              <w:top w:val="single" w:color="auto" w:sz="4" w:space="0"/>
              <w:left w:val="single" w:color="auto" w:sz="4" w:space="0"/>
              <w:bottom w:val="single" w:color="auto" w:sz="4" w:space="0"/>
              <w:right w:val="single" w:color="auto" w:sz="4" w:space="0"/>
            </w:tcBorders>
            <w:vAlign w:val="center"/>
          </w:tcPr>
          <w:p w14:paraId="2F98834E">
            <w:pPr>
              <w:ind w:firstLine="843"/>
              <w:jc w:val="center"/>
              <w:rPr>
                <w:rFonts w:hint="eastAsia" w:ascii="仿宋" w:hAnsi="仿宋" w:eastAsia="仿宋" w:cs="仿宋"/>
                <w:b/>
                <w:color w:val="auto"/>
                <w:sz w:val="24"/>
                <w:szCs w:val="24"/>
                <w:highlight w:val="none"/>
              </w:rPr>
            </w:pPr>
          </w:p>
        </w:tc>
        <w:tc>
          <w:tcPr>
            <w:tcW w:w="3991" w:type="pct"/>
            <w:tcBorders>
              <w:top w:val="single" w:color="auto" w:sz="4" w:space="0"/>
              <w:left w:val="nil"/>
              <w:bottom w:val="single" w:color="auto" w:sz="4" w:space="0"/>
              <w:right w:val="single" w:color="auto" w:sz="4" w:space="0"/>
            </w:tcBorders>
            <w:shd w:val="clear" w:color="auto" w:fill="auto"/>
            <w:vAlign w:val="center"/>
          </w:tcPr>
          <w:p w14:paraId="2839478F">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可以自定义报表上的统计项目，并打印和导出报表。</w:t>
            </w:r>
          </w:p>
        </w:tc>
      </w:tr>
      <w:tr w14:paraId="2E67AD52">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2E7DD9E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633" w:type="pct"/>
            <w:vMerge w:val="restart"/>
            <w:tcBorders>
              <w:top w:val="nil"/>
              <w:left w:val="single" w:color="auto" w:sz="4" w:space="0"/>
              <w:bottom w:val="single" w:color="auto" w:sz="4" w:space="0"/>
              <w:right w:val="single" w:color="auto" w:sz="4" w:space="0"/>
            </w:tcBorders>
            <w:shd w:val="clear" w:color="auto" w:fill="auto"/>
            <w:vAlign w:val="center"/>
          </w:tcPr>
          <w:p w14:paraId="2D399949">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查询统计</w:t>
            </w:r>
          </w:p>
        </w:tc>
        <w:tc>
          <w:tcPr>
            <w:tcW w:w="3991" w:type="pct"/>
            <w:tcBorders>
              <w:top w:val="nil"/>
              <w:left w:val="nil"/>
              <w:bottom w:val="single" w:color="auto" w:sz="4" w:space="0"/>
              <w:right w:val="single" w:color="auto" w:sz="4" w:space="0"/>
            </w:tcBorders>
            <w:shd w:val="clear" w:color="auto" w:fill="auto"/>
            <w:vAlign w:val="center"/>
          </w:tcPr>
          <w:p w14:paraId="23B1FEBF">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提供详细的查询条件，供用户进行复杂的查询。</w:t>
            </w:r>
          </w:p>
        </w:tc>
      </w:tr>
      <w:tr w14:paraId="6EBD19A0">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2DC3AA3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633" w:type="pct"/>
            <w:vMerge w:val="continue"/>
            <w:tcBorders>
              <w:top w:val="nil"/>
              <w:left w:val="single" w:color="auto" w:sz="4" w:space="0"/>
              <w:bottom w:val="single" w:color="auto" w:sz="4" w:space="0"/>
              <w:right w:val="single" w:color="auto" w:sz="4" w:space="0"/>
            </w:tcBorders>
            <w:vAlign w:val="center"/>
          </w:tcPr>
          <w:p w14:paraId="154A6953">
            <w:pPr>
              <w:ind w:firstLine="843"/>
              <w:jc w:val="left"/>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30E675C6">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医生工作量统计和技术员工作量统计模块。</w:t>
            </w:r>
          </w:p>
        </w:tc>
      </w:tr>
      <w:tr w14:paraId="1646EF27">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615B1B8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633" w:type="pct"/>
            <w:vMerge w:val="continue"/>
            <w:tcBorders>
              <w:top w:val="nil"/>
              <w:left w:val="single" w:color="auto" w:sz="4" w:space="0"/>
              <w:bottom w:val="single" w:color="auto" w:sz="4" w:space="0"/>
              <w:right w:val="single" w:color="auto" w:sz="4" w:space="0"/>
            </w:tcBorders>
            <w:vAlign w:val="center"/>
          </w:tcPr>
          <w:p w14:paraId="26B6EAF4">
            <w:pPr>
              <w:ind w:firstLine="843"/>
              <w:jc w:val="left"/>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5B9D0382">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病区和送检科室工作量统计。</w:t>
            </w:r>
          </w:p>
        </w:tc>
      </w:tr>
      <w:tr w14:paraId="426C30B2">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7F41F01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633" w:type="pct"/>
            <w:vMerge w:val="continue"/>
            <w:tcBorders>
              <w:top w:val="nil"/>
              <w:left w:val="single" w:color="auto" w:sz="4" w:space="0"/>
              <w:bottom w:val="single" w:color="auto" w:sz="4" w:space="0"/>
              <w:right w:val="single" w:color="auto" w:sz="4" w:space="0"/>
            </w:tcBorders>
            <w:vAlign w:val="center"/>
          </w:tcPr>
          <w:p w14:paraId="44AC2BC2">
            <w:pPr>
              <w:ind w:firstLine="843"/>
              <w:jc w:val="left"/>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205F2C7B">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可根据诊断医生设置的报告标记和疾病归类进行查询。</w:t>
            </w:r>
          </w:p>
        </w:tc>
      </w:tr>
      <w:tr w14:paraId="476C7E90">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5386141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633" w:type="pct"/>
            <w:vMerge w:val="continue"/>
            <w:tcBorders>
              <w:top w:val="nil"/>
              <w:left w:val="single" w:color="auto" w:sz="4" w:space="0"/>
              <w:bottom w:val="single" w:color="auto" w:sz="4" w:space="0"/>
              <w:right w:val="single" w:color="auto" w:sz="4" w:space="0"/>
            </w:tcBorders>
            <w:vAlign w:val="center"/>
          </w:tcPr>
          <w:p w14:paraId="1C6BA456">
            <w:pPr>
              <w:ind w:firstLine="843"/>
              <w:jc w:val="left"/>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3754DA3D">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可根据病理号等唯一号快速定位单个检查。</w:t>
            </w:r>
          </w:p>
        </w:tc>
      </w:tr>
      <w:tr w14:paraId="7EE21D40">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2ED0A6A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633" w:type="pct"/>
            <w:vMerge w:val="continue"/>
            <w:tcBorders>
              <w:top w:val="nil"/>
              <w:left w:val="single" w:color="auto" w:sz="4" w:space="0"/>
              <w:bottom w:val="single" w:color="auto" w:sz="4" w:space="0"/>
              <w:right w:val="single" w:color="auto" w:sz="4" w:space="0"/>
            </w:tcBorders>
            <w:vAlign w:val="center"/>
          </w:tcPr>
          <w:p w14:paraId="5F1A0988">
            <w:pPr>
              <w:ind w:firstLine="843"/>
              <w:jc w:val="left"/>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3415659D">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可根据检查状态对查询结果进行快速筛选，无需重新查询数据库。</w:t>
            </w:r>
          </w:p>
        </w:tc>
      </w:tr>
      <w:tr w14:paraId="508500CB">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215D246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633" w:type="pct"/>
            <w:vMerge w:val="continue"/>
            <w:tcBorders>
              <w:top w:val="nil"/>
              <w:left w:val="single" w:color="auto" w:sz="4" w:space="0"/>
              <w:bottom w:val="single" w:color="auto" w:sz="4" w:space="0"/>
              <w:right w:val="single" w:color="auto" w:sz="4" w:space="0"/>
            </w:tcBorders>
            <w:vAlign w:val="center"/>
          </w:tcPr>
          <w:p w14:paraId="7D7F974E">
            <w:pPr>
              <w:ind w:firstLine="843"/>
              <w:jc w:val="left"/>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340E06BA">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工作列表上可快速预览诊断报告。</w:t>
            </w:r>
          </w:p>
        </w:tc>
      </w:tr>
      <w:tr w14:paraId="6A16151B">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2F5A7E9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633" w:type="pct"/>
            <w:vMerge w:val="continue"/>
            <w:tcBorders>
              <w:top w:val="nil"/>
              <w:left w:val="single" w:color="auto" w:sz="4" w:space="0"/>
              <w:bottom w:val="single" w:color="auto" w:sz="4" w:space="0"/>
              <w:right w:val="single" w:color="auto" w:sz="4" w:space="0"/>
            </w:tcBorders>
            <w:vAlign w:val="center"/>
          </w:tcPr>
          <w:p w14:paraId="243861A9">
            <w:pPr>
              <w:ind w:firstLine="843"/>
              <w:jc w:val="left"/>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49B98E67">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支持病例登记本打印和免疫组化登记本打印。</w:t>
            </w:r>
          </w:p>
        </w:tc>
      </w:tr>
      <w:tr w14:paraId="77C95CF1">
        <w:tblPrEx>
          <w:tblCellMar>
            <w:top w:w="0" w:type="dxa"/>
            <w:left w:w="108" w:type="dxa"/>
            <w:bottom w:w="0" w:type="dxa"/>
            <w:right w:w="108" w:type="dxa"/>
          </w:tblCellMar>
        </w:tblPrEx>
        <w:trPr>
          <w:trHeight w:val="567" w:hRule="atLeast"/>
          <w:jc w:val="center"/>
        </w:trPr>
        <w:tc>
          <w:tcPr>
            <w:tcW w:w="375" w:type="pct"/>
            <w:tcBorders>
              <w:top w:val="nil"/>
              <w:left w:val="single" w:color="auto" w:sz="4" w:space="0"/>
              <w:bottom w:val="single" w:color="auto" w:sz="4" w:space="0"/>
              <w:right w:val="single" w:color="auto" w:sz="4" w:space="0"/>
            </w:tcBorders>
            <w:shd w:val="clear" w:color="auto" w:fill="auto"/>
            <w:vAlign w:val="center"/>
          </w:tcPr>
          <w:p w14:paraId="391F384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633" w:type="pct"/>
            <w:vMerge w:val="continue"/>
            <w:tcBorders>
              <w:top w:val="nil"/>
              <w:left w:val="single" w:color="auto" w:sz="4" w:space="0"/>
              <w:bottom w:val="single" w:color="auto" w:sz="4" w:space="0"/>
              <w:right w:val="single" w:color="auto" w:sz="4" w:space="0"/>
            </w:tcBorders>
            <w:vAlign w:val="center"/>
          </w:tcPr>
          <w:p w14:paraId="0F5B6A8E">
            <w:pPr>
              <w:ind w:firstLine="843"/>
              <w:jc w:val="left"/>
              <w:rPr>
                <w:rFonts w:hint="eastAsia" w:ascii="仿宋" w:hAnsi="仿宋" w:eastAsia="仿宋" w:cs="仿宋"/>
                <w:b/>
                <w:color w:val="auto"/>
                <w:sz w:val="24"/>
                <w:szCs w:val="24"/>
                <w:highlight w:val="none"/>
              </w:rPr>
            </w:pPr>
          </w:p>
        </w:tc>
        <w:tc>
          <w:tcPr>
            <w:tcW w:w="3991" w:type="pct"/>
            <w:tcBorders>
              <w:top w:val="nil"/>
              <w:left w:val="nil"/>
              <w:bottom w:val="single" w:color="auto" w:sz="4" w:space="0"/>
              <w:right w:val="single" w:color="auto" w:sz="4" w:space="0"/>
            </w:tcBorders>
            <w:shd w:val="clear" w:color="auto" w:fill="auto"/>
            <w:vAlign w:val="center"/>
          </w:tcPr>
          <w:p w14:paraId="6246568C">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可将查询结果导出到EXCEL或文本文件作进一步统计打印。</w:t>
            </w:r>
          </w:p>
        </w:tc>
      </w:tr>
      <w:bookmarkEnd w:id="57"/>
    </w:tbl>
    <w:p w14:paraId="3F48B7FE">
      <w:pPr>
        <w:pStyle w:val="4"/>
        <w:numPr>
          <w:ilvl w:val="1"/>
          <w:numId w:val="0"/>
        </w:numPr>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1.4.5</w:t>
      </w:r>
      <w:r>
        <w:rPr>
          <w:rFonts w:hint="eastAsia" w:ascii="仿宋" w:hAnsi="仿宋" w:eastAsia="仿宋" w:cs="仿宋"/>
          <w:color w:val="auto"/>
          <w:sz w:val="24"/>
          <w:szCs w:val="24"/>
          <w:highlight w:val="none"/>
        </w:rPr>
        <w:t>互联互通三级评级服务</w:t>
      </w:r>
      <w:r>
        <w:rPr>
          <w:rFonts w:hint="eastAsia" w:ascii="仿宋" w:hAnsi="仿宋" w:eastAsia="仿宋" w:cs="仿宋"/>
          <w:color w:val="auto"/>
          <w:sz w:val="24"/>
          <w:szCs w:val="24"/>
          <w:highlight w:val="none"/>
        </w:rPr>
        <w:tab/>
      </w:r>
    </w:p>
    <w:p w14:paraId="18141CED">
      <w:pPr>
        <w:pStyle w:val="5"/>
        <w:numPr>
          <w:ilvl w:val="2"/>
          <w:numId w:val="0"/>
        </w:numPr>
        <w:spacing w:before="0" w:after="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1.4.5.</w:t>
      </w:r>
      <w:r>
        <w:rPr>
          <w:rFonts w:hint="eastAsia" w:ascii="仿宋" w:hAnsi="仿宋" w:eastAsia="仿宋" w:cs="仿宋"/>
          <w:color w:val="auto"/>
          <w:sz w:val="24"/>
          <w:szCs w:val="24"/>
          <w:highlight w:val="none"/>
        </w:rPr>
        <w:t>1互联互通标准化评审数据质量评价工具</w:t>
      </w:r>
    </w:p>
    <w:p w14:paraId="237EFD2D">
      <w:pPr>
        <w:pStyle w:val="7"/>
        <w:numPr>
          <w:ilvl w:val="3"/>
          <w:numId w:val="0"/>
        </w:numPr>
        <w:spacing w:before="0" w:after="0" w:line="440" w:lineRule="exact"/>
        <w:rPr>
          <w:rFonts w:hint="eastAsia" w:ascii="仿宋" w:hAnsi="仿宋" w:eastAsia="仿宋" w:cs="仿宋"/>
          <w:color w:val="auto"/>
          <w:sz w:val="24"/>
          <w:szCs w:val="24"/>
          <w:highlight w:val="none"/>
        </w:rPr>
      </w:pPr>
      <w:bookmarkStart w:id="59" w:name="_Toc104308003"/>
      <w:r>
        <w:rPr>
          <w:rFonts w:hint="eastAsia" w:ascii="仿宋" w:hAnsi="仿宋" w:eastAsia="仿宋" w:cs="仿宋"/>
          <w:color w:val="auto"/>
          <w:sz w:val="24"/>
          <w:szCs w:val="24"/>
          <w:highlight w:val="none"/>
          <w:lang w:val="en-US" w:eastAsia="zh-CN"/>
        </w:rPr>
        <w:t>1.4.5.</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rPr>
        <w:t>.1</w:t>
      </w:r>
      <w:r>
        <w:rPr>
          <w:rFonts w:hint="eastAsia" w:ascii="仿宋" w:hAnsi="仿宋" w:eastAsia="仿宋" w:cs="仿宋"/>
          <w:color w:val="auto"/>
          <w:sz w:val="24"/>
          <w:szCs w:val="24"/>
          <w:highlight w:val="none"/>
        </w:rPr>
        <w:t>标准数据集</w:t>
      </w:r>
      <w:bookmarkEnd w:id="59"/>
    </w:p>
    <w:p w14:paraId="13FDE74B">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根据不同类型共享文档整理的标准的数据集，能够详细查看某个共享文档下所有的数据集。</w:t>
      </w:r>
    </w:p>
    <w:p w14:paraId="483B8754">
      <w:pPr>
        <w:pStyle w:val="7"/>
        <w:numPr>
          <w:ilvl w:val="3"/>
          <w:numId w:val="0"/>
        </w:numPr>
        <w:spacing w:before="0" w:after="0" w:line="440" w:lineRule="exact"/>
        <w:rPr>
          <w:rFonts w:hint="eastAsia" w:ascii="仿宋" w:hAnsi="仿宋" w:eastAsia="仿宋" w:cs="仿宋"/>
          <w:color w:val="auto"/>
          <w:sz w:val="24"/>
          <w:szCs w:val="24"/>
          <w:highlight w:val="none"/>
        </w:rPr>
      </w:pPr>
      <w:bookmarkStart w:id="60" w:name="_Toc104308004"/>
      <w:r>
        <w:rPr>
          <w:rFonts w:hint="eastAsia" w:ascii="仿宋" w:hAnsi="仿宋" w:eastAsia="仿宋" w:cs="仿宋"/>
          <w:color w:val="auto"/>
          <w:sz w:val="24"/>
          <w:szCs w:val="24"/>
          <w:highlight w:val="none"/>
          <w:lang w:val="en-US" w:eastAsia="zh-CN"/>
        </w:rPr>
        <w:t>1.4.5.</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rPr>
        <w:t>.2</w:t>
      </w:r>
      <w:r>
        <w:rPr>
          <w:rFonts w:hint="eastAsia" w:ascii="仿宋" w:hAnsi="仿宋" w:eastAsia="仿宋" w:cs="仿宋"/>
          <w:color w:val="auto"/>
          <w:sz w:val="24"/>
          <w:szCs w:val="24"/>
          <w:highlight w:val="none"/>
        </w:rPr>
        <w:t>评估执行</w:t>
      </w:r>
      <w:bookmarkEnd w:id="60"/>
    </w:p>
    <w:p w14:paraId="054C7DF4">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按照互联互通三级要求共享文档的数量要求，根据不同类型共享文档列出符合该共享文档下的患者信息。</w:t>
      </w:r>
    </w:p>
    <w:p w14:paraId="436BF8E5">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能够按照自定义时间区间、共享文档类型等条件查询共享文档统计信息；支持展示共享文档更新情况、共享文档数量等统计信息；支持展示各类型共享文档的详细更新信息，并支持进一步查看更新明细信息。</w:t>
      </w:r>
    </w:p>
    <w:p w14:paraId="4AA9ACB2">
      <w:pPr>
        <w:pStyle w:val="5"/>
        <w:numPr>
          <w:ilvl w:val="2"/>
          <w:numId w:val="0"/>
        </w:numPr>
        <w:spacing w:before="0" w:after="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1.4.5.</w:t>
      </w:r>
      <w:r>
        <w:rPr>
          <w:rFonts w:hint="eastAsia" w:ascii="仿宋" w:hAnsi="仿宋" w:eastAsia="仿宋" w:cs="仿宋"/>
          <w:color w:val="auto"/>
          <w:sz w:val="24"/>
          <w:szCs w:val="24"/>
          <w:highlight w:val="none"/>
        </w:rPr>
        <w:t>2互联互通评审咨询服务</w:t>
      </w:r>
    </w:p>
    <w:p w14:paraId="6381EC5A">
      <w:pPr>
        <w:pStyle w:val="7"/>
        <w:pageBreakBefore w:val="0"/>
        <w:widowControl w:val="0"/>
        <w:numPr>
          <w:ilvl w:val="3"/>
          <w:numId w:val="0"/>
        </w:numPr>
        <w:kinsoku/>
        <w:wordWrap/>
        <w:overflowPunct/>
        <w:topLinePunct w:val="0"/>
        <w:autoSpaceDE/>
        <w:autoSpaceDN/>
        <w:bidi w:val="0"/>
        <w:adjustRightInd/>
        <w:snapToGrid/>
        <w:spacing w:before="0" w:after="0" w:line="440" w:lineRule="exact"/>
        <w:textAlignment w:val="auto"/>
        <w:rPr>
          <w:rFonts w:hint="eastAsia" w:ascii="仿宋" w:hAnsi="仿宋" w:eastAsia="仿宋" w:cs="仿宋"/>
          <w:color w:val="auto"/>
          <w:sz w:val="24"/>
          <w:szCs w:val="24"/>
          <w:highlight w:val="none"/>
        </w:rPr>
      </w:pPr>
      <w:bookmarkStart w:id="61" w:name="_Toc131513703"/>
      <w:r>
        <w:rPr>
          <w:rFonts w:hint="eastAsia" w:ascii="仿宋" w:hAnsi="仿宋" w:eastAsia="仿宋" w:cs="仿宋"/>
          <w:color w:val="auto"/>
          <w:sz w:val="24"/>
          <w:szCs w:val="24"/>
          <w:highlight w:val="none"/>
          <w:lang w:val="en-US" w:eastAsia="zh-CN"/>
        </w:rPr>
        <w:t>1.4.5.</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rPr>
        <w:t>.1</w:t>
      </w:r>
      <w:r>
        <w:rPr>
          <w:rFonts w:hint="eastAsia" w:ascii="仿宋" w:hAnsi="仿宋" w:eastAsia="仿宋" w:cs="仿宋"/>
          <w:color w:val="auto"/>
          <w:sz w:val="24"/>
          <w:szCs w:val="24"/>
          <w:highlight w:val="none"/>
        </w:rPr>
        <w:t>互联互通体系培训</w:t>
      </w:r>
      <w:bookmarkEnd w:id="61"/>
    </w:p>
    <w:p w14:paraId="5B415C66">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根据互联互通三级测评标准要求，对医院开展《WS363卫生信息数据元目录》、《WS364卫生信息数据元值域代码》、《WS445-2014电子病历基本数据集》、《WS/T 500 -2016 电子病历共享文档规范》、《医院信息平台基本交互规范》、《WS/T 447-2014 基于电子病历的医院信息平台技术规范》以及《国家医疗健康信息医院信息互联互通标准化成熟度测评方案（2020年版）》等测评标准体系培训，对指标要点进行培训讲解，使医院能够理解三级测评标准和重点并针对测评标准进行标准化改造。</w:t>
      </w:r>
    </w:p>
    <w:p w14:paraId="7DAA92C1">
      <w:pPr>
        <w:pStyle w:val="7"/>
        <w:pageBreakBefore w:val="0"/>
        <w:widowControl w:val="0"/>
        <w:numPr>
          <w:ilvl w:val="3"/>
          <w:numId w:val="0"/>
        </w:numPr>
        <w:kinsoku/>
        <w:wordWrap/>
        <w:overflowPunct/>
        <w:topLinePunct w:val="0"/>
        <w:autoSpaceDE/>
        <w:autoSpaceDN/>
        <w:bidi w:val="0"/>
        <w:adjustRightInd/>
        <w:snapToGrid/>
        <w:spacing w:before="0" w:after="0" w:line="440" w:lineRule="exact"/>
        <w:textAlignment w:val="auto"/>
        <w:rPr>
          <w:rFonts w:hint="eastAsia" w:ascii="仿宋" w:hAnsi="仿宋" w:eastAsia="仿宋" w:cs="仿宋"/>
          <w:color w:val="auto"/>
          <w:sz w:val="24"/>
          <w:szCs w:val="24"/>
          <w:highlight w:val="none"/>
        </w:rPr>
      </w:pPr>
      <w:bookmarkStart w:id="62" w:name="_Toc131513704"/>
      <w:r>
        <w:rPr>
          <w:rFonts w:hint="eastAsia" w:ascii="仿宋" w:hAnsi="仿宋" w:eastAsia="仿宋" w:cs="仿宋"/>
          <w:color w:val="auto"/>
          <w:sz w:val="24"/>
          <w:szCs w:val="24"/>
          <w:highlight w:val="none"/>
          <w:lang w:val="en-US" w:eastAsia="zh-CN"/>
        </w:rPr>
        <w:t>1.4.5.</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rPr>
        <w:t>.2</w:t>
      </w:r>
      <w:r>
        <w:rPr>
          <w:rFonts w:hint="eastAsia" w:ascii="仿宋" w:hAnsi="仿宋" w:eastAsia="仿宋" w:cs="仿宋"/>
          <w:color w:val="auto"/>
          <w:sz w:val="24"/>
          <w:szCs w:val="24"/>
          <w:highlight w:val="none"/>
        </w:rPr>
        <w:t>医院信息化现状分析与建设指导</w:t>
      </w:r>
      <w:bookmarkEnd w:id="62"/>
    </w:p>
    <w:p w14:paraId="15D435D9">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照互联互通三级成熟度测评方案进行院内系统功能及应用情况扫描，给出整体模拟打分及各系统差距项汇总分析，并给出差距分析报告。根据差距分析报告，结合医院现有系统情况，协助医院制定符合医院实际情况的改造方案。</w:t>
      </w:r>
    </w:p>
    <w:p w14:paraId="6BA73B46">
      <w:pPr>
        <w:pStyle w:val="7"/>
        <w:pageBreakBefore w:val="0"/>
        <w:widowControl w:val="0"/>
        <w:numPr>
          <w:ilvl w:val="3"/>
          <w:numId w:val="0"/>
        </w:numPr>
        <w:kinsoku/>
        <w:wordWrap/>
        <w:overflowPunct/>
        <w:topLinePunct w:val="0"/>
        <w:autoSpaceDE/>
        <w:autoSpaceDN/>
        <w:bidi w:val="0"/>
        <w:adjustRightInd/>
        <w:snapToGrid/>
        <w:spacing w:before="0" w:after="0" w:line="440" w:lineRule="exact"/>
        <w:textAlignment w:val="auto"/>
        <w:rPr>
          <w:rFonts w:hint="eastAsia" w:ascii="仿宋" w:hAnsi="仿宋" w:eastAsia="仿宋" w:cs="仿宋"/>
          <w:color w:val="auto"/>
          <w:sz w:val="24"/>
          <w:szCs w:val="24"/>
          <w:highlight w:val="none"/>
        </w:rPr>
      </w:pPr>
      <w:bookmarkStart w:id="63" w:name="_Toc131513705"/>
      <w:r>
        <w:rPr>
          <w:rFonts w:hint="eastAsia" w:ascii="仿宋" w:hAnsi="仿宋" w:eastAsia="仿宋" w:cs="仿宋"/>
          <w:color w:val="auto"/>
          <w:sz w:val="24"/>
          <w:szCs w:val="24"/>
          <w:highlight w:val="none"/>
          <w:lang w:val="en-US" w:eastAsia="zh-CN"/>
        </w:rPr>
        <w:t>1.4.5.</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rPr>
        <w:t>.3</w:t>
      </w:r>
      <w:r>
        <w:rPr>
          <w:rFonts w:hint="eastAsia" w:ascii="仿宋" w:hAnsi="仿宋" w:eastAsia="仿宋" w:cs="仿宋"/>
          <w:color w:val="auto"/>
          <w:sz w:val="24"/>
          <w:szCs w:val="24"/>
          <w:highlight w:val="none"/>
        </w:rPr>
        <w:t>持续跟进医院建设方案落地</w:t>
      </w:r>
      <w:bookmarkEnd w:id="63"/>
    </w:p>
    <w:p w14:paraId="5CDDE024">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在年度互联互通评审截止前，持续跟进改造方案落地并定期组织例会进行改造纠偏，对于院方提出的疑问及时给出反馈并协助院方进行整改。在文审前必须对院内系统进行再次摸底调研确保满足评审指标。</w:t>
      </w:r>
    </w:p>
    <w:p w14:paraId="405E698F">
      <w:pPr>
        <w:pStyle w:val="7"/>
        <w:pageBreakBefore w:val="0"/>
        <w:widowControl w:val="0"/>
        <w:numPr>
          <w:ilvl w:val="3"/>
          <w:numId w:val="0"/>
        </w:numPr>
        <w:kinsoku/>
        <w:wordWrap/>
        <w:overflowPunct/>
        <w:topLinePunct w:val="0"/>
        <w:autoSpaceDE/>
        <w:autoSpaceDN/>
        <w:bidi w:val="0"/>
        <w:adjustRightInd/>
        <w:snapToGrid/>
        <w:spacing w:before="0" w:after="0" w:line="440" w:lineRule="exact"/>
        <w:textAlignment w:val="auto"/>
        <w:rPr>
          <w:rFonts w:hint="eastAsia" w:ascii="仿宋" w:hAnsi="仿宋" w:eastAsia="仿宋" w:cs="仿宋"/>
          <w:color w:val="auto"/>
          <w:sz w:val="24"/>
          <w:szCs w:val="24"/>
          <w:highlight w:val="none"/>
        </w:rPr>
      </w:pPr>
      <w:bookmarkStart w:id="64" w:name="_Toc131513706"/>
      <w:r>
        <w:rPr>
          <w:rFonts w:hint="eastAsia" w:ascii="仿宋" w:hAnsi="仿宋" w:eastAsia="仿宋" w:cs="仿宋"/>
          <w:color w:val="auto"/>
          <w:sz w:val="24"/>
          <w:szCs w:val="24"/>
          <w:highlight w:val="none"/>
          <w:lang w:val="en-US" w:eastAsia="zh-CN"/>
        </w:rPr>
        <w:t>1.4.5.</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rPr>
        <w:t>.4</w:t>
      </w:r>
      <w:r>
        <w:rPr>
          <w:rFonts w:hint="eastAsia" w:ascii="仿宋" w:hAnsi="仿宋" w:eastAsia="仿宋" w:cs="仿宋"/>
          <w:color w:val="auto"/>
          <w:sz w:val="24"/>
          <w:szCs w:val="24"/>
          <w:highlight w:val="none"/>
        </w:rPr>
        <w:t>进行互联互通文审指导</w:t>
      </w:r>
      <w:bookmarkEnd w:id="64"/>
    </w:p>
    <w:p w14:paraId="0277EAFD">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互联互通测评报名阶段之前，再次对院方信息化进行对标分析与指导，协助院方制作实证材料及汇报文件，包括协助医院编写《互联互通标准化成熟度测评评估问卷证明材料》、《互联互通标准化成熟度测评建设工作汇报》PPT等必要材料；对实证材料进行审核确保材料符合三级评级要求，针对网站填报给予相应的指导与协助，帮助医院完成互联互通测评申报工作。</w:t>
      </w:r>
    </w:p>
    <w:p w14:paraId="0AE8FAC1">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在接到互联互通文审初审结果后，结合历年其他医院的文审相关经验，对医院相关人员进行文审准备事项和注意事项的培训指导。</w:t>
      </w:r>
    </w:p>
    <w:p w14:paraId="26EFED33">
      <w:pPr>
        <w:pStyle w:val="7"/>
        <w:pageBreakBefore w:val="0"/>
        <w:widowControl w:val="0"/>
        <w:numPr>
          <w:ilvl w:val="3"/>
          <w:numId w:val="0"/>
        </w:numPr>
        <w:kinsoku/>
        <w:wordWrap/>
        <w:overflowPunct/>
        <w:topLinePunct w:val="0"/>
        <w:autoSpaceDE/>
        <w:autoSpaceDN/>
        <w:bidi w:val="0"/>
        <w:adjustRightInd/>
        <w:snapToGrid/>
        <w:spacing w:before="0" w:after="0" w:line="440" w:lineRule="exact"/>
        <w:textAlignment w:val="auto"/>
        <w:rPr>
          <w:rFonts w:hint="eastAsia" w:ascii="仿宋" w:hAnsi="仿宋" w:eastAsia="仿宋" w:cs="仿宋"/>
          <w:color w:val="auto"/>
          <w:sz w:val="24"/>
          <w:szCs w:val="24"/>
          <w:highlight w:val="none"/>
        </w:rPr>
      </w:pPr>
      <w:bookmarkStart w:id="65" w:name="_Toc131513707"/>
      <w:r>
        <w:rPr>
          <w:rFonts w:hint="eastAsia" w:ascii="仿宋" w:hAnsi="仿宋" w:eastAsia="仿宋" w:cs="仿宋"/>
          <w:color w:val="auto"/>
          <w:sz w:val="24"/>
          <w:szCs w:val="24"/>
          <w:highlight w:val="none"/>
          <w:lang w:val="en-US" w:eastAsia="zh-CN"/>
        </w:rPr>
        <w:t>1.4.5.</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rPr>
        <w:t>.5</w:t>
      </w:r>
      <w:r>
        <w:rPr>
          <w:rFonts w:hint="eastAsia" w:ascii="仿宋" w:hAnsi="仿宋" w:eastAsia="仿宋" w:cs="仿宋"/>
          <w:color w:val="auto"/>
          <w:sz w:val="24"/>
          <w:szCs w:val="24"/>
          <w:highlight w:val="none"/>
        </w:rPr>
        <w:t>对院方定量部分进行审查</w:t>
      </w:r>
      <w:bookmarkEnd w:id="65"/>
    </w:p>
    <w:p w14:paraId="2B96A6D9">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对医院互联互通三级评审的相关建设内容、共享文档及交互服务使用定量测试工具进行审查，校验过程中遇到的错误需要指导并协助医院进行整改直到定量评审正式通过。</w:t>
      </w:r>
    </w:p>
    <w:p w14:paraId="578E5627">
      <w:pPr>
        <w:pStyle w:val="7"/>
        <w:pageBreakBefore w:val="0"/>
        <w:widowControl w:val="0"/>
        <w:numPr>
          <w:ilvl w:val="3"/>
          <w:numId w:val="0"/>
        </w:numPr>
        <w:kinsoku/>
        <w:wordWrap/>
        <w:overflowPunct/>
        <w:topLinePunct w:val="0"/>
        <w:autoSpaceDE/>
        <w:autoSpaceDN/>
        <w:bidi w:val="0"/>
        <w:adjustRightInd/>
        <w:snapToGrid/>
        <w:spacing w:before="0" w:after="0" w:line="440" w:lineRule="exact"/>
        <w:textAlignment w:val="auto"/>
        <w:rPr>
          <w:rFonts w:hint="eastAsia" w:ascii="仿宋" w:hAnsi="仿宋" w:eastAsia="仿宋" w:cs="仿宋"/>
          <w:color w:val="auto"/>
          <w:sz w:val="24"/>
          <w:szCs w:val="24"/>
          <w:highlight w:val="none"/>
        </w:rPr>
      </w:pPr>
      <w:bookmarkStart w:id="66" w:name="_Toc131513708"/>
      <w:r>
        <w:rPr>
          <w:rFonts w:hint="eastAsia" w:ascii="仿宋" w:hAnsi="仿宋" w:eastAsia="仿宋" w:cs="仿宋"/>
          <w:color w:val="auto"/>
          <w:sz w:val="24"/>
          <w:szCs w:val="24"/>
          <w:highlight w:val="none"/>
          <w:lang w:val="en-US" w:eastAsia="zh-CN"/>
        </w:rPr>
        <w:t>1.4.5.</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rPr>
        <w:t>.6</w:t>
      </w:r>
      <w:r>
        <w:rPr>
          <w:rFonts w:hint="eastAsia" w:ascii="仿宋" w:hAnsi="仿宋" w:eastAsia="仿宋" w:cs="仿宋"/>
          <w:color w:val="auto"/>
          <w:sz w:val="24"/>
          <w:szCs w:val="24"/>
          <w:highlight w:val="none"/>
        </w:rPr>
        <w:t>互联互通评审培训及模拟评审考核</w:t>
      </w:r>
      <w:bookmarkEnd w:id="66"/>
    </w:p>
    <w:p w14:paraId="7065B317">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对全院职工进行互联互通三级评审培训，包括业务流程培训、评审内容指导，评审团队在接到评审通知后应当组织医院进行不少于3次真实定性模拟。</w:t>
      </w:r>
    </w:p>
    <w:p w14:paraId="4E334507">
      <w:pPr>
        <w:pStyle w:val="7"/>
        <w:pageBreakBefore w:val="0"/>
        <w:widowControl w:val="0"/>
        <w:numPr>
          <w:ilvl w:val="3"/>
          <w:numId w:val="0"/>
        </w:numPr>
        <w:kinsoku/>
        <w:wordWrap/>
        <w:overflowPunct/>
        <w:topLinePunct w:val="0"/>
        <w:autoSpaceDE/>
        <w:autoSpaceDN/>
        <w:bidi w:val="0"/>
        <w:adjustRightInd/>
        <w:snapToGrid/>
        <w:spacing w:before="0" w:after="0" w:line="440" w:lineRule="exact"/>
        <w:textAlignment w:val="auto"/>
        <w:rPr>
          <w:rFonts w:hint="eastAsia" w:ascii="仿宋" w:hAnsi="仿宋" w:eastAsia="仿宋" w:cs="仿宋"/>
          <w:color w:val="auto"/>
          <w:sz w:val="24"/>
          <w:szCs w:val="24"/>
          <w:highlight w:val="none"/>
        </w:rPr>
      </w:pPr>
      <w:bookmarkStart w:id="67" w:name="_Toc131513709"/>
      <w:r>
        <w:rPr>
          <w:rFonts w:hint="eastAsia" w:ascii="仿宋" w:hAnsi="仿宋" w:eastAsia="仿宋" w:cs="仿宋"/>
          <w:color w:val="auto"/>
          <w:sz w:val="24"/>
          <w:szCs w:val="24"/>
          <w:highlight w:val="none"/>
          <w:lang w:val="en-US" w:eastAsia="zh-CN"/>
        </w:rPr>
        <w:t>1.4.5.</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rPr>
        <w:t>.7</w:t>
      </w:r>
      <w:r>
        <w:rPr>
          <w:rFonts w:hint="eastAsia" w:ascii="仿宋" w:hAnsi="仿宋" w:eastAsia="仿宋" w:cs="仿宋"/>
          <w:color w:val="auto"/>
          <w:sz w:val="24"/>
          <w:szCs w:val="24"/>
          <w:highlight w:val="none"/>
        </w:rPr>
        <w:t>互联互通评审项目复盘</w:t>
      </w:r>
      <w:bookmarkEnd w:id="67"/>
    </w:p>
    <w:p w14:paraId="4148D944">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评审顾问根据医院现场评审情况，汇总分析专家建议，帮助医院信息系统流程持续优化，进一步落实以评促建，以评促改，规范就医流程，满足以患者为核心的建设思想。</w:t>
      </w:r>
    </w:p>
    <w:p w14:paraId="442AAADC">
      <w:pPr>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二、</w:t>
      </w:r>
      <w:r>
        <w:rPr>
          <w:rFonts w:hint="eastAsia" w:ascii="仿宋" w:hAnsi="仿宋" w:eastAsia="仿宋" w:cs="仿宋"/>
          <w:b/>
          <w:bCs/>
          <w:color w:val="auto"/>
          <w:sz w:val="24"/>
          <w:szCs w:val="24"/>
          <w:highlight w:val="none"/>
        </w:rPr>
        <w:t>交货期</w:t>
      </w:r>
    </w:p>
    <w:p w14:paraId="5D010C9C">
      <w:pPr>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投标人应在合同签订后9个月内完成项目的升级改造，需提供项目详尽的实施方案和进度表。</w:t>
      </w:r>
    </w:p>
    <w:p w14:paraId="3A5B296B">
      <w:pPr>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kern w:val="2"/>
          <w:sz w:val="24"/>
          <w:szCs w:val="24"/>
          <w:highlight w:val="none"/>
          <w:lang w:val="en-US" w:eastAsia="zh-CN" w:bidi="ar-SA"/>
        </w:rPr>
        <w:t>三、</w:t>
      </w:r>
      <w:r>
        <w:rPr>
          <w:rFonts w:hint="eastAsia" w:ascii="仿宋" w:hAnsi="仿宋" w:eastAsia="仿宋" w:cs="仿宋"/>
          <w:b/>
          <w:bCs/>
          <w:color w:val="auto"/>
          <w:sz w:val="24"/>
          <w:szCs w:val="24"/>
          <w:highlight w:val="none"/>
        </w:rPr>
        <w:t>服务及其他要求</w:t>
      </w:r>
    </w:p>
    <w:p w14:paraId="47BC4E01">
      <w:pPr>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3.1接口改造要求</w:t>
      </w:r>
    </w:p>
    <w:p w14:paraId="415246E4">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1.接口集成方案须满足互联互通三级建设要求；</w:t>
      </w:r>
    </w:p>
    <w:p w14:paraId="21280C62">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2.投标人必须提供并制定与医院现有各种信息系统集成/接口的方案，包括不限于以下系统HIS、EMR、LIS、RIS、PACS、手麻等，并与各系统的提供商进行沟通、积极推进；投标人必须完成由其负责的接口程序的实施；</w:t>
      </w:r>
    </w:p>
    <w:p w14:paraId="7EFDCE13">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3.投标文件中提供本项目临床数据中心系统建设与医院现有业务应用系统无缝连接方案，包括不限于以下系统HIS、EMR、LIS、RIS、PACS、手麻等；</w:t>
      </w:r>
    </w:p>
    <w:p w14:paraId="404FDA8B">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投标文件中提供数据整合集成方案，包括但不限于自动采集医院现有业务应用系统（如HIS、EMR、LIS、RIS、PACS、手麻等）的临床数据，集成到临床数据中心；须说明应用集成点、集成方式以及需要相关系统配合改造的事项等；</w:t>
      </w:r>
    </w:p>
    <w:p w14:paraId="1A718597">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项目是要将医院诊疗数据（含历史诊疗数据）都接入到数据中心，投标人需提供切实可行的接入方案。投标人须承诺能够将医院现行使用HIS、EMR、LIS、RIS、PACS、手麻等系统中的病历、医嘱、检验检查报告等数据接入到数据中心，本项目为一揽子工程，报价包含所有接口及相关改造费用。</w:t>
      </w:r>
    </w:p>
    <w:p w14:paraId="090EAB1B">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如果需要其它信息系统进行较大程度的程序或功能改造才能完成与本次项目建设内容之间的接口，则投标人必须详细提出具体方案和实施细则，主动与该系统的提供商协商沟通并落实完成改造，以免对医院其它系统业务正常开展和科室工作造成影响。</w:t>
      </w:r>
    </w:p>
    <w:p w14:paraId="6220652C">
      <w:pPr>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3.2项目实施要求</w:t>
      </w:r>
    </w:p>
    <w:p w14:paraId="69DDCAAC">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具备较强的行业经验、信息系统集成能力和质量管理体系，同时需要根据项目建设内容和进度需要，派驻具有一定资质能力水平的成员组成项目小组对医院信息系统进行实施及服务。投标人应承诺在项目建设及维护过程中，如客户需要，投标人应与医院共同定制开发信息系统产品，并承诺完成软件著作权登记证书的申请和办理等工作。</w:t>
      </w:r>
    </w:p>
    <w:p w14:paraId="3DC08AD2">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本次项目建设周期为9个月，详细实施进度要求如下：</w:t>
      </w:r>
    </w:p>
    <w:p w14:paraId="6DE037C0">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1.合同签订后10天内进一步优化需求分析、概要设计、详细设计，并细化系统建设计划、目标任务书和测试验收方案，向采购人提供上述文档并需经采购人审查通过；</w:t>
      </w:r>
    </w:p>
    <w:p w14:paraId="365B6028">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2.合同签订后9个月内完成项目的全部系统建设并通过初步验收，进入试运行；</w:t>
      </w:r>
    </w:p>
    <w:p w14:paraId="03B32C9D">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3.投入试运行后正常运行1个月且完成培训。</w:t>
      </w:r>
    </w:p>
    <w:p w14:paraId="161860A9">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4.通过互联互通三级评审，验收合格正式交付使用，进入维护期，建立完善的系统运维体系。</w:t>
      </w:r>
    </w:p>
    <w:p w14:paraId="6A26D692">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5.投标人需提供项目详尽的实施方案和进度表。</w:t>
      </w:r>
    </w:p>
    <w:p w14:paraId="51EE8427">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投标人应在系统实施方案中描述具体的实施团队的组成、工作的内容、投入人员、项目进程表及采购人的配合等内容。在所有工作开展之前，参与此次项目的公司相应实施人员应制定一套完整科学可行的实施方案，作为工程实施的总体计划和步骤。实施方案内容大致包括：（1）组织保障安排：成立领导小组，领导小组中的责任分工等。（2）制定具体的实施流程、实施内容。</w:t>
      </w:r>
    </w:p>
    <w:p w14:paraId="17753E78">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7.针对本项目的二次开发，如用户有对本次合作开发的医疗相关软件有申请著作权的需求，投标人应承诺全力配合。</w:t>
      </w:r>
    </w:p>
    <w:p w14:paraId="7940822D">
      <w:pPr>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3.3培训要求</w:t>
      </w:r>
    </w:p>
    <w:p w14:paraId="1BABEB1C">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从合同签订开始，中标人相关技术人员对所有科室操作进行分期、分批的各种技术培训。根据不同专业、不同管理要求对科室负责人及所有上岗操作使用人员进行系统主要功能、系统操作使用方法、系统工作流程培训。通过培训，使他们较好的掌握应用软件的使用方法，熟悉系统工作流程，基本达到了数据录入准确、及时、迅速的要求；</w:t>
      </w:r>
    </w:p>
    <w:p w14:paraId="00BECBAB">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2.应根据医院的情况制定详细人员培训方案，包括培训目的、形式、培训时间安排、人数、次数、培训课程（包括课程介绍）、培训师资情况、培训组织方式等。</w:t>
      </w:r>
    </w:p>
    <w:p w14:paraId="6B174935">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3.培训对象包括系统管理员、医院管理人员、操作员，系统管理人员培训内容为系统中涉及的相关技术内容；医院管理人员培训内容为系统流程和相关管理思想；操作员为系统的操作培训。</w:t>
      </w:r>
    </w:p>
    <w:p w14:paraId="3CF60EB5">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4.所有的培训费用必须计入投标总价。</w:t>
      </w:r>
    </w:p>
    <w:p w14:paraId="1660E74C">
      <w:pPr>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3.4成果交付要求</w:t>
      </w:r>
    </w:p>
    <w:p w14:paraId="6A9738E3">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本期项目的开发过程中和交付使用后，各个阶段都会有各种成果和文档资料。这些成果和文档资料对所开发系统的维护和持续发展起着非常重大的作用。因此，要求将全面、规范的成果和文档资料交付给用户，而且要提供明确的交付清单。同时，成果和文档资料必须符合软件工程的相关要求。在整个项目实施过程中，须根据开发进度，按照医院要求及时提供用户相关技术文档，包括且不限于：</w:t>
      </w:r>
    </w:p>
    <w:p w14:paraId="088E29D6">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1.准备阶段：《实施方案》；</w:t>
      </w:r>
    </w:p>
    <w:p w14:paraId="0D12ADA4">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2.需求分析阶段：定制化开发部分《需求分析说明书》；</w:t>
      </w:r>
    </w:p>
    <w:p w14:paraId="5327C718">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3.设计阶段：定制化开发部分《概要设计说明书》、第三方系统对接相关《接口说明书》；</w:t>
      </w:r>
    </w:p>
    <w:p w14:paraId="38ACBA45">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4.测试阶段：《测试用例》、《测试报告》；</w:t>
      </w:r>
    </w:p>
    <w:p w14:paraId="4BA6E38D">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5.上线阶段：《上线方案》、《试运行/上线报告》；</w:t>
      </w:r>
    </w:p>
    <w:p w14:paraId="0119D4E7">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6.过程文档：《培训计划》、《培训记录》、《例会记录》；</w:t>
      </w:r>
    </w:p>
    <w:p w14:paraId="71D55492">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7.交付使用：《用户手册》。</w:t>
      </w:r>
    </w:p>
    <w:p w14:paraId="3A96D034">
      <w:pPr>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3.5验收要求</w:t>
      </w:r>
    </w:p>
    <w:p w14:paraId="01E4C961">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1.验收方法：</w:t>
      </w:r>
    </w:p>
    <w:p w14:paraId="702BD3E2">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项目初验：项目改造及建设</w:t>
      </w:r>
      <w:r>
        <w:rPr>
          <w:rFonts w:hint="eastAsia" w:ascii="仿宋" w:hAnsi="仿宋" w:eastAsia="仿宋" w:cs="仿宋"/>
          <w:color w:val="auto"/>
          <w:sz w:val="24"/>
          <w:szCs w:val="24"/>
          <w:highlight w:val="none"/>
          <w:lang w:val="en-US" w:eastAsia="zh-CN"/>
        </w:rPr>
        <w:t>完成组织</w:t>
      </w:r>
      <w:r>
        <w:rPr>
          <w:rFonts w:hint="eastAsia" w:ascii="仿宋" w:hAnsi="仿宋" w:eastAsia="仿宋" w:cs="仿宋"/>
          <w:color w:val="auto"/>
          <w:sz w:val="24"/>
          <w:szCs w:val="24"/>
          <w:highlight w:val="none"/>
        </w:rPr>
        <w:t>初验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合格后进行试运行。</w:t>
      </w:r>
    </w:p>
    <w:p w14:paraId="4544D17D">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项目终验：通过互联互通三级测评后提出终验。</w:t>
      </w:r>
    </w:p>
    <w:p w14:paraId="5618F3A0">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2.验收内容：按照招标文件、响应文件、合同.相关承诺和相关补充文件的内容进行。</w:t>
      </w:r>
    </w:p>
    <w:p w14:paraId="1159D23B">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3.验收标准：</w:t>
      </w:r>
    </w:p>
    <w:p w14:paraId="6C1D1691">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①项目服务所有技术性能规格及参数：应符合招标文件和中标方投标文件所要求的技术标准及服务标准。系统运行稳定，无故障，数据无错误。</w:t>
      </w:r>
    </w:p>
    <w:p w14:paraId="5FDB28BA">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验收工作由采购人和中标人共同进行。在验收时，中标人应向采购人提供项目的相关资料，按采购人提出的方式验收。由采购人对标的物进行核验，如发现任何一项与本项目验收内容不符，采购人有权拒绝接受。</w:t>
      </w:r>
    </w:p>
    <w:p w14:paraId="4183AEA2">
      <w:pPr>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3.6售后服务</w:t>
      </w:r>
    </w:p>
    <w:p w14:paraId="509F9FE8">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1.投标人须严格按照国家有关法律法规规定提供服务。</w:t>
      </w:r>
    </w:p>
    <w:p w14:paraId="37B1903C">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2.投标人应在投标文件中说明在保修期内提供的服务计划，维护范围包括（包括但不限于）软件安装，调试、维修，接口等内容；</w:t>
      </w:r>
    </w:p>
    <w:p w14:paraId="0591A022">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3.系统免费维保期(质保期)2年，第一年免费提供驻场人员一名，系统免费维保期(质保期)自项目终验通过之日起</w:t>
      </w:r>
      <w:r>
        <w:rPr>
          <w:rFonts w:hint="eastAsia" w:ascii="仿宋" w:hAnsi="仿宋" w:eastAsia="仿宋" w:cs="仿宋"/>
          <w:color w:val="auto"/>
          <w:sz w:val="24"/>
          <w:szCs w:val="24"/>
          <w:highlight w:val="none"/>
          <w:lang w:eastAsia="zh-CN"/>
        </w:rPr>
        <w:t>计算</w:t>
      </w:r>
      <w:r>
        <w:rPr>
          <w:rFonts w:hint="eastAsia" w:ascii="仿宋" w:hAnsi="仿宋" w:eastAsia="仿宋" w:cs="仿宋"/>
          <w:color w:val="auto"/>
          <w:sz w:val="24"/>
          <w:szCs w:val="24"/>
          <w:highlight w:val="none"/>
        </w:rPr>
        <w:t>；</w:t>
      </w:r>
    </w:p>
    <w:p w14:paraId="06DCBBAF">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4.免费维保期内投标人应采用定期走访、现场服务、电话和网络咨询方式为用户提供全方位技术服务；</w:t>
      </w:r>
    </w:p>
    <w:p w14:paraId="0039914A">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5.如系统出现故障不能正常运行，投标人在接到医院的请求后，应立即安排技术人员进行软件维护，按照国家及行业标准对故障进行及时处理，确保系统正常运行；</w:t>
      </w:r>
    </w:p>
    <w:p w14:paraId="6D275814">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6.软件故障报修的响应时间：10分钟。电话、网络指导下无法解决，1小时内到达现场进行维护；保证7×24小时的维护响应；</w:t>
      </w:r>
    </w:p>
    <w:p w14:paraId="1FB6754E">
      <w:pPr>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3.7安全及隐私要求</w:t>
      </w:r>
    </w:p>
    <w:p w14:paraId="6AC01395">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信息安全是任何业务开展的基础，投标人对于本次项目涉及的相关信息的安全和隐私保护措施，给出详细可行的解决方案，包括但不限于应用审计安全、用户权限控制等。</w:t>
      </w:r>
    </w:p>
    <w:p w14:paraId="5A8F2FED">
      <w:pPr>
        <w:pageBreakBefore w:val="0"/>
        <w:widowControl w:val="0"/>
        <w:tabs>
          <w:tab w:val="left" w:pos="292"/>
        </w:tabs>
        <w:kinsoku/>
        <w:wordWrap/>
        <w:overflowPunct/>
        <w:topLinePunct w:val="0"/>
        <w:autoSpaceDE/>
        <w:autoSpaceDN/>
        <w:bidi w:val="0"/>
        <w:adjustRightInd/>
        <w:snapToGrid/>
        <w:spacing w:line="440" w:lineRule="exact"/>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3.</w:t>
      </w:r>
      <w:r>
        <w:rPr>
          <w:rFonts w:hint="eastAsia" w:ascii="仿宋" w:hAnsi="仿宋" w:eastAsia="仿宋" w:cs="仿宋"/>
          <w:b/>
          <w:color w:val="auto"/>
          <w:kern w:val="0"/>
          <w:sz w:val="24"/>
          <w:szCs w:val="24"/>
          <w:highlight w:val="none"/>
        </w:rPr>
        <w:tab/>
      </w:r>
      <w:r>
        <w:rPr>
          <w:rFonts w:hint="eastAsia" w:ascii="仿宋" w:hAnsi="仿宋" w:eastAsia="仿宋" w:cs="仿宋"/>
          <w:b/>
          <w:color w:val="auto"/>
          <w:kern w:val="0"/>
          <w:sz w:val="24"/>
          <w:szCs w:val="24"/>
          <w:highlight w:val="none"/>
          <w:lang w:val="en-US" w:eastAsia="zh-CN"/>
        </w:rPr>
        <w:t>8</w:t>
      </w:r>
      <w:r>
        <w:rPr>
          <w:rFonts w:hint="eastAsia" w:ascii="仿宋" w:hAnsi="仿宋" w:eastAsia="仿宋" w:cs="仿宋"/>
          <w:b/>
          <w:color w:val="auto"/>
          <w:kern w:val="0"/>
          <w:sz w:val="24"/>
          <w:szCs w:val="24"/>
          <w:highlight w:val="none"/>
        </w:rPr>
        <w:t>付款方式</w:t>
      </w:r>
    </w:p>
    <w:p w14:paraId="77850C6F">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按《浙江省财政厅关于进一步发挥政府采购政策 功能全力推动经济稳进提质的通知》（浙财采监〔2022〕3号）文件要求执行，具体付款方式由双方协商后在合同中明确。</w:t>
      </w:r>
    </w:p>
    <w:p w14:paraId="7299B2F2">
      <w:pPr>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w:t>
      </w:r>
      <w:r>
        <w:rPr>
          <w:rFonts w:hint="eastAsia" w:ascii="仿宋" w:hAnsi="仿宋" w:eastAsia="仿宋" w:cs="仿宋"/>
          <w:b/>
          <w:color w:val="auto"/>
          <w:sz w:val="24"/>
          <w:szCs w:val="24"/>
          <w:highlight w:val="none"/>
          <w:lang w:val="en-US" w:eastAsia="zh-CN"/>
        </w:rPr>
        <w:t>9</w:t>
      </w:r>
      <w:r>
        <w:rPr>
          <w:rFonts w:hint="eastAsia" w:ascii="仿宋" w:hAnsi="仿宋" w:eastAsia="仿宋" w:cs="仿宋"/>
          <w:b/>
          <w:color w:val="auto"/>
          <w:sz w:val="24"/>
          <w:szCs w:val="24"/>
          <w:highlight w:val="none"/>
        </w:rPr>
        <w:t>其他</w:t>
      </w:r>
    </w:p>
    <w:p w14:paraId="159A8839">
      <w:pPr>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项目总价（该价格包括项目建设中系统设计、开发、实施、以及相应的软件系统供货、安装调试、系统集成、项目验收、技术培训和质保期内的运行维护等一切费用）。</w:t>
      </w:r>
    </w:p>
    <w:p w14:paraId="5E0C07D5">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rPr>
        <w:t>2.此项目包含第三方互联互通三级测评的改造费用。未通过申报年度互联互通成熟度三级测评，中标人应承担相应责任。</w:t>
      </w:r>
    </w:p>
    <w:p w14:paraId="01087EC1">
      <w:pPr>
        <w:rPr>
          <w:rFonts w:hint="eastAsia"/>
          <w:color w:val="auto"/>
          <w:highlight w:val="none"/>
        </w:rPr>
      </w:pPr>
    </w:p>
    <w:p w14:paraId="28AAE16B">
      <w:pPr>
        <w:rPr>
          <w:rFonts w:hint="eastAsia"/>
          <w:color w:val="auto"/>
          <w:highlight w:val="none"/>
        </w:rPr>
      </w:pPr>
    </w:p>
    <w:p w14:paraId="02A74C5B">
      <w:pPr>
        <w:rPr>
          <w:rFonts w:hint="eastAsia"/>
          <w:color w:val="auto"/>
          <w:highlight w:val="none"/>
        </w:rPr>
      </w:pPr>
    </w:p>
    <w:p w14:paraId="4A0A5EF5">
      <w:pPr>
        <w:rPr>
          <w:rFonts w:hint="eastAsia"/>
          <w:color w:val="auto"/>
          <w:highlight w:val="none"/>
        </w:rPr>
      </w:pPr>
    </w:p>
    <w:p w14:paraId="35BBC507">
      <w:pPr>
        <w:rPr>
          <w:rFonts w:hint="eastAsia"/>
          <w:color w:val="auto"/>
          <w:highlight w:val="none"/>
        </w:rPr>
      </w:pPr>
    </w:p>
    <w:p w14:paraId="642A034C">
      <w:pPr>
        <w:rPr>
          <w:rFonts w:hint="eastAsia"/>
          <w:color w:val="auto"/>
          <w:highlight w:val="none"/>
        </w:rPr>
      </w:pPr>
    </w:p>
    <w:p w14:paraId="16E324BF">
      <w:pPr>
        <w:rPr>
          <w:rFonts w:hint="eastAsia"/>
          <w:color w:val="auto"/>
          <w:highlight w:val="none"/>
        </w:rPr>
      </w:pPr>
    </w:p>
    <w:p w14:paraId="1F899465">
      <w:pPr>
        <w:rPr>
          <w:rFonts w:hint="eastAsia"/>
          <w:color w:val="auto"/>
          <w:highlight w:val="none"/>
        </w:rPr>
      </w:pPr>
    </w:p>
    <w:p w14:paraId="13D2950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49AD96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FB3FE9A">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10DFE8F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3B95C908">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5E060192">
      <w:pPr>
        <w:spacing w:line="480" w:lineRule="auto"/>
        <w:jc w:val="center"/>
        <w:rPr>
          <w:rFonts w:hint="eastAsia" w:ascii="仿宋" w:hAnsi="仿宋" w:eastAsia="仿宋" w:cs="仿宋"/>
          <w:b/>
          <w:color w:val="auto"/>
          <w:sz w:val="28"/>
          <w:szCs w:val="28"/>
          <w:highlight w:val="none"/>
        </w:rPr>
      </w:pPr>
    </w:p>
    <w:p w14:paraId="2EE97CC0">
      <w:pPr>
        <w:spacing w:line="480" w:lineRule="auto"/>
        <w:jc w:val="center"/>
        <w:rPr>
          <w:rFonts w:hint="eastAsia" w:ascii="仿宋" w:hAnsi="仿宋" w:eastAsia="仿宋" w:cs="仿宋"/>
          <w:b/>
          <w:color w:val="auto"/>
          <w:sz w:val="24"/>
          <w:highlight w:val="none"/>
        </w:rPr>
      </w:pPr>
    </w:p>
    <w:p w14:paraId="531EE1F1">
      <w:pPr>
        <w:spacing w:line="480" w:lineRule="auto"/>
        <w:jc w:val="center"/>
        <w:rPr>
          <w:rFonts w:hint="eastAsia" w:ascii="仿宋" w:hAnsi="仿宋" w:eastAsia="仿宋" w:cs="仿宋"/>
          <w:b/>
          <w:color w:val="auto"/>
          <w:sz w:val="24"/>
          <w:highlight w:val="none"/>
        </w:rPr>
      </w:pPr>
    </w:p>
    <w:p w14:paraId="7419C0BF">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0B3C135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18CFC2B2">
      <w:pPr>
        <w:pStyle w:val="702"/>
        <w:ind w:left="0" w:leftChars="0" w:firstLine="0" w:firstLineChars="0"/>
        <w:rPr>
          <w:rFonts w:hint="eastAsia" w:ascii="仿宋" w:hAnsi="仿宋" w:eastAsia="仿宋" w:cs="仿宋"/>
          <w:color w:val="auto"/>
          <w:szCs w:val="24"/>
          <w:highlight w:val="none"/>
        </w:rPr>
      </w:pPr>
    </w:p>
    <w:p w14:paraId="02ACEF1E">
      <w:pPr>
        <w:pStyle w:val="702"/>
        <w:jc w:val="center"/>
        <w:rPr>
          <w:rFonts w:hint="eastAsia" w:ascii="仿宋" w:hAnsi="仿宋" w:eastAsia="仿宋" w:cs="仿宋"/>
          <w:color w:val="auto"/>
          <w:szCs w:val="24"/>
          <w:highlight w:val="none"/>
        </w:rPr>
      </w:pPr>
    </w:p>
    <w:p w14:paraId="6E9566A3">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5D332A0">
      <w:pPr>
        <w:pStyle w:val="702"/>
        <w:rPr>
          <w:rFonts w:hint="eastAsia" w:ascii="仿宋" w:hAnsi="仿宋" w:eastAsia="仿宋" w:cs="仿宋"/>
          <w:color w:val="auto"/>
          <w:szCs w:val="24"/>
          <w:highlight w:val="none"/>
        </w:rPr>
      </w:pPr>
    </w:p>
    <w:p w14:paraId="79CE5E13">
      <w:pPr>
        <w:pStyle w:val="702"/>
        <w:rPr>
          <w:rFonts w:hint="eastAsia" w:ascii="仿宋" w:hAnsi="仿宋" w:eastAsia="仿宋" w:cs="仿宋"/>
          <w:color w:val="auto"/>
          <w:szCs w:val="24"/>
          <w:highlight w:val="none"/>
        </w:rPr>
      </w:pPr>
    </w:p>
    <w:p w14:paraId="65804EAB">
      <w:pPr>
        <w:spacing w:before="120" w:line="22" w:lineRule="atLeast"/>
        <w:rPr>
          <w:rFonts w:hint="eastAsia" w:ascii="仿宋" w:hAnsi="仿宋" w:eastAsia="仿宋" w:cs="仿宋"/>
          <w:color w:val="auto"/>
          <w:sz w:val="24"/>
          <w:highlight w:val="none"/>
        </w:rPr>
      </w:pPr>
    </w:p>
    <w:p w14:paraId="3C63C0E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436C908">
      <w:pPr>
        <w:pStyle w:val="600"/>
        <w:spacing w:before="120" w:line="22" w:lineRule="atLeast"/>
        <w:rPr>
          <w:rFonts w:hint="eastAsia" w:ascii="仿宋" w:hAnsi="仿宋" w:eastAsia="仿宋" w:cs="仿宋"/>
          <w:color w:val="auto"/>
          <w:szCs w:val="24"/>
          <w:highlight w:val="none"/>
        </w:rPr>
      </w:pPr>
    </w:p>
    <w:p w14:paraId="3B2DAE29">
      <w:pPr>
        <w:pStyle w:val="600"/>
        <w:spacing w:before="120" w:line="22" w:lineRule="atLeast"/>
        <w:rPr>
          <w:rFonts w:hint="eastAsia" w:ascii="仿宋" w:hAnsi="仿宋" w:eastAsia="仿宋" w:cs="仿宋"/>
          <w:color w:val="auto"/>
          <w:szCs w:val="24"/>
          <w:highlight w:val="none"/>
        </w:rPr>
      </w:pPr>
    </w:p>
    <w:p w14:paraId="632C51BC">
      <w:pPr>
        <w:rPr>
          <w:rFonts w:hint="eastAsia" w:ascii="仿宋" w:hAnsi="仿宋" w:eastAsia="仿宋" w:cs="仿宋"/>
          <w:color w:val="auto"/>
          <w:sz w:val="24"/>
          <w:highlight w:val="none"/>
        </w:rPr>
      </w:pPr>
    </w:p>
    <w:p w14:paraId="0A7DEFA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14EA64BF">
      <w:pPr>
        <w:spacing w:before="120" w:line="22" w:lineRule="atLeast"/>
        <w:rPr>
          <w:rFonts w:hint="eastAsia" w:ascii="仿宋" w:hAnsi="仿宋" w:eastAsia="仿宋" w:cs="仿宋"/>
          <w:color w:val="auto"/>
          <w:sz w:val="24"/>
          <w:highlight w:val="none"/>
        </w:rPr>
      </w:pPr>
    </w:p>
    <w:p w14:paraId="708AA0B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547B8067">
      <w:pPr>
        <w:spacing w:before="120" w:line="22" w:lineRule="atLeast"/>
        <w:rPr>
          <w:rFonts w:hint="eastAsia" w:ascii="仿宋" w:hAnsi="仿宋" w:eastAsia="仿宋" w:cs="仿宋"/>
          <w:color w:val="auto"/>
          <w:sz w:val="24"/>
          <w:highlight w:val="none"/>
        </w:rPr>
      </w:pPr>
    </w:p>
    <w:p w14:paraId="3123D89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5682B022">
      <w:pPr>
        <w:spacing w:before="120" w:line="22" w:lineRule="atLeast"/>
        <w:rPr>
          <w:rFonts w:hint="eastAsia" w:ascii="仿宋" w:hAnsi="仿宋" w:eastAsia="仿宋" w:cs="仿宋"/>
          <w:color w:val="auto"/>
          <w:sz w:val="24"/>
          <w:highlight w:val="none"/>
        </w:rPr>
      </w:pPr>
    </w:p>
    <w:p w14:paraId="61BC84F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9C0F5C8">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14:paraId="0870C3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1C1067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5B78D53A">
      <w:pPr>
        <w:spacing w:line="560" w:lineRule="exact"/>
        <w:ind w:firstLine="482" w:firstLineChars="200"/>
        <w:outlineLvl w:val="0"/>
        <w:rPr>
          <w:rFonts w:hint="eastAsia" w:ascii="仿宋" w:hAnsi="仿宋" w:eastAsia="仿宋" w:cs="仿宋"/>
          <w:b/>
          <w:color w:val="auto"/>
          <w:sz w:val="24"/>
          <w:highlight w:val="none"/>
        </w:rPr>
      </w:pPr>
      <w:bookmarkStart w:id="68" w:name="_Toc2232"/>
      <w:bookmarkStart w:id="69" w:name="_Toc3029"/>
      <w:bookmarkStart w:id="70" w:name="_Toc24059"/>
      <w:r>
        <w:rPr>
          <w:rFonts w:hint="eastAsia" w:ascii="仿宋" w:hAnsi="仿宋" w:eastAsia="仿宋" w:cs="仿宋"/>
          <w:b/>
          <w:color w:val="auto"/>
          <w:sz w:val="24"/>
          <w:highlight w:val="none"/>
        </w:rPr>
        <w:t>1.1 合同组成部分</w:t>
      </w:r>
      <w:bookmarkEnd w:id="68"/>
      <w:bookmarkEnd w:id="69"/>
      <w:bookmarkEnd w:id="70"/>
    </w:p>
    <w:p w14:paraId="2B5158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C2981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0B6651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490CFE0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F58B86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1EFD56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65D190F">
      <w:pPr>
        <w:spacing w:line="560" w:lineRule="exact"/>
        <w:ind w:firstLine="482" w:firstLineChars="200"/>
        <w:outlineLvl w:val="0"/>
        <w:rPr>
          <w:rFonts w:hint="eastAsia" w:ascii="仿宋" w:hAnsi="仿宋" w:eastAsia="仿宋" w:cs="仿宋"/>
          <w:b/>
          <w:color w:val="auto"/>
          <w:sz w:val="24"/>
          <w:highlight w:val="none"/>
        </w:rPr>
      </w:pPr>
      <w:bookmarkStart w:id="71" w:name="_Toc21295"/>
      <w:bookmarkStart w:id="72" w:name="_Toc27126"/>
      <w:bookmarkStart w:id="73" w:name="_Toc24300"/>
      <w:r>
        <w:rPr>
          <w:rFonts w:hint="eastAsia" w:ascii="仿宋" w:hAnsi="仿宋" w:eastAsia="仿宋" w:cs="仿宋"/>
          <w:b/>
          <w:color w:val="auto"/>
          <w:sz w:val="24"/>
          <w:highlight w:val="none"/>
        </w:rPr>
        <w:t>1.2 货物</w:t>
      </w:r>
      <w:bookmarkEnd w:id="71"/>
      <w:bookmarkEnd w:id="72"/>
      <w:bookmarkEnd w:id="73"/>
    </w:p>
    <w:p w14:paraId="464984B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7159FE1">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3577B28">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1886DAAB">
      <w:pPr>
        <w:spacing w:line="560" w:lineRule="exact"/>
        <w:ind w:firstLine="482" w:firstLineChars="200"/>
        <w:outlineLvl w:val="0"/>
        <w:rPr>
          <w:rFonts w:hint="eastAsia" w:ascii="仿宋" w:hAnsi="仿宋" w:eastAsia="仿宋" w:cs="仿宋"/>
          <w:b/>
          <w:color w:val="auto"/>
          <w:sz w:val="24"/>
          <w:highlight w:val="none"/>
        </w:rPr>
      </w:pPr>
      <w:bookmarkStart w:id="74" w:name="_Toc21631"/>
      <w:bookmarkStart w:id="75" w:name="_Toc21551"/>
      <w:bookmarkStart w:id="76" w:name="_Toc23292"/>
      <w:r>
        <w:rPr>
          <w:rFonts w:hint="eastAsia" w:ascii="仿宋" w:hAnsi="仿宋" w:eastAsia="仿宋" w:cs="仿宋"/>
          <w:b/>
          <w:color w:val="auto"/>
          <w:sz w:val="24"/>
          <w:highlight w:val="none"/>
        </w:rPr>
        <w:t>1.3 价款</w:t>
      </w:r>
      <w:bookmarkEnd w:id="74"/>
      <w:bookmarkEnd w:id="75"/>
      <w:bookmarkEnd w:id="76"/>
    </w:p>
    <w:p w14:paraId="36472C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EA05ED3">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0FDE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236CBF1">
            <w:pPr>
              <w:pStyle w:val="321"/>
              <w:keepNext w:val="0"/>
              <w:keepLines w:val="0"/>
              <w:suppressLineNumbers w:val="0"/>
              <w:spacing w:before="0" w:beforeAutospacing="0" w:after="0" w:afterAutospacing="0" w:line="56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50463F9D">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2B56C1E8">
            <w:pPr>
              <w:pStyle w:val="321"/>
              <w:keepNext w:val="0"/>
              <w:keepLines w:val="0"/>
              <w:suppressLineNumbers w:val="0"/>
              <w:spacing w:before="0" w:beforeAutospacing="0" w:after="0" w:afterAutospacing="0" w:line="56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7DF8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34EAD54">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49C3C4D">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BE065BC">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14:paraId="0A6C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7B8AFB3">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C6B7665">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D095F6A">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14:paraId="4718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B0D7A3E">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444F371">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E030F4E">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14:paraId="4D732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AD70788">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04AEB82">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D120DE4">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14:paraId="39CA0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6CDB8C5D">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5860986A">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bl>
    <w:p w14:paraId="1425D953">
      <w:pPr>
        <w:pStyle w:val="958"/>
        <w:spacing w:before="0" w:beforeAutospacing="0" w:after="0" w:afterAutospacing="0" w:line="360" w:lineRule="auto"/>
        <w:ind w:firstLine="480"/>
        <w:rPr>
          <w:rFonts w:hint="eastAsia" w:ascii="仿宋" w:hAnsi="仿宋" w:eastAsia="仿宋" w:cs="仿宋"/>
          <w:b/>
          <w:color w:val="auto"/>
          <w:highlight w:val="none"/>
        </w:rPr>
      </w:pPr>
      <w:bookmarkStart w:id="77" w:name="_Toc22618"/>
      <w:bookmarkStart w:id="78" w:name="_Toc1814"/>
      <w:bookmarkStart w:id="79" w:name="_Toc10340"/>
      <w:r>
        <w:rPr>
          <w:rFonts w:hint="eastAsia" w:ascii="仿宋" w:hAnsi="仿宋" w:eastAsia="仿宋" w:cs="仿宋"/>
          <w:b/>
          <w:color w:val="auto"/>
          <w:highlight w:val="none"/>
        </w:rPr>
        <w:t>1.4履约保证金</w:t>
      </w:r>
    </w:p>
    <w:p w14:paraId="020397ED">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19C39FD">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9F9116A">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0B9A284">
      <w:pPr>
        <w:pStyle w:val="4"/>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5D1604B">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2750C7A">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77"/>
      <w:bookmarkEnd w:id="78"/>
      <w:bookmarkEnd w:id="79"/>
      <w:r>
        <w:rPr>
          <w:rFonts w:hint="eastAsia" w:ascii="仿宋" w:hAnsi="仿宋" w:eastAsia="仿宋" w:cs="仿宋"/>
          <w:b/>
          <w:color w:val="auto"/>
          <w:sz w:val="24"/>
          <w:highlight w:val="none"/>
        </w:rPr>
        <w:t>预付款</w:t>
      </w:r>
    </w:p>
    <w:p w14:paraId="0B72D677">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B8120E4">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45AD4ED">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5A44A7A">
      <w:pPr>
        <w:pStyle w:val="958"/>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783FAFA">
      <w:pPr>
        <w:pStyle w:val="958"/>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79F1DB0">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ACA13D2">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8A68C30">
      <w:pPr>
        <w:spacing w:line="560" w:lineRule="exact"/>
        <w:ind w:firstLine="482" w:firstLineChars="200"/>
        <w:outlineLvl w:val="0"/>
        <w:rPr>
          <w:rFonts w:hint="eastAsia" w:ascii="仿宋" w:hAnsi="仿宋" w:eastAsia="仿宋" w:cs="仿宋"/>
          <w:b/>
          <w:color w:val="auto"/>
          <w:sz w:val="24"/>
          <w:highlight w:val="none"/>
        </w:rPr>
      </w:pPr>
      <w:bookmarkStart w:id="80" w:name="_Toc2846"/>
      <w:bookmarkStart w:id="81" w:name="_Toc19304"/>
      <w:bookmarkStart w:id="82" w:name="_Toc32071"/>
      <w:r>
        <w:rPr>
          <w:rFonts w:hint="eastAsia" w:ascii="仿宋" w:hAnsi="仿宋" w:eastAsia="仿宋" w:cs="仿宋"/>
          <w:b/>
          <w:color w:val="auto"/>
          <w:sz w:val="24"/>
          <w:highlight w:val="none"/>
        </w:rPr>
        <w:t>1.7货物交付期限、地点和方式</w:t>
      </w:r>
      <w:bookmarkEnd w:id="80"/>
      <w:bookmarkEnd w:id="81"/>
      <w:bookmarkEnd w:id="82"/>
    </w:p>
    <w:p w14:paraId="0A224649">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906A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AA089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FC87FC7">
      <w:pPr>
        <w:spacing w:line="560" w:lineRule="exact"/>
        <w:ind w:firstLine="482" w:firstLineChars="200"/>
        <w:outlineLvl w:val="0"/>
        <w:rPr>
          <w:rFonts w:hint="eastAsia" w:ascii="仿宋" w:hAnsi="仿宋" w:eastAsia="仿宋" w:cs="仿宋"/>
          <w:b/>
          <w:color w:val="auto"/>
          <w:sz w:val="24"/>
          <w:highlight w:val="none"/>
        </w:rPr>
      </w:pPr>
      <w:bookmarkStart w:id="83" w:name="_Toc21423"/>
      <w:bookmarkStart w:id="84" w:name="_Toc27250"/>
      <w:bookmarkStart w:id="85" w:name="_Toc19554"/>
      <w:r>
        <w:rPr>
          <w:rFonts w:hint="eastAsia" w:ascii="仿宋" w:hAnsi="仿宋" w:eastAsia="仿宋" w:cs="仿宋"/>
          <w:b/>
          <w:color w:val="auto"/>
          <w:sz w:val="24"/>
          <w:highlight w:val="none"/>
        </w:rPr>
        <w:t>1.8违约责任</w:t>
      </w:r>
      <w:bookmarkEnd w:id="83"/>
      <w:bookmarkEnd w:id="84"/>
      <w:bookmarkEnd w:id="85"/>
    </w:p>
    <w:p w14:paraId="14ED1F9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794C73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E92696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E3202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B431AF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111620BF">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11528CB6">
      <w:pPr>
        <w:spacing w:line="560" w:lineRule="exact"/>
        <w:ind w:firstLine="482" w:firstLineChars="200"/>
        <w:outlineLvl w:val="0"/>
        <w:rPr>
          <w:rFonts w:hint="eastAsia" w:ascii="仿宋" w:hAnsi="仿宋" w:eastAsia="仿宋" w:cs="仿宋"/>
          <w:b/>
          <w:color w:val="auto"/>
          <w:sz w:val="24"/>
          <w:highlight w:val="none"/>
        </w:rPr>
      </w:pPr>
      <w:bookmarkStart w:id="86" w:name="_Toc28375"/>
      <w:bookmarkStart w:id="87" w:name="_Toc15583"/>
      <w:bookmarkStart w:id="88" w:name="_Toc16021"/>
      <w:r>
        <w:rPr>
          <w:rFonts w:hint="eastAsia" w:ascii="仿宋" w:hAnsi="仿宋" w:eastAsia="仿宋" w:cs="仿宋"/>
          <w:b/>
          <w:color w:val="auto"/>
          <w:sz w:val="24"/>
          <w:highlight w:val="none"/>
        </w:rPr>
        <w:t>1.9合同争议的解决</w:t>
      </w:r>
      <w:bookmarkEnd w:id="86"/>
      <w:bookmarkEnd w:id="87"/>
      <w:bookmarkEnd w:id="88"/>
    </w:p>
    <w:p w14:paraId="50B7B6D9">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48F077B3">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34E34187">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6126356D">
      <w:pPr>
        <w:spacing w:line="560" w:lineRule="exact"/>
        <w:ind w:firstLine="482" w:firstLineChars="200"/>
        <w:outlineLvl w:val="0"/>
        <w:rPr>
          <w:rFonts w:hint="eastAsia" w:ascii="仿宋" w:hAnsi="仿宋" w:eastAsia="仿宋" w:cs="仿宋"/>
          <w:b/>
          <w:color w:val="auto"/>
          <w:sz w:val="24"/>
          <w:highlight w:val="none"/>
        </w:rPr>
      </w:pPr>
      <w:bookmarkStart w:id="89" w:name="_Toc11173"/>
      <w:bookmarkStart w:id="90" w:name="_Toc15322"/>
      <w:bookmarkStart w:id="91" w:name="_Toc7245"/>
      <w:r>
        <w:rPr>
          <w:rFonts w:hint="eastAsia" w:ascii="仿宋" w:hAnsi="仿宋" w:eastAsia="仿宋" w:cs="仿宋"/>
          <w:b/>
          <w:color w:val="auto"/>
          <w:sz w:val="24"/>
          <w:highlight w:val="none"/>
        </w:rPr>
        <w:t>2.0 合同生效</w:t>
      </w:r>
      <w:bookmarkEnd w:id="89"/>
      <w:bookmarkEnd w:id="90"/>
      <w:bookmarkEnd w:id="91"/>
    </w:p>
    <w:p w14:paraId="5BBDF977">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31FC0597">
      <w:pPr>
        <w:autoSpaceDE w:val="0"/>
        <w:autoSpaceDN w:val="0"/>
        <w:spacing w:line="560" w:lineRule="exact"/>
        <w:rPr>
          <w:rFonts w:hint="eastAsia" w:ascii="仿宋" w:hAnsi="仿宋" w:eastAsia="仿宋" w:cs="仿宋"/>
          <w:color w:val="auto"/>
          <w:sz w:val="24"/>
          <w:highlight w:val="none"/>
          <w:lang w:val="zh-CN"/>
        </w:rPr>
      </w:pPr>
    </w:p>
    <w:p w14:paraId="0A0C810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78E57FE6">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5C4F9AD">
      <w:pPr>
        <w:autoSpaceDE w:val="0"/>
        <w:autoSpaceDN w:val="0"/>
        <w:spacing w:line="560" w:lineRule="exact"/>
        <w:rPr>
          <w:rFonts w:hint="eastAsia" w:ascii="仿宋" w:hAnsi="仿宋" w:eastAsia="仿宋" w:cs="仿宋"/>
          <w:color w:val="auto"/>
          <w:sz w:val="24"/>
          <w:highlight w:val="none"/>
          <w:lang w:val="zh-CN"/>
        </w:rPr>
      </w:pPr>
    </w:p>
    <w:p w14:paraId="42D32109">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0CD78CD">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4F6A448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7078186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A560F2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16C1F5E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6746C9D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20DADA3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C1329D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11364F08">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75C7F601">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EE51F0B">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075C0FE5">
      <w:pPr>
        <w:pStyle w:val="4"/>
        <w:rPr>
          <w:rFonts w:hint="eastAsia" w:ascii="仿宋" w:hAnsi="仿宋" w:eastAsia="仿宋" w:cs="仿宋"/>
          <w:color w:val="auto"/>
          <w:sz w:val="24"/>
          <w:highlight w:val="none"/>
        </w:rPr>
      </w:pPr>
    </w:p>
    <w:p w14:paraId="516B15FB">
      <w:pPr>
        <w:rPr>
          <w:rFonts w:hint="eastAsia" w:ascii="仿宋" w:hAnsi="仿宋" w:eastAsia="仿宋" w:cs="仿宋"/>
          <w:color w:val="auto"/>
          <w:sz w:val="24"/>
          <w:highlight w:val="none"/>
        </w:rPr>
      </w:pPr>
    </w:p>
    <w:p w14:paraId="25E64390">
      <w:pPr>
        <w:pStyle w:val="4"/>
        <w:rPr>
          <w:rFonts w:hint="eastAsia" w:ascii="仿宋" w:hAnsi="仿宋" w:eastAsia="仿宋" w:cs="仿宋"/>
          <w:color w:val="auto"/>
          <w:sz w:val="24"/>
          <w:highlight w:val="none"/>
        </w:rPr>
      </w:pPr>
    </w:p>
    <w:p w14:paraId="231821D0">
      <w:pPr>
        <w:rPr>
          <w:rFonts w:hint="eastAsia" w:ascii="仿宋" w:hAnsi="仿宋" w:eastAsia="仿宋" w:cs="仿宋"/>
          <w:color w:val="auto"/>
          <w:sz w:val="24"/>
          <w:highlight w:val="none"/>
        </w:rPr>
      </w:pPr>
    </w:p>
    <w:p w14:paraId="3B8192BB">
      <w:pPr>
        <w:pStyle w:val="4"/>
        <w:rPr>
          <w:rFonts w:hint="eastAsia" w:ascii="仿宋" w:hAnsi="仿宋" w:eastAsia="仿宋" w:cs="仿宋"/>
          <w:color w:val="auto"/>
          <w:sz w:val="24"/>
          <w:highlight w:val="none"/>
        </w:rPr>
      </w:pPr>
    </w:p>
    <w:p w14:paraId="3FEB55C5">
      <w:pPr>
        <w:rPr>
          <w:rFonts w:hint="eastAsia" w:ascii="仿宋" w:hAnsi="仿宋" w:eastAsia="仿宋" w:cs="仿宋"/>
          <w:color w:val="auto"/>
          <w:sz w:val="24"/>
          <w:highlight w:val="none"/>
        </w:rPr>
      </w:pPr>
    </w:p>
    <w:p w14:paraId="0988E29C">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4DC6CFF">
      <w:pPr>
        <w:spacing w:line="560" w:lineRule="exact"/>
        <w:ind w:firstLine="482" w:firstLineChars="200"/>
        <w:outlineLvl w:val="0"/>
        <w:rPr>
          <w:rFonts w:hint="eastAsia" w:ascii="仿宋" w:hAnsi="仿宋" w:eastAsia="仿宋" w:cs="仿宋"/>
          <w:b/>
          <w:color w:val="auto"/>
          <w:sz w:val="24"/>
          <w:highlight w:val="none"/>
        </w:rPr>
      </w:pPr>
      <w:bookmarkStart w:id="92" w:name="_Ref467378404"/>
      <w:bookmarkStart w:id="93" w:name="_Ref467379205"/>
      <w:bookmarkStart w:id="94" w:name="_Ref467379214"/>
      <w:bookmarkStart w:id="95" w:name="_Toc259093669"/>
      <w:bookmarkStart w:id="96" w:name="_Ref467379195"/>
      <w:bookmarkStart w:id="97" w:name="_Ref467378499"/>
      <w:bookmarkStart w:id="98" w:name="_Toc16917"/>
      <w:bookmarkStart w:id="99" w:name="_Ref467379094"/>
      <w:bookmarkStart w:id="100" w:name="_Ref467379101"/>
      <w:bookmarkStart w:id="101" w:name="_Toc28763"/>
      <w:bookmarkStart w:id="102" w:name="_Ref467378463"/>
      <w:bookmarkStart w:id="103" w:name="_Ref467379225"/>
      <w:bookmarkStart w:id="104" w:name="_Ref467379109"/>
      <w:bookmarkStart w:id="105" w:name="_Toc279701240"/>
      <w:bookmarkStart w:id="106" w:name="_Toc19614"/>
      <w:bookmarkStart w:id="107" w:name="_Toc487900349"/>
      <w:r>
        <w:rPr>
          <w:rFonts w:hint="eastAsia" w:ascii="仿宋" w:hAnsi="仿宋" w:eastAsia="仿宋" w:cs="仿宋"/>
          <w:b/>
          <w:color w:val="auto"/>
          <w:sz w:val="24"/>
          <w:highlight w:val="none"/>
        </w:rPr>
        <w:t>2.1 定义</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044F490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7C0AD8F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F1CD2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4A37C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25B62080">
      <w:pPr>
        <w:spacing w:line="560" w:lineRule="exact"/>
        <w:ind w:firstLine="480" w:firstLineChars="200"/>
        <w:rPr>
          <w:rFonts w:hint="eastAsia" w:ascii="仿宋" w:hAnsi="仿宋" w:eastAsia="仿宋" w:cs="仿宋"/>
          <w:color w:val="auto"/>
          <w:sz w:val="24"/>
          <w:highlight w:val="none"/>
        </w:rPr>
      </w:pPr>
      <w:bookmarkStart w:id="108" w:name="_Ref467378840"/>
      <w:r>
        <w:rPr>
          <w:rFonts w:hint="eastAsia" w:ascii="仿宋" w:hAnsi="仿宋" w:eastAsia="仿宋" w:cs="仿宋"/>
          <w:color w:val="auto"/>
          <w:sz w:val="24"/>
          <w:highlight w:val="none"/>
        </w:rPr>
        <w:t>2.1.4 “甲方”系指与中标或成交供应商签署合同的采购人</w:t>
      </w:r>
      <w:bookmarkEnd w:id="108"/>
      <w:r>
        <w:rPr>
          <w:rFonts w:hint="eastAsia" w:ascii="仿宋" w:hAnsi="仿宋" w:eastAsia="仿宋" w:cs="仿宋"/>
          <w:color w:val="auto"/>
          <w:sz w:val="24"/>
          <w:highlight w:val="none"/>
        </w:rPr>
        <w:t>；采购人委托采购代理机构代表其与乙方签订合同的，采购人的授权委托书作为合同附件。</w:t>
      </w:r>
    </w:p>
    <w:p w14:paraId="010E3B85">
      <w:pPr>
        <w:spacing w:line="560" w:lineRule="exact"/>
        <w:ind w:firstLine="480" w:firstLineChars="200"/>
        <w:rPr>
          <w:rFonts w:hint="eastAsia" w:ascii="仿宋" w:hAnsi="仿宋" w:eastAsia="仿宋" w:cs="仿宋"/>
          <w:color w:val="auto"/>
          <w:sz w:val="24"/>
          <w:highlight w:val="none"/>
        </w:rPr>
      </w:pPr>
      <w:bookmarkStart w:id="109" w:name="_Ref467379400"/>
      <w:r>
        <w:rPr>
          <w:rFonts w:hint="eastAsia" w:ascii="仿宋" w:hAnsi="仿宋" w:eastAsia="仿宋" w:cs="仿宋"/>
          <w:color w:val="auto"/>
          <w:sz w:val="24"/>
          <w:highlight w:val="none"/>
        </w:rPr>
        <w:t>2.1.5 “乙方”系指根据合同约定交付货物的中标或成交供应商</w:t>
      </w:r>
      <w:bookmarkEnd w:id="109"/>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85FEF44">
      <w:pPr>
        <w:spacing w:line="560" w:lineRule="exact"/>
        <w:ind w:firstLine="480" w:firstLineChars="200"/>
        <w:rPr>
          <w:rFonts w:hint="eastAsia" w:ascii="仿宋" w:hAnsi="仿宋" w:eastAsia="仿宋" w:cs="仿宋"/>
          <w:color w:val="auto"/>
          <w:sz w:val="24"/>
          <w:highlight w:val="none"/>
        </w:rPr>
      </w:pPr>
      <w:bookmarkStart w:id="110" w:name="_Ref467379436"/>
      <w:r>
        <w:rPr>
          <w:rFonts w:hint="eastAsia" w:ascii="仿宋" w:hAnsi="仿宋" w:eastAsia="仿宋" w:cs="仿宋"/>
          <w:color w:val="auto"/>
          <w:sz w:val="24"/>
          <w:highlight w:val="none"/>
        </w:rPr>
        <w:t>2.1.6 “现场”系指合同约定货物将要运至或者安装的地点。</w:t>
      </w:r>
      <w:bookmarkEnd w:id="110"/>
    </w:p>
    <w:p w14:paraId="662185D9">
      <w:pPr>
        <w:spacing w:line="560" w:lineRule="exact"/>
        <w:ind w:firstLine="482" w:firstLineChars="200"/>
        <w:outlineLvl w:val="0"/>
        <w:rPr>
          <w:rFonts w:hint="eastAsia" w:ascii="仿宋" w:hAnsi="仿宋" w:eastAsia="仿宋" w:cs="仿宋"/>
          <w:b/>
          <w:color w:val="auto"/>
          <w:sz w:val="24"/>
          <w:highlight w:val="none"/>
        </w:rPr>
      </w:pPr>
      <w:bookmarkStart w:id="111" w:name="_Toc27635"/>
      <w:bookmarkStart w:id="112" w:name="_Toc259093670"/>
      <w:bookmarkStart w:id="113" w:name="_Toc32504"/>
      <w:bookmarkStart w:id="114" w:name="_Toc487900350"/>
      <w:bookmarkStart w:id="115" w:name="_Toc279701241"/>
      <w:bookmarkStart w:id="116" w:name="_Toc13336"/>
      <w:r>
        <w:rPr>
          <w:rFonts w:hint="eastAsia" w:ascii="仿宋" w:hAnsi="仿宋" w:eastAsia="仿宋" w:cs="仿宋"/>
          <w:b/>
          <w:color w:val="auto"/>
          <w:sz w:val="24"/>
          <w:highlight w:val="none"/>
        </w:rPr>
        <w:t>2.2 技术规范</w:t>
      </w:r>
      <w:bookmarkEnd w:id="111"/>
      <w:bookmarkEnd w:id="112"/>
      <w:bookmarkEnd w:id="113"/>
      <w:bookmarkEnd w:id="114"/>
      <w:bookmarkEnd w:id="115"/>
      <w:bookmarkEnd w:id="116"/>
    </w:p>
    <w:p w14:paraId="423EF20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B1A5AC1">
      <w:pPr>
        <w:spacing w:line="560" w:lineRule="exact"/>
        <w:ind w:firstLine="482" w:firstLineChars="200"/>
        <w:outlineLvl w:val="0"/>
        <w:rPr>
          <w:rFonts w:hint="eastAsia" w:ascii="仿宋" w:hAnsi="仿宋" w:eastAsia="仿宋" w:cs="仿宋"/>
          <w:b/>
          <w:color w:val="auto"/>
          <w:sz w:val="24"/>
          <w:highlight w:val="none"/>
        </w:rPr>
      </w:pPr>
      <w:bookmarkStart w:id="117" w:name="_Toc279701242"/>
      <w:bookmarkStart w:id="118" w:name="_Toc487900351"/>
      <w:bookmarkStart w:id="119" w:name="_Toc31634"/>
      <w:bookmarkStart w:id="120" w:name="_Toc9829"/>
      <w:bookmarkStart w:id="121" w:name="_Toc27853"/>
      <w:bookmarkStart w:id="122" w:name="_Toc259093671"/>
      <w:r>
        <w:rPr>
          <w:rFonts w:hint="eastAsia" w:ascii="仿宋" w:hAnsi="仿宋" w:eastAsia="仿宋" w:cs="仿宋"/>
          <w:b/>
          <w:color w:val="auto"/>
          <w:sz w:val="24"/>
          <w:highlight w:val="none"/>
        </w:rPr>
        <w:t>2.3 知识产权</w:t>
      </w:r>
      <w:bookmarkEnd w:id="117"/>
      <w:bookmarkEnd w:id="118"/>
      <w:bookmarkEnd w:id="119"/>
      <w:bookmarkEnd w:id="120"/>
      <w:bookmarkEnd w:id="121"/>
      <w:bookmarkEnd w:id="122"/>
    </w:p>
    <w:p w14:paraId="3CA606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A930F9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2A3DA26">
      <w:pPr>
        <w:spacing w:line="560" w:lineRule="exact"/>
        <w:ind w:firstLine="482" w:firstLineChars="200"/>
        <w:outlineLvl w:val="0"/>
        <w:rPr>
          <w:rFonts w:hint="eastAsia" w:ascii="仿宋" w:hAnsi="仿宋" w:eastAsia="仿宋" w:cs="仿宋"/>
          <w:b/>
          <w:color w:val="auto"/>
          <w:sz w:val="24"/>
          <w:highlight w:val="none"/>
        </w:rPr>
      </w:pPr>
      <w:bookmarkStart w:id="123" w:name="_Toc29149"/>
      <w:bookmarkStart w:id="124" w:name="_Toc11932"/>
      <w:bookmarkStart w:id="125" w:name="_Toc4194"/>
      <w:r>
        <w:rPr>
          <w:rFonts w:hint="eastAsia" w:ascii="仿宋" w:hAnsi="仿宋" w:eastAsia="仿宋" w:cs="仿宋"/>
          <w:b/>
          <w:color w:val="auto"/>
          <w:sz w:val="24"/>
          <w:highlight w:val="none"/>
        </w:rPr>
        <w:t>2.4 包装和装运</w:t>
      </w:r>
      <w:bookmarkEnd w:id="123"/>
      <w:bookmarkEnd w:id="124"/>
      <w:bookmarkEnd w:id="125"/>
    </w:p>
    <w:p w14:paraId="17C129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3DE738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18F5D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199C5C2">
      <w:pPr>
        <w:spacing w:line="560" w:lineRule="exact"/>
        <w:ind w:firstLine="482" w:firstLineChars="200"/>
        <w:outlineLvl w:val="0"/>
        <w:rPr>
          <w:rFonts w:hint="eastAsia" w:ascii="仿宋" w:hAnsi="仿宋" w:eastAsia="仿宋" w:cs="仿宋"/>
          <w:b/>
          <w:color w:val="auto"/>
          <w:sz w:val="24"/>
          <w:highlight w:val="none"/>
        </w:rPr>
      </w:pPr>
      <w:bookmarkStart w:id="126" w:name="_Toc279701245"/>
      <w:bookmarkStart w:id="127" w:name="_Ref467378591"/>
      <w:bookmarkStart w:id="128" w:name="_Toc487900354"/>
      <w:bookmarkStart w:id="129" w:name="_Ref467379527"/>
      <w:bookmarkStart w:id="130" w:name="_Toc259093674"/>
      <w:bookmarkStart w:id="131" w:name="_Ref467379542"/>
      <w:bookmarkStart w:id="132" w:name="_Ref467378541"/>
      <w:bookmarkStart w:id="133" w:name="_Ref467379536"/>
      <w:bookmarkStart w:id="134" w:name="_Toc19074"/>
      <w:bookmarkStart w:id="135" w:name="_Toc26182"/>
      <w:bookmarkStart w:id="136" w:name="_Toc30272"/>
      <w:r>
        <w:rPr>
          <w:rFonts w:hint="eastAsia" w:ascii="仿宋" w:hAnsi="仿宋" w:eastAsia="仿宋" w:cs="仿宋"/>
          <w:b/>
          <w:color w:val="auto"/>
          <w:sz w:val="24"/>
          <w:highlight w:val="none"/>
        </w:rPr>
        <w:t>2.</w:t>
      </w:r>
      <w:bookmarkEnd w:id="126"/>
      <w:bookmarkEnd w:id="127"/>
      <w:bookmarkEnd w:id="128"/>
      <w:bookmarkEnd w:id="129"/>
      <w:bookmarkEnd w:id="130"/>
      <w:bookmarkEnd w:id="131"/>
      <w:bookmarkEnd w:id="132"/>
      <w:bookmarkEnd w:id="133"/>
      <w:r>
        <w:rPr>
          <w:rFonts w:hint="eastAsia" w:ascii="仿宋" w:hAnsi="仿宋" w:eastAsia="仿宋" w:cs="仿宋"/>
          <w:b/>
          <w:color w:val="auto"/>
          <w:sz w:val="24"/>
          <w:highlight w:val="none"/>
        </w:rPr>
        <w:t>5 履约检查和问题反馈</w:t>
      </w:r>
      <w:bookmarkEnd w:id="134"/>
      <w:bookmarkEnd w:id="135"/>
      <w:bookmarkEnd w:id="136"/>
    </w:p>
    <w:p w14:paraId="2780DEE2">
      <w:pPr>
        <w:spacing w:line="560" w:lineRule="exact"/>
        <w:ind w:firstLine="480" w:firstLineChars="200"/>
        <w:rPr>
          <w:rFonts w:hint="eastAsia" w:ascii="仿宋" w:hAnsi="仿宋" w:eastAsia="仿宋" w:cs="仿宋"/>
          <w:color w:val="auto"/>
          <w:sz w:val="24"/>
          <w:highlight w:val="none"/>
        </w:rPr>
      </w:pPr>
      <w:bookmarkStart w:id="137" w:name="_Ref467379657"/>
      <w:r>
        <w:rPr>
          <w:rFonts w:hint="eastAsia" w:ascii="仿宋" w:hAnsi="仿宋" w:eastAsia="仿宋" w:cs="仿宋"/>
          <w:color w:val="auto"/>
          <w:sz w:val="24"/>
          <w:highlight w:val="none"/>
        </w:rPr>
        <w:t>2.5.1</w:t>
      </w:r>
      <w:bookmarkEnd w:id="137"/>
      <w:bookmarkStart w:id="138" w:name="_Toc186431854"/>
      <w:bookmarkStart w:id="139" w:name="_Ref467379793"/>
      <w:bookmarkStart w:id="140" w:name="_Toc259093676"/>
      <w:bookmarkStart w:id="141" w:name="_Toc279701247"/>
      <w:bookmarkStart w:id="142" w:name="_Toc487900357"/>
      <w:bookmarkStart w:id="143"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56D329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38"/>
      <w:bookmarkStart w:id="144" w:name="_Toc186431855"/>
      <w:r>
        <w:rPr>
          <w:rFonts w:hint="eastAsia" w:ascii="仿宋" w:hAnsi="仿宋" w:eastAsia="仿宋" w:cs="仿宋"/>
          <w:color w:val="auto"/>
          <w:sz w:val="24"/>
          <w:highlight w:val="none"/>
        </w:rPr>
        <w:t>。</w:t>
      </w:r>
    </w:p>
    <w:bookmarkEnd w:id="139"/>
    <w:bookmarkEnd w:id="140"/>
    <w:bookmarkEnd w:id="141"/>
    <w:bookmarkEnd w:id="142"/>
    <w:bookmarkEnd w:id="143"/>
    <w:bookmarkEnd w:id="144"/>
    <w:p w14:paraId="13E3209C">
      <w:pPr>
        <w:spacing w:line="560" w:lineRule="exact"/>
        <w:ind w:firstLine="482" w:firstLineChars="200"/>
        <w:outlineLvl w:val="0"/>
        <w:rPr>
          <w:rFonts w:hint="eastAsia" w:ascii="仿宋" w:hAnsi="仿宋" w:eastAsia="仿宋" w:cs="仿宋"/>
          <w:b/>
          <w:color w:val="auto"/>
          <w:sz w:val="24"/>
          <w:highlight w:val="none"/>
        </w:rPr>
      </w:pPr>
      <w:bookmarkStart w:id="145" w:name="_Ref467379852"/>
      <w:bookmarkStart w:id="146" w:name="_Ref467379863"/>
      <w:bookmarkStart w:id="147" w:name="_Toc259093677"/>
      <w:bookmarkStart w:id="148" w:name="_Toc487900358"/>
      <w:bookmarkStart w:id="149" w:name="_Ref467379923"/>
      <w:bookmarkStart w:id="150" w:name="_Toc279701248"/>
      <w:bookmarkStart w:id="151" w:name="_Toc16110"/>
      <w:bookmarkStart w:id="152" w:name="_Toc3225"/>
      <w:bookmarkStart w:id="153" w:name="_Toc774"/>
      <w:r>
        <w:rPr>
          <w:rFonts w:hint="eastAsia" w:ascii="仿宋" w:hAnsi="仿宋" w:eastAsia="仿宋" w:cs="仿宋"/>
          <w:b/>
          <w:color w:val="auto"/>
          <w:sz w:val="24"/>
          <w:highlight w:val="none"/>
        </w:rPr>
        <w:t>2.6 技术资料</w:t>
      </w:r>
      <w:bookmarkEnd w:id="145"/>
      <w:bookmarkEnd w:id="146"/>
      <w:bookmarkEnd w:id="147"/>
      <w:bookmarkEnd w:id="148"/>
      <w:bookmarkEnd w:id="149"/>
      <w:bookmarkEnd w:id="150"/>
      <w:r>
        <w:rPr>
          <w:rFonts w:hint="eastAsia" w:ascii="仿宋" w:hAnsi="仿宋" w:eastAsia="仿宋" w:cs="仿宋"/>
          <w:b/>
          <w:color w:val="auto"/>
          <w:sz w:val="24"/>
          <w:highlight w:val="none"/>
        </w:rPr>
        <w:t>和保密义务</w:t>
      </w:r>
      <w:bookmarkEnd w:id="151"/>
      <w:bookmarkEnd w:id="152"/>
      <w:bookmarkEnd w:id="153"/>
    </w:p>
    <w:p w14:paraId="62ACCD7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11E4D7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4F007CF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9B38A0B">
      <w:pPr>
        <w:spacing w:line="560" w:lineRule="exact"/>
        <w:ind w:firstLine="482" w:firstLineChars="200"/>
        <w:outlineLvl w:val="0"/>
        <w:rPr>
          <w:rFonts w:hint="eastAsia" w:ascii="仿宋" w:hAnsi="仿宋" w:eastAsia="仿宋" w:cs="仿宋"/>
          <w:b/>
          <w:color w:val="auto"/>
          <w:sz w:val="24"/>
          <w:highlight w:val="none"/>
        </w:rPr>
      </w:pPr>
      <w:bookmarkStart w:id="154" w:name="_Toc7860"/>
      <w:r>
        <w:rPr>
          <w:rFonts w:hint="eastAsia" w:ascii="仿宋" w:hAnsi="仿宋" w:eastAsia="仿宋" w:cs="仿宋"/>
          <w:b/>
          <w:color w:val="auto"/>
          <w:sz w:val="24"/>
          <w:highlight w:val="none"/>
        </w:rPr>
        <w:t>2.7 质量保证</w:t>
      </w:r>
      <w:bookmarkEnd w:id="154"/>
    </w:p>
    <w:p w14:paraId="1A9D2D0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154416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4DDC1E58">
      <w:pPr>
        <w:spacing w:line="560" w:lineRule="exact"/>
        <w:ind w:firstLine="482" w:firstLineChars="200"/>
        <w:outlineLvl w:val="0"/>
        <w:rPr>
          <w:rFonts w:hint="eastAsia" w:ascii="仿宋" w:hAnsi="仿宋" w:eastAsia="仿宋" w:cs="仿宋"/>
          <w:b/>
          <w:color w:val="auto"/>
          <w:sz w:val="24"/>
          <w:highlight w:val="none"/>
        </w:rPr>
      </w:pPr>
      <w:bookmarkStart w:id="155" w:name="_Toc17244"/>
      <w:bookmarkStart w:id="156" w:name="_Toc279701252"/>
      <w:bookmarkStart w:id="157" w:name="_Toc259093681"/>
      <w:bookmarkStart w:id="158" w:name="_Toc487900362"/>
      <w:r>
        <w:rPr>
          <w:rFonts w:hint="eastAsia" w:ascii="仿宋" w:hAnsi="仿宋" w:eastAsia="仿宋" w:cs="仿宋"/>
          <w:b/>
          <w:color w:val="auto"/>
          <w:sz w:val="24"/>
          <w:highlight w:val="none"/>
        </w:rPr>
        <w:t>2.8 货物的风险负担</w:t>
      </w:r>
      <w:bookmarkEnd w:id="155"/>
    </w:p>
    <w:p w14:paraId="46210769">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C1B0C2D">
      <w:pPr>
        <w:spacing w:line="560" w:lineRule="exact"/>
        <w:ind w:firstLine="482" w:firstLineChars="200"/>
        <w:outlineLvl w:val="0"/>
        <w:rPr>
          <w:rFonts w:hint="eastAsia" w:ascii="仿宋" w:hAnsi="仿宋" w:eastAsia="仿宋" w:cs="仿宋"/>
          <w:b/>
          <w:color w:val="auto"/>
          <w:sz w:val="24"/>
          <w:highlight w:val="none"/>
        </w:rPr>
      </w:pPr>
      <w:bookmarkStart w:id="159" w:name="_Toc14055"/>
      <w:r>
        <w:rPr>
          <w:rFonts w:hint="eastAsia" w:ascii="仿宋" w:hAnsi="仿宋" w:eastAsia="仿宋" w:cs="仿宋"/>
          <w:b/>
          <w:color w:val="auto"/>
          <w:sz w:val="24"/>
          <w:highlight w:val="none"/>
        </w:rPr>
        <w:t>2.9 延迟交货</w:t>
      </w:r>
      <w:bookmarkEnd w:id="156"/>
      <w:bookmarkEnd w:id="157"/>
      <w:bookmarkEnd w:id="158"/>
      <w:bookmarkEnd w:id="159"/>
    </w:p>
    <w:p w14:paraId="26A772B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1E96193D">
      <w:pPr>
        <w:spacing w:line="560" w:lineRule="exact"/>
        <w:ind w:firstLine="482" w:firstLineChars="200"/>
        <w:outlineLvl w:val="0"/>
        <w:rPr>
          <w:rFonts w:hint="eastAsia" w:ascii="仿宋" w:hAnsi="仿宋" w:eastAsia="仿宋" w:cs="仿宋"/>
          <w:b/>
          <w:color w:val="auto"/>
          <w:sz w:val="24"/>
          <w:highlight w:val="none"/>
        </w:rPr>
      </w:pPr>
      <w:bookmarkStart w:id="160" w:name="_Toc7502"/>
      <w:bookmarkStart w:id="161" w:name="_Toc487900364"/>
      <w:bookmarkStart w:id="162" w:name="_Toc279701254"/>
      <w:bookmarkStart w:id="163" w:name="_Ref467378121"/>
      <w:bookmarkStart w:id="164" w:name="_Toc259093683"/>
      <w:r>
        <w:rPr>
          <w:rFonts w:hint="eastAsia" w:ascii="仿宋" w:hAnsi="仿宋" w:eastAsia="仿宋" w:cs="仿宋"/>
          <w:b/>
          <w:color w:val="auto"/>
          <w:sz w:val="24"/>
          <w:highlight w:val="none"/>
        </w:rPr>
        <w:t>2.10 合同变更</w:t>
      </w:r>
      <w:bookmarkEnd w:id="160"/>
    </w:p>
    <w:p w14:paraId="1271681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65" w:name="_Toc279701259"/>
      <w:bookmarkStart w:id="166" w:name="_Toc259093688"/>
      <w:bookmarkStart w:id="167" w:name="_Toc487900369"/>
    </w:p>
    <w:p w14:paraId="2A9D401A">
      <w:pPr>
        <w:spacing w:line="560" w:lineRule="exact"/>
        <w:ind w:firstLine="482" w:firstLineChars="200"/>
        <w:outlineLvl w:val="0"/>
        <w:rPr>
          <w:rFonts w:hint="eastAsia" w:ascii="仿宋" w:hAnsi="仿宋" w:eastAsia="仿宋" w:cs="仿宋"/>
          <w:b/>
          <w:color w:val="auto"/>
          <w:sz w:val="24"/>
          <w:highlight w:val="none"/>
        </w:rPr>
      </w:pPr>
      <w:bookmarkStart w:id="168" w:name="_Toc22955"/>
      <w:bookmarkStart w:id="169" w:name="_Toc10366"/>
      <w:bookmarkStart w:id="170" w:name="_Toc15237"/>
      <w:r>
        <w:rPr>
          <w:rFonts w:hint="eastAsia" w:ascii="仿宋" w:hAnsi="仿宋" w:eastAsia="仿宋" w:cs="仿宋"/>
          <w:b/>
          <w:color w:val="auto"/>
          <w:sz w:val="24"/>
          <w:highlight w:val="none"/>
        </w:rPr>
        <w:t>2.11 合同转让</w:t>
      </w:r>
      <w:bookmarkEnd w:id="165"/>
      <w:bookmarkEnd w:id="166"/>
      <w:bookmarkEnd w:id="167"/>
      <w:r>
        <w:rPr>
          <w:rFonts w:hint="eastAsia" w:ascii="仿宋" w:hAnsi="仿宋" w:eastAsia="仿宋" w:cs="仿宋"/>
          <w:b/>
          <w:color w:val="auto"/>
          <w:sz w:val="24"/>
          <w:highlight w:val="none"/>
        </w:rPr>
        <w:t>和分包</w:t>
      </w:r>
      <w:bookmarkEnd w:id="168"/>
      <w:bookmarkEnd w:id="169"/>
      <w:bookmarkEnd w:id="170"/>
    </w:p>
    <w:p w14:paraId="7A33A2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3F7D50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47F2C174">
      <w:pPr>
        <w:spacing w:line="560" w:lineRule="exact"/>
        <w:ind w:firstLine="482" w:firstLineChars="200"/>
        <w:outlineLvl w:val="0"/>
        <w:rPr>
          <w:rFonts w:hint="eastAsia" w:ascii="仿宋" w:hAnsi="仿宋" w:eastAsia="仿宋" w:cs="仿宋"/>
          <w:b/>
          <w:color w:val="auto"/>
          <w:sz w:val="24"/>
          <w:highlight w:val="none"/>
        </w:rPr>
      </w:pPr>
      <w:bookmarkStart w:id="171" w:name="_Toc14066"/>
      <w:bookmarkStart w:id="172" w:name="_Toc16508"/>
      <w:bookmarkStart w:id="173" w:name="_Toc13566"/>
      <w:r>
        <w:rPr>
          <w:rFonts w:hint="eastAsia" w:ascii="仿宋" w:hAnsi="仿宋" w:eastAsia="仿宋" w:cs="仿宋"/>
          <w:b/>
          <w:color w:val="auto"/>
          <w:sz w:val="24"/>
          <w:highlight w:val="none"/>
        </w:rPr>
        <w:t>2.12 不可抗力</w:t>
      </w:r>
      <w:bookmarkEnd w:id="171"/>
      <w:bookmarkEnd w:id="172"/>
      <w:bookmarkEnd w:id="173"/>
    </w:p>
    <w:p w14:paraId="22B6DFC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5986691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4D473AD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767AB8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6C2D55D0">
      <w:pPr>
        <w:spacing w:line="560" w:lineRule="exact"/>
        <w:ind w:firstLine="482" w:firstLineChars="200"/>
        <w:outlineLvl w:val="0"/>
        <w:rPr>
          <w:rFonts w:hint="eastAsia" w:ascii="仿宋" w:hAnsi="仿宋" w:eastAsia="仿宋" w:cs="仿宋"/>
          <w:b/>
          <w:color w:val="auto"/>
          <w:sz w:val="24"/>
          <w:highlight w:val="none"/>
        </w:rPr>
      </w:pPr>
      <w:bookmarkStart w:id="174" w:name="_Toc259093684"/>
      <w:bookmarkStart w:id="175" w:name="_Toc689"/>
      <w:bookmarkStart w:id="176" w:name="_Toc6969"/>
      <w:bookmarkStart w:id="177" w:name="_Toc279701255"/>
      <w:bookmarkStart w:id="178" w:name="_Toc30676"/>
      <w:bookmarkStart w:id="179" w:name="_Toc487900365"/>
      <w:r>
        <w:rPr>
          <w:rFonts w:hint="eastAsia" w:ascii="仿宋" w:hAnsi="仿宋" w:eastAsia="仿宋" w:cs="仿宋"/>
          <w:b/>
          <w:color w:val="auto"/>
          <w:sz w:val="24"/>
          <w:highlight w:val="none"/>
        </w:rPr>
        <w:t>2.13 税费</w:t>
      </w:r>
      <w:bookmarkEnd w:id="174"/>
      <w:bookmarkEnd w:id="175"/>
      <w:bookmarkEnd w:id="176"/>
      <w:bookmarkEnd w:id="177"/>
      <w:bookmarkEnd w:id="178"/>
      <w:bookmarkEnd w:id="179"/>
    </w:p>
    <w:p w14:paraId="0BA2E95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685FA1F7">
      <w:pPr>
        <w:spacing w:line="560" w:lineRule="exact"/>
        <w:ind w:firstLine="482" w:firstLineChars="200"/>
        <w:outlineLvl w:val="0"/>
        <w:rPr>
          <w:rFonts w:hint="eastAsia" w:ascii="仿宋" w:hAnsi="仿宋" w:eastAsia="仿宋" w:cs="仿宋"/>
          <w:b/>
          <w:color w:val="auto"/>
          <w:sz w:val="24"/>
          <w:highlight w:val="none"/>
        </w:rPr>
      </w:pPr>
      <w:bookmarkStart w:id="180" w:name="_Toc8298"/>
      <w:bookmarkStart w:id="181" w:name="_Toc487900368"/>
      <w:bookmarkStart w:id="182" w:name="_Toc279701258"/>
      <w:bookmarkStart w:id="183" w:name="_Toc7102"/>
      <w:bookmarkStart w:id="184" w:name="_Toc16959"/>
      <w:bookmarkStart w:id="185" w:name="_Toc259093687"/>
      <w:r>
        <w:rPr>
          <w:rFonts w:hint="eastAsia" w:ascii="仿宋" w:hAnsi="仿宋" w:eastAsia="仿宋" w:cs="仿宋"/>
          <w:b/>
          <w:color w:val="auto"/>
          <w:sz w:val="24"/>
          <w:highlight w:val="none"/>
        </w:rPr>
        <w:t>2.14乙方破产</w:t>
      </w:r>
      <w:bookmarkEnd w:id="180"/>
      <w:bookmarkEnd w:id="181"/>
      <w:bookmarkEnd w:id="182"/>
      <w:bookmarkEnd w:id="183"/>
      <w:bookmarkEnd w:id="184"/>
      <w:bookmarkEnd w:id="185"/>
    </w:p>
    <w:p w14:paraId="1C034B7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F0BFB8A">
      <w:pPr>
        <w:spacing w:line="560" w:lineRule="exact"/>
        <w:ind w:firstLine="482" w:firstLineChars="200"/>
        <w:outlineLvl w:val="0"/>
        <w:rPr>
          <w:rFonts w:hint="eastAsia" w:ascii="仿宋" w:hAnsi="仿宋" w:eastAsia="仿宋" w:cs="仿宋"/>
          <w:b/>
          <w:color w:val="auto"/>
          <w:sz w:val="24"/>
          <w:highlight w:val="none"/>
        </w:rPr>
      </w:pPr>
      <w:bookmarkStart w:id="186" w:name="_Toc15387"/>
      <w:bookmarkStart w:id="187" w:name="_Toc29333"/>
      <w:bookmarkStart w:id="188" w:name="_Toc6134"/>
      <w:r>
        <w:rPr>
          <w:rFonts w:hint="eastAsia" w:ascii="仿宋" w:hAnsi="仿宋" w:eastAsia="仿宋" w:cs="仿宋"/>
          <w:b/>
          <w:color w:val="auto"/>
          <w:sz w:val="24"/>
          <w:highlight w:val="none"/>
        </w:rPr>
        <w:t>2.15 合同中止、终止</w:t>
      </w:r>
      <w:bookmarkEnd w:id="186"/>
      <w:bookmarkEnd w:id="187"/>
      <w:bookmarkEnd w:id="188"/>
    </w:p>
    <w:p w14:paraId="37AD7DC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6DDB794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5C039731">
      <w:pPr>
        <w:spacing w:line="560" w:lineRule="exact"/>
        <w:ind w:firstLine="482" w:firstLineChars="200"/>
        <w:outlineLvl w:val="0"/>
        <w:rPr>
          <w:rFonts w:hint="eastAsia" w:ascii="仿宋" w:hAnsi="仿宋" w:eastAsia="仿宋" w:cs="仿宋"/>
          <w:b/>
          <w:color w:val="auto"/>
          <w:sz w:val="24"/>
          <w:highlight w:val="none"/>
        </w:rPr>
      </w:pPr>
      <w:bookmarkStart w:id="189" w:name="_Toc6596"/>
      <w:bookmarkStart w:id="190" w:name="_Toc1125"/>
      <w:bookmarkStart w:id="191" w:name="_Toc14563"/>
      <w:r>
        <w:rPr>
          <w:rFonts w:hint="eastAsia" w:ascii="仿宋" w:hAnsi="仿宋" w:eastAsia="仿宋" w:cs="仿宋"/>
          <w:b/>
          <w:color w:val="auto"/>
          <w:sz w:val="24"/>
          <w:highlight w:val="none"/>
        </w:rPr>
        <w:t>2.16检验和验收</w:t>
      </w:r>
      <w:bookmarkEnd w:id="189"/>
      <w:bookmarkEnd w:id="190"/>
      <w:bookmarkEnd w:id="191"/>
    </w:p>
    <w:p w14:paraId="156D806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67C83D02">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D948EE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61"/>
    <w:bookmarkEnd w:id="162"/>
    <w:bookmarkEnd w:id="163"/>
    <w:bookmarkEnd w:id="164"/>
    <w:p w14:paraId="44092864">
      <w:pPr>
        <w:spacing w:line="560" w:lineRule="exact"/>
        <w:ind w:firstLine="482" w:firstLineChars="200"/>
        <w:outlineLvl w:val="0"/>
        <w:rPr>
          <w:rFonts w:hint="eastAsia" w:ascii="仿宋" w:hAnsi="仿宋" w:eastAsia="仿宋" w:cs="仿宋"/>
          <w:b/>
          <w:color w:val="auto"/>
          <w:sz w:val="24"/>
          <w:highlight w:val="none"/>
        </w:rPr>
      </w:pPr>
      <w:bookmarkStart w:id="192" w:name="_Toc259093690"/>
      <w:bookmarkStart w:id="193" w:name="_Toc279701261"/>
      <w:bookmarkStart w:id="194" w:name="_Toc487900371"/>
      <w:bookmarkStart w:id="195" w:name="_Toc19604"/>
      <w:bookmarkStart w:id="196" w:name="_Toc11284"/>
      <w:bookmarkStart w:id="197" w:name="_Toc25182"/>
      <w:r>
        <w:rPr>
          <w:rFonts w:hint="eastAsia" w:ascii="仿宋" w:hAnsi="仿宋" w:eastAsia="仿宋" w:cs="仿宋"/>
          <w:b/>
          <w:color w:val="auto"/>
          <w:sz w:val="24"/>
          <w:highlight w:val="none"/>
        </w:rPr>
        <w:t>2.17 通知</w:t>
      </w:r>
      <w:bookmarkEnd w:id="192"/>
      <w:bookmarkEnd w:id="193"/>
      <w:bookmarkEnd w:id="194"/>
      <w:r>
        <w:rPr>
          <w:rFonts w:hint="eastAsia" w:ascii="仿宋" w:hAnsi="仿宋" w:eastAsia="仿宋" w:cs="仿宋"/>
          <w:b/>
          <w:color w:val="auto"/>
          <w:sz w:val="24"/>
          <w:highlight w:val="none"/>
        </w:rPr>
        <w:t>和送达</w:t>
      </w:r>
      <w:bookmarkEnd w:id="195"/>
      <w:bookmarkEnd w:id="196"/>
      <w:bookmarkEnd w:id="197"/>
    </w:p>
    <w:p w14:paraId="7FBA7CC4">
      <w:pPr>
        <w:spacing w:line="560" w:lineRule="exact"/>
        <w:ind w:firstLine="480" w:firstLineChars="200"/>
        <w:rPr>
          <w:rFonts w:hint="eastAsia" w:ascii="仿宋" w:hAnsi="仿宋" w:eastAsia="仿宋" w:cs="仿宋"/>
          <w:color w:val="auto"/>
          <w:sz w:val="24"/>
          <w:highlight w:val="none"/>
        </w:rPr>
      </w:pPr>
      <w:bookmarkStart w:id="198" w:name="_Toc6698"/>
      <w:bookmarkStart w:id="199" w:name="_Toc3135"/>
      <w:bookmarkStart w:id="200" w:name="_Toc259093691"/>
      <w:bookmarkStart w:id="201" w:name="_Toc487900372"/>
      <w:bookmarkStart w:id="202"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98"/>
      <w:bookmarkEnd w:id="199"/>
    </w:p>
    <w:p w14:paraId="6C7107FE">
      <w:pPr>
        <w:spacing w:line="560" w:lineRule="exact"/>
        <w:ind w:firstLine="480" w:firstLineChars="200"/>
        <w:rPr>
          <w:rFonts w:hint="eastAsia" w:ascii="仿宋" w:hAnsi="仿宋" w:eastAsia="仿宋" w:cs="仿宋"/>
          <w:color w:val="auto"/>
          <w:sz w:val="24"/>
          <w:highlight w:val="none"/>
        </w:rPr>
      </w:pPr>
      <w:bookmarkStart w:id="203" w:name="_Toc23294"/>
      <w:bookmarkStart w:id="204"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203"/>
      <w:bookmarkEnd w:id="204"/>
    </w:p>
    <w:p w14:paraId="34EBAF63">
      <w:pPr>
        <w:spacing w:line="560" w:lineRule="exact"/>
        <w:ind w:firstLine="482" w:firstLineChars="200"/>
        <w:outlineLvl w:val="0"/>
        <w:rPr>
          <w:rFonts w:hint="eastAsia" w:ascii="仿宋" w:hAnsi="仿宋" w:eastAsia="仿宋" w:cs="仿宋"/>
          <w:b/>
          <w:color w:val="auto"/>
          <w:sz w:val="24"/>
          <w:highlight w:val="none"/>
        </w:rPr>
      </w:pPr>
      <w:bookmarkStart w:id="205" w:name="_Toc18540"/>
      <w:bookmarkStart w:id="206" w:name="_Toc4355"/>
      <w:bookmarkStart w:id="207" w:name="_Toc30599"/>
      <w:r>
        <w:rPr>
          <w:rFonts w:hint="eastAsia" w:ascii="仿宋" w:hAnsi="仿宋" w:eastAsia="仿宋" w:cs="仿宋"/>
          <w:b/>
          <w:color w:val="auto"/>
          <w:sz w:val="24"/>
          <w:highlight w:val="none"/>
        </w:rPr>
        <w:t>2.18 计量单位</w:t>
      </w:r>
      <w:bookmarkEnd w:id="200"/>
      <w:bookmarkEnd w:id="201"/>
      <w:bookmarkEnd w:id="202"/>
      <w:bookmarkEnd w:id="205"/>
      <w:bookmarkEnd w:id="206"/>
      <w:bookmarkEnd w:id="207"/>
    </w:p>
    <w:p w14:paraId="5B223B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1D0B96A">
      <w:pPr>
        <w:spacing w:line="560" w:lineRule="exact"/>
        <w:ind w:firstLine="482" w:firstLineChars="200"/>
        <w:outlineLvl w:val="0"/>
        <w:rPr>
          <w:rFonts w:hint="eastAsia" w:ascii="仿宋" w:hAnsi="仿宋" w:eastAsia="仿宋" w:cs="仿宋"/>
          <w:b/>
          <w:color w:val="auto"/>
          <w:sz w:val="24"/>
          <w:highlight w:val="none"/>
        </w:rPr>
      </w:pPr>
      <w:bookmarkStart w:id="208" w:name="_Toc12773"/>
      <w:bookmarkStart w:id="209" w:name="_Toc279701263"/>
      <w:bookmarkStart w:id="210" w:name="_Toc10330"/>
      <w:bookmarkStart w:id="211" w:name="_Toc18567"/>
      <w:bookmarkStart w:id="212" w:name="_Toc487900373"/>
      <w:bookmarkStart w:id="213" w:name="_Toc259093692"/>
      <w:r>
        <w:rPr>
          <w:rFonts w:hint="eastAsia" w:ascii="仿宋" w:hAnsi="仿宋" w:eastAsia="仿宋" w:cs="仿宋"/>
          <w:b/>
          <w:color w:val="auto"/>
          <w:sz w:val="24"/>
          <w:highlight w:val="none"/>
        </w:rPr>
        <w:t>2.19 合同使用的文字和适用的法律</w:t>
      </w:r>
      <w:bookmarkEnd w:id="208"/>
      <w:bookmarkEnd w:id="209"/>
      <w:bookmarkEnd w:id="210"/>
      <w:bookmarkEnd w:id="211"/>
      <w:bookmarkEnd w:id="212"/>
      <w:bookmarkEnd w:id="213"/>
    </w:p>
    <w:p w14:paraId="6B1962E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3DC2A2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63A756DB">
      <w:pPr>
        <w:spacing w:line="560" w:lineRule="exact"/>
        <w:ind w:firstLine="482" w:firstLineChars="200"/>
        <w:outlineLvl w:val="0"/>
        <w:rPr>
          <w:rFonts w:hint="eastAsia" w:ascii="仿宋" w:hAnsi="仿宋" w:eastAsia="仿宋" w:cs="仿宋"/>
          <w:b/>
          <w:color w:val="auto"/>
          <w:sz w:val="24"/>
          <w:highlight w:val="none"/>
        </w:rPr>
      </w:pPr>
      <w:bookmarkStart w:id="214" w:name="_Toc19890"/>
      <w:bookmarkStart w:id="215" w:name="_Toc6885"/>
      <w:bookmarkStart w:id="216" w:name="_Toc14001"/>
      <w:r>
        <w:rPr>
          <w:rFonts w:hint="eastAsia" w:ascii="仿宋" w:hAnsi="仿宋" w:eastAsia="仿宋" w:cs="仿宋"/>
          <w:b/>
          <w:color w:val="auto"/>
          <w:sz w:val="24"/>
          <w:highlight w:val="none"/>
        </w:rPr>
        <w:t>2.20 合同份数</w:t>
      </w:r>
      <w:bookmarkEnd w:id="214"/>
      <w:bookmarkEnd w:id="215"/>
      <w:bookmarkEnd w:id="216"/>
    </w:p>
    <w:p w14:paraId="6DDC57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76530A31">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14:paraId="2186E33F">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5B924A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62B8ED68">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2A4C2C08">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B3BCB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12F6465">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6FC1C906">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07224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7F1D294">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35042589">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176F4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13F41E1">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68A3D31B">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01A61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E61031A">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1C933EC9">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768A6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3FCB1BC">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4D7E1F61">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24027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1D6626E">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30D0C69E">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460CD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3B3020F">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45D4CB2E">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14700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9AD5D27">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73116E95">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0D37C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26F5495">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772F40A7">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78B36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291B22A">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3FD85DA6">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76821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BCEA50C">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037454F2">
            <w:pPr>
              <w:keepNext w:val="0"/>
              <w:keepLines w:val="0"/>
              <w:suppressLineNumbers w:val="0"/>
              <w:spacing w:before="0" w:beforeAutospacing="0" w:after="0" w:afterAutospacing="0" w:line="360" w:lineRule="auto"/>
              <w:ind w:left="-420" w:leftChars="-200" w:right="-420" w:rightChars="-200" w:firstLine="480" w:firstLineChars="200"/>
              <w:rPr>
                <w:rFonts w:hint="eastAsia" w:ascii="仿宋" w:hAnsi="仿宋" w:eastAsia="仿宋" w:cs="仿宋"/>
                <w:color w:val="auto"/>
                <w:sz w:val="24"/>
                <w:highlight w:val="none"/>
              </w:rPr>
            </w:pPr>
          </w:p>
        </w:tc>
      </w:tr>
      <w:tr w14:paraId="25507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5FD8F69">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37CF0648">
            <w:pPr>
              <w:keepNext w:val="0"/>
              <w:keepLines w:val="0"/>
              <w:suppressLineNumbers w:val="0"/>
              <w:spacing w:before="0" w:beforeAutospacing="0" w:after="0" w:afterAutospacing="0" w:line="360" w:lineRule="auto"/>
              <w:ind w:left="-420" w:leftChars="-200" w:right="-420" w:rightChars="-200" w:firstLine="480" w:firstLineChars="200"/>
              <w:rPr>
                <w:rFonts w:hint="eastAsia" w:ascii="仿宋" w:hAnsi="仿宋" w:eastAsia="仿宋" w:cs="仿宋"/>
                <w:color w:val="auto"/>
                <w:sz w:val="24"/>
                <w:highlight w:val="none"/>
              </w:rPr>
            </w:pPr>
          </w:p>
        </w:tc>
      </w:tr>
      <w:tr w14:paraId="073E5F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CE007FD">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0B02CCE0">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0187A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0057DB4E">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42AEECC1">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5CB23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AEA5B24">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3BE099C2">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5E101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05474A2">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4D08E479">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06295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35DD506">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24D050E3">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38289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7DBD4336">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3082C1D8">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34110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50A03DD5">
            <w:pPr>
              <w:keepNext w:val="0"/>
              <w:keepLines w:val="0"/>
              <w:suppressLineNumbers w:val="0"/>
              <w:spacing w:before="0" w:beforeAutospacing="0" w:after="0" w:afterAutospacing="0"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5D7B6F02">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bl>
    <w:p w14:paraId="35748260">
      <w:pPr>
        <w:spacing w:line="360" w:lineRule="auto"/>
        <w:ind w:left="-420" w:leftChars="-200" w:right="-420" w:rightChars="-200" w:firstLine="480" w:firstLineChars="200"/>
        <w:rPr>
          <w:rFonts w:hint="eastAsia" w:ascii="仿宋" w:hAnsi="仿宋" w:eastAsia="仿宋" w:cs="仿宋"/>
          <w:color w:val="auto"/>
          <w:sz w:val="24"/>
          <w:highlight w:val="none"/>
        </w:rPr>
      </w:pPr>
    </w:p>
    <w:p w14:paraId="6499BC10">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7F881C9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52948B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6A28D63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8F0ECA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1F16FE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w:t>
      </w:r>
      <w:r>
        <w:rPr>
          <w:rFonts w:hint="eastAsia" w:ascii="仿宋" w:hAnsi="仿宋" w:eastAsia="仿宋" w:cs="仿宋"/>
          <w:color w:val="auto"/>
          <w:sz w:val="24"/>
          <w:highlight w:val="none"/>
          <w:lang w:val="en-US" w:eastAsia="zh-CN"/>
        </w:rPr>
        <w:t>低</w:t>
      </w:r>
      <w:r>
        <w:rPr>
          <w:rFonts w:hint="eastAsia" w:ascii="仿宋" w:hAnsi="仿宋" w:eastAsia="仿宋" w:cs="仿宋"/>
          <w:color w:val="auto"/>
          <w:sz w:val="24"/>
          <w:highlight w:val="none"/>
        </w:rPr>
        <w:t>到</w:t>
      </w:r>
      <w:r>
        <w:rPr>
          <w:rFonts w:hint="eastAsia" w:ascii="仿宋" w:hAnsi="仿宋" w:eastAsia="仿宋" w:cs="仿宋"/>
          <w:color w:val="auto"/>
          <w:sz w:val="24"/>
          <w:highlight w:val="none"/>
          <w:lang w:val="en-US" w:eastAsia="zh-CN"/>
        </w:rPr>
        <w:t>高</w:t>
      </w:r>
      <w:r>
        <w:rPr>
          <w:rFonts w:hint="eastAsia" w:ascii="仿宋" w:hAnsi="仿宋" w:eastAsia="仿宋" w:cs="仿宋"/>
          <w:color w:val="auto"/>
          <w:sz w:val="24"/>
          <w:highlight w:val="none"/>
        </w:rPr>
        <w:t>顺序排列。得分且投标报价相同的并列。投标文件满足招标文件全部实质性要求，且按照评审因素的量化指标评审得分最高的投标人为中标候选人。中标候选人并列的，采用随机抽取的方式确定。</w:t>
      </w:r>
    </w:p>
    <w:p w14:paraId="4524C0F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888085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E14E509">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评分标准：</w:t>
      </w:r>
      <w:r>
        <w:rPr>
          <w:rFonts w:hint="eastAsia" w:ascii="仿宋" w:hAnsi="仿宋" w:eastAsia="仿宋" w:cs="仿宋"/>
          <w:color w:val="auto"/>
          <w:sz w:val="24"/>
          <w:szCs w:val="24"/>
          <w:highlight w:val="none"/>
        </w:rPr>
        <w:t>共100分，其中商务技术分70分，价格分30分。评分依下述所列为评标打分依据，分值如下（计算分值时，按其算术平均值保留小数2位）。</w:t>
      </w:r>
    </w:p>
    <w:p w14:paraId="26CCD171">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
          <w:bCs/>
          <w:iCs/>
          <w:color w:val="auto"/>
          <w:sz w:val="24"/>
          <w:szCs w:val="24"/>
          <w:highlight w:val="none"/>
        </w:rPr>
        <w:t>2.1</w:t>
      </w:r>
      <w:r>
        <w:rPr>
          <w:rFonts w:hint="eastAsia" w:ascii="仿宋" w:hAnsi="仿宋" w:eastAsia="仿宋" w:cs="仿宋"/>
          <w:b/>
          <w:bCs/>
          <w:iCs/>
          <w:color w:val="auto"/>
          <w:sz w:val="24"/>
          <w:szCs w:val="24"/>
          <w:highlight w:val="none"/>
          <w:lang w:val="en-US" w:eastAsia="zh-CN"/>
        </w:rPr>
        <w:t xml:space="preserve">  </w:t>
      </w:r>
      <w:r>
        <w:rPr>
          <w:rFonts w:hint="eastAsia" w:ascii="仿宋" w:hAnsi="仿宋" w:eastAsia="仿宋" w:cs="仿宋"/>
          <w:b/>
          <w:bCs/>
          <w:iCs/>
          <w:color w:val="auto"/>
          <w:sz w:val="24"/>
          <w:szCs w:val="24"/>
          <w:highlight w:val="none"/>
        </w:rPr>
        <w:t>商务技术分（70分）</w:t>
      </w:r>
    </w:p>
    <w:tbl>
      <w:tblPr>
        <w:tblStyle w:val="63"/>
        <w:tblW w:w="48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6624"/>
        <w:gridCol w:w="861"/>
      </w:tblGrid>
      <w:tr w14:paraId="5B9DA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69" w:type="dxa"/>
            <w:shd w:val="clear" w:color="auto" w:fill="auto"/>
            <w:vAlign w:val="center"/>
          </w:tcPr>
          <w:p w14:paraId="70C1318E">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内容</w:t>
            </w:r>
          </w:p>
        </w:tc>
        <w:tc>
          <w:tcPr>
            <w:tcW w:w="6080" w:type="dxa"/>
            <w:shd w:val="clear" w:color="auto" w:fill="auto"/>
            <w:vAlign w:val="center"/>
          </w:tcPr>
          <w:p w14:paraId="70ACD904">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评分标准</w:t>
            </w:r>
          </w:p>
        </w:tc>
        <w:tc>
          <w:tcPr>
            <w:tcW w:w="790" w:type="dxa"/>
            <w:shd w:val="clear" w:color="auto" w:fill="auto"/>
            <w:vAlign w:val="center"/>
          </w:tcPr>
          <w:p w14:paraId="00A5B936">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r>
      <w:tr w14:paraId="36773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9" w:type="dxa"/>
            <w:shd w:val="clear" w:color="auto" w:fill="auto"/>
            <w:noWrap/>
            <w:vAlign w:val="center"/>
          </w:tcPr>
          <w:p w14:paraId="751173F9">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企业资信能力</w:t>
            </w:r>
          </w:p>
        </w:tc>
        <w:tc>
          <w:tcPr>
            <w:tcW w:w="6080" w:type="dxa"/>
            <w:shd w:val="clear" w:color="auto" w:fill="auto"/>
            <w:noWrap/>
            <w:vAlign w:val="center"/>
          </w:tcPr>
          <w:p w14:paraId="6DCB4C14">
            <w:p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投标人具有质量管理体系认证证书、信息技术服务管理体系认证证书、信息安全管理体系认证证书，每提供一个证书得1分，最高得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分。(须提供证书复印件加盖投标人公章)</w:t>
            </w:r>
          </w:p>
        </w:tc>
        <w:tc>
          <w:tcPr>
            <w:tcW w:w="790" w:type="dxa"/>
            <w:shd w:val="clear" w:color="auto" w:fill="auto"/>
            <w:noWrap/>
            <w:vAlign w:val="center"/>
          </w:tcPr>
          <w:p w14:paraId="53CF33C6">
            <w:pPr>
              <w:spacing w:line="240" w:lineRule="atLeas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r>
      <w:tr w14:paraId="4E40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9" w:type="dxa"/>
            <w:shd w:val="clear" w:color="auto" w:fill="auto"/>
            <w:noWrap/>
            <w:vAlign w:val="center"/>
          </w:tcPr>
          <w:p w14:paraId="3536F30B">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投标产品技术规格偏离情况</w:t>
            </w:r>
          </w:p>
        </w:tc>
        <w:tc>
          <w:tcPr>
            <w:tcW w:w="6080" w:type="dxa"/>
            <w:shd w:val="clear" w:color="auto" w:fill="auto"/>
            <w:noWrap/>
            <w:vAlign w:val="center"/>
          </w:tcPr>
          <w:p w14:paraId="3DA0E5C4">
            <w:p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产品技术指标与需求的吻合程度和偏差情况，完全满足招标文件软件技术指标要求得基本分20分，打“★”号的指标必须满足，否则作无效投标处理，▲为主要性能技术指标，未响应或不满足，每项扣2分。一般指标，每项扣1分，扣完为止。</w:t>
            </w:r>
          </w:p>
        </w:tc>
        <w:tc>
          <w:tcPr>
            <w:tcW w:w="790" w:type="dxa"/>
            <w:shd w:val="clear" w:color="auto" w:fill="auto"/>
            <w:noWrap/>
            <w:vAlign w:val="center"/>
          </w:tcPr>
          <w:p w14:paraId="3F710734">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r>
      <w:tr w14:paraId="17D6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1469" w:type="dxa"/>
            <w:shd w:val="clear" w:color="auto" w:fill="auto"/>
            <w:noWrap/>
            <w:vAlign w:val="center"/>
          </w:tcPr>
          <w:p w14:paraId="77534287">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项目总体设计</w:t>
            </w:r>
          </w:p>
        </w:tc>
        <w:tc>
          <w:tcPr>
            <w:tcW w:w="6080" w:type="dxa"/>
            <w:shd w:val="clear" w:color="auto" w:fill="auto"/>
            <w:noWrap/>
            <w:vAlign w:val="center"/>
          </w:tcPr>
          <w:p w14:paraId="7291DF3D">
            <w:p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根据投标人提供的项目总体设计方案，任务目标明确、设计内容全面、系统扩展性考虑、体系结构、设计思想等，根据方案的合理性、可行性、针对性、完整性等，进行综合打分（0-5分）。</w:t>
            </w:r>
          </w:p>
        </w:tc>
        <w:tc>
          <w:tcPr>
            <w:tcW w:w="790" w:type="dxa"/>
            <w:shd w:val="clear" w:color="auto" w:fill="auto"/>
            <w:noWrap/>
            <w:vAlign w:val="center"/>
          </w:tcPr>
          <w:p w14:paraId="0EC1356A">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r>
      <w:tr w14:paraId="4D8D9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1469" w:type="dxa"/>
            <w:shd w:val="clear" w:color="auto" w:fill="auto"/>
            <w:noWrap/>
            <w:vAlign w:val="center"/>
          </w:tcPr>
          <w:p w14:paraId="25964DD7">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项目实施方案</w:t>
            </w:r>
          </w:p>
        </w:tc>
        <w:tc>
          <w:tcPr>
            <w:tcW w:w="6080" w:type="dxa"/>
            <w:shd w:val="clear" w:color="auto" w:fill="auto"/>
            <w:noWrap/>
            <w:vAlign w:val="center"/>
          </w:tcPr>
          <w:p w14:paraId="39FDFC13">
            <w:p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结合项目特点，提供项目实施方案（至少包括项目实施策略、项目实施计划、项目组织架构、项目实施进度表、项目管理制度及沟通协调方法、需求收集与变更管理、风险因素及应对措施、进度控制措施等内容），进行综合打分（0-5分）。</w:t>
            </w:r>
          </w:p>
        </w:tc>
        <w:tc>
          <w:tcPr>
            <w:tcW w:w="790" w:type="dxa"/>
            <w:shd w:val="clear" w:color="auto" w:fill="auto"/>
            <w:noWrap/>
            <w:vAlign w:val="center"/>
          </w:tcPr>
          <w:p w14:paraId="0FB15522">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r>
      <w:tr w14:paraId="50E7C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trPr>
        <w:tc>
          <w:tcPr>
            <w:tcW w:w="1469" w:type="dxa"/>
            <w:shd w:val="clear" w:color="auto" w:fill="auto"/>
            <w:noWrap/>
            <w:vAlign w:val="center"/>
          </w:tcPr>
          <w:p w14:paraId="0B7C6A1F">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培训方案</w:t>
            </w:r>
          </w:p>
        </w:tc>
        <w:tc>
          <w:tcPr>
            <w:tcW w:w="6080" w:type="dxa"/>
            <w:shd w:val="clear" w:color="auto" w:fill="auto"/>
            <w:noWrap/>
            <w:vAlign w:val="center"/>
          </w:tcPr>
          <w:p w14:paraId="2ACD9D8C">
            <w:p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详细的培训方案，包括但不限于培训内容、时间、地点、人次、师资力量安排等，系统计算机管理人员培训，重点培训为软件的安装、维护、调试、配置及使用技能；业务人员培训，重点对相应应用的操作、使用，进行综合打分（0-5分）。</w:t>
            </w:r>
          </w:p>
        </w:tc>
        <w:tc>
          <w:tcPr>
            <w:tcW w:w="790" w:type="dxa"/>
            <w:shd w:val="clear" w:color="auto" w:fill="auto"/>
            <w:noWrap/>
            <w:vAlign w:val="center"/>
          </w:tcPr>
          <w:p w14:paraId="5F8DE12E">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r>
      <w:tr w14:paraId="4FDB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1469" w:type="dxa"/>
            <w:shd w:val="clear" w:color="auto" w:fill="auto"/>
            <w:noWrap/>
            <w:vAlign w:val="center"/>
          </w:tcPr>
          <w:p w14:paraId="27B3BDD1">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售后服务方案</w:t>
            </w:r>
          </w:p>
        </w:tc>
        <w:tc>
          <w:tcPr>
            <w:tcW w:w="6080" w:type="dxa"/>
            <w:shd w:val="clear" w:color="auto" w:fill="auto"/>
            <w:noWrap/>
            <w:vAlign w:val="center"/>
          </w:tcPr>
          <w:p w14:paraId="32E51A6F">
            <w:p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对本项目的售后服务方案，投标人针对本项目制定的售后服务管理体系方案内容完整合理，切实可行，根据服务人员数量、分工、服务机制、响应时间、故障解决等内容的合理性和可行性进行综合打分（0-5分）。</w:t>
            </w:r>
          </w:p>
        </w:tc>
        <w:tc>
          <w:tcPr>
            <w:tcW w:w="790" w:type="dxa"/>
            <w:shd w:val="clear" w:color="auto" w:fill="auto"/>
            <w:noWrap/>
            <w:vAlign w:val="center"/>
          </w:tcPr>
          <w:p w14:paraId="1F2EF1D7">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r>
      <w:tr w14:paraId="7EF4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1469" w:type="dxa"/>
            <w:shd w:val="clear" w:color="auto" w:fill="auto"/>
            <w:noWrap/>
            <w:vAlign w:val="center"/>
          </w:tcPr>
          <w:p w14:paraId="09BBC025">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项目案例</w:t>
            </w:r>
          </w:p>
        </w:tc>
        <w:tc>
          <w:tcPr>
            <w:tcW w:w="6080" w:type="dxa"/>
            <w:shd w:val="clear" w:color="auto" w:fill="auto"/>
            <w:noWrap/>
            <w:vAlign w:val="center"/>
          </w:tcPr>
          <w:p w14:paraId="62C479BD">
            <w:p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投标人2021年</w:t>
            </w:r>
            <w:r>
              <w:rPr>
                <w:rFonts w:hint="eastAsia" w:ascii="仿宋" w:hAnsi="仿宋" w:eastAsia="仿宋" w:cs="仿宋"/>
                <w:color w:val="auto"/>
                <w:sz w:val="24"/>
                <w:szCs w:val="24"/>
                <w:highlight w:val="none"/>
                <w:lang w:val="en-US" w:eastAsia="zh-CN"/>
              </w:rPr>
              <w:t>1月1日</w:t>
            </w:r>
            <w:r>
              <w:rPr>
                <w:rFonts w:hint="eastAsia" w:ascii="仿宋" w:hAnsi="仿宋" w:eastAsia="仿宋" w:cs="仿宋"/>
                <w:color w:val="auto"/>
                <w:sz w:val="24"/>
                <w:szCs w:val="24"/>
                <w:highlight w:val="none"/>
              </w:rPr>
              <w:t>至今</w:t>
            </w:r>
            <w:r>
              <w:rPr>
                <w:rFonts w:hint="eastAsia" w:ascii="仿宋" w:hAnsi="仿宋" w:eastAsia="仿宋" w:cs="仿宋"/>
                <w:color w:val="auto"/>
                <w:sz w:val="24"/>
                <w:szCs w:val="24"/>
                <w:highlight w:val="none"/>
                <w:lang w:eastAsia="zh-CN"/>
              </w:rPr>
              <w:t>（以</w:t>
            </w:r>
            <w:r>
              <w:rPr>
                <w:rFonts w:hint="eastAsia" w:ascii="仿宋" w:hAnsi="仿宋" w:eastAsia="仿宋" w:cs="仿宋"/>
                <w:color w:val="auto"/>
                <w:sz w:val="24"/>
                <w:szCs w:val="24"/>
                <w:highlight w:val="none"/>
              </w:rPr>
              <w:t>合同签订时间为准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承建过类似案例，每提供一个得1分，共3分。提供合同复印件加盖公章</w:t>
            </w:r>
          </w:p>
        </w:tc>
        <w:tc>
          <w:tcPr>
            <w:tcW w:w="790" w:type="dxa"/>
            <w:shd w:val="clear" w:color="auto" w:fill="auto"/>
            <w:noWrap/>
            <w:vAlign w:val="center"/>
          </w:tcPr>
          <w:p w14:paraId="18B58261">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14:paraId="3501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1469" w:type="dxa"/>
            <w:shd w:val="clear" w:color="auto" w:fill="auto"/>
            <w:noWrap/>
            <w:vAlign w:val="center"/>
          </w:tcPr>
          <w:p w14:paraId="30B2801B">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应急处理方案</w:t>
            </w:r>
          </w:p>
        </w:tc>
        <w:tc>
          <w:tcPr>
            <w:tcW w:w="6080" w:type="dxa"/>
            <w:shd w:val="clear" w:color="auto" w:fill="auto"/>
            <w:noWrap/>
            <w:vAlign w:val="center"/>
          </w:tcPr>
          <w:p w14:paraId="38F49EF3">
            <w:p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TW"/>
              </w:rPr>
              <w:t>评委根据投标人提供的运行服务保障应急处理方案科学性、合理性及有效性进行打分，有详细的</w:t>
            </w:r>
            <w:r>
              <w:rPr>
                <w:rFonts w:hint="eastAsia" w:ascii="仿宋" w:hAnsi="仿宋" w:eastAsia="仿宋" w:cs="仿宋"/>
                <w:color w:val="auto"/>
                <w:sz w:val="24"/>
                <w:szCs w:val="24"/>
                <w:highlight w:val="none"/>
              </w:rPr>
              <w:t>突发事件应急措施</w:t>
            </w:r>
            <w:r>
              <w:rPr>
                <w:rFonts w:hint="eastAsia" w:ascii="仿宋" w:hAnsi="仿宋" w:eastAsia="仿宋" w:cs="仿宋"/>
                <w:color w:val="auto"/>
                <w:sz w:val="24"/>
                <w:szCs w:val="24"/>
                <w:highlight w:val="none"/>
                <w:lang w:val="zh-TW"/>
              </w:rPr>
              <w:t>设计，对发生突发性事件后，明确投入的人力、时间、各种应对措施有效，</w:t>
            </w:r>
            <w:r>
              <w:rPr>
                <w:rFonts w:hint="eastAsia" w:ascii="仿宋" w:hAnsi="仿宋" w:eastAsia="仿宋" w:cs="仿宋"/>
                <w:color w:val="auto"/>
                <w:sz w:val="24"/>
                <w:szCs w:val="24"/>
                <w:highlight w:val="none"/>
              </w:rPr>
              <w:t>进行综合打分（0-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c>
          <w:tcPr>
            <w:tcW w:w="790" w:type="dxa"/>
            <w:shd w:val="clear" w:color="auto" w:fill="auto"/>
            <w:noWrap/>
            <w:vAlign w:val="center"/>
          </w:tcPr>
          <w:p w14:paraId="5D79B9A7">
            <w:pPr>
              <w:spacing w:line="240" w:lineRule="atLeas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r>
      <w:tr w14:paraId="008B7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469" w:type="dxa"/>
            <w:shd w:val="clear" w:color="auto" w:fill="auto"/>
            <w:noWrap/>
            <w:vAlign w:val="center"/>
          </w:tcPr>
          <w:p w14:paraId="4E062711">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人员配置</w:t>
            </w:r>
          </w:p>
        </w:tc>
        <w:tc>
          <w:tcPr>
            <w:tcW w:w="6080" w:type="dxa"/>
            <w:shd w:val="clear" w:color="auto" w:fill="auto"/>
            <w:noWrap/>
            <w:vAlign w:val="center"/>
          </w:tcPr>
          <w:p w14:paraId="2A2620BD">
            <w:pPr>
              <w:widowControl/>
              <w:spacing w:line="240" w:lineRule="atLeas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TW"/>
              </w:rPr>
              <w:t>拟派项目负责人具有</w:t>
            </w:r>
            <w:r>
              <w:rPr>
                <w:rFonts w:hint="eastAsia" w:ascii="仿宋" w:hAnsi="仿宋" w:eastAsia="仿宋" w:cs="仿宋"/>
                <w:color w:val="auto"/>
                <w:sz w:val="24"/>
                <w:szCs w:val="24"/>
                <w:highlight w:val="none"/>
              </w:rPr>
              <w:t>信息系统项目管理师的</w:t>
            </w:r>
            <w:r>
              <w:rPr>
                <w:rFonts w:hint="eastAsia" w:ascii="仿宋" w:hAnsi="仿宋" w:eastAsia="仿宋" w:cs="仿宋"/>
                <w:color w:val="auto"/>
                <w:sz w:val="24"/>
                <w:szCs w:val="24"/>
                <w:highlight w:val="none"/>
                <w:lang w:val="zh-TW"/>
              </w:rPr>
              <w:t>得1分</w:t>
            </w:r>
            <w:r>
              <w:rPr>
                <w:rFonts w:hint="eastAsia" w:ascii="仿宋" w:hAnsi="仿宋" w:eastAsia="仿宋" w:cs="仿宋"/>
                <w:color w:val="auto"/>
                <w:sz w:val="24"/>
                <w:szCs w:val="24"/>
                <w:highlight w:val="none"/>
              </w:rPr>
              <w:t>。</w:t>
            </w:r>
          </w:p>
          <w:p w14:paraId="0950557C">
            <w:pPr>
              <w:widowControl/>
              <w:spacing w:line="240" w:lineRule="atLeas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拟派项目驻场实施小组成员具有软件设计师的得1分，具有数据库系统工程师的得1分,具有系统集成项目管理工程师的得1分，最高得3分。（须提供证书扫描件以及社保证明材料并加盖投标人公章。）</w:t>
            </w:r>
          </w:p>
        </w:tc>
        <w:tc>
          <w:tcPr>
            <w:tcW w:w="790" w:type="dxa"/>
            <w:shd w:val="clear" w:color="auto" w:fill="auto"/>
            <w:noWrap/>
            <w:vAlign w:val="center"/>
          </w:tcPr>
          <w:p w14:paraId="32C049BE">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14:paraId="7B7A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trPr>
        <w:tc>
          <w:tcPr>
            <w:tcW w:w="1469" w:type="dxa"/>
            <w:shd w:val="clear" w:color="auto" w:fill="auto"/>
            <w:noWrap/>
            <w:vAlign w:val="center"/>
          </w:tcPr>
          <w:p w14:paraId="2E50C0DE">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系统演示</w:t>
            </w:r>
          </w:p>
        </w:tc>
        <w:tc>
          <w:tcPr>
            <w:tcW w:w="6080" w:type="dxa"/>
            <w:shd w:val="clear" w:color="auto" w:fill="auto"/>
            <w:noWrap/>
            <w:vAlign w:val="center"/>
          </w:tcPr>
          <w:p w14:paraId="5B5E532E">
            <w:pPr>
              <w:spacing w:line="360" w:lineRule="exact"/>
              <w:rPr>
                <w:rFonts w:hint="eastAsia" w:ascii="仿宋" w:hAnsi="仿宋" w:eastAsia="仿宋" w:cs="仿宋"/>
                <w:b w:val="0"/>
                <w:bCs w:val="0"/>
                <w:color w:val="auto"/>
                <w:sz w:val="24"/>
                <w:szCs w:val="24"/>
                <w:highlight w:val="none"/>
                <w:lang w:eastAsia="zh-CN"/>
              </w:rPr>
            </w:pPr>
            <w:r>
              <w:rPr>
                <w:rFonts w:hint="eastAsia" w:ascii="仿宋" w:hAnsi="仿宋" w:eastAsia="仿宋" w:cs="仿宋"/>
                <w:color w:val="auto"/>
                <w:sz w:val="24"/>
                <w:szCs w:val="24"/>
                <w:highlight w:val="none"/>
              </w:rPr>
              <w:t>系统演示：每完成具体描述中的子项演示得3分，最高得15分，不演示不得分。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与“投标产品技术规格偏离情况”评分项不重复扣分</w:t>
            </w:r>
            <w:r>
              <w:rPr>
                <w:rFonts w:hint="eastAsia" w:ascii="仿宋" w:hAnsi="仿宋" w:eastAsia="仿宋" w:cs="仿宋"/>
                <w:b w:val="0"/>
                <w:bCs w:val="0"/>
                <w:color w:val="auto"/>
                <w:sz w:val="24"/>
                <w:szCs w:val="24"/>
                <w:highlight w:val="none"/>
                <w:lang w:eastAsia="zh-CN"/>
              </w:rPr>
              <w:t>）</w:t>
            </w:r>
          </w:p>
          <w:p w14:paraId="79410D95">
            <w:p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演示具体内容如下：</w:t>
            </w:r>
          </w:p>
          <w:p w14:paraId="3552B7FE">
            <w:p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1、平台提供完善的监控功能，可对ESB服务、ETL、系统接入情况、服务器运行情况等进行监控，并提供ESB服务服务调用情况、ETL运行情况监控，服务器运行情况监控包括内存、存储、CPU。（0-3分）</w:t>
            </w:r>
          </w:p>
          <w:p w14:paraId="2D0A97AD">
            <w:p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2、综合监管提供全院运营分析，能实现对智慧医疗分析，包括门诊的自助挂号率、自助结算率、健康卡诊间结算率、分时段就诊符合率的分析。（0-3分）</w:t>
            </w:r>
          </w:p>
          <w:p w14:paraId="6A6F99EF">
            <w:p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3、可生成共享文档，并支持查看CDA_XML文件，支持查看共享文档访问日志，包括浏览者姓名、浏览系统、浏览日期等信息。（0-3分）</w:t>
            </w:r>
          </w:p>
          <w:p w14:paraId="3A8D1E43">
            <w:pPr>
              <w:numPr>
                <w:ilvl w:val="0"/>
                <w:numId w:val="0"/>
              </w:num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患者全息</w:t>
            </w:r>
            <w:r>
              <w:rPr>
                <w:rFonts w:hint="eastAsia" w:ascii="仿宋" w:hAnsi="仿宋" w:eastAsia="仿宋" w:cs="仿宋"/>
                <w:color w:val="auto"/>
                <w:sz w:val="24"/>
                <w:szCs w:val="24"/>
                <w:highlight w:val="none"/>
              </w:rPr>
              <w:t>视图可查看患者的基本健康信息、历次就诊（门诊、住院）情况、检查记录、药品记录等每次诊疗的详细过程。（0-</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185359D2">
            <w:pPr>
              <w:spacing w:line="240" w:lineRule="atLeast"/>
              <w:rPr>
                <w:rFonts w:hint="eastAsia" w:ascii="仿宋" w:hAnsi="仿宋" w:eastAsia="仿宋" w:cs="仿宋"/>
                <w:color w:val="auto"/>
                <w:sz w:val="24"/>
                <w:szCs w:val="24"/>
                <w:highlight w:val="none"/>
              </w:rPr>
            </w:pPr>
          </w:p>
          <w:p w14:paraId="358FA3B5">
            <w:p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平台提供主索引管理功能，可以通过线程的方式在后台执行清洗、比对任务，并且支持统计线程执行进度；可以对疑似主索引进行合并操作，以及合并权重规则的管理，主索引操作日志、主索引库查询等功能。（0-3分）</w:t>
            </w:r>
          </w:p>
          <w:p w14:paraId="3CA45E60">
            <w:p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Hans"/>
              </w:rPr>
              <w:t>注：</w:t>
            </w:r>
            <w:r>
              <w:rPr>
                <w:rFonts w:hint="eastAsia" w:ascii="仿宋" w:hAnsi="仿宋" w:eastAsia="仿宋" w:cs="仿宋"/>
                <w:color w:val="auto"/>
                <w:sz w:val="24"/>
                <w:szCs w:val="24"/>
                <w:highlight w:val="none"/>
              </w:rPr>
              <w:t>将</w:t>
            </w:r>
            <w:r>
              <w:rPr>
                <w:rFonts w:hint="eastAsia" w:ascii="仿宋" w:hAnsi="仿宋" w:eastAsia="仿宋" w:cs="仿宋"/>
                <w:color w:val="auto"/>
                <w:sz w:val="24"/>
                <w:szCs w:val="24"/>
                <w:highlight w:val="none"/>
                <w:lang w:eastAsia="zh-Hans"/>
              </w:rPr>
              <w:t>演示录制成视频</w:t>
            </w:r>
            <w:r>
              <w:rPr>
                <w:rFonts w:hint="eastAsia" w:ascii="仿宋" w:hAnsi="仿宋" w:eastAsia="仿宋" w:cs="仿宋"/>
                <w:color w:val="auto"/>
                <w:sz w:val="24"/>
                <w:szCs w:val="24"/>
                <w:highlight w:val="none"/>
              </w:rPr>
              <w:t>刻录至U盘并密封封装，在开标截止时间前以邮寄快递方式（建议采用顺丰快递）邮寄至浙江省绍兴市越城区稽山街道天姥路5号2幢2楼201室浙江泛亚工程咨询有限公司</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收件人：王伟，收件电话：18258004530；讲解演示时间不超过15分钟</w:t>
            </w:r>
            <w:r>
              <w:rPr>
                <w:rFonts w:hint="eastAsia" w:ascii="仿宋" w:hAnsi="仿宋" w:eastAsia="仿宋" w:cs="仿宋"/>
                <w:color w:val="auto"/>
                <w:sz w:val="24"/>
                <w:szCs w:val="24"/>
                <w:highlight w:val="none"/>
                <w:lang w:val="zh-CN"/>
              </w:rPr>
              <w:t>。因供应商自身原因</w:t>
            </w:r>
            <w:r>
              <w:rPr>
                <w:rFonts w:hint="eastAsia" w:ascii="仿宋" w:hAnsi="仿宋" w:eastAsia="仿宋" w:cs="仿宋"/>
                <w:color w:val="auto"/>
                <w:sz w:val="24"/>
                <w:szCs w:val="24"/>
                <w:highlight w:val="none"/>
              </w:rPr>
              <w:t>或因U盘读取失败、无法打开等原因</w:t>
            </w:r>
            <w:r>
              <w:rPr>
                <w:rFonts w:hint="eastAsia" w:ascii="仿宋" w:hAnsi="仿宋" w:eastAsia="仿宋" w:cs="仿宋"/>
                <w:color w:val="auto"/>
                <w:sz w:val="24"/>
                <w:szCs w:val="24"/>
                <w:highlight w:val="none"/>
                <w:lang w:val="zh-CN"/>
              </w:rPr>
              <w:t>导致无法演示或者演示效果不理想的，责任自负。</w:t>
            </w:r>
          </w:p>
        </w:tc>
        <w:tc>
          <w:tcPr>
            <w:tcW w:w="790" w:type="dxa"/>
            <w:shd w:val="clear" w:color="auto" w:fill="auto"/>
            <w:noWrap/>
            <w:vAlign w:val="center"/>
          </w:tcPr>
          <w:p w14:paraId="5DA38EBE">
            <w:pPr>
              <w:spacing w:line="240" w:lineRule="atLeas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r>
    </w:tbl>
    <w:p w14:paraId="5F8A5DE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备注：</w:t>
      </w:r>
      <w:r>
        <w:rPr>
          <w:rFonts w:hint="eastAsia" w:ascii="仿宋_GB2312" w:hAnsi="宋体" w:eastAsia="仿宋_GB2312"/>
          <w:b w:val="0"/>
          <w:bCs w:val="0"/>
          <w:iCs/>
          <w:color w:val="auto"/>
          <w:sz w:val="24"/>
          <w:highlight w:val="none"/>
        </w:rPr>
        <w:t>投标人编制投标文件（商务技术文件部分）时，建议按此目录（序号和内容）提供评标标准相应的商务技术资料。</w:t>
      </w:r>
    </w:p>
    <w:p w14:paraId="1D85C63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w:t>
      </w:r>
      <w:r>
        <w:rPr>
          <w:rFonts w:hint="eastAsia" w:ascii="仿宋_GB2312" w:hAnsi="宋体" w:eastAsia="仿宋_GB2312"/>
          <w:b/>
          <w:bCs/>
          <w:iCs/>
          <w:color w:val="auto"/>
          <w:sz w:val="24"/>
          <w:highlight w:val="none"/>
          <w:lang w:val="en-US" w:eastAsia="zh-CN"/>
        </w:rPr>
        <w:t xml:space="preserve">  </w:t>
      </w:r>
      <w:r>
        <w:rPr>
          <w:rFonts w:hint="eastAsia" w:ascii="仿宋_GB2312" w:hAnsi="宋体" w:eastAsia="仿宋_GB2312"/>
          <w:b/>
          <w:bCs/>
          <w:iCs/>
          <w:color w:val="auto"/>
          <w:sz w:val="24"/>
          <w:highlight w:val="none"/>
        </w:rPr>
        <w:t>价格分（30分）</w:t>
      </w:r>
    </w:p>
    <w:p w14:paraId="5F05479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2.2.</w:t>
      </w:r>
      <w:r>
        <w:rPr>
          <w:rFonts w:hint="eastAsia" w:ascii="仿宋" w:hAnsi="仿宋" w:eastAsia="仿宋" w:cs="仿宋"/>
          <w:bCs/>
          <w:iCs/>
          <w:color w:val="auto"/>
          <w:sz w:val="24"/>
          <w:szCs w:val="24"/>
          <w:highlight w:val="none"/>
          <w:lang w:val="en-US" w:eastAsia="zh-CN"/>
        </w:rPr>
        <w:t>1</w:t>
      </w:r>
      <w:r>
        <w:rPr>
          <w:rFonts w:hint="eastAsia" w:ascii="仿宋" w:hAnsi="仿宋" w:eastAsia="仿宋" w:cs="仿宋"/>
          <w:bCs/>
          <w:iCs/>
          <w:color w:val="auto"/>
          <w:sz w:val="24"/>
          <w:szCs w:val="24"/>
          <w:highlight w:val="none"/>
        </w:rPr>
        <w:t>评标基准价：即满足招标文件要求且投标价格最低的投标报价为评标基准价，其价格分为满分。</w:t>
      </w:r>
    </w:p>
    <w:p w14:paraId="1EE1A44F">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2.2.</w:t>
      </w:r>
      <w:r>
        <w:rPr>
          <w:rFonts w:hint="eastAsia" w:ascii="仿宋" w:hAnsi="仿宋" w:eastAsia="仿宋" w:cs="仿宋"/>
          <w:bCs/>
          <w:iCs/>
          <w:color w:val="auto"/>
          <w:sz w:val="24"/>
          <w:szCs w:val="24"/>
          <w:highlight w:val="none"/>
          <w:lang w:val="en-US" w:eastAsia="zh-CN"/>
        </w:rPr>
        <w:t>2</w:t>
      </w:r>
      <w:r>
        <w:rPr>
          <w:rFonts w:hint="eastAsia" w:ascii="仿宋" w:hAnsi="仿宋" w:eastAsia="仿宋" w:cs="仿宋"/>
          <w:bCs/>
          <w:iCs/>
          <w:color w:val="auto"/>
          <w:sz w:val="24"/>
          <w:szCs w:val="24"/>
          <w:highlight w:val="none"/>
        </w:rPr>
        <w:t>其他投标人的价格分统一按照下列公式计算：</w:t>
      </w:r>
    </w:p>
    <w:p w14:paraId="45E399E3">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440" w:lineRule="exact"/>
        <w:textAlignment w:val="auto"/>
        <w:rPr>
          <w:rFonts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投标报价得分=(评标基准价／投标报价)×价格权值×100</w:t>
      </w:r>
    </w:p>
    <w:p w14:paraId="498FC29D">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440" w:lineRule="exact"/>
        <w:textAlignment w:val="auto"/>
        <w:rPr>
          <w:rFonts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即：投标报价得分=(评标基准价／投标报价)×</w:t>
      </w:r>
      <w:r>
        <w:rPr>
          <w:rFonts w:hint="eastAsia" w:ascii="仿宋" w:hAnsi="仿宋" w:eastAsia="仿宋" w:cs="仿宋"/>
          <w:bCs/>
          <w:iCs/>
          <w:color w:val="auto"/>
          <w:sz w:val="24"/>
          <w:szCs w:val="24"/>
          <w:highlight w:val="none"/>
          <w:lang w:val="en-US" w:eastAsia="zh-CN"/>
        </w:rPr>
        <w:t>3</w:t>
      </w:r>
      <w:r>
        <w:rPr>
          <w:rFonts w:hint="eastAsia" w:ascii="仿宋" w:hAnsi="仿宋" w:eastAsia="仿宋" w:cs="仿宋"/>
          <w:bCs/>
          <w:iCs/>
          <w:color w:val="auto"/>
          <w:sz w:val="24"/>
          <w:szCs w:val="24"/>
          <w:highlight w:val="none"/>
        </w:rPr>
        <w:t>0</w:t>
      </w:r>
    </w:p>
    <w:p w14:paraId="3F617E94">
      <w:pPr>
        <w:rPr>
          <w:rFonts w:hint="eastAsia"/>
          <w:color w:val="auto"/>
          <w:highlight w:val="none"/>
        </w:rPr>
      </w:pPr>
    </w:p>
    <w:p w14:paraId="753F1FB5">
      <w:pPr>
        <w:rPr>
          <w:rFonts w:hint="eastAsia"/>
          <w:color w:val="auto"/>
          <w:highlight w:val="none"/>
        </w:rPr>
      </w:pPr>
    </w:p>
    <w:p w14:paraId="6BD57A0D">
      <w:pPr>
        <w:pStyle w:val="82"/>
        <w:rPr>
          <w:rFonts w:hint="eastAsia"/>
          <w:color w:val="auto"/>
          <w:highlight w:val="none"/>
        </w:rPr>
      </w:pPr>
    </w:p>
    <w:p w14:paraId="6AC31FD8">
      <w:pPr>
        <w:pStyle w:val="82"/>
        <w:rPr>
          <w:rFonts w:hint="eastAsia"/>
          <w:color w:val="auto"/>
          <w:highlight w:val="none"/>
        </w:rPr>
      </w:pPr>
    </w:p>
    <w:p w14:paraId="7A409642">
      <w:pPr>
        <w:pStyle w:val="82"/>
        <w:rPr>
          <w:rFonts w:hint="eastAsia"/>
          <w:color w:val="auto"/>
          <w:highlight w:val="none"/>
        </w:rPr>
      </w:pPr>
    </w:p>
    <w:p w14:paraId="2AB5B93D">
      <w:pPr>
        <w:rPr>
          <w:rFonts w:hint="eastAsia"/>
          <w:color w:val="auto"/>
          <w:highlight w:val="none"/>
        </w:rPr>
      </w:pPr>
    </w:p>
    <w:p w14:paraId="0480C387">
      <w:pPr>
        <w:widowControl/>
        <w:adjustRightInd/>
        <w:jc w:val="center"/>
        <w:rPr>
          <w:rFonts w:hint="eastAsia" w:ascii="仿宋" w:hAnsi="仿宋" w:eastAsia="仿宋" w:cs="仿宋"/>
          <w:b/>
          <w:color w:val="auto"/>
          <w:sz w:val="36"/>
          <w:szCs w:val="20"/>
          <w:highlight w:val="none"/>
        </w:rPr>
      </w:pPr>
    </w:p>
    <w:p w14:paraId="7B9ADEA4">
      <w:pPr>
        <w:widowControl/>
        <w:adjustRightInd/>
        <w:jc w:val="center"/>
        <w:rPr>
          <w:rFonts w:hint="eastAsia" w:ascii="仿宋" w:hAnsi="仿宋" w:eastAsia="仿宋" w:cs="仿宋"/>
          <w:b/>
          <w:color w:val="auto"/>
          <w:sz w:val="36"/>
          <w:szCs w:val="20"/>
          <w:highlight w:val="none"/>
        </w:rPr>
      </w:pPr>
    </w:p>
    <w:p w14:paraId="7A95438B">
      <w:pPr>
        <w:widowControl/>
        <w:adjustRightInd/>
        <w:jc w:val="center"/>
        <w:rPr>
          <w:rFonts w:hint="eastAsia" w:ascii="仿宋" w:hAnsi="仿宋" w:eastAsia="仿宋" w:cs="仿宋"/>
          <w:b/>
          <w:color w:val="auto"/>
          <w:sz w:val="36"/>
          <w:szCs w:val="20"/>
          <w:highlight w:val="none"/>
        </w:rPr>
      </w:pPr>
    </w:p>
    <w:p w14:paraId="1097A7A1">
      <w:pPr>
        <w:widowControl/>
        <w:adjustRightInd/>
        <w:jc w:val="center"/>
        <w:rPr>
          <w:rFonts w:hint="eastAsia" w:ascii="仿宋" w:hAnsi="仿宋" w:eastAsia="仿宋" w:cs="仿宋"/>
          <w:b/>
          <w:color w:val="auto"/>
          <w:sz w:val="36"/>
          <w:szCs w:val="20"/>
          <w:highlight w:val="none"/>
        </w:rPr>
      </w:pPr>
    </w:p>
    <w:p w14:paraId="5B95981D">
      <w:pPr>
        <w:widowControl/>
        <w:adjustRightInd/>
        <w:jc w:val="center"/>
        <w:rPr>
          <w:rFonts w:hint="eastAsia" w:ascii="仿宋" w:hAnsi="仿宋" w:eastAsia="仿宋" w:cs="仿宋"/>
          <w:b/>
          <w:color w:val="auto"/>
          <w:sz w:val="36"/>
          <w:szCs w:val="20"/>
          <w:highlight w:val="none"/>
        </w:rPr>
      </w:pPr>
    </w:p>
    <w:p w14:paraId="3DE4A4F4">
      <w:pPr>
        <w:widowControl/>
        <w:adjustRightInd/>
        <w:jc w:val="center"/>
        <w:rPr>
          <w:rFonts w:hint="eastAsia" w:ascii="仿宋" w:hAnsi="仿宋" w:eastAsia="仿宋" w:cs="仿宋"/>
          <w:b/>
          <w:color w:val="auto"/>
          <w:sz w:val="36"/>
          <w:szCs w:val="20"/>
          <w:highlight w:val="none"/>
        </w:rPr>
      </w:pPr>
    </w:p>
    <w:p w14:paraId="230ADE91">
      <w:pPr>
        <w:widowControl/>
        <w:adjustRightInd/>
        <w:jc w:val="center"/>
        <w:rPr>
          <w:rFonts w:hint="eastAsia" w:ascii="仿宋" w:hAnsi="仿宋" w:eastAsia="仿宋" w:cs="仿宋"/>
          <w:b/>
          <w:color w:val="auto"/>
          <w:sz w:val="36"/>
          <w:szCs w:val="20"/>
          <w:highlight w:val="none"/>
        </w:rPr>
      </w:pPr>
    </w:p>
    <w:p w14:paraId="42081281">
      <w:pPr>
        <w:widowControl/>
        <w:adjustRightInd/>
        <w:jc w:val="center"/>
        <w:rPr>
          <w:rFonts w:hint="eastAsia" w:ascii="仿宋" w:hAnsi="仿宋" w:eastAsia="仿宋" w:cs="仿宋"/>
          <w:b/>
          <w:color w:val="auto"/>
          <w:sz w:val="36"/>
          <w:szCs w:val="20"/>
          <w:highlight w:val="none"/>
        </w:rPr>
      </w:pPr>
    </w:p>
    <w:p w14:paraId="17376FA6">
      <w:pPr>
        <w:widowControl/>
        <w:adjustRightInd/>
        <w:jc w:val="center"/>
        <w:rPr>
          <w:rFonts w:hint="eastAsia" w:ascii="仿宋" w:hAnsi="仿宋" w:eastAsia="仿宋" w:cs="仿宋"/>
          <w:b/>
          <w:color w:val="auto"/>
          <w:sz w:val="36"/>
          <w:szCs w:val="20"/>
          <w:highlight w:val="none"/>
        </w:rPr>
      </w:pPr>
    </w:p>
    <w:p w14:paraId="0331D269">
      <w:pPr>
        <w:widowControl/>
        <w:adjustRightInd/>
        <w:jc w:val="center"/>
        <w:rPr>
          <w:rFonts w:hint="eastAsia" w:ascii="仿宋" w:hAnsi="仿宋" w:eastAsia="仿宋" w:cs="仿宋"/>
          <w:b/>
          <w:color w:val="auto"/>
          <w:sz w:val="36"/>
          <w:szCs w:val="20"/>
          <w:highlight w:val="none"/>
        </w:rPr>
      </w:pPr>
    </w:p>
    <w:p w14:paraId="3E270C58">
      <w:pPr>
        <w:widowControl/>
        <w:adjustRightInd/>
        <w:jc w:val="center"/>
        <w:rPr>
          <w:rFonts w:hint="eastAsia" w:ascii="仿宋" w:hAnsi="仿宋" w:eastAsia="仿宋" w:cs="仿宋"/>
          <w:b/>
          <w:color w:val="auto"/>
          <w:sz w:val="36"/>
          <w:szCs w:val="20"/>
          <w:highlight w:val="none"/>
        </w:rPr>
      </w:pPr>
    </w:p>
    <w:p w14:paraId="60E4F2C5">
      <w:pPr>
        <w:widowControl/>
        <w:adjustRightInd/>
        <w:jc w:val="both"/>
        <w:rPr>
          <w:rFonts w:hint="eastAsia" w:ascii="仿宋" w:hAnsi="仿宋" w:eastAsia="仿宋" w:cs="仿宋"/>
          <w:b/>
          <w:color w:val="auto"/>
          <w:sz w:val="36"/>
          <w:szCs w:val="20"/>
          <w:highlight w:val="none"/>
        </w:rPr>
      </w:pPr>
    </w:p>
    <w:p w14:paraId="790BD125">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395FAEE7">
      <w:pPr>
        <w:spacing w:line="360" w:lineRule="auto"/>
        <w:jc w:val="center"/>
        <w:outlineLvl w:val="0"/>
        <w:rPr>
          <w:rFonts w:hint="eastAsia" w:ascii="仿宋" w:hAnsi="仿宋" w:eastAsia="仿宋" w:cs="仿宋"/>
          <w:b/>
          <w:color w:val="auto"/>
          <w:kern w:val="0"/>
          <w:sz w:val="36"/>
          <w:szCs w:val="36"/>
          <w:highlight w:val="none"/>
        </w:rPr>
      </w:pPr>
    </w:p>
    <w:p w14:paraId="2FE42B0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019479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43467B0">
      <w:pPr>
        <w:spacing w:line="360" w:lineRule="auto"/>
        <w:jc w:val="center"/>
        <w:outlineLvl w:val="0"/>
        <w:rPr>
          <w:rFonts w:hint="eastAsia" w:ascii="仿宋" w:hAnsi="仿宋" w:eastAsia="仿宋" w:cs="仿宋"/>
          <w:b/>
          <w:color w:val="auto"/>
          <w:kern w:val="0"/>
          <w:sz w:val="36"/>
          <w:szCs w:val="36"/>
          <w:highlight w:val="none"/>
        </w:rPr>
      </w:pPr>
    </w:p>
    <w:p w14:paraId="7BBC10B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5A4432EC">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FE7A720">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597C8B9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261994E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34E2F392">
      <w:pPr>
        <w:snapToGrid w:val="0"/>
        <w:spacing w:line="360" w:lineRule="auto"/>
        <w:ind w:firstLine="480" w:firstLineChars="200"/>
        <w:rPr>
          <w:rFonts w:hint="eastAsia" w:ascii="仿宋" w:hAnsi="仿宋" w:eastAsia="仿宋" w:cs="仿宋"/>
          <w:color w:val="auto"/>
          <w:sz w:val="24"/>
          <w:highlight w:val="none"/>
        </w:rPr>
      </w:pPr>
    </w:p>
    <w:p w14:paraId="43E6D12E">
      <w:pPr>
        <w:spacing w:line="360" w:lineRule="auto"/>
        <w:ind w:firstLine="480" w:firstLineChars="200"/>
        <w:rPr>
          <w:rFonts w:hint="eastAsia" w:ascii="仿宋" w:hAnsi="仿宋" w:eastAsia="仿宋" w:cs="仿宋"/>
          <w:color w:val="auto"/>
          <w:sz w:val="24"/>
          <w:highlight w:val="none"/>
        </w:rPr>
      </w:pPr>
    </w:p>
    <w:p w14:paraId="02DC4BDA">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F56600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3E29D8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1B0B001C">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11AC2E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B721A6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DA4B8A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208290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807388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1A8BDF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B1A8AA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65950F4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28EB55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152993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B178E7A">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D663E7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964BEA8">
      <w:pPr>
        <w:snapToGrid w:val="0"/>
        <w:spacing w:line="360" w:lineRule="auto"/>
        <w:ind w:right="480"/>
        <w:jc w:val="center"/>
        <w:rPr>
          <w:rFonts w:hint="eastAsia" w:ascii="仿宋" w:hAnsi="仿宋" w:eastAsia="仿宋" w:cs="仿宋"/>
          <w:b/>
          <w:color w:val="auto"/>
          <w:kern w:val="0"/>
          <w:sz w:val="32"/>
          <w:szCs w:val="32"/>
          <w:highlight w:val="none"/>
        </w:rPr>
      </w:pPr>
    </w:p>
    <w:p w14:paraId="78D06271">
      <w:pPr>
        <w:snapToGrid w:val="0"/>
        <w:spacing w:line="360" w:lineRule="auto"/>
        <w:ind w:right="480"/>
        <w:jc w:val="center"/>
        <w:rPr>
          <w:rFonts w:hint="eastAsia" w:ascii="仿宋" w:hAnsi="仿宋" w:eastAsia="仿宋" w:cs="仿宋"/>
          <w:b/>
          <w:color w:val="auto"/>
          <w:kern w:val="0"/>
          <w:sz w:val="32"/>
          <w:szCs w:val="32"/>
          <w:highlight w:val="none"/>
        </w:rPr>
      </w:pPr>
    </w:p>
    <w:p w14:paraId="5A5C8E66">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D3CD32F">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277FF5C6">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77774F90">
      <w:pPr>
        <w:snapToGrid w:val="0"/>
        <w:spacing w:line="360" w:lineRule="auto"/>
        <w:ind w:right="480"/>
        <w:jc w:val="center"/>
        <w:rPr>
          <w:rFonts w:hint="eastAsia" w:ascii="仿宋" w:hAnsi="仿宋" w:eastAsia="仿宋" w:cs="仿宋"/>
          <w:b/>
          <w:color w:val="auto"/>
          <w:kern w:val="0"/>
          <w:sz w:val="32"/>
          <w:szCs w:val="32"/>
          <w:highlight w:val="none"/>
        </w:rPr>
      </w:pPr>
    </w:p>
    <w:p w14:paraId="4B79265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6B87E6DF">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6F23D808">
      <w:pPr>
        <w:snapToGrid w:val="0"/>
        <w:spacing w:line="360" w:lineRule="auto"/>
        <w:ind w:right="480"/>
        <w:jc w:val="center"/>
        <w:rPr>
          <w:rFonts w:hint="eastAsia" w:ascii="仿宋" w:hAnsi="仿宋" w:eastAsia="仿宋" w:cs="仿宋"/>
          <w:b/>
          <w:color w:val="auto"/>
          <w:kern w:val="0"/>
          <w:sz w:val="32"/>
          <w:szCs w:val="32"/>
          <w:highlight w:val="none"/>
        </w:rPr>
      </w:pPr>
    </w:p>
    <w:p w14:paraId="52A5F579">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1E110E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41203175">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34F7DC74">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1DF04181">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4A3CDF6A">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33D5D1D7">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中小企业声明函</w:t>
      </w:r>
    </w:p>
    <w:p w14:paraId="24126C66">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87B2F30">
      <w:pPr>
        <w:pStyle w:val="80"/>
        <w:rPr>
          <w:rFonts w:hint="eastAsia" w:ascii="仿宋" w:hAnsi="仿宋" w:eastAsia="仿宋" w:cs="仿宋"/>
          <w:b/>
          <w:color w:val="auto"/>
          <w:sz w:val="24"/>
          <w:highlight w:val="none"/>
        </w:rPr>
      </w:pPr>
    </w:p>
    <w:p w14:paraId="1DBE40FC">
      <w:pPr>
        <w:rPr>
          <w:rFonts w:hint="eastAsia" w:ascii="仿宋" w:hAnsi="仿宋" w:eastAsia="仿宋" w:cs="仿宋"/>
          <w:b/>
          <w:color w:val="auto"/>
          <w:sz w:val="24"/>
          <w:highlight w:val="none"/>
        </w:rPr>
      </w:pPr>
    </w:p>
    <w:p w14:paraId="134175E9">
      <w:pPr>
        <w:rPr>
          <w:rFonts w:hint="eastAsia" w:ascii="仿宋" w:hAnsi="仿宋" w:eastAsia="仿宋" w:cs="仿宋"/>
          <w:b/>
          <w:color w:val="auto"/>
          <w:sz w:val="24"/>
          <w:highlight w:val="none"/>
        </w:rPr>
      </w:pPr>
    </w:p>
    <w:p w14:paraId="0B1DD955">
      <w:pPr>
        <w:rPr>
          <w:rFonts w:hint="eastAsia" w:ascii="仿宋" w:hAnsi="仿宋" w:eastAsia="仿宋" w:cs="仿宋"/>
          <w:b/>
          <w:color w:val="auto"/>
          <w:sz w:val="24"/>
          <w:highlight w:val="none"/>
        </w:rPr>
      </w:pPr>
    </w:p>
    <w:p w14:paraId="70899FF0">
      <w:pPr>
        <w:rPr>
          <w:rFonts w:hint="eastAsia"/>
          <w:color w:val="auto"/>
          <w:highlight w:val="none"/>
          <w:lang w:eastAsia="zh-CN"/>
        </w:rPr>
      </w:pPr>
    </w:p>
    <w:p w14:paraId="141EE068">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残疾人福利性单位声明函（如果有）</w:t>
      </w:r>
    </w:p>
    <w:p w14:paraId="1C526A47">
      <w:pPr>
        <w:pStyle w:val="24"/>
        <w:widowControl/>
        <w:numPr>
          <w:ilvl w:val="0"/>
          <w:numId w:val="0"/>
        </w:numPr>
        <w:spacing w:line="360" w:lineRule="auto"/>
        <w:ind w:firstLine="120" w:firstLineChars="50"/>
        <w:jc w:val="left"/>
        <w:rPr>
          <w:rFonts w:hint="eastAsia" w:ascii="仿宋" w:hAnsi="仿宋" w:eastAsia="仿宋" w:cs="仿宋"/>
          <w:b/>
          <w:color w:val="auto"/>
          <w:kern w:val="0"/>
          <w:sz w:val="36"/>
          <w:szCs w:val="36"/>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1C70053">
      <w:pPr>
        <w:widowControl/>
        <w:spacing w:line="360" w:lineRule="auto"/>
        <w:ind w:left="150"/>
        <w:jc w:val="center"/>
        <w:rPr>
          <w:rFonts w:hint="eastAsia" w:ascii="仿宋" w:hAnsi="仿宋" w:eastAsia="仿宋" w:cs="仿宋"/>
          <w:b/>
          <w:color w:val="auto"/>
          <w:kern w:val="0"/>
          <w:sz w:val="32"/>
          <w:szCs w:val="32"/>
          <w:highlight w:val="none"/>
        </w:rPr>
      </w:pPr>
    </w:p>
    <w:p w14:paraId="6004410F">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EDCF2E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FEC9EA6">
      <w:pPr>
        <w:spacing w:line="360" w:lineRule="auto"/>
        <w:jc w:val="center"/>
        <w:outlineLvl w:val="0"/>
        <w:rPr>
          <w:rFonts w:hint="eastAsia" w:ascii="仿宋" w:hAnsi="仿宋" w:eastAsia="仿宋" w:cs="仿宋"/>
          <w:b/>
          <w:color w:val="auto"/>
          <w:kern w:val="0"/>
          <w:sz w:val="24"/>
          <w:highlight w:val="none"/>
        </w:rPr>
      </w:pPr>
    </w:p>
    <w:p w14:paraId="240421B9">
      <w:pPr>
        <w:rPr>
          <w:rFonts w:hint="eastAsia"/>
          <w:color w:val="auto"/>
          <w:highlight w:val="none"/>
        </w:rPr>
      </w:pPr>
    </w:p>
    <w:p w14:paraId="5D02AC0F">
      <w:pPr>
        <w:rPr>
          <w:rFonts w:hint="eastAsia"/>
          <w:color w:val="auto"/>
          <w:highlight w:val="none"/>
        </w:rPr>
      </w:pPr>
    </w:p>
    <w:p w14:paraId="60B232AA">
      <w:pPr>
        <w:rPr>
          <w:rFonts w:hint="eastAsia"/>
          <w:color w:val="auto"/>
          <w:highlight w:val="none"/>
        </w:rPr>
      </w:pPr>
    </w:p>
    <w:p w14:paraId="0CA8642D">
      <w:pPr>
        <w:rPr>
          <w:rFonts w:hint="eastAsia"/>
          <w:color w:val="auto"/>
          <w:highlight w:val="none"/>
        </w:rPr>
      </w:pPr>
    </w:p>
    <w:p w14:paraId="10D4525A">
      <w:pPr>
        <w:rPr>
          <w:rFonts w:hint="eastAsia"/>
          <w:color w:val="auto"/>
          <w:highlight w:val="none"/>
        </w:rPr>
      </w:pPr>
    </w:p>
    <w:p w14:paraId="5F7E10FB">
      <w:pPr>
        <w:rPr>
          <w:rFonts w:hint="eastAsia"/>
          <w:color w:val="auto"/>
          <w:highlight w:val="none"/>
        </w:rPr>
      </w:pPr>
    </w:p>
    <w:p w14:paraId="7192FC63">
      <w:pPr>
        <w:rPr>
          <w:rFonts w:hint="eastAsia"/>
          <w:color w:val="auto"/>
          <w:highlight w:val="none"/>
        </w:rPr>
      </w:pPr>
    </w:p>
    <w:p w14:paraId="4BA4ACD8">
      <w:pPr>
        <w:rPr>
          <w:rFonts w:hint="eastAsia"/>
          <w:color w:val="auto"/>
          <w:highlight w:val="none"/>
        </w:rPr>
      </w:pPr>
    </w:p>
    <w:p w14:paraId="2752FC2E">
      <w:pPr>
        <w:rPr>
          <w:rFonts w:hint="eastAsia"/>
          <w:color w:val="auto"/>
          <w:highlight w:val="none"/>
        </w:rPr>
      </w:pPr>
    </w:p>
    <w:p w14:paraId="3EDCBD3E">
      <w:pPr>
        <w:rPr>
          <w:rFonts w:hint="eastAsia"/>
          <w:color w:val="auto"/>
          <w:highlight w:val="none"/>
        </w:rPr>
      </w:pPr>
    </w:p>
    <w:p w14:paraId="05757D06">
      <w:pPr>
        <w:rPr>
          <w:rFonts w:hint="eastAsia"/>
          <w:color w:val="auto"/>
          <w:highlight w:val="none"/>
        </w:rPr>
      </w:pPr>
    </w:p>
    <w:p w14:paraId="1004B4AB">
      <w:pPr>
        <w:rPr>
          <w:rFonts w:hint="eastAsia"/>
          <w:color w:val="auto"/>
          <w:highlight w:val="none"/>
        </w:rPr>
      </w:pPr>
    </w:p>
    <w:p w14:paraId="7EC65BD5">
      <w:pPr>
        <w:rPr>
          <w:rFonts w:hint="eastAsia"/>
          <w:color w:val="auto"/>
          <w:highlight w:val="none"/>
        </w:rPr>
      </w:pPr>
    </w:p>
    <w:p w14:paraId="04616DDC">
      <w:pPr>
        <w:rPr>
          <w:rFonts w:hint="eastAsia"/>
          <w:color w:val="auto"/>
          <w:highlight w:val="none"/>
        </w:rPr>
      </w:pPr>
    </w:p>
    <w:p w14:paraId="0DB5D932">
      <w:pPr>
        <w:rPr>
          <w:rFonts w:hint="eastAsia"/>
          <w:color w:val="auto"/>
          <w:highlight w:val="none"/>
        </w:rPr>
      </w:pPr>
    </w:p>
    <w:p w14:paraId="3FDCF98D">
      <w:pPr>
        <w:rPr>
          <w:rFonts w:hint="eastAsia"/>
          <w:color w:val="auto"/>
          <w:highlight w:val="none"/>
        </w:rPr>
      </w:pPr>
    </w:p>
    <w:p w14:paraId="7D7C7043">
      <w:pPr>
        <w:rPr>
          <w:rFonts w:hint="eastAsia"/>
          <w:color w:val="auto"/>
          <w:highlight w:val="none"/>
        </w:rPr>
      </w:pPr>
    </w:p>
    <w:p w14:paraId="5DD82532">
      <w:pPr>
        <w:rPr>
          <w:rFonts w:hint="eastAsia"/>
          <w:color w:val="auto"/>
          <w:highlight w:val="none"/>
        </w:rPr>
      </w:pPr>
    </w:p>
    <w:p w14:paraId="759E4942">
      <w:pPr>
        <w:rPr>
          <w:rFonts w:hint="eastAsia"/>
          <w:color w:val="auto"/>
          <w:highlight w:val="none"/>
        </w:rPr>
      </w:pPr>
    </w:p>
    <w:p w14:paraId="4FE6068D">
      <w:pPr>
        <w:rPr>
          <w:rFonts w:hint="eastAsia"/>
          <w:color w:val="auto"/>
          <w:highlight w:val="none"/>
        </w:rPr>
      </w:pPr>
    </w:p>
    <w:p w14:paraId="42C2CE51">
      <w:pPr>
        <w:rPr>
          <w:rFonts w:hint="eastAsia"/>
          <w:color w:val="auto"/>
          <w:highlight w:val="none"/>
        </w:rPr>
      </w:pPr>
    </w:p>
    <w:p w14:paraId="12001E8D">
      <w:pPr>
        <w:rPr>
          <w:rFonts w:hint="eastAsia"/>
          <w:color w:val="auto"/>
          <w:highlight w:val="none"/>
        </w:rPr>
      </w:pPr>
    </w:p>
    <w:p w14:paraId="2949D619">
      <w:pPr>
        <w:rPr>
          <w:rFonts w:hint="eastAsia"/>
          <w:color w:val="auto"/>
          <w:highlight w:val="none"/>
        </w:rPr>
      </w:pPr>
    </w:p>
    <w:p w14:paraId="151D6365">
      <w:pPr>
        <w:rPr>
          <w:rFonts w:hint="eastAsia"/>
          <w:color w:val="auto"/>
          <w:highlight w:val="none"/>
        </w:rPr>
      </w:pPr>
    </w:p>
    <w:p w14:paraId="12B579E5">
      <w:pPr>
        <w:rPr>
          <w:rFonts w:hint="eastAsia"/>
          <w:color w:val="auto"/>
          <w:highlight w:val="none"/>
        </w:rPr>
      </w:pPr>
    </w:p>
    <w:p w14:paraId="517D11EC">
      <w:pPr>
        <w:rPr>
          <w:rFonts w:hint="eastAsia"/>
          <w:color w:val="auto"/>
          <w:highlight w:val="none"/>
        </w:rPr>
      </w:pPr>
    </w:p>
    <w:p w14:paraId="213E2139">
      <w:pPr>
        <w:rPr>
          <w:rFonts w:hint="eastAsia"/>
          <w:color w:val="auto"/>
          <w:highlight w:val="none"/>
        </w:rPr>
      </w:pPr>
    </w:p>
    <w:p w14:paraId="7AF0F373">
      <w:pPr>
        <w:rPr>
          <w:rFonts w:hint="eastAsia"/>
          <w:color w:val="auto"/>
          <w:highlight w:val="none"/>
        </w:rPr>
      </w:pPr>
    </w:p>
    <w:p w14:paraId="0888E6FA">
      <w:pPr>
        <w:rPr>
          <w:rFonts w:hint="eastAsia"/>
          <w:color w:val="auto"/>
          <w:highlight w:val="none"/>
        </w:rPr>
      </w:pPr>
    </w:p>
    <w:p w14:paraId="64B9300B">
      <w:pPr>
        <w:rPr>
          <w:rFonts w:hint="eastAsia"/>
          <w:color w:val="auto"/>
          <w:highlight w:val="none"/>
        </w:rPr>
      </w:pPr>
    </w:p>
    <w:p w14:paraId="0EBE24D6">
      <w:pPr>
        <w:rPr>
          <w:rFonts w:hint="eastAsia"/>
          <w:color w:val="auto"/>
          <w:highlight w:val="none"/>
        </w:rPr>
      </w:pPr>
    </w:p>
    <w:p w14:paraId="707D01A6">
      <w:pPr>
        <w:rPr>
          <w:rFonts w:hint="eastAsia"/>
          <w:color w:val="auto"/>
          <w:highlight w:val="none"/>
        </w:rPr>
      </w:pPr>
    </w:p>
    <w:p w14:paraId="2DCEA1DD">
      <w:pPr>
        <w:rPr>
          <w:rFonts w:hint="eastAsia"/>
          <w:color w:val="auto"/>
          <w:highlight w:val="none"/>
        </w:rPr>
      </w:pPr>
    </w:p>
    <w:p w14:paraId="06A9FD3B">
      <w:pPr>
        <w:rPr>
          <w:rFonts w:hint="eastAsia"/>
          <w:color w:val="auto"/>
          <w:highlight w:val="none"/>
        </w:rPr>
      </w:pPr>
    </w:p>
    <w:p w14:paraId="542288BA">
      <w:pPr>
        <w:rPr>
          <w:rFonts w:hint="eastAsia"/>
          <w:color w:val="auto"/>
          <w:highlight w:val="none"/>
        </w:rPr>
      </w:pPr>
    </w:p>
    <w:p w14:paraId="50ECED78">
      <w:pPr>
        <w:rPr>
          <w:rFonts w:hint="eastAsia"/>
          <w:color w:val="auto"/>
          <w:highlight w:val="none"/>
        </w:rPr>
      </w:pPr>
    </w:p>
    <w:p w14:paraId="672F434C">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8AE9351">
      <w:pPr>
        <w:spacing w:line="336" w:lineRule="auto"/>
        <w:jc w:val="center"/>
        <w:outlineLvl w:val="0"/>
        <w:rPr>
          <w:rFonts w:ascii="仿宋" w:hAnsi="仿宋" w:eastAsia="仿宋" w:cs="仿宋"/>
          <w:b/>
          <w:color w:val="auto"/>
          <w:kern w:val="0"/>
          <w:sz w:val="24"/>
          <w:highlight w:val="none"/>
        </w:rPr>
      </w:pPr>
    </w:p>
    <w:p w14:paraId="3382C1B4">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6952D30B">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07E90A51">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14:paraId="2352DA13">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7DAF1C01">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50ADBA77">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0B3760A1">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45728100">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70E9DF36">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75EBC382">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3CABAC29">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1195B23A">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14:paraId="3E0311CD">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617AD918">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327665E">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650533CE">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39A597E3">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35DC6170">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7D777A5A">
      <w:pPr>
        <w:snapToGrid w:val="0"/>
        <w:spacing w:line="360" w:lineRule="auto"/>
        <w:jc w:val="center"/>
        <w:rPr>
          <w:rFonts w:hint="eastAsia" w:ascii="仿宋" w:hAnsi="仿宋" w:eastAsia="仿宋" w:cs="仿宋"/>
          <w:b/>
          <w:color w:val="auto"/>
          <w:kern w:val="0"/>
          <w:sz w:val="32"/>
          <w:szCs w:val="32"/>
          <w:highlight w:val="none"/>
          <w:lang w:val="zh-CN"/>
        </w:rPr>
      </w:pPr>
    </w:p>
    <w:p w14:paraId="3895123D">
      <w:pPr>
        <w:snapToGrid w:val="0"/>
        <w:spacing w:line="360" w:lineRule="auto"/>
        <w:jc w:val="center"/>
        <w:rPr>
          <w:rFonts w:hint="eastAsia" w:ascii="仿宋" w:hAnsi="仿宋" w:eastAsia="仿宋" w:cs="仿宋"/>
          <w:b/>
          <w:color w:val="auto"/>
          <w:kern w:val="0"/>
          <w:sz w:val="32"/>
          <w:szCs w:val="32"/>
          <w:highlight w:val="none"/>
          <w:lang w:val="zh-CN"/>
        </w:rPr>
      </w:pPr>
    </w:p>
    <w:p w14:paraId="487132C1">
      <w:pPr>
        <w:snapToGrid w:val="0"/>
        <w:spacing w:line="360" w:lineRule="auto"/>
        <w:jc w:val="center"/>
        <w:rPr>
          <w:rFonts w:hint="eastAsia" w:ascii="仿宋" w:hAnsi="仿宋" w:eastAsia="仿宋" w:cs="仿宋"/>
          <w:b/>
          <w:color w:val="auto"/>
          <w:kern w:val="0"/>
          <w:sz w:val="32"/>
          <w:szCs w:val="32"/>
          <w:highlight w:val="none"/>
          <w:lang w:val="zh-CN"/>
        </w:rPr>
      </w:pPr>
    </w:p>
    <w:p w14:paraId="6EEFD97E">
      <w:pPr>
        <w:snapToGrid w:val="0"/>
        <w:spacing w:line="360" w:lineRule="auto"/>
        <w:jc w:val="both"/>
        <w:rPr>
          <w:rFonts w:hint="eastAsia" w:ascii="仿宋" w:hAnsi="仿宋" w:eastAsia="仿宋" w:cs="仿宋"/>
          <w:b/>
          <w:color w:val="auto"/>
          <w:kern w:val="0"/>
          <w:sz w:val="32"/>
          <w:szCs w:val="32"/>
          <w:highlight w:val="none"/>
          <w:lang w:val="zh-CN"/>
        </w:rPr>
      </w:pPr>
    </w:p>
    <w:p w14:paraId="7207532D">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AD44D24">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41073CB">
      <w:pPr>
        <w:pStyle w:val="398"/>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01B02D03">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78E4A3F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DB2749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1.我方同意在投标人须知规定的开标日期起遵守本投标文件中的承诺且在投标有效期满之前均具有约束力。</w:t>
      </w:r>
    </w:p>
    <w:p w14:paraId="64AAB39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6E617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214C9F9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B4F0EB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77F16AF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AFBCAD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6E4F259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7A9F9EE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17D323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3495B6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4A986B2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FC4B56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3AD1F2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50CFD87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7EE36C3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DF0761E">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47DBF39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3B3A9E2C">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57D9FF3B">
      <w:pPr>
        <w:jc w:val="center"/>
        <w:rPr>
          <w:rFonts w:hint="eastAsia" w:ascii="仿宋" w:hAnsi="仿宋" w:eastAsia="仿宋" w:cs="仿宋"/>
          <w:b/>
          <w:color w:val="auto"/>
          <w:sz w:val="24"/>
          <w:highlight w:val="none"/>
        </w:rPr>
      </w:pPr>
    </w:p>
    <w:p w14:paraId="0F4D844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B8E9EEA">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1AB41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A1BE953">
      <w:pPr>
        <w:snapToGrid w:val="0"/>
        <w:spacing w:line="600" w:lineRule="exact"/>
        <w:jc w:val="left"/>
        <w:rPr>
          <w:rFonts w:hint="eastAsia" w:ascii="仿宋" w:hAnsi="仿宋" w:eastAsia="仿宋" w:cs="仿宋"/>
          <w:color w:val="auto"/>
          <w:sz w:val="24"/>
          <w:highlight w:val="none"/>
        </w:rPr>
      </w:pPr>
    </w:p>
    <w:p w14:paraId="48E8861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21336CE">
      <w:pPr>
        <w:spacing w:line="360" w:lineRule="exact"/>
        <w:rPr>
          <w:rFonts w:hint="eastAsia" w:ascii="仿宋" w:hAnsi="仿宋" w:eastAsia="仿宋" w:cs="仿宋"/>
          <w:color w:val="auto"/>
          <w:sz w:val="24"/>
          <w:highlight w:val="none"/>
        </w:rPr>
      </w:pPr>
    </w:p>
    <w:p w14:paraId="6E8A808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01D991F">
      <w:pPr>
        <w:spacing w:line="360" w:lineRule="exact"/>
        <w:rPr>
          <w:rFonts w:hint="eastAsia" w:ascii="仿宋" w:hAnsi="仿宋" w:eastAsia="仿宋" w:cs="仿宋"/>
          <w:color w:val="auto"/>
          <w:sz w:val="24"/>
          <w:highlight w:val="none"/>
        </w:rPr>
      </w:pPr>
    </w:p>
    <w:p w14:paraId="7C25012C">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160DB03">
      <w:pPr>
        <w:spacing w:line="360" w:lineRule="exact"/>
        <w:rPr>
          <w:rFonts w:hint="eastAsia" w:ascii="仿宋" w:hAnsi="仿宋" w:eastAsia="仿宋" w:cs="仿宋"/>
          <w:color w:val="auto"/>
          <w:sz w:val="24"/>
          <w:highlight w:val="none"/>
        </w:rPr>
      </w:pPr>
    </w:p>
    <w:p w14:paraId="24F386A9">
      <w:pPr>
        <w:spacing w:line="360" w:lineRule="exact"/>
        <w:rPr>
          <w:rFonts w:hint="eastAsia" w:ascii="仿宋" w:hAnsi="仿宋" w:eastAsia="仿宋" w:cs="仿宋"/>
          <w:color w:val="auto"/>
          <w:sz w:val="24"/>
          <w:highlight w:val="none"/>
        </w:rPr>
      </w:pPr>
    </w:p>
    <w:p w14:paraId="598B054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D358406">
      <w:pPr>
        <w:spacing w:line="360" w:lineRule="exact"/>
        <w:rPr>
          <w:rFonts w:hint="eastAsia" w:ascii="仿宋" w:hAnsi="仿宋" w:eastAsia="仿宋" w:cs="仿宋"/>
          <w:color w:val="auto"/>
          <w:sz w:val="24"/>
          <w:highlight w:val="none"/>
        </w:rPr>
      </w:pPr>
    </w:p>
    <w:p w14:paraId="684E0ACF">
      <w:pPr>
        <w:spacing w:line="360" w:lineRule="exact"/>
        <w:rPr>
          <w:rFonts w:hint="eastAsia" w:ascii="仿宋" w:hAnsi="仿宋" w:eastAsia="仿宋" w:cs="仿宋"/>
          <w:color w:val="auto"/>
          <w:sz w:val="24"/>
          <w:highlight w:val="none"/>
        </w:rPr>
      </w:pPr>
    </w:p>
    <w:p w14:paraId="291080F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2C6F612">
      <w:pPr>
        <w:spacing w:line="360" w:lineRule="exact"/>
        <w:rPr>
          <w:rFonts w:hint="eastAsia" w:ascii="仿宋" w:hAnsi="仿宋" w:eastAsia="仿宋" w:cs="仿宋"/>
          <w:color w:val="auto"/>
          <w:sz w:val="24"/>
          <w:highlight w:val="none"/>
        </w:rPr>
      </w:pPr>
    </w:p>
    <w:p w14:paraId="66934BD0">
      <w:pPr>
        <w:spacing w:line="360" w:lineRule="exact"/>
        <w:rPr>
          <w:rFonts w:hint="eastAsia" w:ascii="仿宋" w:hAnsi="仿宋" w:eastAsia="仿宋" w:cs="仿宋"/>
          <w:color w:val="auto"/>
          <w:sz w:val="24"/>
          <w:highlight w:val="none"/>
        </w:rPr>
      </w:pPr>
    </w:p>
    <w:p w14:paraId="0E72CEB2">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A4131F9">
      <w:pPr>
        <w:ind w:firstLine="4920" w:firstLineChars="2050"/>
        <w:jc w:val="left"/>
        <w:rPr>
          <w:rFonts w:hint="eastAsia" w:ascii="仿宋" w:hAnsi="仿宋" w:eastAsia="仿宋" w:cs="仿宋"/>
          <w:color w:val="auto"/>
          <w:sz w:val="24"/>
          <w:highlight w:val="none"/>
        </w:rPr>
      </w:pPr>
    </w:p>
    <w:p w14:paraId="394C51DA">
      <w:pPr>
        <w:spacing w:line="800" w:lineRule="exact"/>
        <w:rPr>
          <w:rFonts w:hint="eastAsia" w:ascii="仿宋" w:hAnsi="仿宋" w:eastAsia="仿宋" w:cs="仿宋"/>
          <w:b/>
          <w:color w:val="auto"/>
          <w:sz w:val="24"/>
          <w:highlight w:val="none"/>
        </w:rPr>
      </w:pPr>
    </w:p>
    <w:p w14:paraId="4D78F8F2">
      <w:pPr>
        <w:spacing w:line="800" w:lineRule="exact"/>
        <w:rPr>
          <w:rFonts w:hint="eastAsia" w:ascii="仿宋" w:hAnsi="仿宋" w:eastAsia="仿宋" w:cs="仿宋"/>
          <w:b/>
          <w:color w:val="auto"/>
          <w:sz w:val="24"/>
          <w:highlight w:val="none"/>
        </w:rPr>
      </w:pPr>
    </w:p>
    <w:p w14:paraId="4AAE341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DF6B1FB">
      <w:pPr>
        <w:jc w:val="center"/>
        <w:rPr>
          <w:rFonts w:hint="eastAsia" w:ascii="仿宋" w:hAnsi="仿宋" w:eastAsia="仿宋" w:cs="仿宋"/>
          <w:b/>
          <w:color w:val="auto"/>
          <w:sz w:val="24"/>
          <w:highlight w:val="none"/>
        </w:rPr>
      </w:pPr>
    </w:p>
    <w:p w14:paraId="4E30CDBC">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B79A94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DB4D1E1">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66CD74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AB1DA59">
      <w:pPr>
        <w:snapToGrid w:val="0"/>
        <w:spacing w:line="600" w:lineRule="exact"/>
        <w:jc w:val="left"/>
        <w:rPr>
          <w:rFonts w:hint="eastAsia" w:ascii="仿宋" w:hAnsi="仿宋" w:eastAsia="仿宋" w:cs="仿宋"/>
          <w:color w:val="auto"/>
          <w:sz w:val="24"/>
          <w:highlight w:val="none"/>
        </w:rPr>
      </w:pPr>
    </w:p>
    <w:p w14:paraId="4F6581E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EE18A16">
      <w:pPr>
        <w:spacing w:line="360" w:lineRule="exact"/>
        <w:rPr>
          <w:rFonts w:hint="eastAsia" w:ascii="仿宋" w:hAnsi="仿宋" w:eastAsia="仿宋" w:cs="仿宋"/>
          <w:color w:val="auto"/>
          <w:sz w:val="24"/>
          <w:highlight w:val="none"/>
        </w:rPr>
      </w:pPr>
    </w:p>
    <w:p w14:paraId="319A964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DD2B3DA">
      <w:pPr>
        <w:spacing w:line="360" w:lineRule="exact"/>
        <w:rPr>
          <w:rFonts w:hint="eastAsia" w:ascii="仿宋" w:hAnsi="仿宋" w:eastAsia="仿宋" w:cs="仿宋"/>
          <w:color w:val="auto"/>
          <w:sz w:val="24"/>
          <w:highlight w:val="none"/>
        </w:rPr>
      </w:pPr>
    </w:p>
    <w:p w14:paraId="4DA5655E">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9ACFEE8">
      <w:pPr>
        <w:spacing w:line="360" w:lineRule="exact"/>
        <w:rPr>
          <w:rFonts w:hint="eastAsia" w:ascii="仿宋" w:hAnsi="仿宋" w:eastAsia="仿宋" w:cs="仿宋"/>
          <w:color w:val="auto"/>
          <w:sz w:val="24"/>
          <w:highlight w:val="none"/>
        </w:rPr>
      </w:pPr>
    </w:p>
    <w:p w14:paraId="048F3A95">
      <w:pPr>
        <w:spacing w:line="360" w:lineRule="exact"/>
        <w:rPr>
          <w:rFonts w:hint="eastAsia" w:ascii="仿宋" w:hAnsi="仿宋" w:eastAsia="仿宋" w:cs="仿宋"/>
          <w:color w:val="auto"/>
          <w:sz w:val="24"/>
          <w:highlight w:val="none"/>
        </w:rPr>
      </w:pPr>
    </w:p>
    <w:p w14:paraId="126358BB">
      <w:pPr>
        <w:jc w:val="center"/>
        <w:rPr>
          <w:rFonts w:hint="eastAsia" w:ascii="仿宋" w:hAnsi="仿宋" w:eastAsia="仿宋" w:cs="仿宋"/>
          <w:b/>
          <w:color w:val="auto"/>
          <w:kern w:val="0"/>
          <w:sz w:val="32"/>
          <w:szCs w:val="32"/>
          <w:highlight w:val="none"/>
        </w:rPr>
      </w:pPr>
    </w:p>
    <w:p w14:paraId="5F4D1C9C">
      <w:pPr>
        <w:rPr>
          <w:rFonts w:hint="eastAsia" w:ascii="仿宋" w:hAnsi="仿宋" w:eastAsia="仿宋" w:cs="仿宋"/>
          <w:color w:val="auto"/>
          <w:highlight w:val="none"/>
        </w:rPr>
      </w:pPr>
    </w:p>
    <w:p w14:paraId="5FF27B6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DA5C78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EC1B2F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8D33D3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F6031D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5DE8DE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882C29D">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C6C1326">
      <w:pPr>
        <w:spacing w:line="800" w:lineRule="exact"/>
        <w:jc w:val="center"/>
        <w:rPr>
          <w:rFonts w:hint="eastAsia" w:ascii="仿宋" w:hAnsi="仿宋" w:eastAsia="仿宋" w:cs="仿宋"/>
          <w:b/>
          <w:color w:val="auto"/>
          <w:sz w:val="30"/>
          <w:szCs w:val="30"/>
          <w:highlight w:val="none"/>
          <w:lang w:eastAsia="zh-CN"/>
        </w:rPr>
      </w:pPr>
    </w:p>
    <w:p w14:paraId="5FDF83B6">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DB066A7">
      <w:pPr>
        <w:spacing w:line="800" w:lineRule="exact"/>
        <w:rPr>
          <w:rFonts w:hint="eastAsia" w:ascii="仿宋" w:hAnsi="仿宋" w:eastAsia="仿宋" w:cs="仿宋"/>
          <w:b/>
          <w:color w:val="auto"/>
          <w:sz w:val="24"/>
          <w:highlight w:val="none"/>
        </w:rPr>
      </w:pPr>
    </w:p>
    <w:p w14:paraId="47BC4C3F">
      <w:pPr>
        <w:spacing w:line="800" w:lineRule="exact"/>
        <w:rPr>
          <w:rFonts w:hint="eastAsia" w:ascii="仿宋" w:hAnsi="仿宋" w:eastAsia="仿宋" w:cs="仿宋"/>
          <w:b/>
          <w:color w:val="auto"/>
          <w:sz w:val="24"/>
          <w:highlight w:val="none"/>
        </w:rPr>
      </w:pPr>
    </w:p>
    <w:p w14:paraId="132A9008">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4D0A7CD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FAD4FF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2D8D79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8D73E9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33A7FE90">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8571DC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8E12DE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744E7832">
      <w:pPr>
        <w:spacing w:line="440" w:lineRule="exact"/>
        <w:rPr>
          <w:rFonts w:hint="eastAsia" w:ascii="仿宋" w:hAnsi="仿宋" w:eastAsia="仿宋" w:cs="仿宋"/>
          <w:color w:val="auto"/>
          <w:sz w:val="24"/>
          <w:highlight w:val="none"/>
        </w:rPr>
      </w:pPr>
    </w:p>
    <w:p w14:paraId="2D5B33F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4100FC0E">
      <w:pPr>
        <w:spacing w:line="440" w:lineRule="exact"/>
        <w:ind w:right="480"/>
        <w:rPr>
          <w:rFonts w:hint="eastAsia" w:ascii="仿宋" w:hAnsi="仿宋" w:eastAsia="仿宋" w:cs="仿宋"/>
          <w:color w:val="auto"/>
          <w:sz w:val="24"/>
          <w:highlight w:val="none"/>
        </w:rPr>
      </w:pPr>
    </w:p>
    <w:p w14:paraId="593BC33C">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00CF3248">
      <w:pPr>
        <w:jc w:val="center"/>
        <w:rPr>
          <w:rFonts w:hint="eastAsia" w:ascii="仿宋" w:hAnsi="仿宋" w:eastAsia="仿宋" w:cs="仿宋"/>
          <w:b/>
          <w:color w:val="auto"/>
          <w:kern w:val="0"/>
          <w:sz w:val="32"/>
          <w:szCs w:val="32"/>
          <w:highlight w:val="none"/>
        </w:rPr>
      </w:pPr>
    </w:p>
    <w:p w14:paraId="435B756D">
      <w:pPr>
        <w:jc w:val="center"/>
        <w:rPr>
          <w:rFonts w:hint="eastAsia" w:ascii="仿宋" w:hAnsi="仿宋" w:eastAsia="仿宋" w:cs="仿宋"/>
          <w:b/>
          <w:color w:val="auto"/>
          <w:kern w:val="0"/>
          <w:sz w:val="32"/>
          <w:szCs w:val="32"/>
          <w:highlight w:val="none"/>
        </w:rPr>
      </w:pPr>
    </w:p>
    <w:p w14:paraId="4CE324EC">
      <w:pPr>
        <w:jc w:val="both"/>
        <w:rPr>
          <w:rFonts w:hint="eastAsia" w:ascii="仿宋" w:hAnsi="仿宋" w:eastAsia="仿宋" w:cs="仿宋"/>
          <w:b/>
          <w:color w:val="auto"/>
          <w:kern w:val="0"/>
          <w:sz w:val="32"/>
          <w:szCs w:val="32"/>
          <w:highlight w:val="none"/>
        </w:rPr>
      </w:pPr>
    </w:p>
    <w:p w14:paraId="0D22671C">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02C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A41E96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41E1E7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E7C118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1F6C8BC">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F3C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E8D215F">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1F0650C">
            <w:pPr>
              <w:jc w:val="center"/>
              <w:rPr>
                <w:rFonts w:hint="eastAsia" w:ascii="仿宋" w:hAnsi="仿宋" w:eastAsia="仿宋" w:cs="仿宋"/>
                <w:b/>
                <w:color w:val="auto"/>
                <w:kern w:val="0"/>
                <w:sz w:val="32"/>
                <w:szCs w:val="32"/>
                <w:highlight w:val="none"/>
              </w:rPr>
            </w:pPr>
          </w:p>
        </w:tc>
        <w:tc>
          <w:tcPr>
            <w:tcW w:w="3546" w:type="dxa"/>
          </w:tcPr>
          <w:p w14:paraId="30725268">
            <w:pPr>
              <w:jc w:val="center"/>
              <w:rPr>
                <w:rFonts w:hint="eastAsia" w:ascii="仿宋" w:hAnsi="仿宋" w:eastAsia="仿宋" w:cs="仿宋"/>
                <w:b/>
                <w:color w:val="auto"/>
                <w:kern w:val="0"/>
                <w:sz w:val="32"/>
                <w:szCs w:val="32"/>
                <w:highlight w:val="none"/>
              </w:rPr>
            </w:pPr>
          </w:p>
        </w:tc>
        <w:tc>
          <w:tcPr>
            <w:tcW w:w="1276" w:type="dxa"/>
          </w:tcPr>
          <w:p w14:paraId="5327CEF8">
            <w:pPr>
              <w:jc w:val="center"/>
              <w:rPr>
                <w:rFonts w:hint="eastAsia" w:ascii="仿宋" w:hAnsi="仿宋" w:eastAsia="仿宋" w:cs="仿宋"/>
                <w:b/>
                <w:color w:val="auto"/>
                <w:kern w:val="0"/>
                <w:sz w:val="32"/>
                <w:szCs w:val="32"/>
                <w:highlight w:val="none"/>
              </w:rPr>
            </w:pPr>
          </w:p>
        </w:tc>
      </w:tr>
      <w:tr w14:paraId="2062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33098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6BF97D3A">
            <w:pPr>
              <w:jc w:val="center"/>
              <w:rPr>
                <w:rFonts w:hint="eastAsia" w:ascii="仿宋" w:hAnsi="仿宋" w:eastAsia="仿宋" w:cs="仿宋"/>
                <w:b/>
                <w:color w:val="auto"/>
                <w:kern w:val="0"/>
                <w:sz w:val="32"/>
                <w:szCs w:val="32"/>
                <w:highlight w:val="none"/>
              </w:rPr>
            </w:pPr>
          </w:p>
        </w:tc>
        <w:tc>
          <w:tcPr>
            <w:tcW w:w="3546" w:type="dxa"/>
          </w:tcPr>
          <w:p w14:paraId="75AA8603">
            <w:pPr>
              <w:jc w:val="center"/>
              <w:rPr>
                <w:rFonts w:hint="eastAsia" w:ascii="仿宋" w:hAnsi="仿宋" w:eastAsia="仿宋" w:cs="仿宋"/>
                <w:b/>
                <w:color w:val="auto"/>
                <w:kern w:val="0"/>
                <w:sz w:val="32"/>
                <w:szCs w:val="32"/>
                <w:highlight w:val="none"/>
              </w:rPr>
            </w:pPr>
          </w:p>
        </w:tc>
        <w:tc>
          <w:tcPr>
            <w:tcW w:w="1276" w:type="dxa"/>
          </w:tcPr>
          <w:p w14:paraId="3DB396DB">
            <w:pPr>
              <w:jc w:val="center"/>
              <w:rPr>
                <w:rFonts w:hint="eastAsia" w:ascii="仿宋" w:hAnsi="仿宋" w:eastAsia="仿宋" w:cs="仿宋"/>
                <w:b/>
                <w:color w:val="auto"/>
                <w:kern w:val="0"/>
                <w:sz w:val="32"/>
                <w:szCs w:val="32"/>
                <w:highlight w:val="none"/>
              </w:rPr>
            </w:pPr>
          </w:p>
        </w:tc>
      </w:tr>
      <w:tr w14:paraId="48E6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993647">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7652B659">
            <w:pPr>
              <w:jc w:val="center"/>
              <w:rPr>
                <w:rFonts w:hint="eastAsia" w:ascii="仿宋" w:hAnsi="仿宋" w:eastAsia="仿宋" w:cs="仿宋"/>
                <w:b/>
                <w:color w:val="auto"/>
                <w:kern w:val="0"/>
                <w:sz w:val="32"/>
                <w:szCs w:val="32"/>
                <w:highlight w:val="none"/>
              </w:rPr>
            </w:pPr>
          </w:p>
        </w:tc>
        <w:tc>
          <w:tcPr>
            <w:tcW w:w="3546" w:type="dxa"/>
          </w:tcPr>
          <w:p w14:paraId="2794B6B0">
            <w:pPr>
              <w:jc w:val="center"/>
              <w:rPr>
                <w:rFonts w:hint="eastAsia" w:ascii="仿宋" w:hAnsi="仿宋" w:eastAsia="仿宋" w:cs="仿宋"/>
                <w:b/>
                <w:color w:val="auto"/>
                <w:kern w:val="0"/>
                <w:sz w:val="32"/>
                <w:szCs w:val="32"/>
                <w:highlight w:val="none"/>
              </w:rPr>
            </w:pPr>
          </w:p>
        </w:tc>
        <w:tc>
          <w:tcPr>
            <w:tcW w:w="1276" w:type="dxa"/>
          </w:tcPr>
          <w:p w14:paraId="19696AE0">
            <w:pPr>
              <w:jc w:val="center"/>
              <w:rPr>
                <w:rFonts w:hint="eastAsia" w:ascii="仿宋" w:hAnsi="仿宋" w:eastAsia="仿宋" w:cs="仿宋"/>
                <w:b/>
                <w:color w:val="auto"/>
                <w:kern w:val="0"/>
                <w:sz w:val="32"/>
                <w:szCs w:val="32"/>
                <w:highlight w:val="none"/>
              </w:rPr>
            </w:pPr>
          </w:p>
        </w:tc>
      </w:tr>
    </w:tbl>
    <w:p w14:paraId="2BF0324E">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779D9A7">
      <w:pPr>
        <w:jc w:val="center"/>
        <w:rPr>
          <w:rFonts w:hint="eastAsia" w:ascii="仿宋" w:hAnsi="仿宋" w:eastAsia="仿宋" w:cs="仿宋"/>
          <w:b/>
          <w:color w:val="auto"/>
          <w:kern w:val="0"/>
          <w:sz w:val="32"/>
          <w:szCs w:val="32"/>
          <w:highlight w:val="none"/>
        </w:rPr>
      </w:pPr>
    </w:p>
    <w:p w14:paraId="6EC5FA13">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1C67EE0">
      <w:pPr>
        <w:widowControl/>
        <w:adjustRightInd/>
        <w:jc w:val="left"/>
        <w:rPr>
          <w:rFonts w:hint="eastAsia" w:ascii="仿宋" w:hAnsi="仿宋" w:eastAsia="仿宋" w:cs="仿宋"/>
          <w:b/>
          <w:bCs/>
          <w:color w:val="auto"/>
          <w:sz w:val="32"/>
          <w:szCs w:val="32"/>
          <w:highlight w:val="none"/>
          <w:lang w:eastAsia="zh-CN"/>
        </w:rPr>
      </w:pPr>
    </w:p>
    <w:p w14:paraId="7A75258A">
      <w:pPr>
        <w:widowControl/>
        <w:adjustRightInd/>
        <w:jc w:val="center"/>
        <w:rPr>
          <w:rFonts w:hint="eastAsia" w:ascii="仿宋" w:hAnsi="仿宋" w:eastAsia="仿宋" w:cs="仿宋"/>
          <w:b/>
          <w:bCs/>
          <w:color w:val="auto"/>
          <w:sz w:val="32"/>
          <w:szCs w:val="32"/>
          <w:highlight w:val="none"/>
          <w:lang w:eastAsia="zh-CN"/>
        </w:rPr>
      </w:pPr>
    </w:p>
    <w:p w14:paraId="1495D4FB">
      <w:pPr>
        <w:widowControl/>
        <w:adjustRightInd/>
        <w:jc w:val="center"/>
        <w:rPr>
          <w:rFonts w:hint="eastAsia" w:ascii="仿宋" w:hAnsi="仿宋" w:eastAsia="仿宋" w:cs="仿宋"/>
          <w:b/>
          <w:bCs/>
          <w:color w:val="auto"/>
          <w:sz w:val="32"/>
          <w:szCs w:val="32"/>
          <w:highlight w:val="none"/>
          <w:lang w:eastAsia="zh-CN"/>
        </w:rPr>
      </w:pPr>
    </w:p>
    <w:p w14:paraId="5143DD21">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33CB08F">
      <w:pPr>
        <w:snapToGrid w:val="0"/>
        <w:spacing w:line="360" w:lineRule="auto"/>
        <w:rPr>
          <w:rFonts w:hint="eastAsia" w:ascii="仿宋" w:hAnsi="仿宋" w:eastAsia="仿宋" w:cs="仿宋"/>
          <w:color w:val="auto"/>
          <w:sz w:val="24"/>
          <w:highlight w:val="none"/>
        </w:rPr>
      </w:pPr>
    </w:p>
    <w:p w14:paraId="4FF1CA3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C8146B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299F69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33355D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40AEEF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06C73B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F494F3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73B8246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1AC0FA9">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65479FF4">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055621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332DBC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60DC19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1E08CA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B67F6CB">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45E45C04">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07A45A4">
      <w:pPr>
        <w:spacing w:line="360" w:lineRule="auto"/>
        <w:jc w:val="center"/>
        <w:rPr>
          <w:rFonts w:hint="eastAsia" w:ascii="仿宋" w:hAnsi="仿宋" w:eastAsia="仿宋" w:cs="仿宋"/>
          <w:b/>
          <w:bCs/>
          <w:color w:val="auto"/>
          <w:sz w:val="24"/>
          <w:highlight w:val="none"/>
        </w:rPr>
      </w:pPr>
    </w:p>
    <w:p w14:paraId="3F7AA2B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132124C">
      <w:pPr>
        <w:spacing w:line="360" w:lineRule="auto"/>
        <w:jc w:val="center"/>
        <w:rPr>
          <w:rFonts w:hint="eastAsia" w:ascii="仿宋" w:hAnsi="仿宋" w:eastAsia="仿宋" w:cs="仿宋"/>
          <w:b/>
          <w:bCs/>
          <w:color w:val="auto"/>
          <w:sz w:val="24"/>
          <w:highlight w:val="none"/>
        </w:rPr>
      </w:pPr>
    </w:p>
    <w:p w14:paraId="12DCF7B9">
      <w:pPr>
        <w:pStyle w:val="80"/>
        <w:jc w:val="center"/>
        <w:rPr>
          <w:rFonts w:hint="eastAsia" w:ascii="仿宋" w:hAnsi="仿宋" w:eastAsia="仿宋" w:cs="仿宋"/>
          <w:b/>
          <w:bCs/>
          <w:color w:val="auto"/>
          <w:sz w:val="24"/>
          <w:highlight w:val="none"/>
        </w:rPr>
      </w:pPr>
    </w:p>
    <w:p w14:paraId="15BA878B">
      <w:pPr>
        <w:spacing w:line="360" w:lineRule="auto"/>
        <w:jc w:val="center"/>
        <w:rPr>
          <w:rFonts w:hint="eastAsia" w:ascii="仿宋_GB2312" w:hAnsi="仿宋_GB2312" w:eastAsia="仿宋_GB2312" w:cs="仿宋_GB2312"/>
          <w:b/>
          <w:color w:val="auto"/>
          <w:sz w:val="32"/>
          <w:szCs w:val="32"/>
          <w:highlight w:val="none"/>
          <w:lang w:eastAsia="zh-CN"/>
        </w:rPr>
      </w:pPr>
    </w:p>
    <w:p w14:paraId="0BB6C70F">
      <w:pPr>
        <w:spacing w:line="360" w:lineRule="auto"/>
        <w:jc w:val="center"/>
        <w:rPr>
          <w:rFonts w:hint="eastAsia" w:ascii="仿宋_GB2312" w:hAnsi="仿宋_GB2312" w:eastAsia="仿宋_GB2312" w:cs="仿宋_GB2312"/>
          <w:b/>
          <w:color w:val="auto"/>
          <w:sz w:val="32"/>
          <w:szCs w:val="32"/>
          <w:highlight w:val="none"/>
          <w:lang w:eastAsia="zh-CN"/>
        </w:rPr>
      </w:pPr>
    </w:p>
    <w:p w14:paraId="77E18561">
      <w:pPr>
        <w:spacing w:line="360" w:lineRule="auto"/>
        <w:jc w:val="center"/>
        <w:rPr>
          <w:rFonts w:hint="eastAsia" w:ascii="仿宋_GB2312" w:hAnsi="仿宋_GB2312" w:eastAsia="仿宋_GB2312" w:cs="仿宋_GB2312"/>
          <w:b/>
          <w:color w:val="auto"/>
          <w:sz w:val="32"/>
          <w:szCs w:val="32"/>
          <w:highlight w:val="none"/>
          <w:lang w:eastAsia="zh-CN"/>
        </w:rPr>
      </w:pPr>
    </w:p>
    <w:p w14:paraId="084973B4">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C4DB403">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A19E86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1E9F5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7EDE5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E345EA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3EA5E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A9186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8AC3F0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2573DF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1F24DF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A7431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A9CC4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F7EF82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EF6C5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50EFDB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E6138BE">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3390B0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ED8F36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D36592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FE9387D">
            <w:pPr>
              <w:autoSpaceDE w:val="0"/>
              <w:autoSpaceDN w:val="0"/>
              <w:spacing w:line="360" w:lineRule="auto"/>
              <w:rPr>
                <w:rFonts w:ascii="仿宋_GB2312" w:hAnsi="仿宋_GB2312" w:eastAsia="仿宋_GB2312" w:cs="仿宋_GB2312"/>
                <w:color w:val="auto"/>
                <w:sz w:val="24"/>
                <w:highlight w:val="none"/>
              </w:rPr>
            </w:pPr>
          </w:p>
        </w:tc>
      </w:tr>
      <w:tr w14:paraId="1421201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15065C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76F901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4C445F3">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1E7348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C2264F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082B0BE">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A79058E">
            <w:pPr>
              <w:autoSpaceDE w:val="0"/>
              <w:autoSpaceDN w:val="0"/>
              <w:spacing w:line="360" w:lineRule="auto"/>
              <w:rPr>
                <w:rFonts w:ascii="仿宋_GB2312" w:hAnsi="仿宋_GB2312" w:eastAsia="仿宋_GB2312" w:cs="仿宋_GB2312"/>
                <w:color w:val="auto"/>
                <w:sz w:val="24"/>
                <w:highlight w:val="none"/>
              </w:rPr>
            </w:pPr>
          </w:p>
        </w:tc>
      </w:tr>
      <w:tr w14:paraId="6A71ACD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9F4B60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42D0B6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7E416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3FB7CED">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1C6F98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F0C055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1EFF7CE">
            <w:pPr>
              <w:autoSpaceDE w:val="0"/>
              <w:autoSpaceDN w:val="0"/>
              <w:spacing w:line="360" w:lineRule="auto"/>
              <w:rPr>
                <w:rFonts w:ascii="仿宋_GB2312" w:hAnsi="仿宋_GB2312" w:eastAsia="仿宋_GB2312" w:cs="仿宋_GB2312"/>
                <w:color w:val="auto"/>
                <w:sz w:val="24"/>
                <w:highlight w:val="none"/>
              </w:rPr>
            </w:pPr>
          </w:p>
        </w:tc>
      </w:tr>
    </w:tbl>
    <w:p w14:paraId="1A5C844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28F93B3">
      <w:pPr>
        <w:autoSpaceDE w:val="0"/>
        <w:autoSpaceDN w:val="0"/>
        <w:spacing w:line="360" w:lineRule="auto"/>
        <w:rPr>
          <w:rFonts w:ascii="仿宋_GB2312" w:hAnsi="仿宋_GB2312" w:eastAsia="仿宋_GB2312" w:cs="仿宋_GB2312"/>
          <w:b/>
          <w:color w:val="auto"/>
          <w:sz w:val="24"/>
          <w:highlight w:val="none"/>
        </w:rPr>
      </w:pPr>
    </w:p>
    <w:p w14:paraId="64E6AED1">
      <w:pPr>
        <w:autoSpaceDE w:val="0"/>
        <w:autoSpaceDN w:val="0"/>
        <w:spacing w:line="360" w:lineRule="auto"/>
        <w:rPr>
          <w:rFonts w:ascii="仿宋_GB2312" w:hAnsi="仿宋_GB2312" w:eastAsia="仿宋_GB2312" w:cs="仿宋_GB2312"/>
          <w:color w:val="auto"/>
          <w:sz w:val="24"/>
          <w:highlight w:val="none"/>
        </w:rPr>
      </w:pPr>
    </w:p>
    <w:p w14:paraId="2632033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05E288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9394EC">
      <w:pPr>
        <w:pStyle w:val="649"/>
        <w:ind w:firstLine="0"/>
        <w:jc w:val="both"/>
        <w:rPr>
          <w:rFonts w:hAnsi="仿宋_GB2312" w:cs="仿宋_GB2312"/>
          <w:color w:val="auto"/>
          <w:highlight w:val="none"/>
        </w:rPr>
      </w:pPr>
    </w:p>
    <w:p w14:paraId="51F5B5B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14:paraId="55237B2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1385119">
      <w:pPr>
        <w:spacing w:line="360" w:lineRule="auto"/>
        <w:jc w:val="center"/>
        <w:rPr>
          <w:rFonts w:ascii="仿宋_GB2312" w:hAnsi="仿宋_GB2312" w:eastAsia="仿宋_GB2312" w:cs="仿宋_GB2312"/>
          <w:color w:val="auto"/>
          <w:sz w:val="24"/>
          <w:highlight w:val="none"/>
        </w:rPr>
      </w:pPr>
    </w:p>
    <w:p w14:paraId="50A491C0">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452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654338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C43CD6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5CAB223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1F92206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1D9692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2A37035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CEC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F5FFD3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0EF6DB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ADBB6D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04681AD">
            <w:pPr>
              <w:spacing w:line="360" w:lineRule="auto"/>
              <w:jc w:val="center"/>
              <w:rPr>
                <w:rFonts w:ascii="仿宋_GB2312" w:hAnsi="仿宋_GB2312" w:eastAsia="仿宋_GB2312" w:cs="仿宋_GB2312"/>
                <w:color w:val="auto"/>
                <w:sz w:val="24"/>
                <w:highlight w:val="none"/>
              </w:rPr>
            </w:pPr>
          </w:p>
        </w:tc>
        <w:tc>
          <w:tcPr>
            <w:tcW w:w="1080" w:type="dxa"/>
            <w:vAlign w:val="center"/>
          </w:tcPr>
          <w:p w14:paraId="345CFD26">
            <w:pPr>
              <w:spacing w:line="360" w:lineRule="auto"/>
              <w:jc w:val="center"/>
              <w:rPr>
                <w:rFonts w:ascii="仿宋_GB2312" w:hAnsi="仿宋_GB2312" w:eastAsia="仿宋_GB2312" w:cs="仿宋_GB2312"/>
                <w:color w:val="auto"/>
                <w:sz w:val="24"/>
                <w:highlight w:val="none"/>
              </w:rPr>
            </w:pPr>
          </w:p>
        </w:tc>
        <w:tc>
          <w:tcPr>
            <w:tcW w:w="1332" w:type="dxa"/>
            <w:vAlign w:val="center"/>
          </w:tcPr>
          <w:p w14:paraId="21009C44">
            <w:pPr>
              <w:spacing w:line="360" w:lineRule="auto"/>
              <w:jc w:val="center"/>
              <w:rPr>
                <w:rFonts w:ascii="仿宋_GB2312" w:hAnsi="仿宋_GB2312" w:eastAsia="仿宋_GB2312" w:cs="仿宋_GB2312"/>
                <w:color w:val="auto"/>
                <w:sz w:val="24"/>
                <w:highlight w:val="none"/>
              </w:rPr>
            </w:pPr>
          </w:p>
        </w:tc>
      </w:tr>
      <w:tr w14:paraId="17FA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03866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40E6EF9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062A0E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131810E">
            <w:pPr>
              <w:spacing w:line="360" w:lineRule="auto"/>
              <w:jc w:val="center"/>
              <w:rPr>
                <w:rFonts w:ascii="仿宋_GB2312" w:hAnsi="仿宋_GB2312" w:eastAsia="仿宋_GB2312" w:cs="仿宋_GB2312"/>
                <w:color w:val="auto"/>
                <w:sz w:val="24"/>
                <w:highlight w:val="none"/>
              </w:rPr>
            </w:pPr>
          </w:p>
        </w:tc>
        <w:tc>
          <w:tcPr>
            <w:tcW w:w="1080" w:type="dxa"/>
            <w:vAlign w:val="center"/>
          </w:tcPr>
          <w:p w14:paraId="172C265F">
            <w:pPr>
              <w:spacing w:line="360" w:lineRule="auto"/>
              <w:jc w:val="center"/>
              <w:rPr>
                <w:rFonts w:ascii="仿宋_GB2312" w:hAnsi="仿宋_GB2312" w:eastAsia="仿宋_GB2312" w:cs="仿宋_GB2312"/>
                <w:color w:val="auto"/>
                <w:sz w:val="24"/>
                <w:highlight w:val="none"/>
              </w:rPr>
            </w:pPr>
          </w:p>
        </w:tc>
        <w:tc>
          <w:tcPr>
            <w:tcW w:w="1332" w:type="dxa"/>
            <w:vAlign w:val="center"/>
          </w:tcPr>
          <w:p w14:paraId="269E13FD">
            <w:pPr>
              <w:spacing w:line="360" w:lineRule="auto"/>
              <w:jc w:val="center"/>
              <w:rPr>
                <w:rFonts w:ascii="仿宋_GB2312" w:hAnsi="仿宋_GB2312" w:eastAsia="仿宋_GB2312" w:cs="仿宋_GB2312"/>
                <w:color w:val="auto"/>
                <w:sz w:val="24"/>
                <w:highlight w:val="none"/>
              </w:rPr>
            </w:pPr>
          </w:p>
        </w:tc>
      </w:tr>
      <w:tr w14:paraId="608A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8BCAE1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C77DB0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1BD128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E57F36F">
            <w:pPr>
              <w:spacing w:line="360" w:lineRule="auto"/>
              <w:jc w:val="center"/>
              <w:rPr>
                <w:rFonts w:ascii="仿宋_GB2312" w:hAnsi="仿宋_GB2312" w:eastAsia="仿宋_GB2312" w:cs="仿宋_GB2312"/>
                <w:color w:val="auto"/>
                <w:sz w:val="24"/>
                <w:highlight w:val="none"/>
              </w:rPr>
            </w:pPr>
          </w:p>
        </w:tc>
        <w:tc>
          <w:tcPr>
            <w:tcW w:w="1080" w:type="dxa"/>
            <w:vAlign w:val="center"/>
          </w:tcPr>
          <w:p w14:paraId="19206F89">
            <w:pPr>
              <w:spacing w:line="360" w:lineRule="auto"/>
              <w:jc w:val="center"/>
              <w:rPr>
                <w:rFonts w:ascii="仿宋_GB2312" w:hAnsi="仿宋_GB2312" w:eastAsia="仿宋_GB2312" w:cs="仿宋_GB2312"/>
                <w:color w:val="auto"/>
                <w:sz w:val="24"/>
                <w:highlight w:val="none"/>
              </w:rPr>
            </w:pPr>
          </w:p>
        </w:tc>
        <w:tc>
          <w:tcPr>
            <w:tcW w:w="1332" w:type="dxa"/>
            <w:vAlign w:val="center"/>
          </w:tcPr>
          <w:p w14:paraId="0B8CA68A">
            <w:pPr>
              <w:spacing w:line="360" w:lineRule="auto"/>
              <w:jc w:val="center"/>
              <w:rPr>
                <w:rFonts w:ascii="仿宋_GB2312" w:hAnsi="仿宋_GB2312" w:eastAsia="仿宋_GB2312" w:cs="仿宋_GB2312"/>
                <w:color w:val="auto"/>
                <w:sz w:val="24"/>
                <w:highlight w:val="none"/>
              </w:rPr>
            </w:pPr>
          </w:p>
        </w:tc>
      </w:tr>
      <w:tr w14:paraId="36AC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31246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C76F0F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037195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8B30A2B">
            <w:pPr>
              <w:spacing w:line="360" w:lineRule="auto"/>
              <w:jc w:val="center"/>
              <w:rPr>
                <w:rFonts w:ascii="仿宋_GB2312" w:hAnsi="仿宋_GB2312" w:eastAsia="仿宋_GB2312" w:cs="仿宋_GB2312"/>
                <w:color w:val="auto"/>
                <w:sz w:val="24"/>
                <w:highlight w:val="none"/>
              </w:rPr>
            </w:pPr>
          </w:p>
        </w:tc>
        <w:tc>
          <w:tcPr>
            <w:tcW w:w="1080" w:type="dxa"/>
            <w:vAlign w:val="center"/>
          </w:tcPr>
          <w:p w14:paraId="2B4265B8">
            <w:pPr>
              <w:spacing w:line="360" w:lineRule="auto"/>
              <w:jc w:val="center"/>
              <w:rPr>
                <w:rFonts w:ascii="仿宋_GB2312" w:hAnsi="仿宋_GB2312" w:eastAsia="仿宋_GB2312" w:cs="仿宋_GB2312"/>
                <w:color w:val="auto"/>
                <w:sz w:val="24"/>
                <w:highlight w:val="none"/>
              </w:rPr>
            </w:pPr>
          </w:p>
        </w:tc>
        <w:tc>
          <w:tcPr>
            <w:tcW w:w="1332" w:type="dxa"/>
            <w:vAlign w:val="center"/>
          </w:tcPr>
          <w:p w14:paraId="0CE190F2">
            <w:pPr>
              <w:spacing w:line="360" w:lineRule="auto"/>
              <w:jc w:val="center"/>
              <w:rPr>
                <w:rFonts w:ascii="仿宋_GB2312" w:hAnsi="仿宋_GB2312" w:eastAsia="仿宋_GB2312" w:cs="仿宋_GB2312"/>
                <w:color w:val="auto"/>
                <w:sz w:val="24"/>
                <w:highlight w:val="none"/>
              </w:rPr>
            </w:pPr>
          </w:p>
        </w:tc>
      </w:tr>
      <w:tr w14:paraId="247F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EF8E44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40CA46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4BB1CB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19408FD">
            <w:pPr>
              <w:spacing w:line="360" w:lineRule="auto"/>
              <w:jc w:val="center"/>
              <w:rPr>
                <w:rFonts w:ascii="仿宋_GB2312" w:hAnsi="仿宋_GB2312" w:eastAsia="仿宋_GB2312" w:cs="仿宋_GB2312"/>
                <w:color w:val="auto"/>
                <w:sz w:val="24"/>
                <w:highlight w:val="none"/>
              </w:rPr>
            </w:pPr>
          </w:p>
        </w:tc>
        <w:tc>
          <w:tcPr>
            <w:tcW w:w="1080" w:type="dxa"/>
            <w:vAlign w:val="center"/>
          </w:tcPr>
          <w:p w14:paraId="0A3E0718">
            <w:pPr>
              <w:spacing w:line="360" w:lineRule="auto"/>
              <w:jc w:val="center"/>
              <w:rPr>
                <w:rFonts w:ascii="仿宋_GB2312" w:hAnsi="仿宋_GB2312" w:eastAsia="仿宋_GB2312" w:cs="仿宋_GB2312"/>
                <w:color w:val="auto"/>
                <w:sz w:val="24"/>
                <w:highlight w:val="none"/>
              </w:rPr>
            </w:pPr>
          </w:p>
        </w:tc>
        <w:tc>
          <w:tcPr>
            <w:tcW w:w="1332" w:type="dxa"/>
            <w:vAlign w:val="center"/>
          </w:tcPr>
          <w:p w14:paraId="5647976A">
            <w:pPr>
              <w:spacing w:line="360" w:lineRule="auto"/>
              <w:jc w:val="center"/>
              <w:rPr>
                <w:rFonts w:ascii="仿宋_GB2312" w:hAnsi="仿宋_GB2312" w:eastAsia="仿宋_GB2312" w:cs="仿宋_GB2312"/>
                <w:color w:val="auto"/>
                <w:sz w:val="24"/>
                <w:highlight w:val="none"/>
              </w:rPr>
            </w:pPr>
          </w:p>
        </w:tc>
      </w:tr>
    </w:tbl>
    <w:p w14:paraId="2E6C311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5D1B2B2">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3409CE61">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704D79E3">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5C6EDC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57E9BD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922FE3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6349C6B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A04B3F7">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14:paraId="1FA087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4F85A9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F59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DCE95E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7183A2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AD5841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11F2349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94372A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53B8C2C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4A2954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0507AF4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288EFF4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6F37C5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701346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D5D9D8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02A2BD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B99E90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A76857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63EBB0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2A7FE5F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9762DF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0159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8A5337">
            <w:pPr>
              <w:spacing w:line="360" w:lineRule="auto"/>
              <w:rPr>
                <w:rFonts w:ascii="仿宋_GB2312" w:hAnsi="仿宋_GB2312" w:eastAsia="仿宋_GB2312" w:cs="仿宋_GB2312"/>
                <w:color w:val="auto"/>
                <w:sz w:val="24"/>
                <w:highlight w:val="none"/>
              </w:rPr>
            </w:pPr>
          </w:p>
        </w:tc>
        <w:tc>
          <w:tcPr>
            <w:tcW w:w="552" w:type="dxa"/>
          </w:tcPr>
          <w:p w14:paraId="6C8527B8">
            <w:pPr>
              <w:spacing w:line="360" w:lineRule="auto"/>
              <w:rPr>
                <w:rFonts w:ascii="仿宋_GB2312" w:hAnsi="仿宋_GB2312" w:eastAsia="仿宋_GB2312" w:cs="仿宋_GB2312"/>
                <w:color w:val="auto"/>
                <w:sz w:val="24"/>
                <w:highlight w:val="none"/>
              </w:rPr>
            </w:pPr>
          </w:p>
        </w:tc>
        <w:tc>
          <w:tcPr>
            <w:tcW w:w="552" w:type="dxa"/>
          </w:tcPr>
          <w:p w14:paraId="757778C9">
            <w:pPr>
              <w:spacing w:line="360" w:lineRule="auto"/>
              <w:rPr>
                <w:rFonts w:ascii="仿宋_GB2312" w:hAnsi="仿宋_GB2312" w:eastAsia="仿宋_GB2312" w:cs="仿宋_GB2312"/>
                <w:color w:val="auto"/>
                <w:sz w:val="24"/>
                <w:highlight w:val="none"/>
              </w:rPr>
            </w:pPr>
          </w:p>
        </w:tc>
        <w:tc>
          <w:tcPr>
            <w:tcW w:w="552" w:type="dxa"/>
          </w:tcPr>
          <w:p w14:paraId="46CBF3FB">
            <w:pPr>
              <w:spacing w:line="360" w:lineRule="auto"/>
              <w:rPr>
                <w:rFonts w:ascii="仿宋_GB2312" w:hAnsi="仿宋_GB2312" w:eastAsia="仿宋_GB2312" w:cs="仿宋_GB2312"/>
                <w:color w:val="auto"/>
                <w:sz w:val="24"/>
                <w:highlight w:val="none"/>
              </w:rPr>
            </w:pPr>
          </w:p>
        </w:tc>
        <w:tc>
          <w:tcPr>
            <w:tcW w:w="552" w:type="dxa"/>
          </w:tcPr>
          <w:p w14:paraId="17BA9910">
            <w:pPr>
              <w:spacing w:line="360" w:lineRule="auto"/>
              <w:rPr>
                <w:rFonts w:ascii="仿宋_GB2312" w:hAnsi="仿宋_GB2312" w:eastAsia="仿宋_GB2312" w:cs="仿宋_GB2312"/>
                <w:color w:val="auto"/>
                <w:sz w:val="24"/>
                <w:highlight w:val="none"/>
              </w:rPr>
            </w:pPr>
          </w:p>
        </w:tc>
        <w:tc>
          <w:tcPr>
            <w:tcW w:w="552" w:type="dxa"/>
          </w:tcPr>
          <w:p w14:paraId="12966787">
            <w:pPr>
              <w:spacing w:line="360" w:lineRule="auto"/>
              <w:rPr>
                <w:rFonts w:ascii="仿宋_GB2312" w:hAnsi="仿宋_GB2312" w:eastAsia="仿宋_GB2312" w:cs="仿宋_GB2312"/>
                <w:color w:val="auto"/>
                <w:sz w:val="24"/>
                <w:highlight w:val="none"/>
              </w:rPr>
            </w:pPr>
          </w:p>
        </w:tc>
        <w:tc>
          <w:tcPr>
            <w:tcW w:w="552" w:type="dxa"/>
          </w:tcPr>
          <w:p w14:paraId="6ACEC64E">
            <w:pPr>
              <w:spacing w:line="360" w:lineRule="auto"/>
              <w:rPr>
                <w:rFonts w:ascii="仿宋_GB2312" w:hAnsi="仿宋_GB2312" w:eastAsia="仿宋_GB2312" w:cs="仿宋_GB2312"/>
                <w:color w:val="auto"/>
                <w:sz w:val="24"/>
                <w:highlight w:val="none"/>
              </w:rPr>
            </w:pPr>
          </w:p>
        </w:tc>
        <w:tc>
          <w:tcPr>
            <w:tcW w:w="553" w:type="dxa"/>
          </w:tcPr>
          <w:p w14:paraId="6813E23C">
            <w:pPr>
              <w:spacing w:line="360" w:lineRule="auto"/>
              <w:rPr>
                <w:rFonts w:ascii="仿宋_GB2312" w:hAnsi="仿宋_GB2312" w:eastAsia="仿宋_GB2312" w:cs="仿宋_GB2312"/>
                <w:color w:val="auto"/>
                <w:sz w:val="24"/>
                <w:highlight w:val="none"/>
              </w:rPr>
            </w:pPr>
          </w:p>
        </w:tc>
        <w:tc>
          <w:tcPr>
            <w:tcW w:w="553" w:type="dxa"/>
          </w:tcPr>
          <w:p w14:paraId="627F7B94">
            <w:pPr>
              <w:spacing w:line="360" w:lineRule="auto"/>
              <w:rPr>
                <w:rFonts w:ascii="仿宋_GB2312" w:hAnsi="仿宋_GB2312" w:eastAsia="仿宋_GB2312" w:cs="仿宋_GB2312"/>
                <w:color w:val="auto"/>
                <w:sz w:val="24"/>
                <w:highlight w:val="none"/>
              </w:rPr>
            </w:pPr>
          </w:p>
        </w:tc>
        <w:tc>
          <w:tcPr>
            <w:tcW w:w="553" w:type="dxa"/>
          </w:tcPr>
          <w:p w14:paraId="652068AC">
            <w:pPr>
              <w:spacing w:line="360" w:lineRule="auto"/>
              <w:rPr>
                <w:rFonts w:ascii="仿宋_GB2312" w:hAnsi="仿宋_GB2312" w:eastAsia="仿宋_GB2312" w:cs="仿宋_GB2312"/>
                <w:color w:val="auto"/>
                <w:sz w:val="24"/>
                <w:highlight w:val="none"/>
              </w:rPr>
            </w:pPr>
          </w:p>
        </w:tc>
        <w:tc>
          <w:tcPr>
            <w:tcW w:w="553" w:type="dxa"/>
          </w:tcPr>
          <w:p w14:paraId="7116DF23">
            <w:pPr>
              <w:spacing w:line="360" w:lineRule="auto"/>
              <w:rPr>
                <w:rFonts w:ascii="仿宋_GB2312" w:hAnsi="仿宋_GB2312" w:eastAsia="仿宋_GB2312" w:cs="仿宋_GB2312"/>
                <w:color w:val="auto"/>
                <w:sz w:val="24"/>
                <w:highlight w:val="none"/>
              </w:rPr>
            </w:pPr>
          </w:p>
        </w:tc>
        <w:tc>
          <w:tcPr>
            <w:tcW w:w="553" w:type="dxa"/>
          </w:tcPr>
          <w:p w14:paraId="18A1AAA7">
            <w:pPr>
              <w:spacing w:line="360" w:lineRule="auto"/>
              <w:rPr>
                <w:rFonts w:ascii="仿宋_GB2312" w:hAnsi="仿宋_GB2312" w:eastAsia="仿宋_GB2312" w:cs="仿宋_GB2312"/>
                <w:color w:val="auto"/>
                <w:sz w:val="24"/>
                <w:highlight w:val="none"/>
              </w:rPr>
            </w:pPr>
          </w:p>
        </w:tc>
        <w:tc>
          <w:tcPr>
            <w:tcW w:w="553" w:type="dxa"/>
          </w:tcPr>
          <w:p w14:paraId="120D1D99">
            <w:pPr>
              <w:spacing w:line="360" w:lineRule="auto"/>
              <w:rPr>
                <w:rFonts w:ascii="仿宋_GB2312" w:hAnsi="仿宋_GB2312" w:eastAsia="仿宋_GB2312" w:cs="仿宋_GB2312"/>
                <w:color w:val="auto"/>
                <w:sz w:val="24"/>
                <w:highlight w:val="none"/>
              </w:rPr>
            </w:pPr>
          </w:p>
        </w:tc>
        <w:tc>
          <w:tcPr>
            <w:tcW w:w="553" w:type="dxa"/>
          </w:tcPr>
          <w:p w14:paraId="3E8E7D54">
            <w:pPr>
              <w:spacing w:line="360" w:lineRule="auto"/>
              <w:rPr>
                <w:rFonts w:ascii="仿宋_GB2312" w:hAnsi="仿宋_GB2312" w:eastAsia="仿宋_GB2312" w:cs="仿宋_GB2312"/>
                <w:color w:val="auto"/>
                <w:sz w:val="24"/>
                <w:highlight w:val="none"/>
              </w:rPr>
            </w:pPr>
          </w:p>
        </w:tc>
        <w:tc>
          <w:tcPr>
            <w:tcW w:w="553" w:type="dxa"/>
          </w:tcPr>
          <w:p w14:paraId="6658B428">
            <w:pPr>
              <w:spacing w:line="360" w:lineRule="auto"/>
              <w:rPr>
                <w:rFonts w:ascii="仿宋_GB2312" w:hAnsi="仿宋_GB2312" w:eastAsia="仿宋_GB2312" w:cs="仿宋_GB2312"/>
                <w:color w:val="auto"/>
                <w:sz w:val="24"/>
                <w:highlight w:val="none"/>
              </w:rPr>
            </w:pPr>
          </w:p>
        </w:tc>
        <w:tc>
          <w:tcPr>
            <w:tcW w:w="553" w:type="dxa"/>
          </w:tcPr>
          <w:p w14:paraId="5108831B">
            <w:pPr>
              <w:spacing w:line="360" w:lineRule="auto"/>
              <w:rPr>
                <w:rFonts w:ascii="仿宋_GB2312" w:hAnsi="仿宋_GB2312" w:eastAsia="仿宋_GB2312" w:cs="仿宋_GB2312"/>
                <w:color w:val="auto"/>
                <w:sz w:val="24"/>
                <w:highlight w:val="none"/>
              </w:rPr>
            </w:pPr>
          </w:p>
        </w:tc>
        <w:tc>
          <w:tcPr>
            <w:tcW w:w="553" w:type="dxa"/>
          </w:tcPr>
          <w:p w14:paraId="6011699C">
            <w:pPr>
              <w:spacing w:line="360" w:lineRule="auto"/>
              <w:rPr>
                <w:rFonts w:ascii="仿宋_GB2312" w:hAnsi="仿宋_GB2312" w:eastAsia="仿宋_GB2312" w:cs="仿宋_GB2312"/>
                <w:color w:val="auto"/>
                <w:sz w:val="24"/>
                <w:highlight w:val="none"/>
              </w:rPr>
            </w:pPr>
          </w:p>
        </w:tc>
      </w:tr>
      <w:tr w14:paraId="745D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F20A837">
            <w:pPr>
              <w:spacing w:line="360" w:lineRule="auto"/>
              <w:rPr>
                <w:rFonts w:ascii="仿宋_GB2312" w:hAnsi="仿宋_GB2312" w:eastAsia="仿宋_GB2312" w:cs="仿宋_GB2312"/>
                <w:color w:val="auto"/>
                <w:sz w:val="24"/>
                <w:highlight w:val="none"/>
              </w:rPr>
            </w:pPr>
          </w:p>
        </w:tc>
        <w:tc>
          <w:tcPr>
            <w:tcW w:w="552" w:type="dxa"/>
          </w:tcPr>
          <w:p w14:paraId="0D55886A">
            <w:pPr>
              <w:spacing w:line="360" w:lineRule="auto"/>
              <w:rPr>
                <w:rFonts w:ascii="仿宋_GB2312" w:hAnsi="仿宋_GB2312" w:eastAsia="仿宋_GB2312" w:cs="仿宋_GB2312"/>
                <w:color w:val="auto"/>
                <w:sz w:val="24"/>
                <w:highlight w:val="none"/>
              </w:rPr>
            </w:pPr>
          </w:p>
        </w:tc>
        <w:tc>
          <w:tcPr>
            <w:tcW w:w="552" w:type="dxa"/>
          </w:tcPr>
          <w:p w14:paraId="1A40AD5F">
            <w:pPr>
              <w:spacing w:line="360" w:lineRule="auto"/>
              <w:rPr>
                <w:rFonts w:ascii="仿宋_GB2312" w:hAnsi="仿宋_GB2312" w:eastAsia="仿宋_GB2312" w:cs="仿宋_GB2312"/>
                <w:color w:val="auto"/>
                <w:sz w:val="24"/>
                <w:highlight w:val="none"/>
              </w:rPr>
            </w:pPr>
          </w:p>
        </w:tc>
        <w:tc>
          <w:tcPr>
            <w:tcW w:w="552" w:type="dxa"/>
          </w:tcPr>
          <w:p w14:paraId="4C211955">
            <w:pPr>
              <w:spacing w:line="360" w:lineRule="auto"/>
              <w:rPr>
                <w:rFonts w:ascii="仿宋_GB2312" w:hAnsi="仿宋_GB2312" w:eastAsia="仿宋_GB2312" w:cs="仿宋_GB2312"/>
                <w:color w:val="auto"/>
                <w:sz w:val="24"/>
                <w:highlight w:val="none"/>
              </w:rPr>
            </w:pPr>
          </w:p>
        </w:tc>
        <w:tc>
          <w:tcPr>
            <w:tcW w:w="552" w:type="dxa"/>
          </w:tcPr>
          <w:p w14:paraId="4779CA2B">
            <w:pPr>
              <w:spacing w:line="360" w:lineRule="auto"/>
              <w:rPr>
                <w:rFonts w:ascii="仿宋_GB2312" w:hAnsi="仿宋_GB2312" w:eastAsia="仿宋_GB2312" w:cs="仿宋_GB2312"/>
                <w:color w:val="auto"/>
                <w:sz w:val="24"/>
                <w:highlight w:val="none"/>
              </w:rPr>
            </w:pPr>
          </w:p>
        </w:tc>
        <w:tc>
          <w:tcPr>
            <w:tcW w:w="552" w:type="dxa"/>
          </w:tcPr>
          <w:p w14:paraId="6179AD42">
            <w:pPr>
              <w:spacing w:line="360" w:lineRule="auto"/>
              <w:rPr>
                <w:rFonts w:ascii="仿宋_GB2312" w:hAnsi="仿宋_GB2312" w:eastAsia="仿宋_GB2312" w:cs="仿宋_GB2312"/>
                <w:color w:val="auto"/>
                <w:sz w:val="24"/>
                <w:highlight w:val="none"/>
              </w:rPr>
            </w:pPr>
          </w:p>
        </w:tc>
        <w:tc>
          <w:tcPr>
            <w:tcW w:w="552" w:type="dxa"/>
          </w:tcPr>
          <w:p w14:paraId="75D51C6B">
            <w:pPr>
              <w:spacing w:line="360" w:lineRule="auto"/>
              <w:rPr>
                <w:rFonts w:ascii="仿宋_GB2312" w:hAnsi="仿宋_GB2312" w:eastAsia="仿宋_GB2312" w:cs="仿宋_GB2312"/>
                <w:color w:val="auto"/>
                <w:sz w:val="24"/>
                <w:highlight w:val="none"/>
              </w:rPr>
            </w:pPr>
          </w:p>
        </w:tc>
        <w:tc>
          <w:tcPr>
            <w:tcW w:w="553" w:type="dxa"/>
          </w:tcPr>
          <w:p w14:paraId="2E13F10F">
            <w:pPr>
              <w:spacing w:line="360" w:lineRule="auto"/>
              <w:rPr>
                <w:rFonts w:ascii="仿宋_GB2312" w:hAnsi="仿宋_GB2312" w:eastAsia="仿宋_GB2312" w:cs="仿宋_GB2312"/>
                <w:color w:val="auto"/>
                <w:sz w:val="24"/>
                <w:highlight w:val="none"/>
              </w:rPr>
            </w:pPr>
          </w:p>
        </w:tc>
        <w:tc>
          <w:tcPr>
            <w:tcW w:w="553" w:type="dxa"/>
          </w:tcPr>
          <w:p w14:paraId="6662C072">
            <w:pPr>
              <w:spacing w:line="360" w:lineRule="auto"/>
              <w:rPr>
                <w:rFonts w:ascii="仿宋_GB2312" w:hAnsi="仿宋_GB2312" w:eastAsia="仿宋_GB2312" w:cs="仿宋_GB2312"/>
                <w:color w:val="auto"/>
                <w:sz w:val="24"/>
                <w:highlight w:val="none"/>
              </w:rPr>
            </w:pPr>
          </w:p>
        </w:tc>
        <w:tc>
          <w:tcPr>
            <w:tcW w:w="553" w:type="dxa"/>
          </w:tcPr>
          <w:p w14:paraId="25C9C77C">
            <w:pPr>
              <w:spacing w:line="360" w:lineRule="auto"/>
              <w:rPr>
                <w:rFonts w:ascii="仿宋_GB2312" w:hAnsi="仿宋_GB2312" w:eastAsia="仿宋_GB2312" w:cs="仿宋_GB2312"/>
                <w:color w:val="auto"/>
                <w:sz w:val="24"/>
                <w:highlight w:val="none"/>
              </w:rPr>
            </w:pPr>
          </w:p>
        </w:tc>
        <w:tc>
          <w:tcPr>
            <w:tcW w:w="553" w:type="dxa"/>
          </w:tcPr>
          <w:p w14:paraId="34AB3F19">
            <w:pPr>
              <w:spacing w:line="360" w:lineRule="auto"/>
              <w:rPr>
                <w:rFonts w:ascii="仿宋_GB2312" w:hAnsi="仿宋_GB2312" w:eastAsia="仿宋_GB2312" w:cs="仿宋_GB2312"/>
                <w:color w:val="auto"/>
                <w:sz w:val="24"/>
                <w:highlight w:val="none"/>
              </w:rPr>
            </w:pPr>
          </w:p>
        </w:tc>
        <w:tc>
          <w:tcPr>
            <w:tcW w:w="553" w:type="dxa"/>
          </w:tcPr>
          <w:p w14:paraId="21AECDFA">
            <w:pPr>
              <w:spacing w:line="360" w:lineRule="auto"/>
              <w:rPr>
                <w:rFonts w:ascii="仿宋_GB2312" w:hAnsi="仿宋_GB2312" w:eastAsia="仿宋_GB2312" w:cs="仿宋_GB2312"/>
                <w:color w:val="auto"/>
                <w:sz w:val="24"/>
                <w:highlight w:val="none"/>
              </w:rPr>
            </w:pPr>
          </w:p>
        </w:tc>
        <w:tc>
          <w:tcPr>
            <w:tcW w:w="553" w:type="dxa"/>
          </w:tcPr>
          <w:p w14:paraId="00AE8C2C">
            <w:pPr>
              <w:spacing w:line="360" w:lineRule="auto"/>
              <w:rPr>
                <w:rFonts w:ascii="仿宋_GB2312" w:hAnsi="仿宋_GB2312" w:eastAsia="仿宋_GB2312" w:cs="仿宋_GB2312"/>
                <w:color w:val="auto"/>
                <w:sz w:val="24"/>
                <w:highlight w:val="none"/>
              </w:rPr>
            </w:pPr>
          </w:p>
        </w:tc>
        <w:tc>
          <w:tcPr>
            <w:tcW w:w="553" w:type="dxa"/>
          </w:tcPr>
          <w:p w14:paraId="2FDF7225">
            <w:pPr>
              <w:spacing w:line="360" w:lineRule="auto"/>
              <w:rPr>
                <w:rFonts w:ascii="仿宋_GB2312" w:hAnsi="仿宋_GB2312" w:eastAsia="仿宋_GB2312" w:cs="仿宋_GB2312"/>
                <w:color w:val="auto"/>
                <w:sz w:val="24"/>
                <w:highlight w:val="none"/>
              </w:rPr>
            </w:pPr>
          </w:p>
        </w:tc>
        <w:tc>
          <w:tcPr>
            <w:tcW w:w="553" w:type="dxa"/>
          </w:tcPr>
          <w:p w14:paraId="384473CF">
            <w:pPr>
              <w:spacing w:line="360" w:lineRule="auto"/>
              <w:rPr>
                <w:rFonts w:ascii="仿宋_GB2312" w:hAnsi="仿宋_GB2312" w:eastAsia="仿宋_GB2312" w:cs="仿宋_GB2312"/>
                <w:color w:val="auto"/>
                <w:sz w:val="24"/>
                <w:highlight w:val="none"/>
              </w:rPr>
            </w:pPr>
          </w:p>
        </w:tc>
        <w:tc>
          <w:tcPr>
            <w:tcW w:w="553" w:type="dxa"/>
          </w:tcPr>
          <w:p w14:paraId="09FBE5AA">
            <w:pPr>
              <w:spacing w:line="360" w:lineRule="auto"/>
              <w:rPr>
                <w:rFonts w:ascii="仿宋_GB2312" w:hAnsi="仿宋_GB2312" w:eastAsia="仿宋_GB2312" w:cs="仿宋_GB2312"/>
                <w:color w:val="auto"/>
                <w:sz w:val="24"/>
                <w:highlight w:val="none"/>
              </w:rPr>
            </w:pPr>
          </w:p>
        </w:tc>
        <w:tc>
          <w:tcPr>
            <w:tcW w:w="553" w:type="dxa"/>
          </w:tcPr>
          <w:p w14:paraId="082EAE21">
            <w:pPr>
              <w:spacing w:line="360" w:lineRule="auto"/>
              <w:rPr>
                <w:rFonts w:ascii="仿宋_GB2312" w:hAnsi="仿宋_GB2312" w:eastAsia="仿宋_GB2312" w:cs="仿宋_GB2312"/>
                <w:color w:val="auto"/>
                <w:sz w:val="24"/>
                <w:highlight w:val="none"/>
              </w:rPr>
            </w:pPr>
          </w:p>
        </w:tc>
      </w:tr>
      <w:tr w14:paraId="740F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4865CE">
            <w:pPr>
              <w:spacing w:line="360" w:lineRule="auto"/>
              <w:rPr>
                <w:rFonts w:ascii="仿宋_GB2312" w:hAnsi="仿宋_GB2312" w:eastAsia="仿宋_GB2312" w:cs="仿宋_GB2312"/>
                <w:color w:val="auto"/>
                <w:sz w:val="24"/>
                <w:highlight w:val="none"/>
              </w:rPr>
            </w:pPr>
          </w:p>
        </w:tc>
        <w:tc>
          <w:tcPr>
            <w:tcW w:w="552" w:type="dxa"/>
          </w:tcPr>
          <w:p w14:paraId="3E731CFB">
            <w:pPr>
              <w:spacing w:line="360" w:lineRule="auto"/>
              <w:rPr>
                <w:rFonts w:ascii="仿宋_GB2312" w:hAnsi="仿宋_GB2312" w:eastAsia="仿宋_GB2312" w:cs="仿宋_GB2312"/>
                <w:color w:val="auto"/>
                <w:sz w:val="24"/>
                <w:highlight w:val="none"/>
              </w:rPr>
            </w:pPr>
          </w:p>
        </w:tc>
        <w:tc>
          <w:tcPr>
            <w:tcW w:w="552" w:type="dxa"/>
          </w:tcPr>
          <w:p w14:paraId="3E11837B">
            <w:pPr>
              <w:spacing w:line="360" w:lineRule="auto"/>
              <w:rPr>
                <w:rFonts w:ascii="仿宋_GB2312" w:hAnsi="仿宋_GB2312" w:eastAsia="仿宋_GB2312" w:cs="仿宋_GB2312"/>
                <w:color w:val="auto"/>
                <w:sz w:val="24"/>
                <w:highlight w:val="none"/>
              </w:rPr>
            </w:pPr>
          </w:p>
        </w:tc>
        <w:tc>
          <w:tcPr>
            <w:tcW w:w="552" w:type="dxa"/>
          </w:tcPr>
          <w:p w14:paraId="248BF4BC">
            <w:pPr>
              <w:spacing w:line="360" w:lineRule="auto"/>
              <w:rPr>
                <w:rFonts w:ascii="仿宋_GB2312" w:hAnsi="仿宋_GB2312" w:eastAsia="仿宋_GB2312" w:cs="仿宋_GB2312"/>
                <w:color w:val="auto"/>
                <w:sz w:val="24"/>
                <w:highlight w:val="none"/>
              </w:rPr>
            </w:pPr>
          </w:p>
        </w:tc>
        <w:tc>
          <w:tcPr>
            <w:tcW w:w="552" w:type="dxa"/>
          </w:tcPr>
          <w:p w14:paraId="1EBB8A87">
            <w:pPr>
              <w:spacing w:line="360" w:lineRule="auto"/>
              <w:rPr>
                <w:rFonts w:ascii="仿宋_GB2312" w:hAnsi="仿宋_GB2312" w:eastAsia="仿宋_GB2312" w:cs="仿宋_GB2312"/>
                <w:color w:val="auto"/>
                <w:sz w:val="24"/>
                <w:highlight w:val="none"/>
              </w:rPr>
            </w:pPr>
          </w:p>
        </w:tc>
        <w:tc>
          <w:tcPr>
            <w:tcW w:w="552" w:type="dxa"/>
          </w:tcPr>
          <w:p w14:paraId="610349A7">
            <w:pPr>
              <w:spacing w:line="360" w:lineRule="auto"/>
              <w:rPr>
                <w:rFonts w:ascii="仿宋_GB2312" w:hAnsi="仿宋_GB2312" w:eastAsia="仿宋_GB2312" w:cs="仿宋_GB2312"/>
                <w:color w:val="auto"/>
                <w:sz w:val="24"/>
                <w:highlight w:val="none"/>
              </w:rPr>
            </w:pPr>
          </w:p>
        </w:tc>
        <w:tc>
          <w:tcPr>
            <w:tcW w:w="552" w:type="dxa"/>
          </w:tcPr>
          <w:p w14:paraId="3F89F534">
            <w:pPr>
              <w:spacing w:line="360" w:lineRule="auto"/>
              <w:rPr>
                <w:rFonts w:ascii="仿宋_GB2312" w:hAnsi="仿宋_GB2312" w:eastAsia="仿宋_GB2312" w:cs="仿宋_GB2312"/>
                <w:color w:val="auto"/>
                <w:sz w:val="24"/>
                <w:highlight w:val="none"/>
              </w:rPr>
            </w:pPr>
          </w:p>
        </w:tc>
        <w:tc>
          <w:tcPr>
            <w:tcW w:w="553" w:type="dxa"/>
          </w:tcPr>
          <w:p w14:paraId="4F126986">
            <w:pPr>
              <w:spacing w:line="360" w:lineRule="auto"/>
              <w:rPr>
                <w:rFonts w:ascii="仿宋_GB2312" w:hAnsi="仿宋_GB2312" w:eastAsia="仿宋_GB2312" w:cs="仿宋_GB2312"/>
                <w:color w:val="auto"/>
                <w:sz w:val="24"/>
                <w:highlight w:val="none"/>
              </w:rPr>
            </w:pPr>
          </w:p>
        </w:tc>
        <w:tc>
          <w:tcPr>
            <w:tcW w:w="553" w:type="dxa"/>
          </w:tcPr>
          <w:p w14:paraId="7FDB4ECD">
            <w:pPr>
              <w:spacing w:line="360" w:lineRule="auto"/>
              <w:rPr>
                <w:rFonts w:ascii="仿宋_GB2312" w:hAnsi="仿宋_GB2312" w:eastAsia="仿宋_GB2312" w:cs="仿宋_GB2312"/>
                <w:color w:val="auto"/>
                <w:sz w:val="24"/>
                <w:highlight w:val="none"/>
              </w:rPr>
            </w:pPr>
          </w:p>
        </w:tc>
        <w:tc>
          <w:tcPr>
            <w:tcW w:w="553" w:type="dxa"/>
          </w:tcPr>
          <w:p w14:paraId="2AD98599">
            <w:pPr>
              <w:spacing w:line="360" w:lineRule="auto"/>
              <w:rPr>
                <w:rFonts w:ascii="仿宋_GB2312" w:hAnsi="仿宋_GB2312" w:eastAsia="仿宋_GB2312" w:cs="仿宋_GB2312"/>
                <w:color w:val="auto"/>
                <w:sz w:val="24"/>
                <w:highlight w:val="none"/>
              </w:rPr>
            </w:pPr>
          </w:p>
        </w:tc>
        <w:tc>
          <w:tcPr>
            <w:tcW w:w="553" w:type="dxa"/>
          </w:tcPr>
          <w:p w14:paraId="3AD0315B">
            <w:pPr>
              <w:spacing w:line="360" w:lineRule="auto"/>
              <w:rPr>
                <w:rFonts w:ascii="仿宋_GB2312" w:hAnsi="仿宋_GB2312" w:eastAsia="仿宋_GB2312" w:cs="仿宋_GB2312"/>
                <w:color w:val="auto"/>
                <w:sz w:val="24"/>
                <w:highlight w:val="none"/>
              </w:rPr>
            </w:pPr>
          </w:p>
        </w:tc>
        <w:tc>
          <w:tcPr>
            <w:tcW w:w="553" w:type="dxa"/>
          </w:tcPr>
          <w:p w14:paraId="6A3D6002">
            <w:pPr>
              <w:spacing w:line="360" w:lineRule="auto"/>
              <w:rPr>
                <w:rFonts w:ascii="仿宋_GB2312" w:hAnsi="仿宋_GB2312" w:eastAsia="仿宋_GB2312" w:cs="仿宋_GB2312"/>
                <w:color w:val="auto"/>
                <w:sz w:val="24"/>
                <w:highlight w:val="none"/>
              </w:rPr>
            </w:pPr>
          </w:p>
        </w:tc>
        <w:tc>
          <w:tcPr>
            <w:tcW w:w="553" w:type="dxa"/>
          </w:tcPr>
          <w:p w14:paraId="4CD6BAC1">
            <w:pPr>
              <w:spacing w:line="360" w:lineRule="auto"/>
              <w:rPr>
                <w:rFonts w:ascii="仿宋_GB2312" w:hAnsi="仿宋_GB2312" w:eastAsia="仿宋_GB2312" w:cs="仿宋_GB2312"/>
                <w:color w:val="auto"/>
                <w:sz w:val="24"/>
                <w:highlight w:val="none"/>
              </w:rPr>
            </w:pPr>
          </w:p>
        </w:tc>
        <w:tc>
          <w:tcPr>
            <w:tcW w:w="553" w:type="dxa"/>
          </w:tcPr>
          <w:p w14:paraId="78A3E720">
            <w:pPr>
              <w:spacing w:line="360" w:lineRule="auto"/>
              <w:rPr>
                <w:rFonts w:ascii="仿宋_GB2312" w:hAnsi="仿宋_GB2312" w:eastAsia="仿宋_GB2312" w:cs="仿宋_GB2312"/>
                <w:color w:val="auto"/>
                <w:sz w:val="24"/>
                <w:highlight w:val="none"/>
              </w:rPr>
            </w:pPr>
          </w:p>
        </w:tc>
        <w:tc>
          <w:tcPr>
            <w:tcW w:w="553" w:type="dxa"/>
          </w:tcPr>
          <w:p w14:paraId="3BF22A86">
            <w:pPr>
              <w:spacing w:line="360" w:lineRule="auto"/>
              <w:rPr>
                <w:rFonts w:ascii="仿宋_GB2312" w:hAnsi="仿宋_GB2312" w:eastAsia="仿宋_GB2312" w:cs="仿宋_GB2312"/>
                <w:color w:val="auto"/>
                <w:sz w:val="24"/>
                <w:highlight w:val="none"/>
              </w:rPr>
            </w:pPr>
          </w:p>
        </w:tc>
        <w:tc>
          <w:tcPr>
            <w:tcW w:w="553" w:type="dxa"/>
          </w:tcPr>
          <w:p w14:paraId="126C17F0">
            <w:pPr>
              <w:spacing w:line="360" w:lineRule="auto"/>
              <w:rPr>
                <w:rFonts w:ascii="仿宋_GB2312" w:hAnsi="仿宋_GB2312" w:eastAsia="仿宋_GB2312" w:cs="仿宋_GB2312"/>
                <w:color w:val="auto"/>
                <w:sz w:val="24"/>
                <w:highlight w:val="none"/>
              </w:rPr>
            </w:pPr>
          </w:p>
        </w:tc>
        <w:tc>
          <w:tcPr>
            <w:tcW w:w="553" w:type="dxa"/>
          </w:tcPr>
          <w:p w14:paraId="29604EF9">
            <w:pPr>
              <w:spacing w:line="360" w:lineRule="auto"/>
              <w:rPr>
                <w:rFonts w:ascii="仿宋_GB2312" w:hAnsi="仿宋_GB2312" w:eastAsia="仿宋_GB2312" w:cs="仿宋_GB2312"/>
                <w:color w:val="auto"/>
                <w:sz w:val="24"/>
                <w:highlight w:val="none"/>
              </w:rPr>
            </w:pPr>
          </w:p>
        </w:tc>
      </w:tr>
    </w:tbl>
    <w:p w14:paraId="13B03837">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7E9427D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D778E9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4AAB67B">
      <w:pPr>
        <w:spacing w:line="360" w:lineRule="auto"/>
        <w:rPr>
          <w:rFonts w:ascii="仿宋_GB2312" w:hAnsi="仿宋_GB2312" w:eastAsia="仿宋_GB2312" w:cs="仿宋_GB2312"/>
          <w:color w:val="auto"/>
          <w:kern w:val="0"/>
          <w:sz w:val="24"/>
          <w:highlight w:val="none"/>
        </w:rPr>
      </w:pPr>
    </w:p>
    <w:p w14:paraId="5A52B4EA">
      <w:pPr>
        <w:spacing w:line="360" w:lineRule="auto"/>
        <w:rPr>
          <w:rFonts w:ascii="仿宋_GB2312" w:hAnsi="仿宋_GB2312" w:eastAsia="仿宋_GB2312" w:cs="仿宋_GB2312"/>
          <w:b/>
          <w:bCs/>
          <w:color w:val="auto"/>
          <w:sz w:val="32"/>
          <w:szCs w:val="32"/>
          <w:highlight w:val="none"/>
        </w:rPr>
      </w:pPr>
    </w:p>
    <w:p w14:paraId="0AFCD146">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14:paraId="5E8E31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83785B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9C01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DCE1B6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BE260B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2E07498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7199E2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6FC7FA3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EBACC2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6C2F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D2383A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AB10DE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5A939F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4415EC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4D5E97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FBD5EAC">
            <w:pPr>
              <w:autoSpaceDE w:val="0"/>
              <w:autoSpaceDN w:val="0"/>
              <w:spacing w:line="360" w:lineRule="auto"/>
              <w:jc w:val="center"/>
              <w:rPr>
                <w:rFonts w:ascii="仿宋_GB2312" w:hAnsi="仿宋_GB2312" w:eastAsia="仿宋_GB2312" w:cs="仿宋_GB2312"/>
                <w:color w:val="auto"/>
                <w:sz w:val="24"/>
                <w:highlight w:val="none"/>
              </w:rPr>
            </w:pPr>
          </w:p>
        </w:tc>
      </w:tr>
      <w:tr w14:paraId="201E0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0F6CE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77FC10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1D05AF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C1B9335">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E76439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58FA09D">
            <w:pPr>
              <w:autoSpaceDE w:val="0"/>
              <w:autoSpaceDN w:val="0"/>
              <w:spacing w:line="360" w:lineRule="auto"/>
              <w:jc w:val="center"/>
              <w:rPr>
                <w:rFonts w:ascii="仿宋_GB2312" w:hAnsi="仿宋_GB2312" w:eastAsia="仿宋_GB2312" w:cs="仿宋_GB2312"/>
                <w:color w:val="auto"/>
                <w:sz w:val="24"/>
                <w:highlight w:val="none"/>
              </w:rPr>
            </w:pPr>
          </w:p>
        </w:tc>
      </w:tr>
      <w:tr w14:paraId="7701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7FA79C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6A620CC">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6D91AD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EDFD7C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77C8B0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25875DE">
            <w:pPr>
              <w:autoSpaceDE w:val="0"/>
              <w:autoSpaceDN w:val="0"/>
              <w:spacing w:line="360" w:lineRule="auto"/>
              <w:jc w:val="center"/>
              <w:rPr>
                <w:rFonts w:ascii="仿宋_GB2312" w:hAnsi="仿宋_GB2312" w:eastAsia="仿宋_GB2312" w:cs="仿宋_GB2312"/>
                <w:color w:val="auto"/>
                <w:sz w:val="24"/>
                <w:highlight w:val="none"/>
              </w:rPr>
            </w:pPr>
          </w:p>
        </w:tc>
      </w:tr>
    </w:tbl>
    <w:p w14:paraId="7E4DFFE1">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69E2106">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DAC49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C16FB8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735635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A17FFC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07D11B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15D622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4884A0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63B2A1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D72DEA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65961D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79A382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9F5A767">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0B9A4E8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CC327FA">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DCFB09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81C6F9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6C072C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CB7998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8491B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87CA9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51931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1ACB65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98D608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A008107">
            <w:pPr>
              <w:autoSpaceDE w:val="0"/>
              <w:autoSpaceDN w:val="0"/>
              <w:spacing w:line="240" w:lineRule="exact"/>
              <w:rPr>
                <w:rFonts w:ascii="仿宋_GB2312" w:hAnsi="仿宋_GB2312" w:eastAsia="仿宋_GB2312" w:cs="仿宋_GB2312"/>
                <w:color w:val="auto"/>
                <w:sz w:val="24"/>
                <w:highlight w:val="none"/>
              </w:rPr>
            </w:pPr>
          </w:p>
        </w:tc>
      </w:tr>
      <w:tr w14:paraId="29D809A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8D9E1C">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2CA6D2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023BF7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623E7C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1FCC7B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844C5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19161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F392B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906377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DCA1F07">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46EBCF4">
            <w:pPr>
              <w:autoSpaceDE w:val="0"/>
              <w:autoSpaceDN w:val="0"/>
              <w:spacing w:line="240" w:lineRule="exact"/>
              <w:rPr>
                <w:rFonts w:ascii="仿宋_GB2312" w:hAnsi="仿宋_GB2312" w:eastAsia="仿宋_GB2312" w:cs="仿宋_GB2312"/>
                <w:color w:val="auto"/>
                <w:sz w:val="24"/>
                <w:highlight w:val="none"/>
              </w:rPr>
            </w:pPr>
          </w:p>
        </w:tc>
      </w:tr>
      <w:tr w14:paraId="48F27ED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CF8568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FAFAB51">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167677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7A3195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793EB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F7101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FAF3D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A8B740">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37C0E5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B44789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6697FC9">
            <w:pPr>
              <w:autoSpaceDE w:val="0"/>
              <w:autoSpaceDN w:val="0"/>
              <w:spacing w:line="240" w:lineRule="exact"/>
              <w:rPr>
                <w:rFonts w:ascii="仿宋_GB2312" w:hAnsi="仿宋_GB2312" w:eastAsia="仿宋_GB2312" w:cs="仿宋_GB2312"/>
                <w:color w:val="auto"/>
                <w:sz w:val="24"/>
                <w:highlight w:val="none"/>
              </w:rPr>
            </w:pPr>
          </w:p>
        </w:tc>
      </w:tr>
    </w:tbl>
    <w:p w14:paraId="0C113226">
      <w:pPr>
        <w:spacing w:line="360" w:lineRule="auto"/>
        <w:ind w:firstLine="480" w:firstLineChars="200"/>
        <w:rPr>
          <w:rFonts w:ascii="仿宋_GB2312" w:hAnsi="仿宋_GB2312" w:eastAsia="仿宋_GB2312" w:cs="仿宋_GB2312"/>
          <w:color w:val="auto"/>
          <w:sz w:val="24"/>
          <w:szCs w:val="20"/>
          <w:highlight w:val="none"/>
        </w:rPr>
      </w:pPr>
    </w:p>
    <w:p w14:paraId="745BCE1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7F1224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F4CC9B">
      <w:pPr>
        <w:spacing w:line="360" w:lineRule="auto"/>
        <w:rPr>
          <w:rFonts w:hint="eastAsia" w:ascii="仿宋_GB2312" w:hAnsi="仿宋_GB2312" w:eastAsia="仿宋_GB2312" w:cs="仿宋_GB2312"/>
          <w:b/>
          <w:color w:val="auto"/>
          <w:sz w:val="30"/>
          <w:szCs w:val="30"/>
          <w:highlight w:val="none"/>
          <w:lang w:eastAsia="zh-CN"/>
        </w:rPr>
      </w:pPr>
    </w:p>
    <w:p w14:paraId="2386C326">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17E4BC7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2B84CD0A">
      <w:pPr>
        <w:spacing w:line="336" w:lineRule="auto"/>
        <w:ind w:firstLine="3600" w:firstLineChars="1500"/>
        <w:rPr>
          <w:rFonts w:hint="eastAsia" w:ascii="仿宋" w:hAnsi="仿宋" w:eastAsia="仿宋" w:cs="仿宋"/>
          <w:color w:val="auto"/>
          <w:sz w:val="24"/>
          <w:highlight w:val="none"/>
        </w:rPr>
      </w:pPr>
    </w:p>
    <w:p w14:paraId="4BA0A817">
      <w:pPr>
        <w:pStyle w:val="80"/>
        <w:rPr>
          <w:rFonts w:hint="eastAsia"/>
          <w:color w:val="auto"/>
          <w:highlight w:val="none"/>
        </w:rPr>
      </w:pPr>
    </w:p>
    <w:p w14:paraId="02AEA59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5BA907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46197DF">
      <w:pPr>
        <w:pStyle w:val="80"/>
        <w:rPr>
          <w:color w:val="auto"/>
          <w:highlight w:val="none"/>
        </w:rPr>
      </w:pPr>
    </w:p>
    <w:p w14:paraId="14A34872">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14:paraId="5D36C915">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66FC6D5">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996551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24484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120AE8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9AA7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B4E2DA0">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981CAA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60740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CE918A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FB84ED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B1F18A1">
            <w:pPr>
              <w:autoSpaceDE w:val="0"/>
              <w:autoSpaceDN w:val="0"/>
              <w:spacing w:line="360" w:lineRule="auto"/>
              <w:jc w:val="center"/>
              <w:rPr>
                <w:rFonts w:ascii="仿宋_GB2312" w:hAnsi="仿宋_GB2312" w:eastAsia="仿宋_GB2312" w:cs="仿宋_GB2312"/>
                <w:color w:val="auto"/>
                <w:sz w:val="24"/>
                <w:highlight w:val="none"/>
              </w:rPr>
            </w:pPr>
          </w:p>
        </w:tc>
      </w:tr>
      <w:tr w14:paraId="2908023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53EE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EDC1F0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49A8F4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77245C">
            <w:pPr>
              <w:autoSpaceDE w:val="0"/>
              <w:autoSpaceDN w:val="0"/>
              <w:spacing w:line="360" w:lineRule="auto"/>
              <w:jc w:val="center"/>
              <w:rPr>
                <w:rFonts w:ascii="仿宋_GB2312" w:hAnsi="仿宋_GB2312" w:eastAsia="仿宋_GB2312" w:cs="仿宋_GB2312"/>
                <w:color w:val="auto"/>
                <w:sz w:val="24"/>
                <w:highlight w:val="none"/>
              </w:rPr>
            </w:pPr>
          </w:p>
        </w:tc>
      </w:tr>
      <w:tr w14:paraId="76E5514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54C27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5C2BBC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624CC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1C83C4">
            <w:pPr>
              <w:autoSpaceDE w:val="0"/>
              <w:autoSpaceDN w:val="0"/>
              <w:spacing w:line="360" w:lineRule="auto"/>
              <w:jc w:val="center"/>
              <w:rPr>
                <w:rFonts w:ascii="仿宋_GB2312" w:hAnsi="仿宋_GB2312" w:eastAsia="仿宋_GB2312" w:cs="仿宋_GB2312"/>
                <w:color w:val="auto"/>
                <w:sz w:val="24"/>
                <w:highlight w:val="none"/>
              </w:rPr>
            </w:pPr>
          </w:p>
        </w:tc>
      </w:tr>
      <w:tr w14:paraId="79FEB8A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9053B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5E9DE5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03F053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0AD68F">
            <w:pPr>
              <w:autoSpaceDE w:val="0"/>
              <w:autoSpaceDN w:val="0"/>
              <w:spacing w:line="360" w:lineRule="auto"/>
              <w:jc w:val="center"/>
              <w:rPr>
                <w:rFonts w:ascii="仿宋_GB2312" w:hAnsi="仿宋_GB2312" w:eastAsia="仿宋_GB2312" w:cs="仿宋_GB2312"/>
                <w:color w:val="auto"/>
                <w:sz w:val="24"/>
                <w:highlight w:val="none"/>
              </w:rPr>
            </w:pPr>
          </w:p>
        </w:tc>
      </w:tr>
      <w:tr w14:paraId="2E3AE05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3D879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0267AF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B08100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A8AE7A">
            <w:pPr>
              <w:autoSpaceDE w:val="0"/>
              <w:autoSpaceDN w:val="0"/>
              <w:spacing w:line="360" w:lineRule="auto"/>
              <w:jc w:val="center"/>
              <w:rPr>
                <w:rFonts w:ascii="仿宋_GB2312" w:hAnsi="仿宋_GB2312" w:eastAsia="仿宋_GB2312" w:cs="仿宋_GB2312"/>
                <w:color w:val="auto"/>
                <w:sz w:val="24"/>
                <w:highlight w:val="none"/>
              </w:rPr>
            </w:pPr>
          </w:p>
        </w:tc>
      </w:tr>
      <w:tr w14:paraId="526BF75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5D0A14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7344FA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E912A7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9D8CE0">
            <w:pPr>
              <w:autoSpaceDE w:val="0"/>
              <w:autoSpaceDN w:val="0"/>
              <w:spacing w:line="360" w:lineRule="auto"/>
              <w:jc w:val="center"/>
              <w:rPr>
                <w:rFonts w:ascii="仿宋_GB2312" w:hAnsi="仿宋_GB2312" w:eastAsia="仿宋_GB2312" w:cs="仿宋_GB2312"/>
                <w:color w:val="auto"/>
                <w:sz w:val="24"/>
                <w:highlight w:val="none"/>
              </w:rPr>
            </w:pPr>
          </w:p>
        </w:tc>
      </w:tr>
      <w:tr w14:paraId="220213C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AE627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CC6DBD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8332F6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AC0A9F">
            <w:pPr>
              <w:autoSpaceDE w:val="0"/>
              <w:autoSpaceDN w:val="0"/>
              <w:spacing w:line="360" w:lineRule="auto"/>
              <w:jc w:val="center"/>
              <w:rPr>
                <w:rFonts w:ascii="仿宋_GB2312" w:hAnsi="仿宋_GB2312" w:eastAsia="仿宋_GB2312" w:cs="仿宋_GB2312"/>
                <w:color w:val="auto"/>
                <w:sz w:val="24"/>
                <w:highlight w:val="none"/>
              </w:rPr>
            </w:pPr>
          </w:p>
        </w:tc>
      </w:tr>
      <w:tr w14:paraId="7EECE34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6739B6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98B2ED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DACC18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0B3672">
            <w:pPr>
              <w:autoSpaceDE w:val="0"/>
              <w:autoSpaceDN w:val="0"/>
              <w:spacing w:line="360" w:lineRule="auto"/>
              <w:jc w:val="center"/>
              <w:rPr>
                <w:rFonts w:ascii="仿宋_GB2312" w:hAnsi="仿宋_GB2312" w:eastAsia="仿宋_GB2312" w:cs="仿宋_GB2312"/>
                <w:color w:val="auto"/>
                <w:sz w:val="24"/>
                <w:highlight w:val="none"/>
              </w:rPr>
            </w:pPr>
          </w:p>
        </w:tc>
      </w:tr>
      <w:tr w14:paraId="76F59DA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A46A8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7F4753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D7D793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E5865B">
            <w:pPr>
              <w:autoSpaceDE w:val="0"/>
              <w:autoSpaceDN w:val="0"/>
              <w:spacing w:line="360" w:lineRule="auto"/>
              <w:jc w:val="center"/>
              <w:rPr>
                <w:rFonts w:ascii="仿宋_GB2312" w:hAnsi="仿宋_GB2312" w:eastAsia="仿宋_GB2312" w:cs="仿宋_GB2312"/>
                <w:color w:val="auto"/>
                <w:sz w:val="24"/>
                <w:highlight w:val="none"/>
              </w:rPr>
            </w:pPr>
          </w:p>
        </w:tc>
      </w:tr>
    </w:tbl>
    <w:p w14:paraId="30758BF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B01DB2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D136F65">
        <w:tc>
          <w:tcPr>
            <w:tcW w:w="420" w:type="dxa"/>
            <w:tcBorders>
              <w:top w:val="single" w:color="auto" w:sz="6" w:space="0"/>
              <w:left w:val="single" w:color="auto" w:sz="6" w:space="0"/>
              <w:bottom w:val="single" w:color="auto" w:sz="6" w:space="0"/>
              <w:right w:val="single" w:color="auto" w:sz="6" w:space="0"/>
            </w:tcBorders>
            <w:vAlign w:val="center"/>
          </w:tcPr>
          <w:p w14:paraId="206A69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B9F6B5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651510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361DC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90BE6B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1BB8C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F5EA62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5FB571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E3CDC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3BFA443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83DB59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945692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B37F8F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5DA985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32A515A">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E65EDAB">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F50A62F">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A49D492">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E768B9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544C2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A4545">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D2C9C0">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83C8A64">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6279623">
            <w:pPr>
              <w:autoSpaceDE w:val="0"/>
              <w:autoSpaceDN w:val="0"/>
              <w:spacing w:line="360" w:lineRule="auto"/>
              <w:rPr>
                <w:rFonts w:ascii="仿宋_GB2312" w:hAnsi="仿宋_GB2312" w:eastAsia="仿宋_GB2312" w:cs="仿宋_GB2312"/>
                <w:color w:val="auto"/>
                <w:sz w:val="24"/>
                <w:highlight w:val="none"/>
              </w:rPr>
            </w:pPr>
          </w:p>
        </w:tc>
      </w:tr>
      <w:tr w14:paraId="6AC6719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CA276F8">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B589651">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FF85B67">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488F35B">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6E651A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55A12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6831F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13408A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98390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BBB4B99">
            <w:pPr>
              <w:autoSpaceDE w:val="0"/>
              <w:autoSpaceDN w:val="0"/>
              <w:spacing w:line="360" w:lineRule="auto"/>
              <w:rPr>
                <w:rFonts w:ascii="仿宋_GB2312" w:hAnsi="仿宋_GB2312" w:eastAsia="仿宋_GB2312" w:cs="仿宋_GB2312"/>
                <w:color w:val="auto"/>
                <w:sz w:val="24"/>
                <w:highlight w:val="none"/>
              </w:rPr>
            </w:pPr>
          </w:p>
        </w:tc>
      </w:tr>
    </w:tbl>
    <w:p w14:paraId="714D9429">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1ABF98AC">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A05856E">
      <w:pPr>
        <w:spacing w:line="360" w:lineRule="auto"/>
        <w:ind w:firstLine="480" w:firstLineChars="200"/>
        <w:rPr>
          <w:rFonts w:ascii="仿宋_GB2312" w:hAnsi="仿宋_GB2312" w:eastAsia="仿宋_GB2312" w:cs="仿宋_GB2312"/>
          <w:color w:val="auto"/>
          <w:sz w:val="24"/>
          <w:szCs w:val="20"/>
          <w:highlight w:val="none"/>
        </w:rPr>
      </w:pPr>
    </w:p>
    <w:p w14:paraId="4ECACB6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040B015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A23A37">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B41D808">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3F8E2E9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FF3F7A2">
      <w:pPr>
        <w:spacing w:line="360" w:lineRule="auto"/>
        <w:rPr>
          <w:rFonts w:ascii="仿宋_GB2312" w:hAnsi="仿宋_GB2312" w:eastAsia="仿宋_GB2312" w:cs="仿宋_GB2312"/>
          <w:color w:val="auto"/>
          <w:sz w:val="18"/>
          <w:szCs w:val="18"/>
          <w:highlight w:val="none"/>
        </w:rPr>
      </w:pPr>
    </w:p>
    <w:p w14:paraId="507D78EA">
      <w:pPr>
        <w:pStyle w:val="80"/>
        <w:rPr>
          <w:color w:val="auto"/>
          <w:highlight w:val="none"/>
        </w:rPr>
      </w:pPr>
    </w:p>
    <w:p w14:paraId="385AA22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E2D310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2BD6AA6">
      <w:pPr>
        <w:spacing w:line="360" w:lineRule="auto"/>
        <w:rPr>
          <w:rFonts w:ascii="仿宋_GB2312" w:hAnsi="仿宋_GB2312" w:eastAsia="仿宋_GB2312" w:cs="仿宋_GB2312"/>
          <w:b/>
          <w:bCs/>
          <w:color w:val="auto"/>
          <w:sz w:val="18"/>
          <w:szCs w:val="18"/>
          <w:highlight w:val="none"/>
        </w:rPr>
      </w:pPr>
    </w:p>
    <w:p w14:paraId="7124A302">
      <w:pPr>
        <w:spacing w:line="360" w:lineRule="auto"/>
        <w:rPr>
          <w:rFonts w:ascii="仿宋_GB2312" w:hAnsi="仿宋_GB2312" w:eastAsia="仿宋_GB2312" w:cs="仿宋_GB2312"/>
          <w:b/>
          <w:bCs/>
          <w:color w:val="auto"/>
          <w:sz w:val="32"/>
          <w:szCs w:val="32"/>
          <w:highlight w:val="none"/>
        </w:rPr>
      </w:pPr>
    </w:p>
    <w:p w14:paraId="443F069B">
      <w:pPr>
        <w:spacing w:line="360" w:lineRule="auto"/>
        <w:rPr>
          <w:rFonts w:ascii="仿宋_GB2312" w:hAnsi="仿宋_GB2312" w:eastAsia="仿宋_GB2312" w:cs="仿宋_GB2312"/>
          <w:b/>
          <w:bCs/>
          <w:color w:val="auto"/>
          <w:sz w:val="32"/>
          <w:szCs w:val="32"/>
          <w:highlight w:val="none"/>
        </w:rPr>
      </w:pPr>
    </w:p>
    <w:p w14:paraId="7ED85B66">
      <w:pPr>
        <w:spacing w:line="360" w:lineRule="auto"/>
        <w:rPr>
          <w:rFonts w:ascii="仿宋_GB2312" w:hAnsi="仿宋_GB2312" w:eastAsia="仿宋_GB2312" w:cs="仿宋_GB2312"/>
          <w:b/>
          <w:bCs/>
          <w:color w:val="auto"/>
          <w:sz w:val="32"/>
          <w:szCs w:val="32"/>
          <w:highlight w:val="none"/>
        </w:rPr>
      </w:pPr>
    </w:p>
    <w:p w14:paraId="68408CF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6D0802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C373AC3">
      <w:pPr>
        <w:snapToGrid w:val="0"/>
        <w:spacing w:line="360" w:lineRule="auto"/>
        <w:ind w:right="960"/>
        <w:jc w:val="right"/>
        <w:rPr>
          <w:rFonts w:ascii="仿宋_GB2312" w:hAnsi="仿宋_GB2312" w:eastAsia="仿宋_GB2312" w:cs="仿宋_GB2312"/>
          <w:color w:val="auto"/>
          <w:kern w:val="0"/>
          <w:sz w:val="24"/>
          <w:highlight w:val="none"/>
          <w:lang w:val="zh-CN"/>
        </w:rPr>
      </w:pPr>
    </w:p>
    <w:p w14:paraId="2A5BE1B2">
      <w:pPr>
        <w:snapToGrid w:val="0"/>
        <w:spacing w:line="360" w:lineRule="auto"/>
        <w:ind w:right="960"/>
        <w:jc w:val="right"/>
        <w:rPr>
          <w:rFonts w:ascii="仿宋_GB2312" w:hAnsi="仿宋_GB2312" w:eastAsia="仿宋_GB2312" w:cs="仿宋_GB2312"/>
          <w:color w:val="auto"/>
          <w:kern w:val="0"/>
          <w:sz w:val="24"/>
          <w:highlight w:val="none"/>
          <w:lang w:val="zh-CN"/>
        </w:rPr>
      </w:pPr>
    </w:p>
    <w:p w14:paraId="2140141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27AC9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17E376">
      <w:pPr>
        <w:spacing w:line="360" w:lineRule="auto"/>
        <w:rPr>
          <w:rFonts w:ascii="仿宋_GB2312" w:hAnsi="仿宋_GB2312" w:eastAsia="仿宋_GB2312" w:cs="仿宋_GB2312"/>
          <w:b/>
          <w:bCs/>
          <w:color w:val="auto"/>
          <w:sz w:val="32"/>
          <w:szCs w:val="32"/>
          <w:highlight w:val="none"/>
        </w:rPr>
      </w:pPr>
    </w:p>
    <w:p w14:paraId="00A8B3E6">
      <w:pPr>
        <w:spacing w:line="360" w:lineRule="auto"/>
        <w:rPr>
          <w:rFonts w:ascii="仿宋_GB2312" w:hAnsi="仿宋_GB2312" w:eastAsia="仿宋_GB2312" w:cs="仿宋_GB2312"/>
          <w:b/>
          <w:bCs/>
          <w:color w:val="auto"/>
          <w:sz w:val="32"/>
          <w:szCs w:val="32"/>
          <w:highlight w:val="none"/>
        </w:rPr>
      </w:pPr>
    </w:p>
    <w:p w14:paraId="1EA8E88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1A864CC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14ED689">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444CB4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347CE95">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B35C1D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3959BE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647ED5D">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201FAF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C07DD7E">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595FAC9">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D6E16A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1BD08C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EB815C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D33A6A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2DA8D9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747ADEF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0316B5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4B137A0">
            <w:pPr>
              <w:suppressAutoHyphens/>
              <w:autoSpaceDE w:val="0"/>
              <w:autoSpaceDN w:val="0"/>
              <w:spacing w:line="360" w:lineRule="auto"/>
              <w:rPr>
                <w:rFonts w:ascii="仿宋_GB2312" w:hAnsi="仿宋_GB2312" w:eastAsia="仿宋_GB2312" w:cs="仿宋_GB2312"/>
                <w:color w:val="auto"/>
                <w:sz w:val="24"/>
                <w:highlight w:val="none"/>
              </w:rPr>
            </w:pPr>
          </w:p>
        </w:tc>
      </w:tr>
      <w:tr w14:paraId="61158BA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FD57E8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08EA4C7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64707E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644FB0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F11884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C95B39F">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2FBBCE2">
            <w:pPr>
              <w:suppressAutoHyphens/>
              <w:autoSpaceDE w:val="0"/>
              <w:autoSpaceDN w:val="0"/>
              <w:spacing w:line="360" w:lineRule="auto"/>
              <w:rPr>
                <w:rFonts w:ascii="仿宋_GB2312" w:hAnsi="仿宋_GB2312" w:eastAsia="仿宋_GB2312" w:cs="仿宋_GB2312"/>
                <w:color w:val="auto"/>
                <w:sz w:val="24"/>
                <w:highlight w:val="none"/>
              </w:rPr>
            </w:pPr>
          </w:p>
        </w:tc>
      </w:tr>
    </w:tbl>
    <w:p w14:paraId="1C6B81C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594960C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27DEEF4A">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F91CD84">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3268CA2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01DDF4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3F28DC97">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5EEB4E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37DB900">
      <w:pPr>
        <w:spacing w:line="360" w:lineRule="auto"/>
        <w:ind w:firstLine="480" w:firstLineChars="200"/>
        <w:rPr>
          <w:rFonts w:ascii="仿宋_GB2312" w:hAnsi="仿宋_GB2312" w:eastAsia="仿宋_GB2312" w:cs="仿宋_GB2312"/>
          <w:color w:val="auto"/>
          <w:sz w:val="24"/>
          <w:szCs w:val="20"/>
          <w:highlight w:val="none"/>
        </w:rPr>
      </w:pPr>
    </w:p>
    <w:p w14:paraId="15CB136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5793F5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B969454">
      <w:pPr>
        <w:spacing w:line="336" w:lineRule="auto"/>
        <w:jc w:val="center"/>
        <w:rPr>
          <w:rFonts w:hint="eastAsia" w:ascii="仿宋" w:hAnsi="仿宋" w:eastAsia="仿宋" w:cs="仿宋"/>
          <w:color w:val="auto"/>
          <w:sz w:val="24"/>
          <w:highlight w:val="none"/>
        </w:rPr>
      </w:pPr>
    </w:p>
    <w:p w14:paraId="7BE39627">
      <w:pPr>
        <w:spacing w:line="336" w:lineRule="auto"/>
        <w:jc w:val="center"/>
        <w:rPr>
          <w:rFonts w:hint="eastAsia" w:ascii="仿宋" w:hAnsi="仿宋" w:eastAsia="仿宋" w:cs="仿宋"/>
          <w:color w:val="auto"/>
          <w:sz w:val="24"/>
          <w:highlight w:val="none"/>
        </w:rPr>
      </w:pPr>
    </w:p>
    <w:p w14:paraId="62916EA6">
      <w:pPr>
        <w:spacing w:line="336" w:lineRule="auto"/>
        <w:jc w:val="center"/>
        <w:rPr>
          <w:rFonts w:hint="eastAsia" w:ascii="仿宋" w:hAnsi="仿宋" w:eastAsia="仿宋" w:cs="仿宋"/>
          <w:color w:val="auto"/>
          <w:sz w:val="24"/>
          <w:highlight w:val="none"/>
        </w:rPr>
      </w:pPr>
    </w:p>
    <w:p w14:paraId="0C9E2B23">
      <w:pPr>
        <w:spacing w:line="336"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14:paraId="60F7428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B9434C9">
      <w:pPr>
        <w:spacing w:line="360" w:lineRule="auto"/>
        <w:jc w:val="center"/>
        <w:rPr>
          <w:rFonts w:ascii="仿宋_GB2312" w:hAnsi="仿宋_GB2312" w:eastAsia="仿宋_GB2312" w:cs="仿宋_GB2312"/>
          <w:color w:val="auto"/>
          <w:sz w:val="24"/>
          <w:highlight w:val="none"/>
        </w:rPr>
      </w:pPr>
    </w:p>
    <w:p w14:paraId="767A592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07ABF7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D1B120">
      <w:pPr>
        <w:spacing w:line="360" w:lineRule="auto"/>
        <w:jc w:val="center"/>
        <w:rPr>
          <w:rFonts w:ascii="仿宋_GB2312" w:hAnsi="仿宋_GB2312" w:eastAsia="仿宋_GB2312" w:cs="仿宋_GB2312"/>
          <w:b/>
          <w:bCs/>
          <w:color w:val="auto"/>
          <w:sz w:val="30"/>
          <w:szCs w:val="30"/>
          <w:highlight w:val="none"/>
        </w:rPr>
      </w:pPr>
    </w:p>
    <w:p w14:paraId="20B93F89">
      <w:pPr>
        <w:spacing w:line="360" w:lineRule="auto"/>
        <w:jc w:val="center"/>
        <w:rPr>
          <w:rFonts w:ascii="仿宋_GB2312" w:hAnsi="仿宋_GB2312" w:eastAsia="仿宋_GB2312" w:cs="仿宋_GB2312"/>
          <w:b/>
          <w:bCs/>
          <w:color w:val="auto"/>
          <w:sz w:val="30"/>
          <w:szCs w:val="30"/>
          <w:highlight w:val="none"/>
        </w:rPr>
      </w:pPr>
    </w:p>
    <w:p w14:paraId="6AF6BDAE">
      <w:pPr>
        <w:spacing w:line="360" w:lineRule="auto"/>
        <w:jc w:val="center"/>
        <w:rPr>
          <w:rFonts w:ascii="仿宋_GB2312" w:hAnsi="仿宋_GB2312" w:eastAsia="仿宋_GB2312" w:cs="仿宋_GB2312"/>
          <w:b/>
          <w:bCs/>
          <w:color w:val="auto"/>
          <w:sz w:val="24"/>
          <w:highlight w:val="none"/>
        </w:rPr>
      </w:pPr>
    </w:p>
    <w:p w14:paraId="091DD8BC">
      <w:pPr>
        <w:spacing w:line="360" w:lineRule="auto"/>
        <w:jc w:val="center"/>
        <w:rPr>
          <w:rFonts w:ascii="仿宋_GB2312" w:hAnsi="仿宋_GB2312" w:eastAsia="仿宋_GB2312" w:cs="仿宋_GB2312"/>
          <w:b/>
          <w:bCs/>
          <w:color w:val="auto"/>
          <w:sz w:val="24"/>
          <w:highlight w:val="none"/>
        </w:rPr>
      </w:pPr>
    </w:p>
    <w:p w14:paraId="3C0E386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69FD9C6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06686CD">
      <w:pPr>
        <w:spacing w:line="360" w:lineRule="auto"/>
        <w:rPr>
          <w:rFonts w:ascii="仿宋_GB2312" w:hAnsi="仿宋_GB2312" w:eastAsia="仿宋_GB2312" w:cs="仿宋_GB2312"/>
          <w:color w:val="auto"/>
          <w:sz w:val="24"/>
          <w:highlight w:val="none"/>
        </w:rPr>
      </w:pPr>
    </w:p>
    <w:p w14:paraId="0DAE563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55EACD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7D1D35">
      <w:pPr>
        <w:pStyle w:val="81"/>
        <w:rPr>
          <w:rFonts w:hint="eastAsia"/>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57FB50C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A285F8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1B9BE56">
      <w:pPr>
        <w:spacing w:line="360" w:lineRule="auto"/>
        <w:jc w:val="center"/>
        <w:outlineLvl w:val="0"/>
        <w:rPr>
          <w:rFonts w:hint="eastAsia" w:ascii="仿宋" w:hAnsi="仿宋" w:eastAsia="仿宋" w:cs="仿宋"/>
          <w:b/>
          <w:color w:val="auto"/>
          <w:kern w:val="0"/>
          <w:sz w:val="36"/>
          <w:szCs w:val="36"/>
          <w:highlight w:val="none"/>
        </w:rPr>
      </w:pPr>
    </w:p>
    <w:p w14:paraId="1A4737C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1958374">
      <w:pPr>
        <w:snapToGrid w:val="0"/>
        <w:spacing w:line="360" w:lineRule="auto"/>
        <w:ind w:right="480"/>
        <w:jc w:val="center"/>
        <w:rPr>
          <w:rFonts w:hint="eastAsia" w:ascii="仿宋" w:hAnsi="仿宋" w:eastAsia="仿宋" w:cs="仿宋"/>
          <w:b/>
          <w:color w:val="auto"/>
          <w:kern w:val="0"/>
          <w:sz w:val="32"/>
          <w:szCs w:val="32"/>
          <w:highlight w:val="none"/>
        </w:rPr>
      </w:pPr>
    </w:p>
    <w:p w14:paraId="19DBBB21">
      <w:pPr>
        <w:snapToGrid w:val="0"/>
        <w:spacing w:line="360" w:lineRule="auto"/>
        <w:ind w:right="480"/>
        <w:jc w:val="center"/>
        <w:rPr>
          <w:rFonts w:hint="eastAsia" w:ascii="仿宋" w:hAnsi="仿宋" w:eastAsia="仿宋" w:cs="仿宋"/>
          <w:b/>
          <w:color w:val="auto"/>
          <w:kern w:val="0"/>
          <w:sz w:val="32"/>
          <w:szCs w:val="32"/>
          <w:highlight w:val="none"/>
        </w:rPr>
      </w:pPr>
    </w:p>
    <w:p w14:paraId="4D0C757D">
      <w:pPr>
        <w:snapToGrid w:val="0"/>
        <w:spacing w:line="360" w:lineRule="auto"/>
        <w:ind w:right="480"/>
        <w:jc w:val="center"/>
        <w:rPr>
          <w:rFonts w:hint="eastAsia" w:ascii="仿宋" w:hAnsi="仿宋" w:eastAsia="仿宋" w:cs="仿宋"/>
          <w:b/>
          <w:color w:val="auto"/>
          <w:kern w:val="0"/>
          <w:sz w:val="32"/>
          <w:szCs w:val="32"/>
          <w:highlight w:val="none"/>
        </w:rPr>
      </w:pPr>
    </w:p>
    <w:p w14:paraId="4E669FF6">
      <w:pPr>
        <w:snapToGrid w:val="0"/>
        <w:spacing w:line="360" w:lineRule="auto"/>
        <w:ind w:right="480"/>
        <w:jc w:val="center"/>
        <w:rPr>
          <w:rFonts w:hint="eastAsia" w:ascii="仿宋" w:hAnsi="仿宋" w:eastAsia="仿宋" w:cs="仿宋"/>
          <w:b/>
          <w:color w:val="auto"/>
          <w:kern w:val="0"/>
          <w:sz w:val="32"/>
          <w:szCs w:val="32"/>
          <w:highlight w:val="none"/>
        </w:rPr>
      </w:pPr>
    </w:p>
    <w:p w14:paraId="4424C035">
      <w:pPr>
        <w:snapToGrid w:val="0"/>
        <w:spacing w:line="360" w:lineRule="auto"/>
        <w:ind w:right="480"/>
        <w:jc w:val="center"/>
        <w:rPr>
          <w:rFonts w:hint="eastAsia" w:ascii="仿宋" w:hAnsi="仿宋" w:eastAsia="仿宋" w:cs="仿宋"/>
          <w:b/>
          <w:color w:val="auto"/>
          <w:kern w:val="0"/>
          <w:sz w:val="32"/>
          <w:szCs w:val="32"/>
          <w:highlight w:val="none"/>
        </w:rPr>
      </w:pPr>
    </w:p>
    <w:p w14:paraId="3CCCFABE">
      <w:pPr>
        <w:snapToGrid w:val="0"/>
        <w:spacing w:line="360" w:lineRule="auto"/>
        <w:ind w:right="480"/>
        <w:jc w:val="center"/>
        <w:rPr>
          <w:rFonts w:hint="eastAsia" w:ascii="仿宋" w:hAnsi="仿宋" w:eastAsia="仿宋" w:cs="仿宋"/>
          <w:b/>
          <w:color w:val="auto"/>
          <w:kern w:val="0"/>
          <w:sz w:val="32"/>
          <w:szCs w:val="32"/>
          <w:highlight w:val="none"/>
        </w:rPr>
      </w:pPr>
    </w:p>
    <w:p w14:paraId="2702494C">
      <w:pPr>
        <w:snapToGrid w:val="0"/>
        <w:spacing w:line="360" w:lineRule="auto"/>
        <w:ind w:right="480"/>
        <w:jc w:val="center"/>
        <w:rPr>
          <w:rFonts w:hint="eastAsia" w:ascii="仿宋" w:hAnsi="仿宋" w:eastAsia="仿宋" w:cs="仿宋"/>
          <w:b/>
          <w:color w:val="auto"/>
          <w:kern w:val="0"/>
          <w:sz w:val="32"/>
          <w:szCs w:val="32"/>
          <w:highlight w:val="none"/>
        </w:rPr>
      </w:pPr>
    </w:p>
    <w:p w14:paraId="050D40ED">
      <w:pPr>
        <w:snapToGrid w:val="0"/>
        <w:spacing w:line="360" w:lineRule="auto"/>
        <w:ind w:right="480"/>
        <w:jc w:val="center"/>
        <w:rPr>
          <w:rFonts w:hint="eastAsia" w:ascii="仿宋" w:hAnsi="仿宋" w:eastAsia="仿宋" w:cs="仿宋"/>
          <w:b/>
          <w:color w:val="auto"/>
          <w:kern w:val="0"/>
          <w:sz w:val="32"/>
          <w:szCs w:val="32"/>
          <w:highlight w:val="none"/>
        </w:rPr>
      </w:pPr>
    </w:p>
    <w:p w14:paraId="1044870B">
      <w:pPr>
        <w:snapToGrid w:val="0"/>
        <w:spacing w:line="360" w:lineRule="auto"/>
        <w:ind w:right="480"/>
        <w:jc w:val="center"/>
        <w:rPr>
          <w:rFonts w:hint="eastAsia" w:ascii="仿宋" w:hAnsi="仿宋" w:eastAsia="仿宋" w:cs="仿宋"/>
          <w:b/>
          <w:color w:val="auto"/>
          <w:kern w:val="0"/>
          <w:sz w:val="32"/>
          <w:szCs w:val="32"/>
          <w:highlight w:val="none"/>
        </w:rPr>
      </w:pPr>
    </w:p>
    <w:p w14:paraId="440D64F4">
      <w:pPr>
        <w:snapToGrid w:val="0"/>
        <w:spacing w:line="360" w:lineRule="auto"/>
        <w:ind w:right="480"/>
        <w:jc w:val="center"/>
        <w:rPr>
          <w:rFonts w:hint="eastAsia" w:ascii="仿宋" w:hAnsi="仿宋" w:eastAsia="仿宋" w:cs="仿宋"/>
          <w:b/>
          <w:color w:val="auto"/>
          <w:kern w:val="0"/>
          <w:sz w:val="32"/>
          <w:szCs w:val="32"/>
          <w:highlight w:val="none"/>
        </w:rPr>
      </w:pPr>
    </w:p>
    <w:p w14:paraId="4F78217D">
      <w:pPr>
        <w:snapToGrid w:val="0"/>
        <w:spacing w:line="360" w:lineRule="auto"/>
        <w:ind w:right="480"/>
        <w:jc w:val="center"/>
        <w:rPr>
          <w:rFonts w:hint="eastAsia" w:ascii="仿宋" w:hAnsi="仿宋" w:eastAsia="仿宋" w:cs="仿宋"/>
          <w:b/>
          <w:color w:val="auto"/>
          <w:kern w:val="0"/>
          <w:sz w:val="32"/>
          <w:szCs w:val="32"/>
          <w:highlight w:val="none"/>
        </w:rPr>
      </w:pPr>
    </w:p>
    <w:p w14:paraId="4F7FCC0A">
      <w:pPr>
        <w:snapToGrid w:val="0"/>
        <w:spacing w:line="360" w:lineRule="auto"/>
        <w:ind w:right="480"/>
        <w:jc w:val="center"/>
        <w:rPr>
          <w:rFonts w:hint="eastAsia" w:ascii="仿宋" w:hAnsi="仿宋" w:eastAsia="仿宋" w:cs="仿宋"/>
          <w:b/>
          <w:color w:val="auto"/>
          <w:kern w:val="0"/>
          <w:sz w:val="32"/>
          <w:szCs w:val="32"/>
          <w:highlight w:val="none"/>
        </w:rPr>
      </w:pPr>
    </w:p>
    <w:p w14:paraId="52E36AA6">
      <w:pPr>
        <w:snapToGrid w:val="0"/>
        <w:spacing w:line="360" w:lineRule="auto"/>
        <w:ind w:right="480"/>
        <w:jc w:val="center"/>
        <w:rPr>
          <w:rFonts w:hint="eastAsia" w:ascii="仿宋" w:hAnsi="仿宋" w:eastAsia="仿宋" w:cs="仿宋"/>
          <w:b/>
          <w:color w:val="auto"/>
          <w:kern w:val="0"/>
          <w:sz w:val="32"/>
          <w:szCs w:val="32"/>
          <w:highlight w:val="none"/>
        </w:rPr>
      </w:pPr>
    </w:p>
    <w:p w14:paraId="5ED63D05">
      <w:pPr>
        <w:snapToGrid w:val="0"/>
        <w:spacing w:line="360" w:lineRule="auto"/>
        <w:ind w:right="480"/>
        <w:jc w:val="both"/>
        <w:rPr>
          <w:rFonts w:hint="eastAsia" w:ascii="仿宋" w:hAnsi="仿宋" w:eastAsia="仿宋" w:cs="仿宋"/>
          <w:b/>
          <w:color w:val="auto"/>
          <w:kern w:val="0"/>
          <w:sz w:val="32"/>
          <w:szCs w:val="32"/>
          <w:highlight w:val="none"/>
        </w:rPr>
      </w:pPr>
    </w:p>
    <w:p w14:paraId="11AA6F9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50F8AF57">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E53D65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3E5E54F">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600B86F9">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583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1B56F2B">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12FB8930">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2CCA00C8">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p w14:paraId="040A53F7">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4E61F6B0">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27A21739">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589CCD25">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6F666612">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报价</w:t>
            </w:r>
          </w:p>
        </w:tc>
        <w:tc>
          <w:tcPr>
            <w:tcW w:w="3119" w:type="dxa"/>
            <w:vAlign w:val="center"/>
          </w:tcPr>
          <w:p w14:paraId="2819F3EF">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p w14:paraId="45A3D1FE">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E617155">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tc>
      </w:tr>
      <w:tr w14:paraId="5C92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5EDF0EB">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13EE48AC">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3F0A444E">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14:paraId="43B85F94">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14:paraId="15FA38D7">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14:paraId="4F7BAAFE">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restart"/>
            <w:vAlign w:val="center"/>
          </w:tcPr>
          <w:p w14:paraId="7AA234AB">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14:paraId="1BCD90C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1EEA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CE359D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6C5E9ED2">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55D59EF1">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14:paraId="4430A18A">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14:paraId="57D7E914">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14:paraId="11E4304B">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continue"/>
            <w:vAlign w:val="center"/>
          </w:tcPr>
          <w:p w14:paraId="16631DD3">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14:paraId="266FE73D">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76765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4C19B0D">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7BF57F52">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843" w:type="dxa"/>
            <w:vAlign w:val="center"/>
          </w:tcPr>
          <w:p w14:paraId="5C172636">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14:paraId="64FEDD62">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14:paraId="40F8C0F9">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14:paraId="2BE6B1D4">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continue"/>
            <w:vAlign w:val="center"/>
          </w:tcPr>
          <w:p w14:paraId="7905BA9C">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14:paraId="3E702347">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4016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94285BF">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417" w:type="dxa"/>
            <w:vAlign w:val="center"/>
          </w:tcPr>
          <w:p w14:paraId="336E59FA">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843" w:type="dxa"/>
            <w:vAlign w:val="center"/>
          </w:tcPr>
          <w:p w14:paraId="3E3B7FAA">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14:paraId="559CCBBD">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14:paraId="71CA9E21">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14:paraId="27A5FE5A">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continue"/>
            <w:vAlign w:val="center"/>
          </w:tcPr>
          <w:p w14:paraId="52EEF9E5">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14:paraId="0B2C3B4A">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2741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76DEA3E">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val="en-US" w:eastAsia="zh-CN"/>
              </w:rPr>
              <w:t>报价</w:t>
            </w:r>
            <w:r>
              <w:rPr>
                <w:rFonts w:hint="eastAsia" w:ascii="仿宋" w:hAnsi="仿宋" w:eastAsia="仿宋" w:cs="仿宋"/>
                <w:b/>
                <w:color w:val="auto"/>
                <w:sz w:val="24"/>
                <w:highlight w:val="none"/>
              </w:rPr>
              <w:t>（小写）</w:t>
            </w:r>
          </w:p>
        </w:tc>
        <w:tc>
          <w:tcPr>
            <w:tcW w:w="7655" w:type="dxa"/>
            <w:gridSpan w:val="4"/>
            <w:vAlign w:val="center"/>
          </w:tcPr>
          <w:p w14:paraId="14779A53">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5657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9EC480B">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val="en-US" w:eastAsia="zh-CN"/>
              </w:rPr>
              <w:t>报价</w:t>
            </w:r>
            <w:r>
              <w:rPr>
                <w:rFonts w:hint="eastAsia" w:ascii="仿宋" w:hAnsi="仿宋" w:eastAsia="仿宋" w:cs="仿宋"/>
                <w:b/>
                <w:color w:val="auto"/>
                <w:sz w:val="24"/>
                <w:highlight w:val="none"/>
              </w:rPr>
              <w:t>（大写）</w:t>
            </w:r>
          </w:p>
        </w:tc>
        <w:tc>
          <w:tcPr>
            <w:tcW w:w="7655" w:type="dxa"/>
            <w:gridSpan w:val="4"/>
            <w:vAlign w:val="center"/>
          </w:tcPr>
          <w:p w14:paraId="1500095F">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lang w:val="en-US" w:eastAsia="zh-CN"/>
              </w:rPr>
            </w:pPr>
          </w:p>
        </w:tc>
      </w:tr>
    </w:tbl>
    <w:p w14:paraId="23DE5B13">
      <w:pPr>
        <w:snapToGrid w:val="0"/>
        <w:spacing w:line="360" w:lineRule="auto"/>
        <w:ind w:left="480"/>
        <w:rPr>
          <w:rFonts w:hint="eastAsia" w:ascii="仿宋" w:hAnsi="仿宋" w:eastAsia="仿宋" w:cs="仿宋"/>
          <w:b/>
          <w:color w:val="auto"/>
          <w:kern w:val="0"/>
          <w:sz w:val="24"/>
          <w:highlight w:val="none"/>
          <w:lang w:val="zh-CN"/>
        </w:rPr>
      </w:pPr>
    </w:p>
    <w:p w14:paraId="7E01C7C8">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323F10A">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2ABD396C">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0521A79">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215DD06">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41A17F1">
      <w:pPr>
        <w:spacing w:line="360" w:lineRule="auto"/>
        <w:ind w:firstLine="482" w:firstLineChars="200"/>
        <w:rPr>
          <w:rFonts w:hint="eastAsia" w:ascii="仿宋" w:hAnsi="仿宋" w:eastAsia="仿宋" w:cs="仿宋"/>
          <w:b/>
          <w:color w:val="auto"/>
          <w:kern w:val="0"/>
          <w:sz w:val="24"/>
          <w:highlight w:val="none"/>
        </w:rPr>
      </w:pPr>
    </w:p>
    <w:p w14:paraId="512FFEC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4A9613D">
      <w:pPr>
        <w:spacing w:line="360" w:lineRule="exact"/>
        <w:rPr>
          <w:rFonts w:hint="eastAsia" w:ascii="仿宋" w:hAnsi="仿宋" w:eastAsia="仿宋" w:cs="仿宋"/>
          <w:color w:val="auto"/>
          <w:sz w:val="24"/>
          <w:highlight w:val="none"/>
        </w:rPr>
      </w:pPr>
    </w:p>
    <w:p w14:paraId="0D1073F1">
      <w:pPr>
        <w:spacing w:line="360" w:lineRule="exact"/>
        <w:rPr>
          <w:rFonts w:hint="eastAsia" w:ascii="仿宋" w:hAnsi="仿宋" w:eastAsia="仿宋" w:cs="仿宋"/>
          <w:color w:val="auto"/>
          <w:sz w:val="24"/>
          <w:highlight w:val="none"/>
        </w:rPr>
      </w:pPr>
    </w:p>
    <w:p w14:paraId="0960D3F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6D70925">
      <w:pPr>
        <w:spacing w:line="360" w:lineRule="exact"/>
        <w:rPr>
          <w:rFonts w:hint="eastAsia" w:ascii="仿宋" w:hAnsi="仿宋" w:eastAsia="仿宋" w:cs="仿宋"/>
          <w:color w:val="auto"/>
          <w:sz w:val="24"/>
          <w:highlight w:val="none"/>
        </w:rPr>
      </w:pPr>
    </w:p>
    <w:p w14:paraId="5D3FF7D8">
      <w:pPr>
        <w:spacing w:line="360" w:lineRule="exact"/>
        <w:rPr>
          <w:rFonts w:hint="eastAsia" w:ascii="仿宋" w:hAnsi="仿宋" w:eastAsia="仿宋" w:cs="仿宋"/>
          <w:color w:val="auto"/>
          <w:sz w:val="24"/>
          <w:highlight w:val="none"/>
        </w:rPr>
      </w:pPr>
    </w:p>
    <w:p w14:paraId="6DD07AB8">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1BD2358">
      <w:pPr>
        <w:spacing w:line="336" w:lineRule="auto"/>
        <w:jc w:val="center"/>
        <w:rPr>
          <w:rFonts w:hint="eastAsia" w:ascii="仿宋" w:hAnsi="仿宋" w:eastAsia="仿宋" w:cs="仿宋"/>
          <w:b/>
          <w:color w:val="auto"/>
          <w:kern w:val="0"/>
          <w:sz w:val="36"/>
          <w:szCs w:val="36"/>
          <w:highlight w:val="none"/>
        </w:rPr>
      </w:pPr>
    </w:p>
    <w:p w14:paraId="3764769D">
      <w:pPr>
        <w:spacing w:line="336" w:lineRule="auto"/>
        <w:jc w:val="center"/>
        <w:rPr>
          <w:rFonts w:hint="eastAsia" w:ascii="仿宋" w:hAnsi="仿宋" w:eastAsia="仿宋" w:cs="仿宋"/>
          <w:b/>
          <w:color w:val="auto"/>
          <w:kern w:val="0"/>
          <w:sz w:val="36"/>
          <w:szCs w:val="36"/>
          <w:highlight w:val="none"/>
        </w:rPr>
      </w:pPr>
    </w:p>
    <w:p w14:paraId="281577E1">
      <w:pPr>
        <w:spacing w:line="336" w:lineRule="auto"/>
        <w:jc w:val="center"/>
        <w:rPr>
          <w:rFonts w:hint="eastAsia" w:ascii="仿宋" w:hAnsi="仿宋" w:eastAsia="仿宋" w:cs="仿宋"/>
          <w:b/>
          <w:color w:val="auto"/>
          <w:kern w:val="0"/>
          <w:sz w:val="36"/>
          <w:szCs w:val="36"/>
          <w:highlight w:val="none"/>
        </w:rPr>
      </w:pPr>
    </w:p>
    <w:p w14:paraId="30FB334B">
      <w:pPr>
        <w:pStyle w:val="693"/>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highlight w:val="none"/>
        </w:rPr>
      </w:pPr>
    </w:p>
    <w:p w14:paraId="2D703D2A">
      <w:pPr>
        <w:pStyle w:val="81"/>
        <w:numPr>
          <w:ilvl w:val="1"/>
          <w:numId w:val="5"/>
        </w:numPr>
        <w:ind w:left="0" w:leftChars="0" w:firstLine="0" w:firstLineChars="0"/>
        <w:jc w:val="center"/>
        <w:rPr>
          <w:rFonts w:hint="eastAsia" w:ascii="仿宋" w:hAnsi="仿宋" w:eastAsia="仿宋" w:cs="仿宋"/>
          <w:b/>
          <w:bCs/>
          <w:color w:val="auto"/>
          <w:kern w:val="2"/>
          <w:sz w:val="32"/>
          <w:szCs w:val="32"/>
          <w:highlight w:val="none"/>
        </w:rPr>
      </w:pPr>
      <w:r>
        <w:rPr>
          <w:rFonts w:hint="eastAsia" w:ascii="仿宋" w:hAnsi="仿宋" w:eastAsia="仿宋" w:cs="仿宋"/>
          <w:b/>
          <w:bCs/>
          <w:color w:val="auto"/>
          <w:kern w:val="2"/>
          <w:sz w:val="32"/>
          <w:szCs w:val="32"/>
          <w:highlight w:val="none"/>
        </w:rPr>
        <w:t>报价</w:t>
      </w:r>
      <w:r>
        <w:rPr>
          <w:rFonts w:hint="eastAsia" w:ascii="仿宋" w:hAnsi="仿宋" w:eastAsia="仿宋" w:cs="仿宋"/>
          <w:b/>
          <w:bCs/>
          <w:color w:val="auto"/>
          <w:kern w:val="2"/>
          <w:sz w:val="32"/>
          <w:szCs w:val="32"/>
          <w:highlight w:val="none"/>
          <w:lang w:val="en-US" w:eastAsia="zh-CN"/>
        </w:rPr>
        <w:t>明细</w:t>
      </w:r>
      <w:r>
        <w:rPr>
          <w:rFonts w:hint="eastAsia" w:ascii="仿宋" w:hAnsi="仿宋" w:eastAsia="仿宋" w:cs="仿宋"/>
          <w:b/>
          <w:bCs/>
          <w:color w:val="auto"/>
          <w:kern w:val="2"/>
          <w:sz w:val="32"/>
          <w:szCs w:val="32"/>
          <w:highlight w:val="none"/>
        </w:rPr>
        <w:t>表</w:t>
      </w:r>
    </w:p>
    <w:p w14:paraId="32532EF4">
      <w:pPr>
        <w:numPr>
          <w:ilvl w:val="0"/>
          <w:numId w:val="0"/>
        </w:numPr>
        <w:ind w:leftChars="0"/>
        <w:rPr>
          <w:rFonts w:hint="eastAsia"/>
          <w:color w:val="auto"/>
          <w:lang w:val="zh-CN"/>
        </w:rPr>
      </w:pPr>
    </w:p>
    <w:tbl>
      <w:tblPr>
        <w:tblStyle w:val="63"/>
        <w:tblW w:w="42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636"/>
        <w:gridCol w:w="2177"/>
        <w:gridCol w:w="2751"/>
        <w:gridCol w:w="1025"/>
        <w:gridCol w:w="1025"/>
        <w:gridCol w:w="1523"/>
        <w:gridCol w:w="1523"/>
      </w:tblGrid>
      <w:tr w14:paraId="4A13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32" w:type="dxa"/>
            <w:tcBorders>
              <w:tl2br w:val="nil"/>
              <w:tr2bl w:val="nil"/>
            </w:tcBorders>
            <w:shd w:val="clear" w:color="auto" w:fill="auto"/>
            <w:vAlign w:val="center"/>
          </w:tcPr>
          <w:p w14:paraId="7196D0F6">
            <w:pPr>
              <w:adjustRightInd/>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w:t>
            </w:r>
          </w:p>
        </w:tc>
        <w:tc>
          <w:tcPr>
            <w:tcW w:w="1829" w:type="dxa"/>
            <w:tcBorders>
              <w:tl2br w:val="nil"/>
              <w:tr2bl w:val="nil"/>
            </w:tcBorders>
            <w:shd w:val="clear" w:color="auto" w:fill="auto"/>
            <w:vAlign w:val="center"/>
          </w:tcPr>
          <w:p w14:paraId="48CA1B4B">
            <w:pPr>
              <w:adjustRightInd/>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类别</w:t>
            </w:r>
          </w:p>
        </w:tc>
        <w:tc>
          <w:tcPr>
            <w:tcW w:w="5540" w:type="dxa"/>
            <w:gridSpan w:val="2"/>
            <w:tcBorders>
              <w:tl2br w:val="nil"/>
              <w:tr2bl w:val="nil"/>
            </w:tcBorders>
            <w:shd w:val="clear" w:color="auto" w:fill="auto"/>
            <w:vAlign w:val="center"/>
          </w:tcPr>
          <w:p w14:paraId="6DAD18BD">
            <w:pPr>
              <w:adjustRightInd/>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内容</w:t>
            </w:r>
          </w:p>
        </w:tc>
        <w:tc>
          <w:tcPr>
            <w:tcW w:w="1134" w:type="dxa"/>
            <w:tcBorders>
              <w:tl2br w:val="nil"/>
              <w:tr2bl w:val="nil"/>
            </w:tcBorders>
            <w:shd w:val="clear" w:color="auto" w:fill="auto"/>
            <w:vAlign w:val="center"/>
          </w:tcPr>
          <w:p w14:paraId="3E8417AD">
            <w:pPr>
              <w:adjustRightInd/>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数量</w:t>
            </w:r>
          </w:p>
        </w:tc>
        <w:tc>
          <w:tcPr>
            <w:tcW w:w="1134" w:type="dxa"/>
            <w:tcBorders>
              <w:tl2br w:val="nil"/>
              <w:tr2bl w:val="nil"/>
            </w:tcBorders>
            <w:shd w:val="clear" w:color="auto" w:fill="auto"/>
            <w:vAlign w:val="center"/>
          </w:tcPr>
          <w:p w14:paraId="4BEB3E24">
            <w:pPr>
              <w:adjustRightInd/>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单位</w:t>
            </w:r>
          </w:p>
        </w:tc>
        <w:tc>
          <w:tcPr>
            <w:tcW w:w="1701" w:type="dxa"/>
            <w:tcBorders>
              <w:tl2br w:val="nil"/>
              <w:tr2bl w:val="nil"/>
            </w:tcBorders>
            <w:shd w:val="clear" w:color="auto" w:fill="auto"/>
            <w:vAlign w:val="center"/>
          </w:tcPr>
          <w:p w14:paraId="57D7EBCB">
            <w:pPr>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报价（元）</w:t>
            </w:r>
          </w:p>
        </w:tc>
        <w:tc>
          <w:tcPr>
            <w:tcW w:w="1701" w:type="dxa"/>
            <w:tcBorders>
              <w:tl2br w:val="nil"/>
              <w:tr2bl w:val="nil"/>
            </w:tcBorders>
            <w:shd w:val="clear" w:color="auto" w:fill="auto"/>
            <w:vAlign w:val="center"/>
          </w:tcPr>
          <w:p w14:paraId="2B8FDDF2">
            <w:pPr>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备注</w:t>
            </w:r>
          </w:p>
        </w:tc>
      </w:tr>
      <w:tr w14:paraId="016F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32" w:type="dxa"/>
            <w:vMerge w:val="restart"/>
            <w:tcBorders>
              <w:tl2br w:val="nil"/>
              <w:tr2bl w:val="nil"/>
            </w:tcBorders>
            <w:shd w:val="clear" w:color="auto" w:fill="auto"/>
            <w:vAlign w:val="center"/>
          </w:tcPr>
          <w:p w14:paraId="090D412D">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829" w:type="dxa"/>
            <w:vMerge w:val="restart"/>
            <w:tcBorders>
              <w:tl2br w:val="nil"/>
              <w:tr2bl w:val="nil"/>
            </w:tcBorders>
            <w:shd w:val="clear" w:color="auto" w:fill="auto"/>
            <w:vAlign w:val="center"/>
          </w:tcPr>
          <w:p w14:paraId="46BDB50B">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医院信息集成平台</w:t>
            </w:r>
          </w:p>
        </w:tc>
        <w:tc>
          <w:tcPr>
            <w:tcW w:w="5540" w:type="dxa"/>
            <w:gridSpan w:val="2"/>
            <w:tcBorders>
              <w:tl2br w:val="nil"/>
              <w:tr2bl w:val="nil"/>
            </w:tcBorders>
            <w:shd w:val="clear" w:color="auto" w:fill="auto"/>
            <w:vAlign w:val="center"/>
          </w:tcPr>
          <w:p w14:paraId="70C164DA">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企业服务总线</w:t>
            </w:r>
          </w:p>
        </w:tc>
        <w:tc>
          <w:tcPr>
            <w:tcW w:w="1134" w:type="dxa"/>
            <w:tcBorders>
              <w:tl2br w:val="nil"/>
              <w:tr2bl w:val="nil"/>
            </w:tcBorders>
            <w:shd w:val="clear" w:color="auto" w:fill="auto"/>
            <w:vAlign w:val="center"/>
          </w:tcPr>
          <w:p w14:paraId="3D0D9379">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34" w:type="dxa"/>
            <w:tcBorders>
              <w:tl2br w:val="nil"/>
              <w:tr2bl w:val="nil"/>
            </w:tcBorders>
            <w:shd w:val="clear" w:color="auto" w:fill="auto"/>
            <w:vAlign w:val="center"/>
          </w:tcPr>
          <w:p w14:paraId="5191B38B">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c>
          <w:tcPr>
            <w:tcW w:w="1701" w:type="dxa"/>
            <w:tcBorders>
              <w:tl2br w:val="nil"/>
              <w:tr2bl w:val="nil"/>
            </w:tcBorders>
            <w:shd w:val="clear" w:color="auto" w:fill="auto"/>
            <w:vAlign w:val="center"/>
          </w:tcPr>
          <w:p w14:paraId="7D935F16">
            <w:pPr>
              <w:adjustRightInd/>
              <w:jc w:val="center"/>
              <w:rPr>
                <w:rFonts w:hint="eastAsia" w:ascii="仿宋" w:hAnsi="仿宋" w:eastAsia="仿宋" w:cs="仿宋"/>
                <w:color w:val="auto"/>
                <w:kern w:val="0"/>
                <w:sz w:val="24"/>
                <w:szCs w:val="24"/>
                <w:highlight w:val="none"/>
              </w:rPr>
            </w:pPr>
          </w:p>
        </w:tc>
        <w:tc>
          <w:tcPr>
            <w:tcW w:w="1701" w:type="dxa"/>
            <w:tcBorders>
              <w:tl2br w:val="nil"/>
              <w:tr2bl w:val="nil"/>
            </w:tcBorders>
            <w:shd w:val="clear" w:color="auto" w:fill="auto"/>
            <w:vAlign w:val="center"/>
          </w:tcPr>
          <w:p w14:paraId="584DA228">
            <w:pPr>
              <w:adjustRightInd/>
              <w:jc w:val="center"/>
              <w:rPr>
                <w:rFonts w:hint="eastAsia" w:ascii="仿宋" w:hAnsi="仿宋" w:eastAsia="仿宋" w:cs="仿宋"/>
                <w:color w:val="auto"/>
                <w:kern w:val="0"/>
                <w:sz w:val="24"/>
                <w:szCs w:val="24"/>
                <w:highlight w:val="none"/>
              </w:rPr>
            </w:pPr>
          </w:p>
        </w:tc>
      </w:tr>
      <w:tr w14:paraId="4523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32" w:type="dxa"/>
            <w:vMerge w:val="continue"/>
            <w:tcBorders>
              <w:tl2br w:val="nil"/>
              <w:tr2bl w:val="nil"/>
            </w:tcBorders>
            <w:vAlign w:val="center"/>
          </w:tcPr>
          <w:p w14:paraId="5DEBEE82">
            <w:pPr>
              <w:adjustRightInd/>
              <w:jc w:val="left"/>
              <w:rPr>
                <w:rFonts w:hint="eastAsia" w:ascii="仿宋" w:hAnsi="仿宋" w:eastAsia="仿宋" w:cs="仿宋"/>
                <w:color w:val="auto"/>
                <w:kern w:val="0"/>
                <w:sz w:val="24"/>
                <w:szCs w:val="24"/>
                <w:highlight w:val="none"/>
              </w:rPr>
            </w:pPr>
          </w:p>
        </w:tc>
        <w:tc>
          <w:tcPr>
            <w:tcW w:w="1829" w:type="dxa"/>
            <w:vMerge w:val="continue"/>
            <w:tcBorders>
              <w:tl2br w:val="nil"/>
              <w:tr2bl w:val="nil"/>
            </w:tcBorders>
            <w:vAlign w:val="center"/>
          </w:tcPr>
          <w:p w14:paraId="0EEA82C3">
            <w:pPr>
              <w:adjustRightInd/>
              <w:jc w:val="left"/>
              <w:rPr>
                <w:rFonts w:hint="eastAsia" w:ascii="仿宋" w:hAnsi="仿宋" w:eastAsia="仿宋" w:cs="仿宋"/>
                <w:color w:val="auto"/>
                <w:kern w:val="0"/>
                <w:sz w:val="24"/>
                <w:szCs w:val="24"/>
                <w:highlight w:val="none"/>
              </w:rPr>
            </w:pPr>
          </w:p>
        </w:tc>
        <w:tc>
          <w:tcPr>
            <w:tcW w:w="5540" w:type="dxa"/>
            <w:gridSpan w:val="2"/>
            <w:tcBorders>
              <w:tl2br w:val="nil"/>
              <w:tr2bl w:val="nil"/>
            </w:tcBorders>
            <w:shd w:val="clear" w:color="auto" w:fill="auto"/>
            <w:vAlign w:val="center"/>
          </w:tcPr>
          <w:p w14:paraId="6C217E88">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主数据管理系统</w:t>
            </w:r>
          </w:p>
        </w:tc>
        <w:tc>
          <w:tcPr>
            <w:tcW w:w="1134" w:type="dxa"/>
            <w:tcBorders>
              <w:tl2br w:val="nil"/>
              <w:tr2bl w:val="nil"/>
            </w:tcBorders>
            <w:shd w:val="clear" w:color="auto" w:fill="auto"/>
            <w:vAlign w:val="center"/>
          </w:tcPr>
          <w:p w14:paraId="10C81859">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34" w:type="dxa"/>
            <w:tcBorders>
              <w:tl2br w:val="nil"/>
              <w:tr2bl w:val="nil"/>
            </w:tcBorders>
            <w:shd w:val="clear" w:color="auto" w:fill="auto"/>
            <w:vAlign w:val="center"/>
          </w:tcPr>
          <w:p w14:paraId="4834CDD7">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c>
          <w:tcPr>
            <w:tcW w:w="1701" w:type="dxa"/>
            <w:tcBorders>
              <w:tl2br w:val="nil"/>
              <w:tr2bl w:val="nil"/>
            </w:tcBorders>
            <w:shd w:val="clear" w:color="auto" w:fill="auto"/>
            <w:vAlign w:val="center"/>
          </w:tcPr>
          <w:p w14:paraId="2591DEFB">
            <w:pPr>
              <w:adjustRightInd/>
              <w:jc w:val="center"/>
              <w:rPr>
                <w:rFonts w:hint="eastAsia" w:ascii="仿宋" w:hAnsi="仿宋" w:eastAsia="仿宋" w:cs="仿宋"/>
                <w:color w:val="auto"/>
                <w:kern w:val="0"/>
                <w:sz w:val="24"/>
                <w:szCs w:val="24"/>
                <w:highlight w:val="none"/>
              </w:rPr>
            </w:pPr>
          </w:p>
        </w:tc>
        <w:tc>
          <w:tcPr>
            <w:tcW w:w="1701" w:type="dxa"/>
            <w:tcBorders>
              <w:tl2br w:val="nil"/>
              <w:tr2bl w:val="nil"/>
            </w:tcBorders>
            <w:shd w:val="clear" w:color="auto" w:fill="auto"/>
            <w:vAlign w:val="center"/>
          </w:tcPr>
          <w:p w14:paraId="096532B5">
            <w:pPr>
              <w:adjustRightInd/>
              <w:jc w:val="center"/>
              <w:rPr>
                <w:rFonts w:hint="eastAsia" w:ascii="仿宋" w:hAnsi="仿宋" w:eastAsia="仿宋" w:cs="仿宋"/>
                <w:color w:val="auto"/>
                <w:kern w:val="0"/>
                <w:sz w:val="24"/>
                <w:szCs w:val="24"/>
                <w:highlight w:val="none"/>
              </w:rPr>
            </w:pPr>
          </w:p>
        </w:tc>
      </w:tr>
      <w:tr w14:paraId="198A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32" w:type="dxa"/>
            <w:vMerge w:val="continue"/>
            <w:tcBorders>
              <w:tl2br w:val="nil"/>
              <w:tr2bl w:val="nil"/>
            </w:tcBorders>
            <w:vAlign w:val="center"/>
          </w:tcPr>
          <w:p w14:paraId="753A8B45">
            <w:pPr>
              <w:adjustRightInd/>
              <w:jc w:val="left"/>
              <w:rPr>
                <w:rFonts w:hint="eastAsia" w:ascii="仿宋" w:hAnsi="仿宋" w:eastAsia="仿宋" w:cs="仿宋"/>
                <w:color w:val="auto"/>
                <w:kern w:val="0"/>
                <w:sz w:val="24"/>
                <w:szCs w:val="24"/>
                <w:highlight w:val="none"/>
              </w:rPr>
            </w:pPr>
          </w:p>
        </w:tc>
        <w:tc>
          <w:tcPr>
            <w:tcW w:w="1829" w:type="dxa"/>
            <w:vMerge w:val="continue"/>
            <w:tcBorders>
              <w:tl2br w:val="nil"/>
              <w:tr2bl w:val="nil"/>
            </w:tcBorders>
            <w:vAlign w:val="center"/>
          </w:tcPr>
          <w:p w14:paraId="0C3BE057">
            <w:pPr>
              <w:adjustRightInd/>
              <w:jc w:val="left"/>
              <w:rPr>
                <w:rFonts w:hint="eastAsia" w:ascii="仿宋" w:hAnsi="仿宋" w:eastAsia="仿宋" w:cs="仿宋"/>
                <w:color w:val="auto"/>
                <w:kern w:val="0"/>
                <w:sz w:val="24"/>
                <w:szCs w:val="24"/>
                <w:highlight w:val="none"/>
              </w:rPr>
            </w:pPr>
          </w:p>
        </w:tc>
        <w:tc>
          <w:tcPr>
            <w:tcW w:w="5540" w:type="dxa"/>
            <w:gridSpan w:val="2"/>
            <w:tcBorders>
              <w:tl2br w:val="nil"/>
              <w:tr2bl w:val="nil"/>
            </w:tcBorders>
            <w:shd w:val="clear" w:color="auto" w:fill="auto"/>
            <w:vAlign w:val="center"/>
          </w:tcPr>
          <w:p w14:paraId="65E5353E">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患者主索引系统</w:t>
            </w:r>
          </w:p>
        </w:tc>
        <w:tc>
          <w:tcPr>
            <w:tcW w:w="1134" w:type="dxa"/>
            <w:tcBorders>
              <w:tl2br w:val="nil"/>
              <w:tr2bl w:val="nil"/>
            </w:tcBorders>
            <w:shd w:val="clear" w:color="auto" w:fill="auto"/>
            <w:vAlign w:val="center"/>
          </w:tcPr>
          <w:p w14:paraId="7DCBFDB4">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34" w:type="dxa"/>
            <w:tcBorders>
              <w:tl2br w:val="nil"/>
              <w:tr2bl w:val="nil"/>
            </w:tcBorders>
            <w:shd w:val="clear" w:color="auto" w:fill="auto"/>
            <w:vAlign w:val="center"/>
          </w:tcPr>
          <w:p w14:paraId="00B378B5">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c>
          <w:tcPr>
            <w:tcW w:w="1701" w:type="dxa"/>
            <w:tcBorders>
              <w:tl2br w:val="nil"/>
              <w:tr2bl w:val="nil"/>
            </w:tcBorders>
            <w:shd w:val="clear" w:color="auto" w:fill="auto"/>
            <w:vAlign w:val="center"/>
          </w:tcPr>
          <w:p w14:paraId="57123D98">
            <w:pPr>
              <w:adjustRightInd/>
              <w:jc w:val="center"/>
              <w:rPr>
                <w:rFonts w:hint="eastAsia" w:ascii="仿宋" w:hAnsi="仿宋" w:eastAsia="仿宋" w:cs="仿宋"/>
                <w:color w:val="auto"/>
                <w:kern w:val="0"/>
                <w:sz w:val="24"/>
                <w:szCs w:val="24"/>
                <w:highlight w:val="none"/>
              </w:rPr>
            </w:pPr>
          </w:p>
        </w:tc>
        <w:tc>
          <w:tcPr>
            <w:tcW w:w="1701" w:type="dxa"/>
            <w:tcBorders>
              <w:tl2br w:val="nil"/>
              <w:tr2bl w:val="nil"/>
            </w:tcBorders>
            <w:shd w:val="clear" w:color="auto" w:fill="auto"/>
            <w:vAlign w:val="center"/>
          </w:tcPr>
          <w:p w14:paraId="45C3E06E">
            <w:pPr>
              <w:adjustRightInd/>
              <w:jc w:val="center"/>
              <w:rPr>
                <w:rFonts w:hint="eastAsia" w:ascii="仿宋" w:hAnsi="仿宋" w:eastAsia="仿宋" w:cs="仿宋"/>
                <w:color w:val="auto"/>
                <w:kern w:val="0"/>
                <w:sz w:val="24"/>
                <w:szCs w:val="24"/>
                <w:highlight w:val="none"/>
              </w:rPr>
            </w:pPr>
          </w:p>
        </w:tc>
      </w:tr>
      <w:tr w14:paraId="0AE8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32" w:type="dxa"/>
            <w:vMerge w:val="continue"/>
            <w:tcBorders>
              <w:tl2br w:val="nil"/>
              <w:tr2bl w:val="nil"/>
            </w:tcBorders>
            <w:vAlign w:val="center"/>
          </w:tcPr>
          <w:p w14:paraId="41878106">
            <w:pPr>
              <w:adjustRightInd/>
              <w:jc w:val="left"/>
              <w:rPr>
                <w:rFonts w:hint="eastAsia" w:ascii="仿宋" w:hAnsi="仿宋" w:eastAsia="仿宋" w:cs="仿宋"/>
                <w:color w:val="auto"/>
                <w:kern w:val="0"/>
                <w:sz w:val="24"/>
                <w:szCs w:val="24"/>
                <w:highlight w:val="none"/>
              </w:rPr>
            </w:pPr>
          </w:p>
        </w:tc>
        <w:tc>
          <w:tcPr>
            <w:tcW w:w="1829" w:type="dxa"/>
            <w:vMerge w:val="continue"/>
            <w:tcBorders>
              <w:tl2br w:val="nil"/>
              <w:tr2bl w:val="nil"/>
            </w:tcBorders>
            <w:vAlign w:val="center"/>
          </w:tcPr>
          <w:p w14:paraId="76C06D7C">
            <w:pPr>
              <w:adjustRightInd/>
              <w:jc w:val="left"/>
              <w:rPr>
                <w:rFonts w:hint="eastAsia" w:ascii="仿宋" w:hAnsi="仿宋" w:eastAsia="仿宋" w:cs="仿宋"/>
                <w:color w:val="auto"/>
                <w:kern w:val="0"/>
                <w:sz w:val="24"/>
                <w:szCs w:val="24"/>
                <w:highlight w:val="none"/>
              </w:rPr>
            </w:pPr>
          </w:p>
        </w:tc>
        <w:tc>
          <w:tcPr>
            <w:tcW w:w="5540" w:type="dxa"/>
            <w:gridSpan w:val="2"/>
            <w:tcBorders>
              <w:tl2br w:val="nil"/>
              <w:tr2bl w:val="nil"/>
            </w:tcBorders>
            <w:shd w:val="clear" w:color="auto" w:fill="auto"/>
            <w:vAlign w:val="center"/>
          </w:tcPr>
          <w:p w14:paraId="5C1F07A4">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统一用户认证与单点登录系统</w:t>
            </w:r>
          </w:p>
        </w:tc>
        <w:tc>
          <w:tcPr>
            <w:tcW w:w="1134" w:type="dxa"/>
            <w:tcBorders>
              <w:tl2br w:val="nil"/>
              <w:tr2bl w:val="nil"/>
            </w:tcBorders>
            <w:shd w:val="clear" w:color="auto" w:fill="auto"/>
            <w:vAlign w:val="center"/>
          </w:tcPr>
          <w:p w14:paraId="1FC1E66F">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34" w:type="dxa"/>
            <w:tcBorders>
              <w:tl2br w:val="nil"/>
              <w:tr2bl w:val="nil"/>
            </w:tcBorders>
            <w:shd w:val="clear" w:color="auto" w:fill="auto"/>
            <w:vAlign w:val="center"/>
          </w:tcPr>
          <w:p w14:paraId="4CAC8885">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c>
          <w:tcPr>
            <w:tcW w:w="1701" w:type="dxa"/>
            <w:tcBorders>
              <w:tl2br w:val="nil"/>
              <w:tr2bl w:val="nil"/>
            </w:tcBorders>
            <w:shd w:val="clear" w:color="auto" w:fill="auto"/>
            <w:vAlign w:val="center"/>
          </w:tcPr>
          <w:p w14:paraId="29577445">
            <w:pPr>
              <w:adjustRightInd/>
              <w:jc w:val="center"/>
              <w:rPr>
                <w:rFonts w:hint="eastAsia" w:ascii="仿宋" w:hAnsi="仿宋" w:eastAsia="仿宋" w:cs="仿宋"/>
                <w:color w:val="auto"/>
                <w:kern w:val="0"/>
                <w:sz w:val="24"/>
                <w:szCs w:val="24"/>
                <w:highlight w:val="none"/>
              </w:rPr>
            </w:pPr>
          </w:p>
        </w:tc>
        <w:tc>
          <w:tcPr>
            <w:tcW w:w="1701" w:type="dxa"/>
            <w:tcBorders>
              <w:tl2br w:val="nil"/>
              <w:tr2bl w:val="nil"/>
            </w:tcBorders>
            <w:shd w:val="clear" w:color="auto" w:fill="auto"/>
            <w:vAlign w:val="center"/>
          </w:tcPr>
          <w:p w14:paraId="20B1CD3E">
            <w:pPr>
              <w:adjustRightInd/>
              <w:jc w:val="center"/>
              <w:rPr>
                <w:rFonts w:hint="eastAsia" w:ascii="仿宋" w:hAnsi="仿宋" w:eastAsia="仿宋" w:cs="仿宋"/>
                <w:color w:val="auto"/>
                <w:kern w:val="0"/>
                <w:sz w:val="24"/>
                <w:szCs w:val="24"/>
                <w:highlight w:val="none"/>
              </w:rPr>
            </w:pPr>
          </w:p>
        </w:tc>
      </w:tr>
      <w:tr w14:paraId="0C6B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32" w:type="dxa"/>
            <w:vMerge w:val="continue"/>
            <w:tcBorders>
              <w:tl2br w:val="nil"/>
              <w:tr2bl w:val="nil"/>
            </w:tcBorders>
            <w:vAlign w:val="center"/>
          </w:tcPr>
          <w:p w14:paraId="4CE225CF">
            <w:pPr>
              <w:adjustRightInd/>
              <w:jc w:val="left"/>
              <w:rPr>
                <w:rFonts w:hint="eastAsia" w:ascii="仿宋" w:hAnsi="仿宋" w:eastAsia="仿宋" w:cs="仿宋"/>
                <w:color w:val="auto"/>
                <w:kern w:val="0"/>
                <w:sz w:val="24"/>
                <w:szCs w:val="24"/>
                <w:highlight w:val="none"/>
              </w:rPr>
            </w:pPr>
          </w:p>
        </w:tc>
        <w:tc>
          <w:tcPr>
            <w:tcW w:w="1829" w:type="dxa"/>
            <w:vMerge w:val="continue"/>
            <w:tcBorders>
              <w:tl2br w:val="nil"/>
              <w:tr2bl w:val="nil"/>
            </w:tcBorders>
            <w:vAlign w:val="center"/>
          </w:tcPr>
          <w:p w14:paraId="6846DA45">
            <w:pPr>
              <w:adjustRightInd/>
              <w:jc w:val="left"/>
              <w:rPr>
                <w:rFonts w:hint="eastAsia" w:ascii="仿宋" w:hAnsi="仿宋" w:eastAsia="仿宋" w:cs="仿宋"/>
                <w:color w:val="auto"/>
                <w:kern w:val="0"/>
                <w:sz w:val="24"/>
                <w:szCs w:val="24"/>
                <w:highlight w:val="none"/>
              </w:rPr>
            </w:pPr>
          </w:p>
        </w:tc>
        <w:tc>
          <w:tcPr>
            <w:tcW w:w="5540" w:type="dxa"/>
            <w:gridSpan w:val="2"/>
            <w:tcBorders>
              <w:tl2br w:val="nil"/>
              <w:tr2bl w:val="nil"/>
            </w:tcBorders>
            <w:shd w:val="clear" w:color="auto" w:fill="auto"/>
            <w:vAlign w:val="center"/>
          </w:tcPr>
          <w:p w14:paraId="1BDBC5CB">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监控平台</w:t>
            </w:r>
          </w:p>
        </w:tc>
        <w:tc>
          <w:tcPr>
            <w:tcW w:w="1134" w:type="dxa"/>
            <w:tcBorders>
              <w:tl2br w:val="nil"/>
              <w:tr2bl w:val="nil"/>
            </w:tcBorders>
            <w:shd w:val="clear" w:color="auto" w:fill="auto"/>
            <w:vAlign w:val="center"/>
          </w:tcPr>
          <w:p w14:paraId="26948E41">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34" w:type="dxa"/>
            <w:tcBorders>
              <w:tl2br w:val="nil"/>
              <w:tr2bl w:val="nil"/>
            </w:tcBorders>
            <w:shd w:val="clear" w:color="auto" w:fill="auto"/>
            <w:vAlign w:val="center"/>
          </w:tcPr>
          <w:p w14:paraId="6D5DDF00">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c>
          <w:tcPr>
            <w:tcW w:w="1701" w:type="dxa"/>
            <w:tcBorders>
              <w:tl2br w:val="nil"/>
              <w:tr2bl w:val="nil"/>
            </w:tcBorders>
            <w:shd w:val="clear" w:color="auto" w:fill="auto"/>
            <w:vAlign w:val="center"/>
          </w:tcPr>
          <w:p w14:paraId="53988D21">
            <w:pPr>
              <w:adjustRightInd/>
              <w:jc w:val="center"/>
              <w:rPr>
                <w:rFonts w:hint="eastAsia" w:ascii="仿宋" w:hAnsi="仿宋" w:eastAsia="仿宋" w:cs="仿宋"/>
                <w:color w:val="auto"/>
                <w:kern w:val="0"/>
                <w:sz w:val="24"/>
                <w:szCs w:val="24"/>
                <w:highlight w:val="none"/>
              </w:rPr>
            </w:pPr>
          </w:p>
        </w:tc>
        <w:tc>
          <w:tcPr>
            <w:tcW w:w="1701" w:type="dxa"/>
            <w:tcBorders>
              <w:tl2br w:val="nil"/>
              <w:tr2bl w:val="nil"/>
            </w:tcBorders>
            <w:shd w:val="clear" w:color="auto" w:fill="auto"/>
            <w:vAlign w:val="center"/>
          </w:tcPr>
          <w:p w14:paraId="2EF88129">
            <w:pPr>
              <w:adjustRightInd/>
              <w:jc w:val="center"/>
              <w:rPr>
                <w:rFonts w:hint="eastAsia" w:ascii="仿宋" w:hAnsi="仿宋" w:eastAsia="仿宋" w:cs="仿宋"/>
                <w:color w:val="auto"/>
                <w:kern w:val="0"/>
                <w:sz w:val="24"/>
                <w:szCs w:val="24"/>
                <w:highlight w:val="none"/>
              </w:rPr>
            </w:pPr>
          </w:p>
        </w:tc>
      </w:tr>
      <w:tr w14:paraId="0495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32" w:type="dxa"/>
            <w:vMerge w:val="continue"/>
            <w:tcBorders>
              <w:tl2br w:val="nil"/>
              <w:tr2bl w:val="nil"/>
            </w:tcBorders>
            <w:vAlign w:val="center"/>
          </w:tcPr>
          <w:p w14:paraId="6D766A8A">
            <w:pPr>
              <w:adjustRightInd/>
              <w:jc w:val="left"/>
              <w:rPr>
                <w:rFonts w:hint="eastAsia" w:ascii="仿宋" w:hAnsi="仿宋" w:eastAsia="仿宋" w:cs="仿宋"/>
                <w:color w:val="auto"/>
                <w:kern w:val="0"/>
                <w:sz w:val="24"/>
                <w:szCs w:val="24"/>
                <w:highlight w:val="none"/>
              </w:rPr>
            </w:pPr>
          </w:p>
        </w:tc>
        <w:tc>
          <w:tcPr>
            <w:tcW w:w="1829" w:type="dxa"/>
            <w:vMerge w:val="continue"/>
            <w:tcBorders>
              <w:tl2br w:val="nil"/>
              <w:tr2bl w:val="nil"/>
            </w:tcBorders>
            <w:vAlign w:val="center"/>
          </w:tcPr>
          <w:p w14:paraId="56C5685B">
            <w:pPr>
              <w:adjustRightInd/>
              <w:jc w:val="left"/>
              <w:rPr>
                <w:rFonts w:hint="eastAsia" w:ascii="仿宋" w:hAnsi="仿宋" w:eastAsia="仿宋" w:cs="仿宋"/>
                <w:color w:val="auto"/>
                <w:kern w:val="0"/>
                <w:sz w:val="24"/>
                <w:szCs w:val="24"/>
                <w:highlight w:val="none"/>
              </w:rPr>
            </w:pPr>
          </w:p>
        </w:tc>
        <w:tc>
          <w:tcPr>
            <w:tcW w:w="2444" w:type="dxa"/>
            <w:vMerge w:val="restart"/>
            <w:tcBorders>
              <w:tl2br w:val="nil"/>
              <w:tr2bl w:val="nil"/>
            </w:tcBorders>
            <w:shd w:val="clear" w:color="auto" w:fill="auto"/>
            <w:vAlign w:val="center"/>
          </w:tcPr>
          <w:p w14:paraId="2C3023D1">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基于平台的系统集成</w:t>
            </w:r>
          </w:p>
        </w:tc>
        <w:tc>
          <w:tcPr>
            <w:tcW w:w="3096" w:type="dxa"/>
            <w:tcBorders>
              <w:tl2br w:val="nil"/>
              <w:tr2bl w:val="nil"/>
            </w:tcBorders>
            <w:shd w:val="clear" w:color="auto" w:fill="auto"/>
            <w:vAlign w:val="center"/>
          </w:tcPr>
          <w:p w14:paraId="59A7B743">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临床服务系统接入</w:t>
            </w:r>
          </w:p>
        </w:tc>
        <w:tc>
          <w:tcPr>
            <w:tcW w:w="1134" w:type="dxa"/>
            <w:tcBorders>
              <w:tl2br w:val="nil"/>
              <w:tr2bl w:val="nil"/>
            </w:tcBorders>
            <w:shd w:val="clear" w:color="auto" w:fill="auto"/>
            <w:vAlign w:val="center"/>
          </w:tcPr>
          <w:p w14:paraId="0CABE137">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34" w:type="dxa"/>
            <w:tcBorders>
              <w:tl2br w:val="nil"/>
              <w:tr2bl w:val="nil"/>
            </w:tcBorders>
            <w:shd w:val="clear" w:color="auto" w:fill="auto"/>
            <w:vAlign w:val="center"/>
          </w:tcPr>
          <w:p w14:paraId="2A85AED3">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c>
          <w:tcPr>
            <w:tcW w:w="1701" w:type="dxa"/>
            <w:tcBorders>
              <w:tl2br w:val="nil"/>
              <w:tr2bl w:val="nil"/>
            </w:tcBorders>
            <w:shd w:val="clear" w:color="auto" w:fill="auto"/>
            <w:vAlign w:val="center"/>
          </w:tcPr>
          <w:p w14:paraId="0A457116">
            <w:pPr>
              <w:adjustRightInd/>
              <w:jc w:val="center"/>
              <w:rPr>
                <w:rFonts w:hint="eastAsia" w:ascii="仿宋" w:hAnsi="仿宋" w:eastAsia="仿宋" w:cs="仿宋"/>
                <w:color w:val="auto"/>
                <w:kern w:val="0"/>
                <w:sz w:val="24"/>
                <w:szCs w:val="24"/>
                <w:highlight w:val="none"/>
              </w:rPr>
            </w:pPr>
          </w:p>
        </w:tc>
        <w:tc>
          <w:tcPr>
            <w:tcW w:w="1701" w:type="dxa"/>
            <w:tcBorders>
              <w:tl2br w:val="nil"/>
              <w:tr2bl w:val="nil"/>
            </w:tcBorders>
            <w:shd w:val="clear" w:color="auto" w:fill="auto"/>
            <w:vAlign w:val="center"/>
          </w:tcPr>
          <w:p w14:paraId="2F15E797">
            <w:pPr>
              <w:adjustRightInd/>
              <w:jc w:val="center"/>
              <w:rPr>
                <w:rFonts w:hint="eastAsia" w:ascii="仿宋" w:hAnsi="仿宋" w:eastAsia="仿宋" w:cs="仿宋"/>
                <w:color w:val="auto"/>
                <w:kern w:val="0"/>
                <w:sz w:val="24"/>
                <w:szCs w:val="24"/>
                <w:highlight w:val="none"/>
              </w:rPr>
            </w:pPr>
          </w:p>
        </w:tc>
      </w:tr>
      <w:tr w14:paraId="0021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32" w:type="dxa"/>
            <w:vMerge w:val="continue"/>
            <w:tcBorders>
              <w:tl2br w:val="nil"/>
              <w:tr2bl w:val="nil"/>
            </w:tcBorders>
            <w:vAlign w:val="center"/>
          </w:tcPr>
          <w:p w14:paraId="5666F5DA">
            <w:pPr>
              <w:adjustRightInd/>
              <w:jc w:val="left"/>
              <w:rPr>
                <w:rFonts w:hint="eastAsia" w:ascii="仿宋" w:hAnsi="仿宋" w:eastAsia="仿宋" w:cs="仿宋"/>
                <w:color w:val="auto"/>
                <w:kern w:val="0"/>
                <w:sz w:val="24"/>
                <w:szCs w:val="24"/>
                <w:highlight w:val="none"/>
              </w:rPr>
            </w:pPr>
          </w:p>
        </w:tc>
        <w:tc>
          <w:tcPr>
            <w:tcW w:w="1829" w:type="dxa"/>
            <w:vMerge w:val="continue"/>
            <w:tcBorders>
              <w:tl2br w:val="nil"/>
              <w:tr2bl w:val="nil"/>
            </w:tcBorders>
            <w:vAlign w:val="center"/>
          </w:tcPr>
          <w:p w14:paraId="41263ED9">
            <w:pPr>
              <w:adjustRightInd/>
              <w:jc w:val="left"/>
              <w:rPr>
                <w:rFonts w:hint="eastAsia" w:ascii="仿宋" w:hAnsi="仿宋" w:eastAsia="仿宋" w:cs="仿宋"/>
                <w:color w:val="auto"/>
                <w:kern w:val="0"/>
                <w:sz w:val="24"/>
                <w:szCs w:val="24"/>
                <w:highlight w:val="none"/>
              </w:rPr>
            </w:pPr>
          </w:p>
        </w:tc>
        <w:tc>
          <w:tcPr>
            <w:tcW w:w="2444" w:type="dxa"/>
            <w:vMerge w:val="continue"/>
            <w:tcBorders>
              <w:tl2br w:val="nil"/>
              <w:tr2bl w:val="nil"/>
            </w:tcBorders>
            <w:shd w:val="clear" w:color="auto" w:fill="auto"/>
            <w:vAlign w:val="center"/>
          </w:tcPr>
          <w:p w14:paraId="22373A65">
            <w:pPr>
              <w:adjustRightInd/>
              <w:jc w:val="center"/>
              <w:rPr>
                <w:rFonts w:hint="eastAsia" w:ascii="仿宋" w:hAnsi="仿宋" w:eastAsia="仿宋" w:cs="仿宋"/>
                <w:color w:val="auto"/>
                <w:kern w:val="0"/>
                <w:sz w:val="24"/>
                <w:szCs w:val="24"/>
                <w:highlight w:val="none"/>
              </w:rPr>
            </w:pPr>
          </w:p>
        </w:tc>
        <w:tc>
          <w:tcPr>
            <w:tcW w:w="3096" w:type="dxa"/>
            <w:tcBorders>
              <w:tl2br w:val="nil"/>
              <w:tr2bl w:val="nil"/>
            </w:tcBorders>
            <w:shd w:val="clear" w:color="auto" w:fill="auto"/>
            <w:vAlign w:val="center"/>
          </w:tcPr>
          <w:p w14:paraId="5F21639B">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医疗管理系统接入</w:t>
            </w:r>
          </w:p>
        </w:tc>
        <w:tc>
          <w:tcPr>
            <w:tcW w:w="1134" w:type="dxa"/>
            <w:tcBorders>
              <w:tl2br w:val="nil"/>
              <w:tr2bl w:val="nil"/>
            </w:tcBorders>
            <w:shd w:val="clear" w:color="auto" w:fill="auto"/>
            <w:vAlign w:val="center"/>
          </w:tcPr>
          <w:p w14:paraId="7CD18471">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34" w:type="dxa"/>
            <w:tcBorders>
              <w:tl2br w:val="nil"/>
              <w:tr2bl w:val="nil"/>
            </w:tcBorders>
            <w:shd w:val="clear" w:color="auto" w:fill="auto"/>
            <w:vAlign w:val="center"/>
          </w:tcPr>
          <w:p w14:paraId="3C98C7D3">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c>
          <w:tcPr>
            <w:tcW w:w="1701" w:type="dxa"/>
            <w:tcBorders>
              <w:tl2br w:val="nil"/>
              <w:tr2bl w:val="nil"/>
            </w:tcBorders>
            <w:shd w:val="clear" w:color="auto" w:fill="auto"/>
            <w:vAlign w:val="center"/>
          </w:tcPr>
          <w:p w14:paraId="18851217">
            <w:pPr>
              <w:adjustRightInd/>
              <w:jc w:val="center"/>
              <w:rPr>
                <w:rFonts w:hint="eastAsia" w:ascii="仿宋" w:hAnsi="仿宋" w:eastAsia="仿宋" w:cs="仿宋"/>
                <w:color w:val="auto"/>
                <w:kern w:val="0"/>
                <w:sz w:val="24"/>
                <w:szCs w:val="24"/>
                <w:highlight w:val="none"/>
              </w:rPr>
            </w:pPr>
          </w:p>
        </w:tc>
        <w:tc>
          <w:tcPr>
            <w:tcW w:w="1701" w:type="dxa"/>
            <w:tcBorders>
              <w:tl2br w:val="nil"/>
              <w:tr2bl w:val="nil"/>
            </w:tcBorders>
            <w:shd w:val="clear" w:color="auto" w:fill="auto"/>
            <w:vAlign w:val="center"/>
          </w:tcPr>
          <w:p w14:paraId="1221A36E">
            <w:pPr>
              <w:adjustRightInd/>
              <w:jc w:val="center"/>
              <w:rPr>
                <w:rFonts w:hint="eastAsia" w:ascii="仿宋" w:hAnsi="仿宋" w:eastAsia="仿宋" w:cs="仿宋"/>
                <w:color w:val="auto"/>
                <w:kern w:val="0"/>
                <w:sz w:val="24"/>
                <w:szCs w:val="24"/>
                <w:highlight w:val="none"/>
              </w:rPr>
            </w:pPr>
          </w:p>
        </w:tc>
      </w:tr>
      <w:tr w14:paraId="70E2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32" w:type="dxa"/>
            <w:vMerge w:val="continue"/>
            <w:tcBorders>
              <w:tl2br w:val="nil"/>
              <w:tr2bl w:val="nil"/>
            </w:tcBorders>
            <w:vAlign w:val="center"/>
          </w:tcPr>
          <w:p w14:paraId="57B0FA52">
            <w:pPr>
              <w:adjustRightInd/>
              <w:jc w:val="left"/>
              <w:rPr>
                <w:rFonts w:hint="eastAsia" w:ascii="仿宋" w:hAnsi="仿宋" w:eastAsia="仿宋" w:cs="仿宋"/>
                <w:color w:val="auto"/>
                <w:kern w:val="0"/>
                <w:sz w:val="24"/>
                <w:szCs w:val="24"/>
                <w:highlight w:val="none"/>
              </w:rPr>
            </w:pPr>
          </w:p>
        </w:tc>
        <w:tc>
          <w:tcPr>
            <w:tcW w:w="1829" w:type="dxa"/>
            <w:vMerge w:val="continue"/>
            <w:tcBorders>
              <w:tl2br w:val="nil"/>
              <w:tr2bl w:val="nil"/>
            </w:tcBorders>
            <w:vAlign w:val="center"/>
          </w:tcPr>
          <w:p w14:paraId="19176A94">
            <w:pPr>
              <w:adjustRightInd/>
              <w:jc w:val="left"/>
              <w:rPr>
                <w:rFonts w:hint="eastAsia" w:ascii="仿宋" w:hAnsi="仿宋" w:eastAsia="仿宋" w:cs="仿宋"/>
                <w:color w:val="auto"/>
                <w:kern w:val="0"/>
                <w:sz w:val="24"/>
                <w:szCs w:val="24"/>
                <w:highlight w:val="none"/>
              </w:rPr>
            </w:pPr>
          </w:p>
        </w:tc>
        <w:tc>
          <w:tcPr>
            <w:tcW w:w="2444" w:type="dxa"/>
            <w:vMerge w:val="continue"/>
            <w:tcBorders>
              <w:tl2br w:val="nil"/>
              <w:tr2bl w:val="nil"/>
            </w:tcBorders>
            <w:shd w:val="clear" w:color="auto" w:fill="auto"/>
            <w:vAlign w:val="center"/>
          </w:tcPr>
          <w:p w14:paraId="4BFD1036">
            <w:pPr>
              <w:adjustRightInd/>
              <w:jc w:val="center"/>
              <w:rPr>
                <w:rFonts w:hint="eastAsia" w:ascii="仿宋" w:hAnsi="仿宋" w:eastAsia="仿宋" w:cs="仿宋"/>
                <w:color w:val="auto"/>
                <w:kern w:val="0"/>
                <w:sz w:val="24"/>
                <w:szCs w:val="24"/>
                <w:highlight w:val="none"/>
              </w:rPr>
            </w:pPr>
          </w:p>
        </w:tc>
        <w:tc>
          <w:tcPr>
            <w:tcW w:w="3096" w:type="dxa"/>
            <w:tcBorders>
              <w:tl2br w:val="nil"/>
              <w:tr2bl w:val="nil"/>
            </w:tcBorders>
            <w:shd w:val="clear" w:color="auto" w:fill="auto"/>
            <w:vAlign w:val="center"/>
          </w:tcPr>
          <w:p w14:paraId="2811DF4F">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运营管理系统接入</w:t>
            </w:r>
          </w:p>
        </w:tc>
        <w:tc>
          <w:tcPr>
            <w:tcW w:w="1134" w:type="dxa"/>
            <w:tcBorders>
              <w:tl2br w:val="nil"/>
              <w:tr2bl w:val="nil"/>
            </w:tcBorders>
            <w:shd w:val="clear" w:color="auto" w:fill="auto"/>
            <w:vAlign w:val="center"/>
          </w:tcPr>
          <w:p w14:paraId="78645945">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34" w:type="dxa"/>
            <w:tcBorders>
              <w:tl2br w:val="nil"/>
              <w:tr2bl w:val="nil"/>
            </w:tcBorders>
            <w:shd w:val="clear" w:color="auto" w:fill="auto"/>
            <w:vAlign w:val="center"/>
          </w:tcPr>
          <w:p w14:paraId="61DAA6EC">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c>
          <w:tcPr>
            <w:tcW w:w="1701" w:type="dxa"/>
            <w:tcBorders>
              <w:tl2br w:val="nil"/>
              <w:tr2bl w:val="nil"/>
            </w:tcBorders>
            <w:shd w:val="clear" w:color="auto" w:fill="auto"/>
            <w:vAlign w:val="center"/>
          </w:tcPr>
          <w:p w14:paraId="4BA02069">
            <w:pPr>
              <w:adjustRightInd/>
              <w:jc w:val="center"/>
              <w:rPr>
                <w:rFonts w:hint="eastAsia" w:ascii="仿宋" w:hAnsi="仿宋" w:eastAsia="仿宋" w:cs="仿宋"/>
                <w:color w:val="auto"/>
                <w:kern w:val="0"/>
                <w:sz w:val="24"/>
                <w:szCs w:val="24"/>
                <w:highlight w:val="none"/>
              </w:rPr>
            </w:pPr>
          </w:p>
        </w:tc>
        <w:tc>
          <w:tcPr>
            <w:tcW w:w="1701" w:type="dxa"/>
            <w:tcBorders>
              <w:tl2br w:val="nil"/>
              <w:tr2bl w:val="nil"/>
            </w:tcBorders>
            <w:shd w:val="clear" w:color="auto" w:fill="auto"/>
            <w:vAlign w:val="center"/>
          </w:tcPr>
          <w:p w14:paraId="34AE5A77">
            <w:pPr>
              <w:adjustRightInd/>
              <w:jc w:val="center"/>
              <w:rPr>
                <w:rFonts w:hint="eastAsia" w:ascii="仿宋" w:hAnsi="仿宋" w:eastAsia="仿宋" w:cs="仿宋"/>
                <w:color w:val="auto"/>
                <w:kern w:val="0"/>
                <w:sz w:val="24"/>
                <w:szCs w:val="24"/>
                <w:highlight w:val="none"/>
              </w:rPr>
            </w:pPr>
          </w:p>
        </w:tc>
      </w:tr>
      <w:tr w14:paraId="6915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32" w:type="dxa"/>
            <w:vMerge w:val="continue"/>
            <w:tcBorders>
              <w:tl2br w:val="nil"/>
              <w:tr2bl w:val="nil"/>
            </w:tcBorders>
            <w:vAlign w:val="center"/>
          </w:tcPr>
          <w:p w14:paraId="1BC17B14">
            <w:pPr>
              <w:adjustRightInd/>
              <w:jc w:val="left"/>
              <w:rPr>
                <w:rFonts w:hint="eastAsia" w:ascii="仿宋" w:hAnsi="仿宋" w:eastAsia="仿宋" w:cs="仿宋"/>
                <w:color w:val="auto"/>
                <w:kern w:val="0"/>
                <w:sz w:val="24"/>
                <w:szCs w:val="24"/>
                <w:highlight w:val="none"/>
              </w:rPr>
            </w:pPr>
          </w:p>
        </w:tc>
        <w:tc>
          <w:tcPr>
            <w:tcW w:w="1829" w:type="dxa"/>
            <w:vMerge w:val="continue"/>
            <w:tcBorders>
              <w:tl2br w:val="nil"/>
              <w:tr2bl w:val="nil"/>
            </w:tcBorders>
            <w:vAlign w:val="center"/>
          </w:tcPr>
          <w:p w14:paraId="58C5FCE0">
            <w:pPr>
              <w:adjustRightInd/>
              <w:jc w:val="left"/>
              <w:rPr>
                <w:rFonts w:hint="eastAsia" w:ascii="仿宋" w:hAnsi="仿宋" w:eastAsia="仿宋" w:cs="仿宋"/>
                <w:color w:val="auto"/>
                <w:kern w:val="0"/>
                <w:sz w:val="24"/>
                <w:szCs w:val="24"/>
                <w:highlight w:val="none"/>
              </w:rPr>
            </w:pPr>
          </w:p>
        </w:tc>
        <w:tc>
          <w:tcPr>
            <w:tcW w:w="2444" w:type="dxa"/>
            <w:vMerge w:val="continue"/>
            <w:tcBorders>
              <w:tl2br w:val="nil"/>
              <w:tr2bl w:val="nil"/>
            </w:tcBorders>
            <w:shd w:val="clear" w:color="auto" w:fill="auto"/>
            <w:vAlign w:val="center"/>
          </w:tcPr>
          <w:p w14:paraId="4BB6D245">
            <w:pPr>
              <w:adjustRightInd/>
              <w:jc w:val="center"/>
              <w:rPr>
                <w:rFonts w:hint="eastAsia" w:ascii="仿宋" w:hAnsi="仿宋" w:eastAsia="仿宋" w:cs="仿宋"/>
                <w:color w:val="auto"/>
                <w:kern w:val="0"/>
                <w:sz w:val="24"/>
                <w:szCs w:val="24"/>
                <w:highlight w:val="none"/>
              </w:rPr>
            </w:pPr>
          </w:p>
        </w:tc>
        <w:tc>
          <w:tcPr>
            <w:tcW w:w="3096" w:type="dxa"/>
            <w:tcBorders>
              <w:tl2br w:val="nil"/>
              <w:tr2bl w:val="nil"/>
            </w:tcBorders>
            <w:shd w:val="clear" w:color="auto" w:fill="auto"/>
            <w:vAlign w:val="center"/>
          </w:tcPr>
          <w:p w14:paraId="45CE4190">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公众服务应用接入</w:t>
            </w:r>
          </w:p>
        </w:tc>
        <w:tc>
          <w:tcPr>
            <w:tcW w:w="1134" w:type="dxa"/>
            <w:tcBorders>
              <w:tl2br w:val="nil"/>
              <w:tr2bl w:val="nil"/>
            </w:tcBorders>
            <w:shd w:val="clear" w:color="auto" w:fill="auto"/>
            <w:vAlign w:val="center"/>
          </w:tcPr>
          <w:p w14:paraId="621DD9DD">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34" w:type="dxa"/>
            <w:tcBorders>
              <w:tl2br w:val="nil"/>
              <w:tr2bl w:val="nil"/>
            </w:tcBorders>
            <w:shd w:val="clear" w:color="auto" w:fill="auto"/>
            <w:vAlign w:val="center"/>
          </w:tcPr>
          <w:p w14:paraId="3DD05DF7">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c>
          <w:tcPr>
            <w:tcW w:w="1701" w:type="dxa"/>
            <w:tcBorders>
              <w:tl2br w:val="nil"/>
              <w:tr2bl w:val="nil"/>
            </w:tcBorders>
            <w:shd w:val="clear" w:color="auto" w:fill="auto"/>
            <w:vAlign w:val="center"/>
          </w:tcPr>
          <w:p w14:paraId="66A721CC">
            <w:pPr>
              <w:adjustRightInd/>
              <w:jc w:val="center"/>
              <w:rPr>
                <w:rFonts w:hint="eastAsia" w:ascii="仿宋" w:hAnsi="仿宋" w:eastAsia="仿宋" w:cs="仿宋"/>
                <w:color w:val="auto"/>
                <w:kern w:val="0"/>
                <w:sz w:val="24"/>
                <w:szCs w:val="24"/>
                <w:highlight w:val="none"/>
              </w:rPr>
            </w:pPr>
          </w:p>
        </w:tc>
        <w:tc>
          <w:tcPr>
            <w:tcW w:w="1701" w:type="dxa"/>
            <w:tcBorders>
              <w:tl2br w:val="nil"/>
              <w:tr2bl w:val="nil"/>
            </w:tcBorders>
            <w:shd w:val="clear" w:color="auto" w:fill="auto"/>
            <w:vAlign w:val="center"/>
          </w:tcPr>
          <w:p w14:paraId="4F79C18E">
            <w:pPr>
              <w:adjustRightInd/>
              <w:jc w:val="center"/>
              <w:rPr>
                <w:rFonts w:hint="eastAsia" w:ascii="仿宋" w:hAnsi="仿宋" w:eastAsia="仿宋" w:cs="仿宋"/>
                <w:color w:val="auto"/>
                <w:kern w:val="0"/>
                <w:sz w:val="24"/>
                <w:szCs w:val="24"/>
                <w:highlight w:val="none"/>
              </w:rPr>
            </w:pPr>
          </w:p>
        </w:tc>
      </w:tr>
      <w:tr w14:paraId="503D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32" w:type="dxa"/>
            <w:vMerge w:val="continue"/>
            <w:tcBorders>
              <w:tl2br w:val="nil"/>
              <w:tr2bl w:val="nil"/>
            </w:tcBorders>
            <w:vAlign w:val="center"/>
          </w:tcPr>
          <w:p w14:paraId="46ACE00D">
            <w:pPr>
              <w:adjustRightInd/>
              <w:jc w:val="left"/>
              <w:rPr>
                <w:rFonts w:hint="eastAsia" w:ascii="仿宋" w:hAnsi="仿宋" w:eastAsia="仿宋" w:cs="仿宋"/>
                <w:color w:val="auto"/>
                <w:kern w:val="0"/>
                <w:sz w:val="24"/>
                <w:szCs w:val="24"/>
                <w:highlight w:val="none"/>
              </w:rPr>
            </w:pPr>
          </w:p>
        </w:tc>
        <w:tc>
          <w:tcPr>
            <w:tcW w:w="1829" w:type="dxa"/>
            <w:vMerge w:val="continue"/>
            <w:tcBorders>
              <w:tl2br w:val="nil"/>
              <w:tr2bl w:val="nil"/>
            </w:tcBorders>
            <w:vAlign w:val="center"/>
          </w:tcPr>
          <w:p w14:paraId="2A1949B8">
            <w:pPr>
              <w:adjustRightInd/>
              <w:jc w:val="left"/>
              <w:rPr>
                <w:rFonts w:hint="eastAsia" w:ascii="仿宋" w:hAnsi="仿宋" w:eastAsia="仿宋" w:cs="仿宋"/>
                <w:color w:val="auto"/>
                <w:kern w:val="0"/>
                <w:sz w:val="24"/>
                <w:szCs w:val="24"/>
                <w:highlight w:val="none"/>
              </w:rPr>
            </w:pPr>
          </w:p>
        </w:tc>
        <w:tc>
          <w:tcPr>
            <w:tcW w:w="2444" w:type="dxa"/>
            <w:vMerge w:val="continue"/>
            <w:tcBorders>
              <w:tl2br w:val="nil"/>
              <w:tr2bl w:val="nil"/>
            </w:tcBorders>
            <w:shd w:val="clear" w:color="auto" w:fill="auto"/>
            <w:vAlign w:val="center"/>
          </w:tcPr>
          <w:p w14:paraId="1F8353D9">
            <w:pPr>
              <w:adjustRightInd/>
              <w:jc w:val="center"/>
              <w:rPr>
                <w:rFonts w:hint="eastAsia" w:ascii="仿宋" w:hAnsi="仿宋" w:eastAsia="仿宋" w:cs="仿宋"/>
                <w:color w:val="auto"/>
                <w:kern w:val="0"/>
                <w:sz w:val="24"/>
                <w:szCs w:val="24"/>
                <w:highlight w:val="none"/>
              </w:rPr>
            </w:pPr>
          </w:p>
        </w:tc>
        <w:tc>
          <w:tcPr>
            <w:tcW w:w="3096" w:type="dxa"/>
            <w:tcBorders>
              <w:tl2br w:val="nil"/>
              <w:tr2bl w:val="nil"/>
            </w:tcBorders>
            <w:shd w:val="clear" w:color="auto" w:fill="auto"/>
            <w:vAlign w:val="center"/>
          </w:tcPr>
          <w:p w14:paraId="7F8ED7CC">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外部机构接入</w:t>
            </w:r>
          </w:p>
        </w:tc>
        <w:tc>
          <w:tcPr>
            <w:tcW w:w="1134" w:type="dxa"/>
            <w:tcBorders>
              <w:tl2br w:val="nil"/>
              <w:tr2bl w:val="nil"/>
            </w:tcBorders>
            <w:shd w:val="clear" w:color="auto" w:fill="auto"/>
            <w:vAlign w:val="center"/>
          </w:tcPr>
          <w:p w14:paraId="279302C9">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34" w:type="dxa"/>
            <w:tcBorders>
              <w:tl2br w:val="nil"/>
              <w:tr2bl w:val="nil"/>
            </w:tcBorders>
            <w:shd w:val="clear" w:color="auto" w:fill="auto"/>
            <w:vAlign w:val="center"/>
          </w:tcPr>
          <w:p w14:paraId="04AABEF5">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c>
          <w:tcPr>
            <w:tcW w:w="1701" w:type="dxa"/>
            <w:tcBorders>
              <w:tl2br w:val="nil"/>
              <w:tr2bl w:val="nil"/>
            </w:tcBorders>
            <w:shd w:val="clear" w:color="auto" w:fill="auto"/>
            <w:vAlign w:val="center"/>
          </w:tcPr>
          <w:p w14:paraId="751484C4">
            <w:pPr>
              <w:adjustRightInd/>
              <w:jc w:val="center"/>
              <w:rPr>
                <w:rFonts w:hint="eastAsia" w:ascii="仿宋" w:hAnsi="仿宋" w:eastAsia="仿宋" w:cs="仿宋"/>
                <w:color w:val="auto"/>
                <w:kern w:val="0"/>
                <w:sz w:val="24"/>
                <w:szCs w:val="24"/>
                <w:highlight w:val="none"/>
              </w:rPr>
            </w:pPr>
          </w:p>
        </w:tc>
        <w:tc>
          <w:tcPr>
            <w:tcW w:w="1701" w:type="dxa"/>
            <w:tcBorders>
              <w:tl2br w:val="nil"/>
              <w:tr2bl w:val="nil"/>
            </w:tcBorders>
            <w:shd w:val="clear" w:color="auto" w:fill="auto"/>
            <w:vAlign w:val="center"/>
          </w:tcPr>
          <w:p w14:paraId="5C71F0C5">
            <w:pPr>
              <w:adjustRightInd/>
              <w:jc w:val="center"/>
              <w:rPr>
                <w:rFonts w:hint="eastAsia" w:ascii="仿宋" w:hAnsi="仿宋" w:eastAsia="仿宋" w:cs="仿宋"/>
                <w:color w:val="auto"/>
                <w:kern w:val="0"/>
                <w:sz w:val="24"/>
                <w:szCs w:val="24"/>
                <w:highlight w:val="none"/>
              </w:rPr>
            </w:pPr>
          </w:p>
        </w:tc>
      </w:tr>
      <w:tr w14:paraId="57BE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32" w:type="dxa"/>
            <w:vMerge w:val="restart"/>
            <w:tcBorders>
              <w:tl2br w:val="nil"/>
              <w:tr2bl w:val="nil"/>
            </w:tcBorders>
            <w:shd w:val="clear" w:color="auto" w:fill="auto"/>
            <w:vAlign w:val="center"/>
          </w:tcPr>
          <w:p w14:paraId="7681C351">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1829" w:type="dxa"/>
            <w:vMerge w:val="restart"/>
            <w:tcBorders>
              <w:tl2br w:val="nil"/>
              <w:tr2bl w:val="nil"/>
            </w:tcBorders>
            <w:shd w:val="clear" w:color="auto" w:fill="auto"/>
            <w:vAlign w:val="center"/>
          </w:tcPr>
          <w:p w14:paraId="5C818F5C">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临床数据中心</w:t>
            </w:r>
          </w:p>
        </w:tc>
        <w:tc>
          <w:tcPr>
            <w:tcW w:w="5540" w:type="dxa"/>
            <w:gridSpan w:val="2"/>
            <w:tcBorders>
              <w:tl2br w:val="nil"/>
              <w:tr2bl w:val="nil"/>
            </w:tcBorders>
            <w:shd w:val="clear" w:color="auto" w:fill="auto"/>
            <w:vAlign w:val="center"/>
          </w:tcPr>
          <w:p w14:paraId="44F99DA0">
            <w:pPr>
              <w:widowControl/>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临床数据检索系统</w:t>
            </w:r>
          </w:p>
        </w:tc>
        <w:tc>
          <w:tcPr>
            <w:tcW w:w="1134" w:type="dxa"/>
            <w:tcBorders>
              <w:tl2br w:val="nil"/>
              <w:tr2bl w:val="nil"/>
            </w:tcBorders>
            <w:shd w:val="clear" w:color="auto" w:fill="auto"/>
            <w:vAlign w:val="center"/>
          </w:tcPr>
          <w:p w14:paraId="7136C52C">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34" w:type="dxa"/>
            <w:tcBorders>
              <w:tl2br w:val="nil"/>
              <w:tr2bl w:val="nil"/>
            </w:tcBorders>
            <w:shd w:val="clear" w:color="auto" w:fill="auto"/>
            <w:vAlign w:val="center"/>
          </w:tcPr>
          <w:p w14:paraId="5B3BB07E">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c>
          <w:tcPr>
            <w:tcW w:w="1701" w:type="dxa"/>
            <w:tcBorders>
              <w:tl2br w:val="nil"/>
              <w:tr2bl w:val="nil"/>
            </w:tcBorders>
            <w:shd w:val="clear" w:color="auto" w:fill="auto"/>
            <w:vAlign w:val="center"/>
          </w:tcPr>
          <w:p w14:paraId="46BA3362">
            <w:pPr>
              <w:adjustRightInd/>
              <w:jc w:val="center"/>
              <w:rPr>
                <w:rFonts w:hint="eastAsia" w:ascii="仿宋" w:hAnsi="仿宋" w:eastAsia="仿宋" w:cs="仿宋"/>
                <w:color w:val="auto"/>
                <w:kern w:val="0"/>
                <w:sz w:val="24"/>
                <w:szCs w:val="24"/>
                <w:highlight w:val="none"/>
              </w:rPr>
            </w:pPr>
          </w:p>
        </w:tc>
        <w:tc>
          <w:tcPr>
            <w:tcW w:w="1701" w:type="dxa"/>
            <w:tcBorders>
              <w:tl2br w:val="nil"/>
              <w:tr2bl w:val="nil"/>
            </w:tcBorders>
            <w:shd w:val="clear" w:color="auto" w:fill="auto"/>
            <w:vAlign w:val="center"/>
          </w:tcPr>
          <w:p w14:paraId="1D5940CF">
            <w:pPr>
              <w:adjustRightInd/>
              <w:jc w:val="center"/>
              <w:rPr>
                <w:rFonts w:hint="eastAsia" w:ascii="仿宋" w:hAnsi="仿宋" w:eastAsia="仿宋" w:cs="仿宋"/>
                <w:color w:val="auto"/>
                <w:kern w:val="0"/>
                <w:sz w:val="24"/>
                <w:szCs w:val="24"/>
                <w:highlight w:val="none"/>
              </w:rPr>
            </w:pPr>
          </w:p>
        </w:tc>
      </w:tr>
      <w:tr w14:paraId="1744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32" w:type="dxa"/>
            <w:vMerge w:val="continue"/>
            <w:tcBorders>
              <w:tl2br w:val="nil"/>
              <w:tr2bl w:val="nil"/>
            </w:tcBorders>
            <w:vAlign w:val="center"/>
          </w:tcPr>
          <w:p w14:paraId="4D60E001">
            <w:pPr>
              <w:adjustRightInd/>
              <w:jc w:val="center"/>
              <w:rPr>
                <w:rFonts w:hint="eastAsia" w:ascii="仿宋" w:hAnsi="仿宋" w:eastAsia="仿宋" w:cs="仿宋"/>
                <w:color w:val="auto"/>
                <w:kern w:val="0"/>
                <w:sz w:val="24"/>
                <w:szCs w:val="24"/>
                <w:highlight w:val="none"/>
              </w:rPr>
            </w:pPr>
          </w:p>
        </w:tc>
        <w:tc>
          <w:tcPr>
            <w:tcW w:w="1829" w:type="dxa"/>
            <w:vMerge w:val="continue"/>
            <w:tcBorders>
              <w:tl2br w:val="nil"/>
              <w:tr2bl w:val="nil"/>
            </w:tcBorders>
            <w:vAlign w:val="center"/>
          </w:tcPr>
          <w:p w14:paraId="78D1509E">
            <w:pPr>
              <w:adjustRightInd/>
              <w:jc w:val="left"/>
              <w:rPr>
                <w:rFonts w:hint="eastAsia" w:ascii="仿宋" w:hAnsi="仿宋" w:eastAsia="仿宋" w:cs="仿宋"/>
                <w:color w:val="auto"/>
                <w:kern w:val="0"/>
                <w:sz w:val="24"/>
                <w:szCs w:val="24"/>
                <w:highlight w:val="none"/>
              </w:rPr>
            </w:pPr>
          </w:p>
        </w:tc>
        <w:tc>
          <w:tcPr>
            <w:tcW w:w="5540" w:type="dxa"/>
            <w:gridSpan w:val="2"/>
            <w:tcBorders>
              <w:tl2br w:val="nil"/>
              <w:tr2bl w:val="nil"/>
            </w:tcBorders>
            <w:shd w:val="clear" w:color="auto" w:fill="auto"/>
            <w:vAlign w:val="center"/>
          </w:tcPr>
          <w:p w14:paraId="2BE3A5E9">
            <w:pPr>
              <w:widowControl/>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临床知识库</w:t>
            </w:r>
          </w:p>
        </w:tc>
        <w:tc>
          <w:tcPr>
            <w:tcW w:w="1134" w:type="dxa"/>
            <w:tcBorders>
              <w:tl2br w:val="nil"/>
              <w:tr2bl w:val="nil"/>
            </w:tcBorders>
            <w:shd w:val="clear" w:color="auto" w:fill="auto"/>
            <w:vAlign w:val="center"/>
          </w:tcPr>
          <w:p w14:paraId="5BE89063">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34" w:type="dxa"/>
            <w:tcBorders>
              <w:tl2br w:val="nil"/>
              <w:tr2bl w:val="nil"/>
            </w:tcBorders>
            <w:shd w:val="clear" w:color="auto" w:fill="auto"/>
            <w:vAlign w:val="center"/>
          </w:tcPr>
          <w:p w14:paraId="3689B19F">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c>
          <w:tcPr>
            <w:tcW w:w="1701" w:type="dxa"/>
            <w:tcBorders>
              <w:tl2br w:val="nil"/>
              <w:tr2bl w:val="nil"/>
            </w:tcBorders>
            <w:shd w:val="clear" w:color="auto" w:fill="auto"/>
            <w:vAlign w:val="center"/>
          </w:tcPr>
          <w:p w14:paraId="39E54001">
            <w:pPr>
              <w:adjustRightInd/>
              <w:jc w:val="center"/>
              <w:rPr>
                <w:rFonts w:hint="eastAsia" w:ascii="仿宋" w:hAnsi="仿宋" w:eastAsia="仿宋" w:cs="仿宋"/>
                <w:color w:val="auto"/>
                <w:kern w:val="0"/>
                <w:sz w:val="24"/>
                <w:szCs w:val="24"/>
                <w:highlight w:val="none"/>
              </w:rPr>
            </w:pPr>
          </w:p>
        </w:tc>
        <w:tc>
          <w:tcPr>
            <w:tcW w:w="1701" w:type="dxa"/>
            <w:tcBorders>
              <w:tl2br w:val="nil"/>
              <w:tr2bl w:val="nil"/>
            </w:tcBorders>
            <w:shd w:val="clear" w:color="auto" w:fill="auto"/>
            <w:vAlign w:val="center"/>
          </w:tcPr>
          <w:p w14:paraId="267C10F6">
            <w:pPr>
              <w:adjustRightInd/>
              <w:jc w:val="center"/>
              <w:rPr>
                <w:rFonts w:hint="eastAsia" w:ascii="仿宋" w:hAnsi="仿宋" w:eastAsia="仿宋" w:cs="仿宋"/>
                <w:color w:val="auto"/>
                <w:kern w:val="0"/>
                <w:sz w:val="24"/>
                <w:szCs w:val="24"/>
                <w:highlight w:val="none"/>
              </w:rPr>
            </w:pPr>
          </w:p>
        </w:tc>
      </w:tr>
      <w:tr w14:paraId="3BBC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32" w:type="dxa"/>
            <w:vMerge w:val="continue"/>
            <w:tcBorders>
              <w:tl2br w:val="nil"/>
              <w:tr2bl w:val="nil"/>
            </w:tcBorders>
            <w:vAlign w:val="center"/>
          </w:tcPr>
          <w:p w14:paraId="75BD070C">
            <w:pPr>
              <w:adjustRightInd/>
              <w:jc w:val="center"/>
              <w:rPr>
                <w:rFonts w:hint="eastAsia" w:ascii="仿宋" w:hAnsi="仿宋" w:eastAsia="仿宋" w:cs="仿宋"/>
                <w:color w:val="auto"/>
                <w:kern w:val="0"/>
                <w:sz w:val="24"/>
                <w:szCs w:val="24"/>
                <w:highlight w:val="none"/>
              </w:rPr>
            </w:pPr>
          </w:p>
        </w:tc>
        <w:tc>
          <w:tcPr>
            <w:tcW w:w="1829" w:type="dxa"/>
            <w:vMerge w:val="continue"/>
            <w:tcBorders>
              <w:tl2br w:val="nil"/>
              <w:tr2bl w:val="nil"/>
            </w:tcBorders>
            <w:vAlign w:val="center"/>
          </w:tcPr>
          <w:p w14:paraId="305B7500">
            <w:pPr>
              <w:adjustRightInd/>
              <w:jc w:val="left"/>
              <w:rPr>
                <w:rFonts w:hint="eastAsia" w:ascii="仿宋" w:hAnsi="仿宋" w:eastAsia="仿宋" w:cs="仿宋"/>
                <w:color w:val="auto"/>
                <w:kern w:val="0"/>
                <w:sz w:val="24"/>
                <w:szCs w:val="24"/>
                <w:highlight w:val="none"/>
              </w:rPr>
            </w:pPr>
          </w:p>
        </w:tc>
        <w:tc>
          <w:tcPr>
            <w:tcW w:w="5540" w:type="dxa"/>
            <w:gridSpan w:val="2"/>
            <w:tcBorders>
              <w:tl2br w:val="nil"/>
              <w:tr2bl w:val="nil"/>
            </w:tcBorders>
            <w:shd w:val="clear" w:color="auto" w:fill="auto"/>
            <w:vAlign w:val="center"/>
          </w:tcPr>
          <w:p w14:paraId="52C8DD5A">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电子病历共享文档库</w:t>
            </w:r>
          </w:p>
        </w:tc>
        <w:tc>
          <w:tcPr>
            <w:tcW w:w="1134" w:type="dxa"/>
            <w:tcBorders>
              <w:tl2br w:val="nil"/>
              <w:tr2bl w:val="nil"/>
            </w:tcBorders>
            <w:shd w:val="clear" w:color="auto" w:fill="auto"/>
            <w:vAlign w:val="center"/>
          </w:tcPr>
          <w:p w14:paraId="17385654">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34" w:type="dxa"/>
            <w:tcBorders>
              <w:tl2br w:val="nil"/>
              <w:tr2bl w:val="nil"/>
            </w:tcBorders>
            <w:shd w:val="clear" w:color="auto" w:fill="auto"/>
            <w:vAlign w:val="center"/>
          </w:tcPr>
          <w:p w14:paraId="0D97948B">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c>
          <w:tcPr>
            <w:tcW w:w="1701" w:type="dxa"/>
            <w:tcBorders>
              <w:tl2br w:val="nil"/>
              <w:tr2bl w:val="nil"/>
            </w:tcBorders>
            <w:shd w:val="clear" w:color="auto" w:fill="auto"/>
            <w:vAlign w:val="center"/>
          </w:tcPr>
          <w:p w14:paraId="62DAF1A9">
            <w:pPr>
              <w:adjustRightInd/>
              <w:jc w:val="center"/>
              <w:rPr>
                <w:rFonts w:hint="eastAsia" w:ascii="仿宋" w:hAnsi="仿宋" w:eastAsia="仿宋" w:cs="仿宋"/>
                <w:color w:val="auto"/>
                <w:kern w:val="0"/>
                <w:sz w:val="24"/>
                <w:szCs w:val="24"/>
                <w:highlight w:val="none"/>
              </w:rPr>
            </w:pPr>
          </w:p>
        </w:tc>
        <w:tc>
          <w:tcPr>
            <w:tcW w:w="1701" w:type="dxa"/>
            <w:tcBorders>
              <w:tl2br w:val="nil"/>
              <w:tr2bl w:val="nil"/>
            </w:tcBorders>
            <w:shd w:val="clear" w:color="auto" w:fill="auto"/>
            <w:vAlign w:val="center"/>
          </w:tcPr>
          <w:p w14:paraId="57469DB3">
            <w:pPr>
              <w:adjustRightInd/>
              <w:jc w:val="center"/>
              <w:rPr>
                <w:rFonts w:hint="eastAsia" w:ascii="仿宋" w:hAnsi="仿宋" w:eastAsia="仿宋" w:cs="仿宋"/>
                <w:color w:val="auto"/>
                <w:kern w:val="0"/>
                <w:sz w:val="24"/>
                <w:szCs w:val="24"/>
                <w:highlight w:val="none"/>
              </w:rPr>
            </w:pPr>
          </w:p>
        </w:tc>
      </w:tr>
      <w:tr w14:paraId="14E4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32" w:type="dxa"/>
            <w:vMerge w:val="continue"/>
            <w:tcBorders>
              <w:tl2br w:val="nil"/>
              <w:tr2bl w:val="nil"/>
            </w:tcBorders>
            <w:shd w:val="clear" w:color="auto" w:fill="auto"/>
            <w:vAlign w:val="center"/>
          </w:tcPr>
          <w:p w14:paraId="6144B725">
            <w:pPr>
              <w:adjustRightInd/>
              <w:jc w:val="center"/>
              <w:rPr>
                <w:rFonts w:hint="eastAsia" w:ascii="仿宋" w:hAnsi="仿宋" w:eastAsia="仿宋" w:cs="仿宋"/>
                <w:color w:val="auto"/>
                <w:kern w:val="0"/>
                <w:sz w:val="24"/>
                <w:szCs w:val="24"/>
                <w:highlight w:val="none"/>
              </w:rPr>
            </w:pPr>
          </w:p>
        </w:tc>
        <w:tc>
          <w:tcPr>
            <w:tcW w:w="1829" w:type="dxa"/>
            <w:vMerge w:val="continue"/>
            <w:tcBorders>
              <w:tl2br w:val="nil"/>
              <w:tr2bl w:val="nil"/>
            </w:tcBorders>
            <w:vAlign w:val="center"/>
          </w:tcPr>
          <w:p w14:paraId="4BC2B694">
            <w:pPr>
              <w:adjustRightInd/>
              <w:jc w:val="left"/>
              <w:rPr>
                <w:rFonts w:hint="eastAsia" w:ascii="仿宋" w:hAnsi="仿宋" w:eastAsia="仿宋" w:cs="仿宋"/>
                <w:color w:val="auto"/>
                <w:kern w:val="0"/>
                <w:sz w:val="24"/>
                <w:szCs w:val="24"/>
                <w:highlight w:val="none"/>
              </w:rPr>
            </w:pPr>
          </w:p>
        </w:tc>
        <w:tc>
          <w:tcPr>
            <w:tcW w:w="5540" w:type="dxa"/>
            <w:gridSpan w:val="2"/>
            <w:tcBorders>
              <w:tl2br w:val="nil"/>
              <w:tr2bl w:val="nil"/>
            </w:tcBorders>
            <w:shd w:val="clear" w:color="auto" w:fill="auto"/>
            <w:vAlign w:val="center"/>
          </w:tcPr>
          <w:p w14:paraId="710D850F">
            <w:pPr>
              <w:widowControl/>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患者全息视图</w:t>
            </w:r>
          </w:p>
        </w:tc>
        <w:tc>
          <w:tcPr>
            <w:tcW w:w="1134" w:type="dxa"/>
            <w:tcBorders>
              <w:tl2br w:val="nil"/>
              <w:tr2bl w:val="nil"/>
            </w:tcBorders>
            <w:shd w:val="clear" w:color="auto" w:fill="auto"/>
            <w:vAlign w:val="center"/>
          </w:tcPr>
          <w:p w14:paraId="5E02171E">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34" w:type="dxa"/>
            <w:tcBorders>
              <w:tl2br w:val="nil"/>
              <w:tr2bl w:val="nil"/>
            </w:tcBorders>
            <w:shd w:val="clear" w:color="auto" w:fill="auto"/>
            <w:vAlign w:val="center"/>
          </w:tcPr>
          <w:p w14:paraId="106A796B">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c>
          <w:tcPr>
            <w:tcW w:w="1701" w:type="dxa"/>
            <w:tcBorders>
              <w:tl2br w:val="nil"/>
              <w:tr2bl w:val="nil"/>
            </w:tcBorders>
            <w:shd w:val="clear" w:color="auto" w:fill="auto"/>
            <w:vAlign w:val="center"/>
          </w:tcPr>
          <w:p w14:paraId="385D9FDD">
            <w:pPr>
              <w:adjustRightInd/>
              <w:jc w:val="center"/>
              <w:rPr>
                <w:rFonts w:hint="eastAsia" w:ascii="仿宋" w:hAnsi="仿宋" w:eastAsia="仿宋" w:cs="仿宋"/>
                <w:color w:val="auto"/>
                <w:kern w:val="0"/>
                <w:sz w:val="24"/>
                <w:szCs w:val="24"/>
                <w:highlight w:val="none"/>
              </w:rPr>
            </w:pPr>
          </w:p>
        </w:tc>
        <w:tc>
          <w:tcPr>
            <w:tcW w:w="1701" w:type="dxa"/>
            <w:tcBorders>
              <w:tl2br w:val="nil"/>
              <w:tr2bl w:val="nil"/>
            </w:tcBorders>
            <w:shd w:val="clear" w:color="auto" w:fill="auto"/>
            <w:vAlign w:val="center"/>
          </w:tcPr>
          <w:p w14:paraId="1ADCA76E">
            <w:pPr>
              <w:adjustRightInd/>
              <w:jc w:val="center"/>
              <w:rPr>
                <w:rFonts w:hint="eastAsia" w:ascii="仿宋" w:hAnsi="仿宋" w:eastAsia="仿宋" w:cs="仿宋"/>
                <w:color w:val="auto"/>
                <w:kern w:val="0"/>
                <w:sz w:val="24"/>
                <w:szCs w:val="24"/>
                <w:highlight w:val="none"/>
              </w:rPr>
            </w:pPr>
          </w:p>
        </w:tc>
      </w:tr>
      <w:tr w14:paraId="32B77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32" w:type="dxa"/>
            <w:vMerge w:val="restart"/>
            <w:tcBorders>
              <w:tl2br w:val="nil"/>
              <w:tr2bl w:val="nil"/>
            </w:tcBorders>
            <w:shd w:val="clear" w:color="auto" w:fill="auto"/>
            <w:vAlign w:val="center"/>
          </w:tcPr>
          <w:p w14:paraId="0E36D8FC">
            <w:pPr>
              <w:widowControl/>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829" w:type="dxa"/>
            <w:vMerge w:val="restart"/>
            <w:tcBorders>
              <w:bottom w:val="nil"/>
              <w:tl2br w:val="nil"/>
              <w:tr2bl w:val="nil"/>
            </w:tcBorders>
            <w:vAlign w:val="center"/>
          </w:tcPr>
          <w:p w14:paraId="3F04A384">
            <w:pPr>
              <w:widowControl/>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运营数据中心</w:t>
            </w:r>
          </w:p>
        </w:tc>
        <w:tc>
          <w:tcPr>
            <w:tcW w:w="5540" w:type="dxa"/>
            <w:gridSpan w:val="2"/>
            <w:tcBorders>
              <w:tl2br w:val="nil"/>
              <w:tr2bl w:val="nil"/>
            </w:tcBorders>
            <w:shd w:val="clear" w:color="auto" w:fill="auto"/>
            <w:vAlign w:val="center"/>
          </w:tcPr>
          <w:p w14:paraId="2876D5B2">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综合监管（院领导驾驶舱系统）</w:t>
            </w:r>
          </w:p>
        </w:tc>
        <w:tc>
          <w:tcPr>
            <w:tcW w:w="1134" w:type="dxa"/>
            <w:tcBorders>
              <w:tl2br w:val="nil"/>
              <w:tr2bl w:val="nil"/>
            </w:tcBorders>
            <w:shd w:val="clear" w:color="auto" w:fill="auto"/>
            <w:vAlign w:val="center"/>
          </w:tcPr>
          <w:p w14:paraId="431D9F3D">
            <w:pPr>
              <w:widowControl/>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134" w:type="dxa"/>
            <w:tcBorders>
              <w:tl2br w:val="nil"/>
              <w:tr2bl w:val="nil"/>
            </w:tcBorders>
            <w:shd w:val="clear" w:color="auto" w:fill="auto"/>
            <w:vAlign w:val="center"/>
          </w:tcPr>
          <w:p w14:paraId="74314BFE">
            <w:pPr>
              <w:widowControl/>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套</w:t>
            </w:r>
          </w:p>
        </w:tc>
        <w:tc>
          <w:tcPr>
            <w:tcW w:w="1701" w:type="dxa"/>
            <w:tcBorders>
              <w:tl2br w:val="nil"/>
              <w:tr2bl w:val="nil"/>
            </w:tcBorders>
            <w:shd w:val="clear" w:color="auto" w:fill="auto"/>
            <w:vAlign w:val="center"/>
          </w:tcPr>
          <w:p w14:paraId="35CF0F50">
            <w:pPr>
              <w:widowControl/>
              <w:adjustRightInd/>
              <w:spacing w:line="360" w:lineRule="auto"/>
              <w:jc w:val="center"/>
              <w:rPr>
                <w:rFonts w:hint="eastAsia" w:ascii="仿宋" w:hAnsi="仿宋" w:eastAsia="仿宋" w:cs="仿宋"/>
                <w:color w:val="auto"/>
                <w:sz w:val="24"/>
                <w:szCs w:val="24"/>
                <w:highlight w:val="none"/>
              </w:rPr>
            </w:pPr>
          </w:p>
        </w:tc>
        <w:tc>
          <w:tcPr>
            <w:tcW w:w="1701" w:type="dxa"/>
            <w:tcBorders>
              <w:tl2br w:val="nil"/>
              <w:tr2bl w:val="nil"/>
            </w:tcBorders>
            <w:shd w:val="clear" w:color="auto" w:fill="auto"/>
            <w:vAlign w:val="center"/>
          </w:tcPr>
          <w:p w14:paraId="65FA5C2F">
            <w:pPr>
              <w:widowControl/>
              <w:adjustRightInd/>
              <w:spacing w:line="360" w:lineRule="auto"/>
              <w:jc w:val="center"/>
              <w:rPr>
                <w:rFonts w:hint="eastAsia" w:ascii="仿宋" w:hAnsi="仿宋" w:eastAsia="仿宋" w:cs="仿宋"/>
                <w:color w:val="auto"/>
                <w:sz w:val="24"/>
                <w:szCs w:val="24"/>
                <w:highlight w:val="none"/>
              </w:rPr>
            </w:pPr>
          </w:p>
        </w:tc>
      </w:tr>
      <w:tr w14:paraId="30B6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732" w:type="dxa"/>
            <w:vMerge w:val="continue"/>
            <w:tcBorders>
              <w:bottom w:val="nil"/>
              <w:tl2br w:val="nil"/>
              <w:tr2bl w:val="nil"/>
            </w:tcBorders>
            <w:shd w:val="clear" w:color="auto" w:fill="auto"/>
            <w:vAlign w:val="center"/>
          </w:tcPr>
          <w:p w14:paraId="641BAC23">
            <w:pPr>
              <w:widowControl/>
              <w:adjustRightInd/>
              <w:spacing w:line="360" w:lineRule="auto"/>
              <w:jc w:val="center"/>
              <w:rPr>
                <w:rFonts w:hint="eastAsia" w:ascii="仿宋" w:hAnsi="仿宋" w:eastAsia="仿宋" w:cs="仿宋"/>
                <w:color w:val="auto"/>
                <w:sz w:val="24"/>
                <w:szCs w:val="24"/>
                <w:highlight w:val="none"/>
              </w:rPr>
            </w:pPr>
          </w:p>
        </w:tc>
        <w:tc>
          <w:tcPr>
            <w:tcW w:w="1829" w:type="dxa"/>
            <w:vMerge w:val="continue"/>
            <w:tcBorders>
              <w:top w:val="nil"/>
              <w:tl2br w:val="nil"/>
              <w:tr2bl w:val="nil"/>
            </w:tcBorders>
            <w:vAlign w:val="center"/>
          </w:tcPr>
          <w:p w14:paraId="7C116C18">
            <w:pPr>
              <w:widowControl/>
              <w:adjustRightInd/>
              <w:spacing w:line="360" w:lineRule="auto"/>
              <w:jc w:val="center"/>
              <w:rPr>
                <w:rFonts w:hint="eastAsia" w:ascii="仿宋" w:hAnsi="仿宋" w:eastAsia="仿宋" w:cs="仿宋"/>
                <w:color w:val="auto"/>
                <w:sz w:val="24"/>
                <w:szCs w:val="24"/>
                <w:highlight w:val="none"/>
                <w:lang w:bidi="ar"/>
              </w:rPr>
            </w:pPr>
          </w:p>
        </w:tc>
        <w:tc>
          <w:tcPr>
            <w:tcW w:w="5540" w:type="dxa"/>
            <w:gridSpan w:val="2"/>
            <w:tcBorders>
              <w:tl2br w:val="nil"/>
              <w:tr2bl w:val="nil"/>
            </w:tcBorders>
            <w:shd w:val="clear" w:color="auto" w:fill="auto"/>
            <w:vAlign w:val="center"/>
          </w:tcPr>
          <w:p w14:paraId="67B2BD1C">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移动端BI</w:t>
            </w:r>
          </w:p>
        </w:tc>
        <w:tc>
          <w:tcPr>
            <w:tcW w:w="1134" w:type="dxa"/>
            <w:tcBorders>
              <w:tl2br w:val="nil"/>
              <w:tr2bl w:val="nil"/>
            </w:tcBorders>
            <w:shd w:val="clear" w:color="auto" w:fill="auto"/>
            <w:vAlign w:val="center"/>
          </w:tcPr>
          <w:p w14:paraId="7F2A61D0">
            <w:pPr>
              <w:widowControl/>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134" w:type="dxa"/>
            <w:tcBorders>
              <w:tl2br w:val="nil"/>
              <w:tr2bl w:val="nil"/>
            </w:tcBorders>
            <w:shd w:val="clear" w:color="auto" w:fill="auto"/>
            <w:vAlign w:val="center"/>
          </w:tcPr>
          <w:p w14:paraId="6F6D8794">
            <w:pPr>
              <w:widowControl/>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套</w:t>
            </w:r>
          </w:p>
        </w:tc>
        <w:tc>
          <w:tcPr>
            <w:tcW w:w="1701" w:type="dxa"/>
            <w:tcBorders>
              <w:tl2br w:val="nil"/>
              <w:tr2bl w:val="nil"/>
            </w:tcBorders>
            <w:shd w:val="clear" w:color="auto" w:fill="auto"/>
            <w:vAlign w:val="center"/>
          </w:tcPr>
          <w:p w14:paraId="26F7A3B7">
            <w:pPr>
              <w:widowControl/>
              <w:adjustRightInd/>
              <w:spacing w:line="360" w:lineRule="auto"/>
              <w:jc w:val="center"/>
              <w:rPr>
                <w:rFonts w:hint="eastAsia" w:ascii="仿宋" w:hAnsi="仿宋" w:eastAsia="仿宋" w:cs="仿宋"/>
                <w:color w:val="auto"/>
                <w:sz w:val="24"/>
                <w:szCs w:val="24"/>
                <w:highlight w:val="none"/>
              </w:rPr>
            </w:pPr>
          </w:p>
        </w:tc>
        <w:tc>
          <w:tcPr>
            <w:tcW w:w="1701" w:type="dxa"/>
            <w:tcBorders>
              <w:tl2br w:val="nil"/>
              <w:tr2bl w:val="nil"/>
            </w:tcBorders>
            <w:shd w:val="clear" w:color="auto" w:fill="auto"/>
            <w:vAlign w:val="center"/>
          </w:tcPr>
          <w:p w14:paraId="4A80E371">
            <w:pPr>
              <w:widowControl/>
              <w:adjustRightInd/>
              <w:spacing w:line="360" w:lineRule="auto"/>
              <w:jc w:val="center"/>
              <w:rPr>
                <w:rFonts w:hint="eastAsia" w:ascii="仿宋" w:hAnsi="仿宋" w:eastAsia="仿宋" w:cs="仿宋"/>
                <w:color w:val="auto"/>
                <w:sz w:val="24"/>
                <w:szCs w:val="24"/>
                <w:highlight w:val="none"/>
              </w:rPr>
            </w:pPr>
          </w:p>
        </w:tc>
      </w:tr>
      <w:tr w14:paraId="3CD8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32" w:type="dxa"/>
            <w:vMerge w:val="restart"/>
            <w:tcBorders>
              <w:tl2br w:val="nil"/>
              <w:tr2bl w:val="nil"/>
            </w:tcBorders>
            <w:shd w:val="clear" w:color="auto" w:fill="auto"/>
            <w:vAlign w:val="center"/>
          </w:tcPr>
          <w:p w14:paraId="2D17B4D3">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w:t>
            </w:r>
          </w:p>
        </w:tc>
        <w:tc>
          <w:tcPr>
            <w:tcW w:w="1829" w:type="dxa"/>
            <w:vMerge w:val="restart"/>
            <w:tcBorders>
              <w:tl2br w:val="nil"/>
              <w:tr2bl w:val="nil"/>
            </w:tcBorders>
            <w:shd w:val="clear" w:color="auto" w:fill="auto"/>
            <w:vAlign w:val="center"/>
          </w:tcPr>
          <w:p w14:paraId="3BFC7591">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互联互通三级测评配套系统</w:t>
            </w:r>
          </w:p>
        </w:tc>
        <w:tc>
          <w:tcPr>
            <w:tcW w:w="5540" w:type="dxa"/>
            <w:gridSpan w:val="2"/>
            <w:tcBorders>
              <w:tl2br w:val="nil"/>
              <w:tr2bl w:val="nil"/>
            </w:tcBorders>
            <w:shd w:val="clear" w:color="auto" w:fill="auto"/>
            <w:vAlign w:val="center"/>
          </w:tcPr>
          <w:p w14:paraId="5E6E8BDD">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急诊临床信息系统</w:t>
            </w:r>
          </w:p>
        </w:tc>
        <w:tc>
          <w:tcPr>
            <w:tcW w:w="1134" w:type="dxa"/>
            <w:tcBorders>
              <w:tl2br w:val="nil"/>
              <w:tr2bl w:val="nil"/>
            </w:tcBorders>
            <w:shd w:val="clear" w:color="auto" w:fill="auto"/>
            <w:vAlign w:val="center"/>
          </w:tcPr>
          <w:p w14:paraId="089F85AD">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34" w:type="dxa"/>
            <w:tcBorders>
              <w:tl2br w:val="nil"/>
              <w:tr2bl w:val="nil"/>
            </w:tcBorders>
            <w:shd w:val="clear" w:color="auto" w:fill="auto"/>
            <w:vAlign w:val="center"/>
          </w:tcPr>
          <w:p w14:paraId="721345E7">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c>
          <w:tcPr>
            <w:tcW w:w="1701" w:type="dxa"/>
            <w:tcBorders>
              <w:tl2br w:val="nil"/>
              <w:tr2bl w:val="nil"/>
            </w:tcBorders>
            <w:shd w:val="clear" w:color="auto" w:fill="auto"/>
            <w:vAlign w:val="center"/>
          </w:tcPr>
          <w:p w14:paraId="625CDE01">
            <w:pPr>
              <w:adjustRightInd/>
              <w:jc w:val="center"/>
              <w:rPr>
                <w:rFonts w:hint="eastAsia" w:ascii="仿宋" w:hAnsi="仿宋" w:eastAsia="仿宋" w:cs="仿宋"/>
                <w:color w:val="auto"/>
                <w:kern w:val="0"/>
                <w:sz w:val="24"/>
                <w:szCs w:val="24"/>
                <w:highlight w:val="none"/>
              </w:rPr>
            </w:pPr>
          </w:p>
        </w:tc>
        <w:tc>
          <w:tcPr>
            <w:tcW w:w="1701" w:type="dxa"/>
            <w:tcBorders>
              <w:tl2br w:val="nil"/>
              <w:tr2bl w:val="nil"/>
            </w:tcBorders>
            <w:shd w:val="clear" w:color="auto" w:fill="auto"/>
            <w:vAlign w:val="center"/>
          </w:tcPr>
          <w:p w14:paraId="7124964C">
            <w:pPr>
              <w:adjustRightInd/>
              <w:jc w:val="center"/>
              <w:rPr>
                <w:rFonts w:hint="eastAsia" w:ascii="仿宋" w:hAnsi="仿宋" w:eastAsia="仿宋" w:cs="仿宋"/>
                <w:color w:val="auto"/>
                <w:kern w:val="0"/>
                <w:sz w:val="24"/>
                <w:szCs w:val="24"/>
                <w:highlight w:val="none"/>
              </w:rPr>
            </w:pPr>
          </w:p>
        </w:tc>
      </w:tr>
      <w:tr w14:paraId="25B6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32" w:type="dxa"/>
            <w:vMerge w:val="continue"/>
            <w:tcBorders>
              <w:tl2br w:val="nil"/>
              <w:tr2bl w:val="nil"/>
            </w:tcBorders>
            <w:shd w:val="clear" w:color="auto" w:fill="auto"/>
            <w:vAlign w:val="center"/>
          </w:tcPr>
          <w:p w14:paraId="77AD4F72">
            <w:pPr>
              <w:adjustRightInd/>
              <w:jc w:val="center"/>
              <w:rPr>
                <w:rFonts w:hint="eastAsia" w:ascii="仿宋" w:hAnsi="仿宋" w:eastAsia="仿宋" w:cs="仿宋"/>
                <w:color w:val="auto"/>
                <w:kern w:val="0"/>
                <w:sz w:val="24"/>
                <w:szCs w:val="24"/>
                <w:highlight w:val="none"/>
              </w:rPr>
            </w:pPr>
          </w:p>
        </w:tc>
        <w:tc>
          <w:tcPr>
            <w:tcW w:w="1829" w:type="dxa"/>
            <w:vMerge w:val="continue"/>
            <w:tcBorders>
              <w:tl2br w:val="nil"/>
              <w:tr2bl w:val="nil"/>
            </w:tcBorders>
            <w:vAlign w:val="center"/>
          </w:tcPr>
          <w:p w14:paraId="7BA9339A">
            <w:pPr>
              <w:adjustRightInd/>
              <w:jc w:val="left"/>
              <w:rPr>
                <w:rFonts w:hint="eastAsia" w:ascii="仿宋" w:hAnsi="仿宋" w:eastAsia="仿宋" w:cs="仿宋"/>
                <w:color w:val="auto"/>
                <w:kern w:val="0"/>
                <w:sz w:val="24"/>
                <w:szCs w:val="24"/>
                <w:highlight w:val="none"/>
              </w:rPr>
            </w:pPr>
          </w:p>
        </w:tc>
        <w:tc>
          <w:tcPr>
            <w:tcW w:w="5540" w:type="dxa"/>
            <w:gridSpan w:val="2"/>
            <w:tcBorders>
              <w:tl2br w:val="nil"/>
              <w:tr2bl w:val="nil"/>
            </w:tcBorders>
            <w:shd w:val="clear" w:color="auto" w:fill="auto"/>
            <w:vAlign w:val="center"/>
          </w:tcPr>
          <w:p w14:paraId="068A60C6">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病理管理系统</w:t>
            </w:r>
          </w:p>
        </w:tc>
        <w:tc>
          <w:tcPr>
            <w:tcW w:w="1134" w:type="dxa"/>
            <w:tcBorders>
              <w:tl2br w:val="nil"/>
              <w:tr2bl w:val="nil"/>
            </w:tcBorders>
            <w:shd w:val="clear" w:color="auto" w:fill="auto"/>
            <w:vAlign w:val="center"/>
          </w:tcPr>
          <w:p w14:paraId="16E3BF1D">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34" w:type="dxa"/>
            <w:tcBorders>
              <w:tl2br w:val="nil"/>
              <w:tr2bl w:val="nil"/>
            </w:tcBorders>
            <w:shd w:val="clear" w:color="auto" w:fill="auto"/>
            <w:vAlign w:val="center"/>
          </w:tcPr>
          <w:p w14:paraId="2BBE02FA">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c>
          <w:tcPr>
            <w:tcW w:w="1701" w:type="dxa"/>
            <w:tcBorders>
              <w:tl2br w:val="nil"/>
              <w:tr2bl w:val="nil"/>
            </w:tcBorders>
            <w:shd w:val="clear" w:color="auto" w:fill="auto"/>
            <w:vAlign w:val="center"/>
          </w:tcPr>
          <w:p w14:paraId="4E166818">
            <w:pPr>
              <w:adjustRightInd/>
              <w:jc w:val="center"/>
              <w:rPr>
                <w:rFonts w:hint="eastAsia" w:ascii="仿宋" w:hAnsi="仿宋" w:eastAsia="仿宋" w:cs="仿宋"/>
                <w:color w:val="auto"/>
                <w:kern w:val="0"/>
                <w:sz w:val="24"/>
                <w:szCs w:val="24"/>
                <w:highlight w:val="none"/>
              </w:rPr>
            </w:pPr>
          </w:p>
        </w:tc>
        <w:tc>
          <w:tcPr>
            <w:tcW w:w="1701" w:type="dxa"/>
            <w:tcBorders>
              <w:tl2br w:val="nil"/>
              <w:tr2bl w:val="nil"/>
            </w:tcBorders>
            <w:shd w:val="clear" w:color="auto" w:fill="auto"/>
            <w:vAlign w:val="center"/>
          </w:tcPr>
          <w:p w14:paraId="4516D3C0">
            <w:pPr>
              <w:adjustRightInd/>
              <w:jc w:val="center"/>
              <w:rPr>
                <w:rFonts w:hint="eastAsia" w:ascii="仿宋" w:hAnsi="仿宋" w:eastAsia="仿宋" w:cs="仿宋"/>
                <w:color w:val="auto"/>
                <w:kern w:val="0"/>
                <w:sz w:val="24"/>
                <w:szCs w:val="24"/>
                <w:highlight w:val="none"/>
              </w:rPr>
            </w:pPr>
          </w:p>
        </w:tc>
      </w:tr>
      <w:tr w14:paraId="300B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32" w:type="dxa"/>
            <w:vMerge w:val="restart"/>
            <w:tcBorders>
              <w:tl2br w:val="nil"/>
              <w:tr2bl w:val="nil"/>
            </w:tcBorders>
            <w:shd w:val="clear" w:color="auto" w:fill="auto"/>
            <w:vAlign w:val="center"/>
          </w:tcPr>
          <w:p w14:paraId="1FBB42B7">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w:t>
            </w:r>
          </w:p>
        </w:tc>
        <w:tc>
          <w:tcPr>
            <w:tcW w:w="1829" w:type="dxa"/>
            <w:vMerge w:val="restart"/>
            <w:tcBorders>
              <w:bottom w:val="nil"/>
              <w:tl2br w:val="nil"/>
              <w:tr2bl w:val="nil"/>
            </w:tcBorders>
            <w:vAlign w:val="center"/>
          </w:tcPr>
          <w:p w14:paraId="456F122E">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互联互通三级评级服务</w:t>
            </w:r>
          </w:p>
        </w:tc>
        <w:tc>
          <w:tcPr>
            <w:tcW w:w="5540" w:type="dxa"/>
            <w:gridSpan w:val="2"/>
            <w:tcBorders>
              <w:tl2br w:val="nil"/>
              <w:tr2bl w:val="nil"/>
            </w:tcBorders>
            <w:shd w:val="clear" w:color="auto" w:fill="auto"/>
            <w:vAlign w:val="center"/>
          </w:tcPr>
          <w:p w14:paraId="7E66485F">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互联互通标准化评审数据质量评价工具</w:t>
            </w:r>
          </w:p>
        </w:tc>
        <w:tc>
          <w:tcPr>
            <w:tcW w:w="1134" w:type="dxa"/>
            <w:tcBorders>
              <w:tl2br w:val="nil"/>
              <w:tr2bl w:val="nil"/>
            </w:tcBorders>
            <w:shd w:val="clear" w:color="auto" w:fill="auto"/>
            <w:vAlign w:val="center"/>
          </w:tcPr>
          <w:p w14:paraId="46E3E69F">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34" w:type="dxa"/>
            <w:tcBorders>
              <w:tl2br w:val="nil"/>
              <w:tr2bl w:val="nil"/>
            </w:tcBorders>
            <w:shd w:val="clear" w:color="auto" w:fill="auto"/>
            <w:vAlign w:val="center"/>
          </w:tcPr>
          <w:p w14:paraId="216DFECA">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c>
          <w:tcPr>
            <w:tcW w:w="1701" w:type="dxa"/>
            <w:tcBorders>
              <w:tl2br w:val="nil"/>
              <w:tr2bl w:val="nil"/>
            </w:tcBorders>
            <w:shd w:val="clear" w:color="auto" w:fill="auto"/>
            <w:vAlign w:val="center"/>
          </w:tcPr>
          <w:p w14:paraId="5B9411A6">
            <w:pPr>
              <w:adjustRightInd/>
              <w:jc w:val="center"/>
              <w:rPr>
                <w:rFonts w:hint="eastAsia" w:ascii="仿宋" w:hAnsi="仿宋" w:eastAsia="仿宋" w:cs="仿宋"/>
                <w:color w:val="auto"/>
                <w:kern w:val="0"/>
                <w:sz w:val="24"/>
                <w:szCs w:val="24"/>
                <w:highlight w:val="none"/>
              </w:rPr>
            </w:pPr>
          </w:p>
        </w:tc>
        <w:tc>
          <w:tcPr>
            <w:tcW w:w="1701" w:type="dxa"/>
            <w:tcBorders>
              <w:tl2br w:val="nil"/>
              <w:tr2bl w:val="nil"/>
            </w:tcBorders>
            <w:shd w:val="clear" w:color="auto" w:fill="auto"/>
            <w:vAlign w:val="center"/>
          </w:tcPr>
          <w:p w14:paraId="71AEC24A">
            <w:pPr>
              <w:adjustRightInd/>
              <w:jc w:val="center"/>
              <w:rPr>
                <w:rFonts w:hint="eastAsia" w:ascii="仿宋" w:hAnsi="仿宋" w:eastAsia="仿宋" w:cs="仿宋"/>
                <w:color w:val="auto"/>
                <w:kern w:val="0"/>
                <w:sz w:val="24"/>
                <w:szCs w:val="24"/>
                <w:highlight w:val="none"/>
              </w:rPr>
            </w:pPr>
          </w:p>
        </w:tc>
      </w:tr>
      <w:tr w14:paraId="22F9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32" w:type="dxa"/>
            <w:vMerge w:val="continue"/>
            <w:tcBorders>
              <w:tl2br w:val="nil"/>
              <w:tr2bl w:val="nil"/>
            </w:tcBorders>
            <w:shd w:val="clear" w:color="auto" w:fill="auto"/>
            <w:vAlign w:val="center"/>
          </w:tcPr>
          <w:p w14:paraId="4A1142BA">
            <w:pPr>
              <w:adjustRightInd/>
              <w:jc w:val="center"/>
              <w:rPr>
                <w:rFonts w:hint="eastAsia" w:ascii="仿宋" w:hAnsi="仿宋" w:eastAsia="仿宋" w:cs="仿宋"/>
                <w:color w:val="auto"/>
                <w:kern w:val="0"/>
                <w:sz w:val="24"/>
                <w:szCs w:val="24"/>
                <w:highlight w:val="none"/>
              </w:rPr>
            </w:pPr>
          </w:p>
        </w:tc>
        <w:tc>
          <w:tcPr>
            <w:tcW w:w="1829" w:type="dxa"/>
            <w:vMerge w:val="continue"/>
            <w:tcBorders>
              <w:tl2br w:val="nil"/>
              <w:tr2bl w:val="nil"/>
            </w:tcBorders>
            <w:vAlign w:val="center"/>
          </w:tcPr>
          <w:p w14:paraId="3539C0A0">
            <w:pPr>
              <w:adjustRightInd/>
              <w:jc w:val="center"/>
              <w:rPr>
                <w:rFonts w:hint="eastAsia" w:ascii="仿宋" w:hAnsi="仿宋" w:eastAsia="仿宋" w:cs="仿宋"/>
                <w:color w:val="auto"/>
                <w:kern w:val="0"/>
                <w:sz w:val="24"/>
                <w:szCs w:val="24"/>
                <w:highlight w:val="none"/>
              </w:rPr>
            </w:pPr>
          </w:p>
        </w:tc>
        <w:tc>
          <w:tcPr>
            <w:tcW w:w="5540" w:type="dxa"/>
            <w:gridSpan w:val="2"/>
            <w:tcBorders>
              <w:tl2br w:val="nil"/>
              <w:tr2bl w:val="nil"/>
            </w:tcBorders>
            <w:shd w:val="clear" w:color="auto" w:fill="auto"/>
            <w:vAlign w:val="center"/>
          </w:tcPr>
          <w:p w14:paraId="33DBBA07">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互联互通评审咨询服务</w:t>
            </w:r>
          </w:p>
        </w:tc>
        <w:tc>
          <w:tcPr>
            <w:tcW w:w="1134" w:type="dxa"/>
            <w:tcBorders>
              <w:tl2br w:val="nil"/>
              <w:tr2bl w:val="nil"/>
            </w:tcBorders>
            <w:shd w:val="clear" w:color="auto" w:fill="auto"/>
            <w:vAlign w:val="center"/>
          </w:tcPr>
          <w:p w14:paraId="147A67CA">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34" w:type="dxa"/>
            <w:tcBorders>
              <w:tl2br w:val="nil"/>
              <w:tr2bl w:val="nil"/>
            </w:tcBorders>
            <w:shd w:val="clear" w:color="auto" w:fill="auto"/>
            <w:vAlign w:val="center"/>
          </w:tcPr>
          <w:p w14:paraId="112BFAB1">
            <w:pPr>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套</w:t>
            </w:r>
          </w:p>
        </w:tc>
        <w:tc>
          <w:tcPr>
            <w:tcW w:w="1701" w:type="dxa"/>
            <w:tcBorders>
              <w:tl2br w:val="nil"/>
              <w:tr2bl w:val="nil"/>
            </w:tcBorders>
            <w:shd w:val="clear" w:color="auto" w:fill="auto"/>
            <w:vAlign w:val="center"/>
          </w:tcPr>
          <w:p w14:paraId="1818A8DC">
            <w:pPr>
              <w:adjustRightInd/>
              <w:jc w:val="center"/>
              <w:rPr>
                <w:rFonts w:hint="eastAsia" w:ascii="仿宋" w:hAnsi="仿宋" w:eastAsia="仿宋" w:cs="仿宋"/>
                <w:color w:val="auto"/>
                <w:kern w:val="0"/>
                <w:sz w:val="24"/>
                <w:szCs w:val="24"/>
                <w:highlight w:val="none"/>
              </w:rPr>
            </w:pPr>
          </w:p>
        </w:tc>
        <w:tc>
          <w:tcPr>
            <w:tcW w:w="1701" w:type="dxa"/>
            <w:tcBorders>
              <w:tl2br w:val="nil"/>
              <w:tr2bl w:val="nil"/>
            </w:tcBorders>
            <w:shd w:val="clear" w:color="auto" w:fill="auto"/>
            <w:vAlign w:val="center"/>
          </w:tcPr>
          <w:p w14:paraId="053A2701">
            <w:pPr>
              <w:adjustRightInd/>
              <w:jc w:val="center"/>
              <w:rPr>
                <w:rFonts w:hint="eastAsia" w:ascii="仿宋" w:hAnsi="仿宋" w:eastAsia="仿宋" w:cs="仿宋"/>
                <w:color w:val="auto"/>
                <w:kern w:val="0"/>
                <w:sz w:val="24"/>
                <w:szCs w:val="24"/>
                <w:highlight w:val="none"/>
              </w:rPr>
            </w:pPr>
          </w:p>
        </w:tc>
      </w:tr>
      <w:tr w14:paraId="5694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701" w:type="dxa"/>
            <w:gridSpan w:val="8"/>
            <w:tcBorders>
              <w:tl2br w:val="nil"/>
              <w:tr2bl w:val="nil"/>
            </w:tcBorders>
            <w:shd w:val="clear" w:color="auto" w:fill="auto"/>
            <w:vAlign w:val="center"/>
          </w:tcPr>
          <w:p w14:paraId="499DEF54">
            <w:pPr>
              <w:widowControl w:val="0"/>
              <w:kinsoku/>
              <w:wordWrap/>
              <w:overflowPunct/>
              <w:topLinePunct w:val="0"/>
              <w:autoSpaceDE/>
              <w:autoSpaceDN/>
              <w:bidi w:val="0"/>
              <w:adjustRightInd/>
              <w:snapToGrid/>
              <w:spacing w:line="240" w:lineRule="auto"/>
              <w:ind w:left="0" w:firstLine="0"/>
              <w:jc w:val="both"/>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投标报价（大写）</w:t>
            </w:r>
            <w:r>
              <w:rPr>
                <w:rFonts w:hint="eastAsia" w:ascii="仿宋" w:hAnsi="仿宋" w:eastAsia="仿宋" w:cs="仿宋"/>
                <w:b/>
                <w:color w:val="auto"/>
                <w:sz w:val="24"/>
                <w:highlight w:val="none"/>
                <w:lang w:eastAsia="zh-CN"/>
              </w:rPr>
              <w:t>：</w:t>
            </w:r>
          </w:p>
          <w:p w14:paraId="60B6C916">
            <w:pPr>
              <w:adjustRightInd/>
              <w:jc w:val="both"/>
              <w:rPr>
                <w:rFonts w:hint="eastAsia" w:ascii="仿宋" w:hAnsi="仿宋" w:eastAsia="仿宋" w:cs="仿宋"/>
                <w:color w:val="auto"/>
                <w:kern w:val="0"/>
                <w:sz w:val="24"/>
                <w:szCs w:val="24"/>
                <w:highlight w:val="none"/>
              </w:rPr>
            </w:pPr>
            <w:r>
              <w:rPr>
                <w:rFonts w:hint="eastAsia" w:ascii="仿宋" w:hAnsi="仿宋" w:eastAsia="仿宋" w:cs="仿宋"/>
                <w:b/>
                <w:color w:val="auto"/>
                <w:sz w:val="24"/>
                <w:highlight w:val="none"/>
              </w:rPr>
              <w:t>投标报价（小写）</w:t>
            </w:r>
            <w:r>
              <w:rPr>
                <w:rFonts w:hint="eastAsia" w:ascii="仿宋" w:hAnsi="仿宋" w:eastAsia="仿宋" w:cs="仿宋"/>
                <w:b/>
                <w:color w:val="auto"/>
                <w:sz w:val="24"/>
                <w:highlight w:val="none"/>
                <w:lang w:eastAsia="zh-CN"/>
              </w:rPr>
              <w:t>：</w:t>
            </w:r>
          </w:p>
        </w:tc>
      </w:tr>
    </w:tbl>
    <w:p w14:paraId="32ADFB60">
      <w:pPr>
        <w:snapToGrid w:val="0"/>
        <w:spacing w:line="360" w:lineRule="auto"/>
        <w:rPr>
          <w:rFonts w:hint="eastAsia" w:ascii="仿宋_GB2312" w:hAnsi="仿宋" w:eastAsia="仿宋_GB2312" w:cs="仿宋"/>
          <w:b/>
          <w:bCs w:val="0"/>
          <w:color w:val="auto"/>
          <w:kern w:val="0"/>
          <w:sz w:val="24"/>
          <w:highlight w:val="none"/>
          <w:lang w:val="zh-CN"/>
        </w:rPr>
      </w:pPr>
    </w:p>
    <w:p w14:paraId="47D6B798">
      <w:pPr>
        <w:pStyle w:val="693"/>
        <w:keepNext w:val="0"/>
        <w:pageBreakBefore w:val="0"/>
        <w:tabs>
          <w:tab w:val="clear" w:pos="720"/>
        </w:tabs>
        <w:snapToGrid w:val="0"/>
        <w:spacing w:before="120" w:after="120"/>
        <w:ind w:firstLine="978" w:firstLineChars="406"/>
        <w:jc w:val="left"/>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r>
        <w:rPr>
          <w:rFonts w:hint="eastAsia" w:ascii="仿宋_GB2312" w:hAnsi="仿宋" w:eastAsia="仿宋_GB2312" w:cs="仿宋"/>
          <w:b/>
          <w:bCs w:val="0"/>
          <w:color w:val="auto"/>
          <w:kern w:val="0"/>
          <w:sz w:val="24"/>
          <w:highlight w:val="none"/>
          <w:lang w:val="zh-CN"/>
        </w:rPr>
        <w:t>注：</w:t>
      </w:r>
      <w:r>
        <w:rPr>
          <w:rFonts w:hint="eastAsia" w:ascii="仿宋_GB2312" w:hAnsi="仿宋" w:eastAsia="仿宋_GB2312" w:cs="仿宋"/>
          <w:b/>
          <w:bCs w:val="0"/>
          <w:color w:val="auto"/>
          <w:kern w:val="0"/>
          <w:sz w:val="24"/>
          <w:highlight w:val="none"/>
          <w:lang w:val="zh-CN" w:eastAsia="zh-CN"/>
        </w:rPr>
        <w:t>以上报价应与“开标一览表（报价表）”中的“总价”相一致。</w:t>
      </w:r>
    </w:p>
    <w:p w14:paraId="278317C5">
      <w:pPr>
        <w:pStyle w:val="80"/>
        <w:rPr>
          <w:rFonts w:hint="eastAsia" w:ascii="仿宋" w:hAnsi="仿宋" w:eastAsia="仿宋" w:cs="仿宋"/>
          <w:b/>
          <w:color w:val="auto"/>
          <w:sz w:val="24"/>
          <w:highlight w:val="none"/>
        </w:rPr>
      </w:pPr>
    </w:p>
    <w:p w14:paraId="4D0AD7CA">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3D3B3C4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28F8067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B70476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F9BF71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382E17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F4E5BF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898508F">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178A20D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2B85207">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4AB7A0C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770242E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A2F57C9">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A750120">
      <w:pPr>
        <w:rPr>
          <w:rFonts w:hint="eastAsia" w:ascii="仿宋" w:hAnsi="仿宋" w:eastAsia="仿宋" w:cs="仿宋"/>
          <w:b/>
          <w:color w:val="auto"/>
          <w:sz w:val="24"/>
          <w:highlight w:val="none"/>
        </w:rPr>
      </w:pPr>
    </w:p>
    <w:p w14:paraId="4ECEFCB2">
      <w:pPr>
        <w:rPr>
          <w:rFonts w:hint="eastAsia" w:ascii="仿宋" w:hAnsi="仿宋" w:eastAsia="仿宋" w:cs="仿宋"/>
          <w:b/>
          <w:color w:val="auto"/>
          <w:sz w:val="24"/>
          <w:highlight w:val="none"/>
        </w:rPr>
      </w:pPr>
    </w:p>
    <w:p w14:paraId="2D61A1C5">
      <w:pPr>
        <w:rPr>
          <w:rFonts w:hint="eastAsia" w:ascii="仿宋" w:hAnsi="仿宋" w:eastAsia="仿宋" w:cs="仿宋"/>
          <w:b/>
          <w:color w:val="auto"/>
          <w:sz w:val="24"/>
          <w:highlight w:val="none"/>
        </w:rPr>
      </w:pPr>
    </w:p>
    <w:p w14:paraId="1545A0C3">
      <w:pPr>
        <w:rPr>
          <w:rFonts w:hint="eastAsia"/>
          <w:color w:val="auto"/>
          <w:highlight w:val="none"/>
          <w:lang w:eastAsia="zh-CN"/>
        </w:rPr>
      </w:pPr>
    </w:p>
    <w:p w14:paraId="501D2F45">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残疾人福利性单位声明函（如果有）</w:t>
      </w:r>
    </w:p>
    <w:p w14:paraId="7D749E1C">
      <w:pPr>
        <w:pStyle w:val="24"/>
        <w:widowControl/>
        <w:numPr>
          <w:ilvl w:val="0"/>
          <w:numId w:val="0"/>
        </w:numPr>
        <w:spacing w:line="360" w:lineRule="auto"/>
        <w:ind w:firstLine="120" w:firstLineChars="50"/>
        <w:jc w:val="left"/>
        <w:rPr>
          <w:rFonts w:hint="eastAsia" w:ascii="仿宋" w:hAnsi="仿宋" w:eastAsia="仿宋" w:cs="仿宋"/>
          <w:b/>
          <w:color w:val="auto"/>
          <w:kern w:val="0"/>
          <w:sz w:val="36"/>
          <w:szCs w:val="36"/>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FE3F898">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pPr>
    </w:p>
    <w:p w14:paraId="73BADE77">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0C41E139">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396A3D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58191B6">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6DBA90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3C3779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9A13D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39613B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C7A2E6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56855A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41C5BE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5A3D9C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5940B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7B04FE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469D81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716B337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E741FC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ABA875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C0FCB8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4870A0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AAF0F2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B9C34F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790358D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7E7EEA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4C32C7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0899C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F8E874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A8F8CC6">
      <w:pPr>
        <w:spacing w:line="360" w:lineRule="auto"/>
        <w:rPr>
          <w:rFonts w:hint="eastAsia" w:ascii="仿宋" w:hAnsi="仿宋" w:eastAsia="仿宋" w:cs="仿宋"/>
          <w:b/>
          <w:color w:val="auto"/>
          <w:sz w:val="24"/>
          <w:highlight w:val="none"/>
        </w:rPr>
      </w:pPr>
    </w:p>
    <w:p w14:paraId="6F6499E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79BDCD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6B874C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EE3741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B87328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344546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471246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C4DEEB2">
      <w:pPr>
        <w:widowControl/>
        <w:spacing w:line="360" w:lineRule="auto"/>
        <w:ind w:firstLine="600" w:firstLineChars="200"/>
        <w:jc w:val="left"/>
        <w:rPr>
          <w:rFonts w:hint="eastAsia" w:ascii="仿宋" w:hAnsi="仿宋" w:eastAsia="仿宋" w:cs="仿宋"/>
          <w:color w:val="auto"/>
          <w:sz w:val="30"/>
          <w:szCs w:val="30"/>
          <w:highlight w:val="none"/>
        </w:rPr>
      </w:pPr>
    </w:p>
    <w:p w14:paraId="08584F07">
      <w:pPr>
        <w:spacing w:line="360" w:lineRule="auto"/>
        <w:jc w:val="center"/>
        <w:rPr>
          <w:rFonts w:hint="eastAsia" w:ascii="仿宋" w:hAnsi="仿宋" w:eastAsia="仿宋" w:cs="仿宋"/>
          <w:b/>
          <w:color w:val="auto"/>
          <w:spacing w:val="6"/>
          <w:sz w:val="32"/>
          <w:szCs w:val="32"/>
          <w:highlight w:val="none"/>
        </w:rPr>
      </w:pPr>
    </w:p>
    <w:p w14:paraId="59E979BD">
      <w:pPr>
        <w:spacing w:line="360" w:lineRule="auto"/>
        <w:jc w:val="center"/>
        <w:rPr>
          <w:rFonts w:hint="eastAsia" w:ascii="仿宋" w:hAnsi="仿宋" w:eastAsia="仿宋" w:cs="仿宋"/>
          <w:b/>
          <w:color w:val="auto"/>
          <w:spacing w:val="6"/>
          <w:sz w:val="32"/>
          <w:szCs w:val="32"/>
          <w:highlight w:val="none"/>
        </w:rPr>
      </w:pPr>
    </w:p>
    <w:p w14:paraId="05E2157F">
      <w:pPr>
        <w:spacing w:line="360" w:lineRule="auto"/>
        <w:jc w:val="center"/>
        <w:rPr>
          <w:rFonts w:hint="eastAsia" w:ascii="仿宋" w:hAnsi="仿宋" w:eastAsia="仿宋" w:cs="仿宋"/>
          <w:b/>
          <w:color w:val="auto"/>
          <w:spacing w:val="6"/>
          <w:sz w:val="32"/>
          <w:szCs w:val="32"/>
          <w:highlight w:val="none"/>
        </w:rPr>
      </w:pPr>
    </w:p>
    <w:p w14:paraId="0844ABF9">
      <w:pPr>
        <w:spacing w:line="360" w:lineRule="auto"/>
        <w:jc w:val="center"/>
        <w:rPr>
          <w:rFonts w:hint="eastAsia" w:ascii="仿宋" w:hAnsi="仿宋" w:eastAsia="仿宋" w:cs="仿宋"/>
          <w:b/>
          <w:color w:val="auto"/>
          <w:spacing w:val="6"/>
          <w:sz w:val="32"/>
          <w:szCs w:val="32"/>
          <w:highlight w:val="none"/>
        </w:rPr>
      </w:pPr>
    </w:p>
    <w:p w14:paraId="26CB2319">
      <w:pPr>
        <w:spacing w:line="360" w:lineRule="auto"/>
        <w:jc w:val="center"/>
        <w:rPr>
          <w:rFonts w:hint="eastAsia" w:ascii="仿宋" w:hAnsi="仿宋" w:eastAsia="仿宋" w:cs="仿宋"/>
          <w:b/>
          <w:color w:val="auto"/>
          <w:spacing w:val="6"/>
          <w:sz w:val="32"/>
          <w:szCs w:val="32"/>
          <w:highlight w:val="none"/>
        </w:rPr>
      </w:pPr>
    </w:p>
    <w:p w14:paraId="6B53A115">
      <w:pPr>
        <w:spacing w:line="360" w:lineRule="auto"/>
        <w:jc w:val="center"/>
        <w:rPr>
          <w:rFonts w:hint="eastAsia" w:ascii="仿宋" w:hAnsi="仿宋" w:eastAsia="仿宋" w:cs="仿宋"/>
          <w:b/>
          <w:color w:val="auto"/>
          <w:spacing w:val="6"/>
          <w:sz w:val="32"/>
          <w:szCs w:val="32"/>
          <w:highlight w:val="none"/>
        </w:rPr>
      </w:pPr>
    </w:p>
    <w:p w14:paraId="2A9A387F">
      <w:pPr>
        <w:spacing w:line="360" w:lineRule="auto"/>
        <w:jc w:val="center"/>
        <w:rPr>
          <w:rFonts w:hint="eastAsia" w:ascii="仿宋" w:hAnsi="仿宋" w:eastAsia="仿宋" w:cs="仿宋"/>
          <w:b/>
          <w:color w:val="auto"/>
          <w:spacing w:val="6"/>
          <w:sz w:val="32"/>
          <w:szCs w:val="32"/>
          <w:highlight w:val="none"/>
        </w:rPr>
      </w:pPr>
    </w:p>
    <w:p w14:paraId="32FB44C8">
      <w:pPr>
        <w:spacing w:line="360" w:lineRule="auto"/>
        <w:jc w:val="center"/>
        <w:rPr>
          <w:rFonts w:hint="eastAsia" w:ascii="仿宋" w:hAnsi="仿宋" w:eastAsia="仿宋" w:cs="仿宋"/>
          <w:b/>
          <w:color w:val="auto"/>
          <w:spacing w:val="6"/>
          <w:sz w:val="32"/>
          <w:szCs w:val="32"/>
          <w:highlight w:val="none"/>
        </w:rPr>
      </w:pPr>
    </w:p>
    <w:p w14:paraId="6E68ED39">
      <w:pPr>
        <w:spacing w:line="360" w:lineRule="auto"/>
        <w:jc w:val="center"/>
        <w:rPr>
          <w:rFonts w:hint="eastAsia" w:ascii="仿宋" w:hAnsi="仿宋" w:eastAsia="仿宋" w:cs="仿宋"/>
          <w:b/>
          <w:color w:val="auto"/>
          <w:spacing w:val="6"/>
          <w:sz w:val="32"/>
          <w:szCs w:val="32"/>
          <w:highlight w:val="none"/>
        </w:rPr>
      </w:pPr>
    </w:p>
    <w:p w14:paraId="10A4228E">
      <w:pPr>
        <w:spacing w:line="360" w:lineRule="auto"/>
        <w:jc w:val="center"/>
        <w:rPr>
          <w:rFonts w:hint="eastAsia" w:ascii="仿宋" w:hAnsi="仿宋" w:eastAsia="仿宋" w:cs="仿宋"/>
          <w:b/>
          <w:color w:val="auto"/>
          <w:spacing w:val="6"/>
          <w:sz w:val="32"/>
          <w:szCs w:val="32"/>
          <w:highlight w:val="none"/>
        </w:rPr>
      </w:pPr>
    </w:p>
    <w:p w14:paraId="3167F8C2">
      <w:pPr>
        <w:spacing w:line="360" w:lineRule="auto"/>
        <w:jc w:val="center"/>
        <w:rPr>
          <w:rFonts w:hint="eastAsia" w:ascii="仿宋" w:hAnsi="仿宋" w:eastAsia="仿宋" w:cs="仿宋"/>
          <w:b/>
          <w:color w:val="auto"/>
          <w:spacing w:val="6"/>
          <w:sz w:val="32"/>
          <w:szCs w:val="32"/>
          <w:highlight w:val="none"/>
        </w:rPr>
      </w:pPr>
    </w:p>
    <w:p w14:paraId="786B8696">
      <w:pPr>
        <w:spacing w:line="360" w:lineRule="auto"/>
        <w:jc w:val="center"/>
        <w:rPr>
          <w:rFonts w:hint="eastAsia" w:ascii="仿宋" w:hAnsi="仿宋" w:eastAsia="仿宋" w:cs="仿宋"/>
          <w:b/>
          <w:color w:val="auto"/>
          <w:spacing w:val="6"/>
          <w:sz w:val="32"/>
          <w:szCs w:val="32"/>
          <w:highlight w:val="none"/>
        </w:rPr>
      </w:pPr>
    </w:p>
    <w:p w14:paraId="71F8A281">
      <w:pPr>
        <w:spacing w:line="360" w:lineRule="auto"/>
        <w:jc w:val="center"/>
        <w:rPr>
          <w:rFonts w:hint="eastAsia" w:ascii="仿宋" w:hAnsi="仿宋" w:eastAsia="仿宋" w:cs="仿宋"/>
          <w:b/>
          <w:color w:val="auto"/>
          <w:spacing w:val="6"/>
          <w:sz w:val="32"/>
          <w:szCs w:val="32"/>
          <w:highlight w:val="none"/>
        </w:rPr>
      </w:pPr>
    </w:p>
    <w:p w14:paraId="1878504C">
      <w:pPr>
        <w:spacing w:line="360" w:lineRule="auto"/>
        <w:jc w:val="left"/>
        <w:rPr>
          <w:rFonts w:hint="eastAsia" w:ascii="仿宋" w:hAnsi="仿宋" w:eastAsia="仿宋" w:cs="仿宋"/>
          <w:b/>
          <w:color w:val="auto"/>
          <w:spacing w:val="6"/>
          <w:sz w:val="32"/>
          <w:szCs w:val="32"/>
          <w:highlight w:val="none"/>
        </w:rPr>
      </w:pPr>
    </w:p>
    <w:p w14:paraId="4AD2D29A">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A2672B1">
      <w:pPr>
        <w:spacing w:line="360" w:lineRule="auto"/>
        <w:jc w:val="center"/>
        <w:rPr>
          <w:rFonts w:hint="eastAsia" w:ascii="仿宋" w:hAnsi="仿宋" w:eastAsia="仿宋" w:cs="仿宋"/>
          <w:b/>
          <w:color w:val="auto"/>
          <w:sz w:val="24"/>
          <w:highlight w:val="none"/>
        </w:rPr>
      </w:pPr>
    </w:p>
    <w:p w14:paraId="018BF78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DCDB61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007026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CB5D84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59AAD7F">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E485550">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E12108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E00817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163AA4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0EDF15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E2EC7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82BD6A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C3E861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0991BD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4432AF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B5BC87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4DAC1A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8FDA93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B166F1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78D7A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709300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033610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3A0F96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E09F5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78A10AA">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B08FEC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947B60D">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5EF7E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B4C260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BEEC4A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75E486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871749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A934B7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AFD7FD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782793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39EF4D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B91DFD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32CEDB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7C7DB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5E793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C92D456">
      <w:pPr>
        <w:spacing w:line="360" w:lineRule="auto"/>
        <w:rPr>
          <w:rFonts w:hint="eastAsia" w:ascii="仿宋" w:hAnsi="仿宋" w:eastAsia="仿宋" w:cs="仿宋"/>
          <w:b/>
          <w:color w:val="auto"/>
          <w:sz w:val="24"/>
          <w:highlight w:val="none"/>
        </w:rPr>
      </w:pPr>
    </w:p>
    <w:p w14:paraId="15A2F460">
      <w:pPr>
        <w:spacing w:line="360" w:lineRule="auto"/>
        <w:rPr>
          <w:rFonts w:hint="eastAsia" w:ascii="仿宋" w:hAnsi="仿宋" w:eastAsia="仿宋" w:cs="仿宋"/>
          <w:b/>
          <w:color w:val="auto"/>
          <w:sz w:val="24"/>
          <w:highlight w:val="none"/>
        </w:rPr>
      </w:pPr>
    </w:p>
    <w:p w14:paraId="61BD8246">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4E22DC0">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EA72860">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1F0D14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0961E2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1592C72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C6234E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B051EEC">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DC02227">
      <w:pPr>
        <w:spacing w:line="360" w:lineRule="auto"/>
        <w:rPr>
          <w:rFonts w:hint="eastAsia" w:ascii="仿宋" w:hAnsi="仿宋" w:eastAsia="仿宋" w:cs="仿宋"/>
          <w:b/>
          <w:color w:val="auto"/>
          <w:sz w:val="24"/>
          <w:highlight w:val="none"/>
        </w:rPr>
      </w:pPr>
    </w:p>
    <w:p w14:paraId="53EBA29E">
      <w:pPr>
        <w:autoSpaceDE w:val="0"/>
        <w:autoSpaceDN w:val="0"/>
        <w:jc w:val="center"/>
        <w:rPr>
          <w:rFonts w:hint="eastAsia" w:ascii="仿宋" w:hAnsi="仿宋" w:eastAsia="仿宋" w:cs="仿宋"/>
          <w:b/>
          <w:color w:val="auto"/>
          <w:spacing w:val="6"/>
          <w:sz w:val="32"/>
          <w:szCs w:val="32"/>
          <w:highlight w:val="none"/>
        </w:rPr>
      </w:pPr>
    </w:p>
    <w:p w14:paraId="4D8CC817">
      <w:pPr>
        <w:autoSpaceDE w:val="0"/>
        <w:autoSpaceDN w:val="0"/>
        <w:jc w:val="center"/>
        <w:rPr>
          <w:rFonts w:hint="eastAsia" w:ascii="仿宋" w:hAnsi="仿宋" w:eastAsia="仿宋" w:cs="仿宋"/>
          <w:b/>
          <w:color w:val="auto"/>
          <w:spacing w:val="6"/>
          <w:sz w:val="32"/>
          <w:szCs w:val="32"/>
          <w:highlight w:val="none"/>
        </w:rPr>
      </w:pPr>
    </w:p>
    <w:p w14:paraId="5292BAAA">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80C4BAF">
      <w:pPr>
        <w:spacing w:line="360" w:lineRule="auto"/>
        <w:rPr>
          <w:rFonts w:hint="eastAsia" w:ascii="仿宋" w:hAnsi="仿宋" w:eastAsia="仿宋" w:cs="仿宋"/>
          <w:color w:val="auto"/>
          <w:sz w:val="24"/>
          <w:highlight w:val="none"/>
          <w:u w:val="single"/>
        </w:rPr>
      </w:pPr>
    </w:p>
    <w:p w14:paraId="7DF8978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4A18088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F50BDF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5B7BDCB">
      <w:pPr>
        <w:spacing w:line="360" w:lineRule="auto"/>
        <w:ind w:firstLine="494"/>
        <w:rPr>
          <w:rFonts w:hint="eastAsia" w:ascii="仿宋" w:hAnsi="仿宋" w:eastAsia="仿宋" w:cs="仿宋"/>
          <w:color w:val="auto"/>
          <w:sz w:val="24"/>
          <w:highlight w:val="none"/>
        </w:rPr>
      </w:pPr>
    </w:p>
    <w:p w14:paraId="6EDAF2CF">
      <w:pPr>
        <w:spacing w:line="360" w:lineRule="auto"/>
        <w:ind w:firstLine="494"/>
        <w:rPr>
          <w:rFonts w:hint="eastAsia" w:ascii="仿宋" w:hAnsi="仿宋" w:eastAsia="仿宋" w:cs="仿宋"/>
          <w:color w:val="auto"/>
          <w:sz w:val="24"/>
          <w:highlight w:val="none"/>
        </w:rPr>
      </w:pPr>
    </w:p>
    <w:p w14:paraId="7E1D9AF2">
      <w:pPr>
        <w:spacing w:line="360" w:lineRule="auto"/>
        <w:ind w:firstLine="494"/>
        <w:rPr>
          <w:rFonts w:hint="eastAsia" w:ascii="仿宋" w:hAnsi="仿宋" w:eastAsia="仿宋" w:cs="仿宋"/>
          <w:color w:val="auto"/>
          <w:sz w:val="24"/>
          <w:highlight w:val="none"/>
        </w:rPr>
      </w:pPr>
    </w:p>
    <w:p w14:paraId="1418B709">
      <w:pPr>
        <w:spacing w:line="360" w:lineRule="auto"/>
        <w:ind w:firstLine="494"/>
        <w:rPr>
          <w:rFonts w:hint="eastAsia" w:ascii="仿宋" w:hAnsi="仿宋" w:eastAsia="仿宋" w:cs="仿宋"/>
          <w:color w:val="auto"/>
          <w:sz w:val="24"/>
          <w:highlight w:val="none"/>
        </w:rPr>
      </w:pPr>
    </w:p>
    <w:p w14:paraId="40ADB595">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EE4EE9B">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920D819">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606E21D">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9F5E077">
      <w:pPr>
        <w:autoSpaceDE w:val="0"/>
        <w:autoSpaceDN w:val="0"/>
        <w:jc w:val="center"/>
        <w:rPr>
          <w:rFonts w:hint="eastAsia" w:ascii="仿宋" w:hAnsi="仿宋" w:eastAsia="仿宋" w:cs="仿宋"/>
          <w:b/>
          <w:color w:val="auto"/>
          <w:spacing w:val="6"/>
          <w:sz w:val="32"/>
          <w:szCs w:val="32"/>
          <w:highlight w:val="none"/>
        </w:rPr>
      </w:pPr>
    </w:p>
    <w:p w14:paraId="4B1C389B">
      <w:pPr>
        <w:autoSpaceDE w:val="0"/>
        <w:autoSpaceDN w:val="0"/>
        <w:jc w:val="center"/>
        <w:rPr>
          <w:rFonts w:hint="eastAsia" w:ascii="仿宋" w:hAnsi="仿宋" w:eastAsia="仿宋" w:cs="仿宋"/>
          <w:b/>
          <w:color w:val="auto"/>
          <w:spacing w:val="6"/>
          <w:sz w:val="32"/>
          <w:szCs w:val="32"/>
          <w:highlight w:val="none"/>
        </w:rPr>
      </w:pPr>
    </w:p>
    <w:p w14:paraId="37DCC0A2">
      <w:pPr>
        <w:autoSpaceDE w:val="0"/>
        <w:autoSpaceDN w:val="0"/>
        <w:jc w:val="center"/>
        <w:rPr>
          <w:rFonts w:hint="eastAsia" w:ascii="仿宋" w:hAnsi="仿宋" w:eastAsia="仿宋" w:cs="仿宋"/>
          <w:b/>
          <w:color w:val="auto"/>
          <w:spacing w:val="6"/>
          <w:sz w:val="32"/>
          <w:szCs w:val="32"/>
          <w:highlight w:val="none"/>
        </w:rPr>
      </w:pPr>
    </w:p>
    <w:p w14:paraId="61BC77A3">
      <w:pPr>
        <w:autoSpaceDE w:val="0"/>
        <w:autoSpaceDN w:val="0"/>
        <w:jc w:val="center"/>
        <w:rPr>
          <w:rFonts w:hint="eastAsia" w:ascii="仿宋" w:hAnsi="仿宋" w:eastAsia="仿宋" w:cs="仿宋"/>
          <w:b/>
          <w:color w:val="auto"/>
          <w:spacing w:val="6"/>
          <w:sz w:val="32"/>
          <w:szCs w:val="32"/>
          <w:highlight w:val="none"/>
        </w:rPr>
      </w:pPr>
    </w:p>
    <w:p w14:paraId="15ABD242">
      <w:pPr>
        <w:autoSpaceDE w:val="0"/>
        <w:autoSpaceDN w:val="0"/>
        <w:jc w:val="center"/>
        <w:rPr>
          <w:rFonts w:hint="eastAsia" w:ascii="仿宋" w:hAnsi="仿宋" w:eastAsia="仿宋" w:cs="仿宋"/>
          <w:b/>
          <w:color w:val="auto"/>
          <w:spacing w:val="6"/>
          <w:sz w:val="32"/>
          <w:szCs w:val="32"/>
          <w:highlight w:val="none"/>
        </w:rPr>
      </w:pPr>
    </w:p>
    <w:p w14:paraId="046BDE74">
      <w:pPr>
        <w:autoSpaceDE w:val="0"/>
        <w:autoSpaceDN w:val="0"/>
        <w:jc w:val="center"/>
        <w:rPr>
          <w:rFonts w:hint="eastAsia" w:ascii="仿宋" w:hAnsi="仿宋" w:eastAsia="仿宋" w:cs="仿宋"/>
          <w:b/>
          <w:color w:val="auto"/>
          <w:spacing w:val="6"/>
          <w:sz w:val="32"/>
          <w:szCs w:val="32"/>
          <w:highlight w:val="none"/>
        </w:rPr>
      </w:pPr>
    </w:p>
    <w:p w14:paraId="12108D4E">
      <w:pPr>
        <w:autoSpaceDE w:val="0"/>
        <w:autoSpaceDN w:val="0"/>
        <w:jc w:val="center"/>
        <w:rPr>
          <w:rFonts w:hint="eastAsia" w:ascii="仿宋" w:hAnsi="仿宋" w:eastAsia="仿宋" w:cs="仿宋"/>
          <w:b/>
          <w:color w:val="auto"/>
          <w:spacing w:val="6"/>
          <w:sz w:val="32"/>
          <w:szCs w:val="32"/>
          <w:highlight w:val="none"/>
        </w:rPr>
      </w:pPr>
    </w:p>
    <w:p w14:paraId="6D1564AA">
      <w:pPr>
        <w:pStyle w:val="24"/>
        <w:rPr>
          <w:rFonts w:hint="eastAsia" w:ascii="仿宋" w:hAnsi="仿宋" w:eastAsia="仿宋" w:cs="仿宋"/>
          <w:b/>
          <w:color w:val="auto"/>
          <w:spacing w:val="6"/>
          <w:sz w:val="32"/>
          <w:szCs w:val="32"/>
          <w:highlight w:val="none"/>
        </w:rPr>
      </w:pPr>
    </w:p>
    <w:p w14:paraId="563C74E0">
      <w:pPr>
        <w:rPr>
          <w:rFonts w:hint="eastAsia" w:ascii="仿宋" w:hAnsi="仿宋" w:eastAsia="仿宋" w:cs="仿宋"/>
          <w:b/>
          <w:color w:val="auto"/>
          <w:spacing w:val="6"/>
          <w:sz w:val="32"/>
          <w:szCs w:val="32"/>
          <w:highlight w:val="none"/>
        </w:rPr>
      </w:pPr>
    </w:p>
    <w:p w14:paraId="6F32CCAA">
      <w:pPr>
        <w:pStyle w:val="24"/>
        <w:rPr>
          <w:rFonts w:hint="eastAsia"/>
          <w:color w:val="auto"/>
          <w:highlight w:val="none"/>
        </w:rPr>
      </w:pPr>
    </w:p>
    <w:p w14:paraId="14D8F963">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41F4CE01">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E537CE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EA5820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48641A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1EAB69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D3D843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356562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D32441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BD9AEA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11BCFE5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217" w:name="_Hlk101131882"/>
      <w:r>
        <w:rPr>
          <w:rFonts w:hint="eastAsia" w:ascii="仿宋" w:hAnsi="仿宋" w:eastAsia="仿宋" w:cs="仿宋"/>
          <w:color w:val="auto"/>
          <w:kern w:val="0"/>
          <w:sz w:val="24"/>
          <w:highlight w:val="none"/>
          <w:u w:val="single"/>
        </w:rPr>
        <w:t>联合体成员X,……</w:t>
      </w:r>
      <w:bookmarkEnd w:id="217"/>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218"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218"/>
      <w:r>
        <w:rPr>
          <w:rFonts w:hint="eastAsia" w:ascii="仿宋" w:hAnsi="仿宋" w:eastAsia="仿宋" w:cs="仿宋"/>
          <w:b/>
          <w:color w:val="auto"/>
          <w:kern w:val="0"/>
          <w:sz w:val="24"/>
          <w:highlight w:val="none"/>
          <w:lang w:val="zh-CN"/>
        </w:rPr>
        <w:t>）</w:t>
      </w:r>
    </w:p>
    <w:p w14:paraId="6BDE0127">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219"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219"/>
    </w:p>
    <w:p w14:paraId="7AD0D43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74E67B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0C9F67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AD4526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FC6965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D39F04A">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5167E7A">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13355F7">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72D3415">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3BC5BF8">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EDD77A7">
      <w:pPr>
        <w:autoSpaceDE w:val="0"/>
        <w:autoSpaceDN w:val="0"/>
        <w:jc w:val="center"/>
        <w:rPr>
          <w:rFonts w:hint="eastAsia" w:ascii="仿宋" w:hAnsi="仿宋" w:eastAsia="仿宋" w:cs="仿宋"/>
          <w:b/>
          <w:color w:val="auto"/>
          <w:spacing w:val="6"/>
          <w:sz w:val="32"/>
          <w:szCs w:val="32"/>
          <w:highlight w:val="none"/>
        </w:rPr>
      </w:pPr>
    </w:p>
    <w:p w14:paraId="2853F74D">
      <w:pPr>
        <w:autoSpaceDE w:val="0"/>
        <w:autoSpaceDN w:val="0"/>
        <w:jc w:val="center"/>
        <w:rPr>
          <w:rFonts w:hint="eastAsia" w:ascii="仿宋" w:hAnsi="仿宋" w:eastAsia="仿宋" w:cs="仿宋"/>
          <w:b/>
          <w:color w:val="auto"/>
          <w:spacing w:val="6"/>
          <w:sz w:val="32"/>
          <w:szCs w:val="32"/>
          <w:highlight w:val="none"/>
        </w:rPr>
      </w:pPr>
    </w:p>
    <w:p w14:paraId="6C888BC9">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00F89082">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2E3291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BFED0C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78AFE4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193EF17">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FA7D76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6A15AB5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C1F822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4FDC782">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D47151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0DADA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D970E8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D999F0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85E53B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E863063">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6C3003E">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55B19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C5979F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BBA0BE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503B88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E6C8D7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03A5AF3B">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89281DD">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032D427">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5B9CA8D">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E163919">
      <w:pPr>
        <w:autoSpaceDE w:val="0"/>
        <w:autoSpaceDN w:val="0"/>
        <w:jc w:val="center"/>
        <w:rPr>
          <w:rFonts w:hint="eastAsia" w:ascii="仿宋" w:hAnsi="仿宋" w:eastAsia="仿宋" w:cs="仿宋"/>
          <w:b/>
          <w:color w:val="auto"/>
          <w:spacing w:val="6"/>
          <w:sz w:val="32"/>
          <w:szCs w:val="32"/>
          <w:highlight w:val="none"/>
        </w:rPr>
      </w:pPr>
    </w:p>
    <w:p w14:paraId="2B9F5909">
      <w:pPr>
        <w:autoSpaceDE w:val="0"/>
        <w:autoSpaceDN w:val="0"/>
        <w:jc w:val="center"/>
        <w:rPr>
          <w:rFonts w:hint="eastAsia" w:ascii="仿宋" w:hAnsi="仿宋" w:eastAsia="仿宋" w:cs="仿宋"/>
          <w:b/>
          <w:color w:val="auto"/>
          <w:spacing w:val="6"/>
          <w:sz w:val="32"/>
          <w:szCs w:val="32"/>
          <w:highlight w:val="none"/>
        </w:rPr>
      </w:pPr>
    </w:p>
    <w:p w14:paraId="118A08F4">
      <w:pPr>
        <w:autoSpaceDE w:val="0"/>
        <w:autoSpaceDN w:val="0"/>
        <w:jc w:val="center"/>
        <w:rPr>
          <w:rFonts w:hint="eastAsia" w:ascii="仿宋" w:hAnsi="仿宋" w:eastAsia="仿宋" w:cs="仿宋"/>
          <w:b/>
          <w:color w:val="auto"/>
          <w:spacing w:val="6"/>
          <w:sz w:val="32"/>
          <w:szCs w:val="32"/>
          <w:highlight w:val="none"/>
        </w:rPr>
      </w:pPr>
    </w:p>
    <w:p w14:paraId="4ADCF55F">
      <w:pPr>
        <w:autoSpaceDE w:val="0"/>
        <w:autoSpaceDN w:val="0"/>
        <w:jc w:val="center"/>
        <w:rPr>
          <w:rFonts w:hint="eastAsia" w:ascii="仿宋" w:hAnsi="仿宋" w:eastAsia="仿宋" w:cs="仿宋"/>
          <w:b/>
          <w:color w:val="auto"/>
          <w:spacing w:val="6"/>
          <w:sz w:val="32"/>
          <w:szCs w:val="32"/>
          <w:highlight w:val="none"/>
        </w:rPr>
      </w:pPr>
    </w:p>
    <w:p w14:paraId="089AAFF4">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220" w:name="OLE_LINK14"/>
      <w:bookmarkStart w:id="221" w:name="OLE_LINK13"/>
      <w:r>
        <w:rPr>
          <w:rFonts w:hint="eastAsia" w:ascii="仿宋" w:hAnsi="仿宋" w:eastAsia="仿宋" w:cs="仿宋"/>
          <w:b/>
          <w:color w:val="auto"/>
          <w:spacing w:val="6"/>
          <w:sz w:val="32"/>
          <w:szCs w:val="32"/>
          <w:highlight w:val="none"/>
        </w:rPr>
        <w:t>残疾人福利性单位声明函</w:t>
      </w:r>
    </w:p>
    <w:bookmarkEnd w:id="220"/>
    <w:bookmarkEnd w:id="221"/>
    <w:p w14:paraId="2A1D57B7">
      <w:pPr>
        <w:spacing w:line="360" w:lineRule="auto"/>
        <w:rPr>
          <w:rFonts w:hint="eastAsia" w:ascii="仿宋" w:hAnsi="仿宋" w:eastAsia="仿宋" w:cs="仿宋"/>
          <w:b/>
          <w:color w:val="auto"/>
          <w:spacing w:val="6"/>
          <w:sz w:val="30"/>
          <w:szCs w:val="30"/>
          <w:highlight w:val="none"/>
        </w:rPr>
      </w:pPr>
    </w:p>
    <w:p w14:paraId="48791F3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9619CB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1CD8154">
      <w:pPr>
        <w:spacing w:line="360" w:lineRule="auto"/>
        <w:ind w:firstLine="480" w:firstLineChars="200"/>
        <w:rPr>
          <w:rFonts w:hint="eastAsia" w:ascii="仿宋" w:hAnsi="仿宋" w:eastAsia="仿宋" w:cs="仿宋"/>
          <w:color w:val="auto"/>
          <w:sz w:val="24"/>
          <w:highlight w:val="none"/>
        </w:rPr>
      </w:pPr>
    </w:p>
    <w:p w14:paraId="7F7073A4">
      <w:pPr>
        <w:spacing w:line="360" w:lineRule="auto"/>
        <w:ind w:firstLine="480" w:firstLineChars="200"/>
        <w:rPr>
          <w:rFonts w:hint="eastAsia" w:ascii="仿宋" w:hAnsi="仿宋" w:eastAsia="仿宋" w:cs="仿宋"/>
          <w:color w:val="auto"/>
          <w:sz w:val="24"/>
          <w:highlight w:val="none"/>
        </w:rPr>
      </w:pPr>
    </w:p>
    <w:p w14:paraId="7F2D2F89">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FE9DB7D">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BFA872A">
      <w:pPr>
        <w:autoSpaceDE w:val="0"/>
        <w:autoSpaceDN w:val="0"/>
        <w:jc w:val="center"/>
        <w:rPr>
          <w:rFonts w:hint="eastAsia" w:ascii="仿宋" w:hAnsi="仿宋" w:eastAsia="仿宋" w:cs="仿宋"/>
          <w:b/>
          <w:color w:val="auto"/>
          <w:spacing w:val="6"/>
          <w:sz w:val="32"/>
          <w:szCs w:val="32"/>
          <w:highlight w:val="none"/>
        </w:rPr>
      </w:pPr>
    </w:p>
    <w:p w14:paraId="1047A85F">
      <w:pPr>
        <w:autoSpaceDE w:val="0"/>
        <w:autoSpaceDN w:val="0"/>
        <w:jc w:val="center"/>
        <w:rPr>
          <w:rFonts w:hint="eastAsia" w:ascii="仿宋" w:hAnsi="仿宋" w:eastAsia="仿宋" w:cs="仿宋"/>
          <w:b/>
          <w:color w:val="auto"/>
          <w:spacing w:val="6"/>
          <w:sz w:val="32"/>
          <w:szCs w:val="32"/>
          <w:highlight w:val="none"/>
        </w:rPr>
      </w:pPr>
    </w:p>
    <w:p w14:paraId="47A7339F">
      <w:pPr>
        <w:autoSpaceDE w:val="0"/>
        <w:autoSpaceDN w:val="0"/>
        <w:jc w:val="center"/>
        <w:rPr>
          <w:rFonts w:hint="eastAsia" w:ascii="仿宋" w:hAnsi="仿宋" w:eastAsia="仿宋" w:cs="仿宋"/>
          <w:b/>
          <w:color w:val="auto"/>
          <w:spacing w:val="6"/>
          <w:sz w:val="32"/>
          <w:szCs w:val="32"/>
          <w:highlight w:val="none"/>
        </w:rPr>
      </w:pPr>
    </w:p>
    <w:p w14:paraId="762DAFC8">
      <w:pPr>
        <w:autoSpaceDE w:val="0"/>
        <w:autoSpaceDN w:val="0"/>
        <w:jc w:val="center"/>
        <w:rPr>
          <w:rFonts w:hint="eastAsia" w:ascii="仿宋" w:hAnsi="仿宋" w:eastAsia="仿宋" w:cs="仿宋"/>
          <w:b/>
          <w:color w:val="auto"/>
          <w:spacing w:val="6"/>
          <w:sz w:val="32"/>
          <w:szCs w:val="32"/>
          <w:highlight w:val="none"/>
        </w:rPr>
      </w:pPr>
    </w:p>
    <w:p w14:paraId="228DBA4B">
      <w:pPr>
        <w:autoSpaceDE w:val="0"/>
        <w:autoSpaceDN w:val="0"/>
        <w:jc w:val="center"/>
        <w:rPr>
          <w:rFonts w:hint="eastAsia" w:ascii="仿宋" w:hAnsi="仿宋" w:eastAsia="仿宋" w:cs="仿宋"/>
          <w:b/>
          <w:color w:val="auto"/>
          <w:spacing w:val="6"/>
          <w:sz w:val="32"/>
          <w:szCs w:val="32"/>
          <w:highlight w:val="none"/>
        </w:rPr>
      </w:pPr>
    </w:p>
    <w:p w14:paraId="73E633CD">
      <w:pPr>
        <w:autoSpaceDE w:val="0"/>
        <w:autoSpaceDN w:val="0"/>
        <w:jc w:val="center"/>
        <w:rPr>
          <w:rFonts w:hint="eastAsia" w:ascii="仿宋" w:hAnsi="仿宋" w:eastAsia="仿宋" w:cs="仿宋"/>
          <w:b/>
          <w:color w:val="auto"/>
          <w:spacing w:val="6"/>
          <w:sz w:val="32"/>
          <w:szCs w:val="32"/>
          <w:highlight w:val="none"/>
        </w:rPr>
      </w:pPr>
    </w:p>
    <w:p w14:paraId="2CF2229A">
      <w:pPr>
        <w:autoSpaceDE w:val="0"/>
        <w:autoSpaceDN w:val="0"/>
        <w:jc w:val="center"/>
        <w:rPr>
          <w:rFonts w:hint="eastAsia" w:ascii="仿宋" w:hAnsi="仿宋" w:eastAsia="仿宋" w:cs="仿宋"/>
          <w:b/>
          <w:color w:val="auto"/>
          <w:spacing w:val="6"/>
          <w:sz w:val="32"/>
          <w:szCs w:val="32"/>
          <w:highlight w:val="none"/>
        </w:rPr>
      </w:pPr>
    </w:p>
    <w:p w14:paraId="0178F3FA">
      <w:pPr>
        <w:autoSpaceDE w:val="0"/>
        <w:autoSpaceDN w:val="0"/>
        <w:jc w:val="center"/>
        <w:rPr>
          <w:rFonts w:hint="eastAsia" w:ascii="仿宋" w:hAnsi="仿宋" w:eastAsia="仿宋" w:cs="仿宋"/>
          <w:b/>
          <w:color w:val="auto"/>
          <w:spacing w:val="6"/>
          <w:sz w:val="32"/>
          <w:szCs w:val="32"/>
          <w:highlight w:val="none"/>
        </w:rPr>
      </w:pPr>
    </w:p>
    <w:p w14:paraId="2ABB81DF">
      <w:pPr>
        <w:autoSpaceDE w:val="0"/>
        <w:autoSpaceDN w:val="0"/>
        <w:jc w:val="center"/>
        <w:rPr>
          <w:rFonts w:hint="eastAsia" w:ascii="仿宋" w:hAnsi="仿宋" w:eastAsia="仿宋" w:cs="仿宋"/>
          <w:b/>
          <w:color w:val="auto"/>
          <w:spacing w:val="6"/>
          <w:sz w:val="32"/>
          <w:szCs w:val="32"/>
          <w:highlight w:val="none"/>
        </w:rPr>
      </w:pPr>
    </w:p>
    <w:p w14:paraId="68DB0211">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67657D70">
      <w:pPr>
        <w:spacing w:line="360" w:lineRule="auto"/>
        <w:jc w:val="center"/>
        <w:rPr>
          <w:rFonts w:hint="eastAsia" w:ascii="仿宋" w:hAnsi="仿宋" w:eastAsia="仿宋" w:cs="仿宋"/>
          <w:color w:val="auto"/>
          <w:sz w:val="24"/>
          <w:highlight w:val="none"/>
          <w:u w:val="single"/>
        </w:rPr>
      </w:pPr>
    </w:p>
    <w:p w14:paraId="577BEC39">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6B50AD2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744E338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FC9511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D7092B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A64827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D3F3E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005A64E">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C8DAE8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7DF7FAF">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5FEF08F8">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0516932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4D2338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A374C89">
      <w:pPr>
        <w:pStyle w:val="4"/>
        <w:rPr>
          <w:rFonts w:hint="eastAsia" w:ascii="仿宋" w:hAnsi="仿宋" w:eastAsia="仿宋" w:cs="仿宋"/>
          <w:color w:val="auto"/>
          <w:highlight w:val="none"/>
          <w:lang w:val="en-US"/>
        </w:rPr>
      </w:pPr>
    </w:p>
    <w:p w14:paraId="71CE8091">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4B4809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00D0215">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E32EC32">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4FA4CD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50D6B56">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9D2657B">
      <w:pPr>
        <w:pStyle w:val="24"/>
        <w:rPr>
          <w:rFonts w:hint="eastAsia"/>
          <w:color w:val="auto"/>
          <w:highlight w:val="none"/>
          <w:lang w:val="en-US" w:eastAsia="zh-CN"/>
        </w:rPr>
      </w:pPr>
    </w:p>
    <w:p w14:paraId="1F68A5A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066BAD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96B7EE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ED8FF3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197580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22D904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0C35DD6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0C949B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6DB607C">
      <w:pPr>
        <w:widowControl/>
        <w:jc w:val="left"/>
        <w:rPr>
          <w:rFonts w:hint="eastAsia" w:ascii="仿宋" w:hAnsi="仿宋" w:eastAsia="仿宋" w:cs="仿宋"/>
          <w:color w:val="auto"/>
          <w:kern w:val="0"/>
          <w:sz w:val="24"/>
          <w:highlight w:val="none"/>
        </w:rPr>
      </w:pPr>
    </w:p>
    <w:p w14:paraId="776CA71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854B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6989BD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AD41E8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7327BE3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C55F7F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C0C3D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98164E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BD4273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8A40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550B3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3E7E3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E0FA1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081B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3F749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52930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2EFCE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C5AE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C378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3324F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006D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7027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97391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1593B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1BC59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6945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DBF514">
            <w:pPr>
              <w:widowControl/>
              <w:jc w:val="left"/>
              <w:rPr>
                <w:rFonts w:hint="eastAsia" w:ascii="仿宋" w:hAnsi="仿宋" w:eastAsia="仿宋" w:cs="仿宋"/>
                <w:color w:val="auto"/>
                <w:kern w:val="0"/>
                <w:sz w:val="24"/>
                <w:highlight w:val="none"/>
              </w:rPr>
            </w:pPr>
          </w:p>
        </w:tc>
        <w:tc>
          <w:tcPr>
            <w:tcW w:w="1560" w:type="dxa"/>
            <w:vAlign w:val="center"/>
          </w:tcPr>
          <w:p w14:paraId="50ED3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80A4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E57F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50170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5E999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7E1F79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315A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2654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C5994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BDCB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BB16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02D11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C0275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F0F74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085F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649748">
            <w:pPr>
              <w:widowControl/>
              <w:jc w:val="left"/>
              <w:rPr>
                <w:rFonts w:hint="eastAsia" w:ascii="仿宋" w:hAnsi="仿宋" w:eastAsia="仿宋" w:cs="仿宋"/>
                <w:color w:val="auto"/>
                <w:kern w:val="0"/>
                <w:sz w:val="24"/>
                <w:highlight w:val="none"/>
              </w:rPr>
            </w:pPr>
          </w:p>
        </w:tc>
        <w:tc>
          <w:tcPr>
            <w:tcW w:w="1560" w:type="dxa"/>
            <w:vAlign w:val="center"/>
          </w:tcPr>
          <w:p w14:paraId="3423D7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074EF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A7C1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1D2FB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D5E70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AF5AC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E59F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07EC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BC43A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B539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B3504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B695A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F1D0F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D66B4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22B2F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C5A71A">
            <w:pPr>
              <w:widowControl/>
              <w:jc w:val="left"/>
              <w:rPr>
                <w:rFonts w:hint="eastAsia" w:ascii="仿宋" w:hAnsi="仿宋" w:eastAsia="仿宋" w:cs="仿宋"/>
                <w:color w:val="auto"/>
                <w:kern w:val="0"/>
                <w:sz w:val="24"/>
                <w:highlight w:val="none"/>
              </w:rPr>
            </w:pPr>
          </w:p>
        </w:tc>
        <w:tc>
          <w:tcPr>
            <w:tcW w:w="1560" w:type="dxa"/>
            <w:vAlign w:val="center"/>
          </w:tcPr>
          <w:p w14:paraId="00731C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F7E3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92D9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61FF9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52039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33EE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12FE7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BB78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06802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EB98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1F5A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DB8D0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819A0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08CA3E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71AA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E2E7C1">
            <w:pPr>
              <w:widowControl/>
              <w:jc w:val="left"/>
              <w:rPr>
                <w:rFonts w:hint="eastAsia" w:ascii="仿宋" w:hAnsi="仿宋" w:eastAsia="仿宋" w:cs="仿宋"/>
                <w:color w:val="auto"/>
                <w:kern w:val="0"/>
                <w:sz w:val="24"/>
                <w:highlight w:val="none"/>
              </w:rPr>
            </w:pPr>
          </w:p>
        </w:tc>
        <w:tc>
          <w:tcPr>
            <w:tcW w:w="1560" w:type="dxa"/>
            <w:vAlign w:val="center"/>
          </w:tcPr>
          <w:p w14:paraId="67CCA5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E22C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946C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D3BD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66001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E9D9C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6BF0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A82F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D0F5D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519D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8F10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FCB6A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34023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C1271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1E1A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DE24C2">
            <w:pPr>
              <w:widowControl/>
              <w:jc w:val="left"/>
              <w:rPr>
                <w:rFonts w:hint="eastAsia" w:ascii="仿宋" w:hAnsi="仿宋" w:eastAsia="仿宋" w:cs="仿宋"/>
                <w:color w:val="auto"/>
                <w:kern w:val="0"/>
                <w:sz w:val="24"/>
                <w:highlight w:val="none"/>
              </w:rPr>
            </w:pPr>
          </w:p>
        </w:tc>
        <w:tc>
          <w:tcPr>
            <w:tcW w:w="1560" w:type="dxa"/>
            <w:vAlign w:val="center"/>
          </w:tcPr>
          <w:p w14:paraId="2089E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4BCE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202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35F29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704F4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7C225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B174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A816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6E2B8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CC88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F66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3850F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4F609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4FB07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61D4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40F0CA">
            <w:pPr>
              <w:widowControl/>
              <w:jc w:val="left"/>
              <w:rPr>
                <w:rFonts w:hint="eastAsia" w:ascii="仿宋" w:hAnsi="仿宋" w:eastAsia="仿宋" w:cs="仿宋"/>
                <w:color w:val="auto"/>
                <w:kern w:val="0"/>
                <w:sz w:val="24"/>
                <w:highlight w:val="none"/>
              </w:rPr>
            </w:pPr>
          </w:p>
        </w:tc>
        <w:tc>
          <w:tcPr>
            <w:tcW w:w="1560" w:type="dxa"/>
            <w:vAlign w:val="center"/>
          </w:tcPr>
          <w:p w14:paraId="078BD7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02A7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FCBC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012A2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BD820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ED0F0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33E9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1E87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432FB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149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CFAF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2E1BD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5783E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A3274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AE40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148862">
            <w:pPr>
              <w:widowControl/>
              <w:jc w:val="left"/>
              <w:rPr>
                <w:rFonts w:hint="eastAsia" w:ascii="仿宋" w:hAnsi="仿宋" w:eastAsia="仿宋" w:cs="仿宋"/>
                <w:color w:val="auto"/>
                <w:kern w:val="0"/>
                <w:sz w:val="24"/>
                <w:highlight w:val="none"/>
              </w:rPr>
            </w:pPr>
          </w:p>
        </w:tc>
        <w:tc>
          <w:tcPr>
            <w:tcW w:w="1560" w:type="dxa"/>
            <w:vAlign w:val="center"/>
          </w:tcPr>
          <w:p w14:paraId="30C53A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C9FC6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7B4E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1F917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EB85F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EEED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CF7B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64CE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3759A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110E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1FE7B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B150B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1CE0C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B2EDB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36A0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D79D9E">
            <w:pPr>
              <w:widowControl/>
              <w:jc w:val="left"/>
              <w:rPr>
                <w:rFonts w:hint="eastAsia" w:ascii="仿宋" w:hAnsi="仿宋" w:eastAsia="仿宋" w:cs="仿宋"/>
                <w:color w:val="auto"/>
                <w:kern w:val="0"/>
                <w:sz w:val="24"/>
                <w:highlight w:val="none"/>
              </w:rPr>
            </w:pPr>
          </w:p>
        </w:tc>
        <w:tc>
          <w:tcPr>
            <w:tcW w:w="1560" w:type="dxa"/>
            <w:vAlign w:val="center"/>
          </w:tcPr>
          <w:p w14:paraId="48040D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7E24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B8E2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B4BFC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45083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B95B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777A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FD16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CD061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86D9F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AA64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03882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1AAC8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13A4A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2DDC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4A2DF2">
            <w:pPr>
              <w:widowControl/>
              <w:jc w:val="left"/>
              <w:rPr>
                <w:rFonts w:hint="eastAsia" w:ascii="仿宋" w:hAnsi="仿宋" w:eastAsia="仿宋" w:cs="仿宋"/>
                <w:color w:val="auto"/>
                <w:kern w:val="0"/>
                <w:sz w:val="24"/>
                <w:highlight w:val="none"/>
              </w:rPr>
            </w:pPr>
          </w:p>
        </w:tc>
        <w:tc>
          <w:tcPr>
            <w:tcW w:w="1560" w:type="dxa"/>
            <w:vAlign w:val="center"/>
          </w:tcPr>
          <w:p w14:paraId="5E80BE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D165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B826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5720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FCA46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A60F3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985B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FD8C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CBFCF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90B2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92F0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3B24A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9EE64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353A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E73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7EA748">
            <w:pPr>
              <w:widowControl/>
              <w:jc w:val="left"/>
              <w:rPr>
                <w:rFonts w:hint="eastAsia" w:ascii="仿宋" w:hAnsi="仿宋" w:eastAsia="仿宋" w:cs="仿宋"/>
                <w:color w:val="auto"/>
                <w:kern w:val="0"/>
                <w:sz w:val="24"/>
                <w:highlight w:val="none"/>
              </w:rPr>
            </w:pPr>
          </w:p>
        </w:tc>
        <w:tc>
          <w:tcPr>
            <w:tcW w:w="1560" w:type="dxa"/>
            <w:vAlign w:val="center"/>
          </w:tcPr>
          <w:p w14:paraId="1C6231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8CC2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99B9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08D8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0E337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2855C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1E94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4B9D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38563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2661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0A60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1A101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C757A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63E7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0479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7E3BAE">
            <w:pPr>
              <w:widowControl/>
              <w:jc w:val="left"/>
              <w:rPr>
                <w:rFonts w:hint="eastAsia" w:ascii="仿宋" w:hAnsi="仿宋" w:eastAsia="仿宋" w:cs="仿宋"/>
                <w:color w:val="auto"/>
                <w:kern w:val="0"/>
                <w:sz w:val="24"/>
                <w:highlight w:val="none"/>
              </w:rPr>
            </w:pPr>
          </w:p>
        </w:tc>
        <w:tc>
          <w:tcPr>
            <w:tcW w:w="1560" w:type="dxa"/>
            <w:vAlign w:val="center"/>
          </w:tcPr>
          <w:p w14:paraId="0FEB23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0D2E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3C0C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85985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802BA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8AC70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4CE3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63BC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4CEE0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6E4F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EA807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ECB98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E8867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FD3E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84F9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109583">
            <w:pPr>
              <w:widowControl/>
              <w:jc w:val="left"/>
              <w:rPr>
                <w:rFonts w:hint="eastAsia" w:ascii="仿宋" w:hAnsi="仿宋" w:eastAsia="仿宋" w:cs="仿宋"/>
                <w:color w:val="auto"/>
                <w:kern w:val="0"/>
                <w:sz w:val="24"/>
                <w:highlight w:val="none"/>
              </w:rPr>
            </w:pPr>
          </w:p>
        </w:tc>
        <w:tc>
          <w:tcPr>
            <w:tcW w:w="1560" w:type="dxa"/>
            <w:vAlign w:val="center"/>
          </w:tcPr>
          <w:p w14:paraId="73A3F7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CEC15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2497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4A60D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30E05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E47BF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D3B7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310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E4178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17C1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8754B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54A3B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63E7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1971A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1A74C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76EDEF">
            <w:pPr>
              <w:widowControl/>
              <w:jc w:val="left"/>
              <w:rPr>
                <w:rFonts w:hint="eastAsia" w:ascii="仿宋" w:hAnsi="仿宋" w:eastAsia="仿宋" w:cs="仿宋"/>
                <w:color w:val="auto"/>
                <w:kern w:val="0"/>
                <w:sz w:val="24"/>
                <w:highlight w:val="none"/>
              </w:rPr>
            </w:pPr>
          </w:p>
        </w:tc>
        <w:tc>
          <w:tcPr>
            <w:tcW w:w="1560" w:type="dxa"/>
            <w:vAlign w:val="center"/>
          </w:tcPr>
          <w:p w14:paraId="6036CC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60A6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82E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0D266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D912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66111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3BA2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F33D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01273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7EAA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A6AA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94160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84D84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31AF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85B6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4E10DB">
            <w:pPr>
              <w:widowControl/>
              <w:jc w:val="left"/>
              <w:rPr>
                <w:rFonts w:hint="eastAsia" w:ascii="仿宋" w:hAnsi="仿宋" w:eastAsia="仿宋" w:cs="仿宋"/>
                <w:color w:val="auto"/>
                <w:kern w:val="0"/>
                <w:sz w:val="24"/>
                <w:highlight w:val="none"/>
              </w:rPr>
            </w:pPr>
          </w:p>
        </w:tc>
        <w:tc>
          <w:tcPr>
            <w:tcW w:w="1560" w:type="dxa"/>
            <w:vAlign w:val="center"/>
          </w:tcPr>
          <w:p w14:paraId="734167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59CB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CFD7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BE0DF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6041B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1F52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C314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E9578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BF312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62F2A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C51F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C0755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4F637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0DA3C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A1EADD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859D0C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39CF6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073D49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EFC2A0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B55B1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2263EE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F838A4C">
      <w:pPr>
        <w:widowControl/>
        <w:jc w:val="left"/>
        <w:rPr>
          <w:rFonts w:hint="eastAsia" w:ascii="仿宋" w:hAnsi="仿宋" w:eastAsia="仿宋" w:cs="仿宋"/>
          <w:color w:val="auto"/>
          <w:kern w:val="0"/>
          <w:sz w:val="24"/>
          <w:highlight w:val="none"/>
        </w:rPr>
      </w:pPr>
    </w:p>
    <w:p w14:paraId="5186BBF9">
      <w:pPr>
        <w:widowControl/>
        <w:jc w:val="left"/>
        <w:rPr>
          <w:rFonts w:hint="eastAsia" w:ascii="仿宋" w:hAnsi="仿宋" w:eastAsia="仿宋" w:cs="仿宋"/>
          <w:color w:val="auto"/>
          <w:kern w:val="0"/>
          <w:sz w:val="24"/>
          <w:highlight w:val="none"/>
        </w:rPr>
      </w:pPr>
    </w:p>
    <w:p w14:paraId="635BE16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4154937">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6861B4F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563274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5AAF173">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0452CA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A63AF6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068F7F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380A23DB">
      <w:pPr>
        <w:widowControl/>
        <w:jc w:val="left"/>
        <w:rPr>
          <w:rFonts w:hint="eastAsia" w:ascii="仿宋" w:hAnsi="仿宋" w:eastAsia="仿宋" w:cs="仿宋"/>
          <w:color w:val="auto"/>
          <w:kern w:val="0"/>
          <w:sz w:val="18"/>
          <w:szCs w:val="18"/>
          <w:highlight w:val="none"/>
        </w:rPr>
      </w:pPr>
    </w:p>
    <w:p w14:paraId="166D56C2">
      <w:pPr>
        <w:widowControl/>
        <w:jc w:val="left"/>
        <w:rPr>
          <w:rFonts w:hint="eastAsia" w:ascii="仿宋" w:hAnsi="仿宋" w:eastAsia="仿宋" w:cs="仿宋"/>
          <w:color w:val="auto"/>
          <w:kern w:val="0"/>
          <w:sz w:val="18"/>
          <w:szCs w:val="18"/>
          <w:highlight w:val="none"/>
        </w:rPr>
      </w:pPr>
    </w:p>
    <w:p w14:paraId="73F632F7">
      <w:pPr>
        <w:widowControl/>
        <w:jc w:val="left"/>
        <w:rPr>
          <w:rFonts w:hint="eastAsia" w:ascii="仿宋" w:hAnsi="仿宋" w:eastAsia="仿宋" w:cs="仿宋"/>
          <w:color w:val="auto"/>
          <w:kern w:val="0"/>
          <w:sz w:val="18"/>
          <w:szCs w:val="18"/>
          <w:highlight w:val="none"/>
        </w:rPr>
      </w:pPr>
    </w:p>
    <w:p w14:paraId="38317DCD">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63B8AB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58366EB">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B4811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5664B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05A1B9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90BD77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7567F9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470E92D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2D1FECC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85294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60F8D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3694D4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BDCDBB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9E9A40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C7F3C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AB8CE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51D1B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0E3CE3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7306AA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BD41C6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B648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0A61D4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466301E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66E19A8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5D89892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61B1A6B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C2108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8502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886DD0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7B34B2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6005FF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5E9DC9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6B21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B4E13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93547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8EAD8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98E6B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3ADC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0F12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BD33BB">
            <w:pPr>
              <w:widowControl/>
              <w:jc w:val="left"/>
              <w:rPr>
                <w:rFonts w:hint="eastAsia" w:ascii="仿宋" w:hAnsi="仿宋" w:eastAsia="仿宋" w:cs="仿宋"/>
                <w:color w:val="auto"/>
                <w:kern w:val="0"/>
                <w:sz w:val="24"/>
                <w:highlight w:val="none"/>
              </w:rPr>
            </w:pPr>
          </w:p>
        </w:tc>
        <w:tc>
          <w:tcPr>
            <w:tcW w:w="1025" w:type="dxa"/>
            <w:vMerge w:val="continue"/>
            <w:vAlign w:val="center"/>
          </w:tcPr>
          <w:p w14:paraId="30B8013E">
            <w:pPr>
              <w:widowControl/>
              <w:jc w:val="left"/>
              <w:rPr>
                <w:rFonts w:hint="eastAsia" w:ascii="仿宋" w:hAnsi="仿宋" w:eastAsia="仿宋" w:cs="仿宋"/>
                <w:color w:val="auto"/>
                <w:kern w:val="0"/>
                <w:sz w:val="24"/>
                <w:highlight w:val="none"/>
              </w:rPr>
            </w:pPr>
          </w:p>
        </w:tc>
        <w:tc>
          <w:tcPr>
            <w:tcW w:w="2836" w:type="dxa"/>
            <w:vMerge w:val="continue"/>
            <w:vAlign w:val="center"/>
          </w:tcPr>
          <w:p w14:paraId="14E2388C">
            <w:pPr>
              <w:widowControl/>
              <w:jc w:val="left"/>
              <w:rPr>
                <w:rFonts w:hint="eastAsia" w:ascii="仿宋" w:hAnsi="仿宋" w:eastAsia="仿宋" w:cs="仿宋"/>
                <w:color w:val="auto"/>
                <w:kern w:val="0"/>
                <w:sz w:val="24"/>
                <w:highlight w:val="none"/>
              </w:rPr>
            </w:pPr>
          </w:p>
        </w:tc>
        <w:tc>
          <w:tcPr>
            <w:tcW w:w="606" w:type="dxa"/>
            <w:vAlign w:val="center"/>
          </w:tcPr>
          <w:p w14:paraId="3A5966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9E240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84C5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DB4F73">
            <w:pPr>
              <w:widowControl/>
              <w:jc w:val="left"/>
              <w:rPr>
                <w:rFonts w:hint="eastAsia" w:ascii="仿宋" w:hAnsi="仿宋" w:eastAsia="仿宋" w:cs="仿宋"/>
                <w:color w:val="auto"/>
                <w:kern w:val="0"/>
                <w:sz w:val="24"/>
                <w:highlight w:val="none"/>
              </w:rPr>
            </w:pPr>
          </w:p>
        </w:tc>
        <w:tc>
          <w:tcPr>
            <w:tcW w:w="1025" w:type="dxa"/>
            <w:vMerge w:val="continue"/>
            <w:vAlign w:val="center"/>
          </w:tcPr>
          <w:p w14:paraId="59F7CB19">
            <w:pPr>
              <w:widowControl/>
              <w:jc w:val="left"/>
              <w:rPr>
                <w:rFonts w:hint="eastAsia" w:ascii="仿宋" w:hAnsi="仿宋" w:eastAsia="仿宋" w:cs="仿宋"/>
                <w:color w:val="auto"/>
                <w:kern w:val="0"/>
                <w:sz w:val="24"/>
                <w:highlight w:val="none"/>
              </w:rPr>
            </w:pPr>
          </w:p>
        </w:tc>
        <w:tc>
          <w:tcPr>
            <w:tcW w:w="2836" w:type="dxa"/>
            <w:vMerge w:val="continue"/>
            <w:vAlign w:val="center"/>
          </w:tcPr>
          <w:p w14:paraId="545C687E">
            <w:pPr>
              <w:widowControl/>
              <w:jc w:val="left"/>
              <w:rPr>
                <w:rFonts w:hint="eastAsia" w:ascii="仿宋" w:hAnsi="仿宋" w:eastAsia="仿宋" w:cs="仿宋"/>
                <w:color w:val="auto"/>
                <w:kern w:val="0"/>
                <w:sz w:val="24"/>
                <w:highlight w:val="none"/>
              </w:rPr>
            </w:pPr>
          </w:p>
        </w:tc>
        <w:tc>
          <w:tcPr>
            <w:tcW w:w="606" w:type="dxa"/>
            <w:vAlign w:val="center"/>
          </w:tcPr>
          <w:p w14:paraId="29F04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2AF38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1D7E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17E263">
            <w:pPr>
              <w:widowControl/>
              <w:jc w:val="left"/>
              <w:rPr>
                <w:rFonts w:hint="eastAsia" w:ascii="仿宋" w:hAnsi="仿宋" w:eastAsia="仿宋" w:cs="仿宋"/>
                <w:color w:val="auto"/>
                <w:kern w:val="0"/>
                <w:sz w:val="24"/>
                <w:highlight w:val="none"/>
              </w:rPr>
            </w:pPr>
          </w:p>
        </w:tc>
        <w:tc>
          <w:tcPr>
            <w:tcW w:w="1025" w:type="dxa"/>
            <w:vMerge w:val="restart"/>
            <w:vAlign w:val="center"/>
          </w:tcPr>
          <w:p w14:paraId="4764DD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5CFC7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ADB38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1FD07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1364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0F4EEA">
            <w:pPr>
              <w:widowControl/>
              <w:jc w:val="left"/>
              <w:rPr>
                <w:rFonts w:hint="eastAsia" w:ascii="仿宋" w:hAnsi="仿宋" w:eastAsia="仿宋" w:cs="仿宋"/>
                <w:color w:val="auto"/>
                <w:kern w:val="0"/>
                <w:sz w:val="24"/>
                <w:highlight w:val="none"/>
              </w:rPr>
            </w:pPr>
          </w:p>
        </w:tc>
        <w:tc>
          <w:tcPr>
            <w:tcW w:w="1025" w:type="dxa"/>
            <w:vMerge w:val="continue"/>
            <w:vAlign w:val="center"/>
          </w:tcPr>
          <w:p w14:paraId="16BE74B4">
            <w:pPr>
              <w:widowControl/>
              <w:jc w:val="left"/>
              <w:rPr>
                <w:rFonts w:hint="eastAsia" w:ascii="仿宋" w:hAnsi="仿宋" w:eastAsia="仿宋" w:cs="仿宋"/>
                <w:color w:val="auto"/>
                <w:kern w:val="0"/>
                <w:sz w:val="24"/>
                <w:highlight w:val="none"/>
              </w:rPr>
            </w:pPr>
          </w:p>
        </w:tc>
        <w:tc>
          <w:tcPr>
            <w:tcW w:w="2836" w:type="dxa"/>
            <w:vMerge w:val="continue"/>
            <w:vAlign w:val="center"/>
          </w:tcPr>
          <w:p w14:paraId="71E1DECA">
            <w:pPr>
              <w:widowControl/>
              <w:jc w:val="left"/>
              <w:rPr>
                <w:rFonts w:hint="eastAsia" w:ascii="仿宋" w:hAnsi="仿宋" w:eastAsia="仿宋" w:cs="仿宋"/>
                <w:color w:val="auto"/>
                <w:kern w:val="0"/>
                <w:sz w:val="24"/>
                <w:highlight w:val="none"/>
              </w:rPr>
            </w:pPr>
          </w:p>
        </w:tc>
        <w:tc>
          <w:tcPr>
            <w:tcW w:w="606" w:type="dxa"/>
            <w:vAlign w:val="center"/>
          </w:tcPr>
          <w:p w14:paraId="488D39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555DC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9C6F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096734">
            <w:pPr>
              <w:widowControl/>
              <w:jc w:val="left"/>
              <w:rPr>
                <w:rFonts w:hint="eastAsia" w:ascii="仿宋" w:hAnsi="仿宋" w:eastAsia="仿宋" w:cs="仿宋"/>
                <w:color w:val="auto"/>
                <w:kern w:val="0"/>
                <w:sz w:val="24"/>
                <w:highlight w:val="none"/>
              </w:rPr>
            </w:pPr>
          </w:p>
        </w:tc>
        <w:tc>
          <w:tcPr>
            <w:tcW w:w="1025" w:type="dxa"/>
            <w:vMerge w:val="continue"/>
            <w:vAlign w:val="center"/>
          </w:tcPr>
          <w:p w14:paraId="0375B031">
            <w:pPr>
              <w:widowControl/>
              <w:jc w:val="left"/>
              <w:rPr>
                <w:rFonts w:hint="eastAsia" w:ascii="仿宋" w:hAnsi="仿宋" w:eastAsia="仿宋" w:cs="仿宋"/>
                <w:color w:val="auto"/>
                <w:kern w:val="0"/>
                <w:sz w:val="24"/>
                <w:highlight w:val="none"/>
              </w:rPr>
            </w:pPr>
          </w:p>
        </w:tc>
        <w:tc>
          <w:tcPr>
            <w:tcW w:w="2836" w:type="dxa"/>
            <w:vMerge w:val="continue"/>
            <w:vAlign w:val="center"/>
          </w:tcPr>
          <w:p w14:paraId="59D2752A">
            <w:pPr>
              <w:widowControl/>
              <w:jc w:val="left"/>
              <w:rPr>
                <w:rFonts w:hint="eastAsia" w:ascii="仿宋" w:hAnsi="仿宋" w:eastAsia="仿宋" w:cs="仿宋"/>
                <w:color w:val="auto"/>
                <w:kern w:val="0"/>
                <w:sz w:val="24"/>
                <w:highlight w:val="none"/>
              </w:rPr>
            </w:pPr>
          </w:p>
        </w:tc>
        <w:tc>
          <w:tcPr>
            <w:tcW w:w="606" w:type="dxa"/>
            <w:vAlign w:val="center"/>
          </w:tcPr>
          <w:p w14:paraId="627D15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6A790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2AE9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95CC1B">
            <w:pPr>
              <w:widowControl/>
              <w:jc w:val="left"/>
              <w:rPr>
                <w:rFonts w:hint="eastAsia" w:ascii="仿宋" w:hAnsi="仿宋" w:eastAsia="仿宋" w:cs="仿宋"/>
                <w:color w:val="auto"/>
                <w:kern w:val="0"/>
                <w:sz w:val="24"/>
                <w:highlight w:val="none"/>
              </w:rPr>
            </w:pPr>
          </w:p>
        </w:tc>
        <w:tc>
          <w:tcPr>
            <w:tcW w:w="1025" w:type="dxa"/>
            <w:vMerge w:val="continue"/>
            <w:vAlign w:val="center"/>
          </w:tcPr>
          <w:p w14:paraId="31A3CDEF">
            <w:pPr>
              <w:widowControl/>
              <w:jc w:val="left"/>
              <w:rPr>
                <w:rFonts w:hint="eastAsia" w:ascii="仿宋" w:hAnsi="仿宋" w:eastAsia="仿宋" w:cs="仿宋"/>
                <w:color w:val="auto"/>
                <w:kern w:val="0"/>
                <w:sz w:val="24"/>
                <w:highlight w:val="none"/>
              </w:rPr>
            </w:pPr>
          </w:p>
        </w:tc>
        <w:tc>
          <w:tcPr>
            <w:tcW w:w="2836" w:type="dxa"/>
            <w:vMerge w:val="restart"/>
            <w:vAlign w:val="center"/>
          </w:tcPr>
          <w:p w14:paraId="7E121F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87BB2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BD8E8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5164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460E8C">
            <w:pPr>
              <w:widowControl/>
              <w:jc w:val="left"/>
              <w:rPr>
                <w:rFonts w:hint="eastAsia" w:ascii="仿宋" w:hAnsi="仿宋" w:eastAsia="仿宋" w:cs="仿宋"/>
                <w:color w:val="auto"/>
                <w:kern w:val="0"/>
                <w:sz w:val="24"/>
                <w:highlight w:val="none"/>
              </w:rPr>
            </w:pPr>
          </w:p>
        </w:tc>
        <w:tc>
          <w:tcPr>
            <w:tcW w:w="1025" w:type="dxa"/>
            <w:vMerge w:val="continue"/>
            <w:vAlign w:val="center"/>
          </w:tcPr>
          <w:p w14:paraId="1D906C06">
            <w:pPr>
              <w:widowControl/>
              <w:jc w:val="left"/>
              <w:rPr>
                <w:rFonts w:hint="eastAsia" w:ascii="仿宋" w:hAnsi="仿宋" w:eastAsia="仿宋" w:cs="仿宋"/>
                <w:color w:val="auto"/>
                <w:kern w:val="0"/>
                <w:sz w:val="24"/>
                <w:highlight w:val="none"/>
              </w:rPr>
            </w:pPr>
          </w:p>
        </w:tc>
        <w:tc>
          <w:tcPr>
            <w:tcW w:w="2836" w:type="dxa"/>
            <w:vMerge w:val="continue"/>
            <w:vAlign w:val="center"/>
          </w:tcPr>
          <w:p w14:paraId="0AA64F10">
            <w:pPr>
              <w:widowControl/>
              <w:jc w:val="left"/>
              <w:rPr>
                <w:rFonts w:hint="eastAsia" w:ascii="仿宋" w:hAnsi="仿宋" w:eastAsia="仿宋" w:cs="仿宋"/>
                <w:color w:val="auto"/>
                <w:kern w:val="0"/>
                <w:sz w:val="24"/>
                <w:highlight w:val="none"/>
              </w:rPr>
            </w:pPr>
          </w:p>
        </w:tc>
        <w:tc>
          <w:tcPr>
            <w:tcW w:w="606" w:type="dxa"/>
            <w:vAlign w:val="center"/>
          </w:tcPr>
          <w:p w14:paraId="09DA9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2ABA5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FCE9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B125B5">
            <w:pPr>
              <w:widowControl/>
              <w:jc w:val="left"/>
              <w:rPr>
                <w:rFonts w:hint="eastAsia" w:ascii="仿宋" w:hAnsi="仿宋" w:eastAsia="仿宋" w:cs="仿宋"/>
                <w:color w:val="auto"/>
                <w:kern w:val="0"/>
                <w:sz w:val="24"/>
                <w:highlight w:val="none"/>
              </w:rPr>
            </w:pPr>
          </w:p>
        </w:tc>
        <w:tc>
          <w:tcPr>
            <w:tcW w:w="1025" w:type="dxa"/>
            <w:vMerge w:val="continue"/>
            <w:vAlign w:val="center"/>
          </w:tcPr>
          <w:p w14:paraId="6C6DABBD">
            <w:pPr>
              <w:widowControl/>
              <w:jc w:val="left"/>
              <w:rPr>
                <w:rFonts w:hint="eastAsia" w:ascii="仿宋" w:hAnsi="仿宋" w:eastAsia="仿宋" w:cs="仿宋"/>
                <w:color w:val="auto"/>
                <w:kern w:val="0"/>
                <w:sz w:val="24"/>
                <w:highlight w:val="none"/>
              </w:rPr>
            </w:pPr>
          </w:p>
        </w:tc>
        <w:tc>
          <w:tcPr>
            <w:tcW w:w="2836" w:type="dxa"/>
            <w:vMerge w:val="continue"/>
            <w:vAlign w:val="center"/>
          </w:tcPr>
          <w:p w14:paraId="2BAFFA92">
            <w:pPr>
              <w:widowControl/>
              <w:jc w:val="left"/>
              <w:rPr>
                <w:rFonts w:hint="eastAsia" w:ascii="仿宋" w:hAnsi="仿宋" w:eastAsia="仿宋" w:cs="仿宋"/>
                <w:color w:val="auto"/>
                <w:kern w:val="0"/>
                <w:sz w:val="24"/>
                <w:highlight w:val="none"/>
              </w:rPr>
            </w:pPr>
          </w:p>
        </w:tc>
        <w:tc>
          <w:tcPr>
            <w:tcW w:w="606" w:type="dxa"/>
            <w:vAlign w:val="center"/>
          </w:tcPr>
          <w:p w14:paraId="63EC4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1B104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462D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8D1E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FE68E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168C5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5451A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351B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A2479F">
            <w:pPr>
              <w:widowControl/>
              <w:jc w:val="left"/>
              <w:rPr>
                <w:rFonts w:hint="eastAsia" w:ascii="仿宋" w:hAnsi="仿宋" w:eastAsia="仿宋" w:cs="仿宋"/>
                <w:color w:val="auto"/>
                <w:kern w:val="0"/>
                <w:sz w:val="24"/>
                <w:highlight w:val="none"/>
              </w:rPr>
            </w:pPr>
          </w:p>
        </w:tc>
        <w:tc>
          <w:tcPr>
            <w:tcW w:w="2836" w:type="dxa"/>
            <w:vMerge w:val="continue"/>
            <w:vAlign w:val="center"/>
          </w:tcPr>
          <w:p w14:paraId="586208E6">
            <w:pPr>
              <w:widowControl/>
              <w:jc w:val="left"/>
              <w:rPr>
                <w:rFonts w:hint="eastAsia" w:ascii="仿宋" w:hAnsi="仿宋" w:eastAsia="仿宋" w:cs="仿宋"/>
                <w:color w:val="auto"/>
                <w:kern w:val="0"/>
                <w:sz w:val="24"/>
                <w:highlight w:val="none"/>
              </w:rPr>
            </w:pPr>
          </w:p>
        </w:tc>
        <w:tc>
          <w:tcPr>
            <w:tcW w:w="606" w:type="dxa"/>
            <w:vAlign w:val="center"/>
          </w:tcPr>
          <w:p w14:paraId="590C44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AA360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3097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0E260FB">
            <w:pPr>
              <w:widowControl/>
              <w:jc w:val="left"/>
              <w:rPr>
                <w:rFonts w:hint="eastAsia" w:ascii="仿宋" w:hAnsi="仿宋" w:eastAsia="仿宋" w:cs="仿宋"/>
                <w:color w:val="auto"/>
                <w:kern w:val="0"/>
                <w:sz w:val="24"/>
                <w:highlight w:val="none"/>
              </w:rPr>
            </w:pPr>
          </w:p>
        </w:tc>
        <w:tc>
          <w:tcPr>
            <w:tcW w:w="2836" w:type="dxa"/>
            <w:vMerge w:val="continue"/>
            <w:vAlign w:val="center"/>
          </w:tcPr>
          <w:p w14:paraId="5DEA5EB0">
            <w:pPr>
              <w:widowControl/>
              <w:jc w:val="left"/>
              <w:rPr>
                <w:rFonts w:hint="eastAsia" w:ascii="仿宋" w:hAnsi="仿宋" w:eastAsia="仿宋" w:cs="仿宋"/>
                <w:color w:val="auto"/>
                <w:kern w:val="0"/>
                <w:sz w:val="24"/>
                <w:highlight w:val="none"/>
              </w:rPr>
            </w:pPr>
          </w:p>
        </w:tc>
        <w:tc>
          <w:tcPr>
            <w:tcW w:w="606" w:type="dxa"/>
            <w:vAlign w:val="center"/>
          </w:tcPr>
          <w:p w14:paraId="10EA58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434A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044A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44F0A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378F3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BA22A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4BDA0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342B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FD6C9C0">
            <w:pPr>
              <w:widowControl/>
              <w:jc w:val="left"/>
              <w:rPr>
                <w:rFonts w:hint="eastAsia" w:ascii="仿宋" w:hAnsi="仿宋" w:eastAsia="仿宋" w:cs="仿宋"/>
                <w:color w:val="auto"/>
                <w:kern w:val="0"/>
                <w:sz w:val="24"/>
                <w:highlight w:val="none"/>
              </w:rPr>
            </w:pPr>
          </w:p>
        </w:tc>
        <w:tc>
          <w:tcPr>
            <w:tcW w:w="2836" w:type="dxa"/>
            <w:vMerge w:val="continue"/>
            <w:vAlign w:val="center"/>
          </w:tcPr>
          <w:p w14:paraId="0FB334D6">
            <w:pPr>
              <w:widowControl/>
              <w:jc w:val="left"/>
              <w:rPr>
                <w:rFonts w:hint="eastAsia" w:ascii="仿宋" w:hAnsi="仿宋" w:eastAsia="仿宋" w:cs="仿宋"/>
                <w:color w:val="auto"/>
                <w:kern w:val="0"/>
                <w:sz w:val="24"/>
                <w:highlight w:val="none"/>
              </w:rPr>
            </w:pPr>
          </w:p>
        </w:tc>
        <w:tc>
          <w:tcPr>
            <w:tcW w:w="606" w:type="dxa"/>
            <w:vAlign w:val="center"/>
          </w:tcPr>
          <w:p w14:paraId="13DE44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524A3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99CE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885610">
            <w:pPr>
              <w:widowControl/>
              <w:jc w:val="left"/>
              <w:rPr>
                <w:rFonts w:hint="eastAsia" w:ascii="仿宋" w:hAnsi="仿宋" w:eastAsia="仿宋" w:cs="仿宋"/>
                <w:color w:val="auto"/>
                <w:kern w:val="0"/>
                <w:sz w:val="24"/>
                <w:highlight w:val="none"/>
              </w:rPr>
            </w:pPr>
          </w:p>
        </w:tc>
        <w:tc>
          <w:tcPr>
            <w:tcW w:w="2836" w:type="dxa"/>
            <w:vMerge w:val="continue"/>
            <w:vAlign w:val="center"/>
          </w:tcPr>
          <w:p w14:paraId="71156BE3">
            <w:pPr>
              <w:widowControl/>
              <w:jc w:val="left"/>
              <w:rPr>
                <w:rFonts w:hint="eastAsia" w:ascii="仿宋" w:hAnsi="仿宋" w:eastAsia="仿宋" w:cs="仿宋"/>
                <w:color w:val="auto"/>
                <w:kern w:val="0"/>
                <w:sz w:val="24"/>
                <w:highlight w:val="none"/>
              </w:rPr>
            </w:pPr>
          </w:p>
        </w:tc>
        <w:tc>
          <w:tcPr>
            <w:tcW w:w="606" w:type="dxa"/>
            <w:vAlign w:val="center"/>
          </w:tcPr>
          <w:p w14:paraId="59886B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7683B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63CA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22E80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3C867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5DD44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B6227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A04D5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3FFF1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138571">
            <w:pPr>
              <w:widowControl/>
              <w:jc w:val="left"/>
              <w:rPr>
                <w:rFonts w:hint="eastAsia" w:ascii="仿宋" w:hAnsi="仿宋" w:eastAsia="仿宋" w:cs="仿宋"/>
                <w:color w:val="auto"/>
                <w:kern w:val="0"/>
                <w:sz w:val="24"/>
                <w:highlight w:val="none"/>
              </w:rPr>
            </w:pPr>
          </w:p>
        </w:tc>
        <w:tc>
          <w:tcPr>
            <w:tcW w:w="1025" w:type="dxa"/>
            <w:vMerge w:val="continue"/>
            <w:vAlign w:val="center"/>
          </w:tcPr>
          <w:p w14:paraId="167F23B5">
            <w:pPr>
              <w:widowControl/>
              <w:jc w:val="left"/>
              <w:rPr>
                <w:rFonts w:hint="eastAsia" w:ascii="仿宋" w:hAnsi="仿宋" w:eastAsia="仿宋" w:cs="仿宋"/>
                <w:color w:val="auto"/>
                <w:kern w:val="0"/>
                <w:sz w:val="24"/>
                <w:highlight w:val="none"/>
              </w:rPr>
            </w:pPr>
          </w:p>
        </w:tc>
        <w:tc>
          <w:tcPr>
            <w:tcW w:w="2836" w:type="dxa"/>
            <w:vMerge w:val="continue"/>
            <w:vAlign w:val="center"/>
          </w:tcPr>
          <w:p w14:paraId="04064980">
            <w:pPr>
              <w:widowControl/>
              <w:jc w:val="left"/>
              <w:rPr>
                <w:rFonts w:hint="eastAsia" w:ascii="仿宋" w:hAnsi="仿宋" w:eastAsia="仿宋" w:cs="仿宋"/>
                <w:color w:val="auto"/>
                <w:kern w:val="0"/>
                <w:sz w:val="24"/>
                <w:highlight w:val="none"/>
              </w:rPr>
            </w:pPr>
          </w:p>
        </w:tc>
        <w:tc>
          <w:tcPr>
            <w:tcW w:w="606" w:type="dxa"/>
            <w:vAlign w:val="center"/>
          </w:tcPr>
          <w:p w14:paraId="689E7E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8315F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48E2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414165">
            <w:pPr>
              <w:widowControl/>
              <w:jc w:val="left"/>
              <w:rPr>
                <w:rFonts w:hint="eastAsia" w:ascii="仿宋" w:hAnsi="仿宋" w:eastAsia="仿宋" w:cs="仿宋"/>
                <w:color w:val="auto"/>
                <w:kern w:val="0"/>
                <w:sz w:val="24"/>
                <w:highlight w:val="none"/>
              </w:rPr>
            </w:pPr>
          </w:p>
        </w:tc>
        <w:tc>
          <w:tcPr>
            <w:tcW w:w="1025" w:type="dxa"/>
            <w:vMerge w:val="continue"/>
            <w:vAlign w:val="center"/>
          </w:tcPr>
          <w:p w14:paraId="3A19C618">
            <w:pPr>
              <w:widowControl/>
              <w:jc w:val="left"/>
              <w:rPr>
                <w:rFonts w:hint="eastAsia" w:ascii="仿宋" w:hAnsi="仿宋" w:eastAsia="仿宋" w:cs="仿宋"/>
                <w:color w:val="auto"/>
                <w:kern w:val="0"/>
                <w:sz w:val="24"/>
                <w:highlight w:val="none"/>
              </w:rPr>
            </w:pPr>
          </w:p>
        </w:tc>
        <w:tc>
          <w:tcPr>
            <w:tcW w:w="2836" w:type="dxa"/>
            <w:vMerge w:val="continue"/>
            <w:vAlign w:val="center"/>
          </w:tcPr>
          <w:p w14:paraId="0343D340">
            <w:pPr>
              <w:widowControl/>
              <w:jc w:val="left"/>
              <w:rPr>
                <w:rFonts w:hint="eastAsia" w:ascii="仿宋" w:hAnsi="仿宋" w:eastAsia="仿宋" w:cs="仿宋"/>
                <w:color w:val="auto"/>
                <w:kern w:val="0"/>
                <w:sz w:val="24"/>
                <w:highlight w:val="none"/>
              </w:rPr>
            </w:pPr>
          </w:p>
        </w:tc>
        <w:tc>
          <w:tcPr>
            <w:tcW w:w="606" w:type="dxa"/>
            <w:vAlign w:val="center"/>
          </w:tcPr>
          <w:p w14:paraId="2BE7AD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E74BC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CAC8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0E6FAC">
            <w:pPr>
              <w:widowControl/>
              <w:jc w:val="left"/>
              <w:rPr>
                <w:rFonts w:hint="eastAsia" w:ascii="仿宋" w:hAnsi="仿宋" w:eastAsia="仿宋" w:cs="仿宋"/>
                <w:color w:val="auto"/>
                <w:kern w:val="0"/>
                <w:sz w:val="24"/>
                <w:highlight w:val="none"/>
              </w:rPr>
            </w:pPr>
          </w:p>
        </w:tc>
        <w:tc>
          <w:tcPr>
            <w:tcW w:w="1025" w:type="dxa"/>
            <w:vMerge w:val="restart"/>
            <w:vAlign w:val="center"/>
          </w:tcPr>
          <w:p w14:paraId="6C1938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882CC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79BEF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311D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F554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F6016B">
            <w:pPr>
              <w:widowControl/>
              <w:jc w:val="left"/>
              <w:rPr>
                <w:rFonts w:hint="eastAsia" w:ascii="仿宋" w:hAnsi="仿宋" w:eastAsia="仿宋" w:cs="仿宋"/>
                <w:color w:val="auto"/>
                <w:kern w:val="0"/>
                <w:sz w:val="24"/>
                <w:highlight w:val="none"/>
              </w:rPr>
            </w:pPr>
          </w:p>
        </w:tc>
        <w:tc>
          <w:tcPr>
            <w:tcW w:w="1025" w:type="dxa"/>
            <w:vMerge w:val="continue"/>
            <w:vAlign w:val="center"/>
          </w:tcPr>
          <w:p w14:paraId="6A01F254">
            <w:pPr>
              <w:widowControl/>
              <w:jc w:val="left"/>
              <w:rPr>
                <w:rFonts w:hint="eastAsia" w:ascii="仿宋" w:hAnsi="仿宋" w:eastAsia="仿宋" w:cs="仿宋"/>
                <w:color w:val="auto"/>
                <w:kern w:val="0"/>
                <w:sz w:val="24"/>
                <w:highlight w:val="none"/>
              </w:rPr>
            </w:pPr>
          </w:p>
        </w:tc>
        <w:tc>
          <w:tcPr>
            <w:tcW w:w="2836" w:type="dxa"/>
            <w:vMerge w:val="continue"/>
            <w:vAlign w:val="center"/>
          </w:tcPr>
          <w:p w14:paraId="3AF19E3F">
            <w:pPr>
              <w:widowControl/>
              <w:jc w:val="left"/>
              <w:rPr>
                <w:rFonts w:hint="eastAsia" w:ascii="仿宋" w:hAnsi="仿宋" w:eastAsia="仿宋" w:cs="仿宋"/>
                <w:color w:val="auto"/>
                <w:kern w:val="0"/>
                <w:sz w:val="24"/>
                <w:highlight w:val="none"/>
              </w:rPr>
            </w:pPr>
          </w:p>
        </w:tc>
        <w:tc>
          <w:tcPr>
            <w:tcW w:w="606" w:type="dxa"/>
            <w:vAlign w:val="center"/>
          </w:tcPr>
          <w:p w14:paraId="28CDC9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D65F1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EAAF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FBB47A">
            <w:pPr>
              <w:widowControl/>
              <w:jc w:val="left"/>
              <w:rPr>
                <w:rFonts w:hint="eastAsia" w:ascii="仿宋" w:hAnsi="仿宋" w:eastAsia="仿宋" w:cs="仿宋"/>
                <w:color w:val="auto"/>
                <w:kern w:val="0"/>
                <w:sz w:val="24"/>
                <w:highlight w:val="none"/>
              </w:rPr>
            </w:pPr>
          </w:p>
        </w:tc>
        <w:tc>
          <w:tcPr>
            <w:tcW w:w="1025" w:type="dxa"/>
            <w:vMerge w:val="continue"/>
            <w:vAlign w:val="center"/>
          </w:tcPr>
          <w:p w14:paraId="7DA084F5">
            <w:pPr>
              <w:widowControl/>
              <w:jc w:val="left"/>
              <w:rPr>
                <w:rFonts w:hint="eastAsia" w:ascii="仿宋" w:hAnsi="仿宋" w:eastAsia="仿宋" w:cs="仿宋"/>
                <w:color w:val="auto"/>
                <w:kern w:val="0"/>
                <w:sz w:val="24"/>
                <w:highlight w:val="none"/>
              </w:rPr>
            </w:pPr>
          </w:p>
        </w:tc>
        <w:tc>
          <w:tcPr>
            <w:tcW w:w="2836" w:type="dxa"/>
            <w:vMerge w:val="continue"/>
            <w:vAlign w:val="center"/>
          </w:tcPr>
          <w:p w14:paraId="242E2461">
            <w:pPr>
              <w:widowControl/>
              <w:jc w:val="left"/>
              <w:rPr>
                <w:rFonts w:hint="eastAsia" w:ascii="仿宋" w:hAnsi="仿宋" w:eastAsia="仿宋" w:cs="仿宋"/>
                <w:color w:val="auto"/>
                <w:kern w:val="0"/>
                <w:sz w:val="24"/>
                <w:highlight w:val="none"/>
              </w:rPr>
            </w:pPr>
          </w:p>
        </w:tc>
        <w:tc>
          <w:tcPr>
            <w:tcW w:w="606" w:type="dxa"/>
            <w:vAlign w:val="center"/>
          </w:tcPr>
          <w:p w14:paraId="2B6909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FAA7B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208B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E1E877">
            <w:pPr>
              <w:widowControl/>
              <w:jc w:val="left"/>
              <w:rPr>
                <w:rFonts w:hint="eastAsia" w:ascii="仿宋" w:hAnsi="仿宋" w:eastAsia="仿宋" w:cs="仿宋"/>
                <w:color w:val="auto"/>
                <w:kern w:val="0"/>
                <w:sz w:val="24"/>
                <w:highlight w:val="none"/>
              </w:rPr>
            </w:pPr>
          </w:p>
        </w:tc>
        <w:tc>
          <w:tcPr>
            <w:tcW w:w="1025" w:type="dxa"/>
            <w:vMerge w:val="restart"/>
            <w:vAlign w:val="center"/>
          </w:tcPr>
          <w:p w14:paraId="2C1FA6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9D438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B0060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83900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1960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6D0496">
            <w:pPr>
              <w:widowControl/>
              <w:jc w:val="left"/>
              <w:rPr>
                <w:rFonts w:hint="eastAsia" w:ascii="仿宋" w:hAnsi="仿宋" w:eastAsia="仿宋" w:cs="仿宋"/>
                <w:color w:val="auto"/>
                <w:kern w:val="0"/>
                <w:sz w:val="24"/>
                <w:highlight w:val="none"/>
              </w:rPr>
            </w:pPr>
          </w:p>
        </w:tc>
        <w:tc>
          <w:tcPr>
            <w:tcW w:w="1025" w:type="dxa"/>
            <w:vMerge w:val="continue"/>
            <w:vAlign w:val="center"/>
          </w:tcPr>
          <w:p w14:paraId="59AF8B4B">
            <w:pPr>
              <w:widowControl/>
              <w:jc w:val="left"/>
              <w:rPr>
                <w:rFonts w:hint="eastAsia" w:ascii="仿宋" w:hAnsi="仿宋" w:eastAsia="仿宋" w:cs="仿宋"/>
                <w:color w:val="auto"/>
                <w:kern w:val="0"/>
                <w:sz w:val="24"/>
                <w:highlight w:val="none"/>
              </w:rPr>
            </w:pPr>
          </w:p>
        </w:tc>
        <w:tc>
          <w:tcPr>
            <w:tcW w:w="2836" w:type="dxa"/>
            <w:vMerge w:val="continue"/>
            <w:vAlign w:val="center"/>
          </w:tcPr>
          <w:p w14:paraId="5687CFC6">
            <w:pPr>
              <w:widowControl/>
              <w:jc w:val="left"/>
              <w:rPr>
                <w:rFonts w:hint="eastAsia" w:ascii="仿宋" w:hAnsi="仿宋" w:eastAsia="仿宋" w:cs="仿宋"/>
                <w:color w:val="auto"/>
                <w:kern w:val="0"/>
                <w:sz w:val="24"/>
                <w:highlight w:val="none"/>
              </w:rPr>
            </w:pPr>
          </w:p>
        </w:tc>
        <w:tc>
          <w:tcPr>
            <w:tcW w:w="606" w:type="dxa"/>
            <w:vAlign w:val="center"/>
          </w:tcPr>
          <w:p w14:paraId="541E05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50E10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FAB2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FAB1C0">
            <w:pPr>
              <w:widowControl/>
              <w:jc w:val="left"/>
              <w:rPr>
                <w:rFonts w:hint="eastAsia" w:ascii="仿宋" w:hAnsi="仿宋" w:eastAsia="仿宋" w:cs="仿宋"/>
                <w:color w:val="auto"/>
                <w:kern w:val="0"/>
                <w:sz w:val="24"/>
                <w:highlight w:val="none"/>
              </w:rPr>
            </w:pPr>
          </w:p>
        </w:tc>
        <w:tc>
          <w:tcPr>
            <w:tcW w:w="1025" w:type="dxa"/>
            <w:vMerge w:val="continue"/>
            <w:vAlign w:val="center"/>
          </w:tcPr>
          <w:p w14:paraId="41E71A85">
            <w:pPr>
              <w:widowControl/>
              <w:jc w:val="left"/>
              <w:rPr>
                <w:rFonts w:hint="eastAsia" w:ascii="仿宋" w:hAnsi="仿宋" w:eastAsia="仿宋" w:cs="仿宋"/>
                <w:color w:val="auto"/>
                <w:kern w:val="0"/>
                <w:sz w:val="24"/>
                <w:highlight w:val="none"/>
              </w:rPr>
            </w:pPr>
          </w:p>
        </w:tc>
        <w:tc>
          <w:tcPr>
            <w:tcW w:w="2836" w:type="dxa"/>
            <w:vMerge w:val="continue"/>
            <w:vAlign w:val="center"/>
          </w:tcPr>
          <w:p w14:paraId="5928E28E">
            <w:pPr>
              <w:widowControl/>
              <w:jc w:val="left"/>
              <w:rPr>
                <w:rFonts w:hint="eastAsia" w:ascii="仿宋" w:hAnsi="仿宋" w:eastAsia="仿宋" w:cs="仿宋"/>
                <w:color w:val="auto"/>
                <w:kern w:val="0"/>
                <w:sz w:val="24"/>
                <w:highlight w:val="none"/>
              </w:rPr>
            </w:pPr>
          </w:p>
        </w:tc>
        <w:tc>
          <w:tcPr>
            <w:tcW w:w="606" w:type="dxa"/>
            <w:vAlign w:val="center"/>
          </w:tcPr>
          <w:p w14:paraId="7BA61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D536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DEA5355">
      <w:pPr>
        <w:rPr>
          <w:rFonts w:hint="eastAsia" w:ascii="仿宋" w:hAnsi="仿宋" w:eastAsia="仿宋" w:cs="仿宋"/>
          <w:color w:val="auto"/>
          <w:sz w:val="24"/>
          <w:highlight w:val="none"/>
        </w:rPr>
      </w:pPr>
    </w:p>
    <w:p w14:paraId="3844A8B7">
      <w:pPr>
        <w:ind w:firstLine="420" w:firstLineChars="200"/>
        <w:rPr>
          <w:rFonts w:hint="eastAsia" w:ascii="仿宋" w:hAnsi="仿宋" w:eastAsia="仿宋" w:cs="仿宋"/>
          <w:color w:val="auto"/>
          <w:highlight w:val="none"/>
        </w:rPr>
      </w:pPr>
    </w:p>
    <w:p w14:paraId="79A3AAAE">
      <w:pPr>
        <w:spacing w:line="360" w:lineRule="auto"/>
        <w:ind w:right="420"/>
        <w:rPr>
          <w:rFonts w:hint="eastAsia" w:ascii="仿宋" w:hAnsi="仿宋" w:eastAsia="仿宋" w:cs="仿宋"/>
          <w:color w:val="auto"/>
          <w:highlight w:val="none"/>
        </w:rPr>
      </w:pPr>
    </w:p>
    <w:p w14:paraId="4F0C78E3">
      <w:pPr>
        <w:spacing w:line="360" w:lineRule="auto"/>
        <w:rPr>
          <w:rFonts w:ascii="宋体" w:hAnsi="宋体" w:cs="宋体"/>
          <w:bCs/>
          <w:color w:val="auto"/>
          <w:sz w:val="24"/>
          <w:highlight w:val="none"/>
        </w:rPr>
      </w:pP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016DC">
    <w:pPr>
      <w:pStyle w:val="40"/>
      <w:framePr w:wrap="around" w:vAnchor="text" w:hAnchor="margin" w:xAlign="right" w:y="1"/>
      <w:rPr>
        <w:rStyle w:val="73"/>
      </w:rPr>
    </w:pPr>
    <w:r>
      <w:fldChar w:fldCharType="begin"/>
    </w:r>
    <w:r>
      <w:rPr>
        <w:rStyle w:val="73"/>
      </w:rPr>
      <w:instrText xml:space="preserve">PAGE  </w:instrText>
    </w:r>
    <w:r>
      <w:fldChar w:fldCharType="end"/>
    </w:r>
  </w:p>
  <w:p w14:paraId="1889ADE1">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A936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CE12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16E33D2">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8EB3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87F631D">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7640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B8C309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8003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1C82BF6">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C8D7D">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8D168">
    <w:pPr>
      <w:pStyle w:val="40"/>
      <w:framePr w:wrap="around" w:vAnchor="text" w:hAnchor="margin" w:xAlign="right" w:y="1"/>
      <w:rPr>
        <w:rStyle w:val="73"/>
      </w:rPr>
    </w:pPr>
    <w:r>
      <w:fldChar w:fldCharType="begin"/>
    </w:r>
    <w:r>
      <w:rPr>
        <w:rStyle w:val="73"/>
      </w:rPr>
      <w:instrText xml:space="preserve">PAGE  </w:instrText>
    </w:r>
    <w:r>
      <w:fldChar w:fldCharType="end"/>
    </w:r>
  </w:p>
  <w:p w14:paraId="50266D57">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B7B6B">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222" w:name="_Toc91899912"/>
    <w:bookmarkStart w:id="223" w:name="_Toc36110187"/>
    <w:bookmarkStart w:id="224" w:name="_Toc164085800"/>
    <w:bookmarkStart w:id="225" w:name="_Toc131845147"/>
    <w:r>
      <w:rPr>
        <w:rFonts w:hint="eastAsia" w:ascii="仿宋_GB2312" w:eastAsia="仿宋_GB2312"/>
        <w:kern w:val="0"/>
        <w:szCs w:val="21"/>
      </w:rPr>
      <w:t xml:space="preserve"> 页</w:t>
    </w:r>
    <w:bookmarkEnd w:id="222"/>
    <w:bookmarkEnd w:id="223"/>
    <w:bookmarkEnd w:id="224"/>
    <w:bookmarkEnd w:id="225"/>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53734">
    <w:pPr>
      <w:pStyle w:val="41"/>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2BB7C">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ZJFY-20240016</w:t>
    </w:r>
    <w:r>
      <w:rPr>
        <w:rFonts w:hint="eastAsia" w:ascii="仿宋" w:hAnsi="仿宋" w:eastAsia="仿宋" w:cs="仿宋"/>
        <w:lang w:val="en-US" w:eastAsia="zh-CN"/>
      </w:rPr>
      <w:t xml:space="preserve"> </w:t>
    </w:r>
  </w:p>
  <w:p w14:paraId="77072709">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735E0">
    <w:pPr>
      <w:pStyle w:val="41"/>
      <w:jc w:val="left"/>
      <w:rPr>
        <w:rFonts w:ascii="仿宋_GB2312" w:eastAsia="仿宋_GB2312"/>
        <w:b w:val="0"/>
        <w:i/>
        <w:sz w:val="18"/>
        <w:u w:val="single"/>
        <w:lang w:val="en-US"/>
      </w:rPr>
    </w:pPr>
    <w:r>
      <w:t></w:t>
    </w: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ZJFY-20240016</w:t>
    </w:r>
  </w:p>
  <w:p w14:paraId="1AC9DCAE">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8A32A">
    <w:pPr>
      <w:pStyle w:val="41"/>
      <w:jc w:val="left"/>
      <w:rPr>
        <w:rFonts w:ascii="仿宋_GB2312" w:eastAsia="仿宋_GB2312"/>
        <w:b w:val="0"/>
        <w:i/>
        <w:sz w:val="18"/>
        <w:u w:val="single"/>
        <w:lang w:val="en-US"/>
      </w:rPr>
    </w:pPr>
    <w:r>
      <w:t></w:t>
    </w: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ZJFY-20240016</w:t>
    </w:r>
  </w:p>
  <w:p w14:paraId="7494599A">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D2FBF">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ZJFY-20240016</w:t>
    </w:r>
    <w:r>
      <w:rPr>
        <w:rFonts w:hint="eastAsia" w:ascii="仿宋" w:hAnsi="仿宋" w:eastAsia="仿宋" w:cs="仿宋"/>
      </w:rPr>
      <w:t xml:space="preserve"> </w:t>
    </w:r>
    <w:r>
      <w:rPr>
        <w:rFonts w:hint="eastAsia" w:ascii="仿宋" w:hAnsi="仿宋" w:eastAsia="仿宋" w:cs="仿宋"/>
        <w:lang w:val="en-US" w:eastAsia="zh-CN"/>
      </w:rPr>
      <w:t xml:space="preserve"> </w:t>
    </w:r>
  </w:p>
  <w:p w14:paraId="208B202A">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7917D">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ZJFY-20240016</w:t>
    </w:r>
    <w:r>
      <w:rPr>
        <w:rFonts w:hint="eastAsia" w:ascii="仿宋" w:hAnsi="仿宋" w:eastAsia="仿宋" w:cs="仿宋"/>
        <w:lang w:val="en-US" w:eastAsia="zh-CN"/>
      </w:rPr>
      <w:t xml:space="preserve"> </w:t>
    </w:r>
  </w:p>
  <w:p w14:paraId="01B5C203">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FEFF0">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ZJFY-20240016</w:t>
    </w:r>
    <w:r>
      <w:rPr>
        <w:rFonts w:hint="eastAsia" w:ascii="仿宋" w:hAnsi="仿宋" w:eastAsia="仿宋" w:cs="仿宋"/>
      </w:rPr>
      <w:t xml:space="preserve"> </w:t>
    </w:r>
    <w:r>
      <w:rPr>
        <w:rFonts w:hint="eastAsia" w:ascii="仿宋" w:hAnsi="仿宋" w:eastAsia="仿宋" w:cs="仿宋"/>
        <w:lang w:val="en-US" w:eastAsia="zh-CN"/>
      </w:rPr>
      <w:t xml:space="preserve"> </w:t>
    </w:r>
  </w:p>
  <w:p w14:paraId="0ACE2DC2">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E0315">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ZJFY-20240016</w:t>
    </w:r>
    <w:r>
      <w:rPr>
        <w:rFonts w:hint="eastAsia" w:ascii="仿宋" w:hAnsi="仿宋" w:eastAsia="仿宋" w:cs="仿宋"/>
        <w:lang w:val="en-US" w:eastAsia="zh-CN"/>
      </w:rPr>
      <w:t xml:space="preserve"> </w:t>
    </w:r>
  </w:p>
  <w:p w14:paraId="0E90970F">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CA48AC"/>
    <w:multiLevelType w:val="singleLevel"/>
    <w:tmpl w:val="E6CA48AC"/>
    <w:lvl w:ilvl="0" w:tentative="0">
      <w:start w:val="1"/>
      <w:numFmt w:val="decimal"/>
      <w:lvlText w:val="%1)"/>
      <w:lvlJc w:val="left"/>
      <w:pPr>
        <w:tabs>
          <w:tab w:val="left" w:pos="312"/>
        </w:tabs>
      </w:p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163BC25"/>
    <w:multiLevelType w:val="singleLevel"/>
    <w:tmpl w:val="0163BC25"/>
    <w:lvl w:ilvl="0" w:tentative="0">
      <w:start w:val="1"/>
      <w:numFmt w:val="decimal"/>
      <w:lvlText w:val="%1)"/>
      <w:lvlJc w:val="left"/>
      <w:pPr>
        <w:tabs>
          <w:tab w:val="left" w:pos="312"/>
        </w:tabs>
      </w:pPr>
    </w:lvl>
  </w:abstractNum>
  <w:abstractNum w:abstractNumId="4">
    <w:nsid w:val="4A70F9A3"/>
    <w:multiLevelType w:val="multilevel"/>
    <w:tmpl w:val="4A70F9A3"/>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suff w:val="nothing"/>
      <w:lvlText w:val="%1.%2.%3.%4、"/>
      <w:lvlJc w:val="left"/>
      <w:pPr>
        <w:ind w:left="0" w:leftChars="0" w:firstLine="0" w:firstLineChars="0"/>
      </w:pPr>
      <w:rPr>
        <w:rFonts w:hint="default"/>
      </w:rPr>
    </w:lvl>
    <w:lvl w:ilvl="4" w:tentative="0">
      <w:start w:val="1"/>
      <w:numFmt w:val="decimal"/>
      <w:suff w:val="nothing"/>
      <w:lvlText w:val="%1.%2.%3.%4.%5、"/>
      <w:lvlJc w:val="left"/>
      <w:pPr>
        <w:ind w:left="0" w:leftChars="0" w:firstLine="0" w:firstLineChars="0"/>
      </w:pPr>
      <w:rPr>
        <w:rFonts w:hint="default"/>
      </w:rPr>
    </w:lvl>
    <w:lvl w:ilvl="5" w:tentative="0">
      <w:start w:val="1"/>
      <w:numFmt w:val="decimal"/>
      <w:suff w:val="nothing"/>
      <w:lvlText w:val="%1.%2.%3.%4.%5.%6、"/>
      <w:lvlJc w:val="left"/>
      <w:pPr>
        <w:ind w:left="0" w:leftChars="0" w:firstLine="0" w:firstLineChars="0"/>
      </w:pPr>
      <w:rPr>
        <w:rFonts w:hint="default"/>
      </w:rPr>
    </w:lvl>
    <w:lvl w:ilvl="6" w:tentative="0">
      <w:start w:val="1"/>
      <w:numFmt w:val="decimal"/>
      <w:suff w:val="nothing"/>
      <w:lvlText w:val="%1.%2.%3.%4.%5.%6.%7、"/>
      <w:lvlJc w:val="left"/>
      <w:pPr>
        <w:ind w:left="0" w:leftChars="0" w:firstLine="0" w:firstLineChars="0"/>
      </w:pPr>
      <w:rPr>
        <w:rFonts w:hint="default"/>
      </w:rPr>
    </w:lvl>
    <w:lvl w:ilvl="7" w:tentative="0">
      <w:start w:val="1"/>
      <w:numFmt w:val="decimal"/>
      <w:suff w:val="nothing"/>
      <w:lvlText w:val="%1.%2.%3.%4.%5.%6.%7.%8、"/>
      <w:lvlJc w:val="left"/>
      <w:pPr>
        <w:ind w:left="0" w:leftChars="0" w:firstLine="0" w:firstLineChars="0"/>
      </w:pPr>
      <w:rPr>
        <w:rFonts w:hint="default"/>
      </w:rPr>
    </w:lvl>
    <w:lvl w:ilvl="8" w:tentative="0">
      <w:start w:val="1"/>
      <w:numFmt w:val="decimal"/>
      <w:suff w:val="nothing"/>
      <w:lvlText w:val="%1.%2.%3.%4.%5.%6.%7.%8.%9、"/>
      <w:lvlJc w:val="left"/>
      <w:pPr>
        <w:ind w:left="0" w:leftChars="0" w:firstLine="0" w:firstLineChars="0"/>
      </w:pPr>
      <w:rPr>
        <w:rFont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JmOGVkZmIyYWQxMDAzZjMzZDc3MzU2OTIyYjc4MjEifQ=="/>
  </w:docVars>
  <w:rsids>
    <w:rsidRoot w:val="00172A27"/>
    <w:rsid w:val="00431B3B"/>
    <w:rsid w:val="04C924C0"/>
    <w:rsid w:val="059C427E"/>
    <w:rsid w:val="06520D06"/>
    <w:rsid w:val="0B1B59E3"/>
    <w:rsid w:val="0CAE4D39"/>
    <w:rsid w:val="0F096B8F"/>
    <w:rsid w:val="0F63063F"/>
    <w:rsid w:val="103A624D"/>
    <w:rsid w:val="10B666D7"/>
    <w:rsid w:val="17044DC6"/>
    <w:rsid w:val="17116408"/>
    <w:rsid w:val="172B45E1"/>
    <w:rsid w:val="18E60774"/>
    <w:rsid w:val="1CE56FEB"/>
    <w:rsid w:val="1D2F1C3B"/>
    <w:rsid w:val="1E2542A3"/>
    <w:rsid w:val="27D50B6B"/>
    <w:rsid w:val="281F0956"/>
    <w:rsid w:val="2C5F5EB3"/>
    <w:rsid w:val="2DBE3E50"/>
    <w:rsid w:val="30CD01D9"/>
    <w:rsid w:val="31246C9C"/>
    <w:rsid w:val="337D0F55"/>
    <w:rsid w:val="35C63E49"/>
    <w:rsid w:val="374D2342"/>
    <w:rsid w:val="37E666B0"/>
    <w:rsid w:val="37E846FD"/>
    <w:rsid w:val="3CA52FDE"/>
    <w:rsid w:val="3E793C30"/>
    <w:rsid w:val="427E60E8"/>
    <w:rsid w:val="43D52E1F"/>
    <w:rsid w:val="46D63A5E"/>
    <w:rsid w:val="49547CAB"/>
    <w:rsid w:val="4B2C48CA"/>
    <w:rsid w:val="4BEC3078"/>
    <w:rsid w:val="4CB9088E"/>
    <w:rsid w:val="4D3637DE"/>
    <w:rsid w:val="4ECC71BA"/>
    <w:rsid w:val="4F4B3D85"/>
    <w:rsid w:val="4F8E7012"/>
    <w:rsid w:val="57D64409"/>
    <w:rsid w:val="5C8469C7"/>
    <w:rsid w:val="5F561B6F"/>
    <w:rsid w:val="5F57E5CA"/>
    <w:rsid w:val="608B5AEC"/>
    <w:rsid w:val="62F02058"/>
    <w:rsid w:val="66640AD5"/>
    <w:rsid w:val="669C35D3"/>
    <w:rsid w:val="69546167"/>
    <w:rsid w:val="6AFF4E74"/>
    <w:rsid w:val="6E093496"/>
    <w:rsid w:val="6E8A6EA2"/>
    <w:rsid w:val="6FC37AD4"/>
    <w:rsid w:val="70321E3A"/>
    <w:rsid w:val="734325A8"/>
    <w:rsid w:val="74A9072E"/>
    <w:rsid w:val="74E03EAC"/>
    <w:rsid w:val="753B3FA0"/>
    <w:rsid w:val="755E4A17"/>
    <w:rsid w:val="75FB438B"/>
    <w:rsid w:val="78AD1F79"/>
    <w:rsid w:val="78CF4963"/>
    <w:rsid w:val="79246FDF"/>
    <w:rsid w:val="7B292109"/>
    <w:rsid w:val="7DFF3A1B"/>
    <w:rsid w:val="7FCE9F2A"/>
    <w:rsid w:val="7FCF3D6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qFormat/>
    <w:uiPriority w:val="1"/>
  </w:style>
  <w:style w:type="table" w:default="1" w:styleId="63">
    <w:name w:val="Normal Table"/>
    <w:autoRedefine/>
    <w:qFormat/>
    <w:uiPriority w:val="99"/>
    <w:tblPr>
      <w:tblCellMar>
        <w:top w:w="0" w:type="dxa"/>
        <w:left w:w="108" w:type="dxa"/>
        <w:bottom w:w="0" w:type="dxa"/>
        <w:right w:w="108" w:type="dxa"/>
      </w:tblCellMar>
    </w:tblPr>
  </w:style>
  <w:style w:type="paragraph" w:customStyle="1" w:styleId="2">
    <w:name w:val="列出段落1"/>
    <w:basedOn w:val="1"/>
    <w:next w:val="1"/>
    <w:autoRedefine/>
    <w:qFormat/>
    <w:uiPriority w:val="0"/>
    <w:pPr>
      <w:adjustRightInd/>
      <w:spacing w:line="360" w:lineRule="auto"/>
      <w:ind w:firstLine="420" w:firstLineChars="200"/>
    </w:pPr>
    <w:rPr>
      <w:rFonts w:ascii="Calibri" w:hAnsi="Calibri"/>
      <w:sz w:val="24"/>
      <w:szCs w:val="22"/>
    </w:rPr>
  </w:style>
  <w:style w:type="paragraph" w:styleId="6">
    <w:name w:val="Normal Indent"/>
    <w:basedOn w:val="1"/>
    <w:next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4"/>
    <w:autoRedefine/>
    <w:qFormat/>
    <w:uiPriority w:val="0"/>
    <w:pPr>
      <w:shd w:val="clear" w:color="auto" w:fill="000080"/>
    </w:pPr>
  </w:style>
  <w:style w:type="paragraph" w:styleId="20">
    <w:name w:val="annotation text"/>
    <w:basedOn w:val="1"/>
    <w:link w:val="345"/>
    <w:autoRedefine/>
    <w:qFormat/>
    <w:uiPriority w:val="99"/>
    <w:pPr>
      <w:jc w:val="left"/>
    </w:pPr>
  </w:style>
  <w:style w:type="paragraph" w:styleId="21">
    <w:name w:val="Salutation"/>
    <w:basedOn w:val="1"/>
    <w:next w:val="1"/>
    <w:link w:val="299"/>
    <w:autoRedefine/>
    <w:qFormat/>
    <w:uiPriority w:val="0"/>
    <w:rPr>
      <w:rFonts w:ascii="仿宋_GB2312" w:eastAsia="仿宋_GB2312"/>
      <w:sz w:val="28"/>
      <w:szCs w:val="20"/>
    </w:rPr>
  </w:style>
  <w:style w:type="paragraph" w:styleId="22">
    <w:name w:val="Body Text 3"/>
    <w:basedOn w:val="1"/>
    <w:link w:val="331"/>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1"/>
    <w:link w:val="266"/>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3"/>
    <w:autoRedefine/>
    <w:qFormat/>
    <w:uiPriority w:val="0"/>
    <w:pPr>
      <w:ind w:left="100" w:leftChars="2500"/>
    </w:pPr>
    <w:rPr>
      <w:rFonts w:ascii="宋体"/>
      <w:sz w:val="24"/>
      <w:szCs w:val="21"/>
      <w:lang w:val="zh-CN"/>
    </w:rPr>
  </w:style>
  <w:style w:type="paragraph" w:styleId="37">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90"/>
    <w:autoRedefine/>
    <w:qFormat/>
    <w:uiPriority w:val="0"/>
    <w:rPr>
      <w:sz w:val="18"/>
      <w:szCs w:val="18"/>
    </w:rPr>
  </w:style>
  <w:style w:type="paragraph" w:styleId="40">
    <w:name w:val="footer"/>
    <w:basedOn w:val="1"/>
    <w:link w:val="384"/>
    <w:autoRedefine/>
    <w:qFormat/>
    <w:uiPriority w:val="99"/>
    <w:pPr>
      <w:tabs>
        <w:tab w:val="center" w:pos="4153"/>
        <w:tab w:val="right" w:pos="8306"/>
      </w:tabs>
      <w:snapToGrid w:val="0"/>
      <w:jc w:val="left"/>
    </w:pPr>
    <w:rPr>
      <w:sz w:val="18"/>
      <w:szCs w:val="18"/>
    </w:rPr>
  </w:style>
  <w:style w:type="paragraph" w:styleId="41">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6"/>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6"/>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3"/>
    <w:autoRedefine/>
    <w:qFormat/>
    <w:uiPriority w:val="0"/>
    <w:pPr>
      <w:spacing w:after="120" w:line="480" w:lineRule="auto"/>
    </w:pPr>
  </w:style>
  <w:style w:type="paragraph" w:styleId="57">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8"/>
    <w:autoRedefine/>
    <w:qFormat/>
    <w:uiPriority w:val="0"/>
    <w:rPr>
      <w:b/>
      <w:bCs/>
    </w:rPr>
  </w:style>
  <w:style w:type="paragraph" w:styleId="61">
    <w:name w:val="Body Text First Indent"/>
    <w:basedOn w:val="24"/>
    <w:next w:val="1"/>
    <w:link w:val="322"/>
    <w:autoRedefine/>
    <w:qFormat/>
    <w:uiPriority w:val="0"/>
    <w:pPr>
      <w:ind w:firstLine="420"/>
    </w:pPr>
    <w:rPr>
      <w:rFonts w:hAnsi="Calibri" w:cs="Times New Roman"/>
      <w:snapToGrid/>
      <w:szCs w:val="20"/>
    </w:rPr>
  </w:style>
  <w:style w:type="paragraph" w:styleId="62">
    <w:name w:val="Body Text First Indent 2"/>
    <w:basedOn w:val="25"/>
    <w:link w:val="123"/>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Default"/>
    <w:next w:val="81"/>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83">
    <w:name w:val="首行缩进"/>
    <w:basedOn w:val="1"/>
    <w:autoRedefine/>
    <w:qFormat/>
    <w:uiPriority w:val="0"/>
    <w:pPr>
      <w:spacing w:line="360" w:lineRule="auto"/>
      <w:ind w:firstLine="480" w:firstLineChars="200"/>
    </w:pPr>
    <w:rPr>
      <w:rFonts w:ascii="宋体"/>
      <w:sz w:val="24"/>
      <w:szCs w:val="20"/>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Char1"/>
    <w:link w:val="60"/>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29dca83e-cfa0-4d29-9006-28a1b752e563"/>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首行缩进 2 Char"/>
    <w:link w:val="62"/>
    <w:autoRedefine/>
    <w:qFormat/>
    <w:uiPriority w:val="0"/>
    <w:rPr>
      <w:rFonts w:ascii="宋体" w:hAnsi="宋体"/>
      <w:kern w:val="2"/>
      <w:sz w:val="21"/>
      <w:szCs w:val="24"/>
    </w:rPr>
  </w:style>
  <w:style w:type="character" w:customStyle="1" w:styleId="124">
    <w:name w:val="font11"/>
    <w:autoRedefine/>
    <w:qFormat/>
    <w:uiPriority w:val="0"/>
    <w:rPr>
      <w:rFonts w:hint="default" w:ascii="Times New Roman" w:hAnsi="Times New Roman" w:cs="Times New Roman"/>
      <w:color w:val="000000"/>
      <w:sz w:val="22"/>
      <w:szCs w:val="22"/>
      <w:u w:val="none"/>
    </w:rPr>
  </w:style>
  <w:style w:type="character" w:customStyle="1" w:styleId="125">
    <w:name w:val="表正文 Char1"/>
    <w:autoRedefine/>
    <w:qFormat/>
    <w:uiPriority w:val="0"/>
    <w:rPr>
      <w:rFonts w:ascii="宋体" w:eastAsia="宋体"/>
      <w:snapToGrid w:val="0"/>
      <w:color w:val="000000"/>
      <w:kern w:val="28"/>
      <w:sz w:val="28"/>
    </w:rPr>
  </w:style>
  <w:style w:type="character" w:customStyle="1" w:styleId="126">
    <w:name w:val="blue1"/>
    <w:basedOn w:val="70"/>
    <w:autoRedefine/>
    <w:qFormat/>
    <w:uiPriority w:val="0"/>
    <w:rPr>
      <w:rFonts w:ascii="Arial" w:hAnsi="Arial" w:eastAsia="黑体" w:cs="Arial"/>
      <w:snapToGrid w:val="0"/>
      <w:kern w:val="0"/>
      <w:szCs w:val="21"/>
    </w:rPr>
  </w:style>
  <w:style w:type="character" w:customStyle="1" w:styleId="127">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autoRedefine/>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autoRedefine/>
    <w:qFormat/>
    <w:uiPriority w:val="6"/>
    <w:rPr>
      <w:kern w:val="1"/>
      <w:sz w:val="21"/>
    </w:rPr>
  </w:style>
  <w:style w:type="character" w:customStyle="1" w:styleId="135">
    <w:name w:val="副标题 Char"/>
    <w:link w:val="47"/>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Char"/>
    <w:link w:val="9"/>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4"/>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Char"/>
    <w:link w:val="36"/>
    <w:autoRedefine/>
    <w:qFormat/>
    <w:uiPriority w:val="0"/>
    <w:rPr>
      <w:rFonts w:ascii="宋体"/>
      <w:kern w:val="2"/>
      <w:sz w:val="24"/>
      <w:szCs w:val="21"/>
      <w:lang w:val="zh-CN"/>
    </w:rPr>
  </w:style>
  <w:style w:type="character" w:customStyle="1" w:styleId="184">
    <w:name w:val="标题 9 Char"/>
    <w:link w:val="12"/>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99"/>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Char"/>
    <w:link w:val="39"/>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Char1"/>
    <w:link w:val="19"/>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0"/>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Char"/>
    <w:link w:val="30"/>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7"/>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b6bb7154-40a1-4532-be09-cdbace51fda5"/>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Char"/>
    <w:link w:val="17"/>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0"/>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Char3"/>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Char"/>
    <w:link w:val="3"/>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Char2"/>
    <w:link w:val="59"/>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Char"/>
    <w:link w:val="8"/>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Char"/>
    <w:link w:val="21"/>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Char"/>
    <w:link w:val="57"/>
    <w:autoRedefine/>
    <w:qFormat/>
    <w:uiPriority w:val="0"/>
    <w:rPr>
      <w:rFonts w:ascii="黑体" w:hAnsi="Courier New" w:eastAsia="黑体"/>
    </w:rPr>
  </w:style>
  <w:style w:type="character" w:customStyle="1" w:styleId="303">
    <w:name w:val="正文文本 2 Char1"/>
    <w:link w:val="56"/>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7"/>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Char"/>
    <w:link w:val="10"/>
    <w:autoRedefine/>
    <w:qFormat/>
    <w:uiPriority w:val="0"/>
    <w:rPr>
      <w:b/>
      <w:bCs/>
      <w:kern w:val="2"/>
      <w:sz w:val="24"/>
      <w:szCs w:val="24"/>
    </w:rPr>
  </w:style>
  <w:style w:type="character" w:customStyle="1" w:styleId="309">
    <w:name w:val="正文文本缩进 2 Char"/>
    <w:link w:val="37"/>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Char"/>
    <w:link w:val="50"/>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Char"/>
    <w:link w:val="61"/>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Char2"/>
    <w:link w:val="7"/>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Char"/>
    <w:link w:val="22"/>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Char1"/>
    <w:link w:val="20"/>
    <w:autoRedefine/>
    <w:qFormat/>
    <w:uiPriority w:val="99"/>
    <w:rPr>
      <w:kern w:val="2"/>
      <w:sz w:val="21"/>
      <w:szCs w:val="24"/>
    </w:rPr>
  </w:style>
  <w:style w:type="character" w:customStyle="1" w:styleId="346">
    <w:name w:val="签名 Char"/>
    <w:link w:val="42"/>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1"/>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Char"/>
    <w:link w:val="53"/>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Char2"/>
    <w:link w:val="40"/>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Char2"/>
    <w:link w:val="41"/>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156"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6"/>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312"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spacing w:before="0" w:after="0"/>
      <w:outlineLvl w:val="5"/>
    </w:pPr>
  </w:style>
  <w:style w:type="paragraph" w:customStyle="1" w:styleId="475">
    <w:name w:val="5级标题"/>
    <w:basedOn w:val="476"/>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1"/>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5"/>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8"/>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autoRedefine/>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0"/>
    <w:next w:val="80"/>
    <w:autoRedefine/>
    <w:qFormat/>
    <w:uiPriority w:val="0"/>
    <w:pPr>
      <w:spacing w:after="68"/>
    </w:pPr>
    <w:rPr>
      <w:rFonts w:ascii="FHLHE E+ Futura Bk" w:eastAsia="FHLHE E+ Futura Bk" w:cs="Times New Roman"/>
      <w:color w:val="auto"/>
    </w:rPr>
  </w:style>
  <w:style w:type="paragraph" w:customStyle="1" w:styleId="547">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0"/>
    <w:next w:val="80"/>
    <w:autoRedefine/>
    <w:qFormat/>
    <w:uiPriority w:val="0"/>
    <w:rPr>
      <w:rFonts w:ascii="宋体" w:eastAsia="宋体" w:cs="Times New Roman"/>
      <w:color w:val="auto"/>
    </w:rPr>
  </w:style>
  <w:style w:type="paragraph" w:customStyle="1" w:styleId="551">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156"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MM Topic 1"/>
    <w:basedOn w:val="3"/>
    <w:autoRedefine/>
    <w:qFormat/>
    <w:uiPriority w:val="0"/>
    <w:pPr>
      <w:tabs>
        <w:tab w:val="left" w:pos="840"/>
      </w:tabs>
      <w:adjustRightInd/>
      <w:ind w:left="840" w:hanging="420"/>
    </w:pPr>
  </w:style>
  <w:style w:type="paragraph" w:customStyle="1" w:styleId="626">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156"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0" w:after="0"/>
      <w:ind w:left="1680"/>
      <w:outlineLvl w:val="2"/>
    </w:pPr>
  </w:style>
  <w:style w:type="paragraph" w:customStyle="1" w:styleId="658">
    <w:name w:val="章标题"/>
    <w:next w:val="640"/>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0">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40"/>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5"/>
    <w:next w:val="640"/>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82"/>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50"/>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9"/>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2"/>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9"/>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9"/>
    <w:autoRedefine/>
    <w:qFormat/>
    <w:uiPriority w:val="0"/>
    <w:rPr>
      <w:b w:val="0"/>
      <w:sz w:val="20"/>
    </w:rPr>
  </w:style>
  <w:style w:type="paragraph" w:customStyle="1" w:styleId="892">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autoRedefine/>
    <w:qFormat/>
    <w:uiPriority w:val="0"/>
    <w:pPr>
      <w:tabs>
        <w:tab w:val="left" w:pos="1080"/>
      </w:tabs>
      <w:ind w:left="1080" w:hanging="1080"/>
    </w:pPr>
  </w:style>
  <w:style w:type="paragraph" w:customStyle="1" w:styleId="895">
    <w:name w:val="数字标题1"/>
    <w:basedOn w:val="3"/>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4"/>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3"/>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8"/>
    <w:autoRedefine/>
    <w:qFormat/>
    <w:uiPriority w:val="0"/>
    <w:rPr>
      <w:kern w:val="2"/>
      <w:sz w:val="21"/>
      <w:szCs w:val="24"/>
      <w:lang w:val="zh-CN"/>
    </w:rPr>
  </w:style>
  <w:style w:type="character" w:customStyle="1" w:styleId="931">
    <w:name w:val="无间隔 Char"/>
    <w:link w:val="484"/>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9"/>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标准正文样式"/>
    <w:basedOn w:val="965"/>
    <w:qFormat/>
    <w:uiPriority w:val="0"/>
    <w:pPr>
      <w:ind w:firstLine="200"/>
    </w:pPr>
  </w:style>
  <w:style w:type="paragraph" w:customStyle="1" w:styleId="965">
    <w:name w:val="样式 样式 正文首行缩进 2 + 首行缩进:  2 字符 + 首行缩进:  2 字符"/>
    <w:basedOn w:val="1"/>
    <w:qFormat/>
    <w:uiPriority w:val="0"/>
    <w:rPr>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114</Pages>
  <Words>19385</Words>
  <Characters>20675</Characters>
  <Paragraphs>1943</Paragraphs>
  <TotalTime>1</TotalTime>
  <ScaleCrop>false</ScaleCrop>
  <LinksUpToDate>false</LinksUpToDate>
  <CharactersWithSpaces>22262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2021-12-28T19:06:00Z</cp:lastPrinted>
  <dcterms:modified xsi:type="dcterms:W3CDTF">2024-11-21T08:57:35Z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83C20EF060F344128132414FF4375267_13</vt:lpwstr>
  </property>
</Properties>
</file>