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2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供应商未中标情况说明</w:t>
      </w:r>
    </w:p>
    <w:p w14:paraId="29AB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FYC012412-302</w:t>
      </w:r>
    </w:p>
    <w:p w14:paraId="0FAD0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文新古荡蒋村留下区域景观照明设施养护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732"/>
        <w:gridCol w:w="5026"/>
      </w:tblGrid>
      <w:tr w14:paraId="188C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</w:tcPr>
          <w:p w14:paraId="44728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04" w:type="pct"/>
          </w:tcPr>
          <w:p w14:paraId="6B879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单位名称</w:t>
            </w:r>
          </w:p>
        </w:tc>
        <w:tc>
          <w:tcPr>
            <w:tcW w:w="2951" w:type="pct"/>
          </w:tcPr>
          <w:p w14:paraId="2CEF1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    </w:r>
          </w:p>
        </w:tc>
      </w:tr>
      <w:tr w14:paraId="6126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98FA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4" w:type="pct"/>
            <w:vAlign w:val="center"/>
          </w:tcPr>
          <w:p w14:paraId="7C3E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杭州易融建设有限公司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、浙江城北送变电建设有限公司（联合体）</w:t>
            </w:r>
          </w:p>
        </w:tc>
        <w:tc>
          <w:tcPr>
            <w:tcW w:w="2951" w:type="pct"/>
            <w:vAlign w:val="center"/>
          </w:tcPr>
          <w:p w14:paraId="5015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综合得分排名第2，具体见技术商务资信评分明细。</w:t>
            </w:r>
          </w:p>
        </w:tc>
      </w:tr>
      <w:tr w14:paraId="00F3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7867D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4" w:type="pct"/>
            <w:vAlign w:val="center"/>
          </w:tcPr>
          <w:p w14:paraId="0FFC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浙江大胜科技工程有限公司</w:t>
            </w:r>
          </w:p>
        </w:tc>
        <w:tc>
          <w:tcPr>
            <w:tcW w:w="2951" w:type="pct"/>
            <w:vAlign w:val="center"/>
          </w:tcPr>
          <w:p w14:paraId="47AC2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6DF8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03DCF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04" w:type="pct"/>
            <w:vAlign w:val="center"/>
          </w:tcPr>
          <w:p w14:paraId="74DE2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浙江中元照明股份有限公司</w:t>
            </w:r>
          </w:p>
        </w:tc>
        <w:tc>
          <w:tcPr>
            <w:tcW w:w="2951" w:type="pct"/>
            <w:vAlign w:val="center"/>
          </w:tcPr>
          <w:p w14:paraId="517B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03BA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CD97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4" w:type="pct"/>
            <w:vAlign w:val="center"/>
          </w:tcPr>
          <w:p w14:paraId="4A367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浙江银龙机电工程有限公司</w:t>
            </w:r>
          </w:p>
        </w:tc>
        <w:tc>
          <w:tcPr>
            <w:tcW w:w="2951" w:type="pct"/>
            <w:vAlign w:val="center"/>
          </w:tcPr>
          <w:p w14:paraId="7F4FA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153A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6B5E3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04" w:type="pct"/>
            <w:vAlign w:val="center"/>
          </w:tcPr>
          <w:p w14:paraId="5589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浙江宏泰景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观有限公司</w:t>
            </w:r>
          </w:p>
        </w:tc>
        <w:tc>
          <w:tcPr>
            <w:tcW w:w="2951" w:type="pct"/>
            <w:vAlign w:val="center"/>
          </w:tcPr>
          <w:p w14:paraId="40B25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</w:tbl>
    <w:p w14:paraId="6FC3E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E2"/>
    <w:rsid w:val="002D7097"/>
    <w:rsid w:val="00507446"/>
    <w:rsid w:val="00A3330A"/>
    <w:rsid w:val="00B3445D"/>
    <w:rsid w:val="00BB4DE2"/>
    <w:rsid w:val="00C90B6B"/>
    <w:rsid w:val="38592D71"/>
    <w:rsid w:val="4C182292"/>
    <w:rsid w:val="6C1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313</Characters>
  <Lines>1</Lines>
  <Paragraphs>1</Paragraphs>
  <TotalTime>1</TotalTime>
  <ScaleCrop>false</ScaleCrop>
  <LinksUpToDate>false</LinksUpToDate>
  <CharactersWithSpaces>313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既然青春留不住</cp:lastModifiedBy>
  <dcterms:modified xsi:type="dcterms:W3CDTF">2025-02-08T04:42:57Z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eyJoZGlkIjoiZTU0NGQ1NDVlZjM5YmY0NmVmMjEzYTc4YWVkYTQ0MGEiLCJ1c2VySWQiOiIxMzM5NTc0NDYwIn0=</vt:lpwstr>
  </property>
  <property fmtid="{D5CDD505-2E9C-101B-9397-08002B2CF9AE}" pid="3" name="KSOProductBuildVer">
    <vt:lpwstr>2052-12.1.0.19770</vt:lpwstr>
  </property>
  <property fmtid="{D5CDD505-2E9C-101B-9397-08002B2CF9AE}" pid="4" name="ICV">
    <vt:lpwstr>76B31825009F4F599DC997247131100B_12</vt:lpwstr>
  </property>
</Properties>
</file>