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4BA5DC">
      <w:pPr>
        <w:pStyle w:val="2"/>
        <w:snapToGrid w:val="0"/>
        <w:spacing w:line="300" w:lineRule="auto"/>
        <w:jc w:val="center"/>
        <w:rPr>
          <w:rFonts w:hint="eastAsia"/>
          <w:b/>
          <w:sz w:val="28"/>
          <w:szCs w:val="28"/>
        </w:rPr>
      </w:pPr>
      <w:r>
        <w:rPr>
          <w:rFonts w:hint="eastAsia"/>
          <w:b/>
          <w:sz w:val="28"/>
          <w:szCs w:val="28"/>
          <w:lang w:val="en-US" w:eastAsia="zh-CN"/>
        </w:rPr>
        <w:t>清单编制</w:t>
      </w:r>
      <w:r>
        <w:rPr>
          <w:rFonts w:hint="eastAsia"/>
          <w:b/>
          <w:sz w:val="28"/>
          <w:szCs w:val="28"/>
        </w:rPr>
        <w:t>说明</w:t>
      </w:r>
    </w:p>
    <w:p w14:paraId="2CA82716">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b/>
          <w:szCs w:val="21"/>
        </w:rPr>
      </w:pPr>
      <w:r>
        <w:rPr>
          <w:rFonts w:hint="eastAsia" w:ascii="宋体" w:hAnsi="宋体"/>
          <w:b/>
          <w:szCs w:val="21"/>
        </w:rPr>
        <w:t>一、工程概况：</w:t>
      </w:r>
    </w:p>
    <w:p w14:paraId="1D6C6228">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浦沿排灌站东侧抛石加固及海塘挡浪墙栏杆重新油漆项目位于滨江区海塘浦沿至萧山船闸（K19+452～K31+000），起讫位置为华家排灌站下游～ 萧山船闸上游端，总长 11.548km，海塘工程为 1 级建筑物，按百年一遇洪 （潮）水位加百年一遇风浪及安全超高确定塘顶高程，塘脚防冲工程按百年一遇洪水及涌潮进行设计。</w:t>
      </w:r>
    </w:p>
    <w:p w14:paraId="3A7E6464">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olor w:val="auto"/>
          <w:szCs w:val="21"/>
          <w:highlight w:val="none"/>
        </w:rPr>
      </w:pPr>
      <w:r>
        <w:rPr>
          <w:rFonts w:hint="eastAsia" w:ascii="宋体" w:hAnsi="宋体"/>
          <w:b/>
          <w:color w:val="auto"/>
          <w:szCs w:val="21"/>
          <w:highlight w:val="none"/>
        </w:rPr>
        <w:t>二、编制范围：</w:t>
      </w:r>
    </w:p>
    <w:p w14:paraId="1F6370C0">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color w:val="auto"/>
          <w:szCs w:val="21"/>
          <w:highlight w:val="none"/>
        </w:rPr>
      </w:pPr>
      <w:r>
        <w:rPr>
          <w:rFonts w:hint="eastAsia" w:ascii="宋体" w:hAnsi="宋体" w:eastAsia="宋体" w:cs="宋体"/>
          <w:b w:val="0"/>
          <w:bCs/>
          <w:kern w:val="0"/>
          <w:szCs w:val="21"/>
          <w:highlight w:val="none"/>
          <w:lang w:eastAsia="zh-CN"/>
        </w:rPr>
        <w:t>招标图纸范围内</w:t>
      </w:r>
      <w:r>
        <w:rPr>
          <w:rFonts w:hint="eastAsia" w:ascii="宋体" w:hAnsi="宋体" w:cs="宋体"/>
          <w:b w:val="0"/>
          <w:bCs/>
          <w:kern w:val="0"/>
          <w:szCs w:val="21"/>
          <w:highlight w:val="none"/>
          <w:lang w:val="en-US" w:eastAsia="zh-CN"/>
        </w:rPr>
        <w:t>为</w:t>
      </w:r>
      <w:r>
        <w:rPr>
          <w:rFonts w:hint="eastAsia" w:ascii="宋体" w:hAnsi="宋体" w:eastAsia="宋体" w:cs="宋体"/>
          <w:color w:val="auto"/>
          <w:kern w:val="2"/>
          <w:sz w:val="21"/>
          <w:szCs w:val="21"/>
          <w:highlight w:val="none"/>
          <w:lang w:val="en-US" w:eastAsia="zh-CN" w:bidi="ar-SA"/>
        </w:rPr>
        <w:t>浦沿排灌站东侧抛石加固及海塘挡浪墙栏杆重新油漆</w:t>
      </w:r>
      <w:r>
        <w:rPr>
          <w:rFonts w:hint="eastAsia" w:ascii="宋体" w:hAnsi="宋体" w:eastAsia="宋体" w:cs="宋体"/>
          <w:b w:val="0"/>
          <w:bCs/>
          <w:kern w:val="0"/>
          <w:szCs w:val="21"/>
          <w:highlight w:val="none"/>
          <w:lang w:val="en-US" w:eastAsia="zh-CN"/>
        </w:rPr>
        <w:t>具体详见施工图纸</w:t>
      </w:r>
      <w:r>
        <w:rPr>
          <w:rFonts w:hint="eastAsia" w:ascii="宋体" w:hAnsi="宋体" w:eastAsia="宋体" w:cs="宋体"/>
          <w:b w:val="0"/>
          <w:bCs/>
          <w:kern w:val="0"/>
          <w:szCs w:val="21"/>
          <w:highlight w:val="none"/>
          <w:lang w:eastAsia="zh-CN"/>
        </w:rPr>
        <w:t>具体详见清单。</w:t>
      </w:r>
    </w:p>
    <w:p w14:paraId="4C16F986">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b/>
          <w:color w:val="auto"/>
          <w:szCs w:val="21"/>
          <w:highlight w:val="none"/>
        </w:rPr>
      </w:pPr>
      <w:r>
        <w:rPr>
          <w:rFonts w:hint="eastAsia" w:ascii="宋体" w:hAnsi="宋体"/>
          <w:b/>
          <w:color w:val="auto"/>
          <w:szCs w:val="21"/>
          <w:highlight w:val="none"/>
        </w:rPr>
        <w:t>三、编制依据：</w:t>
      </w:r>
    </w:p>
    <w:p w14:paraId="62EE42AB">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szCs w:val="21"/>
          <w:highlight w:val="none"/>
          <w:lang w:val="en-US" w:eastAsia="zh-CN"/>
        </w:rPr>
        <w:t>1、招标人提供由</w:t>
      </w:r>
      <w:r>
        <w:rPr>
          <w:rFonts w:hint="eastAsia" w:ascii="宋体" w:hAnsi="宋体" w:cs="Times New Roman"/>
          <w:color w:val="auto"/>
          <w:szCs w:val="21"/>
          <w:highlight w:val="none"/>
          <w:lang w:val="en-US" w:eastAsia="zh-CN"/>
        </w:rPr>
        <w:t>浙江省钱塘江管理局勘测设计院有限公司</w:t>
      </w:r>
      <w:r>
        <w:rPr>
          <w:rFonts w:hint="eastAsia" w:ascii="宋体" w:hAnsi="宋体" w:eastAsia="宋体" w:cs="Times New Roman"/>
          <w:color w:val="auto"/>
          <w:szCs w:val="21"/>
          <w:highlight w:val="none"/>
          <w:lang w:val="en-US" w:eastAsia="zh-CN"/>
        </w:rPr>
        <w:t>设计的《浦沿排灌站东侧抛石加固及海塘挡浪墙护栏重新油漆项目 》</w:t>
      </w:r>
      <w:r>
        <w:rPr>
          <w:rFonts w:hint="eastAsia" w:ascii="宋体" w:hAnsi="宋体" w:cs="Times New Roman"/>
          <w:color w:val="auto"/>
          <w:szCs w:val="21"/>
          <w:highlight w:val="none"/>
          <w:lang w:val="en-US" w:eastAsia="zh-CN"/>
        </w:rPr>
        <w:t>图纸</w:t>
      </w:r>
      <w:r>
        <w:rPr>
          <w:rFonts w:hint="eastAsia" w:ascii="宋体" w:hAnsi="宋体"/>
          <w:color w:val="auto"/>
          <w:szCs w:val="21"/>
          <w:highlight w:val="none"/>
          <w:lang w:eastAsia="zh-CN"/>
        </w:rPr>
        <w:t>。</w:t>
      </w:r>
    </w:p>
    <w:p w14:paraId="3551D131">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2、《建设工程工程量清单计价规范》（GB50500-2013）、《浙江省建设工程工程量清单计价指引》、《浙江省建设工程工程量清单计价实用手册》等。</w:t>
      </w:r>
    </w:p>
    <w:p w14:paraId="54201DEB">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highlight w:val="none"/>
        </w:rPr>
      </w:pPr>
      <w:r>
        <w:rPr>
          <w:rFonts w:hint="eastAsia" w:ascii="宋体" w:hAnsi="宋体"/>
          <w:szCs w:val="21"/>
          <w:highlight w:val="none"/>
        </w:rPr>
        <w:t>3、招标人提供的资料。</w:t>
      </w:r>
    </w:p>
    <w:p w14:paraId="688A33A9">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highlight w:val="none"/>
        </w:rPr>
      </w:pPr>
      <w:r>
        <w:rPr>
          <w:rFonts w:hint="eastAsia" w:ascii="宋体" w:hAnsi="宋体"/>
          <w:szCs w:val="21"/>
          <w:highlight w:val="none"/>
        </w:rPr>
        <w:t>4、相关图集、文件、解释等。</w:t>
      </w:r>
    </w:p>
    <w:p w14:paraId="2A35812F">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highlight w:val="none"/>
        </w:rPr>
      </w:pPr>
      <w:r>
        <w:rPr>
          <w:rFonts w:hint="eastAsia" w:ascii="宋体" w:hAnsi="宋体"/>
          <w:szCs w:val="21"/>
          <w:highlight w:val="none"/>
          <w:lang w:val="en-US" w:eastAsia="zh-CN"/>
        </w:rPr>
        <w:t>5</w:t>
      </w:r>
      <w:r>
        <w:rPr>
          <w:rFonts w:hint="eastAsia" w:ascii="宋体" w:hAnsi="宋体"/>
          <w:szCs w:val="21"/>
          <w:highlight w:val="none"/>
        </w:rPr>
        <w:t>、《建设工程工程量清单计价规范》（GB50500-2013）工程量清单计价办法及浙江省有关补充规定、《浙江省建设工程工程量清单计价指引》。</w:t>
      </w:r>
    </w:p>
    <w:p w14:paraId="4F838426">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highlight w:val="none"/>
        </w:rPr>
      </w:pPr>
      <w:r>
        <w:rPr>
          <w:rFonts w:hint="eastAsia" w:ascii="宋体" w:hAnsi="宋体"/>
          <w:szCs w:val="21"/>
          <w:highlight w:val="none"/>
          <w:lang w:val="en-US" w:eastAsia="zh-CN"/>
        </w:rPr>
        <w:t>6</w:t>
      </w:r>
      <w:r>
        <w:rPr>
          <w:rFonts w:hint="eastAsia" w:ascii="宋体" w:hAnsi="宋体"/>
          <w:szCs w:val="21"/>
          <w:highlight w:val="none"/>
        </w:rPr>
        <w:t>、《</w:t>
      </w:r>
      <w:r>
        <w:rPr>
          <w:rFonts w:ascii="宋体" w:hAnsi="宋体"/>
          <w:szCs w:val="21"/>
          <w:highlight w:val="none"/>
        </w:rPr>
        <w:t>浙江省</w:t>
      </w:r>
      <w:r>
        <w:rPr>
          <w:rFonts w:hint="eastAsia" w:ascii="宋体" w:hAnsi="宋体"/>
          <w:szCs w:val="21"/>
          <w:highlight w:val="none"/>
        </w:rPr>
        <w:t>建设</w:t>
      </w:r>
      <w:r>
        <w:rPr>
          <w:rFonts w:ascii="宋体" w:hAnsi="宋体"/>
          <w:szCs w:val="21"/>
          <w:highlight w:val="none"/>
        </w:rPr>
        <w:t>工程预算定额（20</w:t>
      </w:r>
      <w:r>
        <w:rPr>
          <w:rFonts w:hint="eastAsia" w:ascii="宋体" w:hAnsi="宋体"/>
          <w:szCs w:val="21"/>
          <w:highlight w:val="none"/>
        </w:rPr>
        <w:t>1</w:t>
      </w:r>
      <w:r>
        <w:rPr>
          <w:rFonts w:hint="eastAsia" w:ascii="宋体" w:hAnsi="宋体"/>
          <w:szCs w:val="21"/>
          <w:highlight w:val="none"/>
          <w:lang w:val="en-US" w:eastAsia="zh-CN"/>
        </w:rPr>
        <w:t>8</w:t>
      </w:r>
      <w:r>
        <w:rPr>
          <w:rFonts w:ascii="宋体" w:hAnsi="宋体"/>
          <w:szCs w:val="21"/>
          <w:highlight w:val="none"/>
        </w:rPr>
        <w:t>版）</w:t>
      </w:r>
      <w:r>
        <w:rPr>
          <w:rFonts w:hint="eastAsia" w:ascii="宋体" w:hAnsi="宋体"/>
          <w:szCs w:val="21"/>
          <w:highlight w:val="none"/>
        </w:rPr>
        <w:t>》、《浙江省安装工程预算定额（</w:t>
      </w:r>
      <w:r>
        <w:rPr>
          <w:rFonts w:ascii="宋体" w:hAnsi="宋体"/>
          <w:szCs w:val="21"/>
          <w:highlight w:val="none"/>
        </w:rPr>
        <w:t>20</w:t>
      </w:r>
      <w:r>
        <w:rPr>
          <w:rFonts w:hint="eastAsia" w:ascii="宋体" w:hAnsi="宋体"/>
          <w:szCs w:val="21"/>
          <w:highlight w:val="none"/>
        </w:rPr>
        <w:t>1</w:t>
      </w:r>
      <w:r>
        <w:rPr>
          <w:rFonts w:hint="eastAsia" w:ascii="宋体" w:hAnsi="宋体"/>
          <w:szCs w:val="21"/>
          <w:highlight w:val="none"/>
          <w:lang w:val="en-US" w:eastAsia="zh-CN"/>
        </w:rPr>
        <w:t>8</w:t>
      </w:r>
      <w:r>
        <w:rPr>
          <w:rFonts w:hint="eastAsia" w:ascii="宋体" w:hAnsi="宋体"/>
          <w:szCs w:val="21"/>
          <w:highlight w:val="none"/>
        </w:rPr>
        <w:t>版）》、《</w:t>
      </w:r>
      <w:r>
        <w:rPr>
          <w:rFonts w:ascii="宋体" w:hAnsi="宋体"/>
          <w:szCs w:val="21"/>
          <w:highlight w:val="none"/>
        </w:rPr>
        <w:t>浙江省</w:t>
      </w:r>
      <w:r>
        <w:rPr>
          <w:rFonts w:hint="eastAsia" w:ascii="宋体" w:hAnsi="宋体"/>
          <w:szCs w:val="21"/>
          <w:highlight w:val="none"/>
        </w:rPr>
        <w:t>市政</w:t>
      </w:r>
      <w:r>
        <w:rPr>
          <w:rFonts w:ascii="宋体" w:hAnsi="宋体"/>
          <w:szCs w:val="21"/>
          <w:highlight w:val="none"/>
        </w:rPr>
        <w:t>工程预算定额（20</w:t>
      </w:r>
      <w:r>
        <w:rPr>
          <w:rFonts w:hint="eastAsia" w:ascii="宋体" w:hAnsi="宋体"/>
          <w:szCs w:val="21"/>
          <w:highlight w:val="none"/>
        </w:rPr>
        <w:t>1</w:t>
      </w:r>
      <w:r>
        <w:rPr>
          <w:rFonts w:hint="eastAsia" w:ascii="宋体" w:hAnsi="宋体"/>
          <w:szCs w:val="21"/>
          <w:highlight w:val="none"/>
          <w:lang w:val="en-US" w:eastAsia="zh-CN"/>
        </w:rPr>
        <w:t>8</w:t>
      </w:r>
      <w:r>
        <w:rPr>
          <w:rFonts w:ascii="宋体" w:hAnsi="宋体"/>
          <w:szCs w:val="21"/>
          <w:highlight w:val="none"/>
        </w:rPr>
        <w:t>版）</w:t>
      </w:r>
      <w:r>
        <w:rPr>
          <w:rFonts w:hint="eastAsia" w:ascii="宋体" w:hAnsi="宋体"/>
          <w:szCs w:val="21"/>
          <w:highlight w:val="none"/>
        </w:rPr>
        <w:t>》、《</w:t>
      </w:r>
      <w:r>
        <w:rPr>
          <w:rFonts w:ascii="宋体" w:hAnsi="宋体"/>
          <w:szCs w:val="21"/>
          <w:highlight w:val="none"/>
        </w:rPr>
        <w:t>浙江省</w:t>
      </w:r>
      <w:r>
        <w:rPr>
          <w:rFonts w:hint="eastAsia" w:ascii="宋体" w:hAnsi="宋体"/>
          <w:szCs w:val="21"/>
          <w:highlight w:val="none"/>
          <w:lang w:val="en-US" w:eastAsia="zh-CN"/>
        </w:rPr>
        <w:t>园林</w:t>
      </w:r>
      <w:r>
        <w:rPr>
          <w:rFonts w:ascii="宋体" w:hAnsi="宋体"/>
          <w:szCs w:val="21"/>
          <w:highlight w:val="none"/>
        </w:rPr>
        <w:t>工程预算定额（20</w:t>
      </w:r>
      <w:r>
        <w:rPr>
          <w:rFonts w:hint="eastAsia" w:ascii="宋体" w:hAnsi="宋体"/>
          <w:szCs w:val="21"/>
          <w:highlight w:val="none"/>
        </w:rPr>
        <w:t>1</w:t>
      </w:r>
      <w:r>
        <w:rPr>
          <w:rFonts w:hint="eastAsia" w:ascii="宋体" w:hAnsi="宋体"/>
          <w:szCs w:val="21"/>
          <w:highlight w:val="none"/>
          <w:lang w:val="en-US" w:eastAsia="zh-CN"/>
        </w:rPr>
        <w:t>8</w:t>
      </w:r>
      <w:r>
        <w:rPr>
          <w:rFonts w:ascii="宋体" w:hAnsi="宋体"/>
          <w:szCs w:val="21"/>
          <w:highlight w:val="none"/>
        </w:rPr>
        <w:t>版）</w:t>
      </w:r>
      <w:r>
        <w:rPr>
          <w:rFonts w:hint="eastAsia" w:ascii="宋体" w:hAnsi="宋体"/>
          <w:szCs w:val="21"/>
          <w:highlight w:val="none"/>
        </w:rPr>
        <w:t>》、《浙江省建设工程施工取费定额（201</w:t>
      </w:r>
      <w:r>
        <w:rPr>
          <w:rFonts w:hint="eastAsia" w:ascii="宋体" w:hAnsi="宋体"/>
          <w:szCs w:val="21"/>
          <w:highlight w:val="none"/>
          <w:lang w:val="en-US" w:eastAsia="zh-CN"/>
        </w:rPr>
        <w:t>8</w:t>
      </w:r>
      <w:r>
        <w:rPr>
          <w:rFonts w:hint="eastAsia" w:ascii="宋体" w:hAnsi="宋体"/>
          <w:szCs w:val="21"/>
          <w:highlight w:val="none"/>
        </w:rPr>
        <w:t>版）》。</w:t>
      </w:r>
    </w:p>
    <w:p w14:paraId="0DF07F48">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highlight w:val="none"/>
        </w:rPr>
      </w:pPr>
      <w:r>
        <w:rPr>
          <w:rFonts w:hint="eastAsia" w:ascii="宋体" w:hAnsi="宋体"/>
          <w:szCs w:val="21"/>
          <w:highlight w:val="none"/>
          <w:lang w:val="en-US" w:eastAsia="zh-CN"/>
        </w:rPr>
        <w:t>7</w:t>
      </w:r>
      <w:r>
        <w:rPr>
          <w:rFonts w:hint="eastAsia" w:ascii="宋体" w:hAnsi="宋体"/>
          <w:szCs w:val="21"/>
          <w:highlight w:val="none"/>
        </w:rPr>
        <w:t>、相关设计图纸疑问回复、解释等。</w:t>
      </w:r>
    </w:p>
    <w:p w14:paraId="0AA58C0C">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highlight w:val="none"/>
        </w:rPr>
      </w:pPr>
      <w:r>
        <w:rPr>
          <w:rFonts w:hint="eastAsia" w:ascii="宋体" w:hAnsi="宋体"/>
          <w:szCs w:val="21"/>
          <w:highlight w:val="none"/>
          <w:lang w:val="en-US" w:eastAsia="zh-CN"/>
        </w:rPr>
        <w:t>8</w:t>
      </w:r>
      <w:r>
        <w:rPr>
          <w:rFonts w:hint="eastAsia" w:ascii="宋体" w:hAnsi="宋体"/>
          <w:szCs w:val="21"/>
          <w:highlight w:val="none"/>
        </w:rPr>
        <w:t>、浙江省、杭州市有关文件及法律法规和省造价管理总站的有关定额解释。</w:t>
      </w:r>
    </w:p>
    <w:p w14:paraId="16F0E67C">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b/>
          <w:szCs w:val="21"/>
          <w:highlight w:val="none"/>
        </w:rPr>
      </w:pPr>
      <w:r>
        <w:rPr>
          <w:rFonts w:hint="eastAsia" w:ascii="宋体" w:hAnsi="宋体"/>
          <w:b/>
          <w:szCs w:val="21"/>
          <w:highlight w:val="none"/>
        </w:rPr>
        <w:t>四、费率：</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8"/>
        <w:gridCol w:w="1584"/>
        <w:gridCol w:w="1899"/>
        <w:gridCol w:w="2979"/>
        <w:gridCol w:w="1525"/>
      </w:tblGrid>
      <w:tr w14:paraId="4EDFE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8" w:type="dxa"/>
            <w:noWrap w:val="0"/>
            <w:vAlign w:val="center"/>
          </w:tcPr>
          <w:p w14:paraId="3929454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ascii="宋体" w:hAnsi="宋体" w:cs="宋体"/>
                <w:b/>
                <w:bCs/>
                <w:kern w:val="0"/>
                <w:szCs w:val="21"/>
                <w:highlight w:val="none"/>
              </w:rPr>
            </w:pPr>
            <w:r>
              <w:rPr>
                <w:rFonts w:hint="eastAsia" w:ascii="宋体" w:hAnsi="宋体" w:cs="宋体"/>
                <w:b/>
                <w:bCs/>
                <w:kern w:val="0"/>
                <w:szCs w:val="21"/>
                <w:highlight w:val="none"/>
              </w:rPr>
              <w:t>序号</w:t>
            </w:r>
          </w:p>
        </w:tc>
        <w:tc>
          <w:tcPr>
            <w:tcW w:w="3483" w:type="dxa"/>
            <w:gridSpan w:val="2"/>
            <w:noWrap w:val="0"/>
            <w:vAlign w:val="center"/>
          </w:tcPr>
          <w:p w14:paraId="6002698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ascii="宋体" w:hAnsi="宋体" w:cs="宋体"/>
                <w:b/>
                <w:bCs/>
                <w:kern w:val="0"/>
                <w:szCs w:val="21"/>
                <w:highlight w:val="none"/>
              </w:rPr>
            </w:pPr>
            <w:r>
              <w:rPr>
                <w:rFonts w:hint="eastAsia" w:ascii="宋体" w:hAnsi="宋体" w:cs="宋体"/>
                <w:b/>
                <w:bCs/>
                <w:kern w:val="0"/>
                <w:szCs w:val="21"/>
                <w:highlight w:val="none"/>
              </w:rPr>
              <w:t>项目名称</w:t>
            </w:r>
          </w:p>
        </w:tc>
        <w:tc>
          <w:tcPr>
            <w:tcW w:w="2979" w:type="dxa"/>
            <w:noWrap w:val="0"/>
            <w:vAlign w:val="center"/>
          </w:tcPr>
          <w:p w14:paraId="2E51664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ascii="宋体" w:hAnsi="宋体" w:cs="宋体"/>
                <w:b/>
                <w:bCs/>
                <w:kern w:val="0"/>
                <w:szCs w:val="21"/>
                <w:highlight w:val="none"/>
              </w:rPr>
            </w:pPr>
            <w:r>
              <w:rPr>
                <w:rFonts w:hint="eastAsia" w:ascii="宋体" w:hAnsi="宋体" w:cs="宋体"/>
                <w:b/>
                <w:bCs/>
                <w:kern w:val="0"/>
                <w:szCs w:val="21"/>
                <w:highlight w:val="none"/>
              </w:rPr>
              <w:t>计算基数</w:t>
            </w:r>
          </w:p>
        </w:tc>
        <w:tc>
          <w:tcPr>
            <w:tcW w:w="1525" w:type="dxa"/>
            <w:noWrap w:val="0"/>
            <w:vAlign w:val="center"/>
          </w:tcPr>
          <w:p w14:paraId="353C50DD">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ascii="宋体" w:hAnsi="宋体" w:cs="宋体"/>
                <w:b/>
                <w:bCs/>
                <w:kern w:val="0"/>
                <w:szCs w:val="21"/>
                <w:highlight w:val="none"/>
              </w:rPr>
            </w:pPr>
            <w:r>
              <w:rPr>
                <w:rFonts w:hint="eastAsia" w:ascii="宋体" w:hAnsi="宋体" w:cs="宋体"/>
                <w:b/>
                <w:bCs/>
                <w:kern w:val="0"/>
                <w:szCs w:val="21"/>
                <w:highlight w:val="none"/>
              </w:rPr>
              <w:t>费率（%）</w:t>
            </w:r>
          </w:p>
        </w:tc>
      </w:tr>
      <w:tr w14:paraId="2F6DE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8" w:type="dxa"/>
            <w:vMerge w:val="restart"/>
            <w:noWrap w:val="0"/>
            <w:vAlign w:val="center"/>
          </w:tcPr>
          <w:p w14:paraId="7676966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ascii="宋体" w:hAnsi="宋体"/>
                <w:kern w:val="0"/>
                <w:szCs w:val="21"/>
                <w:highlight w:val="none"/>
              </w:rPr>
            </w:pPr>
            <w:r>
              <w:rPr>
                <w:rFonts w:ascii="宋体" w:hAnsi="宋体"/>
                <w:kern w:val="0"/>
                <w:szCs w:val="21"/>
                <w:highlight w:val="none"/>
              </w:rPr>
              <w:t>1</w:t>
            </w:r>
          </w:p>
        </w:tc>
        <w:tc>
          <w:tcPr>
            <w:tcW w:w="1584" w:type="dxa"/>
            <w:vMerge w:val="restart"/>
            <w:noWrap w:val="0"/>
            <w:vAlign w:val="center"/>
          </w:tcPr>
          <w:p w14:paraId="1FBFD45F">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措施费</w:t>
            </w:r>
          </w:p>
        </w:tc>
        <w:tc>
          <w:tcPr>
            <w:tcW w:w="1899" w:type="dxa"/>
            <w:noWrap w:val="0"/>
            <w:vAlign w:val="center"/>
          </w:tcPr>
          <w:p w14:paraId="4487B7A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0"/>
                <w:szCs w:val="21"/>
                <w:highlight w:val="none"/>
                <w:lang w:eastAsia="zh-CN"/>
              </w:rPr>
            </w:pPr>
            <w:r>
              <w:rPr>
                <w:rFonts w:hint="eastAsia" w:ascii="宋体" w:hAnsi="宋体" w:cs="宋体"/>
                <w:color w:val="auto"/>
                <w:szCs w:val="21"/>
                <w:highlight w:val="none"/>
                <w:lang w:val="en-US" w:eastAsia="zh-CN"/>
              </w:rPr>
              <w:t>土方</w:t>
            </w:r>
            <w:r>
              <w:rPr>
                <w:rFonts w:hint="eastAsia" w:ascii="宋体" w:hAnsi="宋体" w:eastAsia="宋体" w:cs="宋体"/>
                <w:color w:val="auto"/>
                <w:kern w:val="2"/>
                <w:sz w:val="21"/>
                <w:szCs w:val="21"/>
                <w:highlight w:val="none"/>
                <w:lang w:val="en-US" w:eastAsia="zh-CN" w:bidi="ar-SA"/>
              </w:rPr>
              <w:t>工程</w:t>
            </w:r>
          </w:p>
        </w:tc>
        <w:tc>
          <w:tcPr>
            <w:tcW w:w="2979" w:type="dxa"/>
            <w:noWrap w:val="0"/>
            <w:vAlign w:val="center"/>
          </w:tcPr>
          <w:p w14:paraId="61B45AB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kern w:val="0"/>
                <w:szCs w:val="21"/>
                <w:highlight w:val="none"/>
              </w:rPr>
            </w:pPr>
            <w:r>
              <w:rPr>
                <w:rFonts w:hint="eastAsia" w:ascii="宋体" w:hAnsi="宋体" w:cs="宋体"/>
                <w:kern w:val="0"/>
                <w:szCs w:val="21"/>
                <w:highlight w:val="none"/>
                <w:lang w:val="en-US" w:eastAsia="zh-CN"/>
              </w:rPr>
              <w:t>定额</w:t>
            </w:r>
            <w:r>
              <w:rPr>
                <w:rFonts w:hint="eastAsia" w:ascii="宋体" w:hAnsi="宋体" w:cs="宋体"/>
                <w:kern w:val="0"/>
                <w:szCs w:val="21"/>
                <w:highlight w:val="none"/>
              </w:rPr>
              <w:t>人工费+</w:t>
            </w:r>
            <w:r>
              <w:rPr>
                <w:rFonts w:hint="eastAsia" w:ascii="宋体" w:hAnsi="宋体" w:cs="宋体"/>
                <w:kern w:val="0"/>
                <w:szCs w:val="21"/>
                <w:highlight w:val="none"/>
                <w:lang w:val="en-US" w:eastAsia="zh-CN"/>
              </w:rPr>
              <w:t>定额</w:t>
            </w:r>
            <w:r>
              <w:rPr>
                <w:rFonts w:hint="eastAsia" w:ascii="宋体" w:hAnsi="宋体" w:cs="宋体"/>
                <w:kern w:val="0"/>
                <w:szCs w:val="21"/>
                <w:highlight w:val="none"/>
              </w:rPr>
              <w:t>机械费</w:t>
            </w:r>
          </w:p>
        </w:tc>
        <w:tc>
          <w:tcPr>
            <w:tcW w:w="1525" w:type="dxa"/>
            <w:vMerge w:val="restart"/>
            <w:noWrap w:val="0"/>
            <w:vAlign w:val="center"/>
          </w:tcPr>
          <w:p w14:paraId="0D616156">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宋体" w:hAnsi="宋体" w:eastAsia="宋体"/>
                <w:kern w:val="0"/>
                <w:szCs w:val="21"/>
                <w:highlight w:val="none"/>
                <w:lang w:val="en-US" w:eastAsia="zh-CN"/>
              </w:rPr>
            </w:pPr>
            <w:r>
              <w:rPr>
                <w:rFonts w:hint="eastAsia" w:ascii="宋体" w:hAnsi="宋体" w:eastAsia="宋体"/>
                <w:kern w:val="0"/>
                <w:szCs w:val="21"/>
                <w:highlight w:val="none"/>
                <w:lang w:val="en-US" w:eastAsia="zh-CN"/>
              </w:rPr>
              <w:t>3.5</w:t>
            </w:r>
          </w:p>
        </w:tc>
      </w:tr>
      <w:tr w14:paraId="658EE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8" w:type="dxa"/>
            <w:vMerge w:val="continue"/>
            <w:noWrap w:val="0"/>
            <w:vAlign w:val="center"/>
          </w:tcPr>
          <w:p w14:paraId="3966ACD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ascii="宋体" w:hAnsi="宋体"/>
                <w:kern w:val="0"/>
                <w:szCs w:val="21"/>
                <w:highlight w:val="none"/>
              </w:rPr>
            </w:pPr>
          </w:p>
        </w:tc>
        <w:tc>
          <w:tcPr>
            <w:tcW w:w="1584" w:type="dxa"/>
            <w:vMerge w:val="continue"/>
            <w:noWrap w:val="0"/>
            <w:vAlign w:val="center"/>
          </w:tcPr>
          <w:p w14:paraId="36337FF7">
            <w:pPr>
              <w:keepNext w:val="0"/>
              <w:keepLines w:val="0"/>
              <w:pageBreakBefore w:val="0"/>
              <w:kinsoku/>
              <w:wordWrap/>
              <w:overflowPunct/>
              <w:topLinePunct w:val="0"/>
              <w:autoSpaceDE/>
              <w:autoSpaceDN/>
              <w:bidi w:val="0"/>
              <w:adjustRightInd/>
              <w:snapToGrid/>
              <w:spacing w:line="360" w:lineRule="auto"/>
              <w:jc w:val="center"/>
              <w:textAlignment w:val="auto"/>
              <w:rPr>
                <w:rFonts w:ascii="宋体" w:hAnsi="宋体" w:cs="宋体"/>
                <w:kern w:val="0"/>
                <w:szCs w:val="21"/>
                <w:highlight w:val="none"/>
              </w:rPr>
            </w:pPr>
          </w:p>
        </w:tc>
        <w:tc>
          <w:tcPr>
            <w:tcW w:w="1899" w:type="dxa"/>
            <w:noWrap w:val="0"/>
            <w:vAlign w:val="center"/>
          </w:tcPr>
          <w:p w14:paraId="67A279D6">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kern w:val="0"/>
                <w:sz w:val="21"/>
                <w:szCs w:val="21"/>
                <w:highlight w:val="none"/>
                <w:lang w:val="en-US" w:eastAsia="zh-CN" w:bidi="ar-SA"/>
              </w:rPr>
            </w:pPr>
            <w:r>
              <w:rPr>
                <w:rFonts w:hint="eastAsia" w:ascii="宋体" w:hAnsi="宋体" w:cs="宋体"/>
                <w:color w:val="auto"/>
                <w:szCs w:val="21"/>
                <w:highlight w:val="none"/>
                <w:lang w:val="en-US" w:eastAsia="zh-CN"/>
              </w:rPr>
              <w:t>混凝土</w:t>
            </w:r>
            <w:r>
              <w:rPr>
                <w:rFonts w:hint="eastAsia" w:ascii="宋体" w:hAnsi="宋体" w:cs="宋体"/>
                <w:color w:val="auto"/>
                <w:szCs w:val="21"/>
                <w:highlight w:val="none"/>
              </w:rPr>
              <w:t>工程</w:t>
            </w:r>
          </w:p>
        </w:tc>
        <w:tc>
          <w:tcPr>
            <w:tcW w:w="2979" w:type="dxa"/>
            <w:noWrap w:val="0"/>
            <w:vAlign w:val="center"/>
          </w:tcPr>
          <w:p w14:paraId="5D087EF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kern w:val="0"/>
                <w:sz w:val="21"/>
                <w:szCs w:val="21"/>
                <w:highlight w:val="none"/>
                <w:lang w:val="en-US" w:eastAsia="zh-CN" w:bidi="ar-SA"/>
              </w:rPr>
            </w:pPr>
            <w:r>
              <w:rPr>
                <w:rFonts w:hint="eastAsia" w:ascii="宋体" w:hAnsi="宋体" w:cs="宋体"/>
                <w:kern w:val="0"/>
                <w:szCs w:val="21"/>
                <w:highlight w:val="none"/>
                <w:lang w:val="en-US" w:eastAsia="zh-CN"/>
              </w:rPr>
              <w:t>定额</w:t>
            </w:r>
            <w:r>
              <w:rPr>
                <w:rFonts w:hint="eastAsia" w:ascii="宋体" w:hAnsi="宋体" w:cs="宋体"/>
                <w:kern w:val="0"/>
                <w:szCs w:val="21"/>
                <w:highlight w:val="none"/>
              </w:rPr>
              <w:t>人工费+</w:t>
            </w:r>
            <w:r>
              <w:rPr>
                <w:rFonts w:hint="eastAsia" w:ascii="宋体" w:hAnsi="宋体" w:cs="宋体"/>
                <w:kern w:val="0"/>
                <w:szCs w:val="21"/>
                <w:highlight w:val="none"/>
                <w:lang w:val="en-US" w:eastAsia="zh-CN"/>
              </w:rPr>
              <w:t>定额</w:t>
            </w:r>
            <w:r>
              <w:rPr>
                <w:rFonts w:hint="eastAsia" w:ascii="宋体" w:hAnsi="宋体" w:cs="宋体"/>
                <w:kern w:val="0"/>
                <w:szCs w:val="21"/>
                <w:highlight w:val="none"/>
              </w:rPr>
              <w:t>机械费</w:t>
            </w:r>
          </w:p>
        </w:tc>
        <w:tc>
          <w:tcPr>
            <w:tcW w:w="1525" w:type="dxa"/>
            <w:vMerge w:val="continue"/>
            <w:noWrap w:val="0"/>
            <w:vAlign w:val="center"/>
          </w:tcPr>
          <w:p w14:paraId="375419B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宋体" w:hAnsi="宋体"/>
                <w:kern w:val="0"/>
                <w:sz w:val="21"/>
                <w:szCs w:val="21"/>
                <w:highlight w:val="none"/>
                <w:lang w:val="en-US" w:eastAsia="zh-CN" w:bidi="ar-SA"/>
              </w:rPr>
            </w:pPr>
          </w:p>
        </w:tc>
      </w:tr>
      <w:tr w14:paraId="1922A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8" w:type="dxa"/>
            <w:vMerge w:val="continue"/>
            <w:noWrap w:val="0"/>
            <w:vAlign w:val="center"/>
          </w:tcPr>
          <w:p w14:paraId="09CEADA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ascii="宋体" w:hAnsi="宋体"/>
                <w:kern w:val="0"/>
                <w:szCs w:val="21"/>
                <w:highlight w:val="none"/>
              </w:rPr>
            </w:pPr>
          </w:p>
        </w:tc>
        <w:tc>
          <w:tcPr>
            <w:tcW w:w="1584" w:type="dxa"/>
            <w:vMerge w:val="continue"/>
            <w:noWrap w:val="0"/>
            <w:vAlign w:val="center"/>
          </w:tcPr>
          <w:p w14:paraId="13A1A5F8">
            <w:pPr>
              <w:keepNext w:val="0"/>
              <w:keepLines w:val="0"/>
              <w:pageBreakBefore w:val="0"/>
              <w:kinsoku/>
              <w:wordWrap/>
              <w:overflowPunct/>
              <w:topLinePunct w:val="0"/>
              <w:autoSpaceDE/>
              <w:autoSpaceDN/>
              <w:bidi w:val="0"/>
              <w:adjustRightInd/>
              <w:snapToGrid/>
              <w:spacing w:line="360" w:lineRule="auto"/>
              <w:jc w:val="center"/>
              <w:textAlignment w:val="auto"/>
              <w:rPr>
                <w:rFonts w:ascii="宋体" w:hAnsi="宋体" w:cs="宋体"/>
                <w:kern w:val="0"/>
                <w:szCs w:val="21"/>
                <w:highlight w:val="none"/>
              </w:rPr>
            </w:pPr>
          </w:p>
        </w:tc>
        <w:tc>
          <w:tcPr>
            <w:tcW w:w="1899" w:type="dxa"/>
            <w:noWrap w:val="0"/>
            <w:vAlign w:val="center"/>
          </w:tcPr>
          <w:p w14:paraId="4E83720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水土保持防护工程</w:t>
            </w:r>
          </w:p>
        </w:tc>
        <w:tc>
          <w:tcPr>
            <w:tcW w:w="2979" w:type="dxa"/>
            <w:noWrap w:val="0"/>
            <w:vAlign w:val="center"/>
          </w:tcPr>
          <w:p w14:paraId="35E8EC10">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kern w:val="0"/>
                <w:szCs w:val="21"/>
                <w:highlight w:val="none"/>
                <w:lang w:val="en-US" w:eastAsia="zh-CN"/>
              </w:rPr>
            </w:pPr>
            <w:r>
              <w:rPr>
                <w:rFonts w:hint="eastAsia" w:ascii="宋体" w:hAnsi="宋体" w:cs="宋体"/>
                <w:kern w:val="0"/>
                <w:szCs w:val="21"/>
                <w:highlight w:val="none"/>
                <w:lang w:val="en-US" w:eastAsia="zh-CN"/>
              </w:rPr>
              <w:t>定额</w:t>
            </w:r>
            <w:r>
              <w:rPr>
                <w:rFonts w:hint="eastAsia" w:ascii="宋体" w:hAnsi="宋体" w:cs="宋体"/>
                <w:kern w:val="0"/>
                <w:szCs w:val="21"/>
                <w:highlight w:val="none"/>
              </w:rPr>
              <w:t>人工费+</w:t>
            </w:r>
            <w:r>
              <w:rPr>
                <w:rFonts w:hint="eastAsia" w:ascii="宋体" w:hAnsi="宋体" w:cs="宋体"/>
                <w:kern w:val="0"/>
                <w:szCs w:val="21"/>
                <w:highlight w:val="none"/>
                <w:lang w:val="en-US" w:eastAsia="zh-CN"/>
              </w:rPr>
              <w:t>定额</w:t>
            </w:r>
            <w:r>
              <w:rPr>
                <w:rFonts w:hint="eastAsia" w:ascii="宋体" w:hAnsi="宋体" w:cs="宋体"/>
                <w:kern w:val="0"/>
                <w:szCs w:val="21"/>
                <w:highlight w:val="none"/>
              </w:rPr>
              <w:t>机械费</w:t>
            </w:r>
          </w:p>
        </w:tc>
        <w:tc>
          <w:tcPr>
            <w:tcW w:w="1525" w:type="dxa"/>
            <w:vMerge w:val="continue"/>
            <w:noWrap w:val="0"/>
            <w:vAlign w:val="center"/>
          </w:tcPr>
          <w:p w14:paraId="33C5F0C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kern w:val="0"/>
                <w:szCs w:val="21"/>
                <w:highlight w:val="none"/>
                <w:lang w:val="en-US" w:eastAsia="zh-CN"/>
              </w:rPr>
            </w:pPr>
          </w:p>
        </w:tc>
      </w:tr>
      <w:tr w14:paraId="75BCE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8" w:type="dxa"/>
            <w:noWrap w:val="0"/>
            <w:vAlign w:val="center"/>
          </w:tcPr>
          <w:p w14:paraId="1647FF1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kern w:val="0"/>
                <w:szCs w:val="21"/>
                <w:highlight w:val="none"/>
                <w:lang w:eastAsia="zh-CN"/>
              </w:rPr>
            </w:pPr>
            <w:r>
              <w:rPr>
                <w:rFonts w:hint="eastAsia" w:ascii="宋体" w:hAnsi="宋体"/>
                <w:kern w:val="0"/>
                <w:szCs w:val="21"/>
                <w:highlight w:val="none"/>
                <w:lang w:val="en-US" w:eastAsia="zh-CN"/>
              </w:rPr>
              <w:t>2</w:t>
            </w:r>
          </w:p>
        </w:tc>
        <w:tc>
          <w:tcPr>
            <w:tcW w:w="3483" w:type="dxa"/>
            <w:gridSpan w:val="2"/>
            <w:noWrap w:val="0"/>
            <w:vAlign w:val="center"/>
          </w:tcPr>
          <w:p w14:paraId="1DC9C42D">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ascii="宋体" w:hAnsi="宋体" w:cs="宋体"/>
                <w:kern w:val="0"/>
                <w:szCs w:val="21"/>
                <w:highlight w:val="none"/>
              </w:rPr>
            </w:pPr>
            <w:r>
              <w:rPr>
                <w:rFonts w:hint="eastAsia" w:ascii="宋体" w:hAnsi="宋体" w:cs="宋体"/>
                <w:kern w:val="0"/>
                <w:szCs w:val="21"/>
                <w:highlight w:val="none"/>
              </w:rPr>
              <w:t>税        金</w:t>
            </w:r>
          </w:p>
        </w:tc>
        <w:tc>
          <w:tcPr>
            <w:tcW w:w="2979" w:type="dxa"/>
            <w:noWrap w:val="0"/>
            <w:vAlign w:val="center"/>
          </w:tcPr>
          <w:p w14:paraId="7D5585A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kern w:val="0"/>
                <w:szCs w:val="21"/>
                <w:highlight w:val="none"/>
              </w:rPr>
            </w:pPr>
            <w:r>
              <w:rPr>
                <w:rFonts w:hint="eastAsia" w:ascii="宋体" w:hAnsi="宋体" w:cs="宋体"/>
                <w:kern w:val="0"/>
                <w:szCs w:val="21"/>
                <w:highlight w:val="none"/>
              </w:rPr>
              <w:t>市区</w:t>
            </w:r>
          </w:p>
        </w:tc>
        <w:tc>
          <w:tcPr>
            <w:tcW w:w="1525" w:type="dxa"/>
            <w:noWrap w:val="0"/>
            <w:vAlign w:val="center"/>
          </w:tcPr>
          <w:p w14:paraId="7DFBFEA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kern w:val="0"/>
                <w:szCs w:val="21"/>
                <w:highlight w:val="none"/>
                <w:lang w:val="en-US" w:eastAsia="zh-CN"/>
              </w:rPr>
            </w:pPr>
            <w:r>
              <w:rPr>
                <w:rFonts w:hint="eastAsia" w:ascii="宋体" w:hAnsi="宋体"/>
                <w:kern w:val="0"/>
                <w:szCs w:val="21"/>
                <w:highlight w:val="none"/>
                <w:lang w:val="en-US" w:eastAsia="zh-CN"/>
              </w:rPr>
              <w:t>9.0</w:t>
            </w:r>
          </w:p>
        </w:tc>
      </w:tr>
      <w:tr w14:paraId="55711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8" w:type="dxa"/>
            <w:vMerge w:val="restart"/>
            <w:noWrap w:val="0"/>
            <w:vAlign w:val="center"/>
          </w:tcPr>
          <w:p w14:paraId="5F437BB2">
            <w:pPr>
              <w:keepNext w:val="0"/>
              <w:keepLines w:val="0"/>
              <w:pageBreakBefore w:val="0"/>
              <w:kinsoku/>
              <w:wordWrap/>
              <w:overflowPunct/>
              <w:topLinePunct w:val="0"/>
              <w:autoSpaceDE/>
              <w:autoSpaceDN/>
              <w:bidi w:val="0"/>
              <w:adjustRightInd/>
              <w:snapToGrid/>
              <w:spacing w:line="360" w:lineRule="auto"/>
              <w:jc w:val="center"/>
              <w:textAlignment w:val="auto"/>
              <w:rPr>
                <w:rFonts w:ascii="宋体" w:hAnsi="宋体" w:cs="宋体"/>
                <w:kern w:val="0"/>
                <w:szCs w:val="21"/>
                <w:highlight w:val="none"/>
              </w:rPr>
            </w:pPr>
          </w:p>
          <w:p w14:paraId="0216655D">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0"/>
                <w:szCs w:val="21"/>
                <w:highlight w:val="none"/>
                <w:lang w:eastAsia="zh-CN"/>
              </w:rPr>
            </w:pPr>
            <w:r>
              <w:rPr>
                <w:rFonts w:hint="eastAsia" w:ascii="宋体" w:hAnsi="宋体"/>
                <w:kern w:val="0"/>
                <w:szCs w:val="21"/>
                <w:highlight w:val="none"/>
                <w:lang w:val="en-US" w:eastAsia="zh-CN"/>
              </w:rPr>
              <w:t>3</w:t>
            </w:r>
          </w:p>
        </w:tc>
        <w:tc>
          <w:tcPr>
            <w:tcW w:w="1584" w:type="dxa"/>
            <w:vMerge w:val="restart"/>
            <w:noWrap w:val="0"/>
            <w:vAlign w:val="center"/>
          </w:tcPr>
          <w:p w14:paraId="067DCA1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0"/>
                <w:szCs w:val="21"/>
                <w:highlight w:val="none"/>
                <w:lang w:val="en-US" w:eastAsia="zh-CN"/>
              </w:rPr>
            </w:pPr>
            <w:r>
              <w:rPr>
                <w:rFonts w:hint="eastAsia" w:ascii="宋体" w:hAnsi="宋体" w:eastAsia="宋体" w:cs="宋体"/>
                <w:kern w:val="0"/>
                <w:szCs w:val="21"/>
                <w:highlight w:val="none"/>
                <w:lang w:val="en-US" w:eastAsia="zh-CN"/>
              </w:rPr>
              <w:t>间接费</w:t>
            </w:r>
          </w:p>
        </w:tc>
        <w:tc>
          <w:tcPr>
            <w:tcW w:w="1899" w:type="dxa"/>
            <w:noWrap w:val="0"/>
            <w:vAlign w:val="center"/>
          </w:tcPr>
          <w:p w14:paraId="7D9AAF5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ascii="宋体" w:hAnsi="宋体" w:cs="宋体"/>
                <w:kern w:val="0"/>
                <w:szCs w:val="21"/>
                <w:highlight w:val="none"/>
              </w:rPr>
            </w:pPr>
            <w:r>
              <w:rPr>
                <w:rFonts w:hint="eastAsia" w:ascii="宋体" w:hAnsi="宋体" w:cs="宋体"/>
                <w:color w:val="auto"/>
                <w:szCs w:val="21"/>
                <w:highlight w:val="none"/>
                <w:lang w:val="en-US" w:eastAsia="zh-CN"/>
              </w:rPr>
              <w:t>土方</w:t>
            </w:r>
            <w:r>
              <w:rPr>
                <w:rFonts w:hint="eastAsia" w:ascii="宋体" w:hAnsi="宋体" w:eastAsia="宋体" w:cs="宋体"/>
                <w:color w:val="auto"/>
                <w:kern w:val="2"/>
                <w:sz w:val="21"/>
                <w:szCs w:val="21"/>
                <w:highlight w:val="none"/>
                <w:lang w:val="en-US" w:eastAsia="zh-CN" w:bidi="ar-SA"/>
              </w:rPr>
              <w:t>工程</w:t>
            </w:r>
          </w:p>
        </w:tc>
        <w:tc>
          <w:tcPr>
            <w:tcW w:w="2979" w:type="dxa"/>
            <w:noWrap w:val="0"/>
            <w:vAlign w:val="center"/>
          </w:tcPr>
          <w:p w14:paraId="4F6E8210">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kern w:val="0"/>
                <w:szCs w:val="21"/>
                <w:highlight w:val="none"/>
                <w:lang w:val="en-US" w:eastAsia="zh-CN"/>
              </w:rPr>
            </w:pPr>
            <w:r>
              <w:rPr>
                <w:rFonts w:hint="eastAsia" w:ascii="宋体" w:hAnsi="宋体" w:cs="宋体"/>
                <w:kern w:val="0"/>
                <w:szCs w:val="21"/>
                <w:highlight w:val="none"/>
                <w:lang w:val="en-US" w:eastAsia="zh-CN"/>
              </w:rPr>
              <w:t>定额人工费+定额机械费</w:t>
            </w:r>
          </w:p>
        </w:tc>
        <w:tc>
          <w:tcPr>
            <w:tcW w:w="1525" w:type="dxa"/>
            <w:noWrap w:val="0"/>
            <w:vAlign w:val="center"/>
          </w:tcPr>
          <w:p w14:paraId="2FD3465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宋体" w:hAnsi="宋体" w:cs="宋体"/>
                <w:kern w:val="0"/>
                <w:szCs w:val="21"/>
                <w:highlight w:val="none"/>
                <w:lang w:val="en-US" w:eastAsia="zh-CN"/>
              </w:rPr>
            </w:pPr>
            <w:r>
              <w:rPr>
                <w:rFonts w:hint="eastAsia" w:ascii="宋体" w:hAnsi="宋体" w:cs="宋体"/>
                <w:kern w:val="0"/>
                <w:szCs w:val="21"/>
                <w:highlight w:val="none"/>
                <w:lang w:val="en-US" w:eastAsia="zh-CN"/>
              </w:rPr>
              <w:t>6.5</w:t>
            </w:r>
          </w:p>
        </w:tc>
      </w:tr>
      <w:tr w14:paraId="6E2DE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8" w:type="dxa"/>
            <w:vMerge w:val="continue"/>
            <w:noWrap w:val="0"/>
            <w:vAlign w:val="center"/>
          </w:tcPr>
          <w:p w14:paraId="13A0E0B1">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kern w:val="0"/>
                <w:szCs w:val="21"/>
                <w:highlight w:val="none"/>
              </w:rPr>
            </w:pPr>
          </w:p>
        </w:tc>
        <w:tc>
          <w:tcPr>
            <w:tcW w:w="1584" w:type="dxa"/>
            <w:vMerge w:val="continue"/>
            <w:noWrap w:val="0"/>
            <w:vAlign w:val="center"/>
          </w:tcPr>
          <w:p w14:paraId="219544A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kern w:val="0"/>
                <w:szCs w:val="21"/>
                <w:highlight w:val="none"/>
              </w:rPr>
            </w:pPr>
          </w:p>
        </w:tc>
        <w:tc>
          <w:tcPr>
            <w:tcW w:w="1899" w:type="dxa"/>
            <w:noWrap w:val="0"/>
            <w:vAlign w:val="center"/>
          </w:tcPr>
          <w:p w14:paraId="0A142F46">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ascii="宋体" w:hAnsi="宋体" w:cs="宋体"/>
                <w:kern w:val="0"/>
                <w:szCs w:val="21"/>
                <w:highlight w:val="none"/>
              </w:rPr>
            </w:pPr>
            <w:r>
              <w:rPr>
                <w:rFonts w:hint="eastAsia" w:ascii="宋体" w:hAnsi="宋体" w:cs="宋体"/>
                <w:color w:val="auto"/>
                <w:szCs w:val="21"/>
                <w:highlight w:val="none"/>
                <w:lang w:val="en-US" w:eastAsia="zh-CN"/>
              </w:rPr>
              <w:t>混凝土</w:t>
            </w:r>
            <w:r>
              <w:rPr>
                <w:rFonts w:hint="eastAsia" w:ascii="宋体" w:hAnsi="宋体" w:cs="宋体"/>
                <w:color w:val="auto"/>
                <w:szCs w:val="21"/>
                <w:highlight w:val="none"/>
              </w:rPr>
              <w:t>工程</w:t>
            </w:r>
          </w:p>
        </w:tc>
        <w:tc>
          <w:tcPr>
            <w:tcW w:w="2979" w:type="dxa"/>
            <w:noWrap w:val="0"/>
            <w:vAlign w:val="center"/>
          </w:tcPr>
          <w:p w14:paraId="6E71EAB4">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kern w:val="0"/>
                <w:szCs w:val="21"/>
                <w:highlight w:val="none"/>
              </w:rPr>
            </w:pPr>
            <w:r>
              <w:rPr>
                <w:rFonts w:hint="eastAsia" w:ascii="宋体" w:hAnsi="宋体" w:cs="宋体"/>
                <w:kern w:val="0"/>
                <w:szCs w:val="21"/>
                <w:highlight w:val="none"/>
                <w:lang w:val="en-US" w:eastAsia="zh-CN"/>
              </w:rPr>
              <w:t>定额</w:t>
            </w:r>
            <w:r>
              <w:rPr>
                <w:rFonts w:hint="eastAsia" w:ascii="宋体" w:hAnsi="宋体" w:cs="宋体"/>
                <w:kern w:val="0"/>
                <w:szCs w:val="21"/>
                <w:highlight w:val="none"/>
              </w:rPr>
              <w:t>人工费+</w:t>
            </w:r>
            <w:r>
              <w:rPr>
                <w:rFonts w:hint="eastAsia" w:ascii="宋体" w:hAnsi="宋体" w:cs="宋体"/>
                <w:kern w:val="0"/>
                <w:szCs w:val="21"/>
                <w:highlight w:val="none"/>
                <w:lang w:val="en-US" w:eastAsia="zh-CN"/>
              </w:rPr>
              <w:t>定额</w:t>
            </w:r>
            <w:r>
              <w:rPr>
                <w:rFonts w:hint="eastAsia" w:ascii="宋体" w:hAnsi="宋体" w:cs="宋体"/>
                <w:kern w:val="0"/>
                <w:szCs w:val="21"/>
                <w:highlight w:val="none"/>
              </w:rPr>
              <w:t>机械费</w:t>
            </w:r>
          </w:p>
        </w:tc>
        <w:tc>
          <w:tcPr>
            <w:tcW w:w="1525" w:type="dxa"/>
            <w:noWrap w:val="0"/>
            <w:vAlign w:val="center"/>
          </w:tcPr>
          <w:p w14:paraId="23F86EBF">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宋体" w:hAnsi="宋体" w:eastAsia="宋体"/>
                <w:kern w:val="0"/>
                <w:szCs w:val="21"/>
                <w:highlight w:val="none"/>
                <w:lang w:val="en-US" w:eastAsia="zh-CN"/>
              </w:rPr>
            </w:pPr>
            <w:r>
              <w:rPr>
                <w:rFonts w:hint="eastAsia" w:ascii="宋体" w:hAnsi="宋体" w:eastAsia="宋体"/>
                <w:kern w:val="0"/>
                <w:szCs w:val="21"/>
                <w:highlight w:val="none"/>
                <w:lang w:val="en-US" w:eastAsia="zh-CN"/>
              </w:rPr>
              <w:t>9.5</w:t>
            </w:r>
          </w:p>
        </w:tc>
      </w:tr>
      <w:tr w14:paraId="1622E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8" w:type="dxa"/>
            <w:vMerge w:val="continue"/>
            <w:noWrap w:val="0"/>
            <w:vAlign w:val="center"/>
          </w:tcPr>
          <w:p w14:paraId="413CE5D8">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kern w:val="0"/>
                <w:szCs w:val="21"/>
                <w:highlight w:val="none"/>
              </w:rPr>
            </w:pPr>
          </w:p>
        </w:tc>
        <w:tc>
          <w:tcPr>
            <w:tcW w:w="1584" w:type="dxa"/>
            <w:vMerge w:val="continue"/>
            <w:noWrap w:val="0"/>
            <w:vAlign w:val="center"/>
          </w:tcPr>
          <w:p w14:paraId="5356DB3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color w:val="auto"/>
                <w:szCs w:val="21"/>
                <w:highlight w:val="none"/>
                <w:lang w:val="en-US" w:eastAsia="zh-CN"/>
              </w:rPr>
            </w:pPr>
          </w:p>
        </w:tc>
        <w:tc>
          <w:tcPr>
            <w:tcW w:w="1899" w:type="dxa"/>
            <w:noWrap w:val="0"/>
            <w:vAlign w:val="center"/>
          </w:tcPr>
          <w:p w14:paraId="3621C52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ascii="宋体" w:hAnsi="宋体" w:cs="宋体"/>
                <w:kern w:val="0"/>
                <w:szCs w:val="21"/>
                <w:highlight w:val="none"/>
              </w:rPr>
            </w:pPr>
            <w:r>
              <w:rPr>
                <w:rFonts w:hint="eastAsia" w:ascii="宋体" w:hAnsi="宋体" w:cs="宋体"/>
                <w:color w:val="auto"/>
                <w:szCs w:val="21"/>
                <w:highlight w:val="none"/>
                <w:lang w:val="en-US" w:eastAsia="zh-CN"/>
              </w:rPr>
              <w:t>水土保持防护工程</w:t>
            </w:r>
          </w:p>
        </w:tc>
        <w:tc>
          <w:tcPr>
            <w:tcW w:w="2979" w:type="dxa"/>
            <w:noWrap w:val="0"/>
            <w:vAlign w:val="center"/>
          </w:tcPr>
          <w:p w14:paraId="19839F8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kern w:val="0"/>
                <w:szCs w:val="21"/>
                <w:highlight w:val="none"/>
                <w:lang w:val="en-US" w:eastAsia="zh-CN"/>
              </w:rPr>
            </w:pPr>
            <w:r>
              <w:rPr>
                <w:rFonts w:hint="eastAsia" w:ascii="宋体" w:hAnsi="宋体" w:cs="宋体"/>
                <w:kern w:val="0"/>
                <w:szCs w:val="21"/>
                <w:highlight w:val="none"/>
                <w:lang w:val="en-US" w:eastAsia="zh-CN"/>
              </w:rPr>
              <w:t>定额</w:t>
            </w:r>
            <w:r>
              <w:rPr>
                <w:rFonts w:hint="eastAsia" w:ascii="宋体" w:hAnsi="宋体" w:cs="宋体"/>
                <w:kern w:val="0"/>
                <w:szCs w:val="21"/>
                <w:highlight w:val="none"/>
              </w:rPr>
              <w:t>人工费+</w:t>
            </w:r>
            <w:r>
              <w:rPr>
                <w:rFonts w:hint="eastAsia" w:ascii="宋体" w:hAnsi="宋体" w:cs="宋体"/>
                <w:kern w:val="0"/>
                <w:szCs w:val="21"/>
                <w:highlight w:val="none"/>
                <w:lang w:val="en-US" w:eastAsia="zh-CN"/>
              </w:rPr>
              <w:t>定额</w:t>
            </w:r>
            <w:r>
              <w:rPr>
                <w:rFonts w:hint="eastAsia" w:ascii="宋体" w:hAnsi="宋体" w:cs="宋体"/>
                <w:kern w:val="0"/>
                <w:szCs w:val="21"/>
                <w:highlight w:val="none"/>
              </w:rPr>
              <w:t>机械费</w:t>
            </w:r>
          </w:p>
        </w:tc>
        <w:tc>
          <w:tcPr>
            <w:tcW w:w="1525" w:type="dxa"/>
            <w:noWrap w:val="0"/>
            <w:vAlign w:val="center"/>
          </w:tcPr>
          <w:p w14:paraId="28E407E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宋体" w:hAnsi="宋体"/>
                <w:kern w:val="0"/>
                <w:szCs w:val="21"/>
                <w:highlight w:val="none"/>
                <w:lang w:val="en-US" w:eastAsia="zh-CN"/>
              </w:rPr>
            </w:pPr>
            <w:r>
              <w:rPr>
                <w:rFonts w:hint="eastAsia" w:ascii="宋体" w:hAnsi="宋体"/>
                <w:kern w:val="0"/>
                <w:szCs w:val="21"/>
                <w:highlight w:val="none"/>
                <w:lang w:val="en-US" w:eastAsia="zh-CN"/>
              </w:rPr>
              <w:t>6.5</w:t>
            </w:r>
          </w:p>
        </w:tc>
      </w:tr>
      <w:tr w14:paraId="1FB40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8" w:type="dxa"/>
            <w:vMerge w:val="restart"/>
            <w:noWrap w:val="0"/>
            <w:vAlign w:val="center"/>
          </w:tcPr>
          <w:p w14:paraId="0DB5A98F">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宋体" w:hAnsi="宋体"/>
                <w:kern w:val="0"/>
                <w:szCs w:val="21"/>
                <w:highlight w:val="none"/>
                <w:lang w:val="en-US" w:eastAsia="zh-CN"/>
              </w:rPr>
            </w:pPr>
            <w:r>
              <w:rPr>
                <w:rFonts w:hint="eastAsia" w:ascii="宋体" w:hAnsi="宋体"/>
                <w:kern w:val="0"/>
                <w:szCs w:val="21"/>
                <w:highlight w:val="none"/>
                <w:lang w:val="en-US" w:eastAsia="zh-CN"/>
              </w:rPr>
              <w:t>4</w:t>
            </w:r>
          </w:p>
        </w:tc>
        <w:tc>
          <w:tcPr>
            <w:tcW w:w="1584" w:type="dxa"/>
            <w:vMerge w:val="restart"/>
            <w:noWrap w:val="0"/>
            <w:vAlign w:val="center"/>
          </w:tcPr>
          <w:p w14:paraId="58734AFC">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cs="宋体"/>
                <w:kern w:val="0"/>
                <w:sz w:val="21"/>
                <w:szCs w:val="21"/>
                <w:highlight w:val="none"/>
                <w:lang w:val="en-US" w:eastAsia="zh-CN" w:bidi="ar-SA"/>
              </w:rPr>
            </w:pPr>
            <w:r>
              <w:rPr>
                <w:rFonts w:hint="eastAsia" w:ascii="宋体" w:hAnsi="宋体" w:cs="宋体"/>
                <w:kern w:val="0"/>
                <w:sz w:val="21"/>
                <w:szCs w:val="21"/>
                <w:highlight w:val="none"/>
                <w:lang w:val="en-US" w:eastAsia="zh-CN" w:bidi="ar-SA"/>
              </w:rPr>
              <w:t>小型临时设施费</w:t>
            </w:r>
          </w:p>
        </w:tc>
        <w:tc>
          <w:tcPr>
            <w:tcW w:w="1899" w:type="dxa"/>
            <w:noWrap w:val="0"/>
            <w:vAlign w:val="center"/>
          </w:tcPr>
          <w:p w14:paraId="7C66A18A">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kern w:val="0"/>
                <w:sz w:val="21"/>
                <w:szCs w:val="21"/>
                <w:highlight w:val="none"/>
                <w:lang w:val="en-US" w:eastAsia="zh-CN" w:bidi="ar-SA"/>
              </w:rPr>
            </w:pPr>
            <w:r>
              <w:rPr>
                <w:rFonts w:hint="eastAsia" w:ascii="宋体" w:hAnsi="宋体" w:cs="宋体"/>
                <w:color w:val="auto"/>
                <w:szCs w:val="21"/>
                <w:highlight w:val="none"/>
                <w:lang w:val="en-US" w:eastAsia="zh-CN"/>
              </w:rPr>
              <w:t>土方</w:t>
            </w:r>
            <w:r>
              <w:rPr>
                <w:rFonts w:hint="eastAsia" w:ascii="宋体" w:hAnsi="宋体" w:eastAsia="宋体" w:cs="宋体"/>
                <w:color w:val="auto"/>
                <w:kern w:val="2"/>
                <w:sz w:val="21"/>
                <w:szCs w:val="21"/>
                <w:highlight w:val="none"/>
                <w:lang w:val="en-US" w:eastAsia="zh-CN" w:bidi="ar-SA"/>
              </w:rPr>
              <w:t>工程</w:t>
            </w:r>
          </w:p>
        </w:tc>
        <w:tc>
          <w:tcPr>
            <w:tcW w:w="2979" w:type="dxa"/>
            <w:noWrap w:val="0"/>
            <w:vAlign w:val="center"/>
          </w:tcPr>
          <w:p w14:paraId="2321DA6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kern w:val="0"/>
                <w:sz w:val="21"/>
                <w:szCs w:val="21"/>
                <w:highlight w:val="none"/>
                <w:lang w:val="en-US" w:eastAsia="zh-CN" w:bidi="ar-SA"/>
              </w:rPr>
            </w:pPr>
            <w:r>
              <w:rPr>
                <w:rFonts w:hint="eastAsia" w:ascii="宋体" w:hAnsi="宋体" w:cs="宋体"/>
                <w:kern w:val="0"/>
                <w:szCs w:val="21"/>
                <w:highlight w:val="none"/>
                <w:lang w:val="en-US" w:eastAsia="zh-CN"/>
              </w:rPr>
              <w:t>定额人工费+定额机械费</w:t>
            </w:r>
          </w:p>
        </w:tc>
        <w:tc>
          <w:tcPr>
            <w:tcW w:w="1525" w:type="dxa"/>
            <w:vMerge w:val="restart"/>
            <w:noWrap w:val="0"/>
            <w:vAlign w:val="center"/>
          </w:tcPr>
          <w:p w14:paraId="08CC7CB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宋体" w:hAnsi="宋体"/>
                <w:kern w:val="0"/>
                <w:szCs w:val="21"/>
                <w:highlight w:val="none"/>
                <w:lang w:val="en-US" w:eastAsia="zh-CN"/>
              </w:rPr>
            </w:pPr>
            <w:r>
              <w:rPr>
                <w:rFonts w:hint="eastAsia" w:ascii="宋体" w:hAnsi="宋体"/>
                <w:kern w:val="0"/>
                <w:szCs w:val="21"/>
                <w:highlight w:val="none"/>
                <w:lang w:val="en-US" w:eastAsia="zh-CN"/>
              </w:rPr>
              <w:t>1.5</w:t>
            </w:r>
          </w:p>
        </w:tc>
      </w:tr>
      <w:tr w14:paraId="4F2B7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8" w:type="dxa"/>
            <w:vMerge w:val="continue"/>
            <w:noWrap w:val="0"/>
            <w:vAlign w:val="center"/>
          </w:tcPr>
          <w:p w14:paraId="2F8FE676">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kern w:val="0"/>
                <w:szCs w:val="21"/>
                <w:highlight w:val="none"/>
                <w:lang w:val="en-US" w:eastAsia="zh-CN"/>
              </w:rPr>
            </w:pPr>
          </w:p>
        </w:tc>
        <w:tc>
          <w:tcPr>
            <w:tcW w:w="1584" w:type="dxa"/>
            <w:vMerge w:val="continue"/>
            <w:noWrap w:val="0"/>
            <w:vAlign w:val="center"/>
          </w:tcPr>
          <w:p w14:paraId="34D5B1A5">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cs="宋体"/>
                <w:kern w:val="0"/>
                <w:sz w:val="21"/>
                <w:szCs w:val="21"/>
                <w:highlight w:val="none"/>
                <w:lang w:val="en-US" w:eastAsia="zh-CN" w:bidi="ar-SA"/>
              </w:rPr>
            </w:pPr>
          </w:p>
        </w:tc>
        <w:tc>
          <w:tcPr>
            <w:tcW w:w="1899" w:type="dxa"/>
            <w:noWrap w:val="0"/>
            <w:vAlign w:val="center"/>
          </w:tcPr>
          <w:p w14:paraId="1AED5E20">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Cs w:val="21"/>
                <w:highlight w:val="none"/>
                <w:lang w:val="en-US" w:eastAsia="zh-CN"/>
              </w:rPr>
              <w:t>混凝土</w:t>
            </w:r>
            <w:r>
              <w:rPr>
                <w:rFonts w:hint="eastAsia" w:ascii="宋体" w:hAnsi="宋体" w:cs="宋体"/>
                <w:color w:val="auto"/>
                <w:szCs w:val="21"/>
                <w:highlight w:val="none"/>
              </w:rPr>
              <w:t>工程</w:t>
            </w:r>
          </w:p>
        </w:tc>
        <w:tc>
          <w:tcPr>
            <w:tcW w:w="2979" w:type="dxa"/>
            <w:noWrap w:val="0"/>
            <w:vAlign w:val="center"/>
          </w:tcPr>
          <w:p w14:paraId="48F4D56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kern w:val="0"/>
                <w:szCs w:val="21"/>
                <w:highlight w:val="none"/>
                <w:lang w:val="en-US" w:eastAsia="zh-CN"/>
              </w:rPr>
            </w:pPr>
            <w:r>
              <w:rPr>
                <w:rFonts w:hint="eastAsia" w:ascii="宋体" w:hAnsi="宋体" w:cs="宋体"/>
                <w:kern w:val="0"/>
                <w:szCs w:val="21"/>
                <w:highlight w:val="none"/>
                <w:lang w:val="en-US" w:eastAsia="zh-CN"/>
              </w:rPr>
              <w:t>定额</w:t>
            </w:r>
            <w:r>
              <w:rPr>
                <w:rFonts w:hint="eastAsia" w:ascii="宋体" w:hAnsi="宋体" w:cs="宋体"/>
                <w:kern w:val="0"/>
                <w:szCs w:val="21"/>
                <w:highlight w:val="none"/>
              </w:rPr>
              <w:t>人工费+</w:t>
            </w:r>
            <w:r>
              <w:rPr>
                <w:rFonts w:hint="eastAsia" w:ascii="宋体" w:hAnsi="宋体" w:cs="宋体"/>
                <w:kern w:val="0"/>
                <w:szCs w:val="21"/>
                <w:highlight w:val="none"/>
                <w:lang w:val="en-US" w:eastAsia="zh-CN"/>
              </w:rPr>
              <w:t>定额</w:t>
            </w:r>
            <w:r>
              <w:rPr>
                <w:rFonts w:hint="eastAsia" w:ascii="宋体" w:hAnsi="宋体" w:cs="宋体"/>
                <w:kern w:val="0"/>
                <w:szCs w:val="21"/>
                <w:highlight w:val="none"/>
              </w:rPr>
              <w:t>机械费</w:t>
            </w:r>
          </w:p>
        </w:tc>
        <w:tc>
          <w:tcPr>
            <w:tcW w:w="1525" w:type="dxa"/>
            <w:vMerge w:val="continue"/>
            <w:noWrap w:val="0"/>
            <w:vAlign w:val="center"/>
          </w:tcPr>
          <w:p w14:paraId="141F3DB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宋体" w:hAnsi="宋体"/>
                <w:kern w:val="0"/>
                <w:szCs w:val="21"/>
                <w:highlight w:val="none"/>
                <w:lang w:val="en-US" w:eastAsia="zh-CN"/>
              </w:rPr>
            </w:pPr>
          </w:p>
        </w:tc>
      </w:tr>
      <w:tr w14:paraId="5AC8B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8" w:type="dxa"/>
            <w:vMerge w:val="continue"/>
            <w:noWrap w:val="0"/>
            <w:vAlign w:val="center"/>
          </w:tcPr>
          <w:p w14:paraId="682BAA7A">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kern w:val="0"/>
                <w:szCs w:val="21"/>
                <w:highlight w:val="none"/>
                <w:lang w:val="en-US" w:eastAsia="zh-CN"/>
              </w:rPr>
            </w:pPr>
          </w:p>
        </w:tc>
        <w:tc>
          <w:tcPr>
            <w:tcW w:w="1584" w:type="dxa"/>
            <w:vMerge w:val="continue"/>
            <w:noWrap w:val="0"/>
            <w:vAlign w:val="center"/>
          </w:tcPr>
          <w:p w14:paraId="50AB3C58">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cs="宋体"/>
                <w:kern w:val="0"/>
                <w:sz w:val="21"/>
                <w:szCs w:val="21"/>
                <w:highlight w:val="none"/>
                <w:lang w:val="en-US" w:eastAsia="zh-CN" w:bidi="ar-SA"/>
              </w:rPr>
            </w:pPr>
          </w:p>
        </w:tc>
        <w:tc>
          <w:tcPr>
            <w:tcW w:w="1899" w:type="dxa"/>
            <w:noWrap w:val="0"/>
            <w:vAlign w:val="center"/>
          </w:tcPr>
          <w:p w14:paraId="66A2EF86">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水土保持防护工程</w:t>
            </w:r>
          </w:p>
        </w:tc>
        <w:tc>
          <w:tcPr>
            <w:tcW w:w="2979" w:type="dxa"/>
            <w:noWrap w:val="0"/>
            <w:vAlign w:val="center"/>
          </w:tcPr>
          <w:p w14:paraId="45CB510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kern w:val="0"/>
                <w:szCs w:val="21"/>
                <w:highlight w:val="none"/>
                <w:lang w:val="en-US" w:eastAsia="zh-CN"/>
              </w:rPr>
            </w:pPr>
            <w:r>
              <w:rPr>
                <w:rFonts w:hint="eastAsia" w:ascii="宋体" w:hAnsi="宋体" w:cs="宋体"/>
                <w:kern w:val="0"/>
                <w:szCs w:val="21"/>
                <w:highlight w:val="none"/>
                <w:lang w:val="en-US" w:eastAsia="zh-CN"/>
              </w:rPr>
              <w:t>定额</w:t>
            </w:r>
            <w:r>
              <w:rPr>
                <w:rFonts w:hint="eastAsia" w:ascii="宋体" w:hAnsi="宋体" w:cs="宋体"/>
                <w:kern w:val="0"/>
                <w:szCs w:val="21"/>
                <w:highlight w:val="none"/>
              </w:rPr>
              <w:t>人工费+</w:t>
            </w:r>
            <w:r>
              <w:rPr>
                <w:rFonts w:hint="eastAsia" w:ascii="宋体" w:hAnsi="宋体" w:cs="宋体"/>
                <w:kern w:val="0"/>
                <w:szCs w:val="21"/>
                <w:highlight w:val="none"/>
                <w:lang w:val="en-US" w:eastAsia="zh-CN"/>
              </w:rPr>
              <w:t>定额</w:t>
            </w:r>
            <w:r>
              <w:rPr>
                <w:rFonts w:hint="eastAsia" w:ascii="宋体" w:hAnsi="宋体" w:cs="宋体"/>
                <w:kern w:val="0"/>
                <w:szCs w:val="21"/>
                <w:highlight w:val="none"/>
              </w:rPr>
              <w:t>机械费</w:t>
            </w:r>
          </w:p>
        </w:tc>
        <w:tc>
          <w:tcPr>
            <w:tcW w:w="1525" w:type="dxa"/>
            <w:vMerge w:val="continue"/>
            <w:noWrap w:val="0"/>
            <w:vAlign w:val="center"/>
          </w:tcPr>
          <w:p w14:paraId="62D5698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kern w:val="0"/>
                <w:szCs w:val="21"/>
                <w:highlight w:val="none"/>
                <w:lang w:val="en-US" w:eastAsia="zh-CN"/>
              </w:rPr>
            </w:pPr>
          </w:p>
        </w:tc>
      </w:tr>
    </w:tbl>
    <w:p w14:paraId="6ADB2A77">
      <w:pPr>
        <w:keepNext w:val="0"/>
        <w:keepLines w:val="0"/>
        <w:pageBreakBefore w:val="0"/>
        <w:numPr>
          <w:ilvl w:val="0"/>
          <w:numId w:val="1"/>
        </w:numPr>
        <w:kinsoku/>
        <w:wordWrap/>
        <w:overflowPunct/>
        <w:topLinePunct w:val="0"/>
        <w:autoSpaceDE/>
        <w:autoSpaceDN/>
        <w:bidi w:val="0"/>
        <w:adjustRightInd/>
        <w:snapToGrid/>
        <w:spacing w:line="360" w:lineRule="auto"/>
        <w:textAlignment w:val="auto"/>
        <w:rPr>
          <w:rFonts w:hint="eastAsia" w:ascii="宋体" w:hAnsi="宋体"/>
          <w:b/>
          <w:bCs/>
          <w:color w:val="000000"/>
          <w:szCs w:val="21"/>
        </w:rPr>
      </w:pPr>
      <w:r>
        <w:rPr>
          <w:rFonts w:hint="eastAsia" w:ascii="宋体" w:hAnsi="宋体"/>
          <w:b/>
          <w:bCs/>
          <w:color w:val="000000"/>
          <w:szCs w:val="21"/>
        </w:rPr>
        <w:t>其他说明：</w:t>
      </w:r>
    </w:p>
    <w:p w14:paraId="3C483555">
      <w:pPr>
        <w:spacing w:line="360" w:lineRule="auto"/>
        <w:ind w:firstLine="420" w:firstLineChars="200"/>
        <w:rPr>
          <w:rFonts w:hint="eastAsia" w:ascii="宋体" w:hAnsi="宋体" w:cs="宋体"/>
        </w:rPr>
      </w:pPr>
      <w:r>
        <w:rPr>
          <w:rFonts w:hint="eastAsia" w:ascii="宋体" w:hAnsi="宋体" w:cs="宋体"/>
        </w:rPr>
        <w:t>1、投标人应先到工地踏勘以充分了解工地位置、情况、道路、储存空间、装卸限制及任何其它足以影响承包价的情况，任何因忽视或误解工地情况而导致的索赔或工期延长申请将不获批准。</w:t>
      </w:r>
    </w:p>
    <w:p w14:paraId="0E1D6089">
      <w:pPr>
        <w:spacing w:line="360" w:lineRule="auto"/>
        <w:ind w:firstLine="420" w:firstLineChars="200"/>
        <w:rPr>
          <w:rFonts w:hint="eastAsia" w:ascii="宋体" w:hAnsi="宋体" w:eastAsia="宋体" w:cs="宋体"/>
          <w:lang w:eastAsia="zh-CN"/>
        </w:rPr>
      </w:pPr>
      <w:r>
        <w:rPr>
          <w:rFonts w:hint="eastAsia" w:ascii="宋体" w:hAnsi="宋体" w:cs="宋体"/>
        </w:rPr>
        <w:t>2、投标人投标报价应包括施工过程中所需的全部费用（包括且不限于定额规定的全部费用，管理部门各项规费、勘察现场费用、履约保函手续费、工程保险费及所有相关劳保、环卫、市容、消防、环保、治安保卫、交通设施、卫生防疫、计划生育及与投诉处理、协调等一切费用）</w:t>
      </w:r>
      <w:r>
        <w:rPr>
          <w:rFonts w:hint="eastAsia" w:ascii="宋体" w:hAnsi="宋体" w:cs="宋体"/>
          <w:lang w:eastAsia="zh-CN"/>
        </w:rPr>
        <w:t>。</w:t>
      </w:r>
    </w:p>
    <w:p w14:paraId="03C1C23F">
      <w:pPr>
        <w:spacing w:line="360" w:lineRule="auto"/>
        <w:ind w:firstLine="420" w:firstLineChars="200"/>
        <w:rPr>
          <w:rFonts w:hint="eastAsia" w:ascii="宋体" w:hAnsi="宋体" w:cs="宋体"/>
        </w:rPr>
      </w:pPr>
      <w:r>
        <w:rPr>
          <w:rFonts w:hint="eastAsia" w:ascii="宋体" w:hAnsi="宋体" w:cs="宋体"/>
        </w:rPr>
        <w:t>3、施工期间由于承包人原因(包括非建设方同意的为便利于施工)造成施工方案的更改，所增加的工程费用及工期一概不予调整，属施工技术组织措施失误造成的费用及延误工期均由承包人承担。</w:t>
      </w:r>
    </w:p>
    <w:p w14:paraId="614561A5">
      <w:pPr>
        <w:spacing w:line="360" w:lineRule="auto"/>
        <w:ind w:firstLine="420" w:firstLineChars="200"/>
        <w:rPr>
          <w:rFonts w:hint="eastAsia" w:ascii="宋体" w:hAnsi="宋体" w:cs="宋体"/>
        </w:rPr>
      </w:pPr>
      <w:r>
        <w:rPr>
          <w:rFonts w:hint="eastAsia" w:ascii="宋体" w:hAnsi="宋体" w:cs="宋体"/>
        </w:rPr>
        <w:t>4、施工中采取的技术措施、赶工措施费及组织措施，如：材料、设备的存储堆放、二次搬运、施工场地不足、成品保护、冬雨季施工、夜间施工，以及其他各种可能因素影响施工所增加的费用均应含在投标报价中。</w:t>
      </w:r>
    </w:p>
    <w:p w14:paraId="26DA060F">
      <w:pPr>
        <w:spacing w:line="360" w:lineRule="auto"/>
        <w:ind w:firstLine="420" w:firstLineChars="200"/>
        <w:rPr>
          <w:rFonts w:hint="eastAsia" w:ascii="宋体" w:hAnsi="宋体" w:cs="宋体"/>
        </w:rPr>
      </w:pPr>
      <w:r>
        <w:rPr>
          <w:rFonts w:hint="eastAsia" w:ascii="宋体" w:hAnsi="宋体" w:cs="宋体"/>
        </w:rPr>
        <w:t>5、施工过程中相关材料按质量技术监督管理部门的要求提供具有资质的第三方出具的检测合格报告。对于主要材料（主要材料价格表）甲方有权封样、送检。如送检合格，检测费由招标人支付；如检测不合格，无条件返工，检测费及由此造成的相关损失由承包人承担。以上费用由承包人负责，综合考虑计入报价，今后不做调整。</w:t>
      </w:r>
    </w:p>
    <w:p w14:paraId="190FC509">
      <w:pPr>
        <w:spacing w:line="360" w:lineRule="auto"/>
        <w:ind w:firstLine="420" w:firstLineChars="200"/>
        <w:rPr>
          <w:rFonts w:hint="eastAsia" w:ascii="宋体" w:hAnsi="宋体" w:cs="宋体"/>
        </w:rPr>
      </w:pPr>
      <w:r>
        <w:rPr>
          <w:rFonts w:hint="eastAsia" w:ascii="宋体" w:hAnsi="宋体" w:cs="宋体"/>
        </w:rPr>
        <w:t>6、所有材料必须符合设计及招标人要求，由投标人根据招标文件及施工图的要求明确规格型号和报价以及甲方选样要求，不因甲方选样产生价差签证费用，由承包人综合考虑计入报价，今后不做调整。</w:t>
      </w:r>
    </w:p>
    <w:p w14:paraId="0F226AD2">
      <w:pPr>
        <w:spacing w:line="360" w:lineRule="auto"/>
        <w:ind w:firstLine="420" w:firstLineChars="200"/>
        <w:rPr>
          <w:rFonts w:hint="eastAsia" w:ascii="宋体" w:hAnsi="宋体" w:cs="宋体"/>
        </w:rPr>
      </w:pPr>
      <w:r>
        <w:rPr>
          <w:rFonts w:hint="eastAsia" w:ascii="宋体" w:hAnsi="宋体" w:cs="宋体"/>
        </w:rPr>
        <w:t>7、本项目无法提供临时设施人员住宿，相关施工人员住宿由承包人自行解决，产生的相关费用等自行计入报价并包干。</w:t>
      </w:r>
    </w:p>
    <w:p w14:paraId="335913EB">
      <w:pPr>
        <w:spacing w:line="360" w:lineRule="auto"/>
        <w:ind w:firstLine="420" w:firstLineChars="200"/>
        <w:rPr>
          <w:rFonts w:hint="eastAsia" w:ascii="宋体" w:hAnsi="宋体" w:cs="宋体"/>
        </w:rPr>
      </w:pPr>
      <w:r>
        <w:rPr>
          <w:rFonts w:hint="eastAsia" w:ascii="宋体" w:hAnsi="宋体" w:cs="宋体"/>
        </w:rPr>
        <w:t xml:space="preserve">8、本项目饰面按见光面考虑计算，投标人应在综合单价中充分考虑施工中需要增加的工程量和各种损耗，所报综合单价应包含该清单子目的所有工作内容，并考虑风险因素； </w:t>
      </w:r>
    </w:p>
    <w:p w14:paraId="6CD49F9E">
      <w:pPr>
        <w:spacing w:line="360" w:lineRule="auto"/>
        <w:ind w:firstLine="420" w:firstLineChars="200"/>
        <w:rPr>
          <w:rFonts w:ascii="宋体" w:hAnsi="宋体" w:cs="宋体"/>
          <w:highlight w:val="yellow"/>
        </w:rPr>
      </w:pPr>
      <w:r>
        <w:rPr>
          <w:rFonts w:hint="eastAsia" w:ascii="宋体" w:hAnsi="宋体" w:cs="宋体"/>
        </w:rPr>
        <w:t>9、分部分项工程量清单中对工程项目的项目特征及具体做法只作重点描述，详细情况见施工图设计、 技术说明、技术措施表、相关标准图集、其他辅助工作以及代建管理方的相关标准要求；组价时应结合投标人现场勘察情况包括完成所有工序工作内容的全部费用，清单描述不能作为投标人漏项、漏序的借口；</w:t>
      </w:r>
    </w:p>
    <w:p w14:paraId="44D6C1B1">
      <w:pPr>
        <w:spacing w:line="360" w:lineRule="auto"/>
        <w:ind w:firstLine="420" w:firstLineChars="200"/>
        <w:rPr>
          <w:rFonts w:hint="eastAsia" w:ascii="宋体" w:hAnsi="宋体" w:cs="宋体"/>
        </w:rPr>
      </w:pPr>
      <w:r>
        <w:rPr>
          <w:rFonts w:hint="eastAsia" w:ascii="宋体" w:hAnsi="宋体" w:cs="宋体"/>
        </w:rPr>
        <w:t xml:space="preserve">10、本工程中涉及材料选样、选定颜色等必须提供样品给建设单位，经建设单位同意后方可施工，中标 后综合单价不作调整； </w:t>
      </w:r>
    </w:p>
    <w:p w14:paraId="2EE5FE3D">
      <w:pPr>
        <w:spacing w:line="360" w:lineRule="auto"/>
        <w:ind w:firstLine="420" w:firstLineChars="200"/>
        <w:rPr>
          <w:rFonts w:hint="eastAsia" w:ascii="宋体" w:hAnsi="宋体" w:cs="宋体"/>
        </w:rPr>
      </w:pPr>
      <w:r>
        <w:rPr>
          <w:rFonts w:hint="eastAsia" w:ascii="宋体" w:hAnsi="宋体" w:cs="宋体"/>
        </w:rPr>
        <w:t>11、瓷砖、石材切割、磨边费用计入到相应的综合单价内，中标后不作调整；</w:t>
      </w:r>
    </w:p>
    <w:p w14:paraId="5A5092BE">
      <w:pPr>
        <w:pStyle w:val="2"/>
        <w:tabs>
          <w:tab w:val="left" w:pos="720"/>
        </w:tabs>
        <w:spacing w:line="360" w:lineRule="auto"/>
        <w:ind w:firstLine="420" w:firstLineChars="200"/>
        <w:rPr>
          <w:rFonts w:hint="eastAsia" w:hAnsi="宋体" w:cs="宋体"/>
        </w:rPr>
      </w:pPr>
      <w:r>
        <w:rPr>
          <w:rFonts w:hint="eastAsia" w:hAnsi="宋体" w:cs="宋体"/>
        </w:rPr>
        <w:t>12、招标文件中相关明确及工程涉及的措施费，在其他措施费中单列明确，综合考虑计入报价，今后不做调整，未在报价中体现或不完全体现的，视作优惠或该项费用已含在总报价中；</w:t>
      </w:r>
    </w:p>
    <w:p w14:paraId="59A02797">
      <w:pPr>
        <w:spacing w:line="360" w:lineRule="auto"/>
        <w:ind w:firstLine="420" w:firstLineChars="200"/>
        <w:rPr>
          <w:rFonts w:hint="eastAsia" w:ascii="宋体" w:hAnsi="宋体" w:cs="宋体"/>
        </w:rPr>
      </w:pPr>
      <w:r>
        <w:rPr>
          <w:rFonts w:hint="eastAsia" w:ascii="宋体" w:hAnsi="宋体" w:cs="宋体"/>
        </w:rPr>
        <w:t>13、临时水电单独计量、总包配合费投标人自行考虑，并计入报价中；</w:t>
      </w:r>
    </w:p>
    <w:p w14:paraId="09A6BAA8">
      <w:pPr>
        <w:spacing w:line="360" w:lineRule="auto"/>
        <w:ind w:firstLine="420" w:firstLineChars="200"/>
        <w:rPr>
          <w:rFonts w:hint="eastAsia" w:ascii="宋体" w:hAnsi="宋体" w:cs="宋体"/>
          <w:szCs w:val="21"/>
        </w:rPr>
      </w:pPr>
      <w:r>
        <w:rPr>
          <w:rFonts w:hint="eastAsia" w:ascii="宋体" w:hAnsi="宋体" w:cs="宋体"/>
          <w:szCs w:val="21"/>
        </w:rPr>
        <w:t>14、各投标单位在进行综合单价报价时必须结合施工图、施工规范、技术标准、图集、地质勘查报告、招标文件中的相关条款及清单描述进行报价，清单子目中未能对各节点详图进行完全性描述的必须结合施工图详细节点进行报价，否则视为已计入相应项目综合单价中，中标后将不调整综合单价；如发现清单中的表述与设计文件不符，请投标人提出书面意见以便答疑，如不提出则视为无异议。中标后不得以清单描述与设计做法不完全一致而要求调整清单或拒绝按图施工，否则投标人将承担违约责任；</w:t>
      </w:r>
    </w:p>
    <w:p w14:paraId="04FB171C">
      <w:pPr>
        <w:spacing w:line="360" w:lineRule="auto"/>
        <w:ind w:firstLine="420" w:firstLineChars="200"/>
        <w:rPr>
          <w:rFonts w:hint="eastAsia" w:ascii="宋体" w:hAnsi="宋体" w:cs="宋体"/>
          <w:szCs w:val="21"/>
        </w:rPr>
      </w:pPr>
      <w:r>
        <w:rPr>
          <w:rFonts w:hint="eastAsia" w:ascii="宋体" w:hAnsi="宋体" w:cs="宋体"/>
          <w:szCs w:val="21"/>
        </w:rPr>
        <w:t>15、本工程量清单项目名称和项目特征中，未特别注明的单位均为mm。</w:t>
      </w:r>
    </w:p>
    <w:p w14:paraId="695AD785">
      <w:pPr>
        <w:spacing w:line="360" w:lineRule="auto"/>
        <w:ind w:firstLine="420" w:firstLineChars="200"/>
        <w:rPr>
          <w:rFonts w:hint="eastAsia" w:ascii="宋体" w:hAnsi="宋体" w:cs="宋体"/>
          <w:szCs w:val="21"/>
          <w:lang w:val="zh-CN"/>
        </w:rPr>
      </w:pPr>
      <w:r>
        <w:rPr>
          <w:rFonts w:hint="eastAsia" w:ascii="宋体" w:hAnsi="宋体" w:cs="宋体"/>
          <w:szCs w:val="21"/>
        </w:rPr>
        <w:t>16、</w:t>
      </w:r>
      <w:r>
        <w:rPr>
          <w:rFonts w:hint="eastAsia" w:ascii="宋体" w:hAnsi="宋体" w:cs="宋体"/>
          <w:szCs w:val="21"/>
          <w:lang w:val="zh-CN"/>
        </w:rPr>
        <w:t xml:space="preserve">金属构件（含厂家加工构件）运输的运距各投标人自行考虑，各投标单位报价时应根据加工厂家及现场实际情况综合考虑，以上单价不因运距、人工单价、交通拥堵的车辆运输机械降效系数等一切因素的变化而调整。  </w:t>
      </w:r>
    </w:p>
    <w:p w14:paraId="3590FC1E">
      <w:pPr>
        <w:spacing w:line="360" w:lineRule="auto"/>
        <w:ind w:firstLine="420" w:firstLineChars="200"/>
        <w:rPr>
          <w:rFonts w:hint="eastAsia" w:ascii="宋体" w:hAnsi="宋体" w:cs="宋体"/>
          <w:szCs w:val="21"/>
          <w:lang w:val="zh-CN"/>
        </w:rPr>
      </w:pPr>
      <w:r>
        <w:rPr>
          <w:rFonts w:hint="eastAsia" w:ascii="宋体" w:hAnsi="宋体" w:cs="宋体"/>
          <w:szCs w:val="21"/>
        </w:rPr>
        <w:t>17</w:t>
      </w:r>
      <w:r>
        <w:rPr>
          <w:rFonts w:hint="eastAsia" w:ascii="宋体" w:hAnsi="宋体" w:cs="宋体"/>
          <w:szCs w:val="21"/>
          <w:lang w:val="zh-CN"/>
        </w:rPr>
        <w:t>、若施工场地无法满足投标人临时设施布置需求，如租借场地到施工现场间的用水用电管线接通、道路接通、人材机的短驳转运及其余应达到杭州市创标化工地标准而产生的费用请在组织措施费中综合考虑报价，结算一概不予调整。</w:t>
      </w:r>
    </w:p>
    <w:p w14:paraId="7524B239">
      <w:pPr>
        <w:spacing w:line="360" w:lineRule="auto"/>
        <w:ind w:firstLine="420" w:firstLineChars="200"/>
        <w:rPr>
          <w:rFonts w:hint="eastAsia" w:ascii="宋体" w:hAnsi="宋体" w:cs="宋体"/>
          <w:szCs w:val="21"/>
        </w:rPr>
      </w:pPr>
      <w:r>
        <w:rPr>
          <w:rFonts w:hint="eastAsia" w:ascii="宋体" w:hAnsi="宋体" w:cs="宋体"/>
          <w:szCs w:val="21"/>
        </w:rPr>
        <w:t>18、各级领导检查的迎检工作及相关费用请投标人在报价中综合考虑。</w:t>
      </w:r>
    </w:p>
    <w:p w14:paraId="74662B99">
      <w:pPr>
        <w:spacing w:line="360" w:lineRule="auto"/>
        <w:ind w:firstLine="420" w:firstLineChars="200"/>
        <w:rPr>
          <w:rFonts w:hint="eastAsia" w:ascii="宋体" w:hAnsi="宋体" w:cs="宋体"/>
          <w:szCs w:val="21"/>
        </w:rPr>
      </w:pPr>
      <w:r>
        <w:rPr>
          <w:rFonts w:hint="eastAsia" w:ascii="宋体" w:hAnsi="宋体" w:cs="宋体"/>
          <w:szCs w:val="21"/>
        </w:rPr>
        <w:t>19、由于本工程单位的特殊性，必须晚上加班施工，由此引起的一切费用投标人自行考虑并在措施费中报价。</w:t>
      </w:r>
    </w:p>
    <w:p w14:paraId="2E3A2AAE">
      <w:pPr>
        <w:spacing w:line="360" w:lineRule="auto"/>
        <w:ind w:firstLine="420" w:firstLineChars="200"/>
        <w:rPr>
          <w:rFonts w:hint="eastAsia" w:ascii="宋体" w:hAnsi="宋体" w:cs="宋体"/>
          <w:szCs w:val="21"/>
        </w:rPr>
      </w:pPr>
      <w:r>
        <w:rPr>
          <w:rFonts w:hint="eastAsia" w:ascii="宋体" w:hAnsi="宋体" w:cs="宋体"/>
          <w:szCs w:val="21"/>
        </w:rPr>
        <w:t>20、其他费用：需投标人办理的有关施工场地交通、环卫和施工噪音管理等手续包括（但不限于）：</w:t>
      </w:r>
    </w:p>
    <w:p w14:paraId="53F7790A">
      <w:pPr>
        <w:spacing w:line="360" w:lineRule="auto"/>
        <w:ind w:firstLine="420" w:firstLineChars="200"/>
        <w:rPr>
          <w:rFonts w:hint="eastAsia" w:ascii="宋体" w:hAnsi="宋体" w:cs="宋体"/>
          <w:kern w:val="0"/>
          <w:sz w:val="24"/>
        </w:rPr>
      </w:pPr>
      <w:r>
        <w:rPr>
          <w:rFonts w:hint="eastAsia" w:ascii="宋体" w:hAnsi="宋体" w:cs="宋体"/>
          <w:szCs w:val="21"/>
        </w:rPr>
        <w:t>21、垃圾管理费：投标人自行办理垃圾弃置许可证，并缴纳有关费用；</w:t>
      </w:r>
    </w:p>
    <w:p w14:paraId="1F4D7450">
      <w:pPr>
        <w:spacing w:line="360" w:lineRule="auto"/>
        <w:ind w:firstLine="420" w:firstLineChars="200"/>
        <w:rPr>
          <w:rFonts w:hint="eastAsia" w:ascii="宋体" w:hAnsi="宋体" w:cs="宋体"/>
          <w:szCs w:val="21"/>
        </w:rPr>
      </w:pPr>
      <w:r>
        <w:rPr>
          <w:rFonts w:hint="eastAsia" w:ascii="宋体" w:hAnsi="宋体" w:cs="宋体"/>
          <w:szCs w:val="21"/>
        </w:rPr>
        <w:t>22、招标人有权取消或调整招标范围内的任何专业工程或项目，投标人须无条件接受，调整部分按实结算，取消部分应扣除投标相对应的费用。</w:t>
      </w:r>
    </w:p>
    <w:p w14:paraId="23408D34">
      <w:pPr>
        <w:spacing w:line="360" w:lineRule="auto"/>
        <w:ind w:firstLine="420" w:firstLineChars="200"/>
        <w:rPr>
          <w:rFonts w:hint="eastAsia" w:ascii="宋体" w:hAnsi="宋体" w:cs="宋体"/>
          <w:szCs w:val="21"/>
        </w:rPr>
      </w:pPr>
      <w:r>
        <w:rPr>
          <w:rFonts w:hint="eastAsia" w:ascii="宋体" w:hAnsi="宋体" w:cs="宋体"/>
          <w:szCs w:val="21"/>
        </w:rPr>
        <w:t>23、竣工资料收集整理产生的费用由中标单位自行考虑进报价中。竣工资料必须按杭州市城建档案馆要求整理，所有涉及费用（包括工程竣工后移交档案馆所需的地下所有管线的竣工测量费用）由中标单位承担，请投标单位在投标报价中考虑，招标人不另行支付。</w:t>
      </w:r>
    </w:p>
    <w:p w14:paraId="5F00793E">
      <w:pPr>
        <w:spacing w:line="360" w:lineRule="auto"/>
        <w:ind w:firstLine="420" w:firstLineChars="200"/>
        <w:rPr>
          <w:rFonts w:hint="eastAsia" w:ascii="宋体" w:hAnsi="宋体" w:cs="宋体"/>
          <w:szCs w:val="21"/>
        </w:rPr>
      </w:pPr>
      <w:r>
        <w:rPr>
          <w:rFonts w:hint="eastAsia" w:ascii="宋体" w:hAnsi="宋体" w:cs="宋体"/>
          <w:szCs w:val="21"/>
        </w:rPr>
        <w:t>24、投标人应在综合单价中充分考虑施工中的各种损耗和需要增加的工程量，所报综合单价应包含该清单子目的所有工作内容，并考虑风险因素。</w:t>
      </w:r>
    </w:p>
    <w:p w14:paraId="45786212">
      <w:pPr>
        <w:spacing w:line="360" w:lineRule="auto"/>
        <w:ind w:firstLine="420" w:firstLineChars="200"/>
        <w:rPr>
          <w:rFonts w:hint="eastAsia" w:ascii="宋体" w:hAnsi="宋体" w:cs="宋体"/>
          <w:szCs w:val="21"/>
        </w:rPr>
      </w:pPr>
      <w:r>
        <w:rPr>
          <w:rFonts w:hint="eastAsia" w:ascii="宋体" w:hAnsi="宋体" w:cs="宋体"/>
          <w:szCs w:val="21"/>
        </w:rPr>
        <w:t>25、各配套管线的墙管洞，施工单位做好全面的封堵检工作，投标单位自行考虑在投标报价中。</w:t>
      </w:r>
    </w:p>
    <w:p w14:paraId="24237C1A">
      <w:pPr>
        <w:spacing w:line="360" w:lineRule="auto"/>
        <w:ind w:firstLine="420" w:firstLineChars="200"/>
        <w:rPr>
          <w:rFonts w:hint="eastAsia" w:ascii="宋体" w:hAnsi="宋体"/>
          <w:b w:val="0"/>
          <w:bCs w:val="0"/>
          <w:color w:val="000000"/>
          <w:szCs w:val="21"/>
        </w:rPr>
      </w:pPr>
      <w:r>
        <w:rPr>
          <w:rFonts w:hint="eastAsia" w:ascii="宋体" w:hAnsi="宋体" w:cs="宋体"/>
          <w:szCs w:val="21"/>
        </w:rPr>
        <w:t>26、因重大活动或其他特殊情况，政府部门以任何形式发布相关停工通知的，中标人必须无条件服从要求进行停工，由此产生的组织、技术措施增加费，人员、机械窝工费及由此产生的相关全部费用（除政策文件规定调整外）综合考虑计入报价，中标后费用不予调整，停工工期给予顺延。</w:t>
      </w:r>
    </w:p>
    <w:p w14:paraId="6F6548DC">
      <w:pPr>
        <w:keepNext w:val="0"/>
        <w:keepLines w:val="0"/>
        <w:pageBreakBefore w:val="0"/>
        <w:numPr>
          <w:ilvl w:val="0"/>
          <w:numId w:val="1"/>
        </w:numPr>
        <w:kinsoku/>
        <w:wordWrap/>
        <w:overflowPunct/>
        <w:topLinePunct w:val="0"/>
        <w:autoSpaceDE/>
        <w:autoSpaceDN/>
        <w:bidi w:val="0"/>
        <w:adjustRightInd/>
        <w:snapToGrid/>
        <w:spacing w:line="360" w:lineRule="auto"/>
        <w:textAlignment w:val="auto"/>
        <w:rPr>
          <w:rFonts w:hint="eastAsia" w:ascii="宋体" w:hAnsi="宋体"/>
          <w:b/>
          <w:bCs/>
          <w:color w:val="000000"/>
          <w:szCs w:val="21"/>
        </w:rPr>
      </w:pPr>
      <w:r>
        <w:rPr>
          <w:rFonts w:hint="eastAsia" w:ascii="宋体" w:hAnsi="宋体"/>
          <w:b/>
          <w:bCs/>
          <w:color w:val="000000"/>
          <w:szCs w:val="21"/>
          <w:lang w:val="en-US" w:eastAsia="zh-CN"/>
        </w:rPr>
        <w:t>其他项目事项说明</w:t>
      </w:r>
    </w:p>
    <w:p w14:paraId="0D34AAFE">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1、混凝土残值回收不考虑；</w:t>
      </w:r>
    </w:p>
    <w:p w14:paraId="00395F58">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2、钢筋残值回收按1600元/t考虑计入；</w:t>
      </w:r>
    </w:p>
    <w:p w14:paraId="2AB7FA61">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3、根据现场实际情况车位拆除按清理草皮、挖除10cm土方及拆除停车位基础考虑计入。</w:t>
      </w:r>
    </w:p>
    <w:p w14:paraId="1BEBCDB7">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jc w:val="left"/>
        <w:textAlignment w:val="auto"/>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4、施工期间的潮汛防护按10000元/项计入。</w:t>
      </w:r>
    </w:p>
    <w:p w14:paraId="77B9FF17">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5、绿化养护按2年计入。</w:t>
      </w:r>
    </w:p>
    <w:p w14:paraId="31699317">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6、块石抛填至合金钢网兜外侧的材料利用现状块石按40%考虑。</w:t>
      </w:r>
    </w:p>
    <w:p w14:paraId="71EB5603">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jc w:val="left"/>
        <w:textAlignment w:val="auto"/>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7、合金网兜块石及石料抛填已经考虑强涌区系数调整。</w:t>
      </w:r>
    </w:p>
    <w:p w14:paraId="0BDFB599">
      <w:pPr>
        <w:pStyle w:val="6"/>
        <w:keepNext w:val="0"/>
        <w:keepLines w:val="0"/>
        <w:widowControl/>
        <w:numPr>
          <w:ilvl w:val="0"/>
          <w:numId w:val="0"/>
        </w:numPr>
        <w:suppressLineNumbers w:val="0"/>
        <w:spacing w:before="0" w:beforeAutospacing="0" w:after="0" w:afterAutospacing="0" w:line="360" w:lineRule="auto"/>
        <w:ind w:right="0" w:rightChars="0"/>
        <w:jc w:val="left"/>
        <w:rPr>
          <w:rFonts w:hint="eastAsia" w:ascii="宋体" w:hAnsi="宋体" w:eastAsia="宋体" w:cs="宋体"/>
          <w:color w:val="auto"/>
          <w:kern w:val="2"/>
          <w:sz w:val="21"/>
          <w:szCs w:val="21"/>
          <w:highlight w:val="none"/>
          <w:lang w:val="en-US" w:eastAsia="zh-CN" w:bidi="ar-SA"/>
        </w:rPr>
      </w:pPr>
    </w:p>
    <w:p w14:paraId="23A83B51">
      <w:pPr>
        <w:pStyle w:val="6"/>
        <w:keepNext w:val="0"/>
        <w:keepLines w:val="0"/>
        <w:widowControl/>
        <w:numPr>
          <w:ilvl w:val="0"/>
          <w:numId w:val="0"/>
        </w:numPr>
        <w:suppressLineNumbers w:val="0"/>
        <w:spacing w:before="0" w:beforeAutospacing="0" w:after="0" w:afterAutospacing="0" w:line="360" w:lineRule="auto"/>
        <w:ind w:right="0" w:rightChars="0"/>
        <w:jc w:val="left"/>
        <w:rPr>
          <w:rFonts w:hint="eastAsia" w:ascii="宋体" w:hAnsi="宋体" w:eastAsia="宋体" w:cs="宋体"/>
          <w:color w:val="auto"/>
          <w:kern w:val="2"/>
          <w:sz w:val="21"/>
          <w:szCs w:val="21"/>
          <w:highlight w:val="none"/>
          <w:lang w:val="en-US" w:eastAsia="zh-CN" w:bidi="ar-SA"/>
        </w:rPr>
      </w:pPr>
    </w:p>
    <w:p w14:paraId="6EAAF42D">
      <w:pPr>
        <w:pStyle w:val="6"/>
        <w:keepNext w:val="0"/>
        <w:keepLines w:val="0"/>
        <w:widowControl/>
        <w:numPr>
          <w:ilvl w:val="0"/>
          <w:numId w:val="0"/>
        </w:numPr>
        <w:suppressLineNumbers w:val="0"/>
        <w:spacing w:before="0" w:beforeAutospacing="0" w:after="0" w:afterAutospacing="0" w:line="360" w:lineRule="auto"/>
        <w:ind w:right="0" w:rightChars="0"/>
        <w:jc w:val="left"/>
        <w:rPr>
          <w:rFonts w:hint="eastAsia" w:ascii="宋体" w:hAnsi="宋体" w:eastAsia="宋体" w:cs="宋体"/>
          <w:color w:val="auto"/>
          <w:kern w:val="2"/>
          <w:sz w:val="21"/>
          <w:szCs w:val="21"/>
          <w:highlight w:val="none"/>
          <w:lang w:val="en-US" w:eastAsia="zh-CN" w:bidi="ar-SA"/>
        </w:rPr>
      </w:pPr>
    </w:p>
    <w:p w14:paraId="7CCA862E">
      <w:pPr>
        <w:pStyle w:val="6"/>
        <w:keepNext w:val="0"/>
        <w:keepLines w:val="0"/>
        <w:widowControl/>
        <w:numPr>
          <w:ilvl w:val="0"/>
          <w:numId w:val="0"/>
        </w:numPr>
        <w:suppressLineNumbers w:val="0"/>
        <w:spacing w:before="0" w:beforeAutospacing="0" w:after="0" w:afterAutospacing="0" w:line="360" w:lineRule="auto"/>
        <w:ind w:right="0" w:rightChars="0"/>
        <w:jc w:val="left"/>
        <w:rPr>
          <w:rFonts w:hint="eastAsia" w:ascii="宋体" w:hAnsi="宋体" w:eastAsia="宋体" w:cs="宋体"/>
          <w:color w:val="auto"/>
          <w:kern w:val="2"/>
          <w:sz w:val="21"/>
          <w:szCs w:val="21"/>
          <w:highlight w:val="none"/>
          <w:lang w:val="en-US" w:eastAsia="zh-CN" w:bidi="ar-SA"/>
        </w:rPr>
      </w:pPr>
    </w:p>
    <w:p w14:paraId="4C2174C5">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ascii="宋体" w:hAnsi="宋体"/>
          <w:highlight w:val="yellow"/>
        </w:rPr>
      </w:pPr>
      <w:bookmarkStart w:id="0" w:name="_GoBack"/>
      <w:bookmarkEnd w:id="0"/>
    </w:p>
    <w:sectPr>
      <w:headerReference r:id="rId3" w:type="default"/>
      <w:footerReference r:id="rId4" w:type="default"/>
      <w:pgSz w:w="11906" w:h="16838"/>
      <w:pgMar w:top="851" w:right="1246" w:bottom="1091" w:left="16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100C03">
    <w:pPr>
      <w:pStyle w:val="4"/>
      <w:jc w:val="center"/>
    </w:pPr>
  </w:p>
  <w:p w14:paraId="5F6E993A">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CE28DC">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362ECE"/>
    <w:multiLevelType w:val="singleLevel"/>
    <w:tmpl w:val="4D362ECE"/>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IxYjgwM2Q2YjM1NGI2OWE3MGFjOWI2YTA4NDdmODgifQ=="/>
  </w:docVars>
  <w:rsids>
    <w:rsidRoot w:val="00F82463"/>
    <w:rsid w:val="00002A30"/>
    <w:rsid w:val="00015C93"/>
    <w:rsid w:val="00031F4B"/>
    <w:rsid w:val="00032E3F"/>
    <w:rsid w:val="00033CDD"/>
    <w:rsid w:val="000435DE"/>
    <w:rsid w:val="0005202C"/>
    <w:rsid w:val="000552D8"/>
    <w:rsid w:val="00056796"/>
    <w:rsid w:val="00074BC1"/>
    <w:rsid w:val="00074DCA"/>
    <w:rsid w:val="000B29E7"/>
    <w:rsid w:val="000C1B8F"/>
    <w:rsid w:val="000D3808"/>
    <w:rsid w:val="000E2594"/>
    <w:rsid w:val="00116527"/>
    <w:rsid w:val="00117B45"/>
    <w:rsid w:val="0014475F"/>
    <w:rsid w:val="001972A1"/>
    <w:rsid w:val="001C25B1"/>
    <w:rsid w:val="001C3595"/>
    <w:rsid w:val="001C7CE2"/>
    <w:rsid w:val="001D1789"/>
    <w:rsid w:val="001E3F6C"/>
    <w:rsid w:val="001E5B45"/>
    <w:rsid w:val="002061A3"/>
    <w:rsid w:val="0021794D"/>
    <w:rsid w:val="00240B39"/>
    <w:rsid w:val="002439DA"/>
    <w:rsid w:val="00251304"/>
    <w:rsid w:val="0025168E"/>
    <w:rsid w:val="00254D35"/>
    <w:rsid w:val="00291544"/>
    <w:rsid w:val="002C3200"/>
    <w:rsid w:val="002C6137"/>
    <w:rsid w:val="002D3C8F"/>
    <w:rsid w:val="002D4075"/>
    <w:rsid w:val="002F4BAE"/>
    <w:rsid w:val="003066BC"/>
    <w:rsid w:val="0031217B"/>
    <w:rsid w:val="00313572"/>
    <w:rsid w:val="00316ADB"/>
    <w:rsid w:val="00320122"/>
    <w:rsid w:val="0034339D"/>
    <w:rsid w:val="00347C0E"/>
    <w:rsid w:val="00360A31"/>
    <w:rsid w:val="00364B69"/>
    <w:rsid w:val="0038353E"/>
    <w:rsid w:val="00391A63"/>
    <w:rsid w:val="003920EA"/>
    <w:rsid w:val="00395699"/>
    <w:rsid w:val="003A1F49"/>
    <w:rsid w:val="003A3FF3"/>
    <w:rsid w:val="003C546E"/>
    <w:rsid w:val="003D75CE"/>
    <w:rsid w:val="003E62DE"/>
    <w:rsid w:val="003F6798"/>
    <w:rsid w:val="003F6CA3"/>
    <w:rsid w:val="003F7E64"/>
    <w:rsid w:val="00413DFF"/>
    <w:rsid w:val="004142A8"/>
    <w:rsid w:val="00420FCF"/>
    <w:rsid w:val="00432A42"/>
    <w:rsid w:val="00434DF5"/>
    <w:rsid w:val="00442FB3"/>
    <w:rsid w:val="0046206E"/>
    <w:rsid w:val="00474B8D"/>
    <w:rsid w:val="0049591A"/>
    <w:rsid w:val="004B773B"/>
    <w:rsid w:val="004C031B"/>
    <w:rsid w:val="004D1DCF"/>
    <w:rsid w:val="004D4608"/>
    <w:rsid w:val="004D7CE6"/>
    <w:rsid w:val="004F7AF2"/>
    <w:rsid w:val="005049EE"/>
    <w:rsid w:val="00507E2A"/>
    <w:rsid w:val="00510338"/>
    <w:rsid w:val="00525D96"/>
    <w:rsid w:val="00557833"/>
    <w:rsid w:val="00567CFD"/>
    <w:rsid w:val="00577D27"/>
    <w:rsid w:val="005B3F9B"/>
    <w:rsid w:val="005B68F2"/>
    <w:rsid w:val="005E465F"/>
    <w:rsid w:val="005F5507"/>
    <w:rsid w:val="00624AF8"/>
    <w:rsid w:val="00627966"/>
    <w:rsid w:val="006337FD"/>
    <w:rsid w:val="00643BC8"/>
    <w:rsid w:val="00647328"/>
    <w:rsid w:val="00673332"/>
    <w:rsid w:val="006759D9"/>
    <w:rsid w:val="00697AA4"/>
    <w:rsid w:val="006A6B82"/>
    <w:rsid w:val="006C6F50"/>
    <w:rsid w:val="006D6EF1"/>
    <w:rsid w:val="006D7D85"/>
    <w:rsid w:val="0070498D"/>
    <w:rsid w:val="00741F71"/>
    <w:rsid w:val="00757672"/>
    <w:rsid w:val="007E0175"/>
    <w:rsid w:val="007E0F5B"/>
    <w:rsid w:val="007E5A4E"/>
    <w:rsid w:val="007F034A"/>
    <w:rsid w:val="007F4C1D"/>
    <w:rsid w:val="00827079"/>
    <w:rsid w:val="008338F4"/>
    <w:rsid w:val="00840DEF"/>
    <w:rsid w:val="00844521"/>
    <w:rsid w:val="00844E44"/>
    <w:rsid w:val="00851793"/>
    <w:rsid w:val="00851E07"/>
    <w:rsid w:val="00854EAA"/>
    <w:rsid w:val="00890577"/>
    <w:rsid w:val="0089167F"/>
    <w:rsid w:val="00894A8D"/>
    <w:rsid w:val="008B48C2"/>
    <w:rsid w:val="008D58BC"/>
    <w:rsid w:val="009013FD"/>
    <w:rsid w:val="009033D5"/>
    <w:rsid w:val="00907B93"/>
    <w:rsid w:val="00920C5F"/>
    <w:rsid w:val="0092103F"/>
    <w:rsid w:val="00934E71"/>
    <w:rsid w:val="0095530D"/>
    <w:rsid w:val="00956460"/>
    <w:rsid w:val="00973201"/>
    <w:rsid w:val="00975364"/>
    <w:rsid w:val="009910B3"/>
    <w:rsid w:val="00994A9E"/>
    <w:rsid w:val="009A0421"/>
    <w:rsid w:val="009A6DCA"/>
    <w:rsid w:val="009B1CA2"/>
    <w:rsid w:val="009B4F40"/>
    <w:rsid w:val="009E72F9"/>
    <w:rsid w:val="009E7E8D"/>
    <w:rsid w:val="009F1BAC"/>
    <w:rsid w:val="00A0343C"/>
    <w:rsid w:val="00A23C64"/>
    <w:rsid w:val="00A31995"/>
    <w:rsid w:val="00A42246"/>
    <w:rsid w:val="00A46D7A"/>
    <w:rsid w:val="00A51E70"/>
    <w:rsid w:val="00AC1E6F"/>
    <w:rsid w:val="00AD7309"/>
    <w:rsid w:val="00AF0980"/>
    <w:rsid w:val="00AF1DCF"/>
    <w:rsid w:val="00B23B05"/>
    <w:rsid w:val="00B50A74"/>
    <w:rsid w:val="00B60BC6"/>
    <w:rsid w:val="00B70764"/>
    <w:rsid w:val="00B716D5"/>
    <w:rsid w:val="00B77A45"/>
    <w:rsid w:val="00B8341F"/>
    <w:rsid w:val="00B87E5D"/>
    <w:rsid w:val="00BA7E07"/>
    <w:rsid w:val="00BB3E69"/>
    <w:rsid w:val="00BB5F0E"/>
    <w:rsid w:val="00BC4AB0"/>
    <w:rsid w:val="00BD06E4"/>
    <w:rsid w:val="00BD799C"/>
    <w:rsid w:val="00BE1FCE"/>
    <w:rsid w:val="00BF25B9"/>
    <w:rsid w:val="00C02598"/>
    <w:rsid w:val="00C26737"/>
    <w:rsid w:val="00C2686B"/>
    <w:rsid w:val="00C26FA1"/>
    <w:rsid w:val="00C649E6"/>
    <w:rsid w:val="00C8079E"/>
    <w:rsid w:val="00C9155F"/>
    <w:rsid w:val="00CA6529"/>
    <w:rsid w:val="00CA6E2D"/>
    <w:rsid w:val="00CB086D"/>
    <w:rsid w:val="00CD5B9C"/>
    <w:rsid w:val="00CD6D34"/>
    <w:rsid w:val="00CE28AC"/>
    <w:rsid w:val="00CE41C0"/>
    <w:rsid w:val="00CE74B7"/>
    <w:rsid w:val="00CF03AE"/>
    <w:rsid w:val="00CF0D58"/>
    <w:rsid w:val="00D00447"/>
    <w:rsid w:val="00D02075"/>
    <w:rsid w:val="00D05829"/>
    <w:rsid w:val="00D145D9"/>
    <w:rsid w:val="00D15B37"/>
    <w:rsid w:val="00D34DD2"/>
    <w:rsid w:val="00D44A02"/>
    <w:rsid w:val="00D507DF"/>
    <w:rsid w:val="00D52CDA"/>
    <w:rsid w:val="00D6057C"/>
    <w:rsid w:val="00D63179"/>
    <w:rsid w:val="00D64AE0"/>
    <w:rsid w:val="00D769E6"/>
    <w:rsid w:val="00DA4ED0"/>
    <w:rsid w:val="00DD48F0"/>
    <w:rsid w:val="00E02FC7"/>
    <w:rsid w:val="00E053F8"/>
    <w:rsid w:val="00E27E76"/>
    <w:rsid w:val="00E46A6E"/>
    <w:rsid w:val="00E53493"/>
    <w:rsid w:val="00E61CD5"/>
    <w:rsid w:val="00E8150C"/>
    <w:rsid w:val="00EA66E9"/>
    <w:rsid w:val="00EB389F"/>
    <w:rsid w:val="00EC5902"/>
    <w:rsid w:val="00ED6954"/>
    <w:rsid w:val="00EE0731"/>
    <w:rsid w:val="00F21B2E"/>
    <w:rsid w:val="00F31B1D"/>
    <w:rsid w:val="00F46546"/>
    <w:rsid w:val="00F54F21"/>
    <w:rsid w:val="00F6320E"/>
    <w:rsid w:val="00F82463"/>
    <w:rsid w:val="00FA03D2"/>
    <w:rsid w:val="00FA730F"/>
    <w:rsid w:val="00FC3402"/>
    <w:rsid w:val="00FD0916"/>
    <w:rsid w:val="00FE064D"/>
    <w:rsid w:val="00FE258C"/>
    <w:rsid w:val="00FF08C6"/>
    <w:rsid w:val="00FF3F11"/>
    <w:rsid w:val="00FF6B61"/>
    <w:rsid w:val="014F3686"/>
    <w:rsid w:val="01A843C9"/>
    <w:rsid w:val="01B5648B"/>
    <w:rsid w:val="01BD6D68"/>
    <w:rsid w:val="01EA1FF9"/>
    <w:rsid w:val="022B5EB3"/>
    <w:rsid w:val="02516D5D"/>
    <w:rsid w:val="02D7754B"/>
    <w:rsid w:val="02E32B9B"/>
    <w:rsid w:val="03333B28"/>
    <w:rsid w:val="03BD5685"/>
    <w:rsid w:val="040E3D74"/>
    <w:rsid w:val="041F679F"/>
    <w:rsid w:val="04536D05"/>
    <w:rsid w:val="04574A5B"/>
    <w:rsid w:val="045F6B9B"/>
    <w:rsid w:val="047A5F75"/>
    <w:rsid w:val="051C18C6"/>
    <w:rsid w:val="05496AD3"/>
    <w:rsid w:val="05503EE9"/>
    <w:rsid w:val="05A63E64"/>
    <w:rsid w:val="05F87A14"/>
    <w:rsid w:val="0622063D"/>
    <w:rsid w:val="06257A9B"/>
    <w:rsid w:val="06370BB9"/>
    <w:rsid w:val="068A6D8D"/>
    <w:rsid w:val="06E22230"/>
    <w:rsid w:val="071E26E7"/>
    <w:rsid w:val="073A438B"/>
    <w:rsid w:val="074A5921"/>
    <w:rsid w:val="07F21503"/>
    <w:rsid w:val="08286419"/>
    <w:rsid w:val="0843598F"/>
    <w:rsid w:val="086B7A96"/>
    <w:rsid w:val="087B7ECA"/>
    <w:rsid w:val="09023E62"/>
    <w:rsid w:val="0925411C"/>
    <w:rsid w:val="09906873"/>
    <w:rsid w:val="09A65A5B"/>
    <w:rsid w:val="09A80FE4"/>
    <w:rsid w:val="09FC2D94"/>
    <w:rsid w:val="0A49369E"/>
    <w:rsid w:val="0A6950B2"/>
    <w:rsid w:val="0A842A16"/>
    <w:rsid w:val="0AAD7773"/>
    <w:rsid w:val="0AB2005B"/>
    <w:rsid w:val="0B3801CA"/>
    <w:rsid w:val="0BCF3B63"/>
    <w:rsid w:val="0BDA4357"/>
    <w:rsid w:val="0C1F1F5E"/>
    <w:rsid w:val="0C271075"/>
    <w:rsid w:val="0C4E77AC"/>
    <w:rsid w:val="0D341714"/>
    <w:rsid w:val="0E355052"/>
    <w:rsid w:val="0E8A4B36"/>
    <w:rsid w:val="0EAE0E4B"/>
    <w:rsid w:val="0ECF0B35"/>
    <w:rsid w:val="0EDF7FCE"/>
    <w:rsid w:val="0EFA6C25"/>
    <w:rsid w:val="0EFB6A3B"/>
    <w:rsid w:val="0F475A33"/>
    <w:rsid w:val="0FD93990"/>
    <w:rsid w:val="0FDC5289"/>
    <w:rsid w:val="10770990"/>
    <w:rsid w:val="108F69C6"/>
    <w:rsid w:val="10C52983"/>
    <w:rsid w:val="11352E89"/>
    <w:rsid w:val="120D2C61"/>
    <w:rsid w:val="12126D0C"/>
    <w:rsid w:val="12587BF4"/>
    <w:rsid w:val="12F549CC"/>
    <w:rsid w:val="12F817D9"/>
    <w:rsid w:val="13550B17"/>
    <w:rsid w:val="13624262"/>
    <w:rsid w:val="13851477"/>
    <w:rsid w:val="13AF33A6"/>
    <w:rsid w:val="13CB537E"/>
    <w:rsid w:val="140D2315"/>
    <w:rsid w:val="15395E57"/>
    <w:rsid w:val="153A1BFC"/>
    <w:rsid w:val="15CC4F60"/>
    <w:rsid w:val="16347630"/>
    <w:rsid w:val="164B10C2"/>
    <w:rsid w:val="167610E5"/>
    <w:rsid w:val="168E4A83"/>
    <w:rsid w:val="16EA7E08"/>
    <w:rsid w:val="17083BFC"/>
    <w:rsid w:val="174B7049"/>
    <w:rsid w:val="174D31CB"/>
    <w:rsid w:val="178925BA"/>
    <w:rsid w:val="17D604C9"/>
    <w:rsid w:val="181A13C0"/>
    <w:rsid w:val="187C1320"/>
    <w:rsid w:val="1885398B"/>
    <w:rsid w:val="18897EAB"/>
    <w:rsid w:val="18AD79C2"/>
    <w:rsid w:val="19022076"/>
    <w:rsid w:val="19291DF1"/>
    <w:rsid w:val="1A204C26"/>
    <w:rsid w:val="1A2967F7"/>
    <w:rsid w:val="1A59214C"/>
    <w:rsid w:val="1AA54D31"/>
    <w:rsid w:val="1AA71D9C"/>
    <w:rsid w:val="1AC46536"/>
    <w:rsid w:val="1B191EE3"/>
    <w:rsid w:val="1B257563"/>
    <w:rsid w:val="1BD84474"/>
    <w:rsid w:val="1BE0427A"/>
    <w:rsid w:val="1C6D6CC4"/>
    <w:rsid w:val="1C8D4D52"/>
    <w:rsid w:val="1C9B5003"/>
    <w:rsid w:val="1D012A8E"/>
    <w:rsid w:val="1D2E45B5"/>
    <w:rsid w:val="1D6A51E5"/>
    <w:rsid w:val="1D8F2FC7"/>
    <w:rsid w:val="1E1B07CA"/>
    <w:rsid w:val="1E610B39"/>
    <w:rsid w:val="1EF338D1"/>
    <w:rsid w:val="1FEA0E8C"/>
    <w:rsid w:val="20193879"/>
    <w:rsid w:val="2038292A"/>
    <w:rsid w:val="20887E94"/>
    <w:rsid w:val="20C44BBF"/>
    <w:rsid w:val="21230B64"/>
    <w:rsid w:val="21403C26"/>
    <w:rsid w:val="21493A09"/>
    <w:rsid w:val="21837161"/>
    <w:rsid w:val="224F5D62"/>
    <w:rsid w:val="22701852"/>
    <w:rsid w:val="22B94236"/>
    <w:rsid w:val="22C6285C"/>
    <w:rsid w:val="230C766C"/>
    <w:rsid w:val="24367A4F"/>
    <w:rsid w:val="2438402E"/>
    <w:rsid w:val="24ED1283"/>
    <w:rsid w:val="2508183C"/>
    <w:rsid w:val="250A770A"/>
    <w:rsid w:val="25511AB0"/>
    <w:rsid w:val="25790B55"/>
    <w:rsid w:val="25D36D24"/>
    <w:rsid w:val="25E34F6A"/>
    <w:rsid w:val="25F15FAD"/>
    <w:rsid w:val="26107E37"/>
    <w:rsid w:val="26924366"/>
    <w:rsid w:val="26F47AFA"/>
    <w:rsid w:val="26FF10E5"/>
    <w:rsid w:val="273D2D29"/>
    <w:rsid w:val="276340FD"/>
    <w:rsid w:val="27BA047A"/>
    <w:rsid w:val="27FA406D"/>
    <w:rsid w:val="286D64E4"/>
    <w:rsid w:val="28B831A5"/>
    <w:rsid w:val="29323119"/>
    <w:rsid w:val="293469B8"/>
    <w:rsid w:val="294F4685"/>
    <w:rsid w:val="29747B4E"/>
    <w:rsid w:val="2A4B480E"/>
    <w:rsid w:val="2AA667BD"/>
    <w:rsid w:val="2BC85999"/>
    <w:rsid w:val="2BD23017"/>
    <w:rsid w:val="2C613100"/>
    <w:rsid w:val="2CA45D71"/>
    <w:rsid w:val="2CBB51E9"/>
    <w:rsid w:val="2CCC1076"/>
    <w:rsid w:val="2D28043B"/>
    <w:rsid w:val="2D535DA5"/>
    <w:rsid w:val="2D5812E3"/>
    <w:rsid w:val="2DD66261"/>
    <w:rsid w:val="2DE47BAB"/>
    <w:rsid w:val="2DF56F41"/>
    <w:rsid w:val="2E337800"/>
    <w:rsid w:val="2E4052C7"/>
    <w:rsid w:val="2E907636"/>
    <w:rsid w:val="2EA37606"/>
    <w:rsid w:val="2EA401B3"/>
    <w:rsid w:val="2ED25943"/>
    <w:rsid w:val="2F2A5E7F"/>
    <w:rsid w:val="2FC01A54"/>
    <w:rsid w:val="2FFB782F"/>
    <w:rsid w:val="30256BBF"/>
    <w:rsid w:val="30282288"/>
    <w:rsid w:val="305A55C3"/>
    <w:rsid w:val="31581587"/>
    <w:rsid w:val="31B5761B"/>
    <w:rsid w:val="31C25119"/>
    <w:rsid w:val="31D57352"/>
    <w:rsid w:val="320B2149"/>
    <w:rsid w:val="323063B6"/>
    <w:rsid w:val="326E4D09"/>
    <w:rsid w:val="33150BE9"/>
    <w:rsid w:val="33750F47"/>
    <w:rsid w:val="338B46A2"/>
    <w:rsid w:val="33A96632"/>
    <w:rsid w:val="348D31C1"/>
    <w:rsid w:val="353638EA"/>
    <w:rsid w:val="356151AC"/>
    <w:rsid w:val="35986BFF"/>
    <w:rsid w:val="35E71BBB"/>
    <w:rsid w:val="35F268D8"/>
    <w:rsid w:val="366B784E"/>
    <w:rsid w:val="36930CB6"/>
    <w:rsid w:val="36B23945"/>
    <w:rsid w:val="375C5655"/>
    <w:rsid w:val="37A94292"/>
    <w:rsid w:val="381B6036"/>
    <w:rsid w:val="385D1420"/>
    <w:rsid w:val="38C01FAB"/>
    <w:rsid w:val="394948BE"/>
    <w:rsid w:val="39CA190C"/>
    <w:rsid w:val="39E332D4"/>
    <w:rsid w:val="39F06B8B"/>
    <w:rsid w:val="39F557DF"/>
    <w:rsid w:val="3A492DED"/>
    <w:rsid w:val="3A4C2554"/>
    <w:rsid w:val="3A804B9A"/>
    <w:rsid w:val="3A8B353F"/>
    <w:rsid w:val="3A96260F"/>
    <w:rsid w:val="3A9E7379"/>
    <w:rsid w:val="3AB9290A"/>
    <w:rsid w:val="3B681538"/>
    <w:rsid w:val="3B761193"/>
    <w:rsid w:val="3BC334CC"/>
    <w:rsid w:val="3C5D2182"/>
    <w:rsid w:val="3CE17539"/>
    <w:rsid w:val="3D092248"/>
    <w:rsid w:val="3D15487D"/>
    <w:rsid w:val="3D416558"/>
    <w:rsid w:val="3D7F7E99"/>
    <w:rsid w:val="3D9D15F9"/>
    <w:rsid w:val="3E1623F1"/>
    <w:rsid w:val="3E345BF6"/>
    <w:rsid w:val="3E7C1EC3"/>
    <w:rsid w:val="3F0749CB"/>
    <w:rsid w:val="3F647724"/>
    <w:rsid w:val="3F7771C9"/>
    <w:rsid w:val="3FCC3A7D"/>
    <w:rsid w:val="3FCE513B"/>
    <w:rsid w:val="3FD0167A"/>
    <w:rsid w:val="3FFC29B6"/>
    <w:rsid w:val="3FFF0056"/>
    <w:rsid w:val="40E53347"/>
    <w:rsid w:val="415A3CE3"/>
    <w:rsid w:val="41BA0174"/>
    <w:rsid w:val="42321890"/>
    <w:rsid w:val="424A0098"/>
    <w:rsid w:val="4268279C"/>
    <w:rsid w:val="43A76F7C"/>
    <w:rsid w:val="43C24833"/>
    <w:rsid w:val="43EE0BA1"/>
    <w:rsid w:val="44CD1324"/>
    <w:rsid w:val="44F83787"/>
    <w:rsid w:val="44FA0A9B"/>
    <w:rsid w:val="456A0B9C"/>
    <w:rsid w:val="45831FA4"/>
    <w:rsid w:val="45977F5E"/>
    <w:rsid w:val="459D7151"/>
    <w:rsid w:val="4618711E"/>
    <w:rsid w:val="468503FB"/>
    <w:rsid w:val="46B46417"/>
    <w:rsid w:val="46BA4ED3"/>
    <w:rsid w:val="46E16881"/>
    <w:rsid w:val="4788638E"/>
    <w:rsid w:val="47CC49F6"/>
    <w:rsid w:val="47F4056B"/>
    <w:rsid w:val="480A03A0"/>
    <w:rsid w:val="48553696"/>
    <w:rsid w:val="48623826"/>
    <w:rsid w:val="48967631"/>
    <w:rsid w:val="48EF607F"/>
    <w:rsid w:val="49101049"/>
    <w:rsid w:val="49136A50"/>
    <w:rsid w:val="497710CB"/>
    <w:rsid w:val="49DF45F5"/>
    <w:rsid w:val="4A5A0BD8"/>
    <w:rsid w:val="4A705F4C"/>
    <w:rsid w:val="4AA60B16"/>
    <w:rsid w:val="4AA73EA9"/>
    <w:rsid w:val="4AE872DC"/>
    <w:rsid w:val="4B8931B0"/>
    <w:rsid w:val="4BB31E49"/>
    <w:rsid w:val="4C7B4B35"/>
    <w:rsid w:val="4CD677D2"/>
    <w:rsid w:val="4D265A75"/>
    <w:rsid w:val="4D2B4CA3"/>
    <w:rsid w:val="4D6E0C59"/>
    <w:rsid w:val="4D783E9A"/>
    <w:rsid w:val="4DC50DF4"/>
    <w:rsid w:val="4EB76EDC"/>
    <w:rsid w:val="4F376656"/>
    <w:rsid w:val="4F3B37B1"/>
    <w:rsid w:val="4F7A7119"/>
    <w:rsid w:val="4FCC212D"/>
    <w:rsid w:val="504A7C35"/>
    <w:rsid w:val="50620201"/>
    <w:rsid w:val="507B7FA9"/>
    <w:rsid w:val="50E7632A"/>
    <w:rsid w:val="50F3383F"/>
    <w:rsid w:val="510B1332"/>
    <w:rsid w:val="51280C0E"/>
    <w:rsid w:val="513B77C8"/>
    <w:rsid w:val="51A7096A"/>
    <w:rsid w:val="51B9134A"/>
    <w:rsid w:val="522079AE"/>
    <w:rsid w:val="52646324"/>
    <w:rsid w:val="52FD1BF2"/>
    <w:rsid w:val="53004DAA"/>
    <w:rsid w:val="5309550F"/>
    <w:rsid w:val="5329142A"/>
    <w:rsid w:val="53396232"/>
    <w:rsid w:val="53862CFB"/>
    <w:rsid w:val="53B76DF7"/>
    <w:rsid w:val="53DA1C59"/>
    <w:rsid w:val="54CF0CBB"/>
    <w:rsid w:val="54D71312"/>
    <w:rsid w:val="55005E1D"/>
    <w:rsid w:val="551915D1"/>
    <w:rsid w:val="55570B9F"/>
    <w:rsid w:val="555D4E15"/>
    <w:rsid w:val="55E80488"/>
    <w:rsid w:val="561D6BEE"/>
    <w:rsid w:val="56204733"/>
    <w:rsid w:val="5620588A"/>
    <w:rsid w:val="56812007"/>
    <w:rsid w:val="56A159A9"/>
    <w:rsid w:val="56BF7BC3"/>
    <w:rsid w:val="57014C7E"/>
    <w:rsid w:val="57025D68"/>
    <w:rsid w:val="57455B81"/>
    <w:rsid w:val="574A3A46"/>
    <w:rsid w:val="5770633B"/>
    <w:rsid w:val="580E566F"/>
    <w:rsid w:val="5864336A"/>
    <w:rsid w:val="58871BF5"/>
    <w:rsid w:val="58A20349"/>
    <w:rsid w:val="58C560F8"/>
    <w:rsid w:val="58C86EC1"/>
    <w:rsid w:val="58EF6A94"/>
    <w:rsid w:val="5936061A"/>
    <w:rsid w:val="593B20B1"/>
    <w:rsid w:val="5980475F"/>
    <w:rsid w:val="5982230C"/>
    <w:rsid w:val="59982DEC"/>
    <w:rsid w:val="599C2A7F"/>
    <w:rsid w:val="5A491C3C"/>
    <w:rsid w:val="5A61633E"/>
    <w:rsid w:val="5A6C60F1"/>
    <w:rsid w:val="5AA11507"/>
    <w:rsid w:val="5AAE5DA5"/>
    <w:rsid w:val="5AC83AC6"/>
    <w:rsid w:val="5B7607C9"/>
    <w:rsid w:val="5BA9531D"/>
    <w:rsid w:val="5BDB25F3"/>
    <w:rsid w:val="5C1C4A08"/>
    <w:rsid w:val="5C275F49"/>
    <w:rsid w:val="5CAE7649"/>
    <w:rsid w:val="5CB42478"/>
    <w:rsid w:val="5CC21C7F"/>
    <w:rsid w:val="5CD0655D"/>
    <w:rsid w:val="5CE33C06"/>
    <w:rsid w:val="5CF32574"/>
    <w:rsid w:val="5D612DF0"/>
    <w:rsid w:val="5DE43E83"/>
    <w:rsid w:val="5E0D0A28"/>
    <w:rsid w:val="5F0B770C"/>
    <w:rsid w:val="5F240D6F"/>
    <w:rsid w:val="5F2971C0"/>
    <w:rsid w:val="5F596ACE"/>
    <w:rsid w:val="5FB209AA"/>
    <w:rsid w:val="60575F4E"/>
    <w:rsid w:val="60BE7829"/>
    <w:rsid w:val="6100110A"/>
    <w:rsid w:val="6112008B"/>
    <w:rsid w:val="615C6DCD"/>
    <w:rsid w:val="61A85A55"/>
    <w:rsid w:val="61A917E0"/>
    <w:rsid w:val="625450CA"/>
    <w:rsid w:val="62B12CAB"/>
    <w:rsid w:val="62B277CF"/>
    <w:rsid w:val="62C65B62"/>
    <w:rsid w:val="63C2591B"/>
    <w:rsid w:val="640B68C9"/>
    <w:rsid w:val="64147939"/>
    <w:rsid w:val="64283A29"/>
    <w:rsid w:val="646977A7"/>
    <w:rsid w:val="64986E00"/>
    <w:rsid w:val="651B42AA"/>
    <w:rsid w:val="654D2AAA"/>
    <w:rsid w:val="65AB64EA"/>
    <w:rsid w:val="65D62733"/>
    <w:rsid w:val="662D511C"/>
    <w:rsid w:val="66610375"/>
    <w:rsid w:val="668D612B"/>
    <w:rsid w:val="66946D27"/>
    <w:rsid w:val="66C82452"/>
    <w:rsid w:val="66EF2C12"/>
    <w:rsid w:val="67A1679E"/>
    <w:rsid w:val="67BA6A61"/>
    <w:rsid w:val="680239E2"/>
    <w:rsid w:val="6812641F"/>
    <w:rsid w:val="684749ED"/>
    <w:rsid w:val="68E35FDB"/>
    <w:rsid w:val="69457B65"/>
    <w:rsid w:val="695661D5"/>
    <w:rsid w:val="699748AE"/>
    <w:rsid w:val="69C259EB"/>
    <w:rsid w:val="6A9B7CCD"/>
    <w:rsid w:val="6AB11502"/>
    <w:rsid w:val="6B494629"/>
    <w:rsid w:val="6B79114E"/>
    <w:rsid w:val="6C041A7B"/>
    <w:rsid w:val="6C341A59"/>
    <w:rsid w:val="6CE03E91"/>
    <w:rsid w:val="6D41679B"/>
    <w:rsid w:val="6D917154"/>
    <w:rsid w:val="6DA344EE"/>
    <w:rsid w:val="6DBA4274"/>
    <w:rsid w:val="6DE05486"/>
    <w:rsid w:val="6E083E01"/>
    <w:rsid w:val="6E793BE8"/>
    <w:rsid w:val="6EDF2CF8"/>
    <w:rsid w:val="70082B47"/>
    <w:rsid w:val="702708E7"/>
    <w:rsid w:val="702A1420"/>
    <w:rsid w:val="70407E34"/>
    <w:rsid w:val="708B43D9"/>
    <w:rsid w:val="70967B18"/>
    <w:rsid w:val="70A06C10"/>
    <w:rsid w:val="70CD14D9"/>
    <w:rsid w:val="70EB16EE"/>
    <w:rsid w:val="71455649"/>
    <w:rsid w:val="715D1ABB"/>
    <w:rsid w:val="717F56ED"/>
    <w:rsid w:val="71A94D61"/>
    <w:rsid w:val="71B36DBE"/>
    <w:rsid w:val="72F12B8D"/>
    <w:rsid w:val="72FD40F1"/>
    <w:rsid w:val="73B711E5"/>
    <w:rsid w:val="73C62AAB"/>
    <w:rsid w:val="741C7A91"/>
    <w:rsid w:val="743C5F18"/>
    <w:rsid w:val="74EB3970"/>
    <w:rsid w:val="7550093A"/>
    <w:rsid w:val="75A60AA3"/>
    <w:rsid w:val="75BF35A4"/>
    <w:rsid w:val="75E05D18"/>
    <w:rsid w:val="765E52BB"/>
    <w:rsid w:val="77F83F75"/>
    <w:rsid w:val="77FC19DD"/>
    <w:rsid w:val="784B0E35"/>
    <w:rsid w:val="78A00C9C"/>
    <w:rsid w:val="78E0142C"/>
    <w:rsid w:val="791365FE"/>
    <w:rsid w:val="793E5E1A"/>
    <w:rsid w:val="79DE15EC"/>
    <w:rsid w:val="79F72205"/>
    <w:rsid w:val="7A0003D0"/>
    <w:rsid w:val="7A4B0D87"/>
    <w:rsid w:val="7A913D80"/>
    <w:rsid w:val="7AC97F87"/>
    <w:rsid w:val="7AED7C43"/>
    <w:rsid w:val="7AEE237F"/>
    <w:rsid w:val="7B2A1912"/>
    <w:rsid w:val="7B367EA5"/>
    <w:rsid w:val="7B4E4142"/>
    <w:rsid w:val="7B636798"/>
    <w:rsid w:val="7BEF23F2"/>
    <w:rsid w:val="7C083284"/>
    <w:rsid w:val="7C3D7B7E"/>
    <w:rsid w:val="7C44161A"/>
    <w:rsid w:val="7C9E005A"/>
    <w:rsid w:val="7CC24D85"/>
    <w:rsid w:val="7CFA0D7E"/>
    <w:rsid w:val="7D2E0395"/>
    <w:rsid w:val="7D8B37C0"/>
    <w:rsid w:val="7E830763"/>
    <w:rsid w:val="7E955DE8"/>
    <w:rsid w:val="7EFB15D3"/>
    <w:rsid w:val="7F85624B"/>
    <w:rsid w:val="7FC62616"/>
    <w:rsid w:val="7FDA235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Plain Text"/>
    <w:basedOn w:val="1"/>
    <w:link w:val="9"/>
    <w:uiPriority w:val="0"/>
    <w:rPr>
      <w:rFonts w:ascii="宋体" w:hAnsi="Courier New" w:cs="Courier New"/>
      <w:szCs w:val="21"/>
    </w:rPr>
  </w:style>
  <w:style w:type="paragraph" w:styleId="3">
    <w:name w:val="Balloon Text"/>
    <w:basedOn w:val="1"/>
    <w:semiHidden/>
    <w:qFormat/>
    <w:uiPriority w:val="0"/>
    <w:rPr>
      <w:sz w:val="18"/>
      <w:szCs w:val="18"/>
    </w:rPr>
  </w:style>
  <w:style w:type="paragraph" w:styleId="4">
    <w:name w:val="footer"/>
    <w:basedOn w:val="1"/>
    <w:link w:val="10"/>
    <w:qFormat/>
    <w:uiPriority w:val="99"/>
    <w:pPr>
      <w:tabs>
        <w:tab w:val="center" w:pos="4153"/>
        <w:tab w:val="right" w:pos="8306"/>
      </w:tabs>
      <w:snapToGrid w:val="0"/>
      <w:jc w:val="left"/>
    </w:pPr>
    <w:rPr>
      <w:sz w:val="18"/>
      <w:szCs w:val="18"/>
    </w:rPr>
  </w:style>
  <w:style w:type="paragraph" w:styleId="5">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character" w:customStyle="1" w:styleId="9">
    <w:name w:val="纯文本 Char"/>
    <w:basedOn w:val="8"/>
    <w:link w:val="2"/>
    <w:uiPriority w:val="0"/>
    <w:rPr>
      <w:rFonts w:ascii="宋体" w:hAnsi="Courier New" w:eastAsia="宋体" w:cs="Courier New"/>
      <w:kern w:val="2"/>
      <w:sz w:val="21"/>
      <w:szCs w:val="21"/>
      <w:lang w:val="en-US" w:eastAsia="zh-CN" w:bidi="ar-SA"/>
    </w:rPr>
  </w:style>
  <w:style w:type="character" w:customStyle="1" w:styleId="10">
    <w:name w:val="页脚 Char"/>
    <w:basedOn w:val="8"/>
    <w:link w:val="4"/>
    <w:uiPriority w:val="99"/>
    <w:rPr>
      <w:kern w:val="2"/>
      <w:sz w:val="18"/>
      <w:szCs w:val="18"/>
    </w:rPr>
  </w:style>
  <w:style w:type="paragraph" w:customStyle="1" w:styleId="11">
    <w:name w:val="BodyText1I2"/>
    <w:basedOn w:val="12"/>
    <w:qFormat/>
    <w:uiPriority w:val="0"/>
    <w:pPr>
      <w:spacing w:after="120"/>
      <w:ind w:left="420" w:leftChars="200"/>
    </w:pPr>
    <w:rPr>
      <w:szCs w:val="24"/>
    </w:rPr>
  </w:style>
  <w:style w:type="paragraph" w:customStyle="1" w:styleId="12">
    <w:name w:val="BodyTextIndent"/>
    <w:basedOn w:val="1"/>
    <w:next w:val="1"/>
    <w:qFormat/>
    <w:uiPriority w:val="0"/>
    <w:pPr>
      <w:ind w:firstLine="420"/>
    </w:pPr>
    <w:rPr>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信念技术论坛</Company>
  <Pages>4</Pages>
  <Words>1077</Words>
  <Characters>1181</Characters>
  <Lines>18</Lines>
  <Paragraphs>5</Paragraphs>
  <TotalTime>6</TotalTime>
  <ScaleCrop>false</ScaleCrop>
  <LinksUpToDate>false</LinksUpToDate>
  <CharactersWithSpaces>1196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2013-08-07T02:49:00Z</dcterms:created>
  <dc:creator>User</dc:creator>
  <cp:lastModifiedBy>遇见*^o^*</cp:lastModifiedBy>
  <cp:lastPrinted>2023-04-03T00:53:00Z</cp:lastPrinted>
  <dcterms:modified xsi:type="dcterms:W3CDTF">2024-12-20T03:17:52Z</dcterms:modified>
  <dc:title>工程量清单编制说明</dc:title>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908C8487AA4C4D6B8A45B5C553973473_13</vt:lpwstr>
  </property>
</Properties>
</file>