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A42916">
      <w:pPr>
        <w:numPr>
          <w:ilvl w:val="0"/>
          <w:numId w:val="1"/>
        </w:numPr>
        <w:spacing w:line="360" w:lineRule="auto"/>
        <w:ind w:left="1077" w:hanging="1077"/>
        <w:jc w:val="center"/>
        <w:outlineLvl w:val="0"/>
        <w:rPr>
          <w:rFonts w:ascii="宋体" w:hAnsi="宋体"/>
          <w:b/>
          <w:bCs/>
          <w:sz w:val="30"/>
          <w:szCs w:val="30"/>
        </w:rPr>
      </w:pPr>
      <w:r>
        <w:rPr>
          <w:rFonts w:ascii="宋体" w:hAnsi="宋体"/>
          <w:b/>
          <w:bCs/>
          <w:sz w:val="30"/>
          <w:szCs w:val="30"/>
        </w:rPr>
        <w:t>采购需求</w:t>
      </w:r>
    </w:p>
    <w:p w14:paraId="31A01D6D">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jc w:val="both"/>
        <w:textAlignment w:val="auto"/>
        <w:rPr>
          <w:rFonts w:hint="eastAsia" w:ascii="仿宋_GB2312" w:hAnsi="仿宋_GB2312" w:eastAsia="仿宋_GB2312" w:cs="仿宋_GB2312"/>
          <w:b w:val="0"/>
          <w:bCs w:val="0"/>
          <w:snapToGrid w:val="0"/>
          <w:color w:val="1D508A"/>
          <w:spacing w:val="-1"/>
          <w:kern w:val="0"/>
          <w:sz w:val="32"/>
          <w:szCs w:val="32"/>
          <w:lang w:val="en-US" w:eastAsia="zh-CN"/>
        </w:rPr>
      </w:pPr>
      <w:r>
        <w:rPr>
          <w:rFonts w:ascii="微软雅黑" w:hAnsi="微软雅黑" w:eastAsia="微软雅黑" w:cs="微软雅黑"/>
          <w:b/>
          <w:bCs/>
          <w:color w:val="1D508A"/>
          <w:position w:val="-5"/>
          <w:sz w:val="24"/>
          <w:szCs w:val="24"/>
        </w:rPr>
        <w:drawing>
          <wp:inline distT="0" distB="0" distL="114300" distR="114300">
            <wp:extent cx="95250" cy="168275"/>
            <wp:effectExtent l="0" t="0" r="0" b="2540"/>
            <wp:docPr id="13" name="图片 1"/>
            <wp:cNvGraphicFramePr/>
            <a:graphic xmlns:a="http://schemas.openxmlformats.org/drawingml/2006/main">
              <a:graphicData uri="http://schemas.openxmlformats.org/drawingml/2006/picture">
                <pic:pic xmlns:pic="http://schemas.openxmlformats.org/drawingml/2006/picture">
                  <pic:nvPicPr>
                    <pic:cNvPr id="13" name="图片 1"/>
                    <pic:cNvPicPr/>
                  </pic:nvPicPr>
                  <pic:blipFill>
                    <a:blip r:embed="rId4"/>
                    <a:stretch>
                      <a:fillRect/>
                    </a:stretch>
                  </pic:blipFill>
                  <pic:spPr>
                    <a:xfrm>
                      <a:off x="0" y="0"/>
                      <a:ext cx="95250" cy="168275"/>
                    </a:xfrm>
                    <a:prstGeom prst="rect">
                      <a:avLst/>
                    </a:prstGeom>
                    <a:noFill/>
                    <a:ln>
                      <a:noFill/>
                    </a:ln>
                  </pic:spPr>
                </pic:pic>
              </a:graphicData>
            </a:graphic>
          </wp:inline>
        </w:drawing>
      </w:r>
      <w:r>
        <w:rPr>
          <w:rFonts w:hint="eastAsia" w:ascii="微软雅黑" w:hAnsi="微软雅黑" w:eastAsia="微软雅黑" w:cs="微软雅黑"/>
          <w:b/>
          <w:bCs/>
          <w:color w:val="1D508A"/>
          <w:position w:val="-5"/>
          <w:sz w:val="24"/>
          <w:szCs w:val="24"/>
          <w:lang w:val="en-US" w:eastAsia="zh-CN"/>
        </w:rPr>
        <w:t xml:space="preserve"> </w:t>
      </w:r>
      <w:r>
        <w:rPr>
          <w:rFonts w:hint="eastAsia" w:ascii="仿宋_GB2312" w:hAnsi="仿宋_GB2312" w:eastAsia="仿宋_GB2312" w:cs="仿宋_GB2312"/>
          <w:b/>
          <w:bCs/>
          <w:snapToGrid w:val="0"/>
          <w:color w:val="1D508A"/>
          <w:spacing w:val="-1"/>
          <w:kern w:val="0"/>
          <w:sz w:val="32"/>
          <w:szCs w:val="32"/>
          <w:lang w:val="en-US" w:eastAsia="zh-CN"/>
        </w:rPr>
        <w:t>组织机构</w:t>
      </w:r>
      <w:r>
        <w:rPr>
          <w:rFonts w:hint="eastAsia" w:ascii="仿宋_GB2312" w:hAnsi="仿宋_GB2312" w:eastAsia="仿宋_GB2312" w:cs="仿宋_GB2312"/>
          <w:b w:val="0"/>
          <w:bCs w:val="0"/>
          <w:snapToGrid w:val="0"/>
          <w:color w:val="1D508A"/>
          <w:spacing w:val="-1"/>
          <w:kern w:val="0"/>
          <w:sz w:val="32"/>
          <w:szCs w:val="32"/>
          <w:lang w:val="en-US" w:eastAsia="zh-CN"/>
        </w:rPr>
        <w:t>：</w:t>
      </w:r>
    </w:p>
    <w:p w14:paraId="69F721C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一、主办单位：普陀区人民政府</w:t>
      </w:r>
    </w:p>
    <w:p w14:paraId="1A70C4C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b w:val="0"/>
          <w:bCs w:val="0"/>
          <w:sz w:val="32"/>
          <w:szCs w:val="40"/>
          <w:lang w:val="en-US" w:eastAsia="zh-CN"/>
        </w:rPr>
      </w:pPr>
      <w:r>
        <w:rPr>
          <w:rFonts w:hint="eastAsia" w:ascii="仿宋_GB2312" w:hAnsi="仿宋_GB2312" w:eastAsia="仿宋_GB2312" w:cs="仿宋_GB2312"/>
          <w:b w:val="0"/>
          <w:bCs w:val="0"/>
          <w:sz w:val="30"/>
          <w:szCs w:val="30"/>
          <w:lang w:val="en-US" w:eastAsia="zh-CN"/>
        </w:rPr>
        <w:t>二、承办单位：舟山市普陀区文化和广电旅游体育局</w:t>
      </w:r>
    </w:p>
    <w:p w14:paraId="011553DB">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jc w:val="both"/>
        <w:textAlignment w:val="auto"/>
        <w:rPr>
          <w:rFonts w:hint="eastAsia" w:ascii="仿宋_GB2312" w:hAnsi="仿宋_GB2312" w:eastAsia="仿宋_GB2312" w:cs="仿宋_GB2312"/>
          <w:b/>
          <w:bCs/>
          <w:snapToGrid w:val="0"/>
          <w:color w:val="1D508A"/>
          <w:spacing w:val="-1"/>
          <w:kern w:val="0"/>
          <w:sz w:val="32"/>
          <w:szCs w:val="32"/>
          <w:lang w:val="en-US" w:eastAsia="zh-CN"/>
        </w:rPr>
      </w:pPr>
      <w:r>
        <w:rPr>
          <w:rFonts w:ascii="微软雅黑" w:hAnsi="微软雅黑" w:eastAsia="微软雅黑" w:cs="微软雅黑"/>
          <w:b/>
          <w:bCs/>
          <w:color w:val="1D508A"/>
          <w:position w:val="-5"/>
          <w:sz w:val="24"/>
          <w:szCs w:val="24"/>
        </w:rPr>
        <w:drawing>
          <wp:inline distT="0" distB="0" distL="114300" distR="114300">
            <wp:extent cx="95250" cy="168275"/>
            <wp:effectExtent l="0" t="0" r="0" b="254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4"/>
                    <a:stretch>
                      <a:fillRect/>
                    </a:stretch>
                  </pic:blipFill>
                  <pic:spPr>
                    <a:xfrm>
                      <a:off x="0" y="0"/>
                      <a:ext cx="95250" cy="168275"/>
                    </a:xfrm>
                    <a:prstGeom prst="rect">
                      <a:avLst/>
                    </a:prstGeom>
                    <a:noFill/>
                    <a:ln>
                      <a:noFill/>
                    </a:ln>
                  </pic:spPr>
                </pic:pic>
              </a:graphicData>
            </a:graphic>
          </wp:inline>
        </w:drawing>
      </w:r>
      <w:r>
        <w:rPr>
          <w:rFonts w:hint="eastAsia" w:ascii="微软雅黑" w:hAnsi="微软雅黑" w:eastAsia="微软雅黑" w:cs="微软雅黑"/>
          <w:b/>
          <w:bCs/>
          <w:color w:val="1D508A"/>
          <w:position w:val="-5"/>
          <w:sz w:val="24"/>
          <w:szCs w:val="24"/>
          <w:lang w:val="en-US" w:eastAsia="zh-CN"/>
        </w:rPr>
        <w:t xml:space="preserve"> </w:t>
      </w:r>
      <w:r>
        <w:rPr>
          <w:rFonts w:hint="eastAsia" w:ascii="仿宋_GB2312" w:hAnsi="仿宋_GB2312" w:eastAsia="仿宋_GB2312" w:cs="仿宋_GB2312"/>
          <w:b/>
          <w:bCs/>
          <w:snapToGrid w:val="0"/>
          <w:color w:val="1D508A"/>
          <w:spacing w:val="-1"/>
          <w:kern w:val="0"/>
          <w:sz w:val="32"/>
          <w:szCs w:val="32"/>
          <w:lang w:val="en-US" w:eastAsia="zh-CN"/>
        </w:rPr>
        <w:t>赛事概况：</w:t>
      </w:r>
    </w:p>
    <w:p w14:paraId="14B7DE5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一、活动时间：2024 年 12 月8日</w:t>
      </w:r>
    </w:p>
    <w:p w14:paraId="1D9E273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二、规模计划：1000 人</w:t>
      </w:r>
    </w:p>
    <w:p w14:paraId="03E4BEA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三、地点：舟山普陀区</w:t>
      </w:r>
    </w:p>
    <w:p w14:paraId="765AEC6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四、活动对象：越野跑爱好者等（8 周岁-- 65 周岁）</w:t>
      </w:r>
    </w:p>
    <w:p w14:paraId="411D75E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五、赛事起终点：沈家门渔港鳌鱼广场</w:t>
      </w:r>
    </w:p>
    <w:p w14:paraId="363EADB8">
      <w:pPr>
        <w:numPr>
          <w:ilvl w:val="0"/>
          <w:numId w:val="0"/>
        </w:numPr>
        <w:jc w:val="both"/>
      </w:pPr>
      <w:bookmarkStart w:id="0" w:name="_GoBack"/>
      <w:r>
        <w:drawing>
          <wp:anchor distT="0" distB="0" distL="114300" distR="114300" simplePos="0" relativeHeight="251659264" behindDoc="0" locked="0" layoutInCell="1" allowOverlap="1">
            <wp:simplePos x="0" y="0"/>
            <wp:positionH relativeFrom="column">
              <wp:posOffset>0</wp:posOffset>
            </wp:positionH>
            <wp:positionV relativeFrom="paragraph">
              <wp:posOffset>145415</wp:posOffset>
            </wp:positionV>
            <wp:extent cx="5090160" cy="2701925"/>
            <wp:effectExtent l="0" t="0" r="15240" b="3175"/>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090160" cy="2701925"/>
                    </a:xfrm>
                    <a:prstGeom prst="rect">
                      <a:avLst/>
                    </a:prstGeom>
                    <a:noFill/>
                    <a:ln>
                      <a:noFill/>
                    </a:ln>
                  </pic:spPr>
                </pic:pic>
              </a:graphicData>
            </a:graphic>
          </wp:anchor>
        </w:drawing>
      </w:r>
      <w:bookmarkEnd w:id="0"/>
    </w:p>
    <w:p w14:paraId="6E75E8B3">
      <w:pPr>
        <w:numPr>
          <w:ilvl w:val="0"/>
          <w:numId w:val="0"/>
        </w:numPr>
        <w:jc w:val="both"/>
      </w:pPr>
    </w:p>
    <w:p w14:paraId="1734A605">
      <w:pPr>
        <w:numPr>
          <w:ilvl w:val="0"/>
          <w:numId w:val="0"/>
        </w:numPr>
        <w:jc w:val="both"/>
      </w:pPr>
    </w:p>
    <w:p w14:paraId="0C8D653E">
      <w:pPr>
        <w:numPr>
          <w:ilvl w:val="0"/>
          <w:numId w:val="0"/>
        </w:numPr>
        <w:jc w:val="both"/>
      </w:pPr>
    </w:p>
    <w:p w14:paraId="5EF460B1">
      <w:pPr>
        <w:numPr>
          <w:ilvl w:val="0"/>
          <w:numId w:val="0"/>
        </w:numPr>
        <w:jc w:val="both"/>
      </w:pPr>
    </w:p>
    <w:p w14:paraId="7C4E0EEB">
      <w:pPr>
        <w:numPr>
          <w:ilvl w:val="0"/>
          <w:numId w:val="0"/>
        </w:numPr>
        <w:jc w:val="both"/>
      </w:pPr>
    </w:p>
    <w:p w14:paraId="7640E515">
      <w:pPr>
        <w:numPr>
          <w:ilvl w:val="0"/>
          <w:numId w:val="0"/>
        </w:numPr>
        <w:jc w:val="both"/>
      </w:pPr>
    </w:p>
    <w:p w14:paraId="6E7A2B3C">
      <w:pPr>
        <w:numPr>
          <w:ilvl w:val="0"/>
          <w:numId w:val="0"/>
        </w:numPr>
        <w:jc w:val="both"/>
      </w:pPr>
    </w:p>
    <w:p w14:paraId="70255172">
      <w:pPr>
        <w:numPr>
          <w:ilvl w:val="0"/>
          <w:numId w:val="0"/>
        </w:numPr>
        <w:jc w:val="both"/>
      </w:pPr>
    </w:p>
    <w:p w14:paraId="49DDD4C4">
      <w:pPr>
        <w:numPr>
          <w:ilvl w:val="0"/>
          <w:numId w:val="0"/>
        </w:numPr>
        <w:jc w:val="both"/>
      </w:pPr>
    </w:p>
    <w:p w14:paraId="100377F6">
      <w:pPr>
        <w:numPr>
          <w:ilvl w:val="0"/>
          <w:numId w:val="0"/>
        </w:numPr>
        <w:jc w:val="both"/>
      </w:pPr>
    </w:p>
    <w:p w14:paraId="4DE5BC14">
      <w:pPr>
        <w:numPr>
          <w:ilvl w:val="0"/>
          <w:numId w:val="0"/>
        </w:numPr>
        <w:jc w:val="both"/>
      </w:pPr>
    </w:p>
    <w:p w14:paraId="0D1AE744">
      <w:pPr>
        <w:numPr>
          <w:ilvl w:val="0"/>
          <w:numId w:val="0"/>
        </w:numPr>
        <w:jc w:val="both"/>
      </w:pPr>
    </w:p>
    <w:p w14:paraId="42FB03ED">
      <w:pPr>
        <w:numPr>
          <w:ilvl w:val="0"/>
          <w:numId w:val="0"/>
        </w:numPr>
        <w:jc w:val="both"/>
        <w:rPr>
          <w:rFonts w:hint="eastAsia"/>
          <w:lang w:val="en-US" w:eastAsia="zh-CN"/>
        </w:rPr>
      </w:pPr>
      <w:r>
        <w:drawing>
          <wp:inline distT="0" distB="0" distL="114300" distR="114300">
            <wp:extent cx="5266690" cy="2958465"/>
            <wp:effectExtent l="0" t="0" r="10160" b="1333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6"/>
                    <a:stretch>
                      <a:fillRect/>
                    </a:stretch>
                  </pic:blipFill>
                  <pic:spPr>
                    <a:xfrm>
                      <a:off x="0" y="0"/>
                      <a:ext cx="5266690" cy="2958465"/>
                    </a:xfrm>
                    <a:prstGeom prst="rect">
                      <a:avLst/>
                    </a:prstGeom>
                    <a:noFill/>
                    <a:ln>
                      <a:noFill/>
                    </a:ln>
                  </pic:spPr>
                </pic:pic>
              </a:graphicData>
            </a:graphic>
          </wp:inline>
        </w:drawing>
      </w:r>
    </w:p>
    <w:p w14:paraId="674D4CCB">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both"/>
        <w:textAlignment w:val="auto"/>
        <w:rPr>
          <w:rFonts w:hint="eastAsia" w:ascii="仿宋_GB2312" w:hAnsi="仿宋_GB2312" w:eastAsia="仿宋_GB2312" w:cs="仿宋_GB2312"/>
          <w:b/>
          <w:bCs/>
          <w:snapToGrid w:val="0"/>
          <w:color w:val="1D508A"/>
          <w:spacing w:val="-1"/>
          <w:kern w:val="0"/>
          <w:sz w:val="32"/>
          <w:szCs w:val="32"/>
          <w:lang w:val="en-US" w:eastAsia="zh-CN"/>
        </w:rPr>
      </w:pPr>
      <w:r>
        <w:rPr>
          <w:rFonts w:ascii="微软雅黑" w:hAnsi="微软雅黑" w:eastAsia="微软雅黑" w:cs="微软雅黑"/>
          <w:b/>
          <w:bCs/>
          <w:color w:val="1D508A"/>
          <w:position w:val="-5"/>
          <w:sz w:val="24"/>
          <w:szCs w:val="24"/>
        </w:rPr>
        <w:drawing>
          <wp:inline distT="0" distB="0" distL="114300" distR="114300">
            <wp:extent cx="95250" cy="168275"/>
            <wp:effectExtent l="0" t="0" r="0" b="254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4"/>
                    <a:stretch>
                      <a:fillRect/>
                    </a:stretch>
                  </pic:blipFill>
                  <pic:spPr>
                    <a:xfrm>
                      <a:off x="0" y="0"/>
                      <a:ext cx="95250" cy="168275"/>
                    </a:xfrm>
                    <a:prstGeom prst="rect">
                      <a:avLst/>
                    </a:prstGeom>
                    <a:noFill/>
                    <a:ln>
                      <a:noFill/>
                    </a:ln>
                  </pic:spPr>
                </pic:pic>
              </a:graphicData>
            </a:graphic>
          </wp:inline>
        </w:drawing>
      </w:r>
      <w:r>
        <w:rPr>
          <w:rFonts w:hint="eastAsia" w:ascii="微软雅黑" w:hAnsi="微软雅黑" w:eastAsia="微软雅黑" w:cs="微软雅黑"/>
          <w:b/>
          <w:bCs/>
          <w:color w:val="1D508A"/>
          <w:position w:val="-5"/>
          <w:sz w:val="24"/>
          <w:szCs w:val="24"/>
          <w:lang w:val="en-US" w:eastAsia="zh-CN"/>
        </w:rPr>
        <w:t xml:space="preserve"> </w:t>
      </w:r>
      <w:r>
        <w:rPr>
          <w:rFonts w:hint="eastAsia" w:ascii="仿宋_GB2312" w:hAnsi="仿宋_GB2312" w:eastAsia="仿宋_GB2312" w:cs="仿宋_GB2312"/>
          <w:b/>
          <w:bCs/>
          <w:snapToGrid w:val="0"/>
          <w:color w:val="1D508A"/>
          <w:spacing w:val="-1"/>
          <w:kern w:val="0"/>
          <w:sz w:val="32"/>
          <w:szCs w:val="32"/>
          <w:lang w:val="en-US" w:eastAsia="zh-CN"/>
        </w:rPr>
        <w:t>赛事组别及规模：</w:t>
      </w:r>
    </w:p>
    <w:p w14:paraId="764B3929">
      <w:pPr>
        <w:numPr>
          <w:ilvl w:val="0"/>
          <w:numId w:val="0"/>
        </w:numPr>
        <w:jc w:val="both"/>
        <w:rPr>
          <w:rFonts w:hint="default"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（一）10KM组别：100人（亲子组）</w:t>
      </w:r>
    </w:p>
    <w:p w14:paraId="19C4A38D">
      <w:pPr>
        <w:numPr>
          <w:ilvl w:val="0"/>
          <w:numId w:val="0"/>
        </w:numPr>
        <w:jc w:val="both"/>
        <w:rPr>
          <w:rFonts w:hint="default"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（二）20KM组别：200人</w:t>
      </w:r>
    </w:p>
    <w:p w14:paraId="67BDA02D">
      <w:pPr>
        <w:numPr>
          <w:ilvl w:val="0"/>
          <w:numId w:val="0"/>
        </w:numPr>
        <w:jc w:val="both"/>
        <w:rPr>
          <w:rFonts w:hint="default"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（三）35KM组别：400人（ITRA 2分（拟））</w:t>
      </w:r>
    </w:p>
    <w:p w14:paraId="6A6800D3">
      <w:pPr>
        <w:numPr>
          <w:ilvl w:val="0"/>
          <w:numId w:val="0"/>
        </w:numPr>
        <w:jc w:val="both"/>
        <w:rPr>
          <w:rFonts w:hint="default"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（四）55KM组别：300人（ITRA 3分（拟））</w:t>
      </w:r>
    </w:p>
    <w:p w14:paraId="29E85982">
      <w:pPr>
        <w:numPr>
          <w:ilvl w:val="0"/>
          <w:numId w:val="0"/>
        </w:numPr>
        <w:jc w:val="both"/>
      </w:pPr>
    </w:p>
    <w:p w14:paraId="7A4CC496">
      <w:pPr>
        <w:numPr>
          <w:ilvl w:val="0"/>
          <w:numId w:val="0"/>
        </w:numPr>
        <w:jc w:val="both"/>
        <w:rPr>
          <w:rFonts w:hint="eastAsia" w:ascii="仿宋_GB2312" w:hAnsi="仿宋_GB2312" w:eastAsia="仿宋_GB2312" w:cs="仿宋_GB2312"/>
          <w:b/>
          <w:bCs/>
          <w:snapToGrid w:val="0"/>
          <w:color w:val="1D508A"/>
          <w:spacing w:val="-1"/>
          <w:kern w:val="0"/>
          <w:sz w:val="32"/>
          <w:szCs w:val="32"/>
          <w:lang w:val="en-US" w:eastAsia="zh-CN"/>
        </w:rPr>
      </w:pPr>
      <w:r>
        <w:rPr>
          <w:rFonts w:ascii="微软雅黑" w:hAnsi="微软雅黑" w:eastAsia="微软雅黑" w:cs="微软雅黑"/>
          <w:b/>
          <w:bCs/>
          <w:color w:val="1D508A"/>
          <w:position w:val="-5"/>
          <w:sz w:val="24"/>
          <w:szCs w:val="24"/>
        </w:rPr>
        <w:drawing>
          <wp:inline distT="0" distB="0" distL="114300" distR="114300">
            <wp:extent cx="95250" cy="168275"/>
            <wp:effectExtent l="0" t="0" r="0" b="254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4"/>
                    <a:stretch>
                      <a:fillRect/>
                    </a:stretch>
                  </pic:blipFill>
                  <pic:spPr>
                    <a:xfrm>
                      <a:off x="0" y="0"/>
                      <a:ext cx="95250" cy="168275"/>
                    </a:xfrm>
                    <a:prstGeom prst="rect">
                      <a:avLst/>
                    </a:prstGeom>
                    <a:noFill/>
                    <a:ln>
                      <a:noFill/>
                    </a:ln>
                  </pic:spPr>
                </pic:pic>
              </a:graphicData>
            </a:graphic>
          </wp:inline>
        </w:drawing>
      </w:r>
      <w:r>
        <w:rPr>
          <w:rFonts w:hint="eastAsia" w:ascii="微软雅黑" w:hAnsi="微软雅黑" w:eastAsia="微软雅黑" w:cs="微软雅黑"/>
          <w:b/>
          <w:bCs/>
          <w:color w:val="1D508A"/>
          <w:position w:val="-5"/>
          <w:sz w:val="24"/>
          <w:szCs w:val="24"/>
          <w:lang w:val="en-US" w:eastAsia="zh-CN"/>
        </w:rPr>
        <w:t xml:space="preserve"> </w:t>
      </w:r>
      <w:r>
        <w:rPr>
          <w:rFonts w:hint="eastAsia" w:ascii="仿宋_GB2312" w:hAnsi="仿宋_GB2312" w:eastAsia="仿宋_GB2312" w:cs="仿宋_GB2312"/>
          <w:b/>
          <w:bCs/>
          <w:snapToGrid w:val="0"/>
          <w:color w:val="1D508A"/>
          <w:spacing w:val="-1"/>
          <w:kern w:val="0"/>
          <w:sz w:val="32"/>
          <w:szCs w:val="32"/>
          <w:lang w:val="en-US" w:eastAsia="zh-CN"/>
        </w:rPr>
        <w:t>赛事路线：</w:t>
      </w:r>
    </w:p>
    <w:p w14:paraId="1006629E">
      <w:pPr>
        <w:numPr>
          <w:ilvl w:val="0"/>
          <w:numId w:val="0"/>
        </w:numPr>
        <w:jc w:val="center"/>
        <w:rPr>
          <w:rFonts w:hint="default" w:ascii="仿宋_GB2312" w:hAnsi="仿宋_GB2312" w:eastAsia="仿宋_GB2312" w:cs="仿宋_GB2312"/>
          <w:b/>
          <w:bCs/>
          <w:snapToGrid w:val="0"/>
          <w:color w:val="1D508A"/>
          <w:spacing w:val="-1"/>
          <w:kern w:val="0"/>
          <w:sz w:val="32"/>
          <w:szCs w:val="32"/>
          <w:lang w:val="en-US" w:eastAsia="zh-CN"/>
        </w:rPr>
      </w:pPr>
      <w:r>
        <w:rPr>
          <w:rFonts w:hint="eastAsia" w:ascii="仿宋_GB2312" w:hAnsi="仿宋_GB2312" w:eastAsia="仿宋_GB2312" w:cs="仿宋_GB2312"/>
          <w:b w:val="0"/>
          <w:bCs w:val="0"/>
          <w:sz w:val="30"/>
          <w:szCs w:val="30"/>
          <w:lang w:val="en-US" w:eastAsia="zh-CN"/>
        </w:rPr>
        <w:t>10KM组别（亲子组）路线</w:t>
      </w:r>
    </w:p>
    <w:p w14:paraId="243B8F49">
      <w:pPr>
        <w:numPr>
          <w:ilvl w:val="0"/>
          <w:numId w:val="0"/>
        </w:numPr>
        <w:jc w:val="both"/>
      </w:pPr>
      <w:r>
        <w:drawing>
          <wp:inline distT="0" distB="0" distL="114300" distR="114300">
            <wp:extent cx="5270500" cy="3497580"/>
            <wp:effectExtent l="0" t="0" r="635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70500" cy="3497580"/>
                    </a:xfrm>
                    <a:prstGeom prst="rect">
                      <a:avLst/>
                    </a:prstGeom>
                    <a:noFill/>
                    <a:ln>
                      <a:noFill/>
                    </a:ln>
                  </pic:spPr>
                </pic:pic>
              </a:graphicData>
            </a:graphic>
          </wp:inline>
        </w:drawing>
      </w:r>
    </w:p>
    <w:p w14:paraId="313FF070">
      <w:pPr>
        <w:numPr>
          <w:ilvl w:val="0"/>
          <w:numId w:val="0"/>
        </w:numPr>
        <w:jc w:val="center"/>
      </w:pPr>
      <w:r>
        <w:rPr>
          <w:rFonts w:hint="eastAsia" w:ascii="仿宋_GB2312" w:hAnsi="仿宋_GB2312" w:eastAsia="仿宋_GB2312" w:cs="仿宋_GB2312"/>
          <w:b w:val="0"/>
          <w:bCs w:val="0"/>
          <w:sz w:val="30"/>
          <w:szCs w:val="30"/>
          <w:lang w:val="en-US" w:eastAsia="zh-CN"/>
        </w:rPr>
        <w:t>20KM组别（男/女）路线</w:t>
      </w:r>
    </w:p>
    <w:p w14:paraId="2ABBB760">
      <w:pPr>
        <w:numPr>
          <w:ilvl w:val="0"/>
          <w:numId w:val="0"/>
        </w:numPr>
        <w:jc w:val="both"/>
      </w:pPr>
      <w:r>
        <w:drawing>
          <wp:inline distT="0" distB="0" distL="114300" distR="114300">
            <wp:extent cx="5273040" cy="3524885"/>
            <wp:effectExtent l="0" t="0" r="3810" b="1841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8"/>
                    <a:stretch>
                      <a:fillRect/>
                    </a:stretch>
                  </pic:blipFill>
                  <pic:spPr>
                    <a:xfrm>
                      <a:off x="0" y="0"/>
                      <a:ext cx="5273040" cy="3524885"/>
                    </a:xfrm>
                    <a:prstGeom prst="rect">
                      <a:avLst/>
                    </a:prstGeom>
                    <a:noFill/>
                    <a:ln>
                      <a:noFill/>
                    </a:ln>
                  </pic:spPr>
                </pic:pic>
              </a:graphicData>
            </a:graphic>
          </wp:inline>
        </w:drawing>
      </w:r>
    </w:p>
    <w:p w14:paraId="62A791D6">
      <w:pPr>
        <w:numPr>
          <w:ilvl w:val="0"/>
          <w:numId w:val="0"/>
        </w:numPr>
        <w:jc w:val="both"/>
      </w:pPr>
    </w:p>
    <w:p w14:paraId="1AC81ED7">
      <w:pPr>
        <w:numPr>
          <w:ilvl w:val="0"/>
          <w:numId w:val="0"/>
        </w:numPr>
        <w:jc w:val="both"/>
      </w:pPr>
    </w:p>
    <w:p w14:paraId="7112EF10">
      <w:pPr>
        <w:numPr>
          <w:ilvl w:val="0"/>
          <w:numId w:val="0"/>
        </w:numPr>
        <w:jc w:val="center"/>
      </w:pPr>
      <w:r>
        <w:rPr>
          <w:rFonts w:hint="eastAsia" w:ascii="仿宋_GB2312" w:hAnsi="仿宋_GB2312" w:eastAsia="仿宋_GB2312" w:cs="仿宋_GB2312"/>
          <w:b w:val="0"/>
          <w:bCs w:val="0"/>
          <w:sz w:val="30"/>
          <w:szCs w:val="30"/>
          <w:lang w:val="en-US" w:eastAsia="zh-CN"/>
        </w:rPr>
        <w:t>35KM组别（男/女）路线</w:t>
      </w:r>
    </w:p>
    <w:p w14:paraId="49B28FDB">
      <w:pPr>
        <w:numPr>
          <w:ilvl w:val="0"/>
          <w:numId w:val="0"/>
        </w:numPr>
        <w:jc w:val="both"/>
      </w:pPr>
      <w:r>
        <w:drawing>
          <wp:inline distT="0" distB="0" distL="114300" distR="114300">
            <wp:extent cx="5272405" cy="3547745"/>
            <wp:effectExtent l="0" t="0" r="4445"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72405" cy="3547745"/>
                    </a:xfrm>
                    <a:prstGeom prst="rect">
                      <a:avLst/>
                    </a:prstGeom>
                    <a:noFill/>
                    <a:ln>
                      <a:noFill/>
                    </a:ln>
                  </pic:spPr>
                </pic:pic>
              </a:graphicData>
            </a:graphic>
          </wp:inline>
        </w:drawing>
      </w:r>
    </w:p>
    <w:p w14:paraId="1949D15A">
      <w:pPr>
        <w:numPr>
          <w:ilvl w:val="0"/>
          <w:numId w:val="0"/>
        </w:numPr>
        <w:jc w:val="center"/>
      </w:pPr>
      <w:r>
        <w:rPr>
          <w:rFonts w:hint="eastAsia" w:ascii="仿宋_GB2312" w:hAnsi="仿宋_GB2312" w:eastAsia="仿宋_GB2312" w:cs="仿宋_GB2312"/>
          <w:b w:val="0"/>
          <w:bCs w:val="0"/>
          <w:sz w:val="30"/>
          <w:szCs w:val="30"/>
          <w:lang w:val="en-US" w:eastAsia="zh-CN"/>
        </w:rPr>
        <w:t>55KM组别（男/女）路线</w:t>
      </w:r>
    </w:p>
    <w:p w14:paraId="63D5C33A">
      <w:pPr>
        <w:numPr>
          <w:ilvl w:val="0"/>
          <w:numId w:val="0"/>
        </w:numPr>
        <w:jc w:val="both"/>
      </w:pPr>
      <w:r>
        <w:drawing>
          <wp:inline distT="0" distB="0" distL="114300" distR="114300">
            <wp:extent cx="5271770" cy="3511550"/>
            <wp:effectExtent l="0" t="0" r="5080" b="127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71770" cy="3511550"/>
                    </a:xfrm>
                    <a:prstGeom prst="rect">
                      <a:avLst/>
                    </a:prstGeom>
                    <a:noFill/>
                    <a:ln>
                      <a:noFill/>
                    </a:ln>
                  </pic:spPr>
                </pic:pic>
              </a:graphicData>
            </a:graphic>
          </wp:inline>
        </w:drawing>
      </w:r>
    </w:p>
    <w:p w14:paraId="7544AC4B">
      <w:pPr>
        <w:numPr>
          <w:ilvl w:val="0"/>
          <w:numId w:val="0"/>
        </w:numPr>
        <w:jc w:val="both"/>
      </w:pPr>
    </w:p>
    <w:p w14:paraId="7BCA8945">
      <w:pPr>
        <w:numPr>
          <w:ilvl w:val="0"/>
          <w:numId w:val="0"/>
        </w:numPr>
        <w:jc w:val="both"/>
      </w:pPr>
    </w:p>
    <w:p w14:paraId="4B164FD4">
      <w:pPr>
        <w:numPr>
          <w:ilvl w:val="0"/>
          <w:numId w:val="0"/>
        </w:numPr>
        <w:jc w:val="both"/>
      </w:pPr>
    </w:p>
    <w:p w14:paraId="22C5D819">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both"/>
        <w:textAlignment w:val="auto"/>
        <w:rPr>
          <w:rFonts w:ascii="微软雅黑" w:hAnsi="微软雅黑" w:eastAsia="微软雅黑" w:cs="微软雅黑"/>
          <w:b/>
          <w:bCs/>
          <w:color w:val="1D508A"/>
          <w:position w:val="-5"/>
          <w:sz w:val="24"/>
          <w:szCs w:val="24"/>
        </w:rPr>
      </w:pPr>
      <w:r>
        <w:rPr>
          <w:rFonts w:ascii="微软雅黑" w:hAnsi="微软雅黑" w:eastAsia="微软雅黑" w:cs="微软雅黑"/>
          <w:b/>
          <w:bCs/>
          <w:color w:val="1D508A"/>
          <w:position w:val="-5"/>
          <w:sz w:val="24"/>
          <w:szCs w:val="24"/>
        </w:rPr>
        <w:drawing>
          <wp:inline distT="0" distB="0" distL="114300" distR="114300">
            <wp:extent cx="95250" cy="168275"/>
            <wp:effectExtent l="0" t="0" r="0" b="2540"/>
            <wp:docPr id="7" name="图片 10"/>
            <wp:cNvGraphicFramePr/>
            <a:graphic xmlns:a="http://schemas.openxmlformats.org/drawingml/2006/main">
              <a:graphicData uri="http://schemas.openxmlformats.org/drawingml/2006/picture">
                <pic:pic xmlns:pic="http://schemas.openxmlformats.org/drawingml/2006/picture">
                  <pic:nvPicPr>
                    <pic:cNvPr id="7" name="图片 10"/>
                    <pic:cNvPicPr/>
                  </pic:nvPicPr>
                  <pic:blipFill>
                    <a:blip r:embed="rId4"/>
                    <a:stretch>
                      <a:fillRect/>
                    </a:stretch>
                  </pic:blipFill>
                  <pic:spPr>
                    <a:xfrm>
                      <a:off x="0" y="0"/>
                      <a:ext cx="95250" cy="168275"/>
                    </a:xfrm>
                    <a:prstGeom prst="rect">
                      <a:avLst/>
                    </a:prstGeom>
                    <a:noFill/>
                    <a:ln>
                      <a:noFill/>
                    </a:ln>
                  </pic:spPr>
                </pic:pic>
              </a:graphicData>
            </a:graphic>
          </wp:inline>
        </w:drawing>
      </w:r>
      <w:r>
        <w:rPr>
          <w:rFonts w:ascii="微软雅黑" w:hAnsi="微软雅黑" w:eastAsia="微软雅黑" w:cs="微软雅黑"/>
          <w:b/>
          <w:bCs/>
          <w:color w:val="1D508A"/>
          <w:position w:val="-5"/>
          <w:sz w:val="24"/>
          <w:szCs w:val="24"/>
        </w:rPr>
        <w:t xml:space="preserve">  </w:t>
      </w:r>
      <w:r>
        <w:rPr>
          <w:rFonts w:hint="eastAsia" w:ascii="仿宋_GB2312" w:hAnsi="仿宋_GB2312" w:eastAsia="仿宋_GB2312" w:cs="仿宋_GB2312"/>
          <w:b/>
          <w:bCs/>
          <w:snapToGrid w:val="0"/>
          <w:color w:val="1D508A"/>
          <w:spacing w:val="-1"/>
          <w:kern w:val="0"/>
          <w:sz w:val="32"/>
          <w:szCs w:val="32"/>
          <w:lang w:val="en-US" w:eastAsia="zh-CN"/>
        </w:rPr>
        <w:t>赛事报名费：</w:t>
      </w:r>
    </w:p>
    <w:p w14:paraId="7DCDA28D">
      <w:pPr>
        <w:numPr>
          <w:ilvl w:val="0"/>
          <w:numId w:val="0"/>
        </w:numPr>
        <w:jc w:val="both"/>
        <w:rPr>
          <w:rFonts w:hint="default" w:ascii="仿宋_GB2312" w:hAnsi="仿宋_GB2312" w:eastAsia="仿宋_GB2312" w:cs="仿宋_GB2312"/>
          <w:b w:val="0"/>
          <w:bCs w:val="0"/>
          <w:sz w:val="30"/>
          <w:szCs w:val="30"/>
          <w:lang w:val="en-US" w:eastAsia="zh-CN"/>
        </w:rPr>
      </w:pPr>
      <w:r>
        <w:rPr>
          <w:rFonts w:hint="default" w:ascii="仿宋_GB2312" w:hAnsi="仿宋_GB2312" w:eastAsia="仿宋_GB2312" w:cs="仿宋_GB2312"/>
          <w:b w:val="0"/>
          <w:bCs w:val="0"/>
          <w:sz w:val="30"/>
          <w:szCs w:val="30"/>
          <w:lang w:val="en-US" w:eastAsia="zh-CN"/>
        </w:rPr>
        <w:t>一、双人组</w:t>
      </w:r>
    </w:p>
    <w:p w14:paraId="1CF49B18">
      <w:pPr>
        <w:numPr>
          <w:ilvl w:val="0"/>
          <w:numId w:val="0"/>
        </w:numPr>
        <w:jc w:val="both"/>
        <w:rPr>
          <w:rFonts w:hint="default" w:ascii="仿宋_GB2312" w:hAnsi="仿宋_GB2312" w:eastAsia="仿宋_GB2312" w:cs="仿宋_GB2312"/>
          <w:b w:val="0"/>
          <w:bCs w:val="0"/>
          <w:sz w:val="30"/>
          <w:szCs w:val="30"/>
          <w:lang w:val="en-US" w:eastAsia="zh-CN"/>
        </w:rPr>
      </w:pPr>
      <w:r>
        <w:rPr>
          <w:rFonts w:hint="default" w:ascii="仿宋_GB2312" w:hAnsi="仿宋_GB2312" w:eastAsia="仿宋_GB2312" w:cs="仿宋_GB2312"/>
          <w:b w:val="0"/>
          <w:bCs w:val="0"/>
          <w:sz w:val="30"/>
          <w:szCs w:val="30"/>
          <w:lang w:val="en-US" w:eastAsia="zh-CN"/>
        </w:rPr>
        <w:t>亲子组： （未成年人： 8-16 周岁； 成年人：18-</w:t>
      </w:r>
      <w:r>
        <w:rPr>
          <w:rFonts w:hint="eastAsia" w:ascii="仿宋_GB2312" w:hAnsi="仿宋_GB2312" w:eastAsia="仿宋_GB2312" w:cs="仿宋_GB2312"/>
          <w:b w:val="0"/>
          <w:bCs w:val="0"/>
          <w:sz w:val="30"/>
          <w:szCs w:val="30"/>
          <w:lang w:val="en-US" w:eastAsia="zh-CN"/>
        </w:rPr>
        <w:t>65</w:t>
      </w:r>
      <w:r>
        <w:rPr>
          <w:rFonts w:hint="default" w:ascii="仿宋_GB2312" w:hAnsi="仿宋_GB2312" w:eastAsia="仿宋_GB2312" w:cs="仿宋_GB2312"/>
          <w:b w:val="0"/>
          <w:bCs w:val="0"/>
          <w:sz w:val="30"/>
          <w:szCs w:val="30"/>
          <w:lang w:val="en-US" w:eastAsia="zh-CN"/>
        </w:rPr>
        <w:t xml:space="preserve"> 周岁）</w:t>
      </w:r>
    </w:p>
    <w:p w14:paraId="19045490">
      <w:pPr>
        <w:numPr>
          <w:ilvl w:val="0"/>
          <w:numId w:val="0"/>
        </w:numPr>
        <w:jc w:val="both"/>
        <w:rPr>
          <w:rFonts w:hint="default"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1</w:t>
      </w:r>
      <w:r>
        <w:rPr>
          <w:rFonts w:hint="default" w:ascii="仿宋_GB2312" w:hAnsi="仿宋_GB2312" w:eastAsia="仿宋_GB2312" w:cs="仿宋_GB2312"/>
          <w:b w:val="0"/>
          <w:bCs w:val="0"/>
          <w:sz w:val="30"/>
          <w:szCs w:val="30"/>
          <w:lang w:val="en-US" w:eastAsia="zh-CN"/>
        </w:rPr>
        <w:t>0KM 组别： 2</w:t>
      </w:r>
      <w:r>
        <w:rPr>
          <w:rFonts w:hint="eastAsia" w:ascii="仿宋_GB2312" w:hAnsi="仿宋_GB2312" w:eastAsia="仿宋_GB2312" w:cs="仿宋_GB2312"/>
          <w:b w:val="0"/>
          <w:bCs w:val="0"/>
          <w:sz w:val="30"/>
          <w:szCs w:val="30"/>
          <w:lang w:val="en-US" w:eastAsia="zh-CN"/>
        </w:rPr>
        <w:t>28</w:t>
      </w:r>
      <w:r>
        <w:rPr>
          <w:rFonts w:hint="default" w:ascii="仿宋_GB2312" w:hAnsi="仿宋_GB2312" w:eastAsia="仿宋_GB2312" w:cs="仿宋_GB2312"/>
          <w:b w:val="0"/>
          <w:bCs w:val="0"/>
          <w:sz w:val="30"/>
          <w:szCs w:val="30"/>
          <w:lang w:val="en-US" w:eastAsia="zh-CN"/>
        </w:rPr>
        <w:t>元/队，</w:t>
      </w:r>
      <w:r>
        <w:rPr>
          <w:rFonts w:hint="eastAsia" w:ascii="仿宋_GB2312" w:hAnsi="仿宋_GB2312" w:eastAsia="仿宋_GB2312" w:cs="仿宋_GB2312"/>
          <w:b w:val="0"/>
          <w:bCs w:val="0"/>
          <w:sz w:val="30"/>
          <w:szCs w:val="30"/>
          <w:lang w:val="en-US" w:eastAsia="zh-CN"/>
        </w:rPr>
        <w:t>50</w:t>
      </w:r>
      <w:r>
        <w:rPr>
          <w:rFonts w:hint="default" w:ascii="仿宋_GB2312" w:hAnsi="仿宋_GB2312" w:eastAsia="仿宋_GB2312" w:cs="仿宋_GB2312"/>
          <w:b w:val="0"/>
          <w:bCs w:val="0"/>
          <w:sz w:val="30"/>
          <w:szCs w:val="30"/>
          <w:lang w:val="en-US" w:eastAsia="zh-CN"/>
        </w:rPr>
        <w:t>队/</w:t>
      </w:r>
      <w:r>
        <w:rPr>
          <w:rFonts w:hint="eastAsia" w:ascii="仿宋_GB2312" w:hAnsi="仿宋_GB2312" w:eastAsia="仿宋_GB2312" w:cs="仿宋_GB2312"/>
          <w:b w:val="0"/>
          <w:bCs w:val="0"/>
          <w:sz w:val="30"/>
          <w:szCs w:val="30"/>
          <w:lang w:val="en-US" w:eastAsia="zh-CN"/>
        </w:rPr>
        <w:t>10</w:t>
      </w:r>
      <w:r>
        <w:rPr>
          <w:rFonts w:hint="default" w:ascii="仿宋_GB2312" w:hAnsi="仿宋_GB2312" w:eastAsia="仿宋_GB2312" w:cs="仿宋_GB2312"/>
          <w:b w:val="0"/>
          <w:bCs w:val="0"/>
          <w:sz w:val="30"/>
          <w:szCs w:val="30"/>
          <w:lang w:val="en-US" w:eastAsia="zh-CN"/>
        </w:rPr>
        <w:t>0 人。 （要求一成年人、一未成年人组队； 对选手不作性别区分）</w:t>
      </w:r>
    </w:p>
    <w:p w14:paraId="0FBF348F">
      <w:pPr>
        <w:numPr>
          <w:ilvl w:val="0"/>
          <w:numId w:val="0"/>
        </w:numPr>
        <w:jc w:val="both"/>
        <w:rPr>
          <w:rFonts w:hint="default" w:ascii="仿宋_GB2312" w:hAnsi="仿宋_GB2312" w:eastAsia="仿宋_GB2312" w:cs="仿宋_GB2312"/>
          <w:b w:val="0"/>
          <w:bCs w:val="0"/>
          <w:sz w:val="30"/>
          <w:szCs w:val="30"/>
          <w:lang w:val="en-US" w:eastAsia="zh-CN"/>
        </w:rPr>
      </w:pPr>
      <w:r>
        <w:rPr>
          <w:rFonts w:hint="default" w:ascii="仿宋_GB2312" w:hAnsi="仿宋_GB2312" w:eastAsia="仿宋_GB2312" w:cs="仿宋_GB2312"/>
          <w:b w:val="0"/>
          <w:bCs w:val="0"/>
          <w:sz w:val="30"/>
          <w:szCs w:val="30"/>
          <w:lang w:val="en-US" w:eastAsia="zh-CN"/>
        </w:rPr>
        <w:t>二、</w:t>
      </w:r>
      <w:r>
        <w:rPr>
          <w:rFonts w:hint="eastAsia" w:ascii="仿宋_GB2312" w:hAnsi="仿宋_GB2312" w:eastAsia="仿宋_GB2312" w:cs="仿宋_GB2312"/>
          <w:b w:val="0"/>
          <w:bCs w:val="0"/>
          <w:sz w:val="30"/>
          <w:szCs w:val="30"/>
          <w:lang w:val="en-US" w:eastAsia="zh-CN"/>
        </w:rPr>
        <w:t>单人</w:t>
      </w:r>
      <w:r>
        <w:rPr>
          <w:rFonts w:hint="default" w:ascii="仿宋_GB2312" w:hAnsi="仿宋_GB2312" w:eastAsia="仿宋_GB2312" w:cs="仿宋_GB2312"/>
          <w:b w:val="0"/>
          <w:bCs w:val="0"/>
          <w:sz w:val="30"/>
          <w:szCs w:val="30"/>
          <w:lang w:val="en-US" w:eastAsia="zh-CN"/>
        </w:rPr>
        <w:t>组</w:t>
      </w:r>
    </w:p>
    <w:p w14:paraId="4796C616">
      <w:pPr>
        <w:numPr>
          <w:ilvl w:val="0"/>
          <w:numId w:val="0"/>
        </w:numPr>
        <w:jc w:val="both"/>
        <w:rPr>
          <w:rFonts w:hint="default" w:ascii="仿宋_GB2312" w:hAnsi="仿宋_GB2312" w:eastAsia="仿宋_GB2312" w:cs="仿宋_GB2312"/>
          <w:b w:val="0"/>
          <w:bCs w:val="0"/>
          <w:sz w:val="30"/>
          <w:szCs w:val="30"/>
          <w:lang w:val="en-US" w:eastAsia="zh-CN"/>
        </w:rPr>
      </w:pPr>
      <w:r>
        <w:rPr>
          <w:rFonts w:hint="default" w:ascii="仿宋_GB2312" w:hAnsi="仿宋_GB2312" w:eastAsia="仿宋_GB2312" w:cs="仿宋_GB2312"/>
          <w:b w:val="0"/>
          <w:bCs w:val="0"/>
          <w:sz w:val="30"/>
          <w:szCs w:val="30"/>
          <w:lang w:val="en-US" w:eastAsia="zh-CN"/>
        </w:rPr>
        <w:t xml:space="preserve">（一） 男女 20KM 组别： </w:t>
      </w:r>
      <w:r>
        <w:rPr>
          <w:rFonts w:hint="eastAsia" w:ascii="仿宋_GB2312" w:hAnsi="仿宋_GB2312" w:eastAsia="仿宋_GB2312" w:cs="仿宋_GB2312"/>
          <w:b w:val="0"/>
          <w:bCs w:val="0"/>
          <w:sz w:val="30"/>
          <w:szCs w:val="30"/>
          <w:lang w:val="en-US" w:eastAsia="zh-CN"/>
        </w:rPr>
        <w:t>228</w:t>
      </w:r>
      <w:r>
        <w:rPr>
          <w:rFonts w:hint="default" w:ascii="仿宋_GB2312" w:hAnsi="仿宋_GB2312" w:eastAsia="仿宋_GB2312" w:cs="仿宋_GB2312"/>
          <w:b w:val="0"/>
          <w:bCs w:val="0"/>
          <w:sz w:val="30"/>
          <w:szCs w:val="30"/>
          <w:lang w:val="en-US" w:eastAsia="zh-CN"/>
        </w:rPr>
        <w:t xml:space="preserve"> 元/人， </w:t>
      </w:r>
      <w:r>
        <w:rPr>
          <w:rFonts w:hint="eastAsia" w:ascii="仿宋_GB2312" w:hAnsi="仿宋_GB2312" w:eastAsia="仿宋_GB2312" w:cs="仿宋_GB2312"/>
          <w:b w:val="0"/>
          <w:bCs w:val="0"/>
          <w:sz w:val="30"/>
          <w:szCs w:val="30"/>
          <w:lang w:val="en-US" w:eastAsia="zh-CN"/>
        </w:rPr>
        <w:t>20</w:t>
      </w:r>
      <w:r>
        <w:rPr>
          <w:rFonts w:hint="default" w:ascii="仿宋_GB2312" w:hAnsi="仿宋_GB2312" w:eastAsia="仿宋_GB2312" w:cs="仿宋_GB2312"/>
          <w:b w:val="0"/>
          <w:bCs w:val="0"/>
          <w:sz w:val="30"/>
          <w:szCs w:val="30"/>
          <w:lang w:val="en-US" w:eastAsia="zh-CN"/>
        </w:rPr>
        <w:t>0 人</w:t>
      </w:r>
    </w:p>
    <w:p w14:paraId="1CA5243C">
      <w:pPr>
        <w:numPr>
          <w:ilvl w:val="0"/>
          <w:numId w:val="0"/>
        </w:numPr>
        <w:jc w:val="both"/>
        <w:rPr>
          <w:rFonts w:hint="default" w:ascii="仿宋_GB2312" w:hAnsi="仿宋_GB2312" w:eastAsia="仿宋_GB2312" w:cs="仿宋_GB2312"/>
          <w:b w:val="0"/>
          <w:bCs w:val="0"/>
          <w:sz w:val="30"/>
          <w:szCs w:val="30"/>
          <w:lang w:val="en-US" w:eastAsia="zh-CN"/>
        </w:rPr>
      </w:pPr>
      <w:r>
        <w:rPr>
          <w:rFonts w:hint="default" w:ascii="仿宋_GB2312" w:hAnsi="仿宋_GB2312" w:eastAsia="仿宋_GB2312" w:cs="仿宋_GB2312"/>
          <w:b w:val="0"/>
          <w:bCs w:val="0"/>
          <w:sz w:val="30"/>
          <w:szCs w:val="30"/>
          <w:lang w:val="en-US" w:eastAsia="zh-CN"/>
        </w:rPr>
        <w:t xml:space="preserve">（二） 男女 </w:t>
      </w:r>
      <w:r>
        <w:rPr>
          <w:rFonts w:hint="eastAsia" w:ascii="仿宋_GB2312" w:hAnsi="仿宋_GB2312" w:eastAsia="仿宋_GB2312" w:cs="仿宋_GB2312"/>
          <w:b w:val="0"/>
          <w:bCs w:val="0"/>
          <w:sz w:val="30"/>
          <w:szCs w:val="30"/>
          <w:lang w:val="en-US" w:eastAsia="zh-CN"/>
        </w:rPr>
        <w:t>35</w:t>
      </w:r>
      <w:r>
        <w:rPr>
          <w:rFonts w:hint="default" w:ascii="仿宋_GB2312" w:hAnsi="仿宋_GB2312" w:eastAsia="仿宋_GB2312" w:cs="仿宋_GB2312"/>
          <w:b w:val="0"/>
          <w:bCs w:val="0"/>
          <w:sz w:val="30"/>
          <w:szCs w:val="30"/>
          <w:lang w:val="en-US" w:eastAsia="zh-CN"/>
        </w:rPr>
        <w:t>KM 组别： 3</w:t>
      </w:r>
      <w:r>
        <w:rPr>
          <w:rFonts w:hint="eastAsia" w:ascii="仿宋_GB2312" w:hAnsi="仿宋_GB2312" w:eastAsia="仿宋_GB2312" w:cs="仿宋_GB2312"/>
          <w:b w:val="0"/>
          <w:bCs w:val="0"/>
          <w:sz w:val="30"/>
          <w:szCs w:val="30"/>
          <w:lang w:val="en-US" w:eastAsia="zh-CN"/>
        </w:rPr>
        <w:t>68</w:t>
      </w:r>
      <w:r>
        <w:rPr>
          <w:rFonts w:hint="default" w:ascii="仿宋_GB2312" w:hAnsi="仿宋_GB2312" w:eastAsia="仿宋_GB2312" w:cs="仿宋_GB2312"/>
          <w:b w:val="0"/>
          <w:bCs w:val="0"/>
          <w:sz w:val="30"/>
          <w:szCs w:val="30"/>
          <w:lang w:val="en-US" w:eastAsia="zh-CN"/>
        </w:rPr>
        <w:t xml:space="preserve"> 元/人， 400 人</w:t>
      </w:r>
    </w:p>
    <w:p w14:paraId="04B074AF">
      <w:pPr>
        <w:numPr>
          <w:ilvl w:val="0"/>
          <w:numId w:val="0"/>
        </w:numPr>
        <w:jc w:val="both"/>
        <w:rPr>
          <w:rFonts w:hint="default" w:ascii="仿宋_GB2312" w:hAnsi="仿宋_GB2312" w:eastAsia="仿宋_GB2312" w:cs="仿宋_GB2312"/>
          <w:b w:val="0"/>
          <w:bCs w:val="0"/>
          <w:sz w:val="30"/>
          <w:szCs w:val="30"/>
          <w:lang w:val="en-US" w:eastAsia="zh-CN"/>
        </w:rPr>
      </w:pPr>
      <w:r>
        <w:rPr>
          <w:rFonts w:hint="default" w:ascii="仿宋_GB2312" w:hAnsi="仿宋_GB2312" w:eastAsia="仿宋_GB2312" w:cs="仿宋_GB2312"/>
          <w:b w:val="0"/>
          <w:bCs w:val="0"/>
          <w:sz w:val="30"/>
          <w:szCs w:val="30"/>
          <w:lang w:val="en-US" w:eastAsia="zh-CN"/>
        </w:rPr>
        <w:t>（三） 男女 5</w:t>
      </w:r>
      <w:r>
        <w:rPr>
          <w:rFonts w:hint="eastAsia" w:ascii="仿宋_GB2312" w:hAnsi="仿宋_GB2312" w:eastAsia="仿宋_GB2312" w:cs="仿宋_GB2312"/>
          <w:b w:val="0"/>
          <w:bCs w:val="0"/>
          <w:sz w:val="30"/>
          <w:szCs w:val="30"/>
          <w:lang w:val="en-US" w:eastAsia="zh-CN"/>
        </w:rPr>
        <w:t>5</w:t>
      </w:r>
      <w:r>
        <w:rPr>
          <w:rFonts w:hint="default" w:ascii="仿宋_GB2312" w:hAnsi="仿宋_GB2312" w:eastAsia="仿宋_GB2312" w:cs="仿宋_GB2312"/>
          <w:b w:val="0"/>
          <w:bCs w:val="0"/>
          <w:sz w:val="30"/>
          <w:szCs w:val="30"/>
          <w:lang w:val="en-US" w:eastAsia="zh-CN"/>
        </w:rPr>
        <w:t xml:space="preserve">KM 组别： </w:t>
      </w:r>
      <w:r>
        <w:rPr>
          <w:rFonts w:hint="eastAsia" w:ascii="仿宋_GB2312" w:hAnsi="仿宋_GB2312" w:eastAsia="仿宋_GB2312" w:cs="仿宋_GB2312"/>
          <w:b w:val="0"/>
          <w:bCs w:val="0"/>
          <w:sz w:val="30"/>
          <w:szCs w:val="30"/>
          <w:lang w:val="en-US" w:eastAsia="zh-CN"/>
        </w:rPr>
        <w:t>568</w:t>
      </w:r>
      <w:r>
        <w:rPr>
          <w:rFonts w:hint="default" w:ascii="仿宋_GB2312" w:hAnsi="仿宋_GB2312" w:eastAsia="仿宋_GB2312" w:cs="仿宋_GB2312"/>
          <w:b w:val="0"/>
          <w:bCs w:val="0"/>
          <w:sz w:val="30"/>
          <w:szCs w:val="30"/>
          <w:lang w:val="en-US" w:eastAsia="zh-CN"/>
        </w:rPr>
        <w:t xml:space="preserve"> 元/人， 300 人</w:t>
      </w:r>
    </w:p>
    <w:p w14:paraId="57596B76">
      <w:pPr>
        <w:numPr>
          <w:ilvl w:val="0"/>
          <w:numId w:val="0"/>
        </w:numPr>
        <w:jc w:val="both"/>
        <w:rPr>
          <w:rFonts w:ascii="微软雅黑" w:hAnsi="微软雅黑" w:eastAsia="微软雅黑" w:cs="微软雅黑"/>
          <w:b/>
          <w:bCs/>
          <w:color w:val="1D508A"/>
          <w:position w:val="-5"/>
          <w:sz w:val="24"/>
          <w:szCs w:val="24"/>
        </w:rPr>
      </w:pPr>
      <w:r>
        <w:rPr>
          <w:rFonts w:ascii="微软雅黑" w:hAnsi="微软雅黑" w:eastAsia="微软雅黑" w:cs="微软雅黑"/>
          <w:b/>
          <w:bCs/>
          <w:color w:val="1D508A"/>
          <w:position w:val="-5"/>
          <w:sz w:val="24"/>
          <w:szCs w:val="24"/>
        </w:rPr>
        <w:drawing>
          <wp:inline distT="0" distB="0" distL="114300" distR="114300">
            <wp:extent cx="95250" cy="168275"/>
            <wp:effectExtent l="0" t="0" r="0" b="2540"/>
            <wp:docPr id="14" name="图片 11"/>
            <wp:cNvGraphicFramePr/>
            <a:graphic xmlns:a="http://schemas.openxmlformats.org/drawingml/2006/main">
              <a:graphicData uri="http://schemas.openxmlformats.org/drawingml/2006/picture">
                <pic:pic xmlns:pic="http://schemas.openxmlformats.org/drawingml/2006/picture">
                  <pic:nvPicPr>
                    <pic:cNvPr id="14" name="图片 11"/>
                    <pic:cNvPicPr/>
                  </pic:nvPicPr>
                  <pic:blipFill>
                    <a:blip r:embed="rId4"/>
                    <a:stretch>
                      <a:fillRect/>
                    </a:stretch>
                  </pic:blipFill>
                  <pic:spPr>
                    <a:xfrm>
                      <a:off x="0" y="0"/>
                      <a:ext cx="95250" cy="168275"/>
                    </a:xfrm>
                    <a:prstGeom prst="rect">
                      <a:avLst/>
                    </a:prstGeom>
                    <a:noFill/>
                    <a:ln>
                      <a:noFill/>
                    </a:ln>
                  </pic:spPr>
                </pic:pic>
              </a:graphicData>
            </a:graphic>
          </wp:inline>
        </w:drawing>
      </w:r>
      <w:r>
        <w:rPr>
          <w:rFonts w:ascii="微软雅黑" w:hAnsi="微软雅黑" w:eastAsia="微软雅黑" w:cs="微软雅黑"/>
          <w:b/>
          <w:bCs/>
          <w:color w:val="1D508A"/>
          <w:position w:val="-5"/>
          <w:sz w:val="24"/>
          <w:szCs w:val="24"/>
        </w:rPr>
        <w:t xml:space="preserve">  </w:t>
      </w:r>
      <w:r>
        <w:rPr>
          <w:rFonts w:hint="eastAsia" w:ascii="仿宋_GB2312" w:hAnsi="仿宋_GB2312" w:eastAsia="仿宋_GB2312" w:cs="仿宋_GB2312"/>
          <w:b/>
          <w:bCs/>
          <w:snapToGrid w:val="0"/>
          <w:color w:val="1D508A"/>
          <w:spacing w:val="-1"/>
          <w:kern w:val="0"/>
          <w:sz w:val="32"/>
          <w:szCs w:val="32"/>
          <w:lang w:val="en-US" w:eastAsia="zh-CN"/>
        </w:rPr>
        <w:t>赛事报名信息：</w:t>
      </w:r>
    </w:p>
    <w:p w14:paraId="1B806241">
      <w:pPr>
        <w:numPr>
          <w:ilvl w:val="0"/>
          <w:numId w:val="0"/>
        </w:numPr>
        <w:jc w:val="both"/>
        <w:rPr>
          <w:rFonts w:hint="default"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一、报名时间（拟定）：2024年10月下旬开放报名，11月下旬结束，名额报满提前截止。</w:t>
      </w:r>
    </w:p>
    <w:p w14:paraId="00E945D6">
      <w:pPr>
        <w:numPr>
          <w:ilvl w:val="0"/>
          <w:numId w:val="0"/>
        </w:numPr>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二、报名途径：</w:t>
      </w:r>
    </w:p>
    <w:p w14:paraId="3043B21E">
      <w:pPr>
        <w:numPr>
          <w:ilvl w:val="0"/>
          <w:numId w:val="0"/>
        </w:numPr>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（1）专业赛事报名系统线上报名。</w:t>
      </w:r>
    </w:p>
    <w:p w14:paraId="07204055">
      <w:pPr>
        <w:numPr>
          <w:ilvl w:val="0"/>
          <w:numId w:val="0"/>
        </w:numPr>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（2）20 人以上线下团报。</w:t>
      </w:r>
    </w:p>
    <w:p w14:paraId="5AD5EB53">
      <w:pPr>
        <w:numPr>
          <w:ilvl w:val="0"/>
          <w:numId w:val="0"/>
        </w:numPr>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四、参赛者要求：</w:t>
      </w:r>
    </w:p>
    <w:p w14:paraId="2ACDE8F0">
      <w:pPr>
        <w:numPr>
          <w:ilvl w:val="0"/>
          <w:numId w:val="0"/>
        </w:numPr>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（1）年龄限制</w:t>
      </w:r>
    </w:p>
    <w:p w14:paraId="5D9F8F6A">
      <w:pPr>
        <w:numPr>
          <w:ilvl w:val="0"/>
          <w:numId w:val="0"/>
        </w:numPr>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18 周岁至65 周岁，未成年人参加亲子组需8周岁及以上，并经法定监护人同意。</w:t>
      </w:r>
    </w:p>
    <w:p w14:paraId="7CD2D5BE">
      <w:pPr>
        <w:numPr>
          <w:ilvl w:val="0"/>
          <w:numId w:val="0"/>
        </w:numPr>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（2） 健康要求</w:t>
      </w:r>
    </w:p>
    <w:p w14:paraId="79C1C1B9">
      <w:pPr>
        <w:numPr>
          <w:ilvl w:val="0"/>
          <w:numId w:val="0"/>
        </w:numPr>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报名者必须身体健康，经常参加越野跑或跑步训练，选手签到时需提交一年内体检报告原件或复印件。</w:t>
      </w:r>
    </w:p>
    <w:p w14:paraId="73C930CD">
      <w:pPr>
        <w:numPr>
          <w:ilvl w:val="0"/>
          <w:numId w:val="0"/>
        </w:numPr>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以下疾病患者不宜参加比赛：</w:t>
      </w:r>
    </w:p>
    <w:p w14:paraId="402EE88C">
      <w:pPr>
        <w:numPr>
          <w:ilvl w:val="0"/>
          <w:numId w:val="0"/>
        </w:numPr>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a、 先天性心脏病和风湿性心脏病患者；</w:t>
      </w:r>
    </w:p>
    <w:p w14:paraId="280ACB76">
      <w:pPr>
        <w:numPr>
          <w:ilvl w:val="0"/>
          <w:numId w:val="0"/>
        </w:numPr>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 xml:space="preserve">b、 高血压和脑血管疾病患者； </w:t>
      </w:r>
    </w:p>
    <w:p w14:paraId="49E87E8E">
      <w:pPr>
        <w:numPr>
          <w:ilvl w:val="0"/>
          <w:numId w:val="0"/>
        </w:numPr>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c、 心肌炎和其他心脏病患者；</w:t>
      </w:r>
    </w:p>
    <w:p w14:paraId="5926BACE">
      <w:pPr>
        <w:numPr>
          <w:ilvl w:val="0"/>
          <w:numId w:val="0"/>
        </w:numPr>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 xml:space="preserve">d、 冠状动脉病患者和严重心律不齐者； </w:t>
      </w:r>
    </w:p>
    <w:p w14:paraId="0239C5F2">
      <w:pPr>
        <w:numPr>
          <w:ilvl w:val="0"/>
          <w:numId w:val="0"/>
        </w:numPr>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e、 血糖过高或过低的糖尿病患者；</w:t>
      </w:r>
    </w:p>
    <w:p w14:paraId="4CBB4A0F">
      <w:pPr>
        <w:numPr>
          <w:ilvl w:val="0"/>
          <w:numId w:val="0"/>
        </w:numPr>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f、其它不适合剧烈运动的人员 。</w:t>
      </w:r>
    </w:p>
    <w:p w14:paraId="6DBB08AE">
      <w:pPr>
        <w:numPr>
          <w:ilvl w:val="0"/>
          <w:numId w:val="0"/>
        </w:numPr>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在比赛中，因个人身体及其他个人原因导致的人身损害和财产损失，由参赛选手个人承担责任，组委会要求参赛选手通过正规医 疗机构进行体检，并结合检查报告进行自我评估，确认自己的身体状况能够适应越野跑运动，才可报名参赛。</w:t>
      </w:r>
    </w:p>
    <w:p w14:paraId="007ADC85">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jc w:val="both"/>
        <w:textAlignment w:val="auto"/>
        <w:rPr>
          <w:rFonts w:hint="eastAsia" w:ascii="仿宋_GB2312" w:hAnsi="仿宋_GB2312" w:eastAsia="仿宋_GB2312" w:cs="仿宋_GB2312"/>
          <w:b/>
          <w:bCs/>
          <w:snapToGrid w:val="0"/>
          <w:color w:val="1D508A"/>
          <w:spacing w:val="-1"/>
          <w:kern w:val="0"/>
          <w:sz w:val="32"/>
          <w:szCs w:val="32"/>
          <w:lang w:val="en-US" w:eastAsia="zh-CN"/>
        </w:rPr>
      </w:pPr>
      <w:r>
        <w:rPr>
          <w:rFonts w:ascii="微软雅黑" w:hAnsi="微软雅黑" w:eastAsia="微软雅黑" w:cs="微软雅黑"/>
          <w:b/>
          <w:bCs/>
          <w:color w:val="1D508A"/>
          <w:position w:val="-5"/>
          <w:sz w:val="24"/>
          <w:szCs w:val="24"/>
        </w:rPr>
        <w:drawing>
          <wp:inline distT="0" distB="0" distL="114300" distR="114300">
            <wp:extent cx="95250" cy="168275"/>
            <wp:effectExtent l="0" t="0" r="0" b="2540"/>
            <wp:docPr id="1" name="图片 12"/>
            <wp:cNvGraphicFramePr/>
            <a:graphic xmlns:a="http://schemas.openxmlformats.org/drawingml/2006/main">
              <a:graphicData uri="http://schemas.openxmlformats.org/drawingml/2006/picture">
                <pic:pic xmlns:pic="http://schemas.openxmlformats.org/drawingml/2006/picture">
                  <pic:nvPicPr>
                    <pic:cNvPr id="1" name="图片 12"/>
                    <pic:cNvPicPr/>
                  </pic:nvPicPr>
                  <pic:blipFill>
                    <a:blip r:embed="rId4"/>
                    <a:stretch>
                      <a:fillRect/>
                    </a:stretch>
                  </pic:blipFill>
                  <pic:spPr>
                    <a:xfrm>
                      <a:off x="0" y="0"/>
                      <a:ext cx="95250" cy="168275"/>
                    </a:xfrm>
                    <a:prstGeom prst="rect">
                      <a:avLst/>
                    </a:prstGeom>
                    <a:noFill/>
                    <a:ln>
                      <a:noFill/>
                    </a:ln>
                  </pic:spPr>
                </pic:pic>
              </a:graphicData>
            </a:graphic>
          </wp:inline>
        </w:drawing>
      </w:r>
      <w:r>
        <w:rPr>
          <w:rFonts w:ascii="微软雅黑" w:hAnsi="微软雅黑" w:eastAsia="微软雅黑" w:cs="微软雅黑"/>
          <w:b/>
          <w:bCs/>
          <w:color w:val="1D508A"/>
          <w:position w:val="-5"/>
          <w:sz w:val="24"/>
          <w:szCs w:val="24"/>
        </w:rPr>
        <w:t xml:space="preserve">  </w:t>
      </w:r>
      <w:r>
        <w:rPr>
          <w:rFonts w:hint="eastAsia" w:ascii="仿宋_GB2312" w:hAnsi="仿宋_GB2312" w:eastAsia="仿宋_GB2312" w:cs="仿宋_GB2312"/>
          <w:b/>
          <w:bCs/>
          <w:snapToGrid w:val="0"/>
          <w:color w:val="1D508A"/>
          <w:spacing w:val="-1"/>
          <w:kern w:val="0"/>
          <w:sz w:val="32"/>
          <w:szCs w:val="32"/>
          <w:lang w:val="en-US" w:eastAsia="zh-CN"/>
        </w:rPr>
        <w:t>赛事配套子活动：</w:t>
      </w:r>
    </w:p>
    <w:p w14:paraId="79BEF845">
      <w:pPr>
        <w:numPr>
          <w:ilvl w:val="0"/>
          <w:numId w:val="0"/>
        </w:numPr>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（一）训练营（赛）</w:t>
      </w:r>
    </w:p>
    <w:p w14:paraId="641762E8">
      <w:pPr>
        <w:numPr>
          <w:ilvl w:val="0"/>
          <w:numId w:val="0"/>
        </w:numPr>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针对舟山、宁波的越野跑友，特别是越野跑小白、赛事奖金有力争夺者安排一期训练营（赛），具体时间初步如下：2024年11月上旬</w:t>
      </w:r>
    </w:p>
    <w:p w14:paraId="378682EA">
      <w:pPr>
        <w:numPr>
          <w:ilvl w:val="0"/>
          <w:numId w:val="0"/>
        </w:numPr>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（二）越野赛集市</w:t>
      </w:r>
    </w:p>
    <w:p w14:paraId="3DF071A9">
      <w:pPr>
        <w:numPr>
          <w:ilvl w:val="0"/>
          <w:numId w:val="0"/>
        </w:numPr>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邀请体育运动商家参与（不少于5家），同时组织本地的特产、美食、咖啡等商家一起到场设摊。</w:t>
      </w:r>
    </w:p>
    <w:p w14:paraId="39086FEA">
      <w:pPr>
        <w:numPr>
          <w:ilvl w:val="0"/>
          <w:numId w:val="0"/>
        </w:numPr>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（三）精英选手见面会暨赛事技术分享会</w:t>
      </w:r>
    </w:p>
    <w:p w14:paraId="14F68394">
      <w:pPr>
        <w:numPr>
          <w:ilvl w:val="0"/>
          <w:numId w:val="0"/>
        </w:numPr>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（1）精英选手见面会：聊跑步人生</w:t>
      </w:r>
    </w:p>
    <w:p w14:paraId="771099F0">
      <w:pPr>
        <w:numPr>
          <w:ilvl w:val="0"/>
          <w:numId w:val="0"/>
        </w:numPr>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（2）赛事技术分享会：讲解赛道的技术要点、难点等</w:t>
      </w:r>
    </w:p>
    <w:p w14:paraId="6F0D35D5">
      <w:pPr>
        <w:numPr>
          <w:ilvl w:val="0"/>
          <w:numId w:val="0"/>
        </w:numPr>
        <w:jc w:val="both"/>
        <w:rPr>
          <w:rFonts w:hint="default" w:ascii="仿宋_GB2312" w:hAnsi="仿宋_GB2312" w:eastAsia="仿宋_GB2312" w:cs="仿宋_GB2312"/>
          <w:b/>
          <w:bCs/>
          <w:color w:val="auto"/>
          <w:sz w:val="32"/>
          <w:szCs w:val="40"/>
          <w:lang w:val="en-US" w:eastAsia="zh-CN"/>
        </w:rPr>
      </w:pPr>
      <w:r>
        <w:rPr>
          <w:rFonts w:hint="eastAsia" w:ascii="仿宋_GB2312" w:hAnsi="仿宋_GB2312" w:eastAsia="仿宋_GB2312" w:cs="仿宋_GB2312"/>
          <w:b/>
          <w:bCs/>
          <w:color w:val="auto"/>
          <w:sz w:val="32"/>
          <w:szCs w:val="40"/>
          <w:lang w:val="en-US" w:eastAsia="zh-CN"/>
        </w:rPr>
        <w:t>赛事规则：</w:t>
      </w:r>
    </w:p>
    <w:p w14:paraId="089AAA35">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both"/>
        <w:textAlignment w:val="auto"/>
        <w:rPr>
          <w:rFonts w:ascii="微软雅黑" w:hAnsi="微软雅黑" w:eastAsia="微软雅黑" w:cs="微软雅黑"/>
          <w:b/>
          <w:bCs/>
          <w:color w:val="1D508A"/>
          <w:position w:val="-5"/>
          <w:sz w:val="22"/>
          <w:szCs w:val="22"/>
        </w:rPr>
      </w:pPr>
      <w:r>
        <w:rPr>
          <w:rFonts w:ascii="微软雅黑" w:hAnsi="微软雅黑" w:eastAsia="微软雅黑" w:cs="微软雅黑"/>
          <w:b/>
          <w:bCs/>
          <w:color w:val="1D508A"/>
          <w:position w:val="-5"/>
          <w:sz w:val="22"/>
          <w:szCs w:val="22"/>
        </w:rPr>
        <w:drawing>
          <wp:inline distT="0" distB="0" distL="114300" distR="114300">
            <wp:extent cx="95250" cy="168275"/>
            <wp:effectExtent l="0" t="0" r="0" b="2540"/>
            <wp:docPr id="15" name="图片 13"/>
            <wp:cNvGraphicFramePr/>
            <a:graphic xmlns:a="http://schemas.openxmlformats.org/drawingml/2006/main">
              <a:graphicData uri="http://schemas.openxmlformats.org/drawingml/2006/picture">
                <pic:pic xmlns:pic="http://schemas.openxmlformats.org/drawingml/2006/picture">
                  <pic:nvPicPr>
                    <pic:cNvPr id="15" name="图片 13"/>
                    <pic:cNvPicPr/>
                  </pic:nvPicPr>
                  <pic:blipFill>
                    <a:blip r:embed="rId4"/>
                    <a:stretch>
                      <a:fillRect/>
                    </a:stretch>
                  </pic:blipFill>
                  <pic:spPr>
                    <a:xfrm>
                      <a:off x="0" y="0"/>
                      <a:ext cx="95250" cy="168275"/>
                    </a:xfrm>
                    <a:prstGeom prst="rect">
                      <a:avLst/>
                    </a:prstGeom>
                    <a:noFill/>
                    <a:ln>
                      <a:noFill/>
                    </a:ln>
                  </pic:spPr>
                </pic:pic>
              </a:graphicData>
            </a:graphic>
          </wp:inline>
        </w:drawing>
      </w:r>
      <w:r>
        <w:rPr>
          <w:rFonts w:ascii="微软雅黑" w:hAnsi="微软雅黑" w:eastAsia="微软雅黑" w:cs="微软雅黑"/>
          <w:b/>
          <w:bCs/>
          <w:color w:val="1D508A"/>
          <w:position w:val="-5"/>
          <w:sz w:val="22"/>
          <w:szCs w:val="22"/>
        </w:rPr>
        <w:t xml:space="preserve">  </w:t>
      </w:r>
      <w:r>
        <w:rPr>
          <w:rFonts w:hint="eastAsia" w:ascii="仿宋_GB2312" w:hAnsi="仿宋_GB2312" w:eastAsia="仿宋_GB2312" w:cs="仿宋_GB2312"/>
          <w:b/>
          <w:bCs/>
          <w:snapToGrid w:val="0"/>
          <w:color w:val="1D508A"/>
          <w:spacing w:val="-1"/>
          <w:kern w:val="0"/>
          <w:sz w:val="28"/>
          <w:szCs w:val="28"/>
          <w:lang w:val="en-US" w:eastAsia="zh-CN"/>
        </w:rPr>
        <w:t>竞赛规则：</w:t>
      </w:r>
    </w:p>
    <w:p w14:paraId="16A88A46">
      <w:pPr>
        <w:numPr>
          <w:ilvl w:val="0"/>
          <w:numId w:val="0"/>
        </w:numPr>
        <w:jc w:val="both"/>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1、打卡要求：</w:t>
      </w:r>
    </w:p>
    <w:p w14:paraId="7509C2C0">
      <w:pPr>
        <w:numPr>
          <w:ilvl w:val="0"/>
          <w:numId w:val="0"/>
        </w:numPr>
        <w:jc w:val="both"/>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（1）赛事将以手环计时芯片进行计时，每位选手必须携带赛会发的计时手环 。</w:t>
      </w:r>
    </w:p>
    <w:p w14:paraId="51302F13">
      <w:pPr>
        <w:numPr>
          <w:ilvl w:val="0"/>
          <w:numId w:val="0"/>
        </w:numPr>
        <w:jc w:val="both"/>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（2）比赛将设打卡点，每个参赛选手必须经过打卡点并获得打卡方可生效，缺少任一个打卡点记录将按违反比赛规定，取消比赛成绩；</w:t>
      </w:r>
    </w:p>
    <w:p w14:paraId="13BFF5B5">
      <w:pPr>
        <w:numPr>
          <w:ilvl w:val="0"/>
          <w:numId w:val="0"/>
        </w:numPr>
        <w:jc w:val="both"/>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2、一般规则：</w:t>
      </w:r>
    </w:p>
    <w:p w14:paraId="4CF53866">
      <w:pPr>
        <w:numPr>
          <w:ilvl w:val="0"/>
          <w:numId w:val="0"/>
        </w:numPr>
        <w:jc w:val="both"/>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（1）固定路线：选手必须到访所有检查点并完成打卡，并到达终点，以打点齐全、时间最短为优胜者进行排名。</w:t>
      </w:r>
    </w:p>
    <w:p w14:paraId="082B1F7C">
      <w:pPr>
        <w:numPr>
          <w:ilvl w:val="0"/>
          <w:numId w:val="0"/>
        </w:numPr>
        <w:jc w:val="both"/>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（2）选手必须按指定的路标行进，不得抄袭近路，不得搭乘任何交通工具，不得借用外力，发现立即取消比赛资格和成绩；</w:t>
      </w:r>
    </w:p>
    <w:p w14:paraId="51AF0AB7">
      <w:pPr>
        <w:numPr>
          <w:ilvl w:val="0"/>
          <w:numId w:val="0"/>
        </w:numPr>
        <w:jc w:val="both"/>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（3）赛事会配发个一大一小 2 块号码布，大的用于参赛选手比赛时挂在明显的位置（不得遮盖或将号码簿藏于越野背包内），小的用于寄存。</w:t>
      </w:r>
    </w:p>
    <w:p w14:paraId="1B371695">
      <w:pPr>
        <w:numPr>
          <w:ilvl w:val="0"/>
          <w:numId w:val="0"/>
        </w:numPr>
        <w:jc w:val="both"/>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（4）因不可抗力因素致使比赛不能按原计划进行，主办方有权更改比赛线路或时间。赛事主办方对本次比赛有最终解释权。</w:t>
      </w:r>
    </w:p>
    <w:p w14:paraId="6A0C48EF">
      <w:pPr>
        <w:numPr>
          <w:ilvl w:val="0"/>
          <w:numId w:val="0"/>
        </w:numPr>
        <w:jc w:val="both"/>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3、罚时与取消比赛资格：</w:t>
      </w:r>
    </w:p>
    <w:p w14:paraId="37B68AD7">
      <w:pPr>
        <w:numPr>
          <w:ilvl w:val="0"/>
          <w:numId w:val="0"/>
        </w:numPr>
        <w:jc w:val="both"/>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（1）未能正确佩戴号码布：罚时 15 分钟</w:t>
      </w:r>
    </w:p>
    <w:p w14:paraId="42B385CF">
      <w:pPr>
        <w:numPr>
          <w:ilvl w:val="0"/>
          <w:numId w:val="0"/>
        </w:numPr>
        <w:jc w:val="both"/>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（2）随地乱扔垃圾：罚时 1 小时</w:t>
      </w:r>
    </w:p>
    <w:p w14:paraId="1E69DCE2">
      <w:pPr>
        <w:numPr>
          <w:ilvl w:val="0"/>
          <w:numId w:val="0"/>
        </w:numPr>
        <w:jc w:val="both"/>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（3）在比赛过程中抄近道：取消比赛成绩</w:t>
      </w:r>
    </w:p>
    <w:p w14:paraId="73F252E8">
      <w:pPr>
        <w:numPr>
          <w:ilvl w:val="0"/>
          <w:numId w:val="0"/>
        </w:numPr>
        <w:jc w:val="both"/>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（4）缺失强制装备或逃避强制装备检查：取消比赛资格</w:t>
      </w:r>
    </w:p>
    <w:p w14:paraId="25798E22">
      <w:pPr>
        <w:numPr>
          <w:ilvl w:val="0"/>
          <w:numId w:val="0"/>
        </w:numPr>
        <w:jc w:val="both"/>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（5）错过任意一个计时点：取消比赛成绩</w:t>
      </w:r>
    </w:p>
    <w:p w14:paraId="6BE9E800">
      <w:pPr>
        <w:numPr>
          <w:ilvl w:val="0"/>
          <w:numId w:val="0"/>
        </w:numPr>
        <w:jc w:val="both"/>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（6）拒绝服从赛事组织方、医生、救护者、志愿者的合理安排：取消比赛资格</w:t>
      </w:r>
    </w:p>
    <w:p w14:paraId="20EF705F">
      <w:pPr>
        <w:numPr>
          <w:ilvl w:val="0"/>
          <w:numId w:val="0"/>
        </w:numPr>
        <w:jc w:val="both"/>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（7）赛道上乱丢垃圾及破坏路标、指示牌的选手将被取消活动资格。</w:t>
      </w:r>
    </w:p>
    <w:p w14:paraId="5E2FF93D">
      <w:pPr>
        <w:numPr>
          <w:ilvl w:val="0"/>
          <w:numId w:val="0"/>
        </w:numPr>
        <w:jc w:val="both"/>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（8）超出关门时间：不予任何完赛奖励</w:t>
      </w:r>
    </w:p>
    <w:p w14:paraId="0E8554FA">
      <w:pPr>
        <w:numPr>
          <w:ilvl w:val="0"/>
          <w:numId w:val="0"/>
        </w:numPr>
        <w:jc w:val="both"/>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（9）个人退出比赛且不告知主办方：禁止参加主办方今后的比赛</w:t>
      </w:r>
    </w:p>
    <w:p w14:paraId="45623BFB">
      <w:pPr>
        <w:numPr>
          <w:ilvl w:val="0"/>
          <w:numId w:val="0"/>
        </w:numPr>
        <w:jc w:val="both"/>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（10）违反以上任一规则可能导致参赛者被处罚或被取消比赛资格，组委会对此保留最终决定权。</w:t>
      </w:r>
    </w:p>
    <w:p w14:paraId="0152B127">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both"/>
        <w:textAlignment w:val="auto"/>
        <w:rPr>
          <w:rFonts w:ascii="微软雅黑" w:hAnsi="微软雅黑" w:eastAsia="微软雅黑" w:cs="微软雅黑"/>
          <w:b/>
          <w:bCs/>
          <w:color w:val="1D508A"/>
          <w:position w:val="-5"/>
          <w:sz w:val="22"/>
          <w:szCs w:val="22"/>
        </w:rPr>
      </w:pPr>
      <w:r>
        <w:rPr>
          <w:rFonts w:ascii="微软雅黑" w:hAnsi="微软雅黑" w:eastAsia="微软雅黑" w:cs="微软雅黑"/>
          <w:b/>
          <w:bCs/>
          <w:color w:val="1D508A"/>
          <w:position w:val="-5"/>
          <w:sz w:val="22"/>
          <w:szCs w:val="22"/>
        </w:rPr>
        <w:drawing>
          <wp:inline distT="0" distB="0" distL="114300" distR="114300">
            <wp:extent cx="95250" cy="168275"/>
            <wp:effectExtent l="0" t="0" r="0" b="2540"/>
            <wp:docPr id="12" name="图片 14"/>
            <wp:cNvGraphicFramePr/>
            <a:graphic xmlns:a="http://schemas.openxmlformats.org/drawingml/2006/main">
              <a:graphicData uri="http://schemas.openxmlformats.org/drawingml/2006/picture">
                <pic:pic xmlns:pic="http://schemas.openxmlformats.org/drawingml/2006/picture">
                  <pic:nvPicPr>
                    <pic:cNvPr id="12" name="图片 14"/>
                    <pic:cNvPicPr/>
                  </pic:nvPicPr>
                  <pic:blipFill>
                    <a:blip r:embed="rId4"/>
                    <a:stretch>
                      <a:fillRect/>
                    </a:stretch>
                  </pic:blipFill>
                  <pic:spPr>
                    <a:xfrm>
                      <a:off x="0" y="0"/>
                      <a:ext cx="95250" cy="168275"/>
                    </a:xfrm>
                    <a:prstGeom prst="rect">
                      <a:avLst/>
                    </a:prstGeom>
                    <a:noFill/>
                    <a:ln>
                      <a:noFill/>
                    </a:ln>
                  </pic:spPr>
                </pic:pic>
              </a:graphicData>
            </a:graphic>
          </wp:inline>
        </w:drawing>
      </w:r>
      <w:r>
        <w:rPr>
          <w:rFonts w:ascii="微软雅黑" w:hAnsi="微软雅黑" w:eastAsia="微软雅黑" w:cs="微软雅黑"/>
          <w:b/>
          <w:bCs/>
          <w:color w:val="1D508A"/>
          <w:position w:val="-5"/>
          <w:sz w:val="22"/>
          <w:szCs w:val="22"/>
        </w:rPr>
        <w:t xml:space="preserve">  </w:t>
      </w:r>
      <w:r>
        <w:rPr>
          <w:rFonts w:hint="eastAsia" w:ascii="仿宋_GB2312" w:hAnsi="仿宋_GB2312" w:eastAsia="仿宋_GB2312" w:cs="仿宋_GB2312"/>
          <w:b/>
          <w:bCs/>
          <w:snapToGrid w:val="0"/>
          <w:color w:val="1D508A"/>
          <w:spacing w:val="-1"/>
          <w:kern w:val="0"/>
          <w:sz w:val="28"/>
          <w:szCs w:val="28"/>
          <w:lang w:val="en-US" w:eastAsia="zh-CN"/>
        </w:rPr>
        <w:t>赛事奖金：</w:t>
      </w:r>
    </w:p>
    <w:p w14:paraId="534A1414">
      <w:pPr>
        <w:numPr>
          <w:ilvl w:val="0"/>
          <w:numId w:val="0"/>
        </w:numPr>
        <w:jc w:val="both"/>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一、</w:t>
      </w:r>
      <w:r>
        <w:rPr>
          <w:rFonts w:hint="default" w:ascii="仿宋_GB2312" w:hAnsi="仿宋_GB2312" w:eastAsia="仿宋_GB2312" w:cs="仿宋_GB2312"/>
          <w:b w:val="0"/>
          <w:bCs w:val="0"/>
          <w:sz w:val="28"/>
          <w:szCs w:val="28"/>
          <w:lang w:val="en-US" w:eastAsia="zh-CN"/>
        </w:rPr>
        <w:t>双人亲子组</w:t>
      </w:r>
      <w:r>
        <w:rPr>
          <w:rFonts w:hint="eastAsia" w:ascii="仿宋_GB2312" w:hAnsi="仿宋_GB2312" w:eastAsia="仿宋_GB2312" w:cs="仿宋_GB2312"/>
          <w:b w:val="0"/>
          <w:bCs w:val="0"/>
          <w:sz w:val="28"/>
          <w:szCs w:val="28"/>
          <w:lang w:val="en-US" w:eastAsia="zh-CN"/>
        </w:rPr>
        <w:t>1</w:t>
      </w:r>
      <w:r>
        <w:rPr>
          <w:rFonts w:hint="default" w:ascii="仿宋_GB2312" w:hAnsi="仿宋_GB2312" w:eastAsia="仿宋_GB2312" w:cs="仿宋_GB2312"/>
          <w:b w:val="0"/>
          <w:bCs w:val="0"/>
          <w:sz w:val="28"/>
          <w:szCs w:val="28"/>
          <w:lang w:val="en-US" w:eastAsia="zh-CN"/>
        </w:rPr>
        <w:t>0KM组别：</w:t>
      </w:r>
      <w:r>
        <w:rPr>
          <w:rFonts w:hint="eastAsia" w:ascii="仿宋_GB2312" w:hAnsi="仿宋_GB2312" w:eastAsia="仿宋_GB2312" w:cs="仿宋_GB2312"/>
          <w:b w:val="0"/>
          <w:bCs w:val="0"/>
          <w:sz w:val="28"/>
          <w:szCs w:val="28"/>
          <w:lang w:val="en-US" w:eastAsia="zh-CN"/>
        </w:rPr>
        <w:t>一等奖 2000元，二等奖 1500元，三等奖 800元，四-六等奖 500元</w:t>
      </w:r>
      <w:r>
        <w:rPr>
          <w:rFonts w:hint="default" w:ascii="仿宋_GB2312" w:hAnsi="仿宋_GB2312" w:eastAsia="仿宋_GB2312" w:cs="仿宋_GB2312"/>
          <w:b w:val="0"/>
          <w:bCs w:val="0"/>
          <w:sz w:val="28"/>
          <w:szCs w:val="28"/>
          <w:lang w:val="en-US" w:eastAsia="zh-CN"/>
        </w:rPr>
        <w:t>（</w:t>
      </w:r>
      <w:r>
        <w:rPr>
          <w:rFonts w:hint="eastAsia" w:ascii="仿宋_GB2312" w:hAnsi="仿宋_GB2312" w:eastAsia="仿宋_GB2312" w:cs="仿宋_GB2312"/>
          <w:b w:val="0"/>
          <w:bCs w:val="0"/>
          <w:sz w:val="28"/>
          <w:szCs w:val="28"/>
          <w:lang w:val="en-US" w:eastAsia="zh-CN"/>
        </w:rPr>
        <w:t>以上均为等额的</w:t>
      </w:r>
      <w:r>
        <w:rPr>
          <w:rFonts w:hint="default" w:ascii="仿宋_GB2312" w:hAnsi="仿宋_GB2312" w:eastAsia="仿宋_GB2312" w:cs="仿宋_GB2312"/>
          <w:b w:val="0"/>
          <w:bCs w:val="0"/>
          <w:sz w:val="28"/>
          <w:szCs w:val="28"/>
          <w:lang w:val="en-US" w:eastAsia="zh-CN"/>
        </w:rPr>
        <w:t>奖品）</w:t>
      </w:r>
      <w:r>
        <w:rPr>
          <w:rFonts w:hint="eastAsia" w:ascii="仿宋_GB2312" w:hAnsi="仿宋_GB2312" w:eastAsia="仿宋_GB2312" w:cs="仿宋_GB2312"/>
          <w:b w:val="0"/>
          <w:bCs w:val="0"/>
          <w:sz w:val="28"/>
          <w:szCs w:val="28"/>
          <w:lang w:val="en-US" w:eastAsia="zh-CN"/>
        </w:rPr>
        <w:t xml:space="preserve"> 。</w:t>
      </w:r>
    </w:p>
    <w:p w14:paraId="17C3C3C3">
      <w:pPr>
        <w:numPr>
          <w:ilvl w:val="0"/>
          <w:numId w:val="0"/>
        </w:numPr>
        <w:jc w:val="both"/>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二</w:t>
      </w:r>
      <w:r>
        <w:rPr>
          <w:rFonts w:hint="default" w:ascii="仿宋_GB2312" w:hAnsi="仿宋_GB2312" w:eastAsia="仿宋_GB2312" w:cs="仿宋_GB2312"/>
          <w:b w:val="0"/>
          <w:bCs w:val="0"/>
          <w:sz w:val="28"/>
          <w:szCs w:val="28"/>
          <w:lang w:val="en-US" w:eastAsia="zh-CN"/>
        </w:rPr>
        <w:t>、个人男女20KM组别： 第一名 1500 元/人， 第二名 1000 元/ 人， 第三名 500 元/人， 第四-</w:t>
      </w:r>
      <w:r>
        <w:rPr>
          <w:rFonts w:hint="eastAsia" w:ascii="仿宋_GB2312" w:hAnsi="仿宋_GB2312" w:eastAsia="仿宋_GB2312" w:cs="仿宋_GB2312"/>
          <w:b w:val="0"/>
          <w:bCs w:val="0"/>
          <w:sz w:val="28"/>
          <w:szCs w:val="28"/>
          <w:lang w:val="en-US" w:eastAsia="zh-CN"/>
        </w:rPr>
        <w:t>六</w:t>
      </w:r>
      <w:r>
        <w:rPr>
          <w:rFonts w:hint="default" w:ascii="仿宋_GB2312" w:hAnsi="仿宋_GB2312" w:eastAsia="仿宋_GB2312" w:cs="仿宋_GB2312"/>
          <w:b w:val="0"/>
          <w:bCs w:val="0"/>
          <w:sz w:val="28"/>
          <w:szCs w:val="28"/>
          <w:lang w:val="en-US" w:eastAsia="zh-CN"/>
        </w:rPr>
        <w:t>名 300 元/人 。（税前奖金）</w:t>
      </w:r>
    </w:p>
    <w:p w14:paraId="32B106CC">
      <w:pPr>
        <w:numPr>
          <w:ilvl w:val="0"/>
          <w:numId w:val="0"/>
        </w:numPr>
        <w:jc w:val="both"/>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三</w:t>
      </w:r>
      <w:r>
        <w:rPr>
          <w:rFonts w:hint="default" w:ascii="仿宋_GB2312" w:hAnsi="仿宋_GB2312" w:eastAsia="仿宋_GB2312" w:cs="仿宋_GB2312"/>
          <w:b w:val="0"/>
          <w:bCs w:val="0"/>
          <w:sz w:val="28"/>
          <w:szCs w:val="28"/>
          <w:lang w:val="en-US" w:eastAsia="zh-CN"/>
        </w:rPr>
        <w:t>、个人男女</w:t>
      </w:r>
      <w:r>
        <w:rPr>
          <w:rFonts w:hint="eastAsia" w:ascii="仿宋_GB2312" w:hAnsi="仿宋_GB2312" w:eastAsia="仿宋_GB2312" w:cs="仿宋_GB2312"/>
          <w:b w:val="0"/>
          <w:bCs w:val="0"/>
          <w:sz w:val="28"/>
          <w:szCs w:val="28"/>
          <w:lang w:val="en-US" w:eastAsia="zh-CN"/>
        </w:rPr>
        <w:t>35</w:t>
      </w:r>
      <w:r>
        <w:rPr>
          <w:rFonts w:hint="default" w:ascii="仿宋_GB2312" w:hAnsi="仿宋_GB2312" w:eastAsia="仿宋_GB2312" w:cs="仿宋_GB2312"/>
          <w:b w:val="0"/>
          <w:bCs w:val="0"/>
          <w:sz w:val="28"/>
          <w:szCs w:val="28"/>
          <w:lang w:val="en-US" w:eastAsia="zh-CN"/>
        </w:rPr>
        <w:t>KM 组别： 第一名 3000 元/人， 第二名 2000 元/ 人， 第三名 1000 元/人， 第四-</w:t>
      </w:r>
      <w:r>
        <w:rPr>
          <w:rFonts w:hint="eastAsia" w:ascii="仿宋_GB2312" w:hAnsi="仿宋_GB2312" w:eastAsia="仿宋_GB2312" w:cs="仿宋_GB2312"/>
          <w:b w:val="0"/>
          <w:bCs w:val="0"/>
          <w:sz w:val="28"/>
          <w:szCs w:val="28"/>
          <w:lang w:val="en-US" w:eastAsia="zh-CN"/>
        </w:rPr>
        <w:t>六</w:t>
      </w:r>
      <w:r>
        <w:rPr>
          <w:rFonts w:hint="default" w:ascii="仿宋_GB2312" w:hAnsi="仿宋_GB2312" w:eastAsia="仿宋_GB2312" w:cs="仿宋_GB2312"/>
          <w:b w:val="0"/>
          <w:bCs w:val="0"/>
          <w:sz w:val="28"/>
          <w:szCs w:val="28"/>
          <w:lang w:val="en-US" w:eastAsia="zh-CN"/>
        </w:rPr>
        <w:t>名 500 元/人 。 （税前奖金）</w:t>
      </w:r>
    </w:p>
    <w:p w14:paraId="7531A3B9">
      <w:pPr>
        <w:numPr>
          <w:ilvl w:val="0"/>
          <w:numId w:val="0"/>
        </w:numPr>
        <w:jc w:val="both"/>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四</w:t>
      </w:r>
      <w:r>
        <w:rPr>
          <w:rFonts w:hint="default" w:ascii="仿宋_GB2312" w:hAnsi="仿宋_GB2312" w:eastAsia="仿宋_GB2312" w:cs="仿宋_GB2312"/>
          <w:b w:val="0"/>
          <w:bCs w:val="0"/>
          <w:sz w:val="28"/>
          <w:szCs w:val="28"/>
          <w:lang w:val="en-US" w:eastAsia="zh-CN"/>
        </w:rPr>
        <w:t>、个人男女</w:t>
      </w:r>
      <w:r>
        <w:rPr>
          <w:rFonts w:hint="eastAsia" w:ascii="仿宋_GB2312" w:hAnsi="仿宋_GB2312" w:eastAsia="仿宋_GB2312" w:cs="仿宋_GB2312"/>
          <w:b w:val="0"/>
          <w:bCs w:val="0"/>
          <w:sz w:val="28"/>
          <w:szCs w:val="28"/>
          <w:lang w:val="en-US" w:eastAsia="zh-CN"/>
        </w:rPr>
        <w:t>55</w:t>
      </w:r>
      <w:r>
        <w:rPr>
          <w:rFonts w:hint="default" w:ascii="仿宋_GB2312" w:hAnsi="仿宋_GB2312" w:eastAsia="仿宋_GB2312" w:cs="仿宋_GB2312"/>
          <w:b w:val="0"/>
          <w:bCs w:val="0"/>
          <w:sz w:val="28"/>
          <w:szCs w:val="28"/>
          <w:lang w:val="en-US" w:eastAsia="zh-CN"/>
        </w:rPr>
        <w:t>KM 组别： 第一名 5000 元/人， 第二名 3000 元/ 人， 第三名 1500 元/人， 第四-</w:t>
      </w:r>
      <w:r>
        <w:rPr>
          <w:rFonts w:hint="eastAsia" w:ascii="仿宋_GB2312" w:hAnsi="仿宋_GB2312" w:eastAsia="仿宋_GB2312" w:cs="仿宋_GB2312"/>
          <w:b w:val="0"/>
          <w:bCs w:val="0"/>
          <w:sz w:val="28"/>
          <w:szCs w:val="28"/>
          <w:lang w:val="en-US" w:eastAsia="zh-CN"/>
        </w:rPr>
        <w:t>六</w:t>
      </w:r>
      <w:r>
        <w:rPr>
          <w:rFonts w:hint="default" w:ascii="仿宋_GB2312" w:hAnsi="仿宋_GB2312" w:eastAsia="仿宋_GB2312" w:cs="仿宋_GB2312"/>
          <w:b w:val="0"/>
          <w:bCs w:val="0"/>
          <w:sz w:val="28"/>
          <w:szCs w:val="28"/>
          <w:lang w:val="en-US" w:eastAsia="zh-CN"/>
        </w:rPr>
        <w:t>名 1000 元/人 。 （税前奖金）</w:t>
      </w:r>
    </w:p>
    <w:p w14:paraId="396AA5CE">
      <w:pPr>
        <w:numPr>
          <w:ilvl w:val="0"/>
          <w:numId w:val="0"/>
        </w:numPr>
        <w:jc w:val="both"/>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五</w:t>
      </w:r>
      <w:r>
        <w:rPr>
          <w:rFonts w:hint="default" w:ascii="仿宋_GB2312" w:hAnsi="仿宋_GB2312" w:eastAsia="仿宋_GB2312" w:cs="仿宋_GB2312"/>
          <w:b w:val="0"/>
          <w:bCs w:val="0"/>
          <w:sz w:val="28"/>
          <w:szCs w:val="28"/>
          <w:lang w:val="en-US" w:eastAsia="zh-CN"/>
        </w:rPr>
        <w:t>、现场不发放奖金。获奖者名单将在官网公示一周，如无异议，获</w:t>
      </w:r>
    </w:p>
    <w:p w14:paraId="032B5962">
      <w:pPr>
        <w:numPr>
          <w:ilvl w:val="0"/>
          <w:numId w:val="0"/>
        </w:numPr>
        <w:jc w:val="both"/>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奖选手奖金打入预留银行卡，如果发现获奖选手存在违规现象者，取消该名次，后面名次不递增。上述奖金将按照中国税法有关规定，征收 20%个人所得税。</w:t>
      </w:r>
    </w:p>
    <w:p w14:paraId="4C3B75EC">
      <w:pPr>
        <w:numPr>
          <w:ilvl w:val="0"/>
          <w:numId w:val="2"/>
        </w:numPr>
        <w:ind w:left="0" w:leftChars="0" w:firstLine="0" w:firstLineChars="0"/>
        <w:jc w:val="both"/>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在规定时间内所有完赛者发给完赛奖牌；成绩证书在网上下载。</w:t>
      </w:r>
    </w:p>
    <w:p w14:paraId="5A67FA87">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both"/>
        <w:textAlignment w:val="auto"/>
        <w:rPr>
          <w:rFonts w:hint="eastAsia" w:ascii="仿宋_GB2312" w:hAnsi="仿宋_GB2312" w:eastAsia="仿宋_GB2312" w:cs="仿宋_GB2312"/>
          <w:b/>
          <w:bCs/>
          <w:snapToGrid w:val="0"/>
          <w:color w:val="1D508A"/>
          <w:spacing w:val="-1"/>
          <w:kern w:val="0"/>
          <w:sz w:val="28"/>
          <w:szCs w:val="28"/>
          <w:lang w:val="en-US" w:eastAsia="zh-CN"/>
        </w:rPr>
      </w:pPr>
      <w:r>
        <w:rPr>
          <w:rFonts w:ascii="微软雅黑" w:hAnsi="微软雅黑" w:eastAsia="微软雅黑" w:cs="微软雅黑"/>
          <w:b/>
          <w:bCs/>
          <w:color w:val="1D508A"/>
          <w:position w:val="-5"/>
          <w:sz w:val="22"/>
          <w:szCs w:val="22"/>
        </w:rPr>
        <w:drawing>
          <wp:inline distT="0" distB="0" distL="114300" distR="114300">
            <wp:extent cx="95250" cy="168275"/>
            <wp:effectExtent l="0" t="0" r="0" b="2540"/>
            <wp:docPr id="10" name="图片 15"/>
            <wp:cNvGraphicFramePr/>
            <a:graphic xmlns:a="http://schemas.openxmlformats.org/drawingml/2006/main">
              <a:graphicData uri="http://schemas.openxmlformats.org/drawingml/2006/picture">
                <pic:pic xmlns:pic="http://schemas.openxmlformats.org/drawingml/2006/picture">
                  <pic:nvPicPr>
                    <pic:cNvPr id="10" name="图片 15"/>
                    <pic:cNvPicPr/>
                  </pic:nvPicPr>
                  <pic:blipFill>
                    <a:blip r:embed="rId4"/>
                    <a:stretch>
                      <a:fillRect/>
                    </a:stretch>
                  </pic:blipFill>
                  <pic:spPr>
                    <a:xfrm>
                      <a:off x="0" y="0"/>
                      <a:ext cx="95250" cy="168275"/>
                    </a:xfrm>
                    <a:prstGeom prst="rect">
                      <a:avLst/>
                    </a:prstGeom>
                    <a:noFill/>
                    <a:ln>
                      <a:noFill/>
                    </a:ln>
                  </pic:spPr>
                </pic:pic>
              </a:graphicData>
            </a:graphic>
          </wp:inline>
        </w:drawing>
      </w:r>
      <w:r>
        <w:rPr>
          <w:rFonts w:ascii="微软雅黑" w:hAnsi="微软雅黑" w:eastAsia="微软雅黑" w:cs="微软雅黑"/>
          <w:b/>
          <w:bCs/>
          <w:color w:val="1D508A"/>
          <w:position w:val="-5"/>
          <w:sz w:val="22"/>
          <w:szCs w:val="22"/>
        </w:rPr>
        <w:t xml:space="preserve">  </w:t>
      </w:r>
      <w:r>
        <w:rPr>
          <w:rFonts w:hint="eastAsia" w:ascii="仿宋_GB2312" w:hAnsi="仿宋_GB2312" w:eastAsia="仿宋_GB2312" w:cs="仿宋_GB2312"/>
          <w:b/>
          <w:bCs/>
          <w:snapToGrid w:val="0"/>
          <w:color w:val="1D508A"/>
          <w:spacing w:val="-1"/>
          <w:kern w:val="0"/>
          <w:sz w:val="28"/>
          <w:szCs w:val="28"/>
          <w:lang w:val="en-US" w:eastAsia="zh-CN"/>
        </w:rPr>
        <w:t>强制装备：</w:t>
      </w:r>
    </w:p>
    <w:p w14:paraId="504292D1">
      <w:pPr>
        <w:numPr>
          <w:ilvl w:val="0"/>
          <w:numId w:val="0"/>
        </w:numPr>
        <w:ind w:leftChars="0"/>
        <w:jc w:val="both"/>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强制装备清单：均是出于对选手的人身安全考虑，并确保选手在处于不方便抵达的偏僻位置时的基本所需。，</w:t>
      </w:r>
    </w:p>
    <w:p w14:paraId="60B2E59F">
      <w:pPr>
        <w:numPr>
          <w:ilvl w:val="0"/>
          <w:numId w:val="0"/>
        </w:numPr>
        <w:ind w:leftChars="0"/>
        <w:jc w:val="both"/>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5272405" cy="3754120"/>
            <wp:effectExtent l="0" t="0" r="4445" b="17780"/>
            <wp:docPr id="11" name="图片 16" descr="截屏2024-08-23 14.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截屏2024-08-23 14.43.39"/>
                    <pic:cNvPicPr>
                      <a:picLocks noChangeAspect="1"/>
                    </pic:cNvPicPr>
                  </pic:nvPicPr>
                  <pic:blipFill>
                    <a:blip r:embed="rId11"/>
                    <a:stretch>
                      <a:fillRect/>
                    </a:stretch>
                  </pic:blipFill>
                  <pic:spPr>
                    <a:xfrm>
                      <a:off x="0" y="0"/>
                      <a:ext cx="5272405" cy="3754120"/>
                    </a:xfrm>
                    <a:prstGeom prst="rect">
                      <a:avLst/>
                    </a:prstGeom>
                    <a:noFill/>
                    <a:ln>
                      <a:noFill/>
                    </a:ln>
                  </pic:spPr>
                </pic:pic>
              </a:graphicData>
            </a:graphic>
          </wp:inline>
        </w:drawing>
      </w:r>
    </w:p>
    <w:p w14:paraId="06D7E20B">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both"/>
        <w:textAlignment w:val="auto"/>
        <w:rPr>
          <w:rFonts w:hint="default" w:ascii="仿宋_GB2312" w:hAnsi="仿宋_GB2312" w:eastAsia="仿宋_GB2312" w:cs="仿宋_GB2312"/>
          <w:b/>
          <w:bCs/>
          <w:color w:val="auto"/>
          <w:sz w:val="32"/>
          <w:szCs w:val="40"/>
          <w:lang w:val="en-US" w:eastAsia="zh-CN"/>
        </w:rPr>
      </w:pPr>
      <w:r>
        <w:rPr>
          <w:rFonts w:hint="eastAsia" w:ascii="仿宋_GB2312" w:hAnsi="仿宋_GB2312" w:eastAsia="仿宋_GB2312" w:cs="仿宋_GB2312"/>
          <w:b/>
          <w:bCs/>
          <w:color w:val="auto"/>
          <w:sz w:val="32"/>
          <w:szCs w:val="40"/>
          <w:lang w:val="en-US" w:eastAsia="zh-CN"/>
        </w:rPr>
        <w:t>赛事宣传：</w:t>
      </w:r>
    </w:p>
    <w:p w14:paraId="49301713">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leftChars="0" w:firstLine="562" w:firstLineChars="200"/>
        <w:jc w:val="both"/>
        <w:textAlignment w:val="auto"/>
        <w:rPr>
          <w:rFonts w:hint="default" w:ascii="仿宋_GB2312" w:hAnsi="仿宋_GB2312" w:eastAsia="仿宋_GB2312" w:cs="仿宋_GB2312"/>
          <w:b/>
          <w:bCs/>
          <w:sz w:val="28"/>
          <w:szCs w:val="28"/>
          <w:lang w:val="en-US" w:eastAsia="zh-CN"/>
        </w:rPr>
      </w:pPr>
      <w:r>
        <w:rPr>
          <w:rFonts w:hint="default" w:ascii="仿宋_GB2312" w:hAnsi="仿宋_GB2312" w:eastAsia="仿宋_GB2312" w:cs="仿宋_GB2312"/>
          <w:b/>
          <w:bCs/>
          <w:sz w:val="28"/>
          <w:szCs w:val="28"/>
          <w:lang w:val="en-US" w:eastAsia="zh-CN"/>
        </w:rPr>
        <w:t>第一阶段：赛前宣传——预热期。</w:t>
      </w:r>
    </w:p>
    <w:p w14:paraId="0E9DE0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1) 传播渠道：通过微博 KOL、微信公众大号等自媒体平台进行内容的扩散与推广。</w:t>
      </w:r>
    </w:p>
    <w:p w14:paraId="0D43B4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2) 活动前期预热到活动结束，组织微博话题#越野赛#，等并冲进微博热门话题榜，为活动最大程度积累人气。</w:t>
      </w:r>
    </w:p>
    <w:p w14:paraId="13EB51E6">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leftChars="0" w:firstLine="562" w:firstLineChars="200"/>
        <w:jc w:val="both"/>
        <w:textAlignment w:val="auto"/>
        <w:rPr>
          <w:rFonts w:hint="default" w:ascii="仿宋_GB2312" w:hAnsi="仿宋_GB2312" w:eastAsia="仿宋_GB2312" w:cs="仿宋_GB2312"/>
          <w:b/>
          <w:bCs/>
          <w:sz w:val="28"/>
          <w:szCs w:val="28"/>
          <w:lang w:val="en-US" w:eastAsia="zh-CN"/>
        </w:rPr>
      </w:pPr>
      <w:r>
        <w:rPr>
          <w:rFonts w:hint="default" w:ascii="仿宋_GB2312" w:hAnsi="仿宋_GB2312" w:eastAsia="仿宋_GB2312" w:cs="仿宋_GB2312"/>
          <w:b/>
          <w:bCs/>
          <w:sz w:val="28"/>
          <w:szCs w:val="28"/>
          <w:lang w:val="en-US" w:eastAsia="zh-CN"/>
        </w:rPr>
        <w:t>第二阶段：赛中报道——高潮期。</w:t>
      </w:r>
    </w:p>
    <w:p w14:paraId="34D876B7">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560" w:firstLineChars="200"/>
        <w:jc w:val="both"/>
        <w:textAlignment w:val="auto"/>
      </w:pPr>
      <w:r>
        <w:rPr>
          <w:rFonts w:hint="default" w:ascii="仿宋_GB2312" w:hAnsi="仿宋_GB2312" w:eastAsia="仿宋_GB2312" w:cs="仿宋_GB2312"/>
          <w:b w:val="0"/>
          <w:bCs w:val="0"/>
          <w:sz w:val="28"/>
          <w:szCs w:val="28"/>
          <w:lang w:val="en-US" w:eastAsia="zh-CN"/>
        </w:rPr>
        <w:t>邀请符合路线特征的跑圈 kol 助阵，实时直播路线挑战，第一时间向大众汇报进展；</w:t>
      </w:r>
    </w:p>
    <w:p w14:paraId="08AAA1B1">
      <w:pPr>
        <w:keepNext w:val="0"/>
        <w:keepLines w:val="0"/>
        <w:pageBreakBefore w:val="0"/>
        <w:widowControl w:val="0"/>
        <w:numPr>
          <w:ilvl w:val="0"/>
          <w:numId w:val="3"/>
        </w:numPr>
        <w:kinsoku/>
        <w:wordWrap/>
        <w:overflowPunct/>
        <w:topLinePunct w:val="0"/>
        <w:autoSpaceDE/>
        <w:autoSpaceDN/>
        <w:bidi w:val="0"/>
        <w:adjustRightInd/>
        <w:snapToGrid/>
        <w:spacing w:before="157" w:beforeLines="50" w:line="360" w:lineRule="auto"/>
        <w:ind w:leftChars="0" w:firstLine="560" w:firstLineChars="200"/>
        <w:jc w:val="both"/>
        <w:textAlignment w:val="auto"/>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无人机航拍大场景纪录片制作；</w:t>
      </w:r>
    </w:p>
    <w:p w14:paraId="7E62548F">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560" w:firstLineChars="200"/>
        <w:jc w:val="both"/>
        <w:textAlignment w:val="auto"/>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挖掘活动本身亮点，制造热门话题，引发热议；</w:t>
      </w:r>
    </w:p>
    <w:p w14:paraId="11C9B521">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560" w:firstLineChars="200"/>
        <w:jc w:val="both"/>
        <w:textAlignment w:val="auto"/>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微博 KOL 大号、微信公众大账号对活动进行持续曝光。</w:t>
      </w:r>
    </w:p>
    <w:p w14:paraId="3F60AE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5）</w:t>
      </w:r>
      <w:r>
        <w:rPr>
          <w:rFonts w:hint="default" w:ascii="仿宋_GB2312" w:hAnsi="仿宋_GB2312" w:eastAsia="仿宋_GB2312" w:cs="仿宋_GB2312"/>
          <w:b w:val="0"/>
          <w:bCs w:val="0"/>
          <w:sz w:val="28"/>
          <w:szCs w:val="28"/>
          <w:lang w:val="en-US" w:eastAsia="zh-CN"/>
        </w:rPr>
        <w:t>把握节奏，强化效果，重点突出各子活动的特色和亮点。大篇幅、多形式、高频次报道活动赛事盛况，形成舆论高潮。要做到精</w:t>
      </w:r>
      <w:r>
        <w:rPr>
          <w:rFonts w:hint="eastAsia" w:ascii="仿宋_GB2312" w:hAnsi="仿宋_GB2312" w:eastAsia="仿宋_GB2312" w:cs="仿宋_GB2312"/>
          <w:b w:val="0"/>
          <w:bCs w:val="0"/>
          <w:sz w:val="28"/>
          <w:szCs w:val="28"/>
          <w:lang w:val="en-US" w:eastAsia="zh-CN"/>
        </w:rPr>
        <w:t>心</w:t>
      </w:r>
      <w:r>
        <w:rPr>
          <w:rFonts w:hint="default" w:ascii="仿宋_GB2312" w:hAnsi="仿宋_GB2312" w:eastAsia="仿宋_GB2312" w:cs="仿宋_GB2312"/>
          <w:b w:val="0"/>
          <w:bCs w:val="0"/>
          <w:sz w:val="28"/>
          <w:szCs w:val="28"/>
          <w:lang w:val="en-US" w:eastAsia="zh-CN"/>
        </w:rPr>
        <w:t>策划，稳步推进，逐步升温，渐入高潮，为赛事活动营造浓厚的舆论氛围。</w:t>
      </w:r>
    </w:p>
    <w:p w14:paraId="642931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6）</w:t>
      </w:r>
      <w:r>
        <w:rPr>
          <w:rFonts w:hint="default" w:ascii="仿宋_GB2312" w:hAnsi="仿宋_GB2312" w:eastAsia="仿宋_GB2312" w:cs="仿宋_GB2312"/>
          <w:b w:val="0"/>
          <w:bCs w:val="0"/>
          <w:sz w:val="28"/>
          <w:szCs w:val="28"/>
          <w:lang w:val="en-US" w:eastAsia="zh-CN"/>
        </w:rPr>
        <w:t>活动网络报道：</w:t>
      </w:r>
      <w:r>
        <w:rPr>
          <w:rFonts w:hint="eastAsia" w:ascii="仿宋_GB2312" w:hAnsi="仿宋_GB2312" w:eastAsia="仿宋_GB2312" w:cs="仿宋_GB2312"/>
          <w:b w:val="0"/>
          <w:bCs w:val="0"/>
          <w:sz w:val="28"/>
          <w:szCs w:val="28"/>
          <w:lang w:val="en-US" w:eastAsia="zh-CN"/>
        </w:rPr>
        <w:t>通过</w:t>
      </w:r>
      <w:r>
        <w:rPr>
          <w:rFonts w:hint="default" w:ascii="仿宋_GB2312" w:hAnsi="仿宋_GB2312" w:eastAsia="仿宋_GB2312" w:cs="仿宋_GB2312"/>
          <w:b w:val="0"/>
          <w:bCs w:val="0"/>
          <w:sz w:val="28"/>
          <w:szCs w:val="28"/>
          <w:lang w:val="en-US" w:eastAsia="zh-CN"/>
        </w:rPr>
        <w:t>网络媒体进行持续报道</w:t>
      </w:r>
      <w:r>
        <w:rPr>
          <w:rFonts w:hint="eastAsia" w:ascii="仿宋_GB2312" w:hAnsi="仿宋_GB2312" w:eastAsia="仿宋_GB2312" w:cs="仿宋_GB2312"/>
          <w:b w:val="0"/>
          <w:bCs w:val="0"/>
          <w:sz w:val="28"/>
          <w:szCs w:val="28"/>
          <w:lang w:val="en-US" w:eastAsia="zh-CN"/>
        </w:rPr>
        <w:t>。</w:t>
      </w:r>
    </w:p>
    <w:p w14:paraId="7A0E78E1">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leftChars="0" w:firstLine="562" w:firstLineChars="200"/>
        <w:jc w:val="both"/>
        <w:textAlignment w:val="auto"/>
        <w:rPr>
          <w:rFonts w:hint="default" w:ascii="仿宋_GB2312" w:hAnsi="仿宋_GB2312" w:eastAsia="仿宋_GB2312" w:cs="仿宋_GB2312"/>
          <w:b/>
          <w:bCs/>
          <w:sz w:val="28"/>
          <w:szCs w:val="28"/>
          <w:lang w:val="en-US" w:eastAsia="zh-CN"/>
        </w:rPr>
      </w:pPr>
      <w:r>
        <w:rPr>
          <w:rFonts w:hint="default" w:ascii="仿宋_GB2312" w:hAnsi="仿宋_GB2312" w:eastAsia="仿宋_GB2312" w:cs="仿宋_GB2312"/>
          <w:b/>
          <w:bCs/>
          <w:sz w:val="28"/>
          <w:szCs w:val="28"/>
          <w:lang w:val="en-US" w:eastAsia="zh-CN"/>
        </w:rPr>
        <w:t>第三阶段：赛后评论——延续期。</w:t>
      </w:r>
    </w:p>
    <w:p w14:paraId="6130FA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1) 以回顾比赛花絮、赛事专题、赛事回顾、赛事评论、赛后采访、赞助商宣传片、广告等形成对赛事的总结延续；</w:t>
      </w:r>
    </w:p>
    <w:p w14:paraId="723F1A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rPr>
          <w:rFonts w:hint="default" w:ascii="仿宋_GB2312" w:hAnsi="仿宋_GB2312" w:eastAsia="仿宋_GB2312" w:cs="仿宋_GB2312"/>
          <w:b/>
          <w:bCs/>
          <w:sz w:val="28"/>
          <w:szCs w:val="28"/>
          <w:lang w:val="en-US" w:eastAsia="zh-CN"/>
        </w:rPr>
      </w:pPr>
      <w:r>
        <w:rPr>
          <w:rFonts w:hint="default" w:ascii="仿宋_GB2312" w:hAnsi="仿宋_GB2312" w:eastAsia="仿宋_GB2312" w:cs="仿宋_GB2312"/>
          <w:b w:val="0"/>
          <w:bCs w:val="0"/>
          <w:sz w:val="28"/>
          <w:szCs w:val="28"/>
          <w:lang w:val="en-US" w:eastAsia="zh-CN"/>
        </w:rPr>
        <w:t>2) 报道花絮、故事、人物、国际赛事借鉴，对本届赛事的方方面面深度评论和总结，并为今后赛事的长远规划提供预热宣传。</w:t>
      </w:r>
    </w:p>
    <w:p w14:paraId="565C9A54">
      <w:pPr>
        <w:pStyle w:val="2"/>
        <w:ind w:firstLine="420"/>
        <w:rPr>
          <w:rFonts w:hint="default" w:ascii="仿宋_GB2312" w:hAnsi="仿宋_GB2312" w:eastAsia="仿宋_GB2312" w:cs="仿宋_GB2312"/>
          <w:b/>
          <w:bCs/>
          <w:color w:val="auto"/>
          <w:kern w:val="2"/>
          <w:sz w:val="32"/>
          <w:szCs w:val="40"/>
          <w:lang w:val="en-US" w:eastAsia="zh-CN" w:bidi="ar-SA"/>
        </w:rPr>
      </w:pPr>
      <w:r>
        <w:rPr>
          <w:rFonts w:hint="eastAsia" w:ascii="仿宋_GB2312" w:hAnsi="仿宋_GB2312" w:eastAsia="仿宋_GB2312" w:cs="仿宋_GB2312"/>
          <w:b/>
          <w:bCs/>
          <w:color w:val="auto"/>
          <w:kern w:val="2"/>
          <w:sz w:val="32"/>
          <w:szCs w:val="40"/>
          <w:lang w:val="en-US" w:eastAsia="zh-CN" w:bidi="ar-SA"/>
        </w:rPr>
        <w:t>其他：</w:t>
      </w:r>
    </w:p>
    <w:p w14:paraId="29CCFD97">
      <w:pPr>
        <w:pStyle w:val="2"/>
        <w:ind w:firstLine="420"/>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一、付款方式</w:t>
      </w:r>
    </w:p>
    <w:p w14:paraId="11C8218F">
      <w:pPr>
        <w:spacing w:line="360" w:lineRule="auto"/>
        <w:ind w:firstLine="560" w:firstLineChars="200"/>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采购人与中标人签订合同后，中标人提供有效发票15天内采购人向中标人支付运营经费的70%；赛事结束30日后，在采购人确认中标人如约履行各项义务、完成各项善后工作，无任何对本次比赛可能造成不良影响的遗留问题后，采购人向中标人一次性支付运营经费的30%余款。</w:t>
      </w:r>
    </w:p>
    <w:p w14:paraId="2041F075">
      <w:pPr>
        <w:widowControl/>
        <w:snapToGrid w:val="0"/>
        <w:spacing w:line="276" w:lineRule="auto"/>
        <w:ind w:firstLine="560" w:firstLineChars="200"/>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二、报价要求</w:t>
      </w:r>
    </w:p>
    <w:p w14:paraId="74E99D80">
      <w:pPr>
        <w:widowControl/>
        <w:autoSpaceDE w:val="0"/>
        <w:autoSpaceDN w:val="0"/>
        <w:spacing w:line="360" w:lineRule="auto"/>
        <w:ind w:right="-53" w:rightChars="-25" w:firstLine="560" w:firstLineChars="200"/>
        <w:textAlignment w:val="bottom"/>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1.  投标人应根据采购文件报出合同总价。合同总价一旦核实确认，不得再做更改。对投标人漏报致使未能达到需求的功能和效果，其费用和后果由投标人自行负责。</w:t>
      </w:r>
    </w:p>
    <w:p w14:paraId="3B52DAC4">
      <w:pPr>
        <w:widowControl/>
        <w:autoSpaceDE w:val="0"/>
        <w:autoSpaceDN w:val="0"/>
        <w:spacing w:line="360" w:lineRule="auto"/>
        <w:ind w:right="-53" w:rightChars="-25" w:firstLine="274" w:firstLineChars="98"/>
        <w:textAlignment w:val="bottom"/>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 xml:space="preserve">▲2.  投标人对每种服务的报价必须是唯一的。招标人不接受有任何选择的报价。 </w:t>
      </w:r>
    </w:p>
    <w:p w14:paraId="5296B626">
      <w:pPr>
        <w:widowControl/>
        <w:autoSpaceDE w:val="0"/>
        <w:autoSpaceDN w:val="0"/>
        <w:spacing w:line="360" w:lineRule="auto"/>
        <w:ind w:right="-53" w:rightChars="-25" w:firstLine="560" w:firstLineChars="200"/>
        <w:textAlignment w:val="bottom"/>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3.  所有报价均应已包含国家规定的所有税费。</w:t>
      </w:r>
    </w:p>
    <w:p w14:paraId="2E54F507">
      <w:pPr>
        <w:tabs>
          <w:tab w:val="left" w:pos="0"/>
        </w:tabs>
        <w:autoSpaceDE w:val="0"/>
        <w:autoSpaceDN w:val="0"/>
        <w:adjustRightInd w:val="0"/>
        <w:spacing w:line="360" w:lineRule="auto"/>
        <w:ind w:left="315" w:leftChars="150" w:firstLine="140" w:firstLineChars="50"/>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4．本项目的投标应以人民币报价，投标报价应是完成本项目服务可能发生的全部费用及中标人的利润和应交纳的税金等一切费用。投标人对合同内容的费用、质量、安全、文明服务等实行全面承包。</w:t>
      </w:r>
    </w:p>
    <w:p w14:paraId="1E7D4DEF">
      <w:pPr>
        <w:widowControl/>
        <w:autoSpaceDE w:val="0"/>
        <w:autoSpaceDN w:val="0"/>
        <w:spacing w:line="360" w:lineRule="auto"/>
        <w:ind w:right="-53" w:rightChars="-25" w:firstLine="560" w:firstLineChars="200"/>
        <w:textAlignment w:val="bottom"/>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5. 投标人免费提供的部分必须注明“免费”或数字“0”，如有严重缺漏项，视为无效标。</w:t>
      </w:r>
    </w:p>
    <w:p w14:paraId="6B6ED9A7">
      <w:pPr>
        <w:widowControl/>
        <w:autoSpaceDE w:val="0"/>
        <w:autoSpaceDN w:val="0"/>
        <w:spacing w:line="360" w:lineRule="auto"/>
        <w:ind w:right="-53" w:rightChars="-25" w:firstLine="560" w:firstLineChars="200"/>
        <w:textAlignment w:val="bottom"/>
        <w:rPr>
          <w:rFonts w:hint="default"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6.赛事奖金、奖牌等费用按采购需求规定由中标人承担，赛事报名费收入归中标人用于本项目运营服务的开支。</w:t>
      </w:r>
    </w:p>
    <w:p w14:paraId="1DBD704D">
      <w:pPr>
        <w:widowControl/>
        <w:autoSpaceDE w:val="0"/>
        <w:autoSpaceDN w:val="0"/>
        <w:spacing w:line="360" w:lineRule="auto"/>
        <w:ind w:right="-53" w:rightChars="-25" w:firstLine="560" w:firstLineChars="200"/>
        <w:textAlignment w:val="bottom"/>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7．本次项目预算金额： 人民币</w:t>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 500000 \* CHINESENUM4 \* MERGEFORMAT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肆拾万元整</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kern w:val="2"/>
          <w:sz w:val="28"/>
          <w:szCs w:val="28"/>
          <w:lang w:val="en-US" w:eastAsia="zh-CN" w:bidi="ar-SA"/>
        </w:rPr>
        <w:t>（400000元）。最高限价：人民币</w:t>
      </w:r>
      <w:r>
        <w:rPr>
          <w:rFonts w:hint="eastAsia" w:ascii="仿宋_GB2312" w:hAnsi="仿宋_GB2312" w:eastAsia="仿宋_GB2312" w:cs="仿宋_GB2312"/>
          <w:b w:val="0"/>
          <w:bCs w:val="0"/>
          <w:kern w:val="2"/>
          <w:sz w:val="28"/>
          <w:szCs w:val="28"/>
          <w:lang w:val="en-US" w:eastAsia="zh-CN" w:bidi="ar-SA"/>
        </w:rPr>
        <w:fldChar w:fldCharType="begin"/>
      </w:r>
      <w:r>
        <w:rPr>
          <w:rFonts w:hint="eastAsia" w:ascii="仿宋_GB2312" w:hAnsi="仿宋_GB2312" w:eastAsia="仿宋_GB2312" w:cs="仿宋_GB2312"/>
          <w:b w:val="0"/>
          <w:bCs w:val="0"/>
          <w:kern w:val="2"/>
          <w:sz w:val="28"/>
          <w:szCs w:val="28"/>
          <w:lang w:val="en-US" w:eastAsia="zh-CN" w:bidi="ar-SA"/>
        </w:rPr>
        <w:instrText xml:space="preserve"> = 400000 \* CHINESENUM4 \* MERGEFORMAT </w:instrText>
      </w:r>
      <w:r>
        <w:rPr>
          <w:rFonts w:hint="eastAsia" w:ascii="仿宋_GB2312" w:hAnsi="仿宋_GB2312" w:eastAsia="仿宋_GB2312" w:cs="仿宋_GB2312"/>
          <w:b w:val="0"/>
          <w:bCs w:val="0"/>
          <w:kern w:val="2"/>
          <w:sz w:val="28"/>
          <w:szCs w:val="28"/>
          <w:lang w:val="en-US" w:eastAsia="zh-CN" w:bidi="ar-SA"/>
        </w:rPr>
        <w:fldChar w:fldCharType="separate"/>
      </w:r>
      <w:r>
        <w:rPr>
          <w:rFonts w:hint="eastAsia" w:ascii="仿宋_GB2312" w:hAnsi="仿宋_GB2312" w:eastAsia="仿宋_GB2312" w:cs="仿宋_GB2312"/>
          <w:b w:val="0"/>
          <w:bCs w:val="0"/>
          <w:kern w:val="2"/>
          <w:sz w:val="28"/>
          <w:szCs w:val="28"/>
          <w:lang w:val="en-US" w:eastAsia="zh-CN" w:bidi="ar-SA"/>
        </w:rPr>
        <w:t>肆拾万元整</w:t>
      </w:r>
      <w:r>
        <w:rPr>
          <w:rFonts w:hint="eastAsia" w:ascii="仿宋_GB2312" w:hAnsi="仿宋_GB2312" w:eastAsia="仿宋_GB2312" w:cs="仿宋_GB2312"/>
          <w:b w:val="0"/>
          <w:bCs w:val="0"/>
          <w:kern w:val="2"/>
          <w:sz w:val="28"/>
          <w:szCs w:val="28"/>
          <w:lang w:val="en-US" w:eastAsia="zh-CN" w:bidi="ar-SA"/>
        </w:rPr>
        <w:fldChar w:fldCharType="end"/>
      </w:r>
      <w:r>
        <w:rPr>
          <w:rFonts w:hint="eastAsia" w:ascii="仿宋_GB2312" w:hAnsi="仿宋_GB2312" w:eastAsia="仿宋_GB2312" w:cs="仿宋_GB2312"/>
          <w:b w:val="0"/>
          <w:bCs w:val="0"/>
          <w:kern w:val="2"/>
          <w:sz w:val="28"/>
          <w:szCs w:val="28"/>
          <w:lang w:val="en-US" w:eastAsia="zh-CN" w:bidi="ar-SA"/>
        </w:rPr>
        <w:t>（400000元）</w:t>
      </w:r>
    </w:p>
    <w:p w14:paraId="4D507CAE">
      <w:pPr>
        <w:pStyle w:val="3"/>
        <w:ind w:firstLine="560" w:firstLineChars="200"/>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8．投标报价包括代理费，招标代理服务费由采购人支付，代理单位将按照发改办价格[2003]857号收取，一次性包干7000元整。支付方式及时间为：中标通知书发出后5个工作日内一次性支付给招标代理机构。</w:t>
      </w:r>
    </w:p>
    <w:p w14:paraId="580124C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7A76EC"/>
    <w:multiLevelType w:val="singleLevel"/>
    <w:tmpl w:val="D77A76EC"/>
    <w:lvl w:ilvl="0" w:tentative="0">
      <w:start w:val="1"/>
      <w:numFmt w:val="chineseCounting"/>
      <w:suff w:val="nothing"/>
      <w:lvlText w:val="%1、"/>
      <w:lvlJc w:val="left"/>
      <w:rPr>
        <w:rFonts w:hint="eastAsia"/>
      </w:rPr>
    </w:lvl>
  </w:abstractNum>
  <w:abstractNum w:abstractNumId="1">
    <w:nsid w:val="FFEF63AA"/>
    <w:multiLevelType w:val="singleLevel"/>
    <w:tmpl w:val="FFEF63AA"/>
    <w:lvl w:ilvl="0" w:tentative="0">
      <w:start w:val="1"/>
      <w:numFmt w:val="decimal"/>
      <w:suff w:val="space"/>
      <w:lvlText w:val="%1)"/>
      <w:lvlJc w:val="left"/>
    </w:lvl>
  </w:abstractNum>
  <w:abstractNum w:abstractNumId="2">
    <w:nsid w:val="0000000F"/>
    <w:multiLevelType w:val="multilevel"/>
    <w:tmpl w:val="0000000F"/>
    <w:lvl w:ilvl="0" w:tentative="0">
      <w:start w:val="1"/>
      <w:numFmt w:val="japaneseCounting"/>
      <w:lvlText w:val="第%1章"/>
      <w:lvlJc w:val="left"/>
      <w:pPr>
        <w:ind w:left="1080" w:hanging="108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5MGM4MWE5OTk4ZDY3YTkwNjAyZGVlMjM5OTJhZjcifQ=="/>
  </w:docVars>
  <w:rsids>
    <w:rsidRoot w:val="62FA1894"/>
    <w:rsid w:val="62FA18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qFormat/>
    <w:uiPriority w:val="0"/>
    <w:pPr>
      <w:keepNext/>
      <w:keepLines/>
      <w:spacing w:line="360" w:lineRule="auto"/>
      <w:outlineLvl w:val="1"/>
    </w:pPr>
    <w:rPr>
      <w:rFonts w:ascii="Cambria" w:hAnsi="Cambria"/>
      <w:b/>
      <w:bCs/>
      <w:szCs w:val="32"/>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Body Text"/>
    <w:basedOn w:val="1"/>
    <w:next w:val="4"/>
    <w:qFormat/>
    <w:uiPriority w:val="0"/>
    <w:pPr>
      <w:spacing w:after="120"/>
    </w:pPr>
    <w:rPr>
      <w:kern w:val="0"/>
      <w:sz w:val="24"/>
    </w:rPr>
  </w:style>
  <w:style w:type="paragraph" w:styleId="4">
    <w:name w:val="Body Text First Indent"/>
    <w:basedOn w:val="3"/>
    <w:next w:val="5"/>
    <w:qFormat/>
    <w:uiPriority w:val="0"/>
    <w:pPr>
      <w:ind w:firstLine="420" w:firstLineChars="100"/>
    </w:pPr>
    <w:rPr>
      <w:sz w:val="21"/>
      <w:szCs w:val="22"/>
    </w:rPr>
  </w:style>
  <w:style w:type="paragraph" w:styleId="5">
    <w:name w:val="toc 6"/>
    <w:basedOn w:val="1"/>
    <w:next w:val="1"/>
    <w:qFormat/>
    <w:uiPriority w:val="0"/>
    <w:pPr>
      <w:autoSpaceDE w:val="0"/>
      <w:autoSpaceDN w:val="0"/>
      <w:adjustRightInd w:val="0"/>
      <w:ind w:left="2100" w:leftChars="1000"/>
      <w:jc w:val="left"/>
    </w:pPr>
    <w:rPr>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0</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2024-10-12T01:57:00Z</dcterms:created>
  <dc:creator>WPS_1629336849</dc:creator>
  <cp:lastModifiedBy>WPS_1629336849</cp:lastModifiedBy>
  <dcterms:modified xsi:type="dcterms:W3CDTF">2024-10-12T01:57:51Z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02856EA4F8694E3D85D6706061364605_11</vt:lpwstr>
  </property>
</Properties>
</file>