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Ansi="仿宋" w:hint="eastAsia"/>
          <w:b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供应商未中标情况说明</w:t>
      </w: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b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标段编号：</w:t>
      </w:r>
      <w:r>
        <w:rPr>
          <w:rFonts w:ascii="仿宋" w:eastAsia="仿宋" w:cs="仿宋" w:hAnsi="仿宋"/>
          <w:b/>
          <w:sz w:val="28"/>
          <w:szCs w:val="28"/>
        </w:rPr>
        <w:t>BJZFCG-2024-086</w:t>
      </w:r>
    </w:p>
    <w:p>
      <w:pPr>
        <w:pStyle w:val="3"/>
        <w:shd w:val="clear" w:color="auto" w:fill="FFFFFF"/>
        <w:spacing w:before="0" w:beforeAutospacing="0" w:after="0" w:afterAutospacing="0"/>
        <w:ind w:left="0" w:firstLine="0"/>
        <w:rPr>
          <w:rFonts w:ascii="PingFang SC" w:hAnsi="PingFang SC"/>
        </w:rPr>
      </w:pPr>
      <w:r>
        <w:rPr>
          <w:rFonts w:ascii="仿宋" w:eastAsia="仿宋" w:cs="仿宋" w:hAnsi="仿宋" w:hint="eastAsia"/>
          <w:b/>
          <w:sz w:val="28"/>
          <w:szCs w:val="28"/>
        </w:rPr>
        <w:t>标段名称：</w:t>
      </w:r>
      <w:r>
        <w:rPr>
          <w:rFonts w:ascii="仿宋" w:eastAsia="仿宋" w:cs="仿宋" w:hAnsi="仿宋"/>
          <w:b/>
          <w:sz w:val="28"/>
          <w:szCs w:val="28"/>
        </w:rPr>
        <w:t>杭州市长河小学2025年度物业管理服务采购项目</w:t>
      </w:r>
    </w:p>
    <w:p>
      <w:pPr>
        <w:rPr>
          <w:rFonts w:ascii="仿宋" w:eastAsia="仿宋" w:cs="仿宋" w:hAnsi="仿宋" w:hint="eastAsia"/>
          <w:sz w:val="28"/>
          <w:szCs w:val="28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0"/>
        <w:gridCol w:w="4187"/>
        <w:gridCol w:w="3142"/>
      </w:tblGrid>
      <w:tr>
        <w:tc>
          <w:tcPr>
            <w:tcW w:w="960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87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未中标理由</w:t>
            </w:r>
          </w:p>
        </w:tc>
      </w:tr>
      <w:tr>
        <w:tc>
          <w:tcPr>
            <w:tcW w:w="960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杭州品信物业管理有限公司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得分91.32，排名第2；</w:t>
            </w:r>
          </w:p>
        </w:tc>
      </w:tr>
      <w:tr>
        <w:tc>
          <w:tcPr>
            <w:tcW w:w="960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杭州锦辉物业管理有限公司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得分90.93，排名第3；</w:t>
            </w:r>
          </w:p>
        </w:tc>
      </w:tr>
      <w:tr>
        <w:tc>
          <w:tcPr>
            <w:tcW w:w="960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杭州滨江保安服务有限公司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得分79.67</w:t>
            </w:r>
            <w:bookmarkStart w:id="0" w:name="_GoBack"/>
            <w:bookmarkEnd w:id="0"/>
            <w:r>
              <w:rPr>
                <w:rFonts w:ascii="仿宋" w:eastAsia="仿宋" w:cs="仿宋" w:hAnsi="仿宋"/>
                <w:sz w:val="28"/>
                <w:szCs w:val="28"/>
              </w:rPr>
              <w:t>，排名第4；</w:t>
            </w:r>
          </w:p>
        </w:tc>
      </w:tr>
    </w:tbl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  <w:r>
        <w:rPr>
          <w:rFonts w:ascii="仿宋" w:eastAsia="仿宋" w:cs="仿宋" w:hAnsi="仿宋" w:hint="eastAsia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PingFang SC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 w:hAnsi="等线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等线" w:eastAsia="等线" w:cs="Arial" w:hAnsi="等线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link w:val="3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3Char">
    <w:name w:val="heading 3 Char"/>
    <w:basedOn w:val="10"/>
    <w:link w:val="3"/>
    <w:rPr>
      <w:rFonts w:ascii="宋体" w:eastAsia="宋体" w:cs="Arial" w:hAnsi="等线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7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2DE3B7C-A4BD-4BC6-8570-5A711567FFD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Yozo_Office9.0.5445.102ZH</Application>
  <Pages>1</Pages>
  <Words>0</Words>
  <Characters>147</Characters>
  <Lines>0</Lines>
  <Paragraphs>10</Paragraphs>
  <CharactersWithSpaces>196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 Office User</dc:creator>
  <cp:lastModifiedBy>Administrator</cp:lastModifiedBy>
  <cp:revision>1</cp:revision>
  <dcterms:created xsi:type="dcterms:W3CDTF">2021-08-24T08:02:00Z</dcterms:created>
  <dcterms:modified xsi:type="dcterms:W3CDTF">2025-01-09T04:00:37Z</dcterms:modified>
</cp:coreProperties>
</file>