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浙江经济职业技术学院</w:t>
      </w:r>
    </w:p>
    <w:p>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智慧党建系统</w:t>
      </w: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48"/>
          <w:szCs w:val="48"/>
          <w:highlight w:val="none"/>
        </w:rPr>
      </w:pPr>
    </w:p>
    <w:p>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jc w:val="center"/>
        <w:rPr>
          <w:rFonts w:ascii="楷体" w:hAnsi="楷体" w:eastAsia="楷体" w:cs="楷体"/>
          <w:b/>
          <w:bCs/>
          <w:sz w:val="36"/>
          <w:szCs w:val="36"/>
          <w:highlight w:val="none"/>
        </w:rPr>
      </w:pP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智慧党建系统</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QSZB-Z(H)-B24396(CS)</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浙江经济职业技术学院</w:t>
      </w:r>
    </w:p>
    <w:p>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采购计划文号：[2024]40445号</w:t>
      </w:r>
    </w:p>
    <w:p>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pPr>
        <w:adjustRightInd w:val="0"/>
        <w:snapToGrid w:val="0"/>
        <w:spacing w:line="288" w:lineRule="auto"/>
        <w:rPr>
          <w:rFonts w:ascii="楷体" w:hAnsi="楷体" w:eastAsia="楷体" w:cs="楷体"/>
          <w:b/>
          <w:bCs/>
          <w:sz w:val="30"/>
          <w:szCs w:val="30"/>
        </w:rPr>
      </w:pPr>
    </w:p>
    <w:p>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pPr>
        <w:adjustRightInd w:val="0"/>
        <w:snapToGrid w:val="0"/>
        <w:spacing w:line="288" w:lineRule="auto"/>
        <w:rPr>
          <w:rFonts w:ascii="楷体" w:hAnsi="楷体" w:eastAsia="楷体" w:cs="楷体"/>
          <w:b/>
          <w:bCs/>
          <w:sz w:val="30"/>
          <w:szCs w:val="30"/>
        </w:rPr>
      </w:pP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pPr>
        <w:widowControl/>
        <w:jc w:val="left"/>
      </w:pPr>
    </w:p>
    <w:p>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智慧党建系统</w:t>
      </w:r>
      <w:r>
        <w:rPr>
          <w:rFonts w:hint="eastAsia"/>
          <w:b/>
          <w:sz w:val="21"/>
          <w:szCs w:val="21"/>
          <w:u w:val="single"/>
        </w:rPr>
        <w:t xml:space="preserve"> </w:t>
      </w:r>
      <w:r>
        <w:rPr>
          <w:rFonts w:hint="eastAsia"/>
          <w:b/>
          <w:sz w:val="21"/>
          <w:szCs w:val="21"/>
        </w:rPr>
        <w:t>采</w:t>
      </w:r>
      <w:r>
        <w:rPr>
          <w:rFonts w:hint="eastAsia"/>
          <w:b/>
          <w:sz w:val="21"/>
          <w:szCs w:val="21"/>
          <w:highlight w:val="none"/>
        </w:rPr>
        <w:t>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202</w:t>
      </w:r>
      <w:r>
        <w:rPr>
          <w:rFonts w:hint="eastAsia"/>
          <w:b/>
          <w:sz w:val="21"/>
          <w:szCs w:val="21"/>
          <w:highlight w:val="none"/>
          <w:u w:val="single"/>
          <w:lang w:val="en-US" w:eastAsia="zh-CN"/>
        </w:rPr>
        <w:t>4</w:t>
      </w:r>
      <w:r>
        <w:rPr>
          <w:rFonts w:hint="eastAsia"/>
          <w:b/>
          <w:sz w:val="21"/>
          <w:szCs w:val="21"/>
          <w:highlight w:val="none"/>
          <w:u w:val="single"/>
        </w:rPr>
        <w:t>年</w:t>
      </w:r>
      <w:r>
        <w:rPr>
          <w:rFonts w:hint="eastAsia"/>
          <w:b/>
          <w:sz w:val="21"/>
          <w:szCs w:val="21"/>
          <w:highlight w:val="none"/>
          <w:u w:val="single"/>
          <w:lang w:eastAsia="zh-CN"/>
        </w:rPr>
        <w:t>08月26日09:00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pPr>
        <w:adjustRightInd w:val="0"/>
        <w:snapToGrid w:val="0"/>
        <w:spacing w:line="288" w:lineRule="auto"/>
        <w:rPr>
          <w:b/>
          <w:sz w:val="21"/>
          <w:szCs w:val="21"/>
          <w:highlight w:val="none"/>
        </w:rPr>
      </w:pPr>
      <w:bookmarkStart w:id="0" w:name="_Toc35393621"/>
      <w:bookmarkStart w:id="1" w:name="_Toc28359079"/>
      <w:bookmarkStart w:id="2" w:name="_Toc28359002"/>
      <w:bookmarkStart w:id="3" w:name="_Toc35393790"/>
      <w:bookmarkStart w:id="4" w:name="_Hlk24379207"/>
      <w:r>
        <w:rPr>
          <w:rFonts w:hint="eastAsia"/>
          <w:b/>
          <w:sz w:val="21"/>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QSZB-Z(H)-B24396(CS)</w:t>
      </w:r>
    </w:p>
    <w:p>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智慧党建系统</w:t>
      </w:r>
    </w:p>
    <w:p>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450000元</w:t>
      </w:r>
    </w:p>
    <w:p>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450000元</w:t>
      </w:r>
    </w:p>
    <w:p>
      <w:pPr>
        <w:adjustRightInd w:val="0"/>
        <w:snapToGrid w:val="0"/>
        <w:spacing w:line="288" w:lineRule="auto"/>
        <w:ind w:firstLine="420" w:firstLineChars="200"/>
        <w:rPr>
          <w:rFonts w:hint="default" w:ascii="宋体" w:hAnsi="宋体" w:eastAsia="宋体" w:cs="宋体"/>
          <w:sz w:val="21"/>
          <w:szCs w:val="21"/>
          <w:highlight w:val="none"/>
          <w:lang w:val="en-US"/>
        </w:rPr>
      </w:pPr>
      <w:r>
        <w:rPr>
          <w:sz w:val="21"/>
          <w:szCs w:val="21"/>
          <w:highlight w:val="none"/>
        </w:rPr>
        <w:t>6.</w:t>
      </w:r>
      <w:r>
        <w:rPr>
          <w:rFonts w:hint="eastAsia"/>
          <w:sz w:val="21"/>
          <w:szCs w:val="21"/>
          <w:highlight w:val="none"/>
        </w:rPr>
        <w:t>合同</w:t>
      </w:r>
      <w:r>
        <w:rPr>
          <w:rFonts w:hint="eastAsia" w:ascii="宋体" w:hAnsi="宋体" w:eastAsia="宋体" w:cs="宋体"/>
          <w:sz w:val="21"/>
          <w:szCs w:val="21"/>
          <w:highlight w:val="none"/>
        </w:rPr>
        <w:t>履约期限：自合同签订之日起，2个月内完成初验，4个月内正式完成本项目</w:t>
      </w:r>
    </w:p>
    <w:p>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bookmarkStart w:id="5" w:name="_Toc35393791"/>
            <w:bookmarkStart w:id="6" w:name="_Toc28359003"/>
            <w:bookmarkStart w:id="7" w:name="_Toc28359080"/>
            <w:bookmarkStart w:id="8" w:name="_Toc35393622"/>
            <w:r>
              <w:rPr>
                <w:rFonts w:hint="eastAsia" w:ascii="宋体" w:hAnsi="宋体" w:eastAsia="宋体" w:cs="宋体"/>
                <w:b/>
                <w:bCs/>
                <w:sz w:val="21"/>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sz w:val="21"/>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 w:val="21"/>
                <w:szCs w:val="21"/>
                <w:highlight w:val="none"/>
              </w:rPr>
            </w:pPr>
            <w:r>
              <w:rPr>
                <w:rFonts w:hint="eastAsia" w:cs="宋体"/>
                <w:sz w:val="21"/>
                <w:szCs w:val="21"/>
                <w:highlight w:val="none"/>
                <w:lang w:eastAsia="zh-CN"/>
              </w:rPr>
              <w:t>智慧党建系统</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default" w:ascii="宋体" w:hAnsi="宋体" w:eastAsia="宋体" w:cs="宋体"/>
                <w:bCs/>
                <w:sz w:val="21"/>
                <w:szCs w:val="21"/>
                <w:highlight w:val="none"/>
                <w:lang w:val="en-US" w:eastAsia="zh-CN"/>
              </w:rPr>
            </w:pPr>
            <w:r>
              <w:rPr>
                <w:rFonts w:hint="eastAsia" w:cs="宋体"/>
                <w:bCs/>
                <w:sz w:val="21"/>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r>
    </w:tbl>
    <w:p>
      <w:pPr>
        <w:adjustRightInd w:val="0"/>
        <w:snapToGrid w:val="0"/>
        <w:spacing w:line="288" w:lineRule="auto"/>
        <w:rPr>
          <w:b/>
          <w:sz w:val="21"/>
          <w:szCs w:val="21"/>
          <w:highlight w:val="none"/>
        </w:rPr>
      </w:pPr>
      <w:r>
        <w:rPr>
          <w:rFonts w:hint="eastAsia"/>
          <w:b/>
          <w:sz w:val="21"/>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本项目属性为：货物</w:t>
      </w:r>
    </w:p>
    <w:p>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采购标的对应的中小企业划分标准所属行业：软件和信息技术服务业</w:t>
      </w: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pPr>
        <w:adjustRightInd w:val="0"/>
        <w:snapToGrid w:val="0"/>
        <w:spacing w:line="288" w:lineRule="auto"/>
        <w:rPr>
          <w:b/>
          <w:sz w:val="21"/>
          <w:szCs w:val="21"/>
          <w:highlight w:val="none"/>
        </w:rPr>
      </w:pPr>
      <w:bookmarkStart w:id="11" w:name="_Toc35393792"/>
      <w:bookmarkStart w:id="12" w:name="_Toc35393623"/>
      <w:r>
        <w:rPr>
          <w:rFonts w:hint="eastAsia"/>
          <w:b/>
          <w:sz w:val="21"/>
          <w:szCs w:val="21"/>
          <w:highlight w:val="none"/>
        </w:rPr>
        <w:t>三、获取（下载）采购文件</w:t>
      </w:r>
      <w:bookmarkEnd w:id="9"/>
      <w:bookmarkEnd w:id="10"/>
      <w:bookmarkEnd w:id="11"/>
      <w:bookmarkEnd w:id="12"/>
    </w:p>
    <w:p>
      <w:pPr>
        <w:adjustRightInd w:val="0"/>
        <w:snapToGrid w:val="0"/>
        <w:spacing w:line="288" w:lineRule="auto"/>
        <w:ind w:firstLine="420" w:firstLineChars="200"/>
        <w:rPr>
          <w:sz w:val="21"/>
          <w:szCs w:val="21"/>
          <w:highlight w:val="none"/>
        </w:rPr>
      </w:pPr>
      <w:bookmarkStart w:id="13" w:name="_Toc28359082"/>
      <w:bookmarkStart w:id="14" w:name="_Toc35393624"/>
      <w:bookmarkStart w:id="15" w:name="_Toc28359005"/>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08</w:t>
      </w:r>
      <w:r>
        <w:rPr>
          <w:rFonts w:hint="eastAsia"/>
          <w:sz w:val="21"/>
          <w:szCs w:val="21"/>
          <w:highlight w:val="none"/>
        </w:rPr>
        <w:t>月</w:t>
      </w:r>
      <w:r>
        <w:rPr>
          <w:rFonts w:hint="eastAsia"/>
          <w:sz w:val="21"/>
          <w:szCs w:val="21"/>
          <w:highlight w:val="none"/>
          <w:lang w:val="en-US" w:eastAsia="zh-CN"/>
        </w:rPr>
        <w:t>26</w:t>
      </w:r>
      <w:r>
        <w:rPr>
          <w:rFonts w:hint="eastAsia"/>
          <w:sz w:val="21"/>
          <w:szCs w:val="21"/>
          <w:highlight w:val="none"/>
        </w:rPr>
        <w:t>日，每天上午00:00至12:00，下午12:00至23:59（北京时间，线上获取法定节假日均可，线下获取文件法定节假日除外）</w:t>
      </w:r>
    </w:p>
    <w:p>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sz w:val="21"/>
          <w:szCs w:val="21"/>
          <w:highlight w:val="none"/>
        </w:rPr>
      </w:pPr>
      <w:r>
        <w:rPr>
          <w:rFonts w:hint="eastAsia"/>
          <w:sz w:val="21"/>
          <w:szCs w:val="21"/>
          <w:highlight w:val="none"/>
        </w:rPr>
        <w:t>售价（元）：0</w:t>
      </w:r>
    </w:p>
    <w:p>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pPr>
        <w:adjustRightInd w:val="0"/>
        <w:snapToGrid w:val="0"/>
        <w:spacing w:line="288" w:lineRule="auto"/>
        <w:ind w:firstLine="420" w:firstLineChars="200"/>
        <w:rPr>
          <w:bCs/>
          <w:sz w:val="21"/>
          <w:szCs w:val="21"/>
          <w:highlight w:val="none"/>
        </w:rPr>
      </w:pPr>
      <w:r>
        <w:rPr>
          <w:rFonts w:hint="eastAsia"/>
          <w:bCs/>
          <w:sz w:val="21"/>
          <w:szCs w:val="21"/>
          <w:highlight w:val="none"/>
        </w:rPr>
        <w:t>截止时间：202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eastAsia="zh-CN"/>
        </w:rPr>
        <w:t>08月26日09:00</w:t>
      </w:r>
      <w:r>
        <w:rPr>
          <w:rFonts w:hint="eastAsia"/>
          <w:bCs/>
          <w:sz w:val="21"/>
          <w:szCs w:val="21"/>
          <w:highlight w:val="none"/>
        </w:rPr>
        <w:t>:00（北京时间）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pPr>
        <w:adjustRightInd w:val="0"/>
        <w:snapToGrid w:val="0"/>
        <w:spacing w:line="288" w:lineRule="auto"/>
        <w:rPr>
          <w:b/>
          <w:sz w:val="21"/>
          <w:szCs w:val="21"/>
          <w:highlight w:val="none"/>
        </w:rPr>
      </w:pPr>
      <w:bookmarkStart w:id="17" w:name="_Toc28359007"/>
      <w:bookmarkStart w:id="18" w:name="_Toc35393794"/>
      <w:bookmarkStart w:id="19" w:name="_Toc35393625"/>
      <w:bookmarkStart w:id="20" w:name="_Toc28359084"/>
      <w:r>
        <w:rPr>
          <w:rFonts w:hint="eastAsia"/>
          <w:b/>
          <w:sz w:val="21"/>
          <w:szCs w:val="21"/>
          <w:highlight w:val="none"/>
        </w:rPr>
        <w:t>五、响应文件开启</w:t>
      </w:r>
    </w:p>
    <w:p>
      <w:pPr>
        <w:adjustRightInd w:val="0"/>
        <w:snapToGrid w:val="0"/>
        <w:spacing w:line="288" w:lineRule="auto"/>
        <w:ind w:firstLine="420" w:firstLineChars="200"/>
        <w:rPr>
          <w:bCs/>
          <w:sz w:val="21"/>
          <w:szCs w:val="21"/>
          <w:highlight w:val="none"/>
        </w:rPr>
      </w:pPr>
      <w:r>
        <w:rPr>
          <w:rFonts w:hint="eastAsia"/>
          <w:bCs/>
          <w:sz w:val="21"/>
          <w:szCs w:val="21"/>
          <w:highlight w:val="none"/>
        </w:rPr>
        <w:t>开启时间：202</w:t>
      </w:r>
      <w:r>
        <w:rPr>
          <w:rFonts w:hint="eastAsia"/>
          <w:bCs/>
          <w:sz w:val="21"/>
          <w:szCs w:val="21"/>
          <w:highlight w:val="none"/>
          <w:lang w:val="en-US" w:eastAsia="zh-CN"/>
        </w:rPr>
        <w:t>4</w:t>
      </w:r>
      <w:r>
        <w:rPr>
          <w:rFonts w:hint="eastAsia"/>
          <w:bCs/>
          <w:sz w:val="21"/>
          <w:szCs w:val="21"/>
          <w:highlight w:val="none"/>
        </w:rPr>
        <w:t>年</w:t>
      </w:r>
      <w:r>
        <w:rPr>
          <w:rFonts w:hint="eastAsia"/>
          <w:bCs/>
          <w:sz w:val="21"/>
          <w:szCs w:val="21"/>
          <w:highlight w:val="none"/>
          <w:lang w:eastAsia="zh-CN"/>
        </w:rPr>
        <w:t>08月26日09:00</w:t>
      </w:r>
      <w:r>
        <w:rPr>
          <w:rFonts w:hint="eastAsia"/>
          <w:bCs/>
          <w:sz w:val="21"/>
          <w:szCs w:val="21"/>
          <w:highlight w:val="none"/>
        </w:rPr>
        <w:t>:00（北京时间）</w:t>
      </w:r>
    </w:p>
    <w:p>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6</w:t>
      </w:r>
      <w:r>
        <w:rPr>
          <w:rFonts w:hint="eastAsia" w:cs="Times New Roman"/>
          <w:sz w:val="21"/>
          <w:szCs w:val="21"/>
          <w:highlight w:val="none"/>
        </w:rPr>
        <w:t>）</w:t>
      </w:r>
    </w:p>
    <w:p>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pPr>
        <w:adjustRightInd w:val="0"/>
        <w:snapToGrid w:val="0"/>
        <w:spacing w:line="288" w:lineRule="auto"/>
        <w:rPr>
          <w:b/>
          <w:sz w:val="21"/>
          <w:szCs w:val="21"/>
        </w:rPr>
      </w:pPr>
      <w:bookmarkStart w:id="21" w:name="_Toc35393626"/>
      <w:bookmarkStart w:id="22" w:name="_Toc35393795"/>
      <w:r>
        <w:rPr>
          <w:rFonts w:hint="eastAsia"/>
          <w:b/>
          <w:sz w:val="21"/>
          <w:szCs w:val="21"/>
        </w:rPr>
        <w:t>七、其他补充事宜</w:t>
      </w:r>
      <w:bookmarkEnd w:id="21"/>
      <w:bookmarkEnd w:id="22"/>
    </w:p>
    <w:p>
      <w:pPr>
        <w:adjustRightInd w:val="0"/>
        <w:snapToGrid w:val="0"/>
        <w:spacing w:line="288" w:lineRule="auto"/>
        <w:ind w:firstLine="420" w:firstLineChars="200"/>
        <w:rPr>
          <w:rFonts w:cs="Times New Roman"/>
          <w:sz w:val="21"/>
          <w:szCs w:val="21"/>
        </w:rPr>
      </w:pPr>
      <w:bookmarkStart w:id="23" w:name="_Hlk97039575"/>
      <w:bookmarkStart w:id="24" w:name="_Toc28359008"/>
      <w:bookmarkStart w:id="25" w:name="_Toc28359085"/>
      <w:bookmarkStart w:id="26" w:name="_Toc35393796"/>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pPr>
        <w:adjustRightInd w:val="0"/>
        <w:snapToGrid w:val="0"/>
        <w:spacing w:line="288" w:lineRule="auto"/>
        <w:ind w:firstLine="424" w:firstLineChars="202"/>
        <w:rPr>
          <w:sz w:val="21"/>
          <w:szCs w:val="21"/>
        </w:rPr>
      </w:pPr>
      <w:r>
        <w:rPr>
          <w:sz w:val="21"/>
          <w:szCs w:val="21"/>
        </w:rPr>
        <w:t>1.采购人信息</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浙江经济职业技术学院</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地址：</w:t>
      </w:r>
      <w:r>
        <w:rPr>
          <w:rFonts w:hint="eastAsia" w:ascii="宋体" w:hAnsi="宋体" w:eastAsia="宋体" w:cs="Times New Roman"/>
          <w:color w:val="auto"/>
          <w:sz w:val="21"/>
          <w:szCs w:val="21"/>
          <w:highlight w:val="none"/>
          <w:lang w:eastAsia="zh-CN"/>
        </w:rPr>
        <w:t>杭州市钱塘区学正街66号</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传真：/</w:t>
      </w:r>
    </w:p>
    <w:p>
      <w:pPr>
        <w:adjustRightInd w:val="0"/>
        <w:snapToGrid w:val="0"/>
        <w:spacing w:line="288" w:lineRule="auto"/>
        <w:ind w:firstLine="424" w:firstLineChars="202"/>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项目联系人（询问）：</w:t>
      </w:r>
      <w:r>
        <w:rPr>
          <w:rFonts w:hint="eastAsia" w:cs="Times New Roman"/>
          <w:sz w:val="21"/>
          <w:szCs w:val="21"/>
          <w:highlight w:val="none"/>
          <w:lang w:val="en-US" w:eastAsia="zh-CN"/>
        </w:rPr>
        <w:t>侯老师</w:t>
      </w:r>
    </w:p>
    <w:p>
      <w:pPr>
        <w:adjustRightInd w:val="0"/>
        <w:snapToGrid w:val="0"/>
        <w:spacing w:line="288" w:lineRule="auto"/>
        <w:ind w:firstLine="424" w:firstLineChars="202"/>
        <w:rPr>
          <w:rFonts w:ascii="宋体" w:hAnsi="宋体" w:eastAsia="宋体" w:cs="Times New Roman"/>
          <w:sz w:val="21"/>
          <w:szCs w:val="21"/>
          <w:highlight w:val="none"/>
        </w:rPr>
      </w:pPr>
      <w:r>
        <w:rPr>
          <w:rFonts w:hint="eastAsia" w:ascii="宋体" w:hAnsi="宋体" w:eastAsia="宋体" w:cs="Times New Roman"/>
          <w:sz w:val="21"/>
          <w:szCs w:val="21"/>
          <w:highlight w:val="none"/>
        </w:rPr>
        <w:t>项目联系方式（询问）：18258201087</w:t>
      </w:r>
    </w:p>
    <w:p>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郑老师</w:t>
      </w:r>
    </w:p>
    <w:p>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rPr>
        <w:t>质疑联系方式：</w:t>
      </w:r>
      <w:r>
        <w:rPr>
          <w:rFonts w:hint="eastAsia" w:ascii="宋体" w:hAnsi="宋体" w:eastAsia="宋体" w:cs="Times New Roman"/>
          <w:color w:val="auto"/>
          <w:sz w:val="21"/>
          <w:szCs w:val="21"/>
          <w:highlight w:val="none"/>
          <w:lang w:val="en-US" w:eastAsia="zh-CN"/>
        </w:rPr>
        <w:t>0571-86928231</w:t>
      </w:r>
    </w:p>
    <w:p>
      <w:pPr>
        <w:adjustRightInd w:val="0"/>
        <w:snapToGrid w:val="0"/>
        <w:spacing w:line="288" w:lineRule="auto"/>
        <w:ind w:firstLine="424" w:firstLineChars="202"/>
        <w:rPr>
          <w:sz w:val="21"/>
          <w:szCs w:val="21"/>
        </w:rPr>
      </w:pPr>
    </w:p>
    <w:p>
      <w:pPr>
        <w:adjustRightInd w:val="0"/>
        <w:snapToGrid w:val="0"/>
        <w:spacing w:line="288" w:lineRule="auto"/>
        <w:ind w:firstLine="424" w:firstLineChars="202"/>
        <w:rPr>
          <w:sz w:val="21"/>
          <w:szCs w:val="21"/>
        </w:rPr>
      </w:pPr>
      <w:r>
        <w:rPr>
          <w:sz w:val="21"/>
          <w:szCs w:val="21"/>
        </w:rPr>
        <w:t>2.采购代理机构信息</w:t>
      </w:r>
    </w:p>
    <w:p>
      <w:pPr>
        <w:adjustRightInd w:val="0"/>
        <w:snapToGrid w:val="0"/>
        <w:spacing w:line="288" w:lineRule="auto"/>
        <w:ind w:firstLine="424" w:firstLineChars="202"/>
        <w:rPr>
          <w:sz w:val="21"/>
          <w:szCs w:val="21"/>
        </w:rPr>
      </w:pPr>
      <w:r>
        <w:rPr>
          <w:rFonts w:hint="eastAsia"/>
          <w:sz w:val="21"/>
          <w:szCs w:val="21"/>
        </w:rPr>
        <w:t>名称：浙江求是招标代理有限公司</w:t>
      </w:r>
    </w:p>
    <w:p>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陈应俭</w:t>
      </w:r>
    </w:p>
    <w:p>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w:t>
      </w:r>
      <w:r>
        <w:rPr>
          <w:rFonts w:hint="eastAsia"/>
          <w:sz w:val="21"/>
          <w:szCs w:val="21"/>
          <w:highlight w:val="none"/>
          <w:lang w:eastAsia="zh-CN"/>
        </w:rPr>
        <w:t>87670301</w:t>
      </w:r>
    </w:p>
    <w:p>
      <w:pPr>
        <w:adjustRightInd w:val="0"/>
        <w:snapToGrid w:val="0"/>
        <w:spacing w:line="288" w:lineRule="auto"/>
        <w:ind w:firstLine="424" w:firstLineChars="202"/>
        <w:rPr>
          <w:rFonts w:hint="eastAsia" w:eastAsia="宋体"/>
          <w:sz w:val="21"/>
          <w:szCs w:val="21"/>
          <w:lang w:eastAsia="zh-CN"/>
        </w:rPr>
      </w:pPr>
      <w:r>
        <w:rPr>
          <w:rFonts w:hint="eastAsia"/>
          <w:sz w:val="21"/>
          <w:szCs w:val="21"/>
        </w:rPr>
        <w:t>质疑联系人：</w:t>
      </w:r>
      <w:r>
        <w:rPr>
          <w:rFonts w:hint="eastAsia"/>
          <w:sz w:val="21"/>
          <w:szCs w:val="21"/>
          <w:lang w:val="en-US" w:eastAsia="zh-CN"/>
        </w:rPr>
        <w:t>周安琪</w:t>
      </w:r>
    </w:p>
    <w:p>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pPr>
        <w:adjustRightInd w:val="0"/>
        <w:snapToGrid w:val="0"/>
        <w:spacing w:line="288" w:lineRule="auto"/>
        <w:ind w:firstLine="424" w:firstLineChars="202"/>
        <w:rPr>
          <w:rFonts w:cs="Times New Roman"/>
          <w:sz w:val="21"/>
          <w:szCs w:val="21"/>
        </w:rPr>
      </w:pP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cs="Times New Roman"/>
          <w:spacing w:val="-6"/>
          <w:sz w:val="21"/>
          <w:szCs w:val="21"/>
          <w:highlight w:val="none"/>
        </w:rPr>
        <w:t>3.</w:t>
      </w:r>
      <w:r>
        <w:rPr>
          <w:rFonts w:hint="eastAsia" w:ascii="宋体" w:hAnsi="宋体" w:eastAsia="宋体" w:cs="Times New Roman"/>
          <w:spacing w:val="-6"/>
          <w:sz w:val="21"/>
          <w:szCs w:val="21"/>
          <w:highlight w:val="none"/>
          <w:lang w:val="en-US" w:eastAsia="zh-CN"/>
        </w:rPr>
        <w:t>投诉处理部门信息</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名称：</w:t>
      </w:r>
      <w:r>
        <w:rPr>
          <w:rFonts w:hint="eastAsia" w:ascii="宋体" w:hAnsi="宋体" w:eastAsia="宋体" w:cs="Times New Roman"/>
          <w:spacing w:val="-6"/>
          <w:sz w:val="21"/>
          <w:szCs w:val="21"/>
          <w:highlight w:val="none"/>
        </w:rPr>
        <w:t>浙江经济职业技术学院</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地址：</w:t>
      </w:r>
      <w:r>
        <w:rPr>
          <w:rFonts w:hint="eastAsia" w:ascii="宋体" w:hAnsi="宋体" w:eastAsia="宋体" w:cs="Times New Roman"/>
          <w:spacing w:val="-6"/>
          <w:sz w:val="21"/>
          <w:szCs w:val="21"/>
          <w:highlight w:val="none"/>
        </w:rPr>
        <w:t>杭州市钱塘区白杨街道学正街66号</w:t>
      </w:r>
    </w:p>
    <w:p>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传真：/</w:t>
      </w: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王老师</w:t>
      </w:r>
    </w:p>
    <w:p>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ascii="宋体" w:hAnsi="宋体" w:eastAsia="宋体" w:cs="Times New Roman"/>
          <w:spacing w:val="-6"/>
          <w:sz w:val="21"/>
          <w:szCs w:val="21"/>
          <w:highlight w:val="none"/>
        </w:rPr>
        <w:t>监督投诉电话：0571-8</w:t>
      </w:r>
      <w:r>
        <w:rPr>
          <w:rFonts w:hint="eastAsia" w:ascii="宋体" w:hAnsi="宋体" w:eastAsia="宋体" w:cs="Times New Roman"/>
          <w:spacing w:val="-6"/>
          <w:sz w:val="21"/>
          <w:szCs w:val="21"/>
          <w:highlight w:val="none"/>
          <w:lang w:val="en-US" w:eastAsia="zh-CN"/>
        </w:rPr>
        <w:t>6928208</w:t>
      </w:r>
    </w:p>
    <w:p>
      <w:pPr>
        <w:adjustRightInd w:val="0"/>
        <w:snapToGrid w:val="0"/>
        <w:spacing w:line="288" w:lineRule="auto"/>
        <w:ind w:firstLine="425" w:firstLineChars="215"/>
        <w:rPr>
          <w:rFonts w:cs="Times New Roman"/>
          <w:spacing w:val="-6"/>
          <w:sz w:val="21"/>
          <w:szCs w:val="21"/>
          <w:highlight w:val="none"/>
        </w:rPr>
      </w:pPr>
      <w:r>
        <w:rPr>
          <w:rFonts w:ascii="宋体" w:hAnsi="宋体" w:eastAsia="宋体" w:cs="Times New Roman"/>
          <w:spacing w:val="-6"/>
          <w:sz w:val="21"/>
          <w:szCs w:val="21"/>
          <w:highlight w:val="none"/>
        </w:rPr>
        <w:t>预算金额未达100万元的采购项目，由采购人处理采购争议。</w:t>
      </w:r>
    </w:p>
    <w:p>
      <w:pPr>
        <w:adjustRightInd w:val="0"/>
        <w:snapToGrid w:val="0"/>
        <w:spacing w:line="288" w:lineRule="auto"/>
        <w:rPr>
          <w:rFonts w:cs="Times New Roman"/>
          <w:spacing w:val="-6"/>
          <w:sz w:val="21"/>
          <w:szCs w:val="21"/>
          <w:highlight w:val="none"/>
        </w:rPr>
      </w:pPr>
    </w:p>
    <w:p>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pPr>
        <w:adjustRightInd w:val="0"/>
        <w:snapToGrid w:val="0"/>
        <w:spacing w:line="288" w:lineRule="auto"/>
        <w:rPr>
          <w:sz w:val="21"/>
          <w:szCs w:val="21"/>
          <w:highlight w:val="none"/>
        </w:rPr>
      </w:pPr>
      <w:r>
        <w:rPr>
          <w:rFonts w:hint="eastAsia"/>
          <w:sz w:val="21"/>
          <w:szCs w:val="21"/>
          <w:highlight w:val="none"/>
        </w:rPr>
        <w:br w:type="page"/>
      </w:r>
    </w:p>
    <w:p>
      <w:pPr>
        <w:adjustRightInd w:val="0"/>
        <w:snapToGrid w:val="0"/>
        <w:spacing w:line="288" w:lineRule="auto"/>
        <w:jc w:val="center"/>
        <w:outlineLvl w:val="0"/>
        <w:rPr>
          <w:b/>
          <w:bCs/>
          <w:sz w:val="32"/>
          <w:szCs w:val="32"/>
        </w:rPr>
      </w:pPr>
      <w:r>
        <w:rPr>
          <w:rFonts w:hint="eastAsia"/>
          <w:b/>
          <w:bCs/>
          <w:sz w:val="32"/>
          <w:szCs w:val="32"/>
        </w:rPr>
        <w:t>第二章  采购需求</w:t>
      </w:r>
    </w:p>
    <w:p>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pPr>
              <w:adjustRightInd w:val="0"/>
              <w:snapToGrid w:val="0"/>
              <w:spacing w:line="288" w:lineRule="auto"/>
              <w:jc w:val="left"/>
              <w:rPr>
                <w:b/>
                <w:bCs/>
                <w:sz w:val="21"/>
                <w:szCs w:val="21"/>
              </w:rPr>
            </w:pPr>
            <w:r>
              <w:rPr>
                <w:rFonts w:hint="eastAsia"/>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1</w:t>
            </w:r>
          </w:p>
        </w:tc>
        <w:tc>
          <w:tcPr>
            <w:tcW w:w="3256" w:type="dxa"/>
            <w:vAlign w:val="center"/>
          </w:tcPr>
          <w:p>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2</w:t>
            </w:r>
          </w:p>
        </w:tc>
        <w:tc>
          <w:tcPr>
            <w:tcW w:w="3256" w:type="dxa"/>
            <w:vAlign w:val="center"/>
          </w:tcPr>
          <w:p>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3</w:t>
            </w:r>
          </w:p>
        </w:tc>
        <w:tc>
          <w:tcPr>
            <w:tcW w:w="3256" w:type="dxa"/>
            <w:vAlign w:val="center"/>
          </w:tcPr>
          <w:p>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pPr>
              <w:adjustRightInd w:val="0"/>
              <w:snapToGrid w:val="0"/>
              <w:spacing w:line="288" w:lineRule="auto"/>
              <w:jc w:val="left"/>
              <w:rPr>
                <w:b/>
                <w:bCs/>
                <w:sz w:val="21"/>
                <w:szCs w:val="21"/>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4</w:t>
            </w:r>
          </w:p>
        </w:tc>
        <w:tc>
          <w:tcPr>
            <w:tcW w:w="3256" w:type="dxa"/>
            <w:vAlign w:val="center"/>
          </w:tcPr>
          <w:p>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pPr>
              <w:adjustRightInd w:val="0"/>
              <w:snapToGrid w:val="0"/>
              <w:spacing w:line="288" w:lineRule="auto"/>
              <w:jc w:val="left"/>
              <w:rPr>
                <w:sz w:val="21"/>
                <w:szCs w:val="18"/>
                <w:highlight w:val="none"/>
              </w:rPr>
            </w:pPr>
            <w:r>
              <w:rPr>
                <w:rFonts w:hint="eastAsia"/>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b/>
                <w:bCs/>
                <w:sz w:val="21"/>
                <w:szCs w:val="21"/>
              </w:rPr>
            </w:pPr>
            <w:r>
              <w:rPr>
                <w:rFonts w:hint="eastAsia"/>
                <w:sz w:val="21"/>
                <w:szCs w:val="21"/>
              </w:rPr>
              <w:t>5</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p>
            <w:pPr>
              <w:adjustRightInd w:val="0"/>
              <w:snapToGrid w:val="0"/>
              <w:spacing w:line="288" w:lineRule="auto"/>
              <w:jc w:val="left"/>
              <w:rPr>
                <w:rFonts w:hint="eastAsia" w:eastAsia="宋体" w:cs="Times New Roman"/>
                <w:b/>
                <w:bCs/>
                <w:color w:val="auto"/>
                <w:sz w:val="21"/>
                <w:szCs w:val="21"/>
                <w:highlight w:val="none"/>
                <w:lang w:eastAsia="zh-CN"/>
              </w:rPr>
            </w:pPr>
            <w:r>
              <w:rPr>
                <w:rFonts w:hint="eastAsia" w:cs="Times New Roman"/>
                <w:b/>
                <w:bCs/>
                <w:sz w:val="21"/>
                <w:szCs w:val="21"/>
                <w:highlight w:val="none"/>
              </w:rPr>
              <w:t>本项目属性为</w:t>
            </w:r>
            <w:r>
              <w:rPr>
                <w:rFonts w:hint="eastAsia" w:cs="Times New Roman"/>
                <w:b/>
                <w:bCs/>
                <w:color w:val="auto"/>
                <w:sz w:val="21"/>
                <w:szCs w:val="21"/>
                <w:highlight w:val="none"/>
              </w:rPr>
              <w:t>：</w:t>
            </w:r>
            <w:r>
              <w:rPr>
                <w:rFonts w:hint="eastAsia" w:cs="Times New Roman"/>
                <w:b/>
                <w:bCs/>
                <w:color w:val="auto"/>
                <w:sz w:val="21"/>
                <w:szCs w:val="21"/>
                <w:highlight w:val="none"/>
                <w:lang w:val="en-US" w:eastAsia="zh-CN"/>
              </w:rPr>
              <w:t>货物</w:t>
            </w:r>
          </w:p>
          <w:p>
            <w:pPr>
              <w:adjustRightInd w:val="0"/>
              <w:snapToGrid w:val="0"/>
              <w:spacing w:line="288" w:lineRule="auto"/>
              <w:jc w:val="left"/>
              <w:rPr>
                <w:rFonts w:cs="Times New Roman"/>
                <w:b/>
                <w:bCs/>
                <w:sz w:val="21"/>
                <w:szCs w:val="21"/>
                <w:highlight w:val="none"/>
              </w:rPr>
            </w:pPr>
            <w:r>
              <w:rPr>
                <w:rFonts w:hint="eastAsia" w:cs="Times New Roman"/>
                <w:b/>
                <w:bCs/>
                <w:color w:val="auto"/>
                <w:sz w:val="21"/>
                <w:szCs w:val="21"/>
                <w:highlight w:val="none"/>
              </w:rPr>
              <w:t>采购标的对应的中小企业划分</w:t>
            </w:r>
            <w:r>
              <w:rPr>
                <w:rFonts w:hint="eastAsia" w:cs="Times New Roman"/>
                <w:b/>
                <w:bCs/>
                <w:sz w:val="21"/>
                <w:szCs w:val="21"/>
                <w:highlight w:val="none"/>
              </w:rPr>
              <w:t>标准所属行业：</w:t>
            </w:r>
            <w:r>
              <w:rPr>
                <w:rFonts w:hint="eastAsia" w:cs="Times New Roman"/>
                <w:b w:val="0"/>
                <w:bCs w:val="0"/>
                <w:sz w:val="21"/>
                <w:szCs w:val="21"/>
                <w:highlight w:val="none"/>
              </w:rPr>
              <w:t>软件和信息技术服务业</w:t>
            </w:r>
          </w:p>
          <w:p>
            <w:pPr>
              <w:adjustRightInd w:val="0"/>
              <w:snapToGrid w:val="0"/>
              <w:spacing w:line="288" w:lineRule="auto"/>
              <w:jc w:val="left"/>
              <w:rPr>
                <w:b/>
                <w:bCs/>
                <w:sz w:val="21"/>
                <w:szCs w:val="21"/>
                <w:highlight w:val="none"/>
              </w:rPr>
            </w:pPr>
            <w:r>
              <w:rPr>
                <w:rFonts w:hint="eastAsia" w:cs="Times New Roman"/>
                <w:b/>
                <w:bCs/>
                <w:sz w:val="21"/>
                <w:szCs w:val="21"/>
                <w:highlight w:val="none"/>
              </w:rPr>
              <w:t>中小企业划型标准：</w:t>
            </w:r>
            <w:r>
              <w:rPr>
                <w:rFonts w:hint="eastAsia" w:cs="Times New Roman"/>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6</w:t>
            </w:r>
          </w:p>
        </w:tc>
        <w:tc>
          <w:tcPr>
            <w:tcW w:w="3256" w:type="dxa"/>
            <w:vAlign w:val="center"/>
          </w:tcPr>
          <w:p>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pPr>
              <w:adjustRightInd w:val="0"/>
              <w:snapToGrid w:val="0"/>
              <w:spacing w:line="288" w:lineRule="auto"/>
              <w:jc w:val="left"/>
              <w:rPr>
                <w:rFonts w:cs="Times New Roman"/>
                <w:b/>
                <w:bCs/>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left"/>
              <w:rPr>
                <w:sz w:val="21"/>
                <w:szCs w:val="21"/>
              </w:rPr>
            </w:pPr>
            <w:r>
              <w:rPr>
                <w:rFonts w:hint="eastAsia"/>
                <w:sz w:val="21"/>
                <w:szCs w:val="21"/>
              </w:rPr>
              <w:t>7</w:t>
            </w:r>
          </w:p>
        </w:tc>
        <w:tc>
          <w:tcPr>
            <w:tcW w:w="3256" w:type="dxa"/>
            <w:vAlign w:val="center"/>
          </w:tcPr>
          <w:p>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pPr>
              <w:adjustRightInd w:val="0"/>
              <w:snapToGrid w:val="0"/>
              <w:spacing w:line="288" w:lineRule="auto"/>
              <w:jc w:val="left"/>
              <w:rPr>
                <w:sz w:val="21"/>
                <w:szCs w:val="21"/>
                <w:highlight w:val="none"/>
              </w:rPr>
            </w:pPr>
            <w:r>
              <w:rPr>
                <w:rFonts w:hint="eastAsia"/>
                <w:sz w:val="21"/>
                <w:szCs w:val="21"/>
                <w:highlight w:val="none"/>
              </w:rPr>
              <w:t>提供材料详见磋商文件第六章“</w:t>
            </w:r>
            <w:r>
              <w:rPr>
                <w:rFonts w:hint="eastAsia"/>
                <w:sz w:val="21"/>
                <w:szCs w:val="21"/>
                <w:highlight w:val="none"/>
                <w:lang w:val="en-US" w:eastAsia="zh-CN"/>
              </w:rPr>
              <w:t>资格</w:t>
            </w:r>
            <w:r>
              <w:rPr>
                <w:rFonts w:hint="eastAsia"/>
                <w:sz w:val="21"/>
                <w:szCs w:val="21"/>
                <w:highlight w:val="none"/>
              </w:rPr>
              <w:t>文件”</w:t>
            </w:r>
          </w:p>
        </w:tc>
      </w:tr>
      <w:bookmarkEnd w:id="29"/>
    </w:tbl>
    <w:p>
      <w:pPr>
        <w:adjustRightInd w:val="0"/>
        <w:snapToGrid w:val="0"/>
        <w:spacing w:line="288" w:lineRule="auto"/>
        <w:jc w:val="left"/>
        <w:rPr>
          <w:sz w:val="21"/>
          <w:szCs w:val="21"/>
        </w:rPr>
      </w:pPr>
    </w:p>
    <w:p>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1.1.支付条件：供应商提交银行、保险公司等金融机构出具的预付款保函的；</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1.2.支付时间、数额：合同生效且供应商出具预付款保函后七个工作日内，采购人向中标供应商支付合同金额</w:t>
            </w:r>
            <w:r>
              <w:rPr>
                <w:rFonts w:hint="eastAsia"/>
                <w:spacing w:val="-6"/>
                <w:kern w:val="0"/>
                <w:sz w:val="21"/>
                <w:szCs w:val="21"/>
                <w:highlight w:val="none"/>
                <w:lang w:val="en-US" w:eastAsia="zh-CN"/>
              </w:rPr>
              <w:t>40%</w:t>
            </w:r>
            <w:r>
              <w:rPr>
                <w:rFonts w:hint="eastAsia"/>
                <w:spacing w:val="-6"/>
                <w:kern w:val="0"/>
                <w:sz w:val="21"/>
                <w:szCs w:val="21"/>
                <w:highlight w:val="none"/>
              </w:rPr>
              <w:t>的预付款。</w:t>
            </w:r>
          </w:p>
          <w:p>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备注：签订合同时，供应商明确表示无需预付款或者主动要求降低预付款比例的，采购单位可不适用前述规定。</w:t>
            </w:r>
          </w:p>
          <w:p>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2.项目完成后，经采购人验收合格后，采购人自收到发票后7个工作日内，支付至合同金额的100%。</w:t>
            </w:r>
          </w:p>
        </w:tc>
      </w:tr>
      <w:bookmarkEnd w:id="30"/>
    </w:tbl>
    <w:p>
      <w:pPr>
        <w:adjustRightInd w:val="0"/>
        <w:snapToGrid w:val="0"/>
        <w:spacing w:line="288" w:lineRule="auto"/>
        <w:rPr>
          <w:sz w:val="21"/>
          <w:szCs w:val="21"/>
        </w:rPr>
      </w:pPr>
    </w:p>
    <w:p>
      <w:pPr>
        <w:adjustRightInd w:val="0"/>
        <w:snapToGrid w:val="0"/>
        <w:spacing w:line="288" w:lineRule="auto"/>
        <w:outlineLvl w:val="1"/>
        <w:rPr>
          <w:b/>
          <w:bCs/>
          <w:sz w:val="21"/>
          <w:szCs w:val="21"/>
        </w:rPr>
      </w:pPr>
      <w:r>
        <w:rPr>
          <w:rFonts w:hint="eastAsia"/>
          <w:b/>
          <w:bCs/>
          <w:sz w:val="21"/>
          <w:szCs w:val="21"/>
        </w:rPr>
        <w:t>三、服务要求：</w:t>
      </w:r>
    </w:p>
    <w:tbl>
      <w:tblPr>
        <w:tblStyle w:val="1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bookmarkStart w:id="31" w:name="_Hlk97039632"/>
            <w:r>
              <w:rPr>
                <w:rFonts w:hint="eastAsia"/>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eastAsia="宋体"/>
                <w:sz w:val="21"/>
                <w:szCs w:val="21"/>
                <w:highlight w:val="none"/>
                <w:lang w:val="en-US" w:eastAsia="zh-CN"/>
              </w:rPr>
            </w:pPr>
            <w:r>
              <w:rPr>
                <w:rFonts w:hint="default" w:eastAsia="宋体"/>
                <w:sz w:val="21"/>
                <w:szCs w:val="21"/>
                <w:highlight w:val="none"/>
                <w:lang w:val="en-US" w:eastAsia="zh-CN"/>
              </w:rPr>
              <w:t>自合同签订之日起，2个月内完成初验，4个月内正式完成本项目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rPr>
              <w:t>采购人指定地点</w:t>
            </w:r>
          </w:p>
        </w:tc>
      </w:tr>
      <w:bookmarkEnd w:id="3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r>
              <w:rPr>
                <w:rFonts w:hint="eastAsia"/>
                <w:b/>
                <w:bCs/>
                <w:sz w:val="21"/>
                <w:szCs w:val="21"/>
                <w:highlight w:val="none"/>
              </w:rPr>
              <w:t>▲</w:t>
            </w:r>
            <w:r>
              <w:rPr>
                <w:rFonts w:hint="eastAsia"/>
                <w:b/>
                <w:bCs/>
                <w:sz w:val="21"/>
                <w:szCs w:val="21"/>
                <w:highlight w:val="none"/>
                <w:lang w:val="en-US" w:eastAsia="zh-CN"/>
              </w:rPr>
              <w:t>质保</w:t>
            </w:r>
            <w:r>
              <w:rPr>
                <w:rFonts w:hint="eastAsia"/>
                <w:b/>
                <w:bCs/>
                <w:sz w:val="21"/>
                <w:szCs w:val="21"/>
                <w:highlight w:val="none"/>
              </w:rPr>
              <w:t>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sz w:val="21"/>
                <w:szCs w:val="21"/>
                <w:highlight w:val="none"/>
              </w:rPr>
            </w:pPr>
            <w:r>
              <w:rPr>
                <w:rFonts w:hint="eastAsia"/>
                <w:sz w:val="21"/>
                <w:szCs w:val="21"/>
                <w:highlight w:val="none"/>
                <w:lang w:val="en-US" w:eastAsia="zh-CN"/>
              </w:rPr>
              <w:t>3</w:t>
            </w:r>
            <w:r>
              <w:rPr>
                <w:rFonts w:hint="eastAsia"/>
                <w:sz w:val="21"/>
                <w:szCs w:val="21"/>
                <w:highlight w:val="none"/>
              </w:rPr>
              <w:t>年</w:t>
            </w:r>
            <w:r>
              <w:rPr>
                <w:rFonts w:hint="eastAsia"/>
                <w:sz w:val="21"/>
                <w:szCs w:val="21"/>
                <w:highlight w:val="none"/>
                <w:lang w:eastAsia="zh-CN"/>
              </w:rPr>
              <w:t>，</w:t>
            </w:r>
            <w:r>
              <w:rPr>
                <w:rFonts w:hint="eastAsia"/>
                <w:sz w:val="21"/>
                <w:szCs w:val="21"/>
                <w:highlight w:val="none"/>
              </w:rPr>
              <w:t>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highlight w:val="none"/>
                <w:lang w:val="en-US" w:eastAsia="zh-CN" w:bidi="ar-SA"/>
              </w:rPr>
            </w:pPr>
            <w:r>
              <w:rPr>
                <w:rFonts w:hint="eastAsia"/>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.在质保期内，供应商应对货物出现的质量及安全问题负责处理解决并承担一切费用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承诺中标后提供原厂质保服务</w:t>
            </w:r>
            <w:r>
              <w:rPr>
                <w:rFonts w:hint="eastAsia" w:ascii="宋体" w:hAnsi="宋体" w:eastAsia="宋体" w:cs="宋体"/>
                <w:sz w:val="21"/>
                <w:szCs w:val="21"/>
                <w:highlight w:val="none"/>
              </w:rPr>
              <w:t>。</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2.</w:t>
            </w:r>
            <w:r>
              <w:rPr>
                <w:rFonts w:hint="eastAsia" w:ascii="宋体" w:hAnsi="宋体" w:eastAsia="宋体" w:cs="宋体"/>
                <w:sz w:val="21"/>
                <w:szCs w:val="21"/>
                <w:highlight w:val="none"/>
              </w:rPr>
              <w:t>质保期内出现无法排除的故障，供应商需无条件更换同型号产品。</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质保期满后，供应商继续为采购人服务，仅收取零配件成本费。</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4.</w:t>
            </w:r>
            <w:r>
              <w:rPr>
                <w:rFonts w:hint="eastAsia" w:ascii="宋体" w:hAnsi="宋体" w:eastAsia="宋体" w:cs="宋体"/>
                <w:sz w:val="21"/>
                <w:szCs w:val="21"/>
                <w:highlight w:val="none"/>
              </w:rPr>
              <w:t>因人为因素出现的故障不在免费保修范围内。</w:t>
            </w:r>
          </w:p>
          <w:p>
            <w:pPr>
              <w:adjustRightInd w:val="0"/>
              <w:snapToGrid w:val="0"/>
              <w:spacing w:line="288" w:lineRule="auto"/>
              <w:rPr>
                <w:rFonts w:hint="default" w:ascii="宋体" w:hAnsi="宋体" w:eastAsia="宋体" w:cs="宋体"/>
                <w:kern w:val="2"/>
                <w:sz w:val="21"/>
                <w:szCs w:val="21"/>
                <w:highlight w:val="none"/>
                <w:u w:val="none"/>
                <w:lang w:val="en-US" w:eastAsia="zh-CN" w:bidi="ar-SA"/>
              </w:rPr>
            </w:pPr>
            <w:r>
              <w:rPr>
                <w:rFonts w:hint="eastAsia" w:cs="宋体"/>
                <w:kern w:val="2"/>
                <w:sz w:val="21"/>
                <w:szCs w:val="21"/>
                <w:highlight w:val="none"/>
                <w:u w:val="none"/>
                <w:lang w:val="en-US" w:eastAsia="zh-CN" w:bidi="ar-SA"/>
              </w:rPr>
              <w:t>5.</w:t>
            </w:r>
            <w:r>
              <w:rPr>
                <w:rFonts w:hint="default" w:ascii="宋体" w:hAnsi="宋体" w:eastAsia="宋体" w:cs="宋体"/>
                <w:kern w:val="2"/>
                <w:sz w:val="21"/>
                <w:szCs w:val="21"/>
                <w:highlight w:val="none"/>
                <w:u w:val="none"/>
                <w:lang w:val="en-US" w:eastAsia="zh-CN" w:bidi="ar-SA"/>
              </w:rPr>
              <w:t>售后服务期限：本项目验收交付使用后，中标人需提供三年免费质量保证和售后服务，并有三年期满后提供有偿服务的技术支持方案。</w:t>
            </w:r>
          </w:p>
          <w:p>
            <w:pPr>
              <w:adjustRightInd w:val="0"/>
              <w:snapToGrid w:val="0"/>
              <w:spacing w:line="288" w:lineRule="auto"/>
              <w:rPr>
                <w:rFonts w:hint="default" w:ascii="宋体" w:hAnsi="宋体" w:eastAsia="宋体" w:cs="宋体"/>
                <w:kern w:val="2"/>
                <w:sz w:val="21"/>
                <w:szCs w:val="21"/>
                <w:highlight w:val="none"/>
                <w:u w:val="none"/>
                <w:lang w:val="en-US" w:eastAsia="zh-CN" w:bidi="ar-SA"/>
              </w:rPr>
            </w:pPr>
            <w:r>
              <w:rPr>
                <w:rFonts w:hint="eastAsia" w:cs="宋体"/>
                <w:kern w:val="2"/>
                <w:sz w:val="21"/>
                <w:szCs w:val="21"/>
                <w:highlight w:val="none"/>
                <w:u w:val="none"/>
                <w:lang w:val="en-US" w:eastAsia="zh-CN" w:bidi="ar-SA"/>
              </w:rPr>
              <w:t>6.</w:t>
            </w:r>
            <w:r>
              <w:rPr>
                <w:rFonts w:hint="default" w:ascii="宋体" w:hAnsi="宋体" w:eastAsia="宋体" w:cs="宋体"/>
                <w:kern w:val="2"/>
                <w:sz w:val="21"/>
                <w:szCs w:val="21"/>
                <w:highlight w:val="none"/>
                <w:u w:val="none"/>
                <w:lang w:val="en-US" w:eastAsia="zh-CN" w:bidi="ar-SA"/>
              </w:rPr>
              <w:t>售后服务方式及响应时间：采用现场维护方式，中标人应在24小时内响应，以保证数据的安全运行。</w:t>
            </w:r>
          </w:p>
          <w:p>
            <w:pPr>
              <w:adjustRightInd w:val="0"/>
              <w:snapToGrid w:val="0"/>
              <w:spacing w:line="288" w:lineRule="auto"/>
              <w:rPr>
                <w:rFonts w:hint="default" w:ascii="宋体" w:hAnsi="宋体" w:eastAsia="宋体" w:cs="宋体"/>
                <w:kern w:val="2"/>
                <w:sz w:val="21"/>
                <w:szCs w:val="21"/>
                <w:highlight w:val="none"/>
                <w:u w:val="none"/>
                <w:lang w:val="en-US" w:eastAsia="zh-CN" w:bidi="ar-SA"/>
              </w:rPr>
            </w:pPr>
            <w:r>
              <w:rPr>
                <w:rFonts w:hint="eastAsia" w:cs="宋体"/>
                <w:kern w:val="2"/>
                <w:sz w:val="21"/>
                <w:szCs w:val="21"/>
                <w:highlight w:val="none"/>
                <w:u w:val="none"/>
                <w:lang w:val="en-US" w:eastAsia="zh-CN" w:bidi="ar-SA"/>
              </w:rPr>
              <w:t>7.</w:t>
            </w:r>
            <w:r>
              <w:rPr>
                <w:rFonts w:hint="default" w:ascii="宋体" w:hAnsi="宋体" w:eastAsia="宋体" w:cs="宋体"/>
                <w:kern w:val="2"/>
                <w:sz w:val="21"/>
                <w:szCs w:val="21"/>
                <w:highlight w:val="none"/>
                <w:u w:val="none"/>
                <w:lang w:val="en-US" w:eastAsia="zh-CN" w:bidi="ar-SA"/>
              </w:rPr>
              <w:t>售后服务问题解决时间：一般问题在4小时内解决，严重问题中标人要及时提出采购方可接受的解决方案和服务承诺。</w:t>
            </w:r>
          </w:p>
          <w:p>
            <w:pPr>
              <w:adjustRightInd w:val="0"/>
              <w:snapToGrid w:val="0"/>
              <w:spacing w:line="288" w:lineRule="auto"/>
              <w:rPr>
                <w:rFonts w:hint="default" w:ascii="宋体" w:hAnsi="宋体" w:eastAsia="宋体" w:cs="宋体"/>
                <w:kern w:val="2"/>
                <w:sz w:val="21"/>
                <w:szCs w:val="21"/>
                <w:highlight w:val="none"/>
                <w:u w:val="single"/>
                <w:lang w:val="en-US" w:eastAsia="zh-CN" w:bidi="ar-SA"/>
              </w:rPr>
            </w:pPr>
            <w:r>
              <w:rPr>
                <w:rFonts w:hint="eastAsia" w:cs="宋体"/>
                <w:kern w:val="2"/>
                <w:sz w:val="21"/>
                <w:szCs w:val="21"/>
                <w:highlight w:val="none"/>
                <w:u w:val="none"/>
                <w:lang w:val="en-US" w:eastAsia="zh-CN" w:bidi="ar-SA"/>
              </w:rPr>
              <w:t>8.</w:t>
            </w:r>
            <w:r>
              <w:rPr>
                <w:rFonts w:hint="default" w:ascii="宋体" w:hAnsi="宋体" w:eastAsia="宋体" w:cs="宋体"/>
                <w:kern w:val="2"/>
                <w:sz w:val="21"/>
                <w:szCs w:val="21"/>
                <w:highlight w:val="none"/>
                <w:u w:val="none"/>
                <w:lang w:val="en-US" w:eastAsia="zh-CN" w:bidi="ar-SA"/>
              </w:rPr>
              <w:t>项目上线以及试运行过程中，对系统使用方需及时组织和开展功能操作培训，并提供必要的培训视频和操作手册，及时进行问题答疑。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1.验收由采购人负责实施；</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2.验收依据：</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2.1合同、招标文件、投标文件；</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2.2供应商提供的技术规格、经采购人认可的合同货物的有效检验文件；</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4.验收合格的条件：</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4.1所供货物符合产品标准和合同的要求；</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4.2在进行测试和验收过程中发现的问题已被解决并得到采购人的认可；</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4.3合同中规定的所有货物和材料均已交付；</w:t>
            </w:r>
          </w:p>
          <w:p>
            <w:pPr>
              <w:adjustRightInd w:val="0"/>
              <w:snapToGrid w:val="0"/>
              <w:spacing w:line="288" w:lineRule="auto"/>
              <w:rPr>
                <w:rFonts w:ascii="宋体" w:hAnsi="宋体" w:eastAsia="宋体" w:cs="宋体"/>
                <w:sz w:val="21"/>
                <w:szCs w:val="21"/>
              </w:rPr>
            </w:pPr>
            <w:r>
              <w:rPr>
                <w:rFonts w:hint="eastAsia" w:ascii="宋体" w:hAnsi="宋体" w:eastAsia="宋体" w:cs="宋体"/>
                <w:sz w:val="21"/>
                <w:szCs w:val="21"/>
              </w:rPr>
              <w:t>4.4所供货物已通过使用单位组织的验收；</w:t>
            </w:r>
          </w:p>
          <w:p>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 w:val="21"/>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bCs/>
                <w:sz w:val="21"/>
                <w:szCs w:val="21"/>
              </w:rPr>
              <w:t>其他技术、服务要求</w:t>
            </w:r>
          </w:p>
        </w:tc>
        <w:tc>
          <w:tcPr>
            <w:tcW w:w="0" w:type="auto"/>
            <w:tcBorders>
              <w:top w:val="single" w:color="auto" w:sz="4" w:space="0"/>
              <w:left w:val="single" w:color="auto" w:sz="4" w:space="0"/>
              <w:bottom w:val="single" w:color="auto" w:sz="4" w:space="0"/>
            </w:tcBorders>
            <w:vAlign w:val="center"/>
          </w:tcPr>
          <w:p>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▲1</w:t>
            </w:r>
            <w:r>
              <w:rPr>
                <w:rFonts w:ascii="宋体" w:hAnsi="宋体" w:eastAsia="宋体" w:cs="宋体"/>
                <w:sz w:val="21"/>
                <w:szCs w:val="21"/>
                <w:highlight w:val="none"/>
              </w:rPr>
              <w:t>.</w:t>
            </w:r>
            <w:r>
              <w:rPr>
                <w:rFonts w:hint="eastAsia" w:ascii="宋体" w:hAnsi="宋体" w:eastAsia="宋体" w:cs="宋体"/>
                <w:sz w:val="21"/>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2</w:t>
            </w:r>
            <w:r>
              <w:rPr>
                <w:rFonts w:hint="eastAsia" w:ascii="宋体" w:hAnsi="宋体" w:eastAsia="宋体" w:cs="宋体"/>
                <w:sz w:val="21"/>
                <w:szCs w:val="21"/>
                <w:highlight w:val="none"/>
              </w:rPr>
              <w:t>.技术支持：</w:t>
            </w:r>
          </w:p>
          <w:p>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.安装调试：</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.1安装地点：采购人指定地点；</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.5供应商免费提供合同货物的安装服务；</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4</w:t>
            </w:r>
            <w:r>
              <w:rPr>
                <w:rFonts w:hint="eastAsia" w:ascii="宋体" w:hAnsi="宋体" w:eastAsia="宋体" w:cs="宋体"/>
                <w:sz w:val="21"/>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 w:val="21"/>
                <w:szCs w:val="21"/>
                <w:highlight w:val="none"/>
              </w:rPr>
            </w:pPr>
            <w:r>
              <w:rPr>
                <w:rFonts w:ascii="宋体" w:hAnsi="宋体" w:eastAsia="宋体" w:cs="宋体"/>
                <w:sz w:val="21"/>
                <w:szCs w:val="21"/>
                <w:highlight w:val="none"/>
              </w:rPr>
              <w:t>5</w:t>
            </w:r>
            <w:r>
              <w:rPr>
                <w:rFonts w:hint="eastAsia" w:ascii="宋体" w:hAnsi="宋体" w:eastAsia="宋体" w:cs="宋体"/>
                <w:sz w:val="21"/>
                <w:szCs w:val="21"/>
                <w:highlight w:val="none"/>
              </w:rPr>
              <w:t>.供货时提供有关的全套技术文件。</w:t>
            </w:r>
          </w:p>
          <w:p>
            <w:pPr>
              <w:adjustRightInd w:val="0"/>
              <w:snapToGrid w:val="0"/>
              <w:spacing w:line="288" w:lineRule="auto"/>
              <w:rPr>
                <w:rFonts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r>
              <w:rPr>
                <w:rFonts w:ascii="宋体" w:hAnsi="宋体" w:eastAsia="宋体" w:cs="宋体"/>
                <w:sz w:val="21"/>
                <w:szCs w:val="21"/>
                <w:highlight w:val="none"/>
              </w:rPr>
              <w:t>.</w:t>
            </w:r>
            <w:r>
              <w:rPr>
                <w:rFonts w:hint="eastAsia" w:ascii="宋体" w:hAnsi="宋体" w:eastAsia="宋体" w:cs="Times New Roman"/>
                <w:spacing w:val="-6"/>
                <w:sz w:val="21"/>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auto" w:sz="4" w:space="0"/>
              <w:right w:val="single" w:color="auto" w:sz="4" w:space="0"/>
            </w:tcBorders>
            <w:vAlign w:val="center"/>
          </w:tcPr>
          <w:p>
            <w:pPr>
              <w:adjustRightInd w:val="0"/>
              <w:snapToGrid w:val="0"/>
              <w:spacing w:line="288" w:lineRule="auto"/>
              <w:jc w:val="center"/>
              <w:rPr>
                <w:rFonts w:ascii="宋体" w:hAnsi="宋体" w:eastAsia="宋体" w:cs="宋体"/>
                <w:b w:val="0"/>
                <w:bCs w:val="0"/>
                <w:kern w:val="2"/>
                <w:sz w:val="21"/>
                <w:szCs w:val="21"/>
                <w:lang w:val="en-US" w:eastAsia="zh-CN" w:bidi="ar-SA"/>
              </w:rPr>
            </w:pPr>
            <w:r>
              <w:rPr>
                <w:rFonts w:hint="eastAsia" w:ascii="宋体" w:hAnsi="宋体" w:eastAsia="宋体" w:cs="宋体"/>
                <w:b/>
                <w:bCs/>
                <w:sz w:val="21"/>
                <w:szCs w:val="21"/>
              </w:rPr>
              <w:t>培训</w:t>
            </w:r>
          </w:p>
        </w:tc>
        <w:tc>
          <w:tcPr>
            <w:tcW w:w="0" w:type="auto"/>
            <w:tcBorders>
              <w:top w:val="single" w:color="auto" w:sz="4" w:space="0"/>
              <w:left w:val="single" w:color="auto" w:sz="4" w:space="0"/>
            </w:tcBorders>
            <w:vAlign w:val="center"/>
          </w:tcPr>
          <w:p>
            <w:pPr>
              <w:adjustRightInd w:val="0"/>
              <w:snapToGrid w:val="0"/>
              <w:spacing w:line="288"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1.供应商需提供详细的培训计划和内容；</w:t>
            </w:r>
          </w:p>
          <w:p>
            <w:pPr>
              <w:adjustRightInd w:val="0"/>
              <w:snapToGrid w:val="0"/>
              <w:spacing w:line="288"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2.计算机基础知识培训：面向系统使用人员；</w:t>
            </w:r>
          </w:p>
          <w:p>
            <w:pPr>
              <w:adjustRightInd w:val="0"/>
              <w:snapToGrid w:val="0"/>
              <w:spacing w:line="288"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3.系统操作培训：主要面向领导、专家、技术人员、管理人员等使用系统的人员；</w:t>
            </w:r>
          </w:p>
          <w:p>
            <w:pPr>
              <w:adjustRightInd w:val="0"/>
              <w:snapToGrid w:val="0"/>
              <w:spacing w:line="288" w:lineRule="auto"/>
              <w:rPr>
                <w:rFonts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4.系统日常维护系统培训：主要面向技术人员进行培训，使其具备独立进行系统日常维护的能力。系统软件的培训人数不少于5人次，培训时间不少于2天/人次。</w:t>
            </w:r>
          </w:p>
        </w:tc>
      </w:tr>
    </w:tbl>
    <w:p>
      <w:pPr>
        <w:adjustRightInd w:val="0"/>
        <w:snapToGrid w:val="0"/>
        <w:spacing w:line="288" w:lineRule="auto"/>
        <w:outlineLvl w:val="9"/>
        <w:rPr>
          <w:rFonts w:hint="eastAsia" w:ascii="宋体" w:hAnsi="宋体" w:eastAsia="宋体" w:cs="Times New Roman"/>
          <w:b/>
          <w:sz w:val="21"/>
          <w:szCs w:val="21"/>
        </w:rPr>
      </w:pPr>
    </w:p>
    <w:p>
      <w:pPr>
        <w:adjustRightInd w:val="0"/>
        <w:snapToGrid w:val="0"/>
        <w:spacing w:line="288" w:lineRule="auto"/>
        <w:outlineLvl w:val="1"/>
        <w:rPr>
          <w:rFonts w:hint="eastAsia" w:ascii="宋体" w:hAnsi="宋体" w:eastAsia="宋体" w:cs="Times New Roman"/>
          <w:b/>
          <w:sz w:val="21"/>
          <w:szCs w:val="21"/>
          <w:lang w:eastAsia="zh-CN"/>
        </w:rPr>
      </w:pPr>
      <w:r>
        <w:rPr>
          <w:rFonts w:hint="eastAsia" w:ascii="宋体" w:hAnsi="宋体" w:eastAsia="宋体" w:cs="Times New Roman"/>
          <w:b/>
          <w:sz w:val="21"/>
          <w:szCs w:val="21"/>
        </w:rPr>
        <w:t>四、技术要求</w:t>
      </w:r>
      <w:r>
        <w:rPr>
          <w:rFonts w:hint="eastAsia" w:cs="Times New Roman"/>
          <w:b/>
          <w:sz w:val="21"/>
          <w:szCs w:val="21"/>
          <w:lang w:eastAsia="zh-CN"/>
        </w:rPr>
        <w:t>：</w:t>
      </w:r>
    </w:p>
    <w:p>
      <w:pPr>
        <w:adjustRightInd w:val="0"/>
        <w:snapToGrid w:val="0"/>
        <w:spacing w:line="288" w:lineRule="auto"/>
        <w:rPr>
          <w:rFonts w:hint="eastAsia" w:ascii="宋体" w:hAnsi="宋体" w:eastAsia="宋体" w:cs="宋体"/>
          <w:sz w:val="21"/>
          <w:szCs w:val="21"/>
          <w:highlight w:val="none"/>
        </w:rPr>
      </w:pPr>
      <w:bookmarkStart w:id="32" w:name="_Hlk92271413"/>
      <w:r>
        <w:rPr>
          <w:rFonts w:hint="eastAsia" w:ascii="宋体" w:hAnsi="宋体" w:eastAsia="宋体" w:cs="宋体"/>
          <w:b/>
          <w:bCs/>
          <w:sz w:val="21"/>
          <w:szCs w:val="21"/>
        </w:rPr>
        <w:t>需执行的国家相</w:t>
      </w:r>
      <w:r>
        <w:rPr>
          <w:rFonts w:hint="eastAsia" w:ascii="宋体" w:hAnsi="宋体" w:eastAsia="宋体" w:cs="宋体"/>
          <w:b/>
          <w:bCs/>
          <w:sz w:val="21"/>
          <w:szCs w:val="21"/>
          <w:highlight w:val="none"/>
        </w:rPr>
        <w:t>关标准、行业标准、地方标准或者其他标准、规范：</w:t>
      </w:r>
      <w:bookmarkStart w:id="33" w:name="_Hlk94018176"/>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3"/>
    </w:p>
    <w:bookmarkEnd w:id="32"/>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（一）项目概括</w:t>
      </w:r>
    </w:p>
    <w:p>
      <w:pPr>
        <w:keepNext w:val="0"/>
        <w:keepLines w:val="0"/>
        <w:pageBreakBefore w:val="0"/>
        <w:widowControl w:val="0"/>
        <w:kinsoku/>
        <w:wordWrap/>
        <w:overflowPunct/>
        <w:topLinePunct w:val="0"/>
        <w:autoSpaceDE/>
        <w:autoSpaceDN/>
        <w:bidi w:val="0"/>
        <w:adjustRightInd w:val="0"/>
        <w:snapToGrid w:val="0"/>
        <w:spacing w:line="288" w:lineRule="auto"/>
        <w:ind w:firstLine="415" w:firstLineChars="198"/>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新形势下，党建信息化建设是利用现代化信息技术对高校的数字党建，包括基础信息管理平台、数字党建驾驶舱、党员发展全流程管理系统实现全面的数字化，并利用科学化、规范化的管理方式对相关信息进行采集整理，进一步加强高校党建信息资源的管理，加快高校党建信息化进程，最终全面实现高校党建的信息化和智慧化。通过数字党建系统来打破传统党员管理手段单一、监控主体分散繁多、管理不够精细化和透明化以及传统党务手工管理效率低，工作量大，管理粗放，任务的下发和督办难以监控，评议定性的东西多，定量的东西少的僵局。通过“互联网+党建”，实现党建工作清单化、过程化、可视化管理，使党建工作做到心中有数，工作有底，决策有据。</w:t>
      </w:r>
    </w:p>
    <w:p>
      <w:pPr>
        <w:keepNext w:val="0"/>
        <w:keepLines w:val="0"/>
        <w:pageBreakBefore w:val="0"/>
        <w:widowControl w:val="0"/>
        <w:kinsoku/>
        <w:wordWrap/>
        <w:overflowPunct/>
        <w:topLinePunct w:val="0"/>
        <w:autoSpaceDE/>
        <w:autoSpaceDN/>
        <w:bidi w:val="0"/>
        <w:adjustRightInd w:val="0"/>
        <w:snapToGrid w:val="0"/>
        <w:spacing w:line="288" w:lineRule="auto"/>
        <w:ind w:firstLine="415" w:firstLineChars="198"/>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本项目建设要求供应商需要围绕基础信息管理、党员发展全流程管理、智能党务管理、党建项目管理、评优评奖、党建考核、数智党建驾驶舱、基础数据分析驾驶舱、党员发展数据驾驶舱、平台</w:t>
      </w:r>
      <w:r>
        <w:rPr>
          <w:rFonts w:hint="eastAsia" w:cs="宋体"/>
          <w:color w:val="auto"/>
          <w:sz w:val="21"/>
          <w:szCs w:val="21"/>
          <w:lang w:val="en-US" w:eastAsia="zh-CN"/>
        </w:rPr>
        <w:t>后续使用兼容</w:t>
      </w:r>
      <w:r>
        <w:rPr>
          <w:rFonts w:hint="eastAsia" w:ascii="宋体" w:hAnsi="宋体" w:eastAsia="宋体" w:cs="宋体"/>
          <w:color w:val="auto"/>
          <w:sz w:val="21"/>
          <w:szCs w:val="21"/>
          <w:lang w:val="en-US" w:eastAsia="zh-CN"/>
        </w:rPr>
        <w:t>等目标，为采购人提供相应的软件服务方案。</w:t>
      </w:r>
      <w:r>
        <w:rPr>
          <w:rFonts w:hint="eastAsia" w:cs="宋体"/>
          <w:color w:val="auto"/>
          <w:sz w:val="21"/>
          <w:szCs w:val="21"/>
          <w:lang w:val="en-US" w:eastAsia="zh-CN"/>
        </w:rPr>
        <w:t>符合质量、环境、职业健康、信息安全管理标准。</w:t>
      </w:r>
    </w:p>
    <w:p>
      <w:pPr>
        <w:keepNext w:val="0"/>
        <w:keepLines w:val="0"/>
        <w:pageBreakBefore w:val="0"/>
        <w:widowControl w:val="0"/>
        <w:kinsoku/>
        <w:wordWrap/>
        <w:overflowPunct/>
        <w:topLinePunct w:val="0"/>
        <w:autoSpaceDE/>
        <w:autoSpaceDN/>
        <w:bidi w:val="0"/>
        <w:adjustRightInd w:val="0"/>
        <w:snapToGrid w:val="0"/>
        <w:spacing w:line="288" w:lineRule="auto"/>
        <w:ind w:firstLine="211" w:firstLineChars="1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设备清单及技术参数</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94"/>
        <w:gridCol w:w="6344"/>
        <w:gridCol w:w="73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rPr>
              <w:t>设备</w:t>
            </w:r>
            <w:r>
              <w:rPr>
                <w:rFonts w:hint="eastAsia" w:ascii="宋体" w:hAnsi="宋体" w:eastAsia="宋体" w:cs="宋体"/>
                <w:b/>
                <w:color w:val="auto"/>
                <w:sz w:val="21"/>
                <w:szCs w:val="21"/>
                <w:lang w:val="en-US" w:eastAsia="zh-CN"/>
              </w:rPr>
              <w:t>名称</w:t>
            </w:r>
          </w:p>
        </w:tc>
        <w:tc>
          <w:tcPr>
            <w:tcW w:w="3294"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383"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464"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智慧</w:t>
            </w:r>
            <w:r>
              <w:rPr>
                <w:rFonts w:hint="eastAsia" w:ascii="宋体" w:hAnsi="宋体" w:eastAsia="宋体" w:cs="宋体"/>
                <w:b/>
                <w:color w:val="auto"/>
                <w:sz w:val="21"/>
                <w:szCs w:val="21"/>
                <w:lang w:val="en-US" w:eastAsia="zh-CN"/>
              </w:rPr>
              <w:t>党建系统</w:t>
            </w:r>
          </w:p>
        </w:tc>
        <w:tc>
          <w:tcPr>
            <w:tcW w:w="3294" w:type="pct"/>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b/>
                <w:bCs/>
                <w:color w:val="auto"/>
                <w:sz w:val="21"/>
                <w:szCs w:val="21"/>
                <w:lang w:val="en-US" w:eastAsia="zh-CN"/>
              </w:rPr>
              <w:t>一、基础信息管理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（一）架构展示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要求展示学校的职能部门、二级党组织、党支部之间的结构关系。</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（二）组织管理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1.要求支持对党总支、党支部以及其对应的负责人进行增删查改。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2.支持对不不同身份赋权。组织部可对全校党总支以及党支部进行管理；党总支可对其下属的党支部进行管理。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（三）党员管理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1.要求支持对党员的信息进行管理，包括对党员进行增删查改，以及批量导入与批量导出。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2.组织部可管理全校党员信息；党总支只能管理本组织下属的所有党员信息。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二、党员发展全流程管理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（一）基础信息管理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1.要求支持发展党员5大阶段、25个步骤全流程可视化展示。每个步骤均支持点击查看该步骤的发展要求，模板材料以及发展培养对象该步骤的发展材料。</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2.直观的展示发展对象的发展阶段、步骤，以及预警信息。</w:t>
            </w:r>
            <w:r>
              <w:rPr>
                <w:rFonts w:hint="eastAsia" w:ascii="宋体" w:hAnsi="宋体" w:eastAsia="宋体" w:cs="宋体"/>
                <w:color w:val="auto"/>
                <w:spacing w:val="0"/>
                <w:kern w:val="2"/>
                <w:sz w:val="21"/>
                <w:szCs w:val="21"/>
                <w:lang w:val="en-US" w:eastAsia="zh-CN" w:bidi="ar-SA"/>
              </w:rPr>
              <w:br w:type="textWrapping"/>
            </w:r>
            <w:r>
              <w:rPr>
                <w:rFonts w:hint="eastAsia" w:ascii="宋体" w:hAnsi="宋体" w:eastAsia="宋体" w:cs="宋体"/>
                <w:color w:val="auto"/>
                <w:spacing w:val="0"/>
                <w:kern w:val="2"/>
                <w:sz w:val="21"/>
                <w:szCs w:val="21"/>
                <w:lang w:val="en-US" w:eastAsia="zh-CN" w:bidi="ar-SA"/>
              </w:rPr>
              <w:t>3.所有操作支持日志审计，支持记录操作时间，操作类型，操作模块，操作人以及操作内容前后对比。</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（二）电子档案袋</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1.要求支持电子档案袋功能，将发展过程中的所有文档进行电子留存，加密存储。</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2.支持电子档案按发展阶段进行检索。</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3.支持实时预览和下载。</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4.支持打包导出。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lang w:val="en-US" w:eastAsia="zh-CN" w:bidi="ar-SA"/>
              </w:rPr>
              <w:t>（三</w:t>
            </w:r>
            <w:r>
              <w:rPr>
                <w:rFonts w:hint="eastAsia" w:ascii="宋体" w:hAnsi="宋体" w:eastAsia="宋体" w:cs="宋体"/>
                <w:b/>
                <w:bCs/>
                <w:color w:val="auto"/>
                <w:spacing w:val="0"/>
                <w:kern w:val="2"/>
                <w:sz w:val="21"/>
                <w:szCs w:val="21"/>
                <w:highlight w:val="none"/>
                <w:lang w:val="en-US" w:eastAsia="zh-CN" w:bidi="ar-SA"/>
              </w:rPr>
              <w:t>）发展流程自定义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1.要求支持发展流程自定义功能，系统按《中国共产党发展党员工作细则》的要求内置一套标准化的发展流程和规则。</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2.同时针对学校个性化的需求也支持自定义发展流程，自定义发展要求，注意事项以及模板信息。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3.支持告警和预警规则的自定义。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（四）组织管理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1.要求对党总支、党支部的负责人以及党员发展联系人等进行过程管理。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2.支持相关人员参与维护和查看系统信息，例如辅导员等。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3.组织部人员可查看并管理全校所有党组织的党建业务开展情况。</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（五）统计汇总</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1.要求支持以数据表格的形式展示各二级党组织的支部数量、各阶段人员、思想汇报提交数、志愿服务时长等。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2.支持导出为EXCEL。</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（六）智能预警</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1.要求支持按照《中国共产党发展党员工作细则》的要求内置一套预警规则，对党员发展全流程中不符合规定的信息进行智能预警和研判。</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2.同时支持修改和自定义预警规则，修改时间要求，自定义判断预警时间，预警文案，提醒对象以及提醒方式。</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3.支持APP或者短信发送各种消息提醒。</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（七）移动端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1.作为发展党员可查看自己的具体发展进度，也可以提交入党申请书、思想汇报等材料。</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2.作为管理员可对自己的培养人的具体发展进度进行查看，也可对其提交的入党申请书、思想汇报等材料进行审核。</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三、智能党务管理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学校机关职能部门和二级党委（党总支）可以在PC端后台发布任务，下设任务发布、任务查看、任务审核等子模块功能，实现任务新建、指派、下发、统计、考核全流程闭环管理。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（一）任务列表</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1.任务管理界面是将发布好的任务全部渲染到这个界面，可以对每个任务分别进行查看、修改、审核以及删除。</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2.同时还能发布任务、进行任务督导、筛选列、导出excel、打印。</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（二）任务新建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学校机关职能部门和二级党委（党总支）可输入相关的任务信息，点击立即提交可完成任务下发，点击重置则清空已填写的任务信息。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（三）任务查看</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学校机关职能部门和二级党委（党总支）可查看任务的相关信息。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（四）任务修改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学校机关职能部门和二级党委（党总支）可以修改任务。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（五）任务审核</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1.学校机关职能部门和二级党委（党总支）可以审核下级党组织从移动端前台提交的任务。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审核模块，可进入到该任务的任务审核详情界面。学校机关职能部门和二级党委（党总支）可以查看下级党组织提交任务的相关信息，点击审核通过，则该任务审核通过。点击审核不通过，则该任务审核不通过。</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（六）任务统计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1.支持任务完成情况在线实时统计，支持指派组织统计，已审核，待审核统计，已查阅统计，未查阅统计，已上报统计，未上报统计。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2.在线实时的任务统计和审批功能，可以实时掌握任务完成情况和相关数据，提高管理决策的准确性和效率。</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（七）云表单</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1"/>
                <w:szCs w:val="21"/>
                <w:highlight w:val="none"/>
                <w:lang w:eastAsia="zh-CN"/>
              </w:rPr>
            </w:pPr>
            <w:r>
              <w:rPr>
                <w:rFonts w:hint="eastAsia" w:ascii="宋体" w:hAnsi="宋体" w:eastAsia="宋体" w:cs="宋体"/>
                <w:color w:val="auto"/>
                <w:spacing w:val="0"/>
                <w:kern w:val="2"/>
                <w:sz w:val="21"/>
                <w:szCs w:val="21"/>
                <w:highlight w:val="none"/>
                <w:lang w:val="en-US" w:eastAsia="zh-CN" w:bidi="ar-SA"/>
              </w:rPr>
              <w:t>1.</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lang w:eastAsia="zh-Hans"/>
              </w:rPr>
              <w:t>开发建设云表单模块</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运用</w:t>
            </w:r>
            <w:r>
              <w:rPr>
                <w:rFonts w:hint="eastAsia" w:ascii="宋体" w:hAnsi="宋体" w:eastAsia="宋体" w:cs="宋体"/>
                <w:kern w:val="0"/>
                <w:sz w:val="21"/>
                <w:szCs w:val="21"/>
                <w:highlight w:val="none"/>
                <w:lang w:eastAsia="zh-Hans"/>
              </w:rPr>
              <w:t>低代码技术，适配智慧党建组织架构和权限体系</w:t>
            </w:r>
            <w:r>
              <w:rPr>
                <w:rFonts w:hint="eastAsia" w:ascii="宋体" w:hAnsi="宋体" w:eastAsia="宋体" w:cs="宋体"/>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2.</w:t>
            </w:r>
            <w:r>
              <w:rPr>
                <w:rFonts w:hint="eastAsia" w:ascii="宋体" w:hAnsi="宋体" w:eastAsia="宋体" w:cs="宋体"/>
                <w:color w:val="auto"/>
                <w:spacing w:val="0"/>
                <w:kern w:val="2"/>
                <w:sz w:val="21"/>
                <w:szCs w:val="21"/>
                <w:highlight w:val="none"/>
                <w:lang w:val="en-US" w:eastAsia="zh-Hans" w:bidi="ar-SA"/>
              </w:rPr>
              <w:t>支持可视化拖拽的方式生成各种类型的表单，方便党务</w:t>
            </w:r>
            <w:r>
              <w:rPr>
                <w:rFonts w:hint="eastAsia" w:ascii="宋体" w:hAnsi="宋体" w:eastAsia="宋体" w:cs="宋体"/>
                <w:color w:val="auto"/>
                <w:spacing w:val="0"/>
                <w:kern w:val="2"/>
                <w:sz w:val="21"/>
                <w:szCs w:val="21"/>
                <w:highlight w:val="none"/>
                <w:lang w:val="en-US" w:eastAsia="zh-CN" w:bidi="ar-SA"/>
              </w:rPr>
              <w:t>老师</w:t>
            </w:r>
            <w:r>
              <w:rPr>
                <w:rFonts w:hint="eastAsia" w:ascii="宋体" w:hAnsi="宋体" w:eastAsia="宋体" w:cs="宋体"/>
                <w:color w:val="auto"/>
                <w:spacing w:val="0"/>
                <w:kern w:val="2"/>
                <w:sz w:val="21"/>
                <w:szCs w:val="21"/>
                <w:highlight w:val="none"/>
                <w:lang w:val="en-US" w:eastAsia="zh-Hans" w:bidi="ar-SA"/>
              </w:rPr>
              <w:t>自定义生成所需的表单发派给基层党组织进行信息报送。</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（八）移动端</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1.移动端首页界面的任务分为全部、未完成、已提交、已过期等任务类型。</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2.其中待审核的任务可进行修改，已过期的任务可补交。点击相关处理模块即可查看任务详情并进行任务的提交。</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3.点击首页相关的图标可查看个人信息，点击身份内容框可进行身份切换。</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四、党建项目管理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支持“双创一室一中心”的项目立项、申报、评审、验收全流程线上管理，包括且不限于双创项目申报，双带头人教师党支部书记工作室、示范性党群服务中心、党建品牌、书记项目、工作案例等项目的全流程管理。系统需和上级党组织的规范和要求保持一致。所有项目材料需支持加密存储，严格执行分权分域。</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（一）发布项目</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管理员可在后台此模块发布党建项目的申报通知，类型包括党建课题、双创项目等，包括标题、内容、目标申报数量、申报时间、附件等。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（二）课题申报及审批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1.用户可在前台查看项目的内容并申报。</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2.管理员可查看课题的申报情况，了解详情后对此进行审核。</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（三）专家评审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通过管理员审核后的课题，需再次经过专家的评审才能予以立项。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（四）立项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通过专家评审的课题予以立项，并在前台进行结果展示。</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（五）中期检查</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用户需在前台上传中期检查成果。管理员可查看课题的中期情况，了解详情后对此进行审核。</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（六）验收</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1.用户需在前台上传验收和结题材料。</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2.管理员可查看课题的验收材料，了解详情后对此进行审核。</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（七）专家账号管理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sz w:val="21"/>
                <w:szCs w:val="21"/>
                <w:highlight w:val="none"/>
                <w:lang w:val="en-US" w:eastAsia="zh-CN"/>
              </w:rPr>
              <w:t>管理员可新建专家临时账号，用于专家评审时登录系统，评审结束后可关闭其权限。</w:t>
            </w:r>
          </w:p>
          <w:p>
            <w:pPr>
              <w:pStyle w:val="2"/>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五、评优评奖</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1.要求支持在线评优评奖功能，包括且不限于支持“两优一先”的在线评选，支持“最受师生喜爱的书记”的在线评选。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2.支持移动端扫码签到，支持移动端匿名评议。</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3.支持自动汇总和生成评议结果，支持评议结果一键导出。</w:t>
            </w:r>
          </w:p>
          <w:p>
            <w:pPr>
              <w:pStyle w:val="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pacing w:val="0"/>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六、党建考核</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核心围绕二级学院的“强基指数”考评体系，围绕党支部“堡垒指数”考评体系，全面实现线上数字化考评。</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1.要求支持在线党建考核功能，支持指标库预先录入考核指标功能，支持指标库任意可选并快速引用到考核方案中。</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2.要求考核方案支持用户自定义功能，自定义配置自动考核规则、手动赋分规则等。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3.要求支持自动赋分功能，关联贯通部分业务系统，实时监控并自动抓取对应的业务数据，根据考核规则实现自动赋分。</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4.要求支持在线手动赋分功能，对手动赋分的指标进行在线评分，支持多人同时进行在线评分，自动统一汇总最新考核成绩。</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5.要求支持一票否决功能，加减分功能。</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6.要求支持在线公示考评结果，考核结束后人工确认校对考核结果无误并进行公示晾晒。</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7.公示后根据考核成绩自动排名，考核对象查收考评结果。</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8.要求支持考评结果一键导出，支持查看历年考评成绩。</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七、数智党建驾驶舱</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围绕学校政治建设、思想建设、制度建设、队伍建设、纪律建设等领域工作，构建学校党建工作的指标体系和决策模型。驾驶舱内容需涵盖以上建设成果，同时集中展示和晾晒学校的党建工作全貌、双创成果和先锋荣誉情况、党建品牌、强基指数以及堡垒指数，重点体现“四个融合”行动工作成效，为领导决策提供科学的数据分析依据。</w:t>
            </w:r>
          </w:p>
          <w:p>
            <w:pPr>
              <w:pStyle w:val="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sz w:val="21"/>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八、基础数据分析驾驶舱</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要求展示全校的党员情况，包括党员的男女比例、党员总数、三会一课、党费缴纳情况、党员年龄分布、民族分布、学历学位分布、职称分布、优秀党员分布以及党龄分布等。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要求展示全校党组织的相关数据情况，包括各党组织党员发展情况分布、全校党组织架构、党员总数、支部总数、先进党组织分布情况、优秀党务工作者以及先锋堡垒指数分布情况等。</w:t>
            </w:r>
          </w:p>
          <w:p>
            <w:pPr>
              <w:pStyle w:val="3"/>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九、党员发展数据驾驶舱</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以大数据BI的形式展示发展培养对象性别比例、发展培养对象民族分布、发展培养对象学历分布、发展培养对象年龄分布、每年全校发展培养对象总数、各二级党组织发展培养对象数量，各二级党组织发展培养对象的不同阶段的人员分布情况，发展过程中的预警情况。</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十、平台</w:t>
            </w:r>
            <w:r>
              <w:rPr>
                <w:rFonts w:hint="eastAsia" w:cs="宋体"/>
                <w:b/>
                <w:bCs/>
                <w:sz w:val="21"/>
                <w:szCs w:val="21"/>
                <w:highlight w:val="none"/>
                <w:lang w:val="en-US" w:eastAsia="zh-CN"/>
              </w:rPr>
              <w:t>兼容</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1.要求根据上级党组织党建系统的数据字段，按需定制开发各类统计报表，字段和统计维度保持一致。</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2.系统PC后台需无偿开放数据接口及技术交底，支持与数字经院门户及移动端经院钉数据同步，所有基础数据与学校数据中台同步。</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3.为保证学校后续系统的部署，供应商投入使用的平台需无偿开放数据端口及技术交底，所有费用均包含在项目报价中。</w:t>
            </w:r>
          </w:p>
          <w:p>
            <w:pPr>
              <w:pStyle w:val="15"/>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十一、网络安全</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1.涉密数据的安全问题，服务器在校内部署，不放云端，服务器由学校图书信息中心集中采购，费用也由图信中心负责；</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2.校外访问服务器需通过vpn与堡垒机双重认证，有效期过后图信中心将关闭访问服务器账号权限。</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3.学校与供应商、供应商项目负责人签订数据保密协议；</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4.隐私数据做加密处理，前端以及数据库中均对其进行加密处理。</w:t>
            </w:r>
          </w:p>
        </w:tc>
        <w:tc>
          <w:tcPr>
            <w:tcW w:w="383"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w:t>
            </w:r>
          </w:p>
        </w:tc>
        <w:tc>
          <w:tcPr>
            <w:tcW w:w="490"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套</w:t>
            </w:r>
          </w:p>
        </w:tc>
      </w:tr>
    </w:tbl>
    <w:p>
      <w:pPr>
        <w:keepNext w:val="0"/>
        <w:keepLines w:val="0"/>
        <w:pageBreakBefore w:val="0"/>
        <w:kinsoku/>
        <w:wordWrap/>
        <w:overflowPunct/>
        <w:topLinePunct w:val="0"/>
        <w:autoSpaceDE/>
        <w:autoSpaceDN/>
        <w:bidi w:val="0"/>
        <w:adjustRightInd w:val="0"/>
        <w:snapToGrid w:val="0"/>
        <w:spacing w:line="288" w:lineRule="auto"/>
        <w:ind w:firstLine="422" w:firstLineChars="200"/>
        <w:rPr>
          <w:rFonts w:hint="eastAsia" w:ascii="宋体" w:hAnsi="宋体" w:eastAsia="宋体" w:cs="宋体"/>
          <w:b/>
          <w:sz w:val="21"/>
          <w:szCs w:val="21"/>
          <w:lang w:eastAsia="zh-CN" w:bidi="ar"/>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b/>
          <w:bCs/>
          <w:color w:val="FF0000"/>
          <w:sz w:val="21"/>
          <w:szCs w:val="21"/>
          <w:highlight w:val="none"/>
          <w:lang w:val="en-US" w:eastAsia="zh-CN"/>
        </w:rPr>
      </w:pPr>
      <w:r>
        <w:rPr>
          <w:rFonts w:hint="eastAsia" w:cs="Times New Roman"/>
          <w:color w:val="FF0000"/>
          <w:sz w:val="21"/>
          <w:szCs w:val="21"/>
          <w:lang w:val="en-US" w:eastAsia="zh-CN"/>
        </w:rPr>
        <w:t>（</w:t>
      </w:r>
      <w:bookmarkStart w:id="62" w:name="_GoBack"/>
      <w:bookmarkEnd w:id="62"/>
      <w:r>
        <w:rPr>
          <w:rFonts w:hint="eastAsia" w:cs="Times New Roman"/>
          <w:color w:val="FF0000"/>
          <w:sz w:val="21"/>
          <w:szCs w:val="21"/>
          <w:lang w:val="en-US" w:eastAsia="zh-CN"/>
        </w:rPr>
        <w:t>三）</w:t>
      </w:r>
      <w:r>
        <w:rPr>
          <w:rFonts w:hint="eastAsia" w:cs="宋体"/>
          <w:b/>
          <w:bCs/>
          <w:color w:val="FF0000"/>
          <w:sz w:val="21"/>
          <w:szCs w:val="21"/>
          <w:highlight w:val="none"/>
          <w:lang w:val="en-US" w:eastAsia="zh-CN"/>
        </w:rPr>
        <w:t>其他要求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1.项目管理要求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项目需严格遵循学校信息化建设项目制度与规范，完成所有规定要求。供应商必须提供完整的项目管理方案，该方案应涵盖但不限于以下方面：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项目文档和程序管理：采用版本控制工具，对项目实施过程中的所有文档和程序进行规范管理，确保可追溯性和一致性。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软件项目的开发管理：遵循软件工程最佳实践，运用先进的开发方法和工具，确保软件开发过程高效、可控。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项目管理规范和手段：建立并执行规范化的管理流程，包括明确的监控流程、方法、职责分配及变更控制机制，确保项目按计划顺利推进。</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④　验收标准与流程：明确系统需达到的性能指标、功能完整性、安全性要求及与“数字经院”目标契合度等验收标准，并规划详细的验收流程，包括初步测试、集成测试、用户验收测试（UAT）及最终验收等阶段。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⑤　文档与培训：要求提供完整的用户手册、技术文档及必要的系统维护手册，并安排对校方人员的系统操作与维护培训，确保项目交接顺畅。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2.网络信息安全要求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供应商需针对物理安全、网络安全、系统安全、应用软件安全、用户安全及数据安全等方面，提供一套完整的网络信息安全解决方案。还需在投标文件中附上已获得的相应等级保护认证证明（如已有），或承诺在项目上线前完成并通过网络安全等级保护2.0的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认证授权：保证用户的合法性和用户使用信息资源的权利，避免内部敏感信息泄露和服务所提供的信息资源被非法访问，造成严重的安全事故。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信息保密：充分利用密码技术，对于需要保密的信息，采用密码技术进行加解密处理，防止信息的非授权泄露，确保涉密信息在产生、存储、传递和处理过程中的保密。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数据完整性：建立数据完整性检验机制，保证收发双方数据的一致性，防止信息被非授权修改。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④　审计：记录应用运维、管理及运行日志，对事件进行分析，并能提供预警信息。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⑤　数据备份：利用数据库的备份功能将建设的平台和系统数据备份到指定的服务器或存储系统上。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3.准入要求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系统准入规范：项目系统部署应遵循学校信息化建设项目和网络安全相关制度或规范要求，对学校网络服务、云计算资源服务、域名服务等都应落实专人负责，定期巡检。</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部署运维：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部署在学校内私有云环境，供应商有责任和义务配合相关业务完成私有云环境申请，负责规范部署系统所在操作系统和应用、数据库等环境。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部署在公有云环境，供应商有责任和义务配合相关业务完成公有云环境申请，负责部署系统所在操作系统和应用、数据库等环境。公有云环境运行、维护、安全等费用不应额外产生。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安全准入：供应商应负责在服务期内对系统软硬件相关安全运维，如出现相关安全漏洞或通报事件，应第一时间完成处理，如无法解决的，则按学校网络安全制度要求，停止校外访问服务。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4.平台对接要求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为确保学校所有新建信息系统的高效整合与统一管理，必须遵循以下对接要求，所有对接均不涉及第三方费用。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统一身份认证集成：项目需无缝对接学校现有的统一身份认证平台，支持CAS、OAuth2.0、RestFul API、SAML2.0等协议，实现单点登录，不再设立独立用户体系。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统一消息集成：项目需与学校统一消息平台对接，利用平台提供的免费接口实现消息推送及回调功能，确保师生能及时接收待办事宜、通知等信息，并可直接通过链接访问相关页面。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数据可视化集成：项目需与学校数据可视化平台对接，提供分析报表或数据大屏页面的访问地址，遵循平台对接规范，无需额外费用。按角色分配浏览权限，师生可直接在平台上查看数据。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④　应用集成：项目应用需遵循学校统一的UI设计规范，包括色系、布局、尺寸、文字排版等，确保与现有平台风格一致；面向师生的核心应用需集成至PC端数字经院门户及移动端经院钉移动门户，并进行移动端适配优化；常用或特定功能应以应用图标形式集成至相应门户，便于师生访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⑤　钉钉开放接口集成：需遵循钉钉开放API规范，对接身份验证、消息通知、待办事项等服务，确保与“数字经院”移动门户的无缝集成。具体对接细节请参考钉钉开放平台文档。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5.数据对接与共享要求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项目应实现系统数据准确、及时、完整、规范和安全的集成到数据中台，完成数据的相互对接和交换，实现校内各系统之间的信息共享，推动学校数字化改革的进程，满足中央机关、省级机关等各类机关单位要求的上报需求,根据学校实际需求，开放数据库全局访问权限或对应的视图访问权限，并提供相应数据字典。学校目前已建数据中台提供标准、开放的数据集成、数据共享、数据开放等接口，无需供应商额外支付接口费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对接的数据范围包括并不仅限于以下内容：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组织架构和人员相关类数据。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业务类数据：指各类业务处理完毕后的相关数据（如用户提交的表单数据、审核人员的审核数据、流程流转状态数据等）。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统计分析类数据。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④　归档和日志类数据。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对接时的数据标准应符合并不仅限于以下内容：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符合教育部发布的相关数据标准。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符合学校数字化改革要求的数据标准。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对接方式和频率应符合数据交换响应级别的内容：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①　响应优先级最高的数据由系统调用学校公共数据平台的API接口实时写入。</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②　响应优先级较高的数据由系统每隔一小时推送给数据中台。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③　响应优先级中的数据由系统提供视图，数据中台每天采集一次。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④　响应优先级低的数据由系统提供视图，数据中台按需采集。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数据交换响应级别根据学校具体需求确定。</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接口文档详见附件“数字经院”信息化项目建设规范材料。</w:t>
      </w:r>
    </w:p>
    <w:p>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sz w:val="21"/>
          <w:szCs w:val="21"/>
          <w:lang w:val="en-US" w:eastAsia="zh-CN" w:bidi="ar"/>
        </w:rPr>
      </w:pPr>
      <w:r>
        <w:rPr>
          <w:rFonts w:hint="eastAsia" w:cs="宋体"/>
          <w:b w:val="0"/>
          <w:bCs w:val="0"/>
          <w:color w:val="FF0000"/>
          <w:sz w:val="21"/>
          <w:szCs w:val="21"/>
          <w:highlight w:val="none"/>
          <w:lang w:val="en-US" w:eastAsia="zh-CN"/>
        </w:rPr>
        <w:t>（四）</w:t>
      </w:r>
      <w:r>
        <w:rPr>
          <w:rFonts w:hint="eastAsia" w:ascii="宋体" w:hAnsi="宋体" w:eastAsia="宋体" w:cs="宋体"/>
          <w:b/>
          <w:sz w:val="21"/>
          <w:szCs w:val="21"/>
          <w:lang w:val="en-US" w:eastAsia="zh-CN" w:bidi="ar"/>
        </w:rPr>
        <w:t>演示</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供应商需提供平台demo或类似项目真实平台的演示，具体演示要求如下：</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1.党员发展全流程管理</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（1）基础信息管理：</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①要求支持发展党员5大阶段、25个步骤全流程可视化展示。每个步骤均支持点击查看该步骤的发展要求，模板材料以及发展培养对象该步骤的发展材料。</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②所有操作支持日志审计，支持记录操作时间，操作类型，操作模块，操作人以及操作内容前后对比。</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（2）发展流程自定义：</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①要求支持发展流程自定义功能，系统按《中国共产党发展党员工作细则》的要求内置一套标准化的发展流程和规则。</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②同时针对学校个性化的需求也支持自定义发展流程，自定义发展要求，注意事项以及模板信息。</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（3）电子档案袋：</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①要求支持电子档案袋功能，将发展过程中的所有文档进行电子留存，加密存储。</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②支持实时预览和下载。</w:t>
      </w:r>
      <w:r>
        <w:rPr>
          <w:rFonts w:hint="eastAsia" w:ascii="宋体" w:hAnsi="宋体" w:eastAsia="宋体" w:cs="宋体"/>
          <w:color w:val="auto"/>
          <w:sz w:val="21"/>
          <w:szCs w:val="21"/>
          <w:highlight w:val="none"/>
          <w:lang w:val="en-US" w:eastAsia="zh-CN"/>
        </w:rPr>
        <w:br w:type="textWrapping"/>
      </w:r>
      <w:r>
        <w:rPr>
          <w:rFonts w:hint="eastAsia"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（4）智能预警：</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同时支持修改和自定义预警规则，修改时间要求，自定义判断预警时间，预警文案，提醒对象以及提醒方式。</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2.智能党务管理</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（1）任务统计：</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支持任务完成情况在线实时统计，支持指派组织统计，已审核，待审核统计，已查阅统计，未查阅统计，已上报统计，未上报统计。</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（2）云表单</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default" w:ascii="宋体" w:hAnsi="宋体" w:eastAsia="宋体" w:cs="宋体"/>
          <w:color w:val="auto"/>
          <w:sz w:val="21"/>
          <w:szCs w:val="21"/>
          <w:highlight w:val="none"/>
          <w:lang w:val="en-US" w:eastAsia="zh-CN"/>
        </w:rPr>
        <w:t>要求开发建设云表单模块，运用低代码技术，适配智慧党建组织架构和权限体系。</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default" w:ascii="宋体" w:hAnsi="宋体" w:eastAsia="宋体" w:cs="宋体"/>
          <w:color w:val="auto"/>
          <w:sz w:val="21"/>
          <w:szCs w:val="21"/>
          <w:highlight w:val="none"/>
          <w:lang w:val="en-US" w:eastAsia="zh-CN"/>
        </w:rPr>
        <w:t>支持可视化拖拽的方式生成各种类型的表单，方便党务老师自定义生成所需的表单发派给基层党组织进行信息报送。</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3.党建考核</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要求支持自动赋分功能，关联贯通部分业务系统，实时监控并自动抓取对应的业务数据，根据考核规则实现自动赋分。</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要求支持在线手动赋分功能，对手动赋分的指标进行在线评分，支持多人同时进行在线评分，自动统一汇总最新考核成绩。</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）要求考核方案支持用户自定义功能，自定义配置自动考核规则、手动赋分规则等。</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4.数智党建驾驶舱</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围绕学校政治建设、思想建设、制度建设、队伍建设、纪律建设等领域工作，构建学校党建工作的指标体系和决策模型。驾驶舱内容需涵盖以上建设成果，同时集中展示和晾晒学校的党建工作全貌、双创成果和先锋荣誉情况、党建品牌、强基指数以及堡垒指数，重点体现“四个融合”行动工作成效，为领导决策提供科学的数据分析依据。</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5.党员发展数据驾驶舱</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以大数据BI的形式展示发展培养对象性别比例、发展培养对象民族分布、发展培养对象学历分布、发展培养对象年龄分布、每年全校发展培养对象总数、各二级党组织发展培养对象数量，各二级党组织发展培养对象的不同阶段的人员分布情况，发展过程中的预警情况。</w:t>
      </w:r>
    </w:p>
    <w:p>
      <w:pPr>
        <w:keepNext w:val="0"/>
        <w:keepLines w:val="0"/>
        <w:pageBreakBefore w:val="0"/>
        <w:widowControl/>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6.网络安全</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隐私数据做加密处理，前端以及数据库中均对其进行加密处理。</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供应商需将以上演示及讲解过程录制视频，演示总时长不超过</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分钟以.mp4格式存储于U盘。供应商须自行核验U盘中的视频能正常播放，保证视频无需转码即可直接用主流播放器打开播放。</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演示U盘可以顺丰或EMS邮寄形式在响</w:t>
      </w:r>
      <w:r>
        <w:rPr>
          <w:rFonts w:hint="eastAsia" w:ascii="宋体" w:hAnsi="宋体" w:eastAsia="宋体" w:cs="宋体"/>
          <w:color w:val="auto"/>
          <w:sz w:val="21"/>
          <w:szCs w:val="21"/>
          <w:lang w:val="en-US" w:eastAsia="zh-CN"/>
        </w:rPr>
        <w:t>应文件提交截止时间前与响应文件一并递交，演示U盘应当密封包装并在包装上标注演示U盘、项目名称、供应商名称并加盖公章。</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未按采购文件要求提供演示U盘造成专家无法正常评审的风险由供应商自行承担。</w:t>
      </w:r>
    </w:p>
    <w:p>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▲未提供演示的，响应无效。</w:t>
      </w:r>
    </w:p>
    <w:p>
      <w:pPr>
        <w:numPr>
          <w:ilvl w:val="0"/>
          <w:numId w:val="4"/>
        </w:numPr>
        <w:adjustRightInd w:val="0"/>
        <w:snapToGrid w:val="0"/>
        <w:spacing w:line="288" w:lineRule="auto"/>
        <w:ind w:firstLine="643" w:firstLineChars="200"/>
        <w:rPr>
          <w:rFonts w:hint="eastAsia"/>
          <w:b/>
          <w:bCs/>
          <w:sz w:val="32"/>
          <w:szCs w:val="32"/>
        </w:rPr>
      </w:pPr>
      <w:r>
        <w:rPr>
          <w:rFonts w:hint="eastAsia"/>
          <w:b/>
          <w:bCs/>
          <w:sz w:val="32"/>
          <w:szCs w:val="32"/>
        </w:rPr>
        <w:br w:type="page"/>
      </w:r>
    </w:p>
    <w:p>
      <w:pPr>
        <w:adjustRightInd w:val="0"/>
        <w:snapToGrid w:val="0"/>
        <w:spacing w:line="288" w:lineRule="auto"/>
        <w:jc w:val="center"/>
        <w:outlineLvl w:val="0"/>
        <w:rPr>
          <w:b/>
          <w:bCs/>
          <w:sz w:val="32"/>
          <w:szCs w:val="32"/>
        </w:rPr>
      </w:pPr>
      <w:r>
        <w:rPr>
          <w:rFonts w:hint="eastAsia"/>
          <w:b/>
          <w:bCs/>
          <w:sz w:val="32"/>
          <w:szCs w:val="32"/>
        </w:rPr>
        <w:t>第三章  供应商须知</w:t>
      </w:r>
    </w:p>
    <w:p>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pPr>
              <w:adjustRightInd w:val="0"/>
              <w:snapToGrid w:val="0"/>
              <w:spacing w:line="288" w:lineRule="auto"/>
              <w:jc w:val="center"/>
              <w:rPr>
                <w:b/>
                <w:bCs/>
                <w:sz w:val="21"/>
                <w:szCs w:val="21"/>
              </w:rPr>
            </w:pPr>
            <w:r>
              <w:rPr>
                <w:rFonts w:hint="eastAsia"/>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（一）</w:t>
            </w:r>
          </w:p>
        </w:tc>
        <w:tc>
          <w:tcPr>
            <w:tcW w:w="1701" w:type="dxa"/>
            <w:vAlign w:val="center"/>
          </w:tcPr>
          <w:p>
            <w:pPr>
              <w:adjustRightInd w:val="0"/>
              <w:snapToGrid w:val="0"/>
              <w:spacing w:line="288" w:lineRule="auto"/>
              <w:jc w:val="center"/>
              <w:rPr>
                <w:sz w:val="21"/>
                <w:szCs w:val="21"/>
              </w:rPr>
            </w:pPr>
            <w:r>
              <w:rPr>
                <w:rFonts w:hint="eastAsia"/>
                <w:sz w:val="21"/>
                <w:szCs w:val="21"/>
              </w:rPr>
              <w:t>适用范围</w:t>
            </w:r>
          </w:p>
        </w:tc>
        <w:tc>
          <w:tcPr>
            <w:tcW w:w="6663" w:type="dxa"/>
            <w:vAlign w:val="center"/>
          </w:tcPr>
          <w:p>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浙江经济职业技术学院智慧党建系统</w:t>
            </w:r>
            <w:r>
              <w:rPr>
                <w:rFonts w:hint="eastAsia"/>
                <w:sz w:val="21"/>
                <w:szCs w:val="21"/>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（二）</w:t>
            </w:r>
          </w:p>
        </w:tc>
        <w:tc>
          <w:tcPr>
            <w:tcW w:w="1701" w:type="dxa"/>
            <w:vAlign w:val="center"/>
          </w:tcPr>
          <w:p>
            <w:pPr>
              <w:adjustRightInd w:val="0"/>
              <w:snapToGrid w:val="0"/>
              <w:spacing w:line="288" w:lineRule="auto"/>
              <w:jc w:val="center"/>
              <w:rPr>
                <w:sz w:val="21"/>
                <w:szCs w:val="21"/>
              </w:rPr>
            </w:pPr>
            <w:r>
              <w:rPr>
                <w:rFonts w:hint="eastAsia"/>
                <w:sz w:val="21"/>
                <w:szCs w:val="21"/>
              </w:rPr>
              <w:t>采购方式</w:t>
            </w:r>
          </w:p>
        </w:tc>
        <w:tc>
          <w:tcPr>
            <w:tcW w:w="6663" w:type="dxa"/>
            <w:vAlign w:val="center"/>
          </w:tcPr>
          <w:p>
            <w:pPr>
              <w:adjustRightInd w:val="0"/>
              <w:snapToGrid w:val="0"/>
              <w:spacing w:line="288" w:lineRule="auto"/>
              <w:rPr>
                <w:sz w:val="21"/>
                <w:szCs w:val="21"/>
              </w:rPr>
            </w:pPr>
            <w:r>
              <w:rPr>
                <w:rFonts w:hint="eastAsia"/>
                <w:sz w:val="21"/>
                <w:szCs w:val="21"/>
              </w:rPr>
              <w:t>本次采购采用竞争性磋商（线上电子交易）方式进行。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（三）</w:t>
            </w:r>
          </w:p>
        </w:tc>
        <w:tc>
          <w:tcPr>
            <w:tcW w:w="1701" w:type="dxa"/>
            <w:vAlign w:val="center"/>
          </w:tcPr>
          <w:p>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pPr>
              <w:adjustRightInd w:val="0"/>
              <w:snapToGrid w:val="0"/>
              <w:spacing w:line="288" w:lineRule="auto"/>
              <w:rPr>
                <w:rFonts w:cstheme="minorBidi"/>
                <w:sz w:val="21"/>
                <w:szCs w:val="21"/>
                <w:highlight w:val="none"/>
              </w:rPr>
            </w:pPr>
            <w:r>
              <w:rPr>
                <w:rFonts w:hint="eastAsia" w:cstheme="minorBidi"/>
                <w:sz w:val="21"/>
                <w:szCs w:val="21"/>
                <w:highlight w:val="none"/>
              </w:rPr>
              <w:t>▲1</w:t>
            </w:r>
            <w:r>
              <w:rPr>
                <w:rFonts w:cstheme="minorBidi"/>
                <w:sz w:val="21"/>
                <w:szCs w:val="21"/>
                <w:highlight w:val="none"/>
              </w:rPr>
              <w:t>.供应商代表是法定代表人</w:t>
            </w:r>
            <w:r>
              <w:rPr>
                <w:rFonts w:hint="eastAsia" w:cstheme="minorBidi"/>
                <w:sz w:val="21"/>
                <w:szCs w:val="21"/>
                <w:highlight w:val="none"/>
              </w:rPr>
              <w:t>（单位负责人、自然人本人）的，须提供本人身份证明。</w:t>
            </w:r>
          </w:p>
          <w:p>
            <w:pPr>
              <w:adjustRightInd w:val="0"/>
              <w:snapToGrid w:val="0"/>
              <w:spacing w:line="288" w:lineRule="auto"/>
              <w:rPr>
                <w:rFonts w:cstheme="minorBidi"/>
                <w:sz w:val="21"/>
                <w:szCs w:val="21"/>
                <w:highlight w:val="none"/>
              </w:rPr>
            </w:pPr>
            <w:r>
              <w:rPr>
                <w:rFonts w:hint="eastAsia" w:cstheme="minorBidi"/>
                <w:sz w:val="21"/>
                <w:szCs w:val="21"/>
                <w:highlight w:val="none"/>
              </w:rPr>
              <w:t>▲</w:t>
            </w:r>
            <w:r>
              <w:rPr>
                <w:rFonts w:cstheme="minorBidi"/>
                <w:sz w:val="21"/>
                <w:szCs w:val="21"/>
                <w:highlight w:val="none"/>
              </w:rPr>
              <w:t>2</w:t>
            </w:r>
            <w:r>
              <w:rPr>
                <w:rFonts w:hint="eastAsia" w:cstheme="minorBidi"/>
                <w:sz w:val="21"/>
                <w:szCs w:val="21"/>
                <w:highlight w:val="none"/>
              </w:rPr>
              <w:t>.</w:t>
            </w:r>
            <w:r>
              <w:rPr>
                <w:rFonts w:cstheme="minorBidi"/>
                <w:sz w:val="21"/>
                <w:szCs w:val="21"/>
                <w:highlight w:val="none"/>
              </w:rPr>
              <w:t>供应商代表不是法定代表人</w:t>
            </w:r>
            <w:r>
              <w:rPr>
                <w:rFonts w:hint="eastAsia" w:cstheme="minorBidi"/>
                <w:sz w:val="21"/>
                <w:szCs w:val="21"/>
                <w:highlight w:val="none"/>
              </w:rPr>
              <w:t>（单位负责人、自然人本人）的</w:t>
            </w:r>
            <w:r>
              <w:rPr>
                <w:rFonts w:cstheme="minorBidi"/>
                <w:sz w:val="21"/>
                <w:szCs w:val="21"/>
                <w:highlight w:val="none"/>
              </w:rPr>
              <w:t>，须提供</w:t>
            </w:r>
            <w:r>
              <w:rPr>
                <w:rFonts w:cstheme="minorBidi"/>
                <w:bCs/>
                <w:sz w:val="21"/>
                <w:szCs w:val="21"/>
                <w:highlight w:val="none"/>
              </w:rPr>
              <w:t>授权</w:t>
            </w:r>
            <w:r>
              <w:rPr>
                <w:rFonts w:hint="eastAsia" w:cstheme="minorBidi"/>
                <w:bCs/>
                <w:sz w:val="21"/>
                <w:szCs w:val="21"/>
                <w:highlight w:val="none"/>
              </w:rPr>
              <w:t>委托</w:t>
            </w:r>
            <w:r>
              <w:rPr>
                <w:rFonts w:cstheme="minorBidi"/>
                <w:bCs/>
                <w:sz w:val="21"/>
                <w:szCs w:val="21"/>
                <w:highlight w:val="none"/>
              </w:rPr>
              <w:t>书</w:t>
            </w:r>
            <w:r>
              <w:rPr>
                <w:rFonts w:hint="eastAsia" w:cstheme="minorBidi"/>
                <w:sz w:val="21"/>
                <w:szCs w:val="21"/>
                <w:highlight w:val="none"/>
              </w:rPr>
              <w:t>（格式详见磋商文件第六章）和授权代表社保缴纳证明（</w:t>
            </w:r>
            <w:r>
              <w:rPr>
                <w:rFonts w:hint="eastAsia" w:cstheme="minorBidi"/>
                <w:sz w:val="21"/>
                <w:szCs w:val="21"/>
                <w:highlight w:val="none"/>
                <w:lang w:eastAsia="zh-CN"/>
              </w:rPr>
              <w:t>2024年01月</w:t>
            </w:r>
            <w:r>
              <w:rPr>
                <w:rFonts w:cstheme="minorBidi"/>
                <w:sz w:val="21"/>
                <w:szCs w:val="21"/>
                <w:highlight w:val="none"/>
              </w:rPr>
              <w:t>（含）以后任意一月）；</w:t>
            </w:r>
          </w:p>
          <w:p>
            <w:pPr>
              <w:adjustRightInd w:val="0"/>
              <w:snapToGrid w:val="0"/>
              <w:spacing w:line="288" w:lineRule="auto"/>
              <w:rPr>
                <w:sz w:val="21"/>
                <w:szCs w:val="21"/>
                <w:highlight w:val="none"/>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（四）</w:t>
            </w:r>
          </w:p>
        </w:tc>
        <w:tc>
          <w:tcPr>
            <w:tcW w:w="1701" w:type="dxa"/>
            <w:vAlign w:val="center"/>
          </w:tcPr>
          <w:p>
            <w:pPr>
              <w:adjustRightInd w:val="0"/>
              <w:snapToGrid w:val="0"/>
              <w:spacing w:line="288" w:lineRule="auto"/>
              <w:jc w:val="center"/>
              <w:rPr>
                <w:sz w:val="21"/>
                <w:szCs w:val="21"/>
              </w:rPr>
            </w:pPr>
            <w:r>
              <w:rPr>
                <w:rFonts w:hint="eastAsia"/>
                <w:sz w:val="21"/>
                <w:szCs w:val="21"/>
              </w:rPr>
              <w:t>磋商费用</w:t>
            </w:r>
          </w:p>
        </w:tc>
        <w:tc>
          <w:tcPr>
            <w:tcW w:w="6663"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rPr>
                <w:rFonts w:hint="eastAsia" w:ascii="宋体" w:hAnsi="宋体" w:eastAsia="宋体" w:cs="宋体"/>
                <w:sz w:val="21"/>
                <w:szCs w:val="21"/>
                <w:highlight w:val="none"/>
              </w:rPr>
            </w:pPr>
            <w:bookmarkStart w:id="34" w:name="_Hlk71808378"/>
            <w:r>
              <w:rPr>
                <w:rFonts w:hint="eastAsia" w:ascii="宋体" w:hAnsi="宋体" w:eastAsia="宋体" w:cs="宋体"/>
                <w:sz w:val="21"/>
                <w:szCs w:val="21"/>
                <w:highlight w:val="none"/>
              </w:rPr>
              <w:t>4.代理服务费收费标准：</w:t>
            </w:r>
            <w:bookmarkEnd w:id="34"/>
          </w:p>
          <w:tbl>
            <w:tblPr>
              <w:tblStyle w:val="1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成交</w:t>
                  </w:r>
                  <w:r>
                    <w:rPr>
                      <w:rFonts w:hint="eastAsia" w:ascii="宋体" w:hAnsi="宋体" w:eastAsia="宋体" w:cs="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r>
          </w:tbl>
          <w:p>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不足叁仟元的按叁仟元收取。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（五）</w:t>
            </w:r>
          </w:p>
        </w:tc>
        <w:tc>
          <w:tcPr>
            <w:tcW w:w="1701" w:type="dxa"/>
            <w:vAlign w:val="center"/>
          </w:tcPr>
          <w:p>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（六）</w:t>
            </w:r>
          </w:p>
        </w:tc>
        <w:tc>
          <w:tcPr>
            <w:tcW w:w="1701" w:type="dxa"/>
            <w:vAlign w:val="center"/>
          </w:tcPr>
          <w:p>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pPr>
              <w:adjustRightInd w:val="0"/>
              <w:snapToGrid w:val="0"/>
              <w:spacing w:line="288" w:lineRule="auto"/>
              <w:rPr>
                <w:sz w:val="21"/>
                <w:szCs w:val="21"/>
              </w:rPr>
            </w:pPr>
            <w:r>
              <w:rPr>
                <w:rFonts w:hint="eastAsia"/>
                <w:sz w:val="21"/>
                <w:szCs w:val="21"/>
              </w:rPr>
              <w:t>本项目（是）接受联合体响应。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（七）</w:t>
            </w:r>
          </w:p>
        </w:tc>
        <w:tc>
          <w:tcPr>
            <w:tcW w:w="1701" w:type="dxa"/>
            <w:vAlign w:val="center"/>
          </w:tcPr>
          <w:p>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pPr>
              <w:adjustRightInd w:val="0"/>
              <w:snapToGrid w:val="0"/>
              <w:spacing w:line="288" w:lineRule="auto"/>
              <w:rPr>
                <w:color w:val="auto"/>
                <w:sz w:val="21"/>
                <w:szCs w:val="21"/>
              </w:rPr>
            </w:pPr>
            <w:r>
              <w:rPr>
                <w:rFonts w:hint="eastAsia"/>
                <w:color w:val="auto"/>
                <w:sz w:val="21"/>
                <w:szCs w:val="21"/>
              </w:rPr>
              <w:t>1.本项目不允许转包；</w:t>
            </w:r>
          </w:p>
          <w:p>
            <w:pPr>
              <w:adjustRightInd w:val="0"/>
              <w:snapToGrid w:val="0"/>
              <w:spacing w:line="288" w:lineRule="auto"/>
              <w:rPr>
                <w:color w:val="auto"/>
                <w:sz w:val="21"/>
                <w:szCs w:val="21"/>
              </w:rPr>
            </w:pPr>
            <w:r>
              <w:rPr>
                <w:color w:val="auto"/>
                <w:sz w:val="21"/>
                <w:szCs w:val="21"/>
              </w:rPr>
              <w:t>2.本项目</w:t>
            </w:r>
            <w:r>
              <w:rPr>
                <w:b/>
                <w:bCs/>
                <w:color w:val="auto"/>
                <w:sz w:val="21"/>
                <w:szCs w:val="21"/>
                <w:u w:val="single"/>
              </w:rPr>
              <w:t>不允许</w:t>
            </w:r>
            <w:r>
              <w:rPr>
                <w:color w:val="auto"/>
                <w:sz w:val="21"/>
                <w:szCs w:val="21"/>
              </w:rPr>
              <w:t>分包，不适宜分包的理由是：</w:t>
            </w:r>
            <w:r>
              <w:rPr>
                <w:color w:val="auto"/>
                <w:sz w:val="21"/>
                <w:szCs w:val="21"/>
                <w:u w:val="single"/>
              </w:rPr>
              <w:t xml:space="preserve"> </w:t>
            </w:r>
            <w:r>
              <w:rPr>
                <w:rFonts w:hint="eastAsia"/>
                <w:color w:val="auto"/>
                <w:sz w:val="21"/>
                <w:szCs w:val="21"/>
                <w:u w:val="single"/>
                <w:lang w:val="en-US" w:eastAsia="zh-CN"/>
              </w:rPr>
              <w:t>本项目为整体系统平台建设，为保证系统运行稳定性及兼容性，不宜分包</w:t>
            </w:r>
            <w:r>
              <w:rPr>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（八）</w:t>
            </w:r>
          </w:p>
        </w:tc>
        <w:tc>
          <w:tcPr>
            <w:tcW w:w="1701" w:type="dxa"/>
            <w:vAlign w:val="center"/>
          </w:tcPr>
          <w:p>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pPr>
              <w:adjustRightInd w:val="0"/>
              <w:snapToGrid w:val="0"/>
              <w:spacing w:line="288" w:lineRule="auto"/>
              <w:rPr>
                <w:bCs/>
                <w:color w:val="auto"/>
                <w:sz w:val="21"/>
                <w:szCs w:val="21"/>
              </w:rPr>
            </w:pPr>
            <w:bookmarkStart w:id="35" w:name="_Hlk71808489"/>
            <w:r>
              <w:rPr>
                <w:rFonts w:hint="eastAsia"/>
                <w:bCs/>
                <w:color w:val="auto"/>
                <w:sz w:val="21"/>
                <w:szCs w:val="21"/>
              </w:rPr>
              <w:t>根据财库[2016]125号《关于在政府采购活动中查询及使用信用记录有关问题的通知》要求，采购代理机构会对供应商信用记录进行查询并甄别。信用</w:t>
            </w:r>
            <w:r>
              <w:rPr>
                <w:rFonts w:hint="eastAsia"/>
                <w:color w:val="auto"/>
                <w:sz w:val="21"/>
                <w:szCs w:val="21"/>
              </w:rPr>
              <w:t>信息查询的截止时点：响应截止时间；</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）查询渠道：“信用中国”（www.creditchina.gov.cn）、“中国政府采购网”（www.ccgp.gov.cn）；</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2</w:t>
            </w:r>
            <w:r>
              <w:rPr>
                <w:rFonts w:hint="eastAsia"/>
                <w:color w:val="auto"/>
                <w:sz w:val="21"/>
                <w:szCs w:val="21"/>
              </w:rPr>
              <w:t>）信用信息查询记录和证据留存具体方式：采购代理机构经办人和监督人员将查询网页打印、签名与其他采购文件一并保存；</w:t>
            </w:r>
          </w:p>
          <w:p>
            <w:pPr>
              <w:adjustRightInd w:val="0"/>
              <w:snapToGrid w:val="0"/>
              <w:spacing w:line="288" w:lineRule="auto"/>
              <w:rPr>
                <w:color w:val="auto"/>
                <w:sz w:val="21"/>
                <w:szCs w:val="21"/>
              </w:rPr>
            </w:pPr>
            <w:r>
              <w:rPr>
                <w:rFonts w:hint="eastAsia"/>
                <w:color w:val="auto"/>
                <w:sz w:val="21"/>
                <w:szCs w:val="21"/>
              </w:rPr>
              <w:t>（</w:t>
            </w:r>
            <w:r>
              <w:rPr>
                <w:color w:val="auto"/>
                <w:sz w:val="21"/>
                <w:szCs w:val="21"/>
              </w:rPr>
              <w:t>3</w:t>
            </w:r>
            <w:r>
              <w:rPr>
                <w:rFonts w:hint="eastAsia"/>
                <w:bCs/>
                <w:color w:val="auto"/>
                <w:sz w:val="21"/>
                <w:szCs w:val="21"/>
              </w:rPr>
              <w:t>）信用信息的使用规则：供应商被列入失信被执行人、重大税收违法案件当事人名单、政府采购严重违法失信行为记录名单的，拒绝其参与政府采购活动。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（九）</w:t>
            </w:r>
          </w:p>
        </w:tc>
        <w:tc>
          <w:tcPr>
            <w:tcW w:w="1701" w:type="dxa"/>
            <w:vAlign w:val="center"/>
          </w:tcPr>
          <w:p>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pPr>
              <w:adjustRightInd w:val="0"/>
              <w:snapToGrid w:val="0"/>
              <w:spacing w:line="288" w:lineRule="auto"/>
              <w:rPr>
                <w:b/>
                <w:bCs/>
                <w:sz w:val="21"/>
                <w:szCs w:val="21"/>
                <w:highlight w:val="none"/>
              </w:rPr>
            </w:pPr>
            <w:r>
              <w:rPr>
                <w:rFonts w:hint="eastAsia"/>
                <w:b/>
                <w:bCs/>
                <w:sz w:val="21"/>
                <w:szCs w:val="21"/>
                <w:highlight w:val="none"/>
              </w:rPr>
              <w:t>资格审查要求的资格证明材料（均需加盖公章）：</w:t>
            </w:r>
          </w:p>
          <w:p>
            <w:pPr>
              <w:adjustRightInd w:val="0"/>
              <w:snapToGrid w:val="0"/>
              <w:spacing w:line="288" w:lineRule="auto"/>
              <w:rPr>
                <w:sz w:val="21"/>
                <w:szCs w:val="21"/>
                <w:highlight w:val="none"/>
              </w:rPr>
            </w:pPr>
            <w:r>
              <w:rPr>
                <w:rFonts w:hint="eastAsia"/>
                <w:sz w:val="21"/>
                <w:szCs w:val="21"/>
                <w:highlight w:val="none"/>
              </w:rPr>
              <w:t>（1）有效的法人或者其他组织的营业执照等证明文件，自然人的身份证明</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2）</w:t>
            </w:r>
            <w:r>
              <w:rPr>
                <w:rFonts w:hint="eastAsia" w:cs="Times New Roman"/>
                <w:sz w:val="21"/>
                <w:szCs w:val="21"/>
                <w:highlight w:val="none"/>
              </w:rPr>
              <w:t>符合参加政府采购活动应当具备的一般条件的承诺函</w:t>
            </w:r>
          </w:p>
          <w:p>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1）中小企业声明函（若属于中小企业）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2）属于监狱企业的证明文件（若属于监狱企业）</w:t>
            </w:r>
          </w:p>
          <w:p>
            <w:pPr>
              <w:adjustRightInd w:val="0"/>
              <w:snapToGrid w:val="0"/>
              <w:spacing w:line="288" w:lineRule="auto"/>
              <w:rPr>
                <w:rFonts w:hint="eastAsia" w:cs="Times New Roman"/>
                <w:sz w:val="21"/>
                <w:szCs w:val="21"/>
                <w:highlight w:val="none"/>
              </w:rPr>
            </w:pPr>
            <w:r>
              <w:rPr>
                <w:rFonts w:hint="eastAsia" w:cs="Times New Roman"/>
                <w:sz w:val="21"/>
                <w:szCs w:val="21"/>
                <w:highlight w:val="none"/>
              </w:rPr>
              <w:t>3）残疾人福利性单位声明函（若属于残疾人福利性单位）</w:t>
            </w:r>
          </w:p>
          <w:p>
            <w:pPr>
              <w:adjustRightInd w:val="0"/>
              <w:snapToGrid w:val="0"/>
              <w:spacing w:line="288" w:lineRule="auto"/>
              <w:rPr>
                <w:rFonts w:cs="Times New Roman"/>
                <w:sz w:val="21"/>
                <w:szCs w:val="21"/>
                <w:highlight w:val="none"/>
              </w:rPr>
            </w:pPr>
            <w:r>
              <w:rPr>
                <w:rFonts w:hint="eastAsia" w:cs="Times New Roman"/>
                <w:sz w:val="21"/>
                <w:szCs w:val="21"/>
                <w:highlight w:val="none"/>
              </w:rPr>
              <w:t>4）联合协议、分包意向协议（如有）</w:t>
            </w:r>
          </w:p>
          <w:p>
            <w:pPr>
              <w:adjustRightInd w:val="0"/>
              <w:snapToGrid w:val="0"/>
              <w:spacing w:line="288" w:lineRule="auto"/>
              <w:rPr>
                <w:b/>
                <w:bCs/>
                <w:sz w:val="21"/>
                <w:szCs w:val="21"/>
                <w:highlight w:val="none"/>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w:t>
            </w:r>
          </w:p>
        </w:tc>
        <w:tc>
          <w:tcPr>
            <w:tcW w:w="1701" w:type="dxa"/>
            <w:vAlign w:val="center"/>
          </w:tcPr>
          <w:p>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特别说明：双休日和法定节假日不收件，供应商自行承担邮寄风险。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（十一）</w:t>
            </w:r>
          </w:p>
        </w:tc>
        <w:tc>
          <w:tcPr>
            <w:tcW w:w="1701" w:type="dxa"/>
            <w:vAlign w:val="center"/>
          </w:tcPr>
          <w:p>
            <w:pPr>
              <w:adjustRightInd w:val="0"/>
              <w:snapToGrid w:val="0"/>
              <w:spacing w:line="288" w:lineRule="auto"/>
              <w:jc w:val="center"/>
              <w:rPr>
                <w:sz w:val="21"/>
                <w:szCs w:val="21"/>
                <w:highlight w:val="none"/>
              </w:rPr>
            </w:pPr>
            <w:r>
              <w:rPr>
                <w:rFonts w:hint="eastAsia"/>
                <w:b/>
                <w:bCs/>
                <w:sz w:val="21"/>
                <w:szCs w:val="21"/>
                <w:highlight w:val="none"/>
              </w:rPr>
              <w:t>磋商报价</w:t>
            </w:r>
          </w:p>
        </w:tc>
        <w:tc>
          <w:tcPr>
            <w:tcW w:w="6663" w:type="dxa"/>
            <w:vAlign w:val="center"/>
          </w:tcPr>
          <w:p>
            <w:pPr>
              <w:adjustRightInd w:val="0"/>
              <w:snapToGrid w:val="0"/>
              <w:spacing w:line="288" w:lineRule="auto"/>
              <w:rPr>
                <w:sz w:val="21"/>
                <w:szCs w:val="21"/>
                <w:highlight w:val="none"/>
              </w:rPr>
            </w:pPr>
            <w:r>
              <w:rPr>
                <w:rFonts w:hint="eastAsia"/>
                <w:sz w:val="21"/>
                <w:szCs w:val="21"/>
                <w:highlight w:val="none"/>
              </w:rPr>
              <w:t>1</w:t>
            </w:r>
            <w:r>
              <w:rPr>
                <w:sz w:val="21"/>
                <w:szCs w:val="21"/>
                <w:highlight w:val="none"/>
              </w:rPr>
              <w:t>.</w:t>
            </w:r>
            <w:r>
              <w:rPr>
                <w:rFonts w:hint="eastAsia"/>
                <w:sz w:val="21"/>
                <w:szCs w:val="21"/>
                <w:highlight w:val="none"/>
              </w:rPr>
              <w:t>报价应按磋商文件要求的格式编制、填写报价内容（可自行增行），未按磋商文件要求编制、填写的响应文件可能被拒绝；</w:t>
            </w:r>
          </w:p>
          <w:p>
            <w:pPr>
              <w:adjustRightInd w:val="0"/>
              <w:snapToGrid w:val="0"/>
              <w:spacing w:line="288" w:lineRule="auto"/>
              <w:rPr>
                <w:sz w:val="21"/>
                <w:szCs w:val="21"/>
                <w:highlight w:val="none"/>
              </w:rPr>
            </w:pPr>
            <w:r>
              <w:rPr>
                <w:sz w:val="21"/>
                <w:szCs w:val="21"/>
                <w:highlight w:val="none"/>
              </w:rPr>
              <w:t>2</w:t>
            </w:r>
            <w:r>
              <w:rPr>
                <w:rFonts w:hint="eastAsia"/>
                <w:sz w:val="21"/>
                <w:szCs w:val="21"/>
                <w:highlight w:val="none"/>
              </w:rPr>
              <w:t>.本次磋商采用人民币报价；</w:t>
            </w:r>
          </w:p>
          <w:p>
            <w:pPr>
              <w:adjustRightInd w:val="0"/>
              <w:snapToGrid w:val="0"/>
              <w:spacing w:line="288" w:lineRule="auto"/>
              <w:rPr>
                <w:sz w:val="21"/>
                <w:szCs w:val="21"/>
                <w:highlight w:val="none"/>
              </w:rPr>
            </w:pPr>
            <w:r>
              <w:rPr>
                <w:sz w:val="21"/>
                <w:szCs w:val="21"/>
                <w:highlight w:val="none"/>
              </w:rPr>
              <w:t>3</w:t>
            </w:r>
            <w:r>
              <w:rPr>
                <w:rFonts w:hint="eastAsia"/>
                <w:sz w:val="21"/>
                <w:szCs w:val="21"/>
                <w:highlight w:val="none"/>
              </w:rPr>
              <w:t>.最后磋商报价是履行合同的最终价格，有关本项目实施所涉及的一切费用均计入报价。</w:t>
            </w:r>
          </w:p>
          <w:p>
            <w:pPr>
              <w:adjustRightInd w:val="0"/>
              <w:snapToGrid w:val="0"/>
              <w:spacing w:line="288" w:lineRule="auto"/>
              <w:rPr>
                <w:sz w:val="21"/>
                <w:szCs w:val="21"/>
                <w:highlight w:val="none"/>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（十二）</w:t>
            </w:r>
          </w:p>
        </w:tc>
        <w:tc>
          <w:tcPr>
            <w:tcW w:w="1701" w:type="dxa"/>
            <w:vAlign w:val="center"/>
          </w:tcPr>
          <w:p>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（十三）</w:t>
            </w:r>
          </w:p>
        </w:tc>
        <w:tc>
          <w:tcPr>
            <w:tcW w:w="1701" w:type="dxa"/>
            <w:vAlign w:val="center"/>
          </w:tcPr>
          <w:p>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pPr>
              <w:adjustRightInd w:val="0"/>
              <w:snapToGrid w:val="0"/>
              <w:spacing w:line="288" w:lineRule="auto"/>
              <w:rPr>
                <w:sz w:val="21"/>
                <w:szCs w:val="21"/>
              </w:rPr>
            </w:pPr>
            <w:r>
              <w:rPr>
                <w:rFonts w:hint="eastAsia"/>
                <w:sz w:val="21"/>
                <w:szCs w:val="21"/>
              </w:rPr>
              <w:t>评审结果公示媒体：浙江政府采购网（http://zfcg.czt.zj.gov.cn）。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pPr>
              <w:adjustRightInd w:val="0"/>
              <w:snapToGrid w:val="0"/>
              <w:spacing w:line="288" w:lineRule="auto"/>
              <w:jc w:val="center"/>
              <w:rPr>
                <w:sz w:val="21"/>
                <w:szCs w:val="21"/>
              </w:rPr>
            </w:pPr>
            <w:r>
              <w:rPr>
                <w:rFonts w:hint="eastAsia"/>
                <w:sz w:val="21"/>
                <w:szCs w:val="21"/>
              </w:rPr>
              <w:t>（十五）</w:t>
            </w:r>
          </w:p>
        </w:tc>
        <w:tc>
          <w:tcPr>
            <w:tcW w:w="1701" w:type="dxa"/>
            <w:vAlign w:val="center"/>
          </w:tcPr>
          <w:p>
            <w:pPr>
              <w:adjustRightInd w:val="0"/>
              <w:snapToGrid w:val="0"/>
              <w:spacing w:line="288" w:lineRule="auto"/>
              <w:jc w:val="center"/>
              <w:rPr>
                <w:sz w:val="21"/>
                <w:szCs w:val="21"/>
              </w:rPr>
            </w:pPr>
            <w:r>
              <w:rPr>
                <w:rFonts w:hint="eastAsia"/>
                <w:sz w:val="21"/>
                <w:szCs w:val="21"/>
              </w:rPr>
              <w:t>签订合同</w:t>
            </w:r>
          </w:p>
        </w:tc>
        <w:tc>
          <w:tcPr>
            <w:tcW w:w="6663" w:type="dxa"/>
            <w:vAlign w:val="center"/>
          </w:tcPr>
          <w:p>
            <w:pPr>
              <w:adjustRightInd w:val="0"/>
              <w:snapToGrid w:val="0"/>
              <w:spacing w:line="288" w:lineRule="auto"/>
              <w:rPr>
                <w:sz w:val="21"/>
                <w:szCs w:val="21"/>
              </w:rPr>
            </w:pPr>
            <w:r>
              <w:rPr>
                <w:rFonts w:hint="eastAsia"/>
                <w:sz w:val="21"/>
                <w:szCs w:val="21"/>
              </w:rPr>
              <w:t>成交通知书发出之日起30日内。</w:t>
            </w:r>
          </w:p>
        </w:tc>
      </w:tr>
    </w:tbl>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一、总则</w:t>
      </w:r>
    </w:p>
    <w:p>
      <w:pPr>
        <w:adjustRightInd w:val="0"/>
        <w:snapToGrid w:val="0"/>
        <w:spacing w:line="288" w:lineRule="auto"/>
        <w:ind w:firstLine="420" w:firstLineChars="200"/>
        <w:rPr>
          <w:sz w:val="21"/>
          <w:szCs w:val="21"/>
        </w:rPr>
      </w:pPr>
      <w:bookmarkStart w:id="36" w:name="_Hlk97039780"/>
      <w:r>
        <w:rPr>
          <w:rFonts w:hint="eastAsia"/>
          <w:sz w:val="21"/>
          <w:szCs w:val="21"/>
        </w:rPr>
        <w:t>供应商应仔细阅读磋商文件的所有内容，按照磋商文件的要求提交响应文件，并对所提供的全部资料的真实性承担法律责任。</w:t>
      </w:r>
    </w:p>
    <w:bookmarkEnd w:id="36"/>
    <w:p>
      <w:pPr>
        <w:adjustRightInd w:val="0"/>
        <w:snapToGrid w:val="0"/>
        <w:spacing w:line="288" w:lineRule="auto"/>
        <w:rPr>
          <w:b/>
          <w:bCs/>
          <w:sz w:val="21"/>
          <w:szCs w:val="21"/>
        </w:rPr>
      </w:pPr>
      <w:r>
        <w:rPr>
          <w:rFonts w:hint="eastAsia"/>
          <w:b/>
          <w:bCs/>
          <w:sz w:val="21"/>
          <w:szCs w:val="21"/>
        </w:rPr>
        <w:t>（一）适用范围</w:t>
      </w:r>
    </w:p>
    <w:p>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浙江经济职业技术学院智慧党建系统</w:t>
      </w:r>
      <w:r>
        <w:rPr>
          <w:rFonts w:hint="eastAsia"/>
          <w:sz w:val="21"/>
          <w:szCs w:val="21"/>
        </w:rPr>
        <w:t>的磋商、评审、成交、验收、合同履约、付款等（法律、法规另有规定的，从其规定）。</w:t>
      </w:r>
    </w:p>
    <w:p>
      <w:pPr>
        <w:adjustRightInd w:val="0"/>
        <w:snapToGrid w:val="0"/>
        <w:spacing w:line="288" w:lineRule="auto"/>
        <w:rPr>
          <w:b/>
          <w:bCs/>
          <w:sz w:val="21"/>
          <w:szCs w:val="21"/>
        </w:rPr>
      </w:pPr>
      <w:r>
        <w:rPr>
          <w:rFonts w:hint="eastAsia"/>
          <w:b/>
          <w:bCs/>
          <w:sz w:val="21"/>
          <w:szCs w:val="21"/>
        </w:rPr>
        <w:t>（二）定义</w:t>
      </w:r>
    </w:p>
    <w:p>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浙江经济职业技术学院</w:t>
      </w:r>
      <w:r>
        <w:rPr>
          <w:rFonts w:hint="eastAsia"/>
          <w:sz w:val="21"/>
          <w:szCs w:val="21"/>
        </w:rPr>
        <w:t>；</w:t>
      </w:r>
    </w:p>
    <w:p>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420" w:firstLineChars="200"/>
        <w:rPr>
          <w:rFonts w:cs="Times New Roman"/>
          <w:sz w:val="21"/>
          <w:szCs w:val="21"/>
        </w:rPr>
      </w:pPr>
      <w:bookmarkStart w:id="37"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7"/>
    <w:p>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pPr>
        <w:adjustRightInd w:val="0"/>
        <w:snapToGrid w:val="0"/>
        <w:spacing w:line="288" w:lineRule="auto"/>
        <w:rPr>
          <w:b/>
          <w:bCs/>
          <w:sz w:val="21"/>
          <w:szCs w:val="21"/>
        </w:rPr>
      </w:pPr>
      <w:r>
        <w:rPr>
          <w:rFonts w:hint="eastAsia"/>
          <w:b/>
          <w:bCs/>
          <w:sz w:val="21"/>
          <w:szCs w:val="21"/>
        </w:rPr>
        <w:t>（三）采购方式</w:t>
      </w:r>
    </w:p>
    <w:p>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pPr>
        <w:adjustRightInd w:val="0"/>
        <w:snapToGrid w:val="0"/>
        <w:spacing w:line="288" w:lineRule="auto"/>
        <w:rPr>
          <w:b/>
          <w:bCs/>
          <w:sz w:val="21"/>
          <w:szCs w:val="21"/>
        </w:rPr>
      </w:pPr>
      <w:r>
        <w:rPr>
          <w:rFonts w:hint="eastAsia"/>
          <w:b/>
          <w:bCs/>
          <w:sz w:val="21"/>
          <w:szCs w:val="21"/>
        </w:rPr>
        <w:t>（四）竞争性磋商委托</w:t>
      </w:r>
    </w:p>
    <w:p>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w:t>
      </w:r>
      <w:r>
        <w:rPr>
          <w:sz w:val="21"/>
          <w:szCs w:val="21"/>
          <w:highlight w:val="none"/>
        </w:rPr>
        <w:t>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b/>
          <w:bCs/>
          <w:sz w:val="21"/>
          <w:szCs w:val="21"/>
          <w:highlight w:val="none"/>
        </w:rPr>
      </w:pPr>
      <w:r>
        <w:rPr>
          <w:rFonts w:hint="eastAsia"/>
          <w:b/>
          <w:bCs/>
          <w:sz w:val="21"/>
          <w:szCs w:val="21"/>
          <w:highlight w:val="none"/>
        </w:rPr>
        <w:t>（五）磋商费用</w:t>
      </w:r>
    </w:p>
    <w:p>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w:t>
      </w:r>
    </w:p>
    <w:tbl>
      <w:tblPr>
        <w:tblStyle w:val="1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cs="宋体"/>
                <w:sz w:val="21"/>
                <w:szCs w:val="21"/>
                <w:highlight w:val="none"/>
                <w:lang w:val="en-US" w:eastAsia="zh-CN"/>
              </w:rPr>
              <w:t>成交</w:t>
            </w:r>
            <w:r>
              <w:rPr>
                <w:rFonts w:hint="eastAsia" w:ascii="宋体" w:hAnsi="宋体" w:eastAsia="宋体" w:cs="宋体"/>
                <w:sz w:val="21"/>
                <w:szCs w:val="21"/>
                <w:highlight w:val="none"/>
              </w:rPr>
              <w:t>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r>
    </w:tbl>
    <w:p>
      <w:pPr>
        <w:adjustRightInd w:val="0"/>
        <w:snapToGrid w:val="0"/>
        <w:spacing w:line="288" w:lineRule="auto"/>
        <w:ind w:firstLine="420" w:firstLineChars="200"/>
        <w:rPr>
          <w:sz w:val="21"/>
          <w:szCs w:val="21"/>
        </w:rPr>
      </w:pPr>
      <w:r>
        <w:rPr>
          <w:rFonts w:hint="eastAsia" w:ascii="宋体" w:hAnsi="宋体" w:eastAsia="宋体" w:cs="宋体"/>
          <w:sz w:val="21"/>
          <w:szCs w:val="21"/>
          <w:highlight w:val="none"/>
        </w:rPr>
        <w:t>不足叁仟元的按叁仟元收取。</w:t>
      </w:r>
    </w:p>
    <w:p>
      <w:pPr>
        <w:adjustRightInd w:val="0"/>
        <w:snapToGrid w:val="0"/>
        <w:spacing w:line="288" w:lineRule="auto"/>
        <w:ind w:firstLine="420" w:firstLineChars="200"/>
        <w:rPr>
          <w:sz w:val="21"/>
          <w:szCs w:val="21"/>
        </w:rPr>
      </w:pPr>
      <w:r>
        <w:rPr>
          <w:rFonts w:hint="eastAsia"/>
          <w:sz w:val="21"/>
          <w:szCs w:val="21"/>
        </w:rPr>
        <w:t>5.磋商保证金（元）：无</w:t>
      </w:r>
    </w:p>
    <w:p>
      <w:pPr>
        <w:adjustRightInd w:val="0"/>
        <w:snapToGrid w:val="0"/>
        <w:spacing w:line="288" w:lineRule="auto"/>
        <w:rPr>
          <w:b/>
          <w:bCs/>
          <w:sz w:val="21"/>
          <w:szCs w:val="21"/>
        </w:rPr>
      </w:pPr>
      <w:r>
        <w:rPr>
          <w:rFonts w:hint="eastAsia"/>
          <w:b/>
          <w:bCs/>
          <w:sz w:val="21"/>
          <w:szCs w:val="21"/>
        </w:rPr>
        <w:t>（六）联合体响应</w:t>
      </w:r>
    </w:p>
    <w:p>
      <w:pPr>
        <w:adjustRightInd w:val="0"/>
        <w:snapToGrid w:val="0"/>
        <w:spacing w:line="288" w:lineRule="auto"/>
        <w:ind w:firstLine="420" w:firstLineChars="200"/>
        <w:rPr>
          <w:sz w:val="21"/>
          <w:szCs w:val="21"/>
          <w:highlight w:val="none"/>
        </w:rPr>
      </w:pPr>
      <w:r>
        <w:rPr>
          <w:rFonts w:hint="eastAsia"/>
          <w:sz w:val="21"/>
          <w:szCs w:val="21"/>
        </w:rPr>
        <w:t>本项目（是</w:t>
      </w:r>
      <w:r>
        <w:rPr>
          <w:rFonts w:hint="eastAsia"/>
          <w:sz w:val="21"/>
          <w:szCs w:val="21"/>
          <w:highlight w:val="none"/>
        </w:rPr>
        <w:t>）接受联合体响应。</w:t>
      </w:r>
    </w:p>
    <w:p>
      <w:pPr>
        <w:spacing w:line="288" w:lineRule="auto"/>
        <w:ind w:firstLine="420" w:firstLineChars="200"/>
        <w:rPr>
          <w:rFonts w:cs="Times New Roman"/>
          <w:sz w:val="21"/>
          <w:szCs w:val="22"/>
          <w:highlight w:val="none"/>
        </w:rPr>
      </w:pPr>
      <w:bookmarkStart w:id="38" w:name="_Hlk104288918"/>
      <w:r>
        <w:rPr>
          <w:rFonts w:hint="eastAsia" w:cs="Times New Roman"/>
          <w:sz w:val="21"/>
          <w:szCs w:val="22"/>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8"/>
    </w:p>
    <w:p>
      <w:pPr>
        <w:adjustRightInd w:val="0"/>
        <w:snapToGrid w:val="0"/>
        <w:spacing w:line="288" w:lineRule="auto"/>
        <w:rPr>
          <w:b/>
          <w:bCs/>
          <w:sz w:val="21"/>
          <w:szCs w:val="21"/>
          <w:highlight w:val="none"/>
        </w:rPr>
      </w:pPr>
      <w:r>
        <w:rPr>
          <w:rFonts w:hint="eastAsia"/>
          <w:b/>
          <w:bCs/>
          <w:sz w:val="21"/>
          <w:szCs w:val="21"/>
          <w:highlight w:val="none"/>
        </w:rPr>
        <w:t>（七）转包与分包</w:t>
      </w:r>
    </w:p>
    <w:p>
      <w:pPr>
        <w:adjustRightInd w:val="0"/>
        <w:snapToGrid w:val="0"/>
        <w:spacing w:line="288" w:lineRule="auto"/>
        <w:ind w:firstLine="424" w:firstLineChars="202"/>
        <w:jc w:val="left"/>
        <w:rPr>
          <w:sz w:val="21"/>
          <w:szCs w:val="21"/>
          <w:highlight w:val="none"/>
        </w:rPr>
      </w:pPr>
      <w:r>
        <w:rPr>
          <w:rFonts w:hint="eastAsia"/>
          <w:sz w:val="21"/>
          <w:szCs w:val="21"/>
          <w:highlight w:val="none"/>
        </w:rPr>
        <w:t>1.本项目不允许转包；</w:t>
      </w:r>
    </w:p>
    <w:p>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u w:val="single"/>
          <w:lang w:val="en-US" w:eastAsia="zh-CN"/>
        </w:rPr>
        <w:t>本项目为整体系统平台建设，为保证系统运行稳定性及兼容性，不宜分包</w:t>
      </w:r>
      <w:r>
        <w:rPr>
          <w:color w:val="auto"/>
          <w:sz w:val="21"/>
          <w:szCs w:val="21"/>
          <w:highlight w:val="none"/>
          <w:u w:val="single"/>
        </w:rPr>
        <w:t xml:space="preserve"> 。</w:t>
      </w:r>
    </w:p>
    <w:p>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pPr>
        <w:adjustRightInd w:val="0"/>
        <w:snapToGrid w:val="0"/>
        <w:spacing w:line="288" w:lineRule="auto"/>
        <w:ind w:firstLine="396" w:firstLineChars="200"/>
        <w:jc w:val="left"/>
        <w:rPr>
          <w:rFonts w:cs="Times New Roman"/>
          <w:spacing w:val="-6"/>
          <w:sz w:val="21"/>
          <w:szCs w:val="21"/>
          <w:highlight w:val="none"/>
        </w:rPr>
      </w:pPr>
      <w:bookmarkStart w:id="39" w:name="_Hlk92273406"/>
      <w:bookmarkStart w:id="40"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w:t>
      </w:r>
      <w:r>
        <w:rPr>
          <w:rFonts w:hint="eastAsia" w:cs="Times New Roman"/>
          <w:spacing w:val="-6"/>
          <w:sz w:val="21"/>
          <w:szCs w:val="21"/>
          <w:highlight w:val="none"/>
        </w:rPr>
        <w:t>人、采购代理机构未在规定时间内作出答复的，可以在答复期满后</w:t>
      </w:r>
      <w:r>
        <w:rPr>
          <w:rFonts w:cs="Times New Roman"/>
          <w:spacing w:val="-6"/>
          <w:sz w:val="21"/>
          <w:szCs w:val="21"/>
          <w:highlight w:val="none"/>
        </w:rPr>
        <w:t>15个工作日内向</w:t>
      </w:r>
      <w:r>
        <w:rPr>
          <w:rFonts w:hint="eastAsia" w:cs="Times New Roman"/>
          <w:spacing w:val="-6"/>
          <w:sz w:val="21"/>
          <w:szCs w:val="21"/>
          <w:highlight w:val="none"/>
        </w:rPr>
        <w:t>本级财政部门</w:t>
      </w:r>
      <w:r>
        <w:rPr>
          <w:rFonts w:cs="Times New Roman"/>
          <w:spacing w:val="-6"/>
          <w:sz w:val="21"/>
          <w:szCs w:val="21"/>
          <w:highlight w:val="none"/>
        </w:rPr>
        <w:t>提起投诉。</w:t>
      </w:r>
      <w:bookmarkEnd w:id="39"/>
    </w:p>
    <w:p>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pPr>
        <w:adjustRightInd w:val="0"/>
        <w:snapToGrid w:val="0"/>
        <w:spacing w:line="288" w:lineRule="auto"/>
        <w:ind w:firstLine="420" w:firstLineChars="200"/>
        <w:rPr>
          <w:sz w:val="21"/>
          <w:szCs w:val="21"/>
        </w:rPr>
      </w:pPr>
      <w:r>
        <w:rPr>
          <w:rFonts w:hint="eastAsia"/>
          <w:sz w:val="21"/>
          <w:szCs w:val="21"/>
        </w:rPr>
        <w:t>（2）质疑项目的名称、编号；</w:t>
      </w:r>
    </w:p>
    <w:p>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pPr>
        <w:adjustRightInd w:val="0"/>
        <w:snapToGrid w:val="0"/>
        <w:spacing w:line="288" w:lineRule="auto"/>
        <w:ind w:firstLine="420" w:firstLineChars="200"/>
        <w:rPr>
          <w:sz w:val="21"/>
          <w:szCs w:val="21"/>
        </w:rPr>
      </w:pPr>
      <w:r>
        <w:rPr>
          <w:rFonts w:hint="eastAsia"/>
          <w:sz w:val="21"/>
          <w:szCs w:val="21"/>
        </w:rPr>
        <w:t>（4）事实依据；</w:t>
      </w:r>
    </w:p>
    <w:p>
      <w:pPr>
        <w:adjustRightInd w:val="0"/>
        <w:snapToGrid w:val="0"/>
        <w:spacing w:line="288" w:lineRule="auto"/>
        <w:ind w:firstLine="420" w:firstLineChars="200"/>
        <w:rPr>
          <w:sz w:val="21"/>
          <w:szCs w:val="21"/>
        </w:rPr>
      </w:pPr>
      <w:r>
        <w:rPr>
          <w:rFonts w:hint="eastAsia"/>
          <w:sz w:val="21"/>
          <w:szCs w:val="21"/>
        </w:rPr>
        <w:t>（5）必要的法律依据；</w:t>
      </w:r>
    </w:p>
    <w:p>
      <w:pPr>
        <w:adjustRightInd w:val="0"/>
        <w:snapToGrid w:val="0"/>
        <w:spacing w:line="288" w:lineRule="auto"/>
        <w:ind w:firstLine="420" w:firstLineChars="200"/>
        <w:rPr>
          <w:sz w:val="21"/>
          <w:szCs w:val="21"/>
        </w:rPr>
      </w:pPr>
      <w:r>
        <w:rPr>
          <w:rFonts w:hint="eastAsia"/>
          <w:sz w:val="21"/>
          <w:szCs w:val="21"/>
        </w:rPr>
        <w:t>（6）提出质疑的日期。</w:t>
      </w:r>
    </w:p>
    <w:p>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pPr>
        <w:adjustRightInd w:val="0"/>
        <w:snapToGrid w:val="0"/>
        <w:spacing w:line="288" w:lineRule="auto"/>
        <w:ind w:firstLine="420" w:firstLineChars="200"/>
        <w:rPr>
          <w:sz w:val="21"/>
          <w:szCs w:val="21"/>
        </w:rPr>
      </w:pPr>
      <w:r>
        <w:rPr>
          <w:rFonts w:hint="eastAsia"/>
          <w:sz w:val="21"/>
          <w:szCs w:val="21"/>
        </w:rPr>
        <w:t>（1）捏造事实；</w:t>
      </w:r>
    </w:p>
    <w:p>
      <w:pPr>
        <w:adjustRightInd w:val="0"/>
        <w:snapToGrid w:val="0"/>
        <w:spacing w:line="288" w:lineRule="auto"/>
        <w:ind w:firstLine="420" w:firstLineChars="200"/>
        <w:rPr>
          <w:sz w:val="21"/>
          <w:szCs w:val="21"/>
        </w:rPr>
      </w:pPr>
      <w:r>
        <w:rPr>
          <w:rFonts w:hint="eastAsia"/>
          <w:sz w:val="21"/>
          <w:szCs w:val="21"/>
        </w:rPr>
        <w:t>（2）提供虚假材料；</w:t>
      </w:r>
    </w:p>
    <w:p>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0"/>
    <w:p>
      <w:pPr>
        <w:adjustRightInd w:val="0"/>
        <w:snapToGrid w:val="0"/>
        <w:spacing w:line="288" w:lineRule="auto"/>
        <w:outlineLvl w:val="9"/>
        <w:rPr>
          <w:b/>
          <w:spacing w:val="-6"/>
          <w:kern w:val="0"/>
          <w:sz w:val="21"/>
          <w:szCs w:val="21"/>
        </w:rPr>
      </w:pPr>
      <w:bookmarkStart w:id="41"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spacing w:val="-6"/>
          <w:sz w:val="21"/>
          <w:szCs w:val="21"/>
          <w:lang w:eastAsia="zh-CN"/>
        </w:rPr>
        <w:t>采购代理机构</w:t>
      </w:r>
      <w:r>
        <w:rPr>
          <w:rFonts w:cs="Times New Roman"/>
          <w:spacing w:val="-6"/>
          <w:sz w:val="21"/>
          <w:szCs w:val="21"/>
        </w:rPr>
        <w:t>不会对其加以限制，仍将按照公平竞争原则实施采购）。</w:t>
      </w:r>
    </w:p>
    <w:p>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rPr>
        <w:t>为助力打好污染防治攻坚战，推广使用绿色包装，政府采购货物、工程和服务项目中涉及商品包装和快递包装的</w:t>
      </w:r>
      <w:r>
        <w:rPr>
          <w:rFonts w:cs="Times New Roman"/>
          <w:spacing w:val="-6"/>
          <w:sz w:val="21"/>
          <w:szCs w:val="21"/>
          <w:highlight w:val="none"/>
        </w:rPr>
        <w:t>，供应商提供产品及相关快递服务的具体包装要求要参考《商品包装政府采购需求标准（试行）》、《快递包装政府采购需求标准（试行）》。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2" w:name="_Hlk106875293"/>
    </w:p>
    <w:bookmarkEnd w:id="42"/>
    <w:p>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w:t>
      </w:r>
      <w:r>
        <w:rPr>
          <w:rFonts w:cs="Times New Roman"/>
          <w:spacing w:val="-6"/>
          <w:sz w:val="21"/>
          <w:szCs w:val="21"/>
        </w:rPr>
        <w:t>人，或者与大企业存在直接控股、管理关系的除外。</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以联合体形式参加政府</w:t>
      </w:r>
      <w:r>
        <w:rPr>
          <w:rFonts w:hint="eastAsia" w:cs="Times New Roman"/>
          <w:spacing w:val="-6"/>
          <w:sz w:val="21"/>
          <w:szCs w:val="21"/>
          <w:highlight w:val="none"/>
        </w:rPr>
        <w:t>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w:t>
      </w:r>
      <w:r>
        <w:rPr>
          <w:rFonts w:hint="eastAsia" w:cs="Times New Roman"/>
          <w:spacing w:val="-6"/>
          <w:sz w:val="21"/>
          <w:szCs w:val="21"/>
          <w:highlight w:val="none"/>
          <w:lang w:val="en-US" w:eastAsia="zh-CN"/>
        </w:rPr>
        <w:t>10%-</w:t>
      </w:r>
      <w:r>
        <w:rPr>
          <w:rFonts w:cs="Times New Roman"/>
          <w:spacing w:val="-6"/>
          <w:sz w:val="21"/>
          <w:szCs w:val="21"/>
          <w:highlight w:val="none"/>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highlight w:val="none"/>
          <w:lang w:val="en-US" w:eastAsia="zh-CN"/>
        </w:rPr>
        <w:t>4%-</w:t>
      </w:r>
      <w:r>
        <w:rPr>
          <w:rFonts w:cs="Times New Roman"/>
          <w:spacing w:val="-6"/>
          <w:sz w:val="21"/>
          <w:szCs w:val="21"/>
          <w:highlight w:val="none"/>
        </w:rPr>
        <w:t>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highlight w:val="none"/>
          <w:u w:val="single"/>
        </w:rPr>
        <w:t>符合《关于政府采购支持监狱企业发展有关问题的通知</w:t>
      </w:r>
      <w:r>
        <w:rPr>
          <w:rFonts w:cs="Times New Roman"/>
          <w:spacing w:val="-6"/>
          <w:sz w:val="21"/>
          <w:szCs w:val="21"/>
          <w:u w:val="single"/>
        </w:rPr>
        <w:t>》（财库[2014]68号）规定的监狱企业并提供由省级以上监狱管理局、戒毒管理局（含新疆生产建设兵团）出具的属于监狱企业证明文件的，视同为小型、微型企业。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二、磋商文件</w:t>
      </w:r>
    </w:p>
    <w:p>
      <w:pPr>
        <w:adjustRightInd w:val="0"/>
        <w:snapToGrid w:val="0"/>
        <w:spacing w:line="288" w:lineRule="auto"/>
        <w:rPr>
          <w:b/>
          <w:bCs/>
          <w:sz w:val="21"/>
          <w:szCs w:val="21"/>
        </w:rPr>
      </w:pPr>
      <w:r>
        <w:rPr>
          <w:rFonts w:hint="eastAsia"/>
          <w:b/>
          <w:bCs/>
          <w:sz w:val="21"/>
          <w:szCs w:val="21"/>
        </w:rPr>
        <w:t>（一）磋商文件的构成</w:t>
      </w:r>
    </w:p>
    <w:p>
      <w:pPr>
        <w:adjustRightInd w:val="0"/>
        <w:snapToGrid w:val="0"/>
        <w:spacing w:line="288" w:lineRule="auto"/>
        <w:ind w:firstLine="420" w:firstLineChars="200"/>
        <w:rPr>
          <w:sz w:val="21"/>
          <w:szCs w:val="21"/>
        </w:rPr>
      </w:pPr>
      <w:r>
        <w:rPr>
          <w:rFonts w:hint="eastAsia"/>
          <w:sz w:val="21"/>
          <w:szCs w:val="21"/>
        </w:rPr>
        <w:t>本磋商文件由以下部分组成：</w:t>
      </w:r>
    </w:p>
    <w:p>
      <w:pPr>
        <w:adjustRightInd w:val="0"/>
        <w:snapToGrid w:val="0"/>
        <w:spacing w:line="288" w:lineRule="auto"/>
        <w:ind w:firstLine="420" w:firstLineChars="200"/>
        <w:rPr>
          <w:sz w:val="21"/>
          <w:szCs w:val="21"/>
        </w:rPr>
      </w:pPr>
      <w:r>
        <w:rPr>
          <w:rFonts w:hint="eastAsia"/>
          <w:sz w:val="21"/>
          <w:szCs w:val="21"/>
        </w:rPr>
        <w:t>1.采购邀请</w:t>
      </w:r>
    </w:p>
    <w:p>
      <w:pPr>
        <w:adjustRightInd w:val="0"/>
        <w:snapToGrid w:val="0"/>
        <w:spacing w:line="288" w:lineRule="auto"/>
        <w:ind w:firstLine="420" w:firstLineChars="200"/>
        <w:rPr>
          <w:sz w:val="21"/>
          <w:szCs w:val="21"/>
        </w:rPr>
      </w:pPr>
      <w:r>
        <w:rPr>
          <w:rFonts w:hint="eastAsia"/>
          <w:sz w:val="21"/>
          <w:szCs w:val="21"/>
        </w:rPr>
        <w:t>2.采购需求</w:t>
      </w:r>
    </w:p>
    <w:p>
      <w:pPr>
        <w:adjustRightInd w:val="0"/>
        <w:snapToGrid w:val="0"/>
        <w:spacing w:line="288" w:lineRule="auto"/>
        <w:ind w:firstLine="420" w:firstLineChars="200"/>
        <w:rPr>
          <w:sz w:val="21"/>
          <w:szCs w:val="21"/>
        </w:rPr>
      </w:pPr>
      <w:r>
        <w:rPr>
          <w:rFonts w:hint="eastAsia"/>
          <w:sz w:val="21"/>
          <w:szCs w:val="21"/>
        </w:rPr>
        <w:t>3.供应商须知</w:t>
      </w:r>
    </w:p>
    <w:p>
      <w:pPr>
        <w:adjustRightInd w:val="0"/>
        <w:snapToGrid w:val="0"/>
        <w:spacing w:line="288" w:lineRule="auto"/>
        <w:ind w:firstLine="420" w:firstLineChars="200"/>
        <w:rPr>
          <w:sz w:val="21"/>
          <w:szCs w:val="21"/>
        </w:rPr>
      </w:pPr>
      <w:r>
        <w:rPr>
          <w:rFonts w:hint="eastAsia"/>
          <w:sz w:val="21"/>
          <w:szCs w:val="21"/>
        </w:rPr>
        <w:t>4.评审方法和评审标准</w:t>
      </w:r>
    </w:p>
    <w:p>
      <w:pPr>
        <w:adjustRightInd w:val="0"/>
        <w:snapToGrid w:val="0"/>
        <w:spacing w:line="288" w:lineRule="auto"/>
        <w:ind w:firstLine="420" w:firstLineChars="200"/>
        <w:rPr>
          <w:sz w:val="21"/>
          <w:szCs w:val="21"/>
        </w:rPr>
      </w:pPr>
      <w:r>
        <w:rPr>
          <w:rFonts w:hint="eastAsia"/>
          <w:sz w:val="21"/>
          <w:szCs w:val="21"/>
        </w:rPr>
        <w:t>5.拟签订的合同文本</w:t>
      </w:r>
    </w:p>
    <w:p>
      <w:pPr>
        <w:adjustRightInd w:val="0"/>
        <w:snapToGrid w:val="0"/>
        <w:spacing w:line="288" w:lineRule="auto"/>
        <w:ind w:firstLine="420" w:firstLineChars="200"/>
        <w:rPr>
          <w:sz w:val="21"/>
          <w:szCs w:val="21"/>
        </w:rPr>
      </w:pPr>
      <w:r>
        <w:rPr>
          <w:rFonts w:hint="eastAsia"/>
          <w:sz w:val="21"/>
          <w:szCs w:val="21"/>
        </w:rPr>
        <w:t>6.响应文件格式</w:t>
      </w:r>
    </w:p>
    <w:p>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pPr>
        <w:adjustRightInd w:val="0"/>
        <w:snapToGrid w:val="0"/>
        <w:spacing w:line="288" w:lineRule="auto"/>
        <w:rPr>
          <w:b/>
          <w:bCs/>
          <w:sz w:val="21"/>
          <w:szCs w:val="21"/>
        </w:rPr>
      </w:pPr>
      <w:r>
        <w:rPr>
          <w:rFonts w:hint="eastAsia"/>
          <w:b/>
          <w:bCs/>
          <w:sz w:val="21"/>
          <w:szCs w:val="21"/>
        </w:rPr>
        <w:t>（二）供应商的风险</w:t>
      </w:r>
    </w:p>
    <w:p>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pPr>
        <w:adjustRightInd w:val="0"/>
        <w:snapToGrid w:val="0"/>
        <w:spacing w:line="288" w:lineRule="auto"/>
        <w:rPr>
          <w:b/>
          <w:bCs/>
          <w:sz w:val="21"/>
          <w:szCs w:val="21"/>
        </w:rPr>
      </w:pPr>
      <w:r>
        <w:rPr>
          <w:rFonts w:hint="eastAsia"/>
          <w:b/>
          <w:bCs/>
          <w:sz w:val="21"/>
          <w:szCs w:val="21"/>
        </w:rPr>
        <w:t>（三）磋商文件的澄清与修改</w:t>
      </w:r>
    </w:p>
    <w:p>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三、响应文件的编制</w:t>
      </w:r>
    </w:p>
    <w:p>
      <w:pPr>
        <w:adjustRightInd w:val="0"/>
        <w:snapToGrid w:val="0"/>
        <w:spacing w:line="288" w:lineRule="auto"/>
        <w:rPr>
          <w:b/>
          <w:bCs/>
          <w:sz w:val="21"/>
          <w:szCs w:val="21"/>
        </w:rPr>
      </w:pPr>
      <w:r>
        <w:rPr>
          <w:rFonts w:hint="eastAsia"/>
          <w:b/>
          <w:bCs/>
          <w:sz w:val="21"/>
          <w:szCs w:val="21"/>
        </w:rPr>
        <w:t>（一）响应文件的组成</w:t>
      </w:r>
    </w:p>
    <w:p>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pPr>
        <w:adjustRightInd w:val="0"/>
        <w:snapToGrid w:val="0"/>
        <w:spacing w:line="288" w:lineRule="auto"/>
        <w:ind w:firstLine="396" w:firstLineChars="200"/>
        <w:jc w:val="left"/>
        <w:rPr>
          <w:rFonts w:cs="Times New Roman"/>
          <w:spacing w:val="-6"/>
          <w:sz w:val="21"/>
          <w:szCs w:val="21"/>
          <w:highlight w:val="none"/>
        </w:rPr>
      </w:pPr>
      <w:bookmarkStart w:id="43"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3"/>
    <w:p>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4" w:name="_Hlk96329193"/>
      <w:r>
        <w:rPr>
          <w:rFonts w:hint="eastAsia"/>
          <w:sz w:val="21"/>
          <w:szCs w:val="21"/>
          <w:highlight w:val="none"/>
        </w:rPr>
        <w:t>，供应商应写全称。</w:t>
      </w:r>
      <w:bookmarkEnd w:id="44"/>
    </w:p>
    <w:p>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特别说明：双休日和法定节假日不收件，供应商</w:t>
      </w:r>
      <w:r>
        <w:rPr>
          <w:rFonts w:hint="eastAsia"/>
          <w:b/>
          <w:bCs/>
          <w:sz w:val="21"/>
          <w:szCs w:val="21"/>
        </w:rPr>
        <w:t>自行承担邮寄风险。</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rPr>
          <w:b/>
          <w:bCs/>
          <w:sz w:val="21"/>
          <w:szCs w:val="21"/>
        </w:rPr>
      </w:pPr>
      <w:r>
        <w:rPr>
          <w:rFonts w:hint="eastAsia"/>
          <w:b/>
          <w:bCs/>
          <w:sz w:val="21"/>
          <w:szCs w:val="21"/>
        </w:rPr>
        <w:t>（三）响应文件的上传、递交、修改和撤回</w:t>
      </w:r>
    </w:p>
    <w:p>
      <w:pPr>
        <w:adjustRightInd w:val="0"/>
        <w:snapToGrid w:val="0"/>
        <w:spacing w:line="288" w:lineRule="auto"/>
        <w:ind w:firstLine="420" w:firstLineChars="200"/>
        <w:rPr>
          <w:sz w:val="21"/>
          <w:szCs w:val="21"/>
        </w:rPr>
      </w:pPr>
      <w:r>
        <w:rPr>
          <w:rFonts w:hint="eastAsia"/>
          <w:sz w:val="21"/>
          <w:szCs w:val="21"/>
        </w:rPr>
        <w:t>1.响应文件的上传、递交：</w:t>
      </w:r>
    </w:p>
    <w:p>
      <w:pPr>
        <w:adjustRightInd w:val="0"/>
        <w:snapToGrid w:val="0"/>
        <w:spacing w:line="288" w:lineRule="auto"/>
        <w:ind w:firstLine="420" w:firstLineChars="200"/>
        <w:rPr>
          <w:sz w:val="21"/>
          <w:szCs w:val="21"/>
        </w:rPr>
      </w:pPr>
      <w:r>
        <w:rPr>
          <w:rFonts w:hint="eastAsia"/>
          <w:sz w:val="21"/>
          <w:szCs w:val="21"/>
        </w:rPr>
        <w:t>（1）电子加密响应文件的上传：</w:t>
      </w:r>
    </w:p>
    <w:p>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pPr>
        <w:adjustRightInd w:val="0"/>
        <w:snapToGrid w:val="0"/>
        <w:spacing w:line="288" w:lineRule="auto"/>
        <w:ind w:firstLine="420" w:firstLineChars="200"/>
        <w:rPr>
          <w:sz w:val="21"/>
          <w:szCs w:val="21"/>
        </w:rPr>
      </w:pPr>
      <w:r>
        <w:rPr>
          <w:rFonts w:hint="eastAsia"/>
          <w:sz w:val="21"/>
          <w:szCs w:val="21"/>
        </w:rPr>
        <w:t>（2）备份响应文件的密封包装、递交：</w:t>
      </w:r>
    </w:p>
    <w:p>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pPr>
        <w:adjustRightInd w:val="0"/>
        <w:snapToGrid w:val="0"/>
        <w:spacing w:line="288" w:lineRule="auto"/>
        <w:ind w:firstLine="422" w:firstLineChars="200"/>
        <w:rPr>
          <w:b/>
          <w:bCs/>
          <w:sz w:val="21"/>
          <w:szCs w:val="21"/>
        </w:rPr>
      </w:pPr>
      <w:r>
        <w:rPr>
          <w:rFonts w:hint="eastAsia"/>
          <w:b/>
          <w:bCs/>
          <w:sz w:val="21"/>
          <w:szCs w:val="21"/>
        </w:rPr>
        <w:t>备注：</w:t>
      </w:r>
    </w:p>
    <w:p>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pPr>
        <w:adjustRightInd w:val="0"/>
        <w:snapToGrid w:val="0"/>
        <w:spacing w:line="288" w:lineRule="auto"/>
        <w:rPr>
          <w:b/>
          <w:bCs/>
          <w:sz w:val="21"/>
          <w:szCs w:val="21"/>
        </w:rPr>
      </w:pPr>
      <w:r>
        <w:rPr>
          <w:rFonts w:hint="eastAsia"/>
          <w:b/>
          <w:bCs/>
          <w:sz w:val="21"/>
          <w:szCs w:val="21"/>
        </w:rPr>
        <w:t>（四）响应文件的语言及计量</w:t>
      </w:r>
    </w:p>
    <w:p>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rPr>
          <w:b/>
          <w:bCs/>
          <w:sz w:val="21"/>
          <w:szCs w:val="21"/>
        </w:rPr>
      </w:pPr>
      <w:r>
        <w:rPr>
          <w:rFonts w:hint="eastAsia"/>
          <w:b/>
          <w:bCs/>
          <w:sz w:val="21"/>
          <w:szCs w:val="21"/>
        </w:rPr>
        <w:t>（五）磋商报价</w:t>
      </w:r>
    </w:p>
    <w:p>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pPr>
        <w:adjustRightInd w:val="0"/>
        <w:snapToGrid w:val="0"/>
        <w:spacing w:line="288" w:lineRule="auto"/>
        <w:ind w:firstLine="420" w:firstLineChars="200"/>
        <w:rPr>
          <w:sz w:val="21"/>
          <w:szCs w:val="21"/>
        </w:rPr>
      </w:pPr>
      <w:r>
        <w:rPr>
          <w:sz w:val="21"/>
          <w:szCs w:val="21"/>
        </w:rPr>
        <w:t>2.本次磋商采用人民币报价；</w:t>
      </w:r>
    </w:p>
    <w:p>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pPr>
        <w:adjustRightInd w:val="0"/>
        <w:snapToGrid w:val="0"/>
        <w:spacing w:line="288" w:lineRule="auto"/>
        <w:rPr>
          <w:b/>
          <w:bCs/>
          <w:sz w:val="21"/>
          <w:szCs w:val="21"/>
        </w:rPr>
      </w:pPr>
      <w:r>
        <w:rPr>
          <w:rFonts w:hint="eastAsia"/>
          <w:b/>
          <w:bCs/>
          <w:sz w:val="21"/>
          <w:szCs w:val="21"/>
        </w:rPr>
        <w:t>（六）响应有效期</w:t>
      </w:r>
    </w:p>
    <w:p>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pPr>
        <w:widowControl/>
        <w:adjustRightInd w:val="0"/>
        <w:snapToGrid w:val="0"/>
        <w:spacing w:line="288" w:lineRule="auto"/>
        <w:jc w:val="left"/>
        <w:rPr>
          <w:b/>
          <w:bCs/>
          <w:sz w:val="21"/>
          <w:szCs w:val="21"/>
        </w:rPr>
      </w:pPr>
      <w:r>
        <w:rPr>
          <w:b/>
          <w:bCs/>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四、响应无效的情形</w:t>
      </w:r>
    </w:p>
    <w:p>
      <w:pPr>
        <w:adjustRightInd w:val="0"/>
        <w:snapToGrid w:val="0"/>
        <w:spacing w:line="288" w:lineRule="auto"/>
        <w:ind w:firstLine="420" w:firstLineChars="200"/>
        <w:rPr>
          <w:sz w:val="21"/>
          <w:szCs w:val="21"/>
        </w:rPr>
      </w:pPr>
      <w:bookmarkStart w:id="45" w:name="_Hlk97039899"/>
      <w:r>
        <w:rPr>
          <w:rFonts w:hint="eastAsia"/>
          <w:sz w:val="21"/>
          <w:szCs w:val="21"/>
        </w:rPr>
        <w:t>未响应磋商文件“▲”标记条款要求的，响应无效。</w:t>
      </w:r>
    </w:p>
    <w:bookmarkEnd w:id="45"/>
    <w:p>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pPr>
        <w:adjustRightInd w:val="0"/>
        <w:snapToGrid w:val="0"/>
        <w:spacing w:line="288" w:lineRule="auto"/>
        <w:ind w:firstLine="420" w:firstLineChars="200"/>
        <w:rPr>
          <w:sz w:val="21"/>
          <w:szCs w:val="21"/>
          <w:highlight w:val="none"/>
        </w:rPr>
      </w:pPr>
      <w:r>
        <w:rPr>
          <w:rFonts w:hint="eastAsia"/>
          <w:sz w:val="21"/>
          <w:szCs w:val="21"/>
        </w:rPr>
        <w:t>（1）资格证明材料不</w:t>
      </w:r>
      <w:r>
        <w:rPr>
          <w:rFonts w:hint="eastAsia"/>
          <w:sz w:val="21"/>
          <w:szCs w:val="21"/>
          <w:highlight w:val="none"/>
        </w:rPr>
        <w:t>全的，或者不符合磋商文件要求；</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pPr>
        <w:adjustRightInd w:val="0"/>
        <w:snapToGrid w:val="0"/>
        <w:spacing w:line="288" w:lineRule="auto"/>
        <w:ind w:firstLine="420" w:firstLineChars="200"/>
        <w:rPr>
          <w:sz w:val="21"/>
          <w:szCs w:val="21"/>
          <w:highlight w:val="none"/>
        </w:rPr>
      </w:pPr>
      <w:bookmarkStart w:id="46" w:name="_Hlk97039841"/>
      <w:r>
        <w:rPr>
          <w:rFonts w:hint="eastAsia"/>
          <w:sz w:val="21"/>
          <w:szCs w:val="21"/>
          <w:highlight w:val="none"/>
        </w:rPr>
        <w:t>（3）资格文件未按要求签署、盖章。</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6"/>
    <w:p>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pPr>
        <w:adjustRightInd w:val="0"/>
        <w:snapToGrid w:val="0"/>
        <w:spacing w:line="288" w:lineRule="auto"/>
        <w:ind w:firstLine="420" w:firstLineChars="200"/>
        <w:rPr>
          <w:sz w:val="21"/>
          <w:szCs w:val="21"/>
        </w:rPr>
      </w:pPr>
      <w:r>
        <w:rPr>
          <w:rFonts w:hint="eastAsia"/>
          <w:sz w:val="21"/>
          <w:szCs w:val="21"/>
        </w:rPr>
        <w:t>（5）不同供应商的响应文件相互混装。</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五、响应文件开启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pPr>
        <w:adjustRightInd w:val="0"/>
        <w:snapToGrid w:val="0"/>
        <w:spacing w:line="288" w:lineRule="auto"/>
        <w:ind w:firstLine="398" w:firstLineChars="200"/>
        <w:rPr>
          <w:rFonts w:cs="Times New Roman"/>
          <w:b/>
          <w:bCs/>
          <w:spacing w:val="-6"/>
          <w:sz w:val="21"/>
          <w:szCs w:val="21"/>
        </w:rPr>
      </w:pPr>
    </w:p>
    <w:p>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1"/>
        <w:rPr>
          <w:b/>
          <w:bCs/>
          <w:sz w:val="21"/>
          <w:szCs w:val="21"/>
        </w:rPr>
      </w:pPr>
      <w:r>
        <w:rPr>
          <w:rFonts w:hint="eastAsia"/>
          <w:b/>
          <w:bCs/>
          <w:sz w:val="21"/>
          <w:szCs w:val="21"/>
        </w:rPr>
        <w:t>六、评审程序</w:t>
      </w:r>
    </w:p>
    <w:p>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w:t>
      </w:r>
      <w:r>
        <w:rPr>
          <w:rFonts w:hint="eastAsia" w:cs="Arial"/>
          <w:kern w:val="0"/>
          <w:sz w:val="21"/>
          <w:szCs w:val="21"/>
          <w:highlight w:val="none"/>
        </w:rPr>
        <w:t>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w:t>
      </w:r>
      <w:r>
        <w:rPr>
          <w:rFonts w:cs="Arial"/>
          <w:kern w:val="0"/>
          <w:sz w:val="21"/>
          <w:szCs w:val="21"/>
        </w:rPr>
        <w:t>供应商的设计方案或者解决方案，</w:t>
      </w:r>
      <w:r>
        <w:rPr>
          <w:rFonts w:cs="Arial"/>
          <w:color w:val="auto"/>
          <w:kern w:val="0"/>
          <w:sz w:val="21"/>
          <w:szCs w:val="21"/>
          <w:highlight w:val="none"/>
        </w:rPr>
        <w:t>并要求其在规定时间内提交最后报价。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（六）综合评分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pPr>
        <w:adjustRightInd w:val="0"/>
        <w:snapToGrid w:val="0"/>
        <w:spacing w:line="288" w:lineRule="auto"/>
        <w:ind w:firstLine="424" w:firstLineChars="202"/>
        <w:rPr>
          <w:rFonts w:cs="Arial"/>
          <w:kern w:val="0"/>
          <w:sz w:val="21"/>
          <w:szCs w:val="21"/>
        </w:rPr>
      </w:pPr>
      <w:bookmarkStart w:id="47"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7"/>
    <w:p>
      <w:pPr>
        <w:adjustRightInd w:val="0"/>
        <w:snapToGrid w:val="0"/>
        <w:spacing w:line="288" w:lineRule="auto"/>
        <w:ind w:firstLine="426" w:firstLineChars="202"/>
        <w:rPr>
          <w:rFonts w:cs="Arial"/>
          <w:b/>
          <w:color w:val="auto"/>
          <w:kern w:val="0"/>
          <w:sz w:val="21"/>
          <w:szCs w:val="21"/>
          <w:highlight w:val="none"/>
        </w:rPr>
      </w:pPr>
      <w:r>
        <w:rPr>
          <w:rFonts w:hint="eastAsia" w:cs="Arial"/>
          <w:b/>
          <w:kern w:val="0"/>
          <w:sz w:val="21"/>
          <w:szCs w:val="21"/>
        </w:rPr>
        <w:t>（八）排序</w:t>
      </w:r>
      <w:r>
        <w:rPr>
          <w:rFonts w:hint="eastAsia" w:cs="Arial"/>
          <w:b/>
          <w:color w:val="auto"/>
          <w:kern w:val="0"/>
          <w:sz w:val="21"/>
          <w:szCs w:val="21"/>
          <w:highlight w:val="none"/>
        </w:rPr>
        <w:t>与推荐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pPr>
        <w:adjustRightInd w:val="0"/>
        <w:snapToGrid w:val="0"/>
        <w:spacing w:line="288" w:lineRule="auto"/>
        <w:ind w:firstLine="424" w:firstLineChars="202"/>
        <w:rPr>
          <w:rFonts w:cs="Arial"/>
          <w:kern w:val="0"/>
          <w:sz w:val="21"/>
          <w:szCs w:val="21"/>
        </w:rPr>
      </w:pPr>
      <w:r>
        <w:rPr>
          <w:rFonts w:hint="eastAsia" w:cs="Arial"/>
          <w:color w:val="auto"/>
          <w:kern w:val="0"/>
          <w:sz w:val="21"/>
          <w:szCs w:val="21"/>
          <w:highlight w:val="none"/>
        </w:rPr>
        <w:t>非单一产品采购项目，采购人应当根据采购项目技术构成、产品价格比重等合理确定</w:t>
      </w:r>
      <w:r>
        <w:rPr>
          <w:rFonts w:hint="eastAsia" w:cs="Arial"/>
          <w:kern w:val="0"/>
          <w:sz w:val="21"/>
          <w:szCs w:val="21"/>
        </w:rPr>
        <w:t>核心产品，并在磋商文件中载明。多家供应商提供的核心产品品牌相同的，按前款规定处理。</w:t>
      </w:r>
    </w:p>
    <w:p>
      <w:pPr>
        <w:adjustRightInd w:val="0"/>
        <w:snapToGrid w:val="0"/>
        <w:spacing w:line="288" w:lineRule="auto"/>
        <w:ind w:firstLine="426" w:firstLineChars="202"/>
        <w:rPr>
          <w:rFonts w:cs="Arial"/>
          <w:b/>
          <w:kern w:val="0"/>
          <w:sz w:val="21"/>
          <w:szCs w:val="21"/>
        </w:rPr>
      </w:pPr>
      <w:r>
        <w:rPr>
          <w:rFonts w:hint="eastAsia" w:cs="Arial"/>
          <w:b/>
          <w:kern w:val="0"/>
          <w:sz w:val="21"/>
          <w:szCs w:val="21"/>
        </w:rPr>
        <w:t>（九）</w:t>
      </w:r>
      <w:r>
        <w:rPr>
          <w:rFonts w:cs="Arial"/>
          <w:b/>
          <w:kern w:val="0"/>
          <w:sz w:val="21"/>
          <w:szCs w:val="21"/>
        </w:rPr>
        <w:t>编写评审报告</w:t>
      </w:r>
    </w:p>
    <w:p>
      <w:pPr>
        <w:adjustRightInd w:val="0"/>
        <w:snapToGrid w:val="0"/>
        <w:spacing w:line="288" w:lineRule="auto"/>
        <w:ind w:firstLine="424" w:firstLineChars="202"/>
        <w:rPr>
          <w:rFonts w:cs="Arial"/>
          <w:color w:val="auto"/>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w:t>
      </w:r>
      <w:r>
        <w:rPr>
          <w:rFonts w:hint="eastAsia" w:cs="Arial"/>
          <w:color w:val="auto"/>
          <w:kern w:val="0"/>
          <w:sz w:val="21"/>
          <w:szCs w:val="21"/>
        </w:rPr>
        <w:t>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pPr>
        <w:adjustRightInd w:val="0"/>
        <w:snapToGrid w:val="0"/>
        <w:spacing w:line="288" w:lineRule="auto"/>
        <w:ind w:firstLine="420" w:firstLineChars="200"/>
        <w:rPr>
          <w:color w:val="auto"/>
          <w:sz w:val="21"/>
          <w:szCs w:val="21"/>
        </w:rPr>
      </w:pPr>
      <w:bookmarkStart w:id="48"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8"/>
    <w:p>
      <w:pPr>
        <w:widowControl/>
        <w:adjustRightInd w:val="0"/>
        <w:snapToGrid w:val="0"/>
        <w:spacing w:line="288" w:lineRule="auto"/>
        <w:jc w:val="left"/>
        <w:rPr>
          <w:rFonts w:cs="Times New Roman"/>
          <w:b/>
          <w:color w:val="auto"/>
          <w:spacing w:val="-6"/>
          <w:sz w:val="21"/>
          <w:szCs w:val="21"/>
        </w:rPr>
      </w:pPr>
      <w:r>
        <w:rPr>
          <w:rFonts w:cs="Times New Roman"/>
          <w:b/>
          <w:color w:val="auto"/>
          <w:spacing w:val="-6"/>
          <w:sz w:val="21"/>
          <w:szCs w:val="21"/>
        </w:rPr>
        <w:br w:type="page"/>
      </w: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pPr>
        <w:adjustRightInd w:val="0"/>
        <w:snapToGrid w:val="0"/>
        <w:spacing w:line="288" w:lineRule="auto"/>
        <w:rPr>
          <w:b/>
          <w:bCs/>
          <w:sz w:val="21"/>
          <w:szCs w:val="21"/>
        </w:rPr>
      </w:pPr>
      <w:r>
        <w:rPr>
          <w:rFonts w:hint="eastAsia"/>
          <w:b/>
          <w:bCs/>
          <w:sz w:val="21"/>
          <w:szCs w:val="21"/>
        </w:rPr>
        <w:t>（一）成交</w:t>
      </w:r>
    </w:p>
    <w:p>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pPr>
        <w:adjustRightInd w:val="0"/>
        <w:snapToGrid w:val="0"/>
        <w:spacing w:line="288" w:lineRule="auto"/>
        <w:jc w:val="left"/>
        <w:rPr>
          <w:b/>
          <w:bCs/>
          <w:sz w:val="21"/>
          <w:szCs w:val="21"/>
        </w:rPr>
      </w:pPr>
      <w:r>
        <w:rPr>
          <w:rFonts w:hint="eastAsia"/>
          <w:b/>
          <w:bCs/>
          <w:sz w:val="21"/>
          <w:szCs w:val="21"/>
        </w:rPr>
        <w:t>（二）合同授予</w:t>
      </w:r>
    </w:p>
    <w:p>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rPr>
          <w:sz w:val="21"/>
          <w:szCs w:val="21"/>
        </w:rPr>
      </w:pPr>
    </w:p>
    <w:p>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adjustRightInd w:val="0"/>
        <w:snapToGrid w:val="0"/>
        <w:spacing w:line="288" w:lineRule="auto"/>
        <w:rPr>
          <w:sz w:val="21"/>
          <w:szCs w:val="21"/>
        </w:rPr>
      </w:pPr>
    </w:p>
    <w:p>
      <w:pPr>
        <w:adjustRightInd w:val="0"/>
        <w:snapToGrid w:val="0"/>
        <w:spacing w:line="288" w:lineRule="auto"/>
        <w:jc w:val="center"/>
        <w:outlineLvl w:val="1"/>
        <w:rPr>
          <w:b/>
          <w:bCs/>
          <w:sz w:val="21"/>
          <w:szCs w:val="21"/>
        </w:rPr>
      </w:pPr>
      <w:r>
        <w:rPr>
          <w:rFonts w:hint="eastAsia"/>
          <w:b/>
          <w:bCs/>
          <w:sz w:val="21"/>
          <w:szCs w:val="21"/>
        </w:rPr>
        <w:t>九、可中止电子交易活动的情形</w:t>
      </w:r>
    </w:p>
    <w:p>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pPr>
        <w:adjustRightInd w:val="0"/>
        <w:snapToGrid w:val="0"/>
        <w:spacing w:line="288" w:lineRule="auto"/>
        <w:ind w:firstLine="420" w:firstLineChars="200"/>
        <w:rPr>
          <w:sz w:val="21"/>
          <w:szCs w:val="21"/>
        </w:rPr>
      </w:pPr>
      <w:r>
        <w:rPr>
          <w:rFonts w:hint="eastAsia"/>
          <w:sz w:val="21"/>
          <w:szCs w:val="21"/>
        </w:rPr>
        <w:t>4.病毒发作导致不能进行正常操作的；</w:t>
      </w:r>
    </w:p>
    <w:p>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第四章  评审方法和评审标准</w:t>
      </w:r>
    </w:p>
    <w:p>
      <w:pPr>
        <w:adjustRightInd w:val="0"/>
        <w:snapToGrid w:val="0"/>
        <w:spacing w:line="288" w:lineRule="auto"/>
        <w:rPr>
          <w:b/>
          <w:bCs/>
          <w:sz w:val="21"/>
          <w:szCs w:val="21"/>
        </w:rPr>
      </w:pPr>
      <w:r>
        <w:rPr>
          <w:rFonts w:hint="eastAsia"/>
          <w:b/>
          <w:bCs/>
          <w:sz w:val="21"/>
          <w:szCs w:val="21"/>
        </w:rPr>
        <w:t>一、评审方法</w:t>
      </w:r>
    </w:p>
    <w:p>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b/>
          <w:bCs/>
          <w:sz w:val="21"/>
          <w:szCs w:val="21"/>
        </w:rPr>
      </w:pPr>
      <w:r>
        <w:rPr>
          <w:rFonts w:hint="eastAsia"/>
          <w:b/>
          <w:bCs/>
          <w:sz w:val="21"/>
          <w:szCs w:val="21"/>
        </w:rPr>
        <w:t>二、评审标准</w:t>
      </w:r>
    </w:p>
    <w:tbl>
      <w:tblPr>
        <w:tblStyle w:val="19"/>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评审因素</w:t>
            </w:r>
          </w:p>
        </w:tc>
        <w:tc>
          <w:tcPr>
            <w:tcW w:w="682" w:type="dxa"/>
            <w:vAlign w:val="center"/>
          </w:tcPr>
          <w:p>
            <w:pPr>
              <w:adjustRightInd w:val="0"/>
              <w:snapToGrid w:val="0"/>
              <w:spacing w:line="288" w:lineRule="auto"/>
              <w:jc w:val="center"/>
              <w:rPr>
                <w:b/>
                <w:bCs/>
                <w:kern w:val="0"/>
                <w:sz w:val="21"/>
                <w:szCs w:val="21"/>
              </w:rPr>
            </w:pPr>
            <w:r>
              <w:rPr>
                <w:rFonts w:hint="eastAsia"/>
                <w:b/>
                <w:bCs/>
                <w:kern w:val="0"/>
                <w:sz w:val="21"/>
                <w:szCs w:val="21"/>
              </w:rPr>
              <w:t>分值</w:t>
            </w:r>
          </w:p>
        </w:tc>
        <w:tc>
          <w:tcPr>
            <w:tcW w:w="7071" w:type="dxa"/>
            <w:vAlign w:val="center"/>
          </w:tcPr>
          <w:p>
            <w:pPr>
              <w:adjustRightInd w:val="0"/>
              <w:snapToGrid w:val="0"/>
              <w:spacing w:line="288" w:lineRule="auto"/>
              <w:jc w:val="center"/>
              <w:rPr>
                <w:b/>
                <w:bCs/>
                <w:kern w:val="0"/>
                <w:sz w:val="21"/>
                <w:szCs w:val="21"/>
              </w:rPr>
            </w:pPr>
            <w:r>
              <w:rPr>
                <w:rFonts w:hint="eastAsia"/>
                <w:b/>
                <w:bCs/>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32</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32</w:t>
            </w:r>
          </w:p>
        </w:tc>
        <w:tc>
          <w:tcPr>
            <w:tcW w:w="7071" w:type="dxa"/>
            <w:vAlign w:val="center"/>
          </w:tcPr>
          <w:p>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32</w:t>
            </w:r>
            <w:r>
              <w:rPr>
                <w:rFonts w:hint="eastAsia"/>
                <w:kern w:val="0"/>
                <w:sz w:val="21"/>
                <w:szCs w:val="21"/>
              </w:rPr>
              <w:t>%</w:t>
            </w:r>
            <w:r>
              <w:rPr>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9</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业绩</w:t>
            </w:r>
          </w:p>
        </w:tc>
        <w:tc>
          <w:tcPr>
            <w:tcW w:w="682" w:type="dxa"/>
            <w:vAlign w:val="center"/>
          </w:tcPr>
          <w:p>
            <w:pPr>
              <w:adjustRightInd w:val="0"/>
              <w:snapToGrid w:val="0"/>
              <w:spacing w:line="288" w:lineRule="auto"/>
              <w:jc w:val="center"/>
              <w:rPr>
                <w:rFonts w:hint="default"/>
                <w:b/>
                <w:bCs/>
                <w:kern w:val="0"/>
                <w:sz w:val="21"/>
                <w:szCs w:val="21"/>
                <w:lang w:val="en-US"/>
              </w:rPr>
            </w:pPr>
            <w:r>
              <w:rPr>
                <w:rFonts w:hint="eastAsia"/>
                <w:b/>
                <w:bCs/>
                <w:kern w:val="0"/>
                <w:sz w:val="21"/>
                <w:szCs w:val="21"/>
                <w:lang w:val="en-US" w:eastAsia="zh-CN"/>
              </w:rPr>
              <w:t>3</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年1月1日以来（以合同签订时间为准）同类合同业绩（以提供的合同扫描件为准）：每提供1份合同业绩得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分，最高得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证书</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4</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供应商具有有效的ISO 20000信息技术服务管理体系证书、ISO 27001信息安全管理体系证书、ISO14001环境管理体系认证证书、ISO45001职业健康安全管理体系认证，每提供一份得1分，最多得4分。</w:t>
            </w:r>
          </w:p>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color w:val="auto"/>
                <w:sz w:val="21"/>
                <w:szCs w:val="21"/>
                <w:highlight w:val="none"/>
              </w:rPr>
              <w:t>提供证书复印件、国家认证认可监督管理委员会官网（http://www.cnca.gov.cn/）查询截图，不提供不得分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供应商具备</w:t>
            </w:r>
            <w:r>
              <w:rPr>
                <w:rFonts w:hint="eastAsia" w:cs="宋体"/>
                <w:kern w:val="0"/>
                <w:sz w:val="21"/>
                <w:szCs w:val="21"/>
                <w:lang w:val="en-US" w:eastAsia="zh-CN"/>
              </w:rPr>
              <w:t>党建</w:t>
            </w:r>
            <w:r>
              <w:rPr>
                <w:rFonts w:hint="eastAsia" w:ascii="宋体" w:hAnsi="宋体" w:eastAsia="宋体" w:cs="宋体"/>
                <w:kern w:val="0"/>
                <w:sz w:val="21"/>
                <w:szCs w:val="21"/>
                <w:lang w:val="en-US" w:eastAsia="zh-CN"/>
              </w:rPr>
              <w:t>相关的</w:t>
            </w:r>
            <w:r>
              <w:rPr>
                <w:rFonts w:hint="eastAsia" w:cs="宋体"/>
                <w:kern w:val="0"/>
                <w:sz w:val="21"/>
                <w:szCs w:val="21"/>
                <w:lang w:val="en-US" w:eastAsia="zh-CN"/>
              </w:rPr>
              <w:t>有利于</w:t>
            </w:r>
            <w:r>
              <w:rPr>
                <w:rFonts w:hint="eastAsia" w:ascii="宋体" w:hAnsi="宋体" w:eastAsia="宋体" w:cs="宋体"/>
                <w:kern w:val="0"/>
                <w:sz w:val="21"/>
                <w:szCs w:val="21"/>
                <w:lang w:val="en-US" w:eastAsia="zh-CN"/>
              </w:rPr>
              <w:t>项目实施的软件登记著作权证书的，每提供1份得</w:t>
            </w:r>
            <w:r>
              <w:rPr>
                <w:rFonts w:hint="eastAsia" w:cs="宋体"/>
                <w:kern w:val="0"/>
                <w:sz w:val="21"/>
                <w:szCs w:val="21"/>
                <w:lang w:val="en-US" w:eastAsia="zh-CN"/>
              </w:rPr>
              <w:t>0.5</w:t>
            </w:r>
            <w:r>
              <w:rPr>
                <w:rFonts w:hint="eastAsia" w:ascii="宋体" w:hAnsi="宋体" w:eastAsia="宋体" w:cs="宋体"/>
                <w:kern w:val="0"/>
                <w:sz w:val="21"/>
                <w:szCs w:val="21"/>
                <w:lang w:val="en-US" w:eastAsia="zh-CN"/>
              </w:rPr>
              <w:t>分，最多得</w:t>
            </w:r>
            <w:r>
              <w:rPr>
                <w:rFonts w:hint="eastAsia" w:cs="宋体"/>
                <w:kern w:val="0"/>
                <w:sz w:val="21"/>
                <w:szCs w:val="21"/>
                <w:lang w:val="en-US" w:eastAsia="zh-CN"/>
              </w:rPr>
              <w:t>2</w:t>
            </w:r>
            <w:r>
              <w:rPr>
                <w:rFonts w:hint="eastAsia" w:ascii="宋体" w:hAnsi="宋体" w:eastAsia="宋体" w:cs="宋体"/>
                <w:kern w:val="0"/>
                <w:sz w:val="21"/>
                <w:szCs w:val="21"/>
                <w:lang w:val="en-US" w:eastAsia="zh-CN"/>
              </w:rPr>
              <w:t>分。提供证书扫描件，未提供不得分。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59</w:t>
            </w:r>
            <w:r>
              <w:rPr>
                <w:rFonts w:hint="eastAsia"/>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b/>
                <w:bCs/>
                <w:kern w:val="0"/>
                <w:sz w:val="21"/>
                <w:szCs w:val="21"/>
              </w:rPr>
            </w:pPr>
            <w:r>
              <w:rPr>
                <w:rFonts w:hint="eastAsia"/>
                <w:b/>
                <w:bCs/>
                <w:kern w:val="0"/>
                <w:sz w:val="21"/>
                <w:szCs w:val="21"/>
              </w:rPr>
              <w:t>响应程度</w:t>
            </w:r>
          </w:p>
        </w:tc>
        <w:tc>
          <w:tcPr>
            <w:tcW w:w="682"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5</w:t>
            </w:r>
          </w:p>
        </w:tc>
        <w:tc>
          <w:tcPr>
            <w:tcW w:w="7071" w:type="dxa"/>
            <w:vAlign w:val="center"/>
          </w:tcPr>
          <w:p>
            <w:pPr>
              <w:adjustRightInd w:val="0"/>
              <w:snapToGrid w:val="0"/>
              <w:spacing w:line="288" w:lineRule="auto"/>
              <w:rPr>
                <w:kern w:val="0"/>
                <w:sz w:val="21"/>
                <w:szCs w:val="21"/>
                <w:highlight w:val="none"/>
              </w:rPr>
            </w:pPr>
            <w:r>
              <w:rPr>
                <w:rFonts w:hint="eastAsia"/>
                <w:kern w:val="0"/>
                <w:sz w:val="21"/>
                <w:szCs w:val="21"/>
                <w:highlight w:val="none"/>
              </w:rPr>
              <w:t>【客观分】</w:t>
            </w:r>
          </w:p>
          <w:p>
            <w:pPr>
              <w:adjustRightInd w:val="0"/>
              <w:snapToGrid w:val="0"/>
              <w:spacing w:line="288" w:lineRule="auto"/>
              <w:rPr>
                <w:kern w:val="0"/>
                <w:sz w:val="21"/>
                <w:szCs w:val="21"/>
                <w:highlight w:val="none"/>
              </w:rPr>
            </w:pPr>
            <w:r>
              <w:rPr>
                <w:rFonts w:hint="eastAsia"/>
                <w:kern w:val="0"/>
                <w:sz w:val="21"/>
                <w:szCs w:val="21"/>
                <w:highlight w:val="none"/>
              </w:rPr>
              <w:t>不符合（负偏离）</w:t>
            </w:r>
            <w:r>
              <w:rPr>
                <w:rFonts w:hint="eastAsia"/>
                <w:kern w:val="0"/>
                <w:sz w:val="21"/>
                <w:szCs w:val="21"/>
                <w:highlight w:val="none"/>
                <w:lang w:val="en-US" w:eastAsia="zh-CN"/>
              </w:rPr>
              <w:t>服务</w:t>
            </w:r>
            <w:r>
              <w:rPr>
                <w:rFonts w:hint="eastAsia"/>
                <w:kern w:val="0"/>
                <w:sz w:val="21"/>
                <w:szCs w:val="21"/>
                <w:highlight w:val="none"/>
              </w:rPr>
              <w:t>要求中标注“▲”条款（不可偏离）的响应文件无效，满足或明显优于磋商文件明确的全部</w:t>
            </w:r>
            <w:r>
              <w:rPr>
                <w:rFonts w:hint="eastAsia"/>
                <w:kern w:val="0"/>
                <w:sz w:val="21"/>
                <w:szCs w:val="21"/>
                <w:highlight w:val="none"/>
                <w:lang w:val="en-US" w:eastAsia="zh-CN"/>
              </w:rPr>
              <w:t>服务</w:t>
            </w:r>
            <w:r>
              <w:rPr>
                <w:rFonts w:hint="eastAsia"/>
                <w:kern w:val="0"/>
                <w:sz w:val="21"/>
                <w:szCs w:val="21"/>
                <w:highlight w:val="none"/>
              </w:rPr>
              <w:t>条款要求的该项得满分；</w:t>
            </w:r>
          </w:p>
          <w:p>
            <w:pPr>
              <w:adjustRightInd w:val="0"/>
              <w:snapToGrid w:val="0"/>
              <w:spacing w:line="288" w:lineRule="auto"/>
              <w:rPr>
                <w:rFonts w:hint="eastAsia" w:eastAsia="宋体"/>
                <w:kern w:val="0"/>
                <w:sz w:val="21"/>
                <w:szCs w:val="21"/>
                <w:highlight w:val="none"/>
                <w:lang w:val="en-US" w:eastAsia="zh-CN"/>
              </w:rPr>
            </w:pPr>
            <w:r>
              <w:rPr>
                <w:rFonts w:hint="eastAsia"/>
                <w:kern w:val="0"/>
                <w:sz w:val="21"/>
                <w:szCs w:val="21"/>
                <w:highlight w:val="none"/>
                <w:lang w:val="en-US" w:eastAsia="zh-CN"/>
              </w:rPr>
              <w:t>服务</w:t>
            </w:r>
            <w:r>
              <w:rPr>
                <w:rFonts w:hint="eastAsia"/>
                <w:kern w:val="0"/>
                <w:sz w:val="21"/>
                <w:szCs w:val="21"/>
                <w:highlight w:val="none"/>
              </w:rPr>
              <w:t>条款低于</w:t>
            </w:r>
            <w:r>
              <w:rPr>
                <w:rFonts w:hint="eastAsia"/>
                <w:kern w:val="0"/>
                <w:sz w:val="21"/>
                <w:szCs w:val="21"/>
                <w:highlight w:val="none"/>
                <w:lang w:val="en-US" w:eastAsia="zh-CN"/>
              </w:rPr>
              <w:t>服务</w:t>
            </w:r>
            <w:r>
              <w:rPr>
                <w:rFonts w:hint="eastAsia"/>
                <w:kern w:val="0"/>
                <w:sz w:val="21"/>
                <w:szCs w:val="21"/>
                <w:highlight w:val="none"/>
              </w:rPr>
              <w:t>要求（负偏离）的每项扣</w:t>
            </w:r>
            <w:r>
              <w:rPr>
                <w:rFonts w:hint="eastAsia"/>
                <w:kern w:val="0"/>
                <w:sz w:val="21"/>
                <w:szCs w:val="21"/>
                <w:highlight w:val="none"/>
                <w:lang w:val="en-US" w:eastAsia="zh-CN"/>
              </w:rPr>
              <w:t>1</w:t>
            </w:r>
            <w:r>
              <w:rPr>
                <w:rFonts w:hint="eastAsia"/>
                <w:kern w:val="0"/>
                <w:sz w:val="21"/>
                <w:szCs w:val="21"/>
                <w:highlight w:val="none"/>
              </w:rPr>
              <w:t>分；</w:t>
            </w:r>
          </w:p>
          <w:p>
            <w:pPr>
              <w:adjustRightInd w:val="0"/>
              <w:snapToGrid w:val="0"/>
              <w:spacing w:line="288" w:lineRule="auto"/>
              <w:rPr>
                <w:kern w:val="0"/>
                <w:sz w:val="21"/>
                <w:szCs w:val="21"/>
                <w:highlight w:val="none"/>
              </w:rPr>
            </w:pPr>
            <w:r>
              <w:rPr>
                <w:rFonts w:hint="eastAsia"/>
                <w:kern w:val="0"/>
                <w:sz w:val="21"/>
                <w:szCs w:val="21"/>
                <w:highlight w:val="none"/>
              </w:rPr>
              <w:t>负偏离</w:t>
            </w:r>
            <w:r>
              <w:rPr>
                <w:rFonts w:hint="eastAsia"/>
                <w:kern w:val="0"/>
                <w:sz w:val="21"/>
                <w:szCs w:val="21"/>
                <w:highlight w:val="none"/>
                <w:lang w:val="en-US" w:eastAsia="zh-CN"/>
              </w:rPr>
              <w:t>6</w:t>
            </w:r>
            <w:r>
              <w:rPr>
                <w:kern w:val="0"/>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default" w:eastAsia="宋体"/>
                <w:b/>
                <w:bCs/>
                <w:kern w:val="0"/>
                <w:sz w:val="21"/>
                <w:szCs w:val="21"/>
                <w:lang w:val="en-US" w:eastAsia="zh-CN"/>
              </w:rPr>
            </w:pPr>
            <w:r>
              <w:rPr>
                <w:rFonts w:hint="eastAsia"/>
                <w:b/>
                <w:bCs/>
                <w:kern w:val="0"/>
                <w:sz w:val="21"/>
                <w:szCs w:val="21"/>
                <w:lang w:val="en-US" w:eastAsia="zh-CN"/>
              </w:rPr>
              <w:t>项目理解</w:t>
            </w: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val="en-US" w:eastAsia="zh-CN"/>
              </w:rPr>
            </w:pPr>
            <w:r>
              <w:rPr>
                <w:rFonts w:hint="eastAsia"/>
                <w:kern w:val="0"/>
                <w:sz w:val="21"/>
                <w:szCs w:val="21"/>
                <w:highlight w:val="none"/>
              </w:rPr>
              <w:t>供应商对本项目建设整体情况的理解程度，包括对项目背景、工作现状、建设目标、建设必要性、项目成效等的解决方案。项目理解准确、描述内容详细完整</w:t>
            </w:r>
            <w:r>
              <w:rPr>
                <w:rFonts w:hint="eastAsia"/>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adjustRightInd w:val="0"/>
              <w:snapToGrid w:val="0"/>
              <w:spacing w:line="288" w:lineRule="auto"/>
              <w:jc w:val="center"/>
              <w:rPr>
                <w:rFonts w:hint="eastAsia"/>
                <w:b/>
                <w:bCs/>
                <w:kern w:val="0"/>
                <w:sz w:val="21"/>
                <w:szCs w:val="21"/>
                <w:lang w:val="en-US" w:eastAsia="zh-CN"/>
              </w:rPr>
            </w:pPr>
            <w:r>
              <w:rPr>
                <w:rFonts w:hint="eastAsia"/>
                <w:b/>
                <w:bCs/>
                <w:kern w:val="0"/>
                <w:sz w:val="21"/>
                <w:szCs w:val="21"/>
                <w:lang w:val="en-US" w:eastAsia="zh-CN"/>
              </w:rPr>
              <w:t>技术路线</w:t>
            </w:r>
          </w:p>
        </w:tc>
        <w:tc>
          <w:tcPr>
            <w:tcW w:w="682" w:type="dxa"/>
            <w:vAlign w:val="center"/>
          </w:tcPr>
          <w:p>
            <w:pPr>
              <w:adjustRightInd w:val="0"/>
              <w:snapToGrid w:val="0"/>
              <w:spacing w:line="288" w:lineRule="auto"/>
              <w:jc w:val="center"/>
              <w:rPr>
                <w:rFonts w:hint="default"/>
                <w:b/>
                <w:bCs/>
                <w:kern w:val="0"/>
                <w:sz w:val="21"/>
                <w:szCs w:val="21"/>
                <w:lang w:val="en-US" w:eastAsia="zh-CN"/>
              </w:rPr>
            </w:pPr>
            <w:r>
              <w:rPr>
                <w:rFonts w:hint="eastAsia"/>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kern w:val="0"/>
                <w:sz w:val="21"/>
                <w:szCs w:val="21"/>
                <w:highlight w:val="none"/>
              </w:rPr>
              <w:t>供应商对本项目的技术路线设计、数据库设计提供详细的设计方案。设计方案详细合理，完全满足采购需求</w:t>
            </w:r>
            <w:r>
              <w:rPr>
                <w:rFonts w:hint="eastAsia"/>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adjustRightInd w:val="0"/>
              <w:snapToGrid w:val="0"/>
              <w:spacing w:line="288" w:lineRule="auto"/>
              <w:jc w:val="center"/>
              <w:rPr>
                <w:rFonts w:hint="eastAsia"/>
                <w:b/>
                <w:bCs/>
                <w:kern w:val="0"/>
                <w:sz w:val="21"/>
                <w:szCs w:val="21"/>
                <w:lang w:val="en-US" w:eastAsia="zh-CN"/>
              </w:rPr>
            </w:pPr>
            <w:r>
              <w:rPr>
                <w:rFonts w:hint="eastAsia"/>
                <w:b/>
                <w:bCs/>
                <w:kern w:val="0"/>
                <w:sz w:val="21"/>
                <w:szCs w:val="21"/>
                <w:lang w:val="en-US" w:eastAsia="zh-CN"/>
              </w:rPr>
              <w:t>相关功能应用场景的技术解决方案</w:t>
            </w: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ascii="宋体" w:hAnsi="宋体" w:eastAsia="宋体" w:cs="宋体"/>
                <w:color w:val="auto"/>
                <w:kern w:val="0"/>
                <w:sz w:val="21"/>
                <w:szCs w:val="21"/>
                <w:highlight w:val="none"/>
              </w:rPr>
              <w:t>党员发展全流程管理的技术解决方案。方法科学、有针对性的构建路线、条理清晰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val="en-US" w:eastAsia="zh-CN"/>
              </w:rPr>
            </w:pPr>
            <w:r>
              <w:rPr>
                <w:rFonts w:hint="eastAsia" w:ascii="宋体" w:hAnsi="宋体" w:eastAsia="宋体" w:cs="宋体"/>
                <w:color w:val="auto"/>
                <w:kern w:val="0"/>
                <w:sz w:val="21"/>
                <w:szCs w:val="21"/>
                <w:highlight w:val="none"/>
              </w:rPr>
              <w:t>智能党务管理的技术解决方案。方法科学、有针对性的构建路线、条理</w:t>
            </w:r>
            <w:r>
              <w:rPr>
                <w:rFonts w:hint="eastAsia" w:ascii="宋体" w:hAnsi="宋体" w:eastAsia="宋体" w:cs="宋体"/>
                <w:color w:val="auto"/>
                <w:kern w:val="0"/>
                <w:sz w:val="21"/>
                <w:szCs w:val="21"/>
                <w:highlight w:val="none"/>
                <w:lang w:val="en-US" w:eastAsia="zh-CN"/>
              </w:rPr>
              <w:t>清晰。</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default"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ascii="宋体" w:hAnsi="宋体" w:eastAsia="宋体" w:cs="宋体"/>
                <w:color w:val="auto"/>
                <w:kern w:val="0"/>
                <w:sz w:val="21"/>
                <w:szCs w:val="21"/>
                <w:highlight w:val="none"/>
              </w:rPr>
              <w:t>党建项目管理的技术解决方案。方法科学、有针对性的构建路线、条理清晰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ascii="宋体" w:hAnsi="宋体" w:eastAsia="宋体" w:cs="宋体"/>
                <w:color w:val="auto"/>
                <w:kern w:val="0"/>
                <w:sz w:val="21"/>
                <w:szCs w:val="21"/>
                <w:highlight w:val="none"/>
              </w:rPr>
              <w:t>党建考核的技术解决方案。方法科学、有针对性的构建路线、条理清晰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ascii="宋体" w:hAnsi="宋体" w:eastAsia="宋体" w:cs="宋体"/>
                <w:color w:val="auto"/>
                <w:kern w:val="0"/>
                <w:sz w:val="21"/>
                <w:szCs w:val="21"/>
                <w:highlight w:val="none"/>
              </w:rPr>
              <w:t>数智党建驾驶舱的技术解决方案。结构合理，样式美观，符合实际业务需求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kern w:val="0"/>
                <w:sz w:val="21"/>
                <w:szCs w:val="21"/>
                <w:highlight w:val="none"/>
              </w:rPr>
            </w:pPr>
            <w:r>
              <w:rPr>
                <w:rFonts w:hint="eastAsia" w:ascii="宋体" w:hAnsi="宋体" w:eastAsia="宋体" w:cs="宋体"/>
                <w:color w:val="auto"/>
                <w:kern w:val="0"/>
                <w:sz w:val="21"/>
                <w:szCs w:val="21"/>
                <w:highlight w:val="none"/>
              </w:rPr>
              <w:t>党员发展数据驾驶舱的技术解决方案。结构合理，样式美观，符合实际业务需求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val="en-US" w:eastAsia="zh-CN"/>
              </w:rPr>
            </w:pPr>
            <w:r>
              <w:rPr>
                <w:rFonts w:hint="eastAsia" w:ascii="宋体" w:hAnsi="宋体" w:eastAsia="宋体" w:cs="宋体"/>
                <w:color w:val="auto"/>
                <w:kern w:val="0"/>
                <w:sz w:val="21"/>
                <w:szCs w:val="21"/>
                <w:highlight w:val="none"/>
              </w:rPr>
              <w:t>平台</w:t>
            </w:r>
            <w:r>
              <w:rPr>
                <w:rFonts w:hint="eastAsia" w:ascii="宋体" w:hAnsi="宋体" w:eastAsia="宋体" w:cs="宋体"/>
                <w:color w:val="auto"/>
                <w:kern w:val="0"/>
                <w:sz w:val="21"/>
                <w:szCs w:val="21"/>
                <w:highlight w:val="none"/>
                <w:lang w:val="en-US" w:eastAsia="zh-CN"/>
              </w:rPr>
              <w:t>数据处理</w:t>
            </w:r>
            <w:r>
              <w:rPr>
                <w:rFonts w:hint="eastAsia" w:ascii="宋体" w:hAnsi="宋体" w:eastAsia="宋体" w:cs="宋体"/>
                <w:color w:val="auto"/>
                <w:kern w:val="0"/>
                <w:sz w:val="21"/>
                <w:szCs w:val="21"/>
                <w:highlight w:val="none"/>
              </w:rPr>
              <w:t>的技术解决方案。方法科学、有针对性的构建路线、条理清晰</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adjustRightInd w:val="0"/>
              <w:snapToGrid w:val="0"/>
              <w:spacing w:line="288" w:lineRule="auto"/>
              <w:jc w:val="center"/>
              <w:rPr>
                <w:rFonts w:hint="eastAsia"/>
                <w:b/>
                <w:bCs/>
                <w:kern w:val="0"/>
                <w:sz w:val="21"/>
                <w:szCs w:val="21"/>
                <w:lang w:val="en-US" w:eastAsia="zh-CN"/>
              </w:rPr>
            </w:pPr>
          </w:p>
        </w:tc>
        <w:tc>
          <w:tcPr>
            <w:tcW w:w="682" w:type="dxa"/>
            <w:vAlign w:val="center"/>
          </w:tcPr>
          <w:p>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rFonts w:hint="eastAsia" w:eastAsia="宋体"/>
                <w:kern w:val="0"/>
                <w:sz w:val="21"/>
                <w:szCs w:val="21"/>
                <w:highlight w:val="none"/>
                <w:lang w:eastAsia="zh-CN"/>
              </w:rPr>
            </w:pPr>
            <w:r>
              <w:rPr>
                <w:rFonts w:hint="eastAsia" w:ascii="宋体" w:hAnsi="宋体" w:eastAsia="宋体" w:cs="宋体"/>
                <w:color w:val="auto"/>
                <w:kern w:val="0"/>
                <w:sz w:val="21"/>
                <w:szCs w:val="21"/>
                <w:highlight w:val="none"/>
              </w:rPr>
              <w:t>网络安全的技术解决方案。方法科学、有针对性的构建路线、条理清晰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r>
              <w:rPr>
                <w:rFonts w:hint="eastAsia" w:ascii="宋体" w:hAnsi="宋体" w:eastAsia="宋体" w:cs="宋体"/>
                <w:b/>
                <w:bCs/>
                <w:color w:val="auto"/>
                <w:kern w:val="0"/>
                <w:sz w:val="21"/>
                <w:szCs w:val="21"/>
              </w:rPr>
              <w:t>项目</w:t>
            </w:r>
            <w:r>
              <w:rPr>
                <w:rFonts w:hint="eastAsia" w:cs="宋体"/>
                <w:b/>
                <w:bCs/>
                <w:color w:val="auto"/>
                <w:kern w:val="0"/>
                <w:sz w:val="21"/>
                <w:szCs w:val="21"/>
                <w:lang w:val="en-US" w:eastAsia="zh-CN"/>
              </w:rPr>
              <w:t>实施</w:t>
            </w:r>
            <w:r>
              <w:rPr>
                <w:rFonts w:hint="eastAsia" w:ascii="宋体" w:hAnsi="宋体" w:eastAsia="宋体" w:cs="宋体"/>
                <w:b/>
                <w:bCs/>
                <w:color w:val="auto"/>
                <w:kern w:val="0"/>
                <w:sz w:val="21"/>
                <w:szCs w:val="21"/>
              </w:rPr>
              <w:t>方案</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r>
              <w:rPr>
                <w:rFonts w:hint="eastAsia" w:cs="宋体"/>
                <w:b/>
                <w:bCs/>
                <w:color w:val="auto"/>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kern w:val="0"/>
                <w:sz w:val="21"/>
                <w:szCs w:val="21"/>
                <w:highlight w:val="none"/>
              </w:rPr>
            </w:pPr>
            <w:r>
              <w:rPr>
                <w:rFonts w:hint="eastAsia" w:ascii="宋体" w:hAnsi="宋体" w:eastAsia="宋体" w:cs="宋体"/>
                <w:color w:val="auto"/>
                <w:sz w:val="21"/>
                <w:szCs w:val="21"/>
                <w:highlight w:val="none"/>
                <w:lang w:val="en-US" w:eastAsia="zh-CN"/>
              </w:rPr>
              <w:t>项目组织实施方案和项目实施进度计划，方案考虑周全、进度计划编制合理且总体进度符合要求</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r>
              <w:rPr>
                <w:rFonts w:hint="eastAsia" w:cs="宋体"/>
                <w:b/>
                <w:bCs/>
                <w:color w:val="auto"/>
                <w:kern w:val="0"/>
                <w:sz w:val="21"/>
                <w:szCs w:val="21"/>
                <w:lang w:val="en-US" w:eastAsia="zh-CN"/>
              </w:rPr>
              <w:t>2</w:t>
            </w:r>
          </w:p>
        </w:tc>
        <w:tc>
          <w:tcPr>
            <w:tcW w:w="7071" w:type="dxa"/>
            <w:vAlign w:val="center"/>
          </w:tcPr>
          <w:p>
            <w:pPr>
              <w:adjustRightInd w:val="0"/>
              <w:snapToGrid w:val="0"/>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p>
            <w:pPr>
              <w:adjustRightInd w:val="0"/>
              <w:snapToGrid w:val="0"/>
              <w:spacing w:line="288" w:lineRule="auto"/>
              <w:rPr>
                <w:kern w:val="0"/>
                <w:sz w:val="21"/>
                <w:szCs w:val="21"/>
              </w:rPr>
            </w:pPr>
            <w:r>
              <w:rPr>
                <w:rFonts w:hint="eastAsia" w:ascii="宋体" w:hAnsi="宋体" w:eastAsia="宋体" w:cs="宋体"/>
                <w:color w:val="auto"/>
                <w:sz w:val="21"/>
                <w:szCs w:val="21"/>
                <w:highlight w:val="none"/>
                <w:lang w:val="en-US" w:eastAsia="zh-CN"/>
              </w:rPr>
              <w:t>项目风险控制、质量保障措施，详细可行的实施内容。方案考虑周全、内容全面可行、重点突出</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r>
              <w:rPr>
                <w:rFonts w:hint="eastAsia"/>
                <w:b/>
                <w:bCs/>
                <w:kern w:val="0"/>
                <w:sz w:val="21"/>
                <w:szCs w:val="21"/>
              </w:rPr>
              <w:t>售后服务</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b/>
                <w:bCs/>
                <w:kern w:val="0"/>
                <w:sz w:val="21"/>
                <w:szCs w:val="21"/>
              </w:rPr>
            </w:pPr>
            <w:r>
              <w:rPr>
                <w:rFonts w:hint="eastAsia" w:cs="宋体"/>
                <w:b/>
                <w:bCs/>
                <w:color w:val="auto"/>
                <w:kern w:val="0"/>
                <w:sz w:val="21"/>
                <w:szCs w:val="21"/>
                <w:lang w:val="en-US" w:eastAsia="zh-CN"/>
              </w:rPr>
              <w:t>2</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kern w:val="0"/>
                <w:sz w:val="21"/>
                <w:szCs w:val="21"/>
              </w:rPr>
            </w:pPr>
            <w:r>
              <w:rPr>
                <w:rFonts w:hint="eastAsia" w:ascii="宋体" w:hAnsi="宋体" w:eastAsia="宋体" w:cs="宋体"/>
                <w:color w:val="auto"/>
                <w:kern w:val="0"/>
                <w:sz w:val="21"/>
                <w:szCs w:val="21"/>
                <w:lang w:val="en-US" w:eastAsia="zh-CN"/>
              </w:rPr>
              <w:t>供应商的售后服务方案与承诺具有可操作性，具备完备的本地化售后服务机构、人员和流程等内容，服务人员具有党建软件项目售后服务工作经验。方案内容完整、合理、规范可行，完全符合采购需求。</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培训方案</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rPr>
            </w:pPr>
            <w:r>
              <w:rPr>
                <w:rFonts w:hint="default" w:ascii="宋体" w:hAnsi="宋体" w:eastAsia="宋体" w:cs="宋体"/>
                <w:b/>
                <w:bCs/>
                <w:kern w:val="0"/>
                <w:sz w:val="21"/>
                <w:szCs w:val="21"/>
                <w:lang w:val="en-US" w:eastAsia="zh-CN"/>
              </w:rPr>
              <w:t>2</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【主观分】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培训计划，培训进度安排合理，培训内容切实满足用户实际需要。培训内容完整、培训时间合理、人员安排可行。</w:t>
            </w:r>
            <w:r>
              <w:rPr>
                <w:rFonts w:hint="eastAsia" w:ascii="宋体" w:hAnsi="宋体" w:eastAsia="宋体" w:cs="宋体"/>
                <w:color w:val="auto"/>
                <w:sz w:val="21"/>
                <w:szCs w:val="21"/>
                <w:highlight w:val="none"/>
                <w:lang w:val="en-US" w:eastAsia="zh-CN"/>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项目负责人</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rPr>
            </w:pPr>
            <w:r>
              <w:rPr>
                <w:rFonts w:hint="default" w:ascii="宋体" w:hAnsi="宋体" w:eastAsia="宋体" w:cs="宋体"/>
                <w:b/>
                <w:bCs/>
                <w:kern w:val="0"/>
                <w:sz w:val="21"/>
                <w:szCs w:val="21"/>
                <w:lang w:val="en-US" w:eastAsia="zh-CN"/>
              </w:rPr>
              <w:t>3</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【客观分】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投标人拟派项目负责人具有政府职能部门颁发的计算机专业高级职称且具有2个及以上党建软件项目经验的，得3分</w:t>
            </w:r>
            <w:r>
              <w:rPr>
                <w:rFonts w:hint="eastAsia" w:cs="宋体"/>
                <w:color w:val="auto"/>
                <w:kern w:val="0"/>
                <w:sz w:val="21"/>
                <w:szCs w:val="21"/>
                <w:lang w:val="en-US" w:eastAsia="zh-CN"/>
              </w:rPr>
              <w:t>。</w:t>
            </w:r>
            <w:r>
              <w:rPr>
                <w:rFonts w:hint="eastAsia" w:ascii="宋体" w:hAnsi="宋体" w:eastAsia="宋体" w:cs="宋体"/>
                <w:color w:val="auto"/>
                <w:kern w:val="0"/>
                <w:sz w:val="21"/>
                <w:szCs w:val="21"/>
                <w:lang w:val="en-US" w:eastAsia="zh-CN"/>
              </w:rPr>
              <w:t>（需要同时满足</w:t>
            </w:r>
            <w:r>
              <w:rPr>
                <w:rFonts w:hint="eastAsia" w:cs="宋体"/>
                <w:color w:val="auto"/>
                <w:kern w:val="0"/>
                <w:sz w:val="21"/>
                <w:szCs w:val="21"/>
                <w:lang w:val="en-US" w:eastAsia="zh-CN"/>
              </w:rPr>
              <w:t>以上</w:t>
            </w:r>
            <w:r>
              <w:rPr>
                <w:rFonts w:hint="eastAsia" w:ascii="宋体" w:hAnsi="宋体" w:eastAsia="宋体" w:cs="宋体"/>
                <w:color w:val="auto"/>
                <w:kern w:val="0"/>
                <w:sz w:val="21"/>
                <w:szCs w:val="21"/>
                <w:lang w:val="en-US" w:eastAsia="zh-CN"/>
              </w:rPr>
              <w:t>两个条件，否则不得分。）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证明材料：提供证书扫描件，业绩证明材料由其业主方盖章的项目经验证明材料并提供扫描件，未提供或提供资料不满足要求的不得分。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项目团队人员</w:t>
            </w:r>
            <w:r>
              <w:rPr>
                <w:rFonts w:hint="eastAsia" w:cs="宋体"/>
                <w:b/>
                <w:bCs/>
                <w:kern w:val="0"/>
                <w:sz w:val="21"/>
                <w:szCs w:val="21"/>
                <w:lang w:val="en-US" w:eastAsia="zh-CN"/>
              </w:rPr>
              <w:t>（除项目负责人外）</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lang w:val="en-US" w:eastAsia="zh-CN"/>
              </w:rPr>
            </w:pPr>
            <w:r>
              <w:rPr>
                <w:rFonts w:hint="default" w:ascii="宋体" w:hAnsi="宋体" w:eastAsia="宋体" w:cs="宋体"/>
                <w:b/>
                <w:bCs/>
                <w:kern w:val="0"/>
                <w:sz w:val="21"/>
                <w:szCs w:val="21"/>
                <w:lang w:val="en-US" w:eastAsia="zh-CN"/>
              </w:rPr>
              <w:t>6</w:t>
            </w:r>
          </w:p>
        </w:tc>
        <w:tc>
          <w:tcPr>
            <w:tcW w:w="7071" w:type="dxa"/>
            <w:vAlign w:val="center"/>
          </w:tcPr>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【客观分】</w:t>
            </w:r>
          </w:p>
          <w:p>
            <w:pPr>
              <w:keepNext w:val="0"/>
              <w:keepLines w:val="0"/>
              <w:pageBreakBefore w:val="0"/>
              <w:kinsoku/>
              <w:wordWrap/>
              <w:overflowPunct/>
              <w:topLinePunct w:val="0"/>
              <w:autoSpaceDE/>
              <w:autoSpaceDN/>
              <w:bidi w:val="0"/>
              <w:adjustRightInd w:val="0"/>
              <w:snapToGrid w:val="0"/>
              <w:spacing w:line="288" w:lineRule="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项目团队成员中具有</w:t>
            </w:r>
            <w:r>
              <w:rPr>
                <w:rFonts w:hint="eastAsia" w:cs="宋体"/>
                <w:color w:val="auto"/>
                <w:kern w:val="0"/>
                <w:sz w:val="21"/>
                <w:szCs w:val="21"/>
                <w:lang w:val="en-US" w:eastAsia="zh-CN"/>
              </w:rPr>
              <w:t>2</w:t>
            </w:r>
            <w:r>
              <w:rPr>
                <w:rFonts w:hint="eastAsia" w:ascii="宋体" w:hAnsi="宋体" w:eastAsia="宋体" w:cs="宋体"/>
                <w:color w:val="auto"/>
                <w:kern w:val="0"/>
                <w:sz w:val="21"/>
                <w:szCs w:val="21"/>
                <w:lang w:val="en-US" w:eastAsia="zh-CN"/>
              </w:rPr>
              <w:t>个及以上党建软件项目经验的，每人得</w:t>
            </w:r>
            <w:r>
              <w:rPr>
                <w:rFonts w:hint="eastAsia" w:cs="宋体"/>
                <w:color w:val="auto"/>
                <w:kern w:val="0"/>
                <w:sz w:val="21"/>
                <w:szCs w:val="21"/>
                <w:lang w:val="en-US" w:eastAsia="zh-CN"/>
              </w:rPr>
              <w:t>2</w:t>
            </w:r>
            <w:r>
              <w:rPr>
                <w:rFonts w:hint="eastAsia" w:ascii="宋体" w:hAnsi="宋体" w:eastAsia="宋体" w:cs="宋体"/>
                <w:color w:val="auto"/>
                <w:kern w:val="0"/>
                <w:sz w:val="21"/>
                <w:szCs w:val="21"/>
                <w:lang w:val="en-US" w:eastAsia="zh-CN"/>
              </w:rPr>
              <w:t>分。本项最多得6分。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证明材料：提供证书扫描件，业绩证明材料由其</w:t>
            </w:r>
            <w:r>
              <w:rPr>
                <w:rFonts w:hint="eastAsia" w:cs="宋体"/>
                <w:color w:val="auto"/>
                <w:kern w:val="0"/>
                <w:sz w:val="21"/>
                <w:szCs w:val="21"/>
                <w:lang w:val="en-US" w:eastAsia="zh-CN"/>
              </w:rPr>
              <w:t>服务过的</w:t>
            </w:r>
            <w:r>
              <w:rPr>
                <w:rFonts w:hint="eastAsia" w:ascii="宋体" w:hAnsi="宋体" w:eastAsia="宋体" w:cs="宋体"/>
                <w:color w:val="auto"/>
                <w:kern w:val="0"/>
                <w:sz w:val="21"/>
                <w:szCs w:val="21"/>
                <w:lang w:val="en-US" w:eastAsia="zh-CN"/>
              </w:rPr>
              <w:t>业主方盖章的项目经验证明材料并提供扫描件，未提供或提供资料不满足要求的不得分。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演示</w:t>
            </w:r>
          </w:p>
        </w:tc>
        <w:tc>
          <w:tcPr>
            <w:tcW w:w="682" w:type="dxa"/>
            <w:vAlign w:val="center"/>
          </w:tcPr>
          <w:p>
            <w:pPr>
              <w:keepNext w:val="0"/>
              <w:keepLines w:val="0"/>
              <w:pageBreakBefore w:val="0"/>
              <w:kinsoku/>
              <w:wordWrap/>
              <w:overflowPunct/>
              <w:topLinePunct w:val="0"/>
              <w:autoSpaceDE/>
              <w:autoSpaceDN/>
              <w:bidi w:val="0"/>
              <w:adjustRightInd w:val="0"/>
              <w:snapToGrid w:val="0"/>
              <w:spacing w:line="288"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1</w:t>
            </w:r>
            <w:r>
              <w:rPr>
                <w:rFonts w:hint="eastAsia" w:cs="宋体"/>
                <w:b/>
                <w:bCs/>
                <w:kern w:val="0"/>
                <w:sz w:val="21"/>
                <w:szCs w:val="21"/>
                <w:highlight w:val="none"/>
                <w:lang w:val="en-US" w:eastAsia="zh-CN"/>
              </w:rPr>
              <w:t>6</w:t>
            </w:r>
          </w:p>
        </w:tc>
        <w:tc>
          <w:tcPr>
            <w:tcW w:w="7071" w:type="dxa"/>
            <w:vAlign w:val="center"/>
          </w:tcPr>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【客观分】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供应商需提供软件demo或类似项目真实软件的演示，演示时长不超过10分钟，要求内容真实，技术操作合理可行，功能模块运行及时高效，演示功能满足评审要求即得分，不满足不得分。具体演示内容如下：</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1.党员发展全流程管理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（1）基础信息管理：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①要求支持发展党员5大阶段、25个步骤全流程可视化展示</w:t>
            </w:r>
            <w:r>
              <w:rPr>
                <w:rFonts w:hint="eastAsia" w:cs="宋体"/>
                <w:color w:val="auto"/>
                <w:sz w:val="21"/>
                <w:szCs w:val="21"/>
                <w:highlight w:val="none"/>
                <w:lang w:val="en-US" w:eastAsia="zh-CN"/>
              </w:rPr>
              <w:t>。每个步骤均支持点击查看该步骤的发展要求，模板材料以及发展培养对象该步骤的发展材料。</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②所有操作支持日志审计，支持记录操作时间，操作类型，操作模块，操作人以及操作内容前后对比。</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（2）发展流程自定义：</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①要求支持发展流程自定义功能，系统按《中国共产党发展党员工作细则》的要求内置一套标准化的发展流程和规则。</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②同时针对学校个性化的需求也支持自定义发展流程，自定义发展要求，注意事项以及模板信息。</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（3）电子档案袋：</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①要求支持电子档案袋功能，将发展过程中的所有文档进行电子留存，加密存储。</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支持实时预览和下载。</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（4）智能预警：</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同时支持修改和自定义预警规则，修改时间要求，自定义判断预警时间，预警文案，提醒对象以及提醒方式</w:t>
            </w:r>
            <w:r>
              <w:rPr>
                <w:rFonts w:hint="eastAsia" w:cs="宋体"/>
                <w:b w:val="0"/>
                <w:bCs w:val="0"/>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2.智能党务管理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（1）任务统计：</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支持任务完成情况在线实时统计，支持指派组织统计，已审核，待审核统计，已查阅统计，未查阅统计，已上报统计，未上报统计。</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（2）云表单</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default" w:ascii="宋体" w:hAnsi="宋体" w:eastAsia="宋体" w:cs="宋体"/>
                <w:color w:val="auto"/>
                <w:sz w:val="21"/>
                <w:szCs w:val="21"/>
                <w:highlight w:val="none"/>
                <w:lang w:val="en-US" w:eastAsia="zh-CN"/>
              </w:rPr>
              <w:t>要求开发建设云表单模块，运用低代码技术，适配智慧党建组织架构和权限体系。</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default" w:ascii="宋体" w:hAnsi="宋体" w:eastAsia="宋体" w:cs="宋体"/>
                <w:color w:val="auto"/>
                <w:sz w:val="21"/>
                <w:szCs w:val="21"/>
                <w:highlight w:val="none"/>
                <w:lang w:val="en-US" w:eastAsia="zh-CN"/>
              </w:rPr>
              <w:t>支持可视化拖拽的方式生成各种类型的表单，方便党务老师自定义生成所需的表单发派给基层党组织进行信息报送。</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3.党建考核</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要求支持自动赋分功能，关联贯通部分业务系统，实时监控并自动抓取对应的业务数据，根据考核规则实现自动赋分。</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要求支持在线手动赋分功能，对手动赋分的指标进行在线评分，支持多人同时进行在线评分，自动统一汇总最新考核成绩。</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要求考核方案支持用户自定义功能，自定义配置自动考核规则、手动赋分规则等。</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4.数智党建驾驶舱</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围绕学校政治建设、思想建设、制度建设、队伍建设、纪律建设等领域工作，构建学校党建工作的指标体系和决策模型。驾驶舱内容需涵盖以上建设成果，同时集中展示和晾晒学校的党建工作全貌、双创成果和先锋荣誉情况、党建品牌、强基指数以及堡垒指数，重点体现“四个融合”行动工作成效，为领导决策提供科学的数据分析依据。</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5.党员发展数据驾驶舱</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以大数据BI的形式展示发展培养对象性别比例、发展培养对象民族分布、发展培养对象学历分布、发展培养对象年龄分布、每年全校发展培养对象总数、各二级党组织发展培养对象数量，各二级党组织发展培养对象的不同阶段的人员分布情况，发展过程中的预警情况。</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6.网络安全</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隐私数据做加密处理，前端以及数据库中均对其进行加密处理。</w:t>
            </w:r>
            <w:r>
              <w:rPr>
                <w:rFonts w:hint="eastAsia" w:ascii="宋体" w:hAnsi="宋体" w:eastAsia="宋体" w:cs="宋体"/>
                <w:b/>
                <w:bCs/>
                <w:color w:val="auto"/>
                <w:sz w:val="21"/>
                <w:szCs w:val="21"/>
                <w:highlight w:val="none"/>
                <w:lang w:val="en-US" w:eastAsia="zh-CN"/>
              </w:rPr>
              <w:t>（1分）</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b/>
                <w:bCs/>
                <w:sz w:val="21"/>
                <w:szCs w:val="21"/>
                <w:highlight w:val="none"/>
                <w:lang w:val="en-US" w:eastAsia="zh-CN"/>
              </w:rPr>
            </w:pPr>
            <w:r>
              <w:rPr>
                <w:rFonts w:hint="eastAsia" w:cs="宋体"/>
                <w:b/>
                <w:bCs/>
                <w:sz w:val="21"/>
                <w:szCs w:val="21"/>
                <w:highlight w:val="none"/>
                <w:lang w:val="en-US" w:eastAsia="zh-CN"/>
              </w:rPr>
              <w:t>未提供软件demo或类似项目真实软件演示，仅以PPT、图片格式等其他方式的演示的不得分。</w:t>
            </w:r>
          </w:p>
          <w:p>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sz w:val="21"/>
                <w:szCs w:val="21"/>
                <w:highlight w:val="none"/>
                <w:lang w:val="en-US" w:eastAsia="zh-CN"/>
              </w:rPr>
              <w:t>▲未提供任何演示材料的，响应无效</w:t>
            </w:r>
            <w:r>
              <w:rPr>
                <w:rFonts w:hint="eastAsia" w:cs="宋体"/>
                <w:b/>
                <w:bCs/>
                <w:sz w:val="21"/>
                <w:szCs w:val="21"/>
                <w:highlight w:val="none"/>
                <w:lang w:val="en-US" w:eastAsia="zh-CN"/>
              </w:rPr>
              <w:t>。</w:t>
            </w:r>
          </w:p>
        </w:tc>
      </w:tr>
    </w:tbl>
    <w:p>
      <w:pPr>
        <w:adjustRightInd w:val="0"/>
        <w:snapToGrid w:val="0"/>
        <w:spacing w:line="288" w:lineRule="auto"/>
        <w:rPr>
          <w:sz w:val="21"/>
          <w:szCs w:val="21"/>
        </w:rPr>
      </w:pPr>
    </w:p>
    <w:p>
      <w:pPr>
        <w:adjustRightInd w:val="0"/>
        <w:snapToGrid w:val="0"/>
        <w:spacing w:line="288" w:lineRule="auto"/>
        <w:rPr>
          <w:rFonts w:hint="eastAsia" w:eastAsia="宋体" w:cs="Times New Roman"/>
          <w:b/>
          <w:bCs/>
          <w:spacing w:val="-6"/>
          <w:sz w:val="21"/>
          <w:szCs w:val="21"/>
          <w:lang w:eastAsia="zh-CN"/>
        </w:rPr>
      </w:pPr>
      <w:r>
        <w:rPr>
          <w:rFonts w:hint="eastAsia"/>
          <w:b/>
          <w:sz w:val="21"/>
          <w:szCs w:val="21"/>
        </w:rPr>
        <w:t>说明</w:t>
      </w:r>
      <w:r>
        <w:rPr>
          <w:b/>
          <w:sz w:val="21"/>
          <w:szCs w:val="21"/>
        </w:rPr>
        <w:t>：</w:t>
      </w:r>
      <w:bookmarkStart w:id="49" w:name="_Hlk81817387"/>
      <w:r>
        <w:rPr>
          <w:rFonts w:hint="eastAsia"/>
          <w:b/>
          <w:sz w:val="21"/>
          <w:szCs w:val="21"/>
          <w:highlight w:val="none"/>
        </w:rPr>
        <w:t>本项目专门面向中小企业采购，不再执行价格评审优惠的扶持政策</w:t>
      </w:r>
      <w:r>
        <w:rPr>
          <w:rFonts w:hint="eastAsia"/>
          <w:b/>
          <w:sz w:val="21"/>
          <w:szCs w:val="21"/>
          <w:highlight w:val="none"/>
          <w:lang w:eastAsia="zh-CN"/>
        </w:rPr>
        <w:t>。</w:t>
      </w:r>
    </w:p>
    <w:bookmarkEnd w:id="49"/>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第五章  拟签订的合同文本</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浙江经济职业技术学院采购合同(202</w:t>
      </w:r>
      <w:r>
        <w:rPr>
          <w:rFonts w:hint="eastAsia"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版)</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合同编号：</w:t>
      </w:r>
    </w:p>
    <w:p>
      <w:pPr>
        <w:widowControl w:val="0"/>
        <w:snapToGrid w:val="0"/>
        <w:spacing w:line="360" w:lineRule="auto"/>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确认书号：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sz w:val="21"/>
          <w:szCs w:val="21"/>
          <w:highlight w:val="none"/>
        </w:rPr>
        <w:t xml:space="preserve">（采购人）：浙江经济职业技术学院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乙方</w:t>
      </w:r>
      <w:r>
        <w:rPr>
          <w:rFonts w:hint="eastAsia" w:ascii="宋体" w:hAnsi="宋体" w:eastAsia="宋体" w:cs="宋体"/>
          <w:sz w:val="21"/>
          <w:szCs w:val="21"/>
          <w:highlight w:val="none"/>
        </w:rPr>
        <w:t xml:space="preserve">（供应商）：                    </w:t>
      </w:r>
    </w:p>
    <w:p>
      <w:pPr>
        <w:spacing w:line="520" w:lineRule="exact"/>
        <w:ind w:firstLine="211" w:firstLineChars="100"/>
        <w:outlineLvl w:val="9"/>
        <w:rPr>
          <w:rFonts w:ascii="宋体" w:hAnsi="宋体" w:eastAsia="宋体" w:cs="宋体"/>
          <w:sz w:val="21"/>
          <w:szCs w:val="21"/>
          <w:highlight w:val="none"/>
        </w:rPr>
      </w:pPr>
      <w:r>
        <w:rPr>
          <w:rFonts w:hint="eastAsia" w:ascii="宋体" w:hAnsi="宋体" w:eastAsia="宋体" w:cs="宋体"/>
          <w:b/>
          <w:bCs/>
          <w:sz w:val="21"/>
          <w:szCs w:val="21"/>
          <w:highlight w:val="none"/>
        </w:rPr>
        <w:t>鉴 证 方:</w:t>
      </w:r>
      <w:r>
        <w:rPr>
          <w:rFonts w:hint="eastAsia" w:ascii="宋体" w:hAnsi="宋体" w:eastAsia="宋体" w:cs="宋体"/>
          <w:sz w:val="21"/>
          <w:szCs w:val="21"/>
          <w:highlight w:val="none"/>
        </w:rPr>
        <w:t xml:space="preserve"> </w:t>
      </w:r>
    </w:p>
    <w:p>
      <w:pPr>
        <w:widowControl w:val="0"/>
        <w:adjustRightInd w:val="0"/>
        <w:snapToGrid w:val="0"/>
        <w:spacing w:line="460" w:lineRule="exact"/>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甲、乙双方根据</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关于</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项目编号为</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的</w:t>
      </w:r>
      <w:r>
        <w:rPr>
          <w:rFonts w:hint="eastAsia" w:ascii="宋体" w:hAnsi="宋体" w:eastAsia="宋体" w:cs="宋体"/>
          <w:snapToGrid w:val="0"/>
          <w:kern w:val="0"/>
          <w:sz w:val="21"/>
          <w:szCs w:val="21"/>
          <w:highlight w:val="none"/>
          <w:lang w:val="en-US" w:eastAsia="zh-CN" w:bidi="ar-SA"/>
        </w:rPr>
        <w:t>项目竞争性磋商采购的结果，签署本合同。</w:t>
      </w:r>
    </w:p>
    <w:p>
      <w:pPr>
        <w:widowControl w:val="0"/>
        <w:adjustRightInd w:val="0"/>
        <w:snapToGrid w:val="0"/>
        <w:spacing w:line="460" w:lineRule="exact"/>
        <w:ind w:firstLine="449" w:firstLineChars="213"/>
        <w:jc w:val="both"/>
        <w:outlineLvl w:val="9"/>
        <w:rPr>
          <w:rFonts w:ascii="宋体" w:hAnsi="宋体" w:eastAsia="宋体" w:cs="宋体"/>
          <w:b/>
          <w:kern w:val="2"/>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一、货物(服务）内容</w:t>
      </w:r>
      <w:r>
        <w:rPr>
          <w:rFonts w:hint="eastAsia" w:ascii="宋体" w:hAnsi="宋体" w:eastAsia="宋体" w:cs="宋体"/>
          <w:b/>
          <w:kern w:val="2"/>
          <w:sz w:val="21"/>
          <w:szCs w:val="21"/>
          <w:highlight w:val="none"/>
          <w:lang w:val="en-US" w:eastAsia="zh-CN" w:bidi="ar-SA"/>
        </w:rPr>
        <w:t>及合同价格</w:t>
      </w:r>
    </w:p>
    <w:p>
      <w:pPr>
        <w:widowControl w:val="0"/>
        <w:adjustRightInd w:val="0"/>
        <w:snapToGrid w:val="0"/>
        <w:spacing w:line="460" w:lineRule="exact"/>
        <w:ind w:firstLine="447" w:firstLineChars="213"/>
        <w:jc w:val="right"/>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金额单位：元 </w:t>
      </w:r>
    </w:p>
    <w:tbl>
      <w:tblPr>
        <w:tblStyle w:val="18"/>
        <w:tblW w:w="94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412"/>
        <w:gridCol w:w="6"/>
        <w:gridCol w:w="1275"/>
        <w:gridCol w:w="1276"/>
        <w:gridCol w:w="141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023"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货物（服务）名称</w:t>
            </w:r>
          </w:p>
        </w:tc>
        <w:tc>
          <w:tcPr>
            <w:tcW w:w="1418" w:type="dxa"/>
            <w:gridSpan w:val="2"/>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型号规格</w:t>
            </w:r>
          </w:p>
        </w:tc>
        <w:tc>
          <w:tcPr>
            <w:tcW w:w="1275"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配置要求</w:t>
            </w:r>
          </w:p>
        </w:tc>
        <w:tc>
          <w:tcPr>
            <w:tcW w:w="1276"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数量</w:t>
            </w:r>
          </w:p>
        </w:tc>
        <w:tc>
          <w:tcPr>
            <w:tcW w:w="1418" w:type="dxa"/>
            <w:vAlign w:val="center"/>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单价</w:t>
            </w:r>
          </w:p>
        </w:tc>
        <w:tc>
          <w:tcPr>
            <w:tcW w:w="2007" w:type="dxa"/>
          </w:tcPr>
          <w:p>
            <w:pPr>
              <w:widowControl w:val="0"/>
              <w:snapToGrid w:val="0"/>
              <w:spacing w:line="460" w:lineRule="exact"/>
              <w:jc w:val="center"/>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spacing w:line="460" w:lineRule="exact"/>
              <w:jc w:val="center"/>
              <w:outlineLvl w:val="9"/>
              <w:rPr>
                <w:rFonts w:ascii="宋体" w:hAnsi="宋体" w:eastAsia="宋体" w:cs="宋体"/>
                <w:sz w:val="21"/>
                <w:szCs w:val="21"/>
                <w:highlight w:val="none"/>
              </w:rPr>
            </w:pPr>
          </w:p>
        </w:tc>
        <w:tc>
          <w:tcPr>
            <w:tcW w:w="1412" w:type="dxa"/>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pPr>
              <w:spacing w:line="460" w:lineRule="exact"/>
              <w:jc w:val="center"/>
              <w:outlineLvl w:val="9"/>
              <w:rPr>
                <w:rFonts w:ascii="宋体" w:hAnsi="宋体" w:eastAsia="宋体" w:cs="宋体"/>
                <w:sz w:val="21"/>
                <w:szCs w:val="21"/>
                <w:highlight w:val="none"/>
              </w:rPr>
            </w:pPr>
          </w:p>
        </w:tc>
        <w:tc>
          <w:tcPr>
            <w:tcW w:w="1418" w:type="dxa"/>
            <w:vAlign w:val="center"/>
          </w:tcPr>
          <w:p>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pPr>
              <w:widowControl/>
              <w:spacing w:line="460" w:lineRule="exact"/>
              <w:ind w:firstLine="210" w:firstLineChars="100"/>
              <w:outlineLvl w:val="9"/>
              <w:rPr>
                <w:rFonts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023" w:type="dxa"/>
            <w:vAlign w:val="center"/>
          </w:tcPr>
          <w:p>
            <w:pPr>
              <w:spacing w:line="460" w:lineRule="exact"/>
              <w:jc w:val="center"/>
              <w:outlineLvl w:val="9"/>
              <w:rPr>
                <w:rFonts w:ascii="宋体" w:hAnsi="宋体" w:eastAsia="宋体" w:cs="宋体"/>
                <w:sz w:val="21"/>
                <w:szCs w:val="21"/>
                <w:highlight w:val="none"/>
              </w:rPr>
            </w:pPr>
          </w:p>
        </w:tc>
        <w:tc>
          <w:tcPr>
            <w:tcW w:w="1412" w:type="dxa"/>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81" w:type="dxa"/>
            <w:gridSpan w:val="2"/>
            <w:vAlign w:val="center"/>
          </w:tcPr>
          <w:p>
            <w:pPr>
              <w:spacing w:line="460" w:lineRule="exact"/>
              <w:ind w:firstLine="447" w:firstLineChars="213"/>
              <w:jc w:val="center"/>
              <w:outlineLvl w:val="9"/>
              <w:rPr>
                <w:rFonts w:ascii="宋体" w:hAnsi="宋体" w:eastAsia="宋体" w:cs="宋体"/>
                <w:sz w:val="21"/>
                <w:szCs w:val="21"/>
                <w:highlight w:val="none"/>
              </w:rPr>
            </w:pPr>
          </w:p>
        </w:tc>
        <w:tc>
          <w:tcPr>
            <w:tcW w:w="1276" w:type="dxa"/>
            <w:vAlign w:val="center"/>
          </w:tcPr>
          <w:p>
            <w:pPr>
              <w:spacing w:line="460" w:lineRule="exact"/>
              <w:jc w:val="center"/>
              <w:outlineLvl w:val="9"/>
              <w:rPr>
                <w:rFonts w:ascii="宋体" w:hAnsi="宋体" w:eastAsia="宋体" w:cs="宋体"/>
                <w:sz w:val="21"/>
                <w:szCs w:val="21"/>
                <w:highlight w:val="none"/>
              </w:rPr>
            </w:pPr>
          </w:p>
        </w:tc>
        <w:tc>
          <w:tcPr>
            <w:tcW w:w="1418" w:type="dxa"/>
            <w:vAlign w:val="center"/>
          </w:tcPr>
          <w:p>
            <w:pPr>
              <w:widowControl/>
              <w:spacing w:line="460" w:lineRule="exact"/>
              <w:ind w:firstLine="210" w:firstLineChars="100"/>
              <w:outlineLvl w:val="9"/>
              <w:rPr>
                <w:rFonts w:ascii="宋体" w:hAnsi="宋体" w:eastAsia="宋体" w:cs="宋体"/>
                <w:snapToGrid w:val="0"/>
                <w:kern w:val="0"/>
                <w:sz w:val="21"/>
                <w:szCs w:val="21"/>
                <w:highlight w:val="none"/>
              </w:rPr>
            </w:pPr>
          </w:p>
        </w:tc>
        <w:tc>
          <w:tcPr>
            <w:tcW w:w="2007" w:type="dxa"/>
          </w:tcPr>
          <w:p>
            <w:pPr>
              <w:widowControl/>
              <w:spacing w:line="460" w:lineRule="exact"/>
              <w:ind w:firstLine="210" w:firstLineChars="100"/>
              <w:outlineLvl w:val="9"/>
              <w:rPr>
                <w:rFonts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417" w:type="dxa"/>
            <w:gridSpan w:val="7"/>
          </w:tcPr>
          <w:p>
            <w:pPr>
              <w:widowControl w:val="0"/>
              <w:snapToGrid w:val="0"/>
              <w:spacing w:line="460" w:lineRule="exact"/>
              <w:jc w:val="both"/>
              <w:outlineLvl w:val="9"/>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合同总价大写：                 小写：￥</w:t>
            </w:r>
          </w:p>
        </w:tc>
      </w:tr>
    </w:tbl>
    <w:p>
      <w:pPr>
        <w:widowControl w:val="0"/>
        <w:snapToGrid w:val="0"/>
        <w:spacing w:line="460" w:lineRule="exact"/>
        <w:ind w:firstLine="447" w:firstLineChars="213"/>
        <w:jc w:val="both"/>
        <w:outlineLvl w:val="9"/>
        <w:rPr>
          <w:rFonts w:ascii="宋体" w:hAnsi="宋体" w:eastAsia="宋体" w:cs="宋体"/>
          <w:b/>
          <w:kern w:val="2"/>
          <w:sz w:val="21"/>
          <w:szCs w:val="21"/>
          <w:highlight w:val="none"/>
          <w:u w:val="single"/>
          <w:lang w:val="en-US" w:eastAsia="zh-CN" w:bidi="ar-SA"/>
        </w:rPr>
      </w:pPr>
      <w:r>
        <w:rPr>
          <w:rFonts w:hint="eastAsia" w:ascii="宋体" w:hAnsi="宋体" w:eastAsia="宋体" w:cs="宋体"/>
          <w:kern w:val="2"/>
          <w:sz w:val="21"/>
          <w:szCs w:val="21"/>
          <w:highlight w:val="none"/>
          <w:lang w:val="en-US" w:eastAsia="zh-CN" w:bidi="ar-SA"/>
        </w:rPr>
        <w:t>注：1、商品型号、数量、配置要求及使用单位地址等详见附件清单，附件</w:t>
      </w:r>
      <w:r>
        <w:rPr>
          <w:rFonts w:hint="eastAsia"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lang w:val="en-US" w:eastAsia="zh-CN" w:bidi="ar-SA"/>
        </w:rPr>
        <w:t>是本合同的有效组成部分。</w:t>
      </w:r>
    </w:p>
    <w:p>
      <w:pPr>
        <w:autoSpaceDE w:val="0"/>
        <w:autoSpaceDN w:val="0"/>
        <w:adjustRightInd w:val="0"/>
        <w:ind w:firstLine="525" w:firstLineChars="250"/>
        <w:jc w:val="left"/>
        <w:outlineLvl w:val="9"/>
        <w:rPr>
          <w:rFonts w:ascii="宋体" w:hAnsi="宋体" w:eastAsia="宋体" w:cs="宋体"/>
          <w:sz w:val="21"/>
          <w:szCs w:val="21"/>
          <w:highlight w:val="none"/>
        </w:rPr>
      </w:pPr>
      <w:r>
        <w:rPr>
          <w:rFonts w:hint="eastAsia" w:ascii="宋体" w:hAnsi="宋体" w:eastAsia="宋体" w:cs="宋体"/>
          <w:sz w:val="21"/>
          <w:szCs w:val="21"/>
          <w:highlight w:val="none"/>
        </w:rPr>
        <w:t>2、以上合同总价包含货物（服务）到达甲方用户并能正常使用所需的一切费用，包括但不限于商品购置费、包装费、运输费、装卸费、保险费、检验费、安装调试费、验收费、技术服务费、培训费以及保修费、税费等。</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二、技术资料</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1、乙方应按磋商文件规定的时间向甲方提供使用货物（服务）的有关技术资料。</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三、知识产权</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乙方应保证所提供的货物（服务）或其任何一部分均不会侵犯任何第三方的知识产权</w:t>
      </w:r>
      <w:r>
        <w:rPr>
          <w:rFonts w:hint="eastAsia" w:ascii="宋体" w:hAnsi="宋体" w:eastAsia="宋体" w:cs="宋体"/>
          <w:bCs/>
          <w:snapToGrid w:val="0"/>
          <w:kern w:val="0"/>
          <w:sz w:val="21"/>
          <w:szCs w:val="21"/>
          <w:highlight w:val="none"/>
          <w:lang w:val="en-US" w:eastAsia="zh-CN" w:bidi="ar-SA"/>
        </w:rPr>
        <w:t>。</w:t>
      </w:r>
    </w:p>
    <w:p>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b/>
          <w:snapToGrid w:val="0"/>
          <w:kern w:val="0"/>
          <w:sz w:val="21"/>
          <w:szCs w:val="21"/>
          <w:highlight w:val="none"/>
          <w:lang w:val="en-US" w:eastAsia="zh-CN" w:bidi="ar-SA"/>
        </w:rPr>
        <w:t>四、产权担保</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乙方保证所交付的货物（服务）的所有权完全属于乙方且无任何抵押、查封等产权瑕疵。</w:t>
      </w:r>
    </w:p>
    <w:p>
      <w:pPr>
        <w:widowControl w:val="0"/>
        <w:adjustRightInd w:val="0"/>
        <w:snapToGrid w:val="0"/>
        <w:spacing w:line="460" w:lineRule="exact"/>
        <w:ind w:firstLine="417" w:firstLineChars="198"/>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五、转包或分包</w:t>
      </w:r>
    </w:p>
    <w:p>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本合同范围的货物（服务），应由乙方直接供应，不得转让他人供应，否则，甲方有权解除合同，没收履约保证金并追究乙方的违约责任。</w:t>
      </w:r>
    </w:p>
    <w:p>
      <w:pPr>
        <w:widowControl w:val="0"/>
        <w:adjustRightInd w:val="0"/>
        <w:snapToGrid w:val="0"/>
        <w:spacing w:line="460" w:lineRule="exact"/>
        <w:ind w:firstLine="449"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六、质保期和履约保证金</w:t>
      </w:r>
    </w:p>
    <w:p>
      <w:pPr>
        <w:widowControl w:val="0"/>
        <w:adjustRightInd w:val="0"/>
        <w:snapToGrid w:val="0"/>
        <w:spacing w:line="460" w:lineRule="exact"/>
        <w:ind w:firstLine="420" w:firstLineChars="200"/>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1、质保期</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年。（自交货验收合格之日起计）</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2、履约保证金</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snapToGrid w:val="0"/>
          <w:kern w:val="0"/>
          <w:sz w:val="21"/>
          <w:szCs w:val="21"/>
          <w:highlight w:val="none"/>
          <w:lang w:val="en-US" w:eastAsia="zh-CN" w:bidi="ar-SA"/>
        </w:rPr>
        <w:t>元。履约保证金</w:t>
      </w:r>
      <w:r>
        <w:rPr>
          <w:rFonts w:hint="eastAsia" w:ascii="宋体" w:hAnsi="宋体" w:eastAsia="宋体" w:cs="宋体"/>
          <w:kern w:val="2"/>
          <w:sz w:val="21"/>
          <w:szCs w:val="21"/>
          <w:highlight w:val="none"/>
          <w:lang w:val="en-US" w:eastAsia="zh-CN" w:bidi="ar-SA"/>
        </w:rPr>
        <w:t>自本合同签订后一周内</w:t>
      </w:r>
      <w:r>
        <w:rPr>
          <w:rFonts w:hint="eastAsia" w:ascii="宋体" w:hAnsi="宋体" w:eastAsia="宋体" w:cs="宋体"/>
          <w:snapToGrid w:val="0"/>
          <w:kern w:val="0"/>
          <w:sz w:val="21"/>
          <w:szCs w:val="21"/>
          <w:highlight w:val="none"/>
          <w:lang w:val="en-US" w:eastAsia="zh-CN" w:bidi="ar-SA"/>
        </w:rPr>
        <w:t>交至</w:t>
      </w:r>
      <w:r>
        <w:rPr>
          <w:rFonts w:hint="eastAsia" w:ascii="宋体" w:hAnsi="宋体" w:eastAsia="宋体" w:cs="宋体"/>
          <w:bCs/>
          <w:kern w:val="2"/>
          <w:sz w:val="21"/>
          <w:szCs w:val="21"/>
          <w:highlight w:val="none"/>
          <w:lang w:val="en-US" w:eastAsia="zh-CN" w:bidi="ar-SA"/>
        </w:rPr>
        <w:t>甲方</w:t>
      </w:r>
      <w:r>
        <w:rPr>
          <w:rFonts w:hint="eastAsia" w:ascii="宋体" w:hAnsi="宋体" w:eastAsia="宋体" w:cs="宋体"/>
          <w:snapToGrid w:val="0"/>
          <w:kern w:val="0"/>
          <w:sz w:val="21"/>
          <w:szCs w:val="21"/>
          <w:highlight w:val="none"/>
          <w:lang w:val="en-US" w:eastAsia="zh-CN" w:bidi="ar-SA"/>
        </w:rPr>
        <w:t>处，履约保证金在合同履约期间无违约情形的，项目验收结束后，于一周内退还（不计息）。</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七、交货期、交货方式及交货地点</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 交货期：签订合同</w:t>
      </w:r>
      <w:r>
        <w:rPr>
          <w:rFonts w:hint="eastAsia" w:ascii="宋体" w:hAnsi="宋体" w:eastAsia="宋体" w:cs="宋体"/>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个工作日内</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 交货方式：</w:t>
      </w:r>
      <w:r>
        <w:rPr>
          <w:rFonts w:hint="eastAsia" w:ascii="宋体" w:hAnsi="宋体" w:eastAsia="宋体" w:cs="宋体"/>
          <w:snapToGrid w:val="0"/>
          <w:kern w:val="0"/>
          <w:sz w:val="21"/>
          <w:szCs w:val="21"/>
          <w:highlight w:val="none"/>
          <w:lang w:val="en-US" w:eastAsia="zh-CN" w:bidi="ar-SA"/>
        </w:rPr>
        <w:t>乙方负责送货上门，并承担相关费用</w:t>
      </w:r>
    </w:p>
    <w:p>
      <w:pPr>
        <w:widowControl w:val="0"/>
        <w:adjustRightInd w:val="0"/>
        <w:snapToGrid w:val="0"/>
        <w:spacing w:line="460" w:lineRule="exact"/>
        <w:ind w:firstLine="447"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 交货地点：甲方指定地点</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八、货款支付</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付款方式：</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1、履约保证金：</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（1）合同签订后一周内，乙方向甲方提交合同总价</w:t>
      </w:r>
      <w:r>
        <w:rPr>
          <w:rFonts w:hint="eastAsia"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u w:val="single"/>
          <w:lang w:val="en-US" w:eastAsia="zh-CN" w:bidi="ar-SA"/>
        </w:rPr>
        <w:t>%</w:t>
      </w:r>
      <w:r>
        <w:rPr>
          <w:rFonts w:hint="eastAsia" w:ascii="宋体" w:hAnsi="宋体" w:eastAsia="宋体" w:cs="宋体"/>
          <w:bCs/>
          <w:snapToGrid w:val="0"/>
          <w:kern w:val="0"/>
          <w:sz w:val="21"/>
          <w:szCs w:val="21"/>
          <w:highlight w:val="none"/>
          <w:lang w:val="en-US" w:eastAsia="zh-CN" w:bidi="ar-SA"/>
        </w:rPr>
        <w:t>的履约保证金，履约保证金在合同履约期间无违约情形的，项目验收结束后，于一周内退还（不计息）；</w:t>
      </w:r>
    </w:p>
    <w:p>
      <w:pPr>
        <w:widowControl w:val="0"/>
        <w:adjustRightInd w:val="0"/>
        <w:snapToGrid w:val="0"/>
        <w:spacing w:line="460" w:lineRule="exact"/>
        <w:ind w:firstLine="447" w:firstLineChars="213"/>
        <w:jc w:val="both"/>
        <w:outlineLvl w:val="9"/>
        <w:rPr>
          <w:rFonts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（2）提交方式：支票、汇票、本票或金融机构、担保机构出具的保函等非现金形式。</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2、预付款：</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（1）支付条件：乙方提交银行、保险公司等金融机构出具的预付款保函；</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（2）支付时间、数额：合同生效且乙方出具预付款保函后七个工作日内，甲方向乙方支付合同金额</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的预付款。</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备注：签订合同时，乙方明确表示无需预付款或者主动要求降低预付款比例的，甲方可不适用前述规定。</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3、项目完成，经甲方验收合格后，甲方自收到发票后7个工作日内，支付至合同金额的</w:t>
      </w:r>
      <w:r>
        <w:rPr>
          <w:rFonts w:hint="eastAsia" w:ascii="宋体" w:hAnsi="宋体" w:eastAsia="宋体" w:cs="宋体"/>
          <w:bCs/>
          <w:snapToGrid w:val="0"/>
          <w:kern w:val="0"/>
          <w:sz w:val="21"/>
          <w:szCs w:val="21"/>
          <w:highlight w:val="none"/>
          <w:u w:val="single"/>
          <w:lang w:val="en-US" w:eastAsia="zh-CN" w:bidi="ar-SA"/>
        </w:rPr>
        <w:t xml:space="preserve">    %</w:t>
      </w:r>
      <w:r>
        <w:rPr>
          <w:rFonts w:hint="eastAsia" w:ascii="宋体" w:hAnsi="宋体" w:eastAsia="宋体" w:cs="宋体"/>
          <w:bCs/>
          <w:snapToGrid w:val="0"/>
          <w:kern w:val="0"/>
          <w:sz w:val="21"/>
          <w:szCs w:val="21"/>
          <w:highlight w:val="none"/>
          <w:lang w:val="en-US" w:eastAsia="zh-CN" w:bidi="ar-SA"/>
        </w:rPr>
        <w:t>。</w:t>
      </w:r>
    </w:p>
    <w:p>
      <w:pPr>
        <w:widowControl w:val="0"/>
        <w:adjustRightInd w:val="0"/>
        <w:snapToGrid w:val="0"/>
        <w:spacing w:line="460" w:lineRule="exact"/>
        <w:ind w:firstLine="447" w:firstLineChars="213"/>
        <w:jc w:val="both"/>
        <w:outlineLvl w:val="9"/>
        <w:rPr>
          <w:rFonts w:hint="eastAsia" w:ascii="宋体" w:hAnsi="宋体" w:eastAsia="宋体" w:cs="宋体"/>
          <w:bCs/>
          <w:snapToGrid w:val="0"/>
          <w:kern w:val="0"/>
          <w:sz w:val="21"/>
          <w:szCs w:val="21"/>
          <w:highlight w:val="none"/>
          <w:lang w:val="en-US" w:eastAsia="zh-CN" w:bidi="ar-SA"/>
        </w:rPr>
      </w:pPr>
      <w:r>
        <w:rPr>
          <w:rFonts w:hint="eastAsia" w:ascii="宋体" w:hAnsi="宋体" w:eastAsia="宋体" w:cs="宋体"/>
          <w:bCs/>
          <w:snapToGrid w:val="0"/>
          <w:kern w:val="0"/>
          <w:sz w:val="21"/>
          <w:szCs w:val="21"/>
          <w:highlight w:val="none"/>
          <w:lang w:val="en-US" w:eastAsia="zh-CN" w:bidi="ar-SA"/>
        </w:rPr>
        <w:t>备注：所有款项的支付须在乙方向甲方提供发票并在甲方履行财政相关资金审批手续后方可进行。</w:t>
      </w:r>
    </w:p>
    <w:p>
      <w:pPr>
        <w:adjustRightInd w:val="0"/>
        <w:snapToGrid w:val="0"/>
        <w:spacing w:line="460" w:lineRule="exact"/>
        <w:ind w:firstLine="449" w:firstLineChars="213"/>
        <w:outlineLvl w:val="9"/>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九、税费</w:t>
      </w:r>
    </w:p>
    <w:p>
      <w:pPr>
        <w:adjustRightInd w:val="0"/>
        <w:snapToGrid w:val="0"/>
        <w:spacing w:line="460" w:lineRule="exact"/>
        <w:ind w:firstLine="447" w:firstLineChars="213"/>
        <w:outlineLvl w:val="9"/>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本合同执行中相关的一切税费均由乙方负担。</w:t>
      </w:r>
    </w:p>
    <w:p>
      <w:pPr>
        <w:widowControl w:val="0"/>
        <w:adjustRightInd w:val="0"/>
        <w:snapToGrid w:val="0"/>
        <w:spacing w:line="460" w:lineRule="exact"/>
        <w:ind w:firstLine="417" w:firstLineChars="198"/>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十、质量保证及售后服务</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1、乙方保证本合同中所供应的商品是最新生产的符合国家技术规格和质量标准的出厂原装合格产品。如发生所供商品与合同不符，甲方（使用方）有权拒收或退货，由此产生的一切责任和后果由乙方承担。</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2、乙方提供的货物（服务）在质保期内因本身的质量问题发生故障，乙方应负责免费更换。对达不到技术要求者，根据实际情况，经双方协商，可按以下办法处理：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⑴更换：由乙方承担所发生的全部费用。</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⑵贬值处理：由甲乙双方合议定价。</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⑶退货处理：乙方应退还甲方支付的合同款，同时应承担该货物的直接费用（运输、保险、检验、货款利息及银行手续费等）。</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在质保期内，乙方应对货物（服务）出现的质量及安全问题负责处理解决并承担一切费用。</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4、上述的货物（服务）在质保期内免费保修，因人为因素出现的故障不在免费保修范围内。超过保修期的机器设备，终生维修，维修时只收部件成本费。</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十一、调试和验收</w:t>
      </w:r>
    </w:p>
    <w:p>
      <w:pPr>
        <w:widowControl w:val="0"/>
        <w:adjustRightInd w:val="0"/>
        <w:snapToGrid w:val="0"/>
        <w:spacing w:line="460" w:lineRule="exact"/>
        <w:ind w:firstLine="447" w:firstLineChars="213"/>
        <w:jc w:val="left"/>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甲方对乙方提交的货物（服务）依据磋商文件上的技术规格要求和国家有关质量标准进行现场验收。货物到达（服务期满）后，甲方需在五个工作日内验收。</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乙方交割前应对产品作出全面检查和对验收文件进行整理，并列出清单，作为甲方收货验收和使用的技术条件依据，检验的结果应随货物交甲方。</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u w:val="single"/>
          <w:lang w:val="en-US" w:eastAsia="zh-CN" w:bidi="ar-SA"/>
        </w:rPr>
      </w:pPr>
      <w:r>
        <w:rPr>
          <w:rFonts w:hint="eastAsia" w:ascii="宋体" w:hAnsi="宋体" w:eastAsia="宋体" w:cs="宋体"/>
          <w:snapToGrid w:val="0"/>
          <w:kern w:val="0"/>
          <w:sz w:val="21"/>
          <w:szCs w:val="21"/>
          <w:highlight w:val="none"/>
          <w:lang w:val="en-US" w:eastAsia="zh-CN" w:bidi="ar-SA"/>
        </w:rPr>
        <w:t>3、 甲方对乙方提供的货物（服务）在使用前进行调试时，乙方需负责安装并培训甲方的使用操作人员，并协助甲方一起调试，直到符合技术要求，甲方才做最终验收。</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对技术复杂的货物(服务)，甲方应请国家认可的专业检测机构参与验收，并由其出具质量检测报告。</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 验收时乙方在现场，验收完毕后作出验收结果报告；验收费用由乙方负责。</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十二、货物包装</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乙方应在货物发运前对其进行满足运输距离、防潮、防震、防锈和防破损装卸等要求包装，以保证货物安全运达甲方指定地点。</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使用说明书、质量检验证明书、随配附件和工具以及清单一并附于货物内。</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十三、违约责任</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甲方无正当理由拒收货物（服务）的，甲方向乙方偿付拒收货款总值的百分之五的违约金。</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甲方无故逾期验收和办理货款支付手续的,甲方应按逾期付款总额每日万分之五向乙方支付违约金。</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3、 为保证项目如期完成，对延误工期（交货期）每超出1天时间应交纳工程延误费5000元，在应付合同款中扣除，逾期1个月甲方有权解除合同。如造成甲方损失超过合同款的，超出部分由乙方继续承担赔偿责任。 </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 乙方所交的货物（服务）品种、型号、规格、技术参数、质量不符合合同规定及磋商文件规定标准的，甲方有权拒收该货物（服务），乙方愿意更换货物（服务）但逾期交货的，按乙方逾期交货处理。乙方拒绝更换货物（服务）的，甲方可单方面解除合同。</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十四、不可抗力事件处理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在合同有效期内，任何一方因不可抗力事件导致不能履行合同，则合同履行期可延长，其延长期与不可抗力影响期相同。</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 不可抗力事件发生后，应立即通知对方，并寄送有关权威机构出具的证明。</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 不可抗力事件延续120天以上，双方应通过友好协商，确定是否继续履行合同。</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十五、诉讼</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双方在执行合同中所发生的一切争议，应通过协商解决。如协商不成，可向甲方所在地法院起诉。</w:t>
      </w:r>
    </w:p>
    <w:p>
      <w:pPr>
        <w:widowControl w:val="0"/>
        <w:adjustRightInd w:val="0"/>
        <w:snapToGrid w:val="0"/>
        <w:spacing w:line="460" w:lineRule="exact"/>
        <w:ind w:firstLine="449" w:firstLineChars="213"/>
        <w:jc w:val="both"/>
        <w:outlineLvl w:val="9"/>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十六、合同生效及其它</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1、 合同经甲、乙、鉴证方三方签名并加盖单位公章后生效。</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2、合同执行中涉及采购资金和采购内容修改或补充的，须签订书面补充协议，并经报政府采购监督管理部门备案后，方可作为主合同不可分割的一部分。</w:t>
      </w:r>
    </w:p>
    <w:p>
      <w:pPr>
        <w:widowControl w:val="0"/>
        <w:adjustRightInd w:val="0"/>
        <w:snapToGrid w:val="0"/>
        <w:spacing w:line="460" w:lineRule="exact"/>
        <w:ind w:firstLine="447" w:firstLineChars="213"/>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3、磋商文件、响应文件、磋商记录与本合同具有同等法律效力。</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4、本合同未尽事宜，遵照《中华人民共和国民法典》有关条文执行。</w:t>
      </w:r>
    </w:p>
    <w:p>
      <w:pPr>
        <w:widowControl w:val="0"/>
        <w:adjustRightInd w:val="0"/>
        <w:snapToGrid w:val="0"/>
        <w:spacing w:line="460" w:lineRule="exact"/>
        <w:ind w:firstLine="420" w:firstLineChars="200"/>
        <w:jc w:val="both"/>
        <w:outlineLvl w:val="9"/>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5、本合同一式六份，具有同等法律效力，甲方三份、乙方二份、鉴证方一份。</w:t>
      </w:r>
    </w:p>
    <w:p>
      <w:pPr>
        <w:adjustRightInd w:val="0"/>
        <w:snapToGrid w:val="0"/>
        <w:spacing w:line="288" w:lineRule="auto"/>
        <w:rPr>
          <w:sz w:val="21"/>
          <w:szCs w:val="21"/>
          <w:highlight w:val="none"/>
        </w:rPr>
      </w:pPr>
    </w:p>
    <w:p>
      <w:pPr>
        <w:widowControl w:val="0"/>
        <w:adjustRightInd w:val="0"/>
        <w:snapToGrid w:val="0"/>
        <w:spacing w:line="460" w:lineRule="exact"/>
        <w:jc w:val="both"/>
        <w:rPr>
          <w:rFonts w:ascii="宋体" w:hAnsi="宋体" w:eastAsia="宋体" w:cs="宋体"/>
          <w:snapToGrid w:val="0"/>
          <w:kern w:val="0"/>
          <w:sz w:val="21"/>
          <w:szCs w:val="21"/>
          <w:highlight w:val="none"/>
          <w:lang w:val="en-US" w:eastAsia="zh-CN" w:bidi="ar-SA"/>
        </w:rPr>
      </w:pPr>
      <w:r>
        <w:rPr>
          <w:rFonts w:hint="eastAsia"/>
          <w:sz w:val="21"/>
          <w:szCs w:val="21"/>
          <w:highlight w:val="none"/>
        </w:rPr>
        <w:br w:type="page"/>
      </w:r>
      <w:r>
        <w:rPr>
          <w:rFonts w:hint="eastAsia" w:ascii="宋体" w:hAnsi="宋体" w:eastAsia="宋体" w:cs="宋体"/>
          <w:b/>
          <w:snapToGrid w:val="0"/>
          <w:kern w:val="0"/>
          <w:sz w:val="21"/>
          <w:szCs w:val="21"/>
          <w:highlight w:val="none"/>
          <w:lang w:val="en-US" w:eastAsia="zh-CN" w:bidi="ar-SA"/>
        </w:rPr>
        <w:t>此页无正文，为《</w:t>
      </w:r>
      <w:r>
        <w:rPr>
          <w:rFonts w:hint="eastAsia" w:ascii="宋体" w:hAnsi="宋体" w:eastAsia="宋体" w:cs="宋体"/>
          <w:b/>
          <w:kern w:val="2"/>
          <w:sz w:val="21"/>
          <w:szCs w:val="21"/>
          <w:highlight w:val="none"/>
          <w:lang w:val="en-US" w:eastAsia="zh-CN" w:bidi="ar-SA"/>
        </w:rPr>
        <w:t>浙江经济职业技术学院采购合同</w:t>
      </w:r>
      <w:r>
        <w:rPr>
          <w:rFonts w:hint="eastAsia" w:ascii="宋体" w:hAnsi="宋体" w:eastAsia="宋体" w:cs="宋体"/>
          <w:b/>
          <w:snapToGrid w:val="0"/>
          <w:kern w:val="0"/>
          <w:sz w:val="21"/>
          <w:szCs w:val="21"/>
          <w:highlight w:val="none"/>
          <w:lang w:val="en-US" w:eastAsia="zh-CN" w:bidi="ar-SA"/>
        </w:rPr>
        <w:t>》的签署页。</w:t>
      </w:r>
    </w:p>
    <w:p>
      <w:pPr>
        <w:widowControl w:val="0"/>
        <w:adjustRightInd w:val="0"/>
        <w:snapToGrid w:val="0"/>
        <w:spacing w:line="360" w:lineRule="auto"/>
        <w:ind w:firstLine="420" w:firstLineChars="200"/>
        <w:jc w:val="both"/>
        <w:rPr>
          <w:rFonts w:ascii="宋体" w:hAnsi="宋体" w:eastAsia="宋体" w:cs="宋体"/>
          <w:snapToGrid w:val="0"/>
          <w:kern w:val="0"/>
          <w:sz w:val="21"/>
          <w:szCs w:val="21"/>
          <w:highlight w:val="none"/>
          <w:lang w:val="en-US" w:eastAsia="zh-CN" w:bidi="ar-SA"/>
        </w:rPr>
      </w:pPr>
    </w:p>
    <w:p>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甲方（盖章）：</w:t>
      </w:r>
      <w:r>
        <w:rPr>
          <w:rFonts w:hint="eastAsia" w:ascii="宋体" w:hAnsi="宋体" w:eastAsia="宋体" w:cs="宋体"/>
          <w:b/>
          <w:sz w:val="21"/>
          <w:szCs w:val="21"/>
          <w:highlight w:val="none"/>
        </w:rPr>
        <w:t>浙江经济职业技术学院</w:t>
      </w:r>
      <w:r>
        <w:rPr>
          <w:rFonts w:hint="eastAsia" w:ascii="宋体" w:hAnsi="宋体" w:eastAsia="宋体" w:cs="宋体"/>
          <w:b/>
          <w:snapToGrid w:val="0"/>
          <w:kern w:val="0"/>
          <w:sz w:val="21"/>
          <w:szCs w:val="21"/>
          <w:highlight w:val="none"/>
        </w:rPr>
        <w:t xml:space="preserve">        </w:t>
      </w:r>
    </w:p>
    <w:p>
      <w:pPr>
        <w:spacing w:line="360" w:lineRule="auto"/>
        <w:rPr>
          <w:rFonts w:ascii="宋体" w:hAnsi="宋体" w:eastAsia="宋体" w:cs="宋体"/>
          <w:b/>
          <w:snapToGrid w:val="0"/>
          <w:kern w:val="0"/>
          <w:sz w:val="21"/>
          <w:szCs w:val="21"/>
          <w:highlight w:val="none"/>
        </w:rPr>
      </w:pPr>
      <w:r>
        <w:rPr>
          <w:rFonts w:hint="eastAsia" w:ascii="宋体" w:hAnsi="宋体" w:eastAsia="宋体" w:cs="宋体"/>
          <w:b/>
          <w:snapToGrid w:val="0"/>
          <w:kern w:val="0"/>
          <w:sz w:val="21"/>
          <w:szCs w:val="21"/>
          <w:highlight w:val="none"/>
        </w:rPr>
        <w:t>统一社会信用代码： 123300004700552172</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地址：</w:t>
      </w:r>
      <w:r>
        <w:rPr>
          <w:rFonts w:hint="eastAsia" w:ascii="宋体" w:hAnsi="宋体" w:eastAsia="宋体" w:cs="宋体"/>
          <w:sz w:val="21"/>
          <w:szCs w:val="21"/>
          <w:highlight w:val="none"/>
        </w:rPr>
        <w:t>杭州钱塘区学正街66号</w:t>
      </w:r>
      <w:r>
        <w:rPr>
          <w:rFonts w:hint="eastAsia" w:ascii="宋体" w:hAnsi="宋体" w:eastAsia="宋体" w:cs="宋体"/>
          <w:snapToGrid w:val="0"/>
          <w:kern w:val="0"/>
          <w:sz w:val="21"/>
          <w:szCs w:val="21"/>
          <w:highlight w:val="none"/>
        </w:rPr>
        <w:t xml:space="preserve">          </w:t>
      </w:r>
    </w:p>
    <w:p>
      <w:pPr>
        <w:spacing w:line="360" w:lineRule="auto"/>
        <w:rPr>
          <w:rFonts w:ascii="宋体" w:hAnsi="宋体" w:eastAsia="宋体" w:cs="宋体"/>
          <w:sz w:val="21"/>
          <w:szCs w:val="21"/>
          <w:highlight w:val="none"/>
        </w:rPr>
      </w:pPr>
      <w:r>
        <w:rPr>
          <w:rFonts w:hint="eastAsia" w:ascii="宋体" w:hAnsi="宋体" w:eastAsia="宋体" w:cs="宋体"/>
          <w:sz w:val="21"/>
          <w:szCs w:val="21"/>
          <w:highlight w:val="none"/>
        </w:rPr>
        <w:t>开户行：中国银行杭州钱塘区支行</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z w:val="21"/>
          <w:szCs w:val="21"/>
          <w:highlight w:val="none"/>
        </w:rPr>
        <w:t>帐号：354558326973</w:t>
      </w:r>
      <w:r>
        <w:rPr>
          <w:rFonts w:hint="eastAsia" w:ascii="宋体" w:hAnsi="宋体" w:eastAsia="宋体" w:cs="宋体"/>
          <w:snapToGrid w:val="0"/>
          <w:kern w:val="0"/>
          <w:sz w:val="21"/>
          <w:szCs w:val="21"/>
          <w:highlight w:val="none"/>
        </w:rPr>
        <w:t xml:space="preserve"> </w:t>
      </w: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法定（授权）代表人：</w:t>
      </w:r>
    </w:p>
    <w:p>
      <w:pPr>
        <w:spacing w:line="360" w:lineRule="auto"/>
        <w:rPr>
          <w:rFonts w:ascii="宋体" w:hAnsi="宋体" w:eastAsia="宋体" w:cs="宋体"/>
          <w:snapToGrid w:val="0"/>
          <w:kern w:val="0"/>
          <w:sz w:val="21"/>
          <w:szCs w:val="21"/>
          <w:highlight w:val="none"/>
        </w:rPr>
      </w:pPr>
    </w:p>
    <w:p>
      <w:pPr>
        <w:spacing w:line="360" w:lineRule="auto"/>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项目所属部门代表人：   </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签名日期：     年   月   日          </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 xml:space="preserve"> </w:t>
      </w:r>
    </w:p>
    <w:p>
      <w:pPr>
        <w:widowControl w:val="0"/>
        <w:adjustRightInd w:val="0"/>
        <w:snapToGrid w:val="0"/>
        <w:spacing w:line="360" w:lineRule="auto"/>
        <w:jc w:val="both"/>
        <w:rPr>
          <w:rFonts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乙方（盖章）：</w:t>
      </w: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地址： </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开户行：</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开户帐号：</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法定（授权）代表人：</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签名日期：      年   月   日</w:t>
      </w:r>
    </w:p>
    <w:p>
      <w:pPr>
        <w:widowControl w:val="0"/>
        <w:adjustRightInd w:val="0"/>
        <w:snapToGrid w:val="0"/>
        <w:spacing w:line="360" w:lineRule="auto"/>
        <w:jc w:val="both"/>
        <w:rPr>
          <w:rFonts w:ascii="宋体" w:hAnsi="宋体" w:eastAsia="宋体" w:cs="宋体"/>
          <w:kern w:val="2"/>
          <w:sz w:val="21"/>
          <w:szCs w:val="21"/>
          <w:highlight w:val="none"/>
          <w:lang w:val="en-US" w:eastAsia="zh-CN" w:bidi="ar-SA"/>
        </w:rPr>
      </w:pP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合同鉴证方（盖章）:</w:t>
      </w:r>
    </w:p>
    <w:p>
      <w:pPr>
        <w:widowControl w:val="0"/>
        <w:adjustRightInd w:val="0"/>
        <w:snapToGrid w:val="0"/>
        <w:spacing w:line="360" w:lineRule="auto"/>
        <w:jc w:val="both"/>
        <w:rPr>
          <w:rFonts w:ascii="宋体" w:hAnsi="宋体" w:eastAsia="宋体" w:cs="宋体"/>
          <w:b/>
          <w:snapToGrid w:val="0"/>
          <w:kern w:val="0"/>
          <w:sz w:val="21"/>
          <w:szCs w:val="21"/>
          <w:highlight w:val="none"/>
          <w:lang w:val="en-US" w:eastAsia="zh-CN" w:bidi="ar-SA"/>
        </w:rPr>
      </w:pPr>
      <w:r>
        <w:rPr>
          <w:rFonts w:hint="eastAsia" w:ascii="宋体" w:hAnsi="宋体" w:eastAsia="宋体" w:cs="宋体"/>
          <w:b/>
          <w:snapToGrid w:val="0"/>
          <w:kern w:val="0"/>
          <w:sz w:val="21"/>
          <w:szCs w:val="21"/>
          <w:highlight w:val="none"/>
          <w:lang w:val="en-US" w:eastAsia="zh-CN" w:bidi="ar-SA"/>
        </w:rPr>
        <w:t>统一社会信用代码：</w:t>
      </w:r>
    </w:p>
    <w:p>
      <w:pPr>
        <w:widowControl w:val="0"/>
        <w:adjustRightInd w:val="0"/>
        <w:snapToGrid w:val="0"/>
        <w:spacing w:line="360" w:lineRule="auto"/>
        <w:jc w:val="both"/>
        <w:rPr>
          <w:rFonts w:ascii="宋体" w:hAnsi="宋体" w:eastAsia="宋体" w:cs="宋体"/>
          <w:snapToGrid w:val="0"/>
          <w:kern w:val="0"/>
          <w:sz w:val="21"/>
          <w:szCs w:val="21"/>
          <w:highlight w:val="none"/>
          <w:lang w:val="en-US" w:eastAsia="zh-CN" w:bidi="ar-SA"/>
        </w:rPr>
      </w:pPr>
      <w:r>
        <w:rPr>
          <w:rFonts w:hint="eastAsia" w:ascii="宋体" w:hAnsi="宋体" w:eastAsia="宋体" w:cs="宋体"/>
          <w:snapToGrid w:val="0"/>
          <w:kern w:val="0"/>
          <w:sz w:val="21"/>
          <w:szCs w:val="21"/>
          <w:highlight w:val="none"/>
          <w:lang w:val="en-US" w:eastAsia="zh-CN" w:bidi="ar-SA"/>
        </w:rPr>
        <w:t>法定代表人或主要负责人:</w:t>
      </w:r>
    </w:p>
    <w:p>
      <w:pPr>
        <w:adjustRightInd w:val="0"/>
        <w:snapToGrid w:val="0"/>
        <w:spacing w:line="288" w:lineRule="auto"/>
        <w:rPr>
          <w:sz w:val="21"/>
          <w:szCs w:val="21"/>
        </w:rPr>
      </w:pPr>
      <w:r>
        <w:rPr>
          <w:rFonts w:hint="eastAsia" w:ascii="宋体" w:hAnsi="宋体" w:eastAsia="宋体" w:cs="宋体"/>
          <w:snapToGrid w:val="0"/>
          <w:kern w:val="0"/>
          <w:sz w:val="21"/>
          <w:szCs w:val="21"/>
          <w:highlight w:val="none"/>
        </w:rPr>
        <w:t>鉴证日期: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0"/>
        <w:rPr>
          <w:b/>
          <w:bCs/>
          <w:sz w:val="32"/>
          <w:szCs w:val="32"/>
        </w:rPr>
      </w:pPr>
      <w:r>
        <w:rPr>
          <w:rFonts w:hint="eastAsia"/>
          <w:b/>
          <w:bCs/>
          <w:sz w:val="32"/>
          <w:szCs w:val="32"/>
        </w:rPr>
        <w:t>第六章  响应文件格式</w:t>
      </w:r>
    </w:p>
    <w:p>
      <w:pPr>
        <w:adjustRightInd w:val="0"/>
        <w:snapToGrid w:val="0"/>
        <w:spacing w:line="288" w:lineRule="auto"/>
        <w:rPr>
          <w:sz w:val="21"/>
          <w:szCs w:val="21"/>
        </w:rPr>
      </w:pPr>
    </w:p>
    <w:p>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pPr>
        <w:adjustRightInd w:val="0"/>
        <w:snapToGrid w:val="0"/>
        <w:spacing w:line="288" w:lineRule="auto"/>
        <w:rPr>
          <w:sz w:val="21"/>
          <w:szCs w:val="21"/>
        </w:rPr>
      </w:pPr>
    </w:p>
    <w:p>
      <w:pPr>
        <w:adjustRightInd w:val="0"/>
        <w:snapToGrid w:val="0"/>
        <w:spacing w:line="288" w:lineRule="auto"/>
        <w:ind w:firstLine="422" w:firstLineChars="200"/>
        <w:rPr>
          <w:b/>
          <w:bCs/>
          <w:sz w:val="21"/>
          <w:szCs w:val="21"/>
        </w:rPr>
      </w:pPr>
      <w:bookmarkStart w:id="50" w:name="_Hlk71884160"/>
      <w:r>
        <w:rPr>
          <w:rFonts w:hint="eastAsia"/>
          <w:b/>
          <w:bCs/>
          <w:sz w:val="21"/>
          <w:szCs w:val="21"/>
        </w:rPr>
        <w:t>▲1.资格文件（单独上传）。资格审查要求的资格证明材料（均需加盖公章）</w:t>
      </w:r>
    </w:p>
    <w:bookmarkEnd w:id="50"/>
    <w:p>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pPr>
        <w:adjustRightInd w:val="0"/>
        <w:snapToGrid w:val="0"/>
        <w:spacing w:line="288" w:lineRule="auto"/>
        <w:ind w:firstLine="420" w:firstLineChars="200"/>
        <w:rPr>
          <w:sz w:val="21"/>
          <w:szCs w:val="21"/>
        </w:rPr>
      </w:pPr>
      <w:bookmarkStart w:id="51" w:name="_Hlk71884127"/>
      <w:r>
        <w:rPr>
          <w:rFonts w:hint="eastAsia"/>
          <w:sz w:val="21"/>
          <w:szCs w:val="21"/>
        </w:rPr>
        <w:t>（</w:t>
      </w:r>
      <w:r>
        <w:rPr>
          <w:sz w:val="21"/>
          <w:szCs w:val="21"/>
        </w:rPr>
        <w:t>2）符合参加政府采购活动应当具备的一般条件的承诺函</w:t>
      </w:r>
    </w:p>
    <w:p>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pPr>
        <w:adjustRightInd w:val="0"/>
        <w:snapToGrid w:val="0"/>
        <w:spacing w:line="288" w:lineRule="auto"/>
        <w:ind w:firstLine="420" w:firstLineChars="200"/>
        <w:rPr>
          <w:rFonts w:hint="eastAsia"/>
          <w:sz w:val="21"/>
          <w:szCs w:val="21"/>
        </w:rPr>
      </w:pPr>
      <w:r>
        <w:rPr>
          <w:rFonts w:hint="eastAsia"/>
          <w:sz w:val="21"/>
          <w:szCs w:val="21"/>
        </w:rPr>
        <w:t>1）中小企业声明函（若属于中小企业）</w:t>
      </w:r>
    </w:p>
    <w:p>
      <w:pPr>
        <w:adjustRightInd w:val="0"/>
        <w:snapToGrid w:val="0"/>
        <w:spacing w:line="288" w:lineRule="auto"/>
        <w:ind w:firstLine="420" w:firstLineChars="200"/>
        <w:rPr>
          <w:rFonts w:hint="eastAsia"/>
          <w:sz w:val="21"/>
          <w:szCs w:val="21"/>
          <w:highlight w:val="none"/>
        </w:rPr>
      </w:pPr>
      <w:r>
        <w:rPr>
          <w:rFonts w:hint="eastAsia"/>
          <w:sz w:val="21"/>
          <w:szCs w:val="21"/>
        </w:rPr>
        <w:t>2）属于监狱企业的证明文件（若属于</w:t>
      </w:r>
      <w:r>
        <w:rPr>
          <w:rFonts w:hint="eastAsia"/>
          <w:sz w:val="21"/>
          <w:szCs w:val="21"/>
          <w:highlight w:val="none"/>
        </w:rPr>
        <w:t>监狱企业）</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rPr>
        <w:t>材料</w:t>
      </w:r>
      <w:r>
        <w:rPr>
          <w:bCs/>
          <w:spacing w:val="-6"/>
          <w:sz w:val="21"/>
          <w:szCs w:val="21"/>
          <w:highlight w:val="none"/>
        </w:rPr>
        <w:t>。</w:t>
      </w:r>
    </w:p>
    <w:p>
      <w:pPr>
        <w:adjustRightInd w:val="0"/>
        <w:snapToGrid w:val="0"/>
        <w:spacing w:line="288" w:lineRule="auto"/>
        <w:ind w:firstLine="422" w:firstLineChars="200"/>
        <w:rPr>
          <w:b/>
          <w:bCs/>
          <w:sz w:val="21"/>
          <w:szCs w:val="21"/>
          <w:highlight w:val="none"/>
        </w:rPr>
      </w:pPr>
    </w:p>
    <w:bookmarkEnd w:id="51"/>
    <w:p>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（1）响应函</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2024年01月</w:t>
      </w:r>
      <w:r>
        <w:rPr>
          <w:sz w:val="21"/>
          <w:szCs w:val="21"/>
          <w:highlight w:val="none"/>
        </w:rPr>
        <w:t>（含）以后任意一月）</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pPr>
        <w:adjustRightInd w:val="0"/>
        <w:snapToGrid w:val="0"/>
        <w:spacing w:line="288" w:lineRule="auto"/>
        <w:ind w:firstLine="420" w:firstLineChars="200"/>
        <w:rPr>
          <w:sz w:val="21"/>
          <w:szCs w:val="21"/>
          <w:highlight w:val="none"/>
        </w:rPr>
      </w:pPr>
      <w:bookmarkStart w:id="52" w:name="_Hlk71884196"/>
      <w:r>
        <w:rPr>
          <w:rFonts w:hint="eastAsia"/>
          <w:sz w:val="21"/>
          <w:szCs w:val="21"/>
          <w:highlight w:val="none"/>
        </w:rPr>
        <w:t>（</w:t>
      </w:r>
      <w:r>
        <w:rPr>
          <w:sz w:val="21"/>
          <w:szCs w:val="21"/>
          <w:highlight w:val="none"/>
        </w:rPr>
        <w:t>5）货物配置清单</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6）技术方案：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项目理解</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技术路线</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相关功能应用场景的技术解决方案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项目实施方案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售后服务</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培训方案</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项目负责人</w:t>
      </w:r>
    </w:p>
    <w:p>
      <w:pPr>
        <w:adjustRightInd w:val="0"/>
        <w:snapToGrid w:val="0"/>
        <w:spacing w:line="288" w:lineRule="auto"/>
        <w:ind w:firstLine="420" w:firstLineChars="200"/>
        <w:rPr>
          <w:rFonts w:hint="eastAsia"/>
          <w:sz w:val="21"/>
          <w:szCs w:val="21"/>
          <w:highlight w:val="none"/>
        </w:rPr>
      </w:pPr>
      <w:r>
        <w:rPr>
          <w:rFonts w:hint="eastAsia"/>
          <w:sz w:val="21"/>
          <w:szCs w:val="21"/>
          <w:highlight w:val="none"/>
        </w:rPr>
        <w:t>项目团队人员</w:t>
      </w:r>
    </w:p>
    <w:p>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7</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52"/>
    </w:p>
    <w:p>
      <w:pPr>
        <w:adjustRightInd w:val="0"/>
        <w:snapToGrid w:val="0"/>
        <w:spacing w:line="288" w:lineRule="auto"/>
        <w:ind w:firstLine="420" w:firstLineChars="200"/>
        <w:rPr>
          <w:sz w:val="21"/>
          <w:szCs w:val="21"/>
          <w:highlight w:val="none"/>
        </w:rPr>
      </w:pPr>
    </w:p>
    <w:p>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pPr>
        <w:widowControl/>
        <w:jc w:val="left"/>
        <w:rPr>
          <w:sz w:val="21"/>
          <w:szCs w:val="21"/>
          <w:highlight w:val="none"/>
        </w:rPr>
      </w:pPr>
      <w:r>
        <w:rPr>
          <w:sz w:val="21"/>
          <w:szCs w:val="21"/>
          <w:highlight w:val="none"/>
        </w:rPr>
        <w:br w:type="page"/>
      </w:r>
    </w:p>
    <w:p>
      <w:pPr>
        <w:tabs>
          <w:tab w:val="center" w:pos="4706"/>
        </w:tabs>
        <w:adjustRightInd w:val="0"/>
        <w:snapToGrid w:val="0"/>
        <w:spacing w:line="288" w:lineRule="auto"/>
        <w:jc w:val="center"/>
        <w:outlineLvl w:val="2"/>
        <w:rPr>
          <w:rFonts w:cs="Times New Roman"/>
          <w:b/>
          <w:spacing w:val="-6"/>
          <w:sz w:val="21"/>
          <w:szCs w:val="21"/>
        </w:rPr>
      </w:pPr>
      <w:bookmarkStart w:id="53" w:name="_Hlk140130228"/>
      <w:r>
        <w:rPr>
          <w:rFonts w:hint="eastAsia" w:cs="Times New Roman"/>
          <w:b/>
          <w:spacing w:val="-6"/>
          <w:sz w:val="21"/>
          <w:szCs w:val="21"/>
        </w:rPr>
        <w:t>评分索引表</w:t>
      </w:r>
    </w:p>
    <w:tbl>
      <w:tblPr>
        <w:tblStyle w:val="18"/>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kern w:val="0"/>
                <w:sz w:val="21"/>
                <w:szCs w:val="21"/>
              </w:rPr>
            </w:pPr>
          </w:p>
        </w:tc>
        <w:tc>
          <w:tcPr>
            <w:tcW w:w="2091" w:type="dxa"/>
            <w:vAlign w:val="center"/>
          </w:tcPr>
          <w:p>
            <w:pPr>
              <w:adjustRightInd w:val="0"/>
              <w:snapToGrid w:val="0"/>
              <w:spacing w:line="288" w:lineRule="auto"/>
              <w:jc w:val="center"/>
              <w:rPr>
                <w:rFonts w:cs="Times New Roman"/>
                <w:kern w:val="0"/>
                <w:sz w:val="21"/>
                <w:szCs w:val="21"/>
              </w:rPr>
            </w:pPr>
          </w:p>
        </w:tc>
        <w:tc>
          <w:tcPr>
            <w:tcW w:w="709" w:type="dxa"/>
            <w:vAlign w:val="center"/>
          </w:tcPr>
          <w:p>
            <w:pPr>
              <w:adjustRightInd w:val="0"/>
              <w:snapToGrid w:val="0"/>
              <w:spacing w:line="288" w:lineRule="auto"/>
              <w:jc w:val="center"/>
              <w:rPr>
                <w:rFonts w:cs="Times New Roman"/>
                <w:kern w:val="0"/>
                <w:sz w:val="21"/>
                <w:szCs w:val="21"/>
              </w:rPr>
            </w:pPr>
          </w:p>
        </w:tc>
        <w:tc>
          <w:tcPr>
            <w:tcW w:w="3040" w:type="dxa"/>
            <w:vAlign w:val="center"/>
          </w:tcPr>
          <w:p>
            <w:pPr>
              <w:adjustRightInd w:val="0"/>
              <w:snapToGrid w:val="0"/>
              <w:spacing w:line="288" w:lineRule="auto"/>
              <w:rPr>
                <w:rFonts w:cs="Times New Roman"/>
                <w:kern w:val="0"/>
                <w:sz w:val="21"/>
                <w:szCs w:val="21"/>
              </w:rPr>
            </w:pPr>
          </w:p>
        </w:tc>
        <w:tc>
          <w:tcPr>
            <w:tcW w:w="967" w:type="dxa"/>
            <w:vAlign w:val="center"/>
          </w:tcPr>
          <w:p>
            <w:pPr>
              <w:adjustRightInd w:val="0"/>
              <w:snapToGrid w:val="0"/>
              <w:spacing w:line="288" w:lineRule="auto"/>
              <w:jc w:val="center"/>
              <w:rPr>
                <w:rFonts w:cs="Times New Roman"/>
                <w:sz w:val="21"/>
                <w:szCs w:val="21"/>
              </w:rPr>
            </w:pPr>
          </w:p>
        </w:tc>
        <w:tc>
          <w:tcPr>
            <w:tcW w:w="1053" w:type="dxa"/>
            <w:vAlign w:val="center"/>
          </w:tcPr>
          <w:p>
            <w:pPr>
              <w:adjustRightInd w:val="0"/>
              <w:snapToGrid w:val="0"/>
              <w:spacing w:line="288" w:lineRule="auto"/>
              <w:jc w:val="center"/>
              <w:rPr>
                <w:rFonts w:cs="Times New Roman"/>
                <w:sz w:val="21"/>
                <w:szCs w:val="21"/>
              </w:rPr>
            </w:pPr>
          </w:p>
        </w:tc>
        <w:tc>
          <w:tcPr>
            <w:tcW w:w="881" w:type="dxa"/>
          </w:tcPr>
          <w:p>
            <w:pPr>
              <w:adjustRightInd w:val="0"/>
              <w:snapToGrid w:val="0"/>
              <w:spacing w:line="288" w:lineRule="auto"/>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cs="Times New Roman"/>
                <w:spacing w:val="-6"/>
                <w:sz w:val="21"/>
                <w:szCs w:val="21"/>
              </w:rPr>
            </w:pPr>
          </w:p>
        </w:tc>
        <w:tc>
          <w:tcPr>
            <w:tcW w:w="2091" w:type="dxa"/>
            <w:vAlign w:val="center"/>
          </w:tcPr>
          <w:p>
            <w:pPr>
              <w:adjustRightInd w:val="0"/>
              <w:snapToGrid w:val="0"/>
              <w:spacing w:line="288" w:lineRule="auto"/>
              <w:jc w:val="center"/>
              <w:rPr>
                <w:rFonts w:cs="Times New Roman"/>
                <w:spacing w:val="-6"/>
                <w:sz w:val="21"/>
                <w:szCs w:val="21"/>
              </w:rPr>
            </w:pPr>
          </w:p>
        </w:tc>
        <w:tc>
          <w:tcPr>
            <w:tcW w:w="709" w:type="dxa"/>
            <w:vAlign w:val="center"/>
          </w:tcPr>
          <w:p>
            <w:pPr>
              <w:adjustRightInd w:val="0"/>
              <w:snapToGrid w:val="0"/>
              <w:spacing w:line="288" w:lineRule="auto"/>
              <w:jc w:val="center"/>
              <w:rPr>
                <w:rFonts w:cs="Times New Roman"/>
                <w:spacing w:val="-6"/>
                <w:sz w:val="21"/>
                <w:szCs w:val="21"/>
              </w:rPr>
            </w:pPr>
          </w:p>
        </w:tc>
        <w:tc>
          <w:tcPr>
            <w:tcW w:w="3040" w:type="dxa"/>
            <w:vAlign w:val="center"/>
          </w:tcPr>
          <w:p>
            <w:pPr>
              <w:adjustRightInd w:val="0"/>
              <w:snapToGrid w:val="0"/>
              <w:spacing w:line="288" w:lineRule="auto"/>
              <w:rPr>
                <w:rFonts w:cs="Times New Roman"/>
                <w:spacing w:val="-6"/>
                <w:sz w:val="21"/>
                <w:szCs w:val="21"/>
              </w:rPr>
            </w:pPr>
          </w:p>
        </w:tc>
        <w:tc>
          <w:tcPr>
            <w:tcW w:w="967" w:type="dxa"/>
            <w:vAlign w:val="center"/>
          </w:tcPr>
          <w:p>
            <w:pPr>
              <w:adjustRightInd w:val="0"/>
              <w:snapToGrid w:val="0"/>
              <w:spacing w:line="288" w:lineRule="auto"/>
              <w:jc w:val="center"/>
              <w:rPr>
                <w:rFonts w:cs="Times New Roman"/>
                <w:spacing w:val="-6"/>
                <w:sz w:val="21"/>
                <w:szCs w:val="21"/>
              </w:rPr>
            </w:pPr>
          </w:p>
        </w:tc>
        <w:tc>
          <w:tcPr>
            <w:tcW w:w="1053" w:type="dxa"/>
            <w:vAlign w:val="center"/>
          </w:tcPr>
          <w:p>
            <w:pPr>
              <w:adjustRightInd w:val="0"/>
              <w:snapToGrid w:val="0"/>
              <w:spacing w:line="288" w:lineRule="auto"/>
              <w:jc w:val="center"/>
              <w:rPr>
                <w:rFonts w:cs="Times New Roman"/>
                <w:spacing w:val="-6"/>
                <w:sz w:val="21"/>
                <w:szCs w:val="21"/>
              </w:rPr>
            </w:pPr>
          </w:p>
        </w:tc>
        <w:tc>
          <w:tcPr>
            <w:tcW w:w="881" w:type="dxa"/>
          </w:tcPr>
          <w:p>
            <w:pPr>
              <w:adjustRightInd w:val="0"/>
              <w:snapToGrid w:val="0"/>
              <w:spacing w:line="288" w:lineRule="auto"/>
              <w:jc w:val="center"/>
              <w:rPr>
                <w:rFonts w:cs="Times New Roman"/>
                <w:spacing w:val="-6"/>
                <w:sz w:val="21"/>
                <w:szCs w:val="21"/>
              </w:rPr>
            </w:pPr>
          </w:p>
        </w:tc>
      </w:tr>
    </w:tbl>
    <w:p>
      <w:pPr>
        <w:adjustRightInd w:val="0"/>
        <w:snapToGrid w:val="0"/>
        <w:spacing w:line="288" w:lineRule="auto"/>
        <w:rPr>
          <w:rFonts w:cs="Times New Roman"/>
          <w:spacing w:val="-6"/>
          <w:sz w:val="21"/>
          <w:szCs w:val="21"/>
        </w:rPr>
      </w:pPr>
    </w:p>
    <w:p>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3"/>
    <w:p>
      <w:pPr>
        <w:widowControl/>
        <w:jc w:val="left"/>
        <w:rPr>
          <w:b/>
          <w:bCs/>
          <w:sz w:val="21"/>
          <w:szCs w:val="21"/>
        </w:rPr>
      </w:pPr>
      <w:r>
        <w:rPr>
          <w:b/>
          <w:bCs/>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资格文件</w:t>
      </w: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p>
    <w:p>
      <w:pPr>
        <w:adjustRightInd w:val="0"/>
        <w:snapToGrid w:val="0"/>
        <w:spacing w:line="288" w:lineRule="auto"/>
        <w:jc w:val="center"/>
        <w:rPr>
          <w:b/>
          <w:bCs/>
          <w:sz w:val="21"/>
          <w:szCs w:val="21"/>
        </w:rPr>
      </w:pPr>
      <w:bookmarkStart w:id="54" w:name="_Hlk94097338"/>
      <w:r>
        <w:rPr>
          <w:rFonts w:hint="eastAsia"/>
          <w:b/>
          <w:bCs/>
          <w:sz w:val="21"/>
          <w:szCs w:val="21"/>
        </w:rPr>
        <w:t>资格审查要求的资格证明材料（均需加盖公章）</w:t>
      </w:r>
    </w:p>
    <w:bookmarkEnd w:id="54"/>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pPr>
        <w:adjustRightInd w:val="0"/>
        <w:snapToGrid w:val="0"/>
        <w:spacing w:line="288" w:lineRule="auto"/>
        <w:rPr>
          <w:sz w:val="21"/>
          <w:szCs w:val="21"/>
        </w:rPr>
      </w:pPr>
    </w:p>
    <w:p>
      <w:pPr>
        <w:adjustRightInd w:val="0"/>
        <w:snapToGrid w:val="0"/>
        <w:spacing w:line="288" w:lineRule="auto"/>
        <w:rPr>
          <w:sz w:val="21"/>
          <w:szCs w:val="21"/>
        </w:rPr>
      </w:pPr>
      <w:r>
        <w:rPr>
          <w:rFonts w:hint="eastAsia"/>
          <w:sz w:val="21"/>
          <w:szCs w:val="21"/>
        </w:rPr>
        <w:t>说明：</w:t>
      </w:r>
    </w:p>
    <w:p>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pPr>
        <w:adjustRightInd w:val="0"/>
        <w:snapToGrid w:val="0"/>
        <w:spacing w:line="288" w:lineRule="auto"/>
        <w:rPr>
          <w:sz w:val="21"/>
          <w:szCs w:val="21"/>
        </w:rPr>
      </w:pPr>
      <w:r>
        <w:rPr>
          <w:rFonts w:hint="eastAsia"/>
          <w:sz w:val="21"/>
          <w:szCs w:val="21"/>
        </w:rPr>
        <w:t>2.如供应商是事业单位，提供有效的“事业单位法人证书”；</w:t>
      </w:r>
    </w:p>
    <w:p>
      <w:pPr>
        <w:adjustRightInd w:val="0"/>
        <w:snapToGrid w:val="0"/>
        <w:spacing w:line="288" w:lineRule="auto"/>
        <w:rPr>
          <w:sz w:val="21"/>
          <w:szCs w:val="21"/>
        </w:rPr>
      </w:pPr>
      <w:r>
        <w:rPr>
          <w:rFonts w:hint="eastAsia"/>
          <w:sz w:val="21"/>
          <w:szCs w:val="21"/>
        </w:rPr>
        <w:t>3.如供应商是非企业专业服务机构的，提供执业许可证等证明文件；</w:t>
      </w:r>
    </w:p>
    <w:p>
      <w:pPr>
        <w:adjustRightInd w:val="0"/>
        <w:snapToGrid w:val="0"/>
        <w:spacing w:line="288" w:lineRule="auto"/>
        <w:rPr>
          <w:sz w:val="21"/>
          <w:szCs w:val="21"/>
        </w:rPr>
      </w:pPr>
      <w:r>
        <w:rPr>
          <w:rFonts w:hint="eastAsia"/>
          <w:sz w:val="21"/>
          <w:szCs w:val="21"/>
        </w:rPr>
        <w:t>4.如供应商是个体工商户，提供有效的“个体工商户营业执照”；</w:t>
      </w:r>
    </w:p>
    <w:p>
      <w:pPr>
        <w:adjustRightInd w:val="0"/>
        <w:snapToGrid w:val="0"/>
        <w:spacing w:line="288" w:lineRule="auto"/>
        <w:rPr>
          <w:sz w:val="21"/>
          <w:szCs w:val="21"/>
        </w:rPr>
      </w:pPr>
      <w:r>
        <w:rPr>
          <w:rFonts w:hint="eastAsia"/>
          <w:sz w:val="21"/>
          <w:szCs w:val="21"/>
        </w:rPr>
        <w:t>5.如供应商是自然人，提供有效的自然人身份证明。</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pPr>
        <w:adjustRightInd w:val="0"/>
        <w:snapToGrid w:val="0"/>
        <w:spacing w:line="288" w:lineRule="auto"/>
        <w:rPr>
          <w:rFonts w:cs="Times New Roman"/>
          <w:color w:val="000000"/>
          <w:sz w:val="21"/>
          <w:szCs w:val="21"/>
          <w:shd w:val="clear" w:color="auto" w:fill="FFFFFF"/>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浙江经济职业技术学院</w:t>
      </w:r>
      <w:r>
        <w:rPr>
          <w:rFonts w:hint="eastAsia" w:cs="Times New Roman"/>
          <w:b/>
          <w:bCs/>
          <w:spacing w:val="-6"/>
          <w:sz w:val="21"/>
          <w:szCs w:val="21"/>
        </w:rPr>
        <w:t>、浙江求是招标代理有限公司</w:t>
      </w:r>
    </w:p>
    <w:p>
      <w:pPr>
        <w:adjustRightInd w:val="0"/>
        <w:snapToGrid w:val="0"/>
        <w:spacing w:line="288" w:lineRule="auto"/>
        <w:rPr>
          <w:rFonts w:cs="Times New Roman"/>
          <w:spacing w:val="-6"/>
          <w:sz w:val="21"/>
          <w:szCs w:val="21"/>
        </w:rPr>
      </w:pPr>
    </w:p>
    <w:p>
      <w:pPr>
        <w:adjustRightInd w:val="0"/>
        <w:snapToGrid w:val="0"/>
        <w:spacing w:line="288" w:lineRule="auto"/>
        <w:ind w:firstLine="396" w:firstLineChars="200"/>
        <w:rPr>
          <w:rFonts w:cs="Times New Roman"/>
          <w:spacing w:val="-6"/>
          <w:sz w:val="21"/>
          <w:szCs w:val="21"/>
        </w:rPr>
      </w:pPr>
      <w:bookmarkStart w:id="55"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pPr>
        <w:adjustRightInd w:val="0"/>
        <w:snapToGrid w:val="0"/>
        <w:spacing w:line="288" w:lineRule="auto"/>
        <w:rPr>
          <w:rFonts w:cs="Times New Roman"/>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3）落实政府采购政策需满足的资格要求：无</w:t>
      </w:r>
    </w:p>
    <w:p>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中小企业声明函（货物）</w:t>
      </w:r>
      <w:r>
        <w:rPr>
          <w:rFonts w:hint="eastAsia"/>
          <w:b/>
          <w:bCs/>
          <w:sz w:val="21"/>
          <w:szCs w:val="21"/>
        </w:rPr>
        <w:t>（若属于中小企业）</w:t>
      </w:r>
    </w:p>
    <w:p>
      <w:pPr>
        <w:adjustRightInd w:val="0"/>
        <w:snapToGrid w:val="0"/>
        <w:spacing w:line="288" w:lineRule="auto"/>
        <w:ind w:firstLine="498" w:firstLineChars="236"/>
        <w:rPr>
          <w:b/>
          <w:sz w:val="21"/>
          <w:szCs w:val="21"/>
        </w:rPr>
      </w:pPr>
    </w:p>
    <w:p>
      <w:pPr>
        <w:adjustRightInd w:val="0"/>
        <w:snapToGrid w:val="0"/>
        <w:spacing w:line="288" w:lineRule="auto"/>
        <w:ind w:firstLine="495" w:firstLineChars="236"/>
        <w:rPr>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val="0"/>
          <w:iCs/>
          <w:sz w:val="21"/>
          <w:szCs w:val="21"/>
          <w:u w:val="single"/>
          <w:lang w:val="en-US" w:eastAsia="zh-CN"/>
        </w:rPr>
        <w:t>浙江经济职业技术学院</w:t>
      </w:r>
      <w:r>
        <w:rPr>
          <w:i w:val="0"/>
          <w:iCs/>
          <w:sz w:val="21"/>
          <w:szCs w:val="21"/>
        </w:rPr>
        <w:t>的</w:t>
      </w:r>
      <w:r>
        <w:rPr>
          <w:rFonts w:hint="eastAsia"/>
          <w:i w:val="0"/>
          <w:iCs/>
          <w:sz w:val="21"/>
          <w:szCs w:val="21"/>
          <w:u w:val="single"/>
          <w:lang w:eastAsia="zh-CN"/>
        </w:rPr>
        <w:t>智慧党建系统</w:t>
      </w:r>
      <w:r>
        <w:rPr>
          <w:sz w:val="21"/>
          <w:szCs w:val="21"/>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sz w:val="21"/>
          <w:szCs w:val="21"/>
        </w:rPr>
      </w:pPr>
      <w:r>
        <w:rPr>
          <w:rFonts w:hint="eastAsia"/>
          <w:i/>
          <w:sz w:val="21"/>
          <w:szCs w:val="21"/>
          <w:u w:val="single"/>
        </w:rPr>
        <w:t>1</w:t>
      </w:r>
      <w:r>
        <w:rPr>
          <w:i/>
          <w:sz w:val="21"/>
          <w:szCs w:val="21"/>
          <w:u w:val="single"/>
        </w:rPr>
        <w:t>.</w:t>
      </w:r>
      <w:r>
        <w:rPr>
          <w:rFonts w:hint="eastAsia"/>
          <w:i w:val="0"/>
          <w:iCs/>
          <w:sz w:val="21"/>
          <w:szCs w:val="21"/>
          <w:u w:val="single"/>
          <w:lang w:eastAsia="zh-CN"/>
        </w:rPr>
        <w:t>智慧党建系统</w:t>
      </w:r>
      <w:r>
        <w:rPr>
          <w:i/>
          <w:sz w:val="21"/>
          <w:szCs w:val="21"/>
          <w:u w:val="single"/>
        </w:rPr>
        <w:t>，属于</w:t>
      </w:r>
      <w:r>
        <w:rPr>
          <w:rFonts w:hint="eastAsia"/>
          <w:i w:val="0"/>
          <w:iCs/>
          <w:sz w:val="21"/>
          <w:szCs w:val="21"/>
          <w:u w:val="single"/>
        </w:rPr>
        <w:t>软件和信息技术服务业</w:t>
      </w:r>
      <w:r>
        <w:rPr>
          <w:i/>
          <w:sz w:val="21"/>
          <w:szCs w:val="21"/>
          <w:u w:val="single"/>
        </w:rPr>
        <w:t>；</w:t>
      </w:r>
      <w:r>
        <w:rPr>
          <w:sz w:val="21"/>
          <w:szCs w:val="21"/>
        </w:rPr>
        <w:t>制造商为</w:t>
      </w:r>
      <w:r>
        <w:rPr>
          <w:rFonts w:hint="eastAsia"/>
          <w:sz w:val="21"/>
          <w:szCs w:val="21"/>
          <w:u w:val="single"/>
          <w:lang w:val="en-US" w:eastAsia="zh-CN"/>
        </w:rPr>
        <w:t xml:space="preserve">       </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rFonts w:hint="eastAsia"/>
          <w:sz w:val="21"/>
          <w:szCs w:val="21"/>
          <w:u w:val="single"/>
          <w:lang w:val="en-US" w:eastAsia="zh-CN"/>
        </w:rPr>
        <w:t xml:space="preserve">       </w:t>
      </w:r>
      <w:r>
        <w:rPr>
          <w:i/>
          <w:sz w:val="21"/>
          <w:szCs w:val="21"/>
          <w:u w:val="single"/>
        </w:rPr>
        <w:t>（中型企业、小型企业、微型企业）</w:t>
      </w:r>
      <w:r>
        <w:rPr>
          <w:sz w:val="21"/>
          <w:szCs w:val="21"/>
        </w:rPr>
        <w:t>；</w:t>
      </w:r>
    </w:p>
    <w:p>
      <w:pPr>
        <w:adjustRightInd w:val="0"/>
        <w:snapToGrid w:val="0"/>
        <w:spacing w:line="288" w:lineRule="auto"/>
        <w:ind w:firstLine="495" w:firstLineChars="236"/>
        <w:rPr>
          <w:sz w:val="21"/>
          <w:szCs w:val="21"/>
          <w:highlight w:val="none"/>
        </w:rPr>
      </w:pPr>
      <w:r>
        <w:rPr>
          <w:sz w:val="21"/>
          <w:szCs w:val="21"/>
        </w:rPr>
        <w:t>以上企业，</w:t>
      </w:r>
      <w:r>
        <w:rPr>
          <w:sz w:val="21"/>
          <w:szCs w:val="21"/>
          <w:highlight w:val="none"/>
        </w:rPr>
        <w:t>不属于大企业的分支机构，不存在控股股东为大企业的情形，也不存在与大企业的负责人为同一人的情形。</w:t>
      </w:r>
    </w:p>
    <w:p>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sz w:val="21"/>
          <w:szCs w:val="21"/>
          <w:highlight w:val="none"/>
        </w:rPr>
        <w:t>企业名称（盖章）：</w:t>
      </w:r>
    </w:p>
    <w:p>
      <w:pPr>
        <w:adjustRightInd w:val="0"/>
        <w:snapToGrid w:val="0"/>
        <w:spacing w:line="288" w:lineRule="auto"/>
        <w:ind w:firstLine="495" w:firstLineChars="236"/>
        <w:rPr>
          <w:sz w:val="21"/>
          <w:szCs w:val="21"/>
          <w:highlight w:val="none"/>
        </w:rPr>
      </w:pPr>
      <w:r>
        <w:rPr>
          <w:sz w:val="21"/>
          <w:szCs w:val="21"/>
          <w:highlight w:val="none"/>
        </w:rPr>
        <w:t>日期：</w:t>
      </w:r>
    </w:p>
    <w:p>
      <w:pPr>
        <w:adjustRightInd w:val="0"/>
        <w:snapToGrid w:val="0"/>
        <w:spacing w:line="288" w:lineRule="auto"/>
        <w:ind w:firstLine="495" w:firstLineChars="236"/>
        <w:rPr>
          <w:sz w:val="21"/>
          <w:szCs w:val="21"/>
          <w:highlight w:val="none"/>
        </w:rPr>
      </w:pPr>
    </w:p>
    <w:p>
      <w:pPr>
        <w:adjustRightInd w:val="0"/>
        <w:snapToGrid w:val="0"/>
        <w:spacing w:line="288" w:lineRule="auto"/>
        <w:ind w:firstLine="495" w:firstLineChars="236"/>
        <w:rPr>
          <w:sz w:val="21"/>
          <w:szCs w:val="21"/>
          <w:highlight w:val="none"/>
        </w:rPr>
      </w:pPr>
      <w:r>
        <w:rPr>
          <w:rFonts w:hint="eastAsia"/>
          <w:sz w:val="21"/>
          <w:szCs w:val="21"/>
          <w:highlight w:val="none"/>
        </w:rPr>
        <w:t>注：</w:t>
      </w:r>
    </w:p>
    <w:p>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pPr>
        <w:widowControl/>
        <w:adjustRightInd w:val="0"/>
        <w:snapToGrid w:val="0"/>
        <w:spacing w:line="288" w:lineRule="auto"/>
        <w:ind w:firstLine="495" w:firstLineChars="236"/>
        <w:jc w:val="left"/>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pPr>
        <w:adjustRightInd w:val="0"/>
        <w:snapToGrid w:val="0"/>
        <w:spacing w:line="288" w:lineRule="auto"/>
        <w:ind w:firstLine="495" w:firstLineChars="236"/>
        <w:outlineLvl w:val="9"/>
        <w:rPr>
          <w:rFonts w:cs="Times New Roman"/>
          <w:sz w:val="21"/>
          <w:szCs w:val="21"/>
          <w:highlight w:val="none"/>
          <w:u w:val="single"/>
        </w:rPr>
      </w:pPr>
    </w:p>
    <w:p>
      <w:pPr>
        <w:adjustRightInd w:val="0"/>
        <w:snapToGrid w:val="0"/>
        <w:spacing w:line="288" w:lineRule="auto"/>
        <w:ind w:firstLine="495" w:firstLineChars="236"/>
        <w:outlineLvl w:val="9"/>
        <w:rPr>
          <w:sz w:val="21"/>
          <w:szCs w:val="21"/>
          <w:highlight w:val="none"/>
        </w:rPr>
      </w:pPr>
      <w:r>
        <w:rPr>
          <w:rFonts w:hint="eastAsia"/>
          <w:sz w:val="21"/>
          <w:szCs w:val="21"/>
          <w:highlight w:val="none"/>
        </w:rPr>
        <w:br w:type="page"/>
      </w:r>
    </w:p>
    <w:p>
      <w:pPr>
        <w:adjustRightInd w:val="0"/>
        <w:snapToGrid w:val="0"/>
        <w:spacing w:line="288" w:lineRule="auto"/>
        <w:jc w:val="center"/>
        <w:outlineLvl w:val="9"/>
        <w:rPr>
          <w:color w:val="000000"/>
          <w:kern w:val="0"/>
          <w:sz w:val="21"/>
          <w:szCs w:val="21"/>
          <w:highlight w:val="none"/>
        </w:rPr>
      </w:pPr>
      <w:r>
        <w:rPr>
          <w:rFonts w:hint="eastAsia"/>
          <w:b/>
          <w:spacing w:val="-6"/>
          <w:sz w:val="21"/>
          <w:szCs w:val="21"/>
          <w:highlight w:val="none"/>
          <w:lang w:val="en-US" w:eastAsia="zh-CN"/>
        </w:rPr>
        <w:t>2</w:t>
      </w:r>
      <w:r>
        <w:rPr>
          <w:rFonts w:hint="eastAsia"/>
          <w:b/>
          <w:spacing w:val="-6"/>
          <w:sz w:val="21"/>
          <w:szCs w:val="21"/>
          <w:highlight w:val="none"/>
        </w:rPr>
        <w:t>）属于监狱企业的证明文件（若属于监狱企业）</w:t>
      </w:r>
    </w:p>
    <w:p>
      <w:pPr>
        <w:adjustRightInd w:val="0"/>
        <w:snapToGrid w:val="0"/>
        <w:spacing w:line="288" w:lineRule="auto"/>
        <w:outlineLvl w:val="9"/>
        <w:rPr>
          <w:color w:val="000000"/>
          <w:kern w:val="0"/>
          <w:sz w:val="21"/>
          <w:szCs w:val="21"/>
          <w:highlight w:val="none"/>
        </w:rPr>
      </w:pPr>
    </w:p>
    <w:p>
      <w:pPr>
        <w:adjustRightInd w:val="0"/>
        <w:snapToGrid w:val="0"/>
        <w:spacing w:line="288" w:lineRule="auto"/>
        <w:ind w:firstLine="373" w:firstLineChars="177"/>
        <w:outlineLvl w:val="9"/>
        <w:rPr>
          <w:b/>
          <w:bCs/>
          <w:sz w:val="21"/>
          <w:szCs w:val="21"/>
          <w:highlight w:val="none"/>
        </w:rPr>
      </w:pPr>
      <w:r>
        <w:rPr>
          <w:rFonts w:hint="eastAsia"/>
          <w:b/>
          <w:bCs/>
          <w:color w:val="000000"/>
          <w:kern w:val="0"/>
          <w:sz w:val="21"/>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sz w:val="21"/>
          <w:szCs w:val="21"/>
          <w:highlight w:val="none"/>
        </w:rPr>
      </w:pPr>
    </w:p>
    <w:p>
      <w:pPr>
        <w:adjustRightInd w:val="0"/>
        <w:snapToGrid w:val="0"/>
        <w:spacing w:line="288" w:lineRule="auto"/>
        <w:outlineLvl w:val="9"/>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b/>
          <w:spacing w:val="-6"/>
          <w:sz w:val="21"/>
          <w:szCs w:val="21"/>
          <w:highlight w:val="none"/>
        </w:rPr>
      </w:pPr>
      <w:r>
        <w:rPr>
          <w:b/>
          <w:spacing w:val="-6"/>
          <w:sz w:val="21"/>
          <w:szCs w:val="21"/>
          <w:highlight w:val="none"/>
        </w:rPr>
        <w:br w:type="page"/>
      </w:r>
    </w:p>
    <w:p>
      <w:pPr>
        <w:adjustRightInd w:val="0"/>
        <w:snapToGrid w:val="0"/>
        <w:spacing w:line="288" w:lineRule="auto"/>
        <w:jc w:val="center"/>
        <w:outlineLvl w:val="9"/>
        <w:rPr>
          <w:b/>
          <w:spacing w:val="-6"/>
          <w:sz w:val="21"/>
          <w:szCs w:val="21"/>
          <w:highlight w:val="none"/>
        </w:rPr>
      </w:pPr>
      <w:r>
        <w:rPr>
          <w:rFonts w:hint="eastAsia"/>
          <w:b/>
          <w:spacing w:val="-6"/>
          <w:sz w:val="21"/>
          <w:szCs w:val="21"/>
          <w:highlight w:val="none"/>
          <w:lang w:val="en-US" w:eastAsia="zh-CN"/>
        </w:rPr>
        <w:t>3</w:t>
      </w:r>
      <w:r>
        <w:rPr>
          <w:rFonts w:hint="eastAsia"/>
          <w:b/>
          <w:spacing w:val="-6"/>
          <w:sz w:val="21"/>
          <w:szCs w:val="21"/>
          <w:highlight w:val="none"/>
        </w:rPr>
        <w:t>）残疾人福利性单位声明函（若属于残疾人福利性单位）</w:t>
      </w:r>
    </w:p>
    <w:p>
      <w:pPr>
        <w:adjustRightInd w:val="0"/>
        <w:snapToGrid w:val="0"/>
        <w:spacing w:line="288" w:lineRule="auto"/>
        <w:outlineLvl w:val="9"/>
        <w:rPr>
          <w:rFonts w:cs="Times New Roman"/>
          <w:b/>
          <w:spacing w:val="6"/>
          <w:sz w:val="21"/>
          <w:szCs w:val="21"/>
          <w:highlight w:val="none"/>
        </w:rPr>
      </w:pP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本单位郑重声明，根据《财政部 民政部 中国残疾人联合会关于促进残疾人就业政府采购政策的通知》（财库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日  期：</w:t>
      </w:r>
    </w:p>
    <w:p>
      <w:pPr>
        <w:adjustRightInd w:val="0"/>
        <w:snapToGrid w:val="0"/>
        <w:spacing w:line="288" w:lineRule="auto"/>
        <w:outlineLvl w:val="9"/>
        <w:rPr>
          <w:sz w:val="21"/>
          <w:szCs w:val="21"/>
          <w:highlight w:val="none"/>
        </w:rPr>
      </w:pPr>
    </w:p>
    <w:p>
      <w:pPr>
        <w:adjustRightInd w:val="0"/>
        <w:snapToGrid w:val="0"/>
        <w:spacing w:line="288" w:lineRule="auto"/>
        <w:outlineLvl w:val="9"/>
        <w:rPr>
          <w:b/>
          <w:bCs/>
          <w:sz w:val="21"/>
          <w:szCs w:val="21"/>
          <w:highlight w:val="none"/>
        </w:rPr>
      </w:pPr>
      <w:r>
        <w:rPr>
          <w:rFonts w:hint="eastAsia"/>
          <w:b/>
          <w:bCs/>
          <w:sz w:val="21"/>
          <w:szCs w:val="21"/>
          <w:highlight w:val="none"/>
        </w:rPr>
        <w:t>说明：</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一、享受政府采购支持政策的残疾人福利性单位应当同时满足以下条件：</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（一）安置的残疾人占本单位在职职工人数的比例不低于25%（含25%），并且安置的残疾人人数不少于10人（含10人）；</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（二）依法与安置的每位残疾人签订了一年以上（含一年）的劳动合同或服务协议；</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（三）为安置的每位残疾人按月足额缴纳了基本养老保险、基本医疗保险、失业保险、工伤保险和生育保险等社会保险费；</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line="288" w:lineRule="auto"/>
        <w:ind w:firstLine="371" w:firstLineChars="177"/>
        <w:jc w:val="left"/>
        <w:outlineLvl w:val="9"/>
        <w:rPr>
          <w:color w:val="000000"/>
          <w:kern w:val="0"/>
          <w:sz w:val="21"/>
          <w:szCs w:val="21"/>
          <w:highlight w:val="none"/>
        </w:rPr>
      </w:pPr>
      <w:r>
        <w:rPr>
          <w:rFonts w:hint="eastAsia"/>
          <w:color w:val="000000"/>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二、符合条件的残疾人福利性单位在参加政府采购活动时，应当提供</w:t>
      </w:r>
      <w:r>
        <w:rPr>
          <w:rFonts w:hint="eastAsia"/>
          <w:kern w:val="0"/>
          <w:sz w:val="21"/>
          <w:szCs w:val="21"/>
          <w:highlight w:val="none"/>
        </w:rPr>
        <w:t>财库</w:t>
      </w:r>
      <w:r>
        <w:rPr>
          <w:kern w:val="0"/>
          <w:sz w:val="21"/>
          <w:szCs w:val="21"/>
          <w:highlight w:val="none"/>
        </w:rPr>
        <w:t>[2017]141号</w:t>
      </w:r>
      <w:r>
        <w:rPr>
          <w:rFonts w:hint="eastAsia"/>
          <w:kern w:val="0"/>
          <w:sz w:val="21"/>
          <w:szCs w:val="21"/>
          <w:highlight w:val="none"/>
        </w:rPr>
        <w:t>文件</w:t>
      </w:r>
      <w:r>
        <w:rPr>
          <w:rFonts w:hint="eastAsia"/>
          <w:color w:val="000000"/>
          <w:kern w:val="0"/>
          <w:sz w:val="21"/>
          <w:szCs w:val="21"/>
          <w:highlight w:val="none"/>
        </w:rPr>
        <w:t>规定的《残疾人福利性单位声明函》</w:t>
      </w:r>
      <w:r>
        <w:rPr>
          <w:rFonts w:hint="eastAsia"/>
          <w:kern w:val="0"/>
          <w:sz w:val="21"/>
          <w:szCs w:val="21"/>
          <w:highlight w:val="none"/>
        </w:rPr>
        <w:t>，并对声明的真实性负责。</w:t>
      </w:r>
    </w:p>
    <w:p>
      <w:pPr>
        <w:widowControl/>
        <w:shd w:val="clear" w:color="auto" w:fill="FFFFFF"/>
        <w:adjustRightInd w:val="0"/>
        <w:snapToGrid w:val="0"/>
        <w:spacing w:line="288" w:lineRule="auto"/>
        <w:ind w:firstLine="371" w:firstLineChars="177"/>
        <w:jc w:val="left"/>
        <w:outlineLvl w:val="9"/>
        <w:rPr>
          <w:color w:val="FF0000"/>
          <w:kern w:val="0"/>
          <w:sz w:val="21"/>
          <w:szCs w:val="21"/>
          <w:highlight w:val="none"/>
        </w:rPr>
      </w:pPr>
      <w:r>
        <w:rPr>
          <w:rFonts w:hint="eastAsia"/>
          <w:color w:val="000000"/>
          <w:kern w:val="0"/>
          <w:sz w:val="21"/>
          <w:szCs w:val="21"/>
          <w:highlight w:val="none"/>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line="288" w:lineRule="auto"/>
        <w:ind w:firstLine="371" w:firstLineChars="177"/>
        <w:jc w:val="left"/>
        <w:outlineLvl w:val="9"/>
        <w:rPr>
          <w:kern w:val="0"/>
          <w:sz w:val="21"/>
          <w:szCs w:val="21"/>
          <w:highlight w:val="none"/>
        </w:rPr>
      </w:pPr>
      <w:r>
        <w:rPr>
          <w:rFonts w:hint="eastAsia"/>
          <w:kern w:val="0"/>
          <w:sz w:val="21"/>
          <w:szCs w:val="21"/>
          <w:highlight w:val="none"/>
        </w:rPr>
        <w:t>残疾人福利性单位属于小型、微型企业的，不重复享受政策。</w:t>
      </w:r>
    </w:p>
    <w:p>
      <w:pPr>
        <w:rPr>
          <w:rFonts w:hint="eastAsia"/>
          <w:b/>
          <w:spacing w:val="-6"/>
          <w:sz w:val="21"/>
          <w:szCs w:val="21"/>
        </w:rPr>
      </w:pPr>
      <w:r>
        <w:rPr>
          <w:rFonts w:hint="eastAsia"/>
          <w:b/>
          <w:spacing w:val="-6"/>
          <w:sz w:val="21"/>
          <w:szCs w:val="21"/>
        </w:rPr>
        <w:br w:type="page"/>
      </w:r>
    </w:p>
    <w:p>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pPr>
    </w:p>
    <w:p>
      <w:pPr>
        <w:adjustRightInd w:val="0"/>
        <w:snapToGrid w:val="0"/>
        <w:spacing w:line="288" w:lineRule="auto"/>
        <w:jc w:val="center"/>
        <w:outlineLvl w:val="1"/>
        <w:rPr>
          <w:b/>
          <w:bCs/>
          <w:sz w:val="84"/>
          <w:szCs w:val="84"/>
        </w:rPr>
      </w:pPr>
      <w:r>
        <w:rPr>
          <w:rFonts w:hint="eastAsia"/>
          <w:b/>
          <w:bCs/>
          <w:sz w:val="84"/>
          <w:szCs w:val="84"/>
        </w:rPr>
        <w:t>商务和技术文件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（1）响应函</w:t>
      </w:r>
    </w:p>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浙江经济职业技术学院</w:t>
      </w:r>
      <w:r>
        <w:rPr>
          <w:rFonts w:hint="eastAsia"/>
          <w:b/>
          <w:bCs/>
          <w:sz w:val="21"/>
          <w:szCs w:val="21"/>
        </w:rPr>
        <w:t>、浙江求是招标代理有限公司</w:t>
      </w:r>
    </w:p>
    <w:p>
      <w:pPr>
        <w:adjustRightInd w:val="0"/>
        <w:snapToGrid w:val="0"/>
        <w:spacing w:line="288" w:lineRule="auto"/>
        <w:rPr>
          <w:rFonts w:cs="Times New Roman"/>
          <w:spacing w:val="-6"/>
          <w:sz w:val="21"/>
          <w:szCs w:val="21"/>
          <w:highlight w:val="cyan"/>
        </w:rPr>
      </w:pPr>
    </w:p>
    <w:p>
      <w:pPr>
        <w:adjustRightInd w:val="0"/>
        <w:snapToGrid w:val="0"/>
        <w:spacing w:line="288" w:lineRule="auto"/>
        <w:ind w:firstLine="396" w:firstLineChars="200"/>
        <w:rPr>
          <w:sz w:val="21"/>
          <w:szCs w:val="21"/>
        </w:rPr>
      </w:pPr>
      <w:bookmarkStart w:id="56" w:name="_Hlk97040115"/>
      <w:r>
        <w:rPr>
          <w:rFonts w:hint="eastAsia" w:cs="Times New Roman"/>
          <w:spacing w:val="-6"/>
          <w:sz w:val="21"/>
          <w:szCs w:val="21"/>
        </w:rPr>
        <w:t>我方参加</w:t>
      </w:r>
      <w:r>
        <w:rPr>
          <w:rFonts w:hint="eastAsia" w:cs="Times New Roman"/>
          <w:bCs/>
          <w:spacing w:val="-6"/>
          <w:sz w:val="21"/>
          <w:szCs w:val="21"/>
          <w:u w:val="single"/>
          <w:lang w:eastAsia="zh-CN"/>
        </w:rPr>
        <w:t>浙江经济职业技术学院智慧党建系统</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QSZB-Z(H)-B24396(CS)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6"/>
    <w:p>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bookmarkStart w:id="57" w:name="_Hlk97040154"/>
            <w:r>
              <w:rPr>
                <w:rFonts w:hint="eastAsia" w:cs="Times New Roman"/>
                <w:spacing w:val="-6"/>
                <w:kern w:val="0"/>
                <w:sz w:val="21"/>
                <w:szCs w:val="21"/>
              </w:rPr>
              <w:t>联系人：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pPr>
              <w:adjustRightInd w:val="0"/>
              <w:snapToGrid w:val="0"/>
              <w:spacing w:line="288" w:lineRule="auto"/>
              <w:rPr>
                <w:rFonts w:cs="Times New Roman"/>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pPr>
              <w:adjustRightInd w:val="0"/>
              <w:snapToGrid w:val="0"/>
              <w:spacing w:line="288" w:lineRule="auto"/>
              <w:rPr>
                <w:rFonts w:cs="Times New Roman"/>
                <w:spacing w:val="-6"/>
                <w:kern w:val="0"/>
                <w:sz w:val="21"/>
                <w:szCs w:val="21"/>
              </w:rPr>
            </w:pPr>
          </w:p>
        </w:tc>
      </w:tr>
      <w:bookmarkEnd w:id="57"/>
    </w:tbl>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bookmarkStart w:id="58"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pPr>
        <w:widowControl/>
        <w:adjustRightInd w:val="0"/>
        <w:snapToGrid w:val="0"/>
        <w:spacing w:line="288" w:lineRule="auto"/>
        <w:jc w:val="left"/>
        <w:rPr>
          <w:sz w:val="21"/>
          <w:szCs w:val="21"/>
        </w:rPr>
      </w:pPr>
      <w:r>
        <w:rPr>
          <w:sz w:val="21"/>
          <w:szCs w:val="21"/>
        </w:rPr>
        <w:br w:type="page"/>
      </w:r>
    </w:p>
    <w:p>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pPr>
        <w:adjustRightInd w:val="0"/>
        <w:snapToGrid w:val="0"/>
        <w:spacing w:line="288" w:lineRule="auto"/>
        <w:rPr>
          <w:rFonts w:cs="Times New Roman"/>
          <w:b/>
          <w:bCs/>
          <w:spacing w:val="-6"/>
          <w:sz w:val="21"/>
          <w:szCs w:val="21"/>
        </w:rPr>
      </w:pPr>
    </w:p>
    <w:p>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浙江经济职业技术学院</w:t>
      </w:r>
      <w:r>
        <w:rPr>
          <w:rFonts w:hint="eastAsia" w:cs="Times New Roman"/>
          <w:b/>
          <w:spacing w:val="-6"/>
          <w:sz w:val="21"/>
          <w:szCs w:val="21"/>
        </w:rPr>
        <w:t>、浙江求是招标代理有限公司</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浙江经济职业技术学院智慧党建系统</w:t>
      </w:r>
      <w:r>
        <w:rPr>
          <w:rFonts w:hint="eastAsia" w:cs="Times New Roman"/>
          <w:bCs/>
          <w:spacing w:val="-6"/>
          <w:sz w:val="21"/>
          <w:szCs w:val="21"/>
        </w:rPr>
        <w:t>项目（项目编号：</w:t>
      </w:r>
      <w:r>
        <w:rPr>
          <w:rFonts w:hint="eastAsia" w:cs="Times New Roman"/>
          <w:bCs/>
          <w:spacing w:val="-6"/>
          <w:sz w:val="21"/>
          <w:szCs w:val="21"/>
          <w:lang w:eastAsia="zh-CN"/>
        </w:rPr>
        <w:t>QSZB-Z(H)-B24396(CS)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2024年01月</w:t>
      </w:r>
      <w:r>
        <w:rPr>
          <w:rFonts w:hint="eastAsia" w:cs="Times New Roman"/>
          <w:spacing w:val="-6"/>
          <w:sz w:val="21"/>
          <w:szCs w:val="21"/>
          <w:u w:val="single"/>
        </w:rPr>
        <w:t>（含）以后任意一月）。</w:t>
      </w:r>
    </w:p>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r>
        <w:rPr>
          <w:rFonts w:hint="eastAsia" w:cs="Times New Roman"/>
          <w:sz w:val="21"/>
          <w:szCs w:val="21"/>
        </w:rPr>
        <w:t>注：</w:t>
      </w:r>
    </w:p>
    <w:p>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pPr>
        <w:adjustRightInd w:val="0"/>
        <w:snapToGrid w:val="0"/>
        <w:spacing w:line="288" w:lineRule="auto"/>
        <w:rPr>
          <w:rFonts w:cs="Times New Roman"/>
          <w:sz w:val="21"/>
          <w:szCs w:val="21"/>
        </w:rPr>
      </w:pPr>
    </w:p>
    <w:p>
      <w:pPr>
        <w:adjustRightInd w:val="0"/>
        <w:snapToGrid w:val="0"/>
        <w:spacing w:line="288" w:lineRule="auto"/>
        <w:rPr>
          <w:rFonts w:cs="Times New Roman"/>
          <w:sz w:val="21"/>
          <w:szCs w:val="21"/>
        </w:rPr>
      </w:pPr>
    </w:p>
    <w:p>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pPr>
        <w:adjustRightInd w:val="0"/>
        <w:snapToGrid w:val="0"/>
        <w:spacing w:line="288" w:lineRule="auto"/>
        <w:jc w:val="left"/>
        <w:rPr>
          <w:rFonts w:cs="Times New Roman"/>
          <w:sz w:val="21"/>
          <w:szCs w:val="21"/>
        </w:rPr>
      </w:pPr>
      <w:r>
        <w:rPr>
          <w:rFonts w:hint="eastAsia"/>
          <w:bCs/>
          <w:sz w:val="21"/>
          <w:szCs w:val="21"/>
        </w:rPr>
        <w:t>身份证件复印件</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bCs/>
                <w:sz w:val="21"/>
                <w:szCs w:val="21"/>
              </w:rPr>
            </w:pPr>
            <w:r>
              <w:rPr>
                <w:rFonts w:hint="eastAsia"/>
                <w:bCs/>
                <w:sz w:val="21"/>
                <w:szCs w:val="21"/>
              </w:rPr>
              <w:t>正面：</w:t>
            </w:r>
          </w:p>
        </w:tc>
        <w:tc>
          <w:tcPr>
            <w:tcW w:w="4951" w:type="dxa"/>
          </w:tcPr>
          <w:p>
            <w:pPr>
              <w:adjustRightInd w:val="0"/>
              <w:snapToGrid w:val="0"/>
              <w:spacing w:line="288" w:lineRule="auto"/>
              <w:rPr>
                <w:bCs/>
                <w:sz w:val="21"/>
                <w:szCs w:val="21"/>
              </w:rPr>
            </w:pPr>
            <w:r>
              <w:rPr>
                <w:rFonts w:hint="eastAsia"/>
                <w:bCs/>
                <w:sz w:val="21"/>
                <w:szCs w:val="21"/>
              </w:rPr>
              <w:t>反面：</w:t>
            </w:r>
          </w:p>
        </w:tc>
      </w:tr>
    </w:tbl>
    <w:p>
      <w:pPr>
        <w:adjustRightInd w:val="0"/>
        <w:snapToGrid w:val="0"/>
        <w:spacing w:line="288" w:lineRule="auto"/>
        <w:rPr>
          <w:rFonts w:cs="Times New Roman"/>
          <w:sz w:val="21"/>
          <w:szCs w:val="21"/>
        </w:rPr>
      </w:pPr>
    </w:p>
    <w:p>
      <w:pPr>
        <w:widowControl/>
        <w:adjustRightInd w:val="0"/>
        <w:snapToGrid w:val="0"/>
        <w:spacing w:line="288" w:lineRule="auto"/>
        <w:jc w:val="left"/>
        <w:rPr>
          <w:rFonts w:cs="Times New Roman"/>
          <w:sz w:val="21"/>
          <w:szCs w:val="21"/>
        </w:rPr>
      </w:pPr>
      <w:r>
        <w:rPr>
          <w:rFonts w:cs="Times New Roman"/>
          <w:sz w:val="21"/>
          <w:szCs w:val="21"/>
        </w:rPr>
        <w:br w:type="page"/>
      </w:r>
    </w:p>
    <w:p>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2024年01月</w:t>
      </w:r>
      <w:r>
        <w:rPr>
          <w:rFonts w:hint="eastAsia" w:cs="Times New Roman"/>
          <w:b/>
          <w:bCs/>
          <w:sz w:val="21"/>
          <w:szCs w:val="21"/>
        </w:rPr>
        <w:t>（含）以后任意一月）</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pPr>
              <w:adjustRightInd w:val="0"/>
              <w:snapToGrid w:val="0"/>
              <w:spacing w:line="288" w:lineRule="auto"/>
              <w:jc w:val="center"/>
              <w:rPr>
                <w:b/>
                <w:bCs/>
                <w:kern w:val="0"/>
                <w:sz w:val="21"/>
                <w:szCs w:val="21"/>
              </w:rPr>
            </w:pPr>
            <w:r>
              <w:rPr>
                <w:rFonts w:hint="eastAsia"/>
                <w:b/>
                <w:bCs/>
                <w:kern w:val="0"/>
                <w:sz w:val="21"/>
                <w:szCs w:val="21"/>
              </w:rPr>
              <w:t>合同金额</w:t>
            </w:r>
          </w:p>
          <w:p>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pPr>
              <w:adjustRightInd w:val="0"/>
              <w:snapToGrid w:val="0"/>
              <w:spacing w:line="288" w:lineRule="auto"/>
              <w:jc w:val="center"/>
              <w:rPr>
                <w:b/>
                <w:bCs/>
                <w:kern w:val="0"/>
                <w:sz w:val="21"/>
                <w:szCs w:val="21"/>
              </w:rPr>
            </w:pPr>
            <w:r>
              <w:rPr>
                <w:rFonts w:hint="eastAsia"/>
                <w:b/>
                <w:bCs/>
                <w:kern w:val="0"/>
                <w:sz w:val="21"/>
                <w:szCs w:val="21"/>
              </w:rPr>
              <w:t>采购人联系人</w:t>
            </w:r>
          </w:p>
          <w:p>
            <w:pPr>
              <w:adjustRightInd w:val="0"/>
              <w:snapToGrid w:val="0"/>
              <w:spacing w:line="288" w:lineRule="auto"/>
              <w:jc w:val="center"/>
              <w:rPr>
                <w:b/>
                <w:bCs/>
                <w:kern w:val="0"/>
                <w:sz w:val="21"/>
                <w:szCs w:val="21"/>
              </w:rPr>
            </w:pPr>
            <w:r>
              <w:rPr>
                <w:rFonts w:hint="eastAsia"/>
                <w:b/>
                <w:bCs/>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pPr>
              <w:adjustRightInd w:val="0"/>
              <w:snapToGrid w:val="0"/>
              <w:spacing w:line="288" w:lineRule="auto"/>
              <w:jc w:val="center"/>
              <w:rPr>
                <w:kern w:val="0"/>
                <w:sz w:val="21"/>
                <w:szCs w:val="21"/>
              </w:rPr>
            </w:pPr>
          </w:p>
        </w:tc>
        <w:tc>
          <w:tcPr>
            <w:tcW w:w="1268" w:type="dxa"/>
            <w:vAlign w:val="center"/>
          </w:tcPr>
          <w:p>
            <w:pPr>
              <w:adjustRightInd w:val="0"/>
              <w:snapToGrid w:val="0"/>
              <w:spacing w:line="288" w:lineRule="auto"/>
              <w:jc w:val="center"/>
              <w:rPr>
                <w:kern w:val="0"/>
                <w:sz w:val="21"/>
                <w:szCs w:val="21"/>
              </w:rPr>
            </w:pPr>
          </w:p>
        </w:tc>
        <w:tc>
          <w:tcPr>
            <w:tcW w:w="1282" w:type="dxa"/>
            <w:vAlign w:val="center"/>
          </w:tcPr>
          <w:p>
            <w:pPr>
              <w:adjustRightInd w:val="0"/>
              <w:snapToGrid w:val="0"/>
              <w:spacing w:line="288" w:lineRule="auto"/>
              <w:jc w:val="center"/>
              <w:rPr>
                <w:kern w:val="0"/>
                <w:sz w:val="21"/>
                <w:szCs w:val="21"/>
              </w:rPr>
            </w:pPr>
          </w:p>
        </w:tc>
        <w:tc>
          <w:tcPr>
            <w:tcW w:w="1432" w:type="dxa"/>
            <w:vAlign w:val="center"/>
          </w:tcPr>
          <w:p>
            <w:pPr>
              <w:adjustRightInd w:val="0"/>
              <w:snapToGrid w:val="0"/>
              <w:spacing w:line="288" w:lineRule="auto"/>
              <w:jc w:val="center"/>
              <w:rPr>
                <w:kern w:val="0"/>
                <w:sz w:val="21"/>
                <w:szCs w:val="21"/>
              </w:rPr>
            </w:pPr>
          </w:p>
        </w:tc>
        <w:tc>
          <w:tcPr>
            <w:tcW w:w="1256" w:type="dxa"/>
            <w:vAlign w:val="center"/>
          </w:tcPr>
          <w:p>
            <w:pPr>
              <w:adjustRightInd w:val="0"/>
              <w:snapToGrid w:val="0"/>
              <w:spacing w:line="288" w:lineRule="auto"/>
              <w:jc w:val="center"/>
              <w:rPr>
                <w:kern w:val="0"/>
                <w:sz w:val="21"/>
                <w:szCs w:val="21"/>
              </w:rPr>
            </w:pPr>
          </w:p>
        </w:tc>
        <w:tc>
          <w:tcPr>
            <w:tcW w:w="899" w:type="dxa"/>
            <w:vAlign w:val="center"/>
          </w:tcPr>
          <w:p>
            <w:pPr>
              <w:adjustRightInd w:val="0"/>
              <w:snapToGrid w:val="0"/>
              <w:spacing w:line="288" w:lineRule="auto"/>
              <w:jc w:val="center"/>
              <w:rPr>
                <w:kern w:val="0"/>
                <w:sz w:val="21"/>
                <w:szCs w:val="21"/>
              </w:rPr>
            </w:pPr>
          </w:p>
        </w:tc>
        <w:tc>
          <w:tcPr>
            <w:tcW w:w="995" w:type="dxa"/>
            <w:vAlign w:val="center"/>
          </w:tcPr>
          <w:p>
            <w:pPr>
              <w:adjustRightInd w:val="0"/>
              <w:snapToGrid w:val="0"/>
              <w:spacing w:line="288" w:lineRule="auto"/>
              <w:jc w:val="center"/>
              <w:rPr>
                <w:kern w:val="0"/>
                <w:sz w:val="21"/>
                <w:szCs w:val="21"/>
              </w:rPr>
            </w:pPr>
          </w:p>
        </w:tc>
        <w:tc>
          <w:tcPr>
            <w:tcW w:w="1718" w:type="dxa"/>
            <w:vAlign w:val="center"/>
          </w:tcPr>
          <w:p>
            <w:pPr>
              <w:adjustRightInd w:val="0"/>
              <w:snapToGrid w:val="0"/>
              <w:spacing w:line="288" w:lineRule="auto"/>
              <w:jc w:val="center"/>
              <w:rPr>
                <w:kern w:val="0"/>
                <w:sz w:val="21"/>
                <w:szCs w:val="21"/>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1.供应商须提供上述业绩合同扫描件；</w:t>
      </w:r>
    </w:p>
    <w:p>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智慧党建系统</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QSZB-Z(H)-B24396(CS)</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b/>
                <w:bCs/>
                <w:kern w:val="0"/>
                <w:sz w:val="21"/>
                <w:szCs w:val="21"/>
              </w:rPr>
            </w:pPr>
            <w:bookmarkStart w:id="59" w:name="_Hlk97040421"/>
            <w:r>
              <w:rPr>
                <w:rFonts w:hint="eastAsia"/>
                <w:b/>
                <w:bCs/>
                <w:kern w:val="0"/>
                <w:sz w:val="21"/>
                <w:szCs w:val="21"/>
              </w:rPr>
              <w:t>序号</w:t>
            </w:r>
          </w:p>
        </w:tc>
        <w:tc>
          <w:tcPr>
            <w:tcW w:w="3286" w:type="dxa"/>
            <w:vAlign w:val="center"/>
          </w:tcPr>
          <w:p>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pPr>
              <w:adjustRightInd w:val="0"/>
              <w:snapToGrid w:val="0"/>
              <w:spacing w:line="288" w:lineRule="auto"/>
              <w:jc w:val="center"/>
              <w:rPr>
                <w:b/>
                <w:bCs/>
                <w:kern w:val="0"/>
                <w:sz w:val="21"/>
                <w:szCs w:val="21"/>
              </w:rPr>
            </w:pPr>
            <w:r>
              <w:rPr>
                <w:rFonts w:hint="eastAsia"/>
                <w:b/>
                <w:bCs/>
                <w:kern w:val="0"/>
                <w:sz w:val="21"/>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b/>
                <w:bCs/>
                <w:kern w:val="0"/>
                <w:sz w:val="21"/>
                <w:szCs w:val="21"/>
              </w:rPr>
            </w:pPr>
            <w:r>
              <w:rPr>
                <w:rFonts w:hint="eastAsia"/>
                <w:b/>
                <w:bCs/>
                <w:kern w:val="0"/>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kern w:val="0"/>
                <w:sz w:val="21"/>
                <w:szCs w:val="21"/>
              </w:rPr>
            </w:pPr>
            <w:r>
              <w:rPr>
                <w:rFonts w:hint="eastAsia"/>
                <w:b/>
                <w:bCs/>
                <w:kern w:val="0"/>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pPr>
              <w:adjustRightInd w:val="0"/>
              <w:snapToGrid w:val="0"/>
              <w:spacing w:line="288" w:lineRule="auto"/>
              <w:jc w:val="center"/>
              <w:rPr>
                <w:kern w:val="0"/>
                <w:sz w:val="21"/>
                <w:szCs w:val="21"/>
              </w:rPr>
            </w:pPr>
          </w:p>
        </w:tc>
        <w:tc>
          <w:tcPr>
            <w:tcW w:w="2911" w:type="dxa"/>
            <w:vAlign w:val="center"/>
          </w:tcPr>
          <w:p>
            <w:pPr>
              <w:adjustRightInd w:val="0"/>
              <w:snapToGrid w:val="0"/>
              <w:spacing w:line="288" w:lineRule="auto"/>
              <w:jc w:val="center"/>
              <w:rPr>
                <w:kern w:val="0"/>
                <w:sz w:val="21"/>
                <w:szCs w:val="21"/>
              </w:rPr>
            </w:pPr>
          </w:p>
        </w:tc>
        <w:tc>
          <w:tcPr>
            <w:tcW w:w="2407" w:type="dxa"/>
            <w:vAlign w:val="center"/>
          </w:tcPr>
          <w:p>
            <w:pPr>
              <w:adjustRightInd w:val="0"/>
              <w:snapToGrid w:val="0"/>
              <w:spacing w:line="288"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jc w:val="left"/>
              <w:rPr>
                <w:kern w:val="0"/>
                <w:sz w:val="21"/>
                <w:szCs w:val="21"/>
              </w:rPr>
            </w:pPr>
            <w:r>
              <w:rPr>
                <w:rFonts w:hint="eastAsia"/>
                <w:b/>
                <w:bCs/>
                <w:kern w:val="0"/>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rFonts w:hint="eastAsia" w:ascii="宋体" w:hAnsi="宋体" w:eastAsia="宋体" w:cs="宋体"/>
                <w:kern w:val="0"/>
                <w:sz w:val="21"/>
                <w:szCs w:val="21"/>
                <w:lang w:val="en-US" w:eastAsia="zh-CN" w:bidi="ar-SA"/>
              </w:rPr>
            </w:pPr>
            <w:r>
              <w:rPr>
                <w:rFonts w:hint="eastAsia"/>
                <w:kern w:val="0"/>
                <w:sz w:val="21"/>
                <w:szCs w:val="21"/>
              </w:rPr>
              <w:t>1</w:t>
            </w:r>
          </w:p>
        </w:tc>
        <w:tc>
          <w:tcPr>
            <w:tcW w:w="3286"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2911"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2407"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pPr>
              <w:adjustRightInd w:val="0"/>
              <w:snapToGrid w:val="0"/>
              <w:spacing w:line="288" w:lineRule="auto"/>
              <w:jc w:val="center"/>
              <w:rPr>
                <w:rFonts w:hint="eastAsia" w:ascii="宋体" w:hAnsi="宋体" w:eastAsia="宋体" w:cs="宋体"/>
                <w:kern w:val="0"/>
                <w:sz w:val="21"/>
                <w:szCs w:val="21"/>
                <w:lang w:val="en-US" w:eastAsia="zh-CN" w:bidi="ar-SA"/>
              </w:rPr>
            </w:pPr>
            <w:r>
              <w:rPr>
                <w:rFonts w:hint="eastAsia"/>
                <w:kern w:val="0"/>
                <w:sz w:val="21"/>
                <w:szCs w:val="21"/>
              </w:rPr>
              <w:t>2</w:t>
            </w:r>
          </w:p>
        </w:tc>
        <w:tc>
          <w:tcPr>
            <w:tcW w:w="3286"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2911"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2407" w:type="dxa"/>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r>
      <w:bookmark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adjustRightInd w:val="0"/>
              <w:snapToGrid w:val="0"/>
              <w:spacing w:line="288" w:lineRule="auto"/>
              <w:jc w:val="center"/>
              <w:rPr>
                <w:rFonts w:hint="eastAsia" w:ascii="宋体" w:hAnsi="宋体" w:eastAsia="宋体" w:cs="宋体"/>
                <w:kern w:val="0"/>
                <w:sz w:val="21"/>
                <w:szCs w:val="21"/>
                <w:lang w:val="en-US" w:eastAsia="zh-CN" w:bidi="ar-SA"/>
              </w:rPr>
            </w:pPr>
            <w:r>
              <w:rPr>
                <w:rFonts w:hint="eastAsia"/>
                <w:kern w:val="0"/>
                <w:sz w:val="21"/>
                <w:szCs w:val="21"/>
              </w:rPr>
              <w:t>……</w:t>
            </w:r>
          </w:p>
        </w:tc>
        <w:tc>
          <w:tcPr>
            <w:tcW w:w="0" w:type="auto"/>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0" w:type="auto"/>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c>
          <w:tcPr>
            <w:tcW w:w="0" w:type="auto"/>
            <w:vAlign w:val="center"/>
          </w:tcPr>
          <w:p>
            <w:pPr>
              <w:adjustRightInd w:val="0"/>
              <w:snapToGrid w:val="0"/>
              <w:spacing w:line="288" w:lineRule="auto"/>
              <w:jc w:val="center"/>
              <w:rPr>
                <w:rFonts w:ascii="宋体" w:hAnsi="宋体" w:eastAsia="宋体" w:cs="宋体"/>
                <w:kern w:val="0"/>
                <w:sz w:val="21"/>
                <w:szCs w:val="21"/>
                <w:lang w:val="en-US" w:eastAsia="zh-CN" w:bidi="ar-SA"/>
              </w:rPr>
            </w:pPr>
          </w:p>
        </w:tc>
      </w:tr>
    </w:tbl>
    <w:p>
      <w:pPr>
        <w:adjustRightInd w:val="0"/>
        <w:snapToGrid w:val="0"/>
        <w:spacing w:line="288" w:lineRule="auto"/>
        <w:rPr>
          <w:sz w:val="21"/>
          <w:szCs w:val="21"/>
        </w:rPr>
      </w:pPr>
    </w:p>
    <w:p>
      <w:pPr>
        <w:adjustRightInd w:val="0"/>
        <w:snapToGrid w:val="0"/>
        <w:spacing w:line="288" w:lineRule="auto"/>
        <w:rPr>
          <w:b/>
          <w:bCs/>
          <w:sz w:val="21"/>
          <w:szCs w:val="21"/>
        </w:rPr>
      </w:pPr>
      <w:r>
        <w:rPr>
          <w:rFonts w:hint="eastAsia"/>
          <w:b/>
          <w:bCs/>
          <w:sz w:val="21"/>
          <w:szCs w:val="21"/>
        </w:rPr>
        <w:t>说明：</w:t>
      </w:r>
    </w:p>
    <w:p>
      <w:pPr>
        <w:adjustRightInd w:val="0"/>
        <w:snapToGrid w:val="0"/>
        <w:spacing w:line="288" w:lineRule="auto"/>
        <w:rPr>
          <w:b/>
          <w:bCs/>
          <w:sz w:val="21"/>
          <w:szCs w:val="21"/>
        </w:rPr>
      </w:pPr>
      <w:r>
        <w:rPr>
          <w:rFonts w:hint="eastAsia"/>
          <w:b/>
          <w:bCs/>
          <w:sz w:val="21"/>
          <w:szCs w:val="21"/>
        </w:rPr>
        <w:t>1.逐项按照磋商文件要求填写响应规格；</w:t>
      </w:r>
    </w:p>
    <w:p>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pPr>
        <w:adjustRightInd w:val="0"/>
        <w:snapToGrid w:val="0"/>
        <w:spacing w:line="288" w:lineRule="auto"/>
        <w:rPr>
          <w:b/>
          <w:bCs/>
          <w:sz w:val="21"/>
          <w:szCs w:val="21"/>
        </w:rPr>
      </w:pPr>
      <w:r>
        <w:rPr>
          <w:rFonts w:hint="eastAsia"/>
          <w:b/>
          <w:bCs/>
          <w:sz w:val="21"/>
          <w:szCs w:val="21"/>
        </w:rPr>
        <w:t>3.如不填写或未如实填写，自行承担磋商响应风险。</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pPr>
        <w:adjustRightInd w:val="0"/>
        <w:snapToGrid w:val="0"/>
        <w:spacing w:line="288" w:lineRule="auto"/>
        <w:rPr>
          <w:sz w:val="21"/>
          <w:szCs w:val="21"/>
        </w:rPr>
      </w:pPr>
      <w:r>
        <w:rPr>
          <w:rFonts w:hint="eastAsia"/>
          <w:sz w:val="21"/>
          <w:szCs w:val="21"/>
        </w:rPr>
        <w:br w:type="page"/>
      </w:r>
    </w:p>
    <w:p>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5</w:t>
      </w:r>
      <w:r>
        <w:rPr>
          <w:rFonts w:hint="eastAsia"/>
          <w:b/>
          <w:bCs/>
          <w:sz w:val="21"/>
          <w:szCs w:val="21"/>
        </w:rPr>
        <w:t>）货物配置清单</w:t>
      </w:r>
      <w:r>
        <w:rPr>
          <w:rFonts w:hint="eastAsia"/>
          <w:sz w:val="21"/>
          <w:szCs w:val="21"/>
        </w:rPr>
        <w:t>（不含报价）</w:t>
      </w:r>
    </w:p>
    <w:p>
      <w:pPr>
        <w:adjustRightInd w:val="0"/>
        <w:snapToGrid w:val="0"/>
        <w:spacing w:line="288" w:lineRule="auto"/>
        <w:rPr>
          <w:sz w:val="21"/>
          <w:szCs w:val="21"/>
        </w:rPr>
      </w:pPr>
    </w:p>
    <w:tbl>
      <w:tblPr>
        <w:tblStyle w:val="18"/>
        <w:tblW w:w="95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218"/>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品牌</w:t>
            </w: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规格型号</w:t>
            </w:r>
          </w:p>
          <w:p>
            <w:pPr>
              <w:adjustRightInd w:val="0"/>
              <w:snapToGrid w:val="0"/>
              <w:spacing w:line="288" w:lineRule="auto"/>
              <w:jc w:val="center"/>
              <w:rPr>
                <w:b/>
                <w:bCs/>
                <w:sz w:val="21"/>
                <w:szCs w:val="21"/>
              </w:rPr>
            </w:pPr>
            <w:r>
              <w:rPr>
                <w:rFonts w:hint="eastAsia"/>
                <w:b/>
                <w:bCs/>
                <w:sz w:val="21"/>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21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highlight w:val="none"/>
              </w:rPr>
            </w:pPr>
          </w:p>
        </w:tc>
      </w:tr>
    </w:tbl>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pPr>
        <w:adjustRightInd w:val="0"/>
        <w:snapToGrid w:val="0"/>
        <w:spacing w:line="288" w:lineRule="auto"/>
        <w:rPr>
          <w:sz w:val="21"/>
          <w:szCs w:val="21"/>
          <w:highlight w:val="none"/>
        </w:rPr>
      </w:pPr>
    </w:p>
    <w:p>
      <w:pPr>
        <w:adjustRightInd w:val="0"/>
        <w:snapToGrid w:val="0"/>
        <w:spacing w:line="288" w:lineRule="auto"/>
        <w:rPr>
          <w:sz w:val="21"/>
          <w:szCs w:val="21"/>
          <w:highlight w:val="none"/>
        </w:rPr>
      </w:pPr>
    </w:p>
    <w:p>
      <w:pPr>
        <w:adjustRightInd w:val="0"/>
        <w:snapToGrid w:val="0"/>
        <w:spacing w:line="288" w:lineRule="auto"/>
        <w:rPr>
          <w:b/>
          <w:spacing w:val="-6"/>
          <w:sz w:val="21"/>
          <w:szCs w:val="21"/>
          <w:highlight w:val="none"/>
        </w:rPr>
      </w:pPr>
      <w:r>
        <w:rPr>
          <w:rFonts w:hint="eastAsia"/>
          <w:b/>
          <w:spacing w:val="-6"/>
          <w:sz w:val="21"/>
          <w:szCs w:val="21"/>
          <w:highlight w:val="none"/>
        </w:rPr>
        <w:t>附：产品技术支持材料</w:t>
      </w:r>
    </w:p>
    <w:p>
      <w:pPr>
        <w:rPr>
          <w:rFonts w:hint="eastAsia"/>
          <w:b/>
          <w:spacing w:val="-6"/>
          <w:sz w:val="21"/>
          <w:szCs w:val="21"/>
          <w:highlight w:val="none"/>
        </w:rPr>
      </w:pPr>
      <w:r>
        <w:rPr>
          <w:rFonts w:hint="eastAsia"/>
          <w:b/>
          <w:spacing w:val="-6"/>
          <w:sz w:val="21"/>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hint="eastAsia" w:ascii="宋体" w:hAnsi="宋体" w:eastAsia="宋体" w:cs="宋体"/>
          <w:b/>
          <w:spacing w:val="-6"/>
          <w:sz w:val="21"/>
          <w:szCs w:val="21"/>
          <w:lang w:eastAsia="zh-CN"/>
        </w:rPr>
      </w:pPr>
      <w:r>
        <w:rPr>
          <w:rFonts w:hint="eastAsia" w:ascii="宋体" w:hAnsi="宋体" w:eastAsia="宋体" w:cs="宋体"/>
          <w:b/>
          <w:spacing w:val="-6"/>
          <w:sz w:val="21"/>
          <w:szCs w:val="21"/>
        </w:rPr>
        <w:t>（6）技术方案</w:t>
      </w:r>
      <w:r>
        <w:rPr>
          <w:rFonts w:hint="eastAsia" w:ascii="宋体" w:hAnsi="宋体" w:eastAsia="宋体" w:cs="宋体"/>
          <w:b/>
          <w:spacing w:val="-6"/>
          <w:sz w:val="21"/>
          <w:szCs w:val="21"/>
          <w:lang w:eastAsia="zh-CN"/>
        </w:rPr>
        <w:t>：</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项目理解</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技术路线</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相关功能应用场景的技术解决方案</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项目实施方案</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售后服务</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培训方案</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项目负责人</w:t>
      </w:r>
    </w:p>
    <w:p>
      <w:pPr>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项目团队人员</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pPr>
      <w:r>
        <w:rPr>
          <w:rFonts w:hint="eastAsia" w:ascii="宋体" w:hAnsi="宋体" w:eastAsia="宋体" w:cs="宋体"/>
          <w:b/>
          <w:spacing w:val="-6"/>
          <w:sz w:val="21"/>
          <w:szCs w:val="21"/>
        </w:rPr>
        <w:t>（7）供应商需要说明的其他文件和材料</w:t>
      </w:r>
      <w:r>
        <w:br w:type="page"/>
      </w:r>
    </w:p>
    <w:p>
      <w:pPr>
        <w:pStyle w:val="2"/>
      </w:pPr>
    </w:p>
    <w:p>
      <w:pPr>
        <w:adjustRightInd w:val="0"/>
        <w:snapToGrid w:val="0"/>
        <w:spacing w:line="288" w:lineRule="auto"/>
        <w:jc w:val="center"/>
        <w:outlineLvl w:val="1"/>
        <w:rPr>
          <w:b/>
          <w:bCs/>
          <w:sz w:val="84"/>
          <w:szCs w:val="84"/>
        </w:rPr>
      </w:pPr>
      <w:r>
        <w:rPr>
          <w:rFonts w:hint="eastAsia"/>
          <w:b/>
          <w:bCs/>
          <w:sz w:val="84"/>
          <w:szCs w:val="84"/>
        </w:rPr>
        <w:t>报价文件</w:t>
      </w:r>
    </w:p>
    <w:p>
      <w:pPr>
        <w:adjustRightInd w:val="0"/>
        <w:snapToGrid w:val="0"/>
        <w:spacing w:line="288" w:lineRule="auto"/>
      </w:pPr>
      <w:r>
        <w:rPr>
          <w:rFonts w:hint="eastAsia"/>
        </w:rPr>
        <w:br w:type="page"/>
      </w:r>
    </w:p>
    <w:p>
      <w:pPr>
        <w:adjustRightInd w:val="0"/>
        <w:snapToGrid w:val="0"/>
        <w:spacing w:line="288" w:lineRule="auto"/>
        <w:jc w:val="center"/>
        <w:outlineLvl w:val="2"/>
        <w:rPr>
          <w:b/>
          <w:bCs/>
          <w:sz w:val="21"/>
          <w:szCs w:val="21"/>
        </w:rPr>
      </w:pPr>
      <w:r>
        <w:rPr>
          <w:rFonts w:hint="eastAsia"/>
          <w:b/>
          <w:bCs/>
          <w:sz w:val="21"/>
          <w:szCs w:val="21"/>
        </w:rPr>
        <w:t>（1）初次报价一览表</w:t>
      </w:r>
    </w:p>
    <w:p>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浙江经济职业技术学院</w:t>
      </w:r>
    </w:p>
    <w:p>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智慧党建系统</w:t>
      </w:r>
    </w:p>
    <w:p>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QSZB-Z(H)-B24396(CS)</w:t>
      </w:r>
    </w:p>
    <w:tbl>
      <w:tblPr>
        <w:tblStyle w:val="1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bookmarkStart w:id="60" w:name="_Hlk97040054"/>
            <w:r>
              <w:rPr>
                <w:rFonts w:hint="eastAsia"/>
                <w:b/>
                <w:bCs/>
                <w:sz w:val="21"/>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r>
              <w:rPr>
                <w:rFonts w:hint="eastAsia"/>
                <w:b/>
                <w:bCs/>
                <w:sz w:val="21"/>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r>
              <w:rPr>
                <w:rFonts w:hint="eastAsia"/>
                <w:b/>
                <w:bCs/>
                <w:sz w:val="21"/>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r>
              <w:rPr>
                <w:rFonts w:hint="eastAsia"/>
                <w:b/>
                <w:bCs/>
                <w:sz w:val="21"/>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b/>
                <w:bCs/>
                <w:sz w:val="21"/>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b/>
                <w:bCs/>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pPr>
              <w:adjustRightInd w:val="0"/>
              <w:snapToGrid w:val="0"/>
              <w:spacing w:line="288" w:lineRule="auto"/>
              <w:jc w:val="center"/>
              <w:rPr>
                <w:b/>
                <w:bCs/>
                <w:sz w:val="21"/>
                <w:szCs w:val="21"/>
              </w:rPr>
            </w:pPr>
            <w:r>
              <w:rPr>
                <w:rFonts w:hint="eastAsia"/>
                <w:b/>
                <w:bCs/>
                <w:sz w:val="21"/>
                <w:szCs w:val="21"/>
              </w:rPr>
              <w:t>总价（人民币元）</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小写：_________________________</w:t>
            </w:r>
          </w:p>
          <w:p>
            <w:pPr>
              <w:adjustRightInd w:val="0"/>
              <w:snapToGrid w:val="0"/>
              <w:spacing w:line="288" w:lineRule="auto"/>
              <w:rPr>
                <w:b/>
                <w:bCs/>
                <w:sz w:val="21"/>
                <w:szCs w:val="21"/>
              </w:rPr>
            </w:pPr>
          </w:p>
          <w:p>
            <w:pPr>
              <w:adjustRightInd w:val="0"/>
              <w:snapToGrid w:val="0"/>
              <w:spacing w:line="288" w:lineRule="auto"/>
              <w:rPr>
                <w:b/>
                <w:bCs/>
                <w:sz w:val="21"/>
                <w:szCs w:val="21"/>
              </w:rPr>
            </w:pPr>
            <w:r>
              <w:rPr>
                <w:rFonts w:hint="eastAsia"/>
                <w:b/>
                <w:bCs/>
                <w:sz w:val="21"/>
                <w:szCs w:val="21"/>
              </w:rPr>
              <w:t>大写：_________________________</w:t>
            </w:r>
          </w:p>
          <w:p>
            <w:pPr>
              <w:adjustRightInd w:val="0"/>
              <w:snapToGrid w:val="0"/>
              <w:spacing w:line="288" w:lineRule="auto"/>
              <w:rPr>
                <w:b/>
                <w:bCs/>
                <w:sz w:val="21"/>
                <w:szCs w:val="21"/>
              </w:rPr>
            </w:pPr>
          </w:p>
        </w:tc>
      </w:tr>
      <w:bookmarkEnd w:id="60"/>
    </w:tbl>
    <w:p>
      <w:pPr>
        <w:adjustRightInd w:val="0"/>
        <w:snapToGrid w:val="0"/>
        <w:spacing w:line="288" w:lineRule="auto"/>
        <w:rPr>
          <w:rFonts w:cs="Times New Roman"/>
          <w:spacing w:val="-6"/>
          <w:sz w:val="21"/>
          <w:szCs w:val="21"/>
        </w:rPr>
      </w:pPr>
    </w:p>
    <w:p>
      <w:pPr>
        <w:adjustRightInd w:val="0"/>
        <w:snapToGrid w:val="0"/>
        <w:spacing w:line="288" w:lineRule="auto"/>
        <w:rPr>
          <w:rFonts w:cs="Times New Roman"/>
          <w:b/>
          <w:bCs/>
          <w:spacing w:val="-6"/>
          <w:sz w:val="21"/>
          <w:szCs w:val="21"/>
        </w:rPr>
      </w:pPr>
      <w:bookmarkStart w:id="61" w:name="_Hlk97040072"/>
      <w:r>
        <w:rPr>
          <w:rFonts w:hint="eastAsia" w:cs="Times New Roman"/>
          <w:b/>
          <w:bCs/>
          <w:spacing w:val="-6"/>
          <w:sz w:val="21"/>
          <w:szCs w:val="21"/>
        </w:rPr>
        <w:t>说明：</w:t>
      </w:r>
    </w:p>
    <w:p>
      <w:pPr>
        <w:adjustRightInd w:val="0"/>
        <w:snapToGrid w:val="0"/>
        <w:spacing w:line="288" w:lineRule="auto"/>
        <w:rPr>
          <w:rFonts w:cs="Times New Roman"/>
          <w:bCs/>
          <w:spacing w:val="-6"/>
          <w:sz w:val="21"/>
          <w:szCs w:val="21"/>
        </w:rPr>
      </w:pPr>
      <w:r>
        <w:rPr>
          <w:rFonts w:cs="Times New Roman"/>
          <w:bCs/>
          <w:spacing w:val="-6"/>
          <w:sz w:val="21"/>
          <w:szCs w:val="21"/>
        </w:rPr>
        <w:t>1.</w:t>
      </w:r>
      <w:r>
        <w:rPr>
          <w:rFonts w:hint="eastAsia" w:cs="Times New Roman"/>
          <w:bCs/>
          <w:spacing w:val="-6"/>
          <w:sz w:val="21"/>
          <w:szCs w:val="21"/>
        </w:rPr>
        <w:t>此表在不改变格式要求的情况下，可自行增行。</w:t>
      </w:r>
    </w:p>
    <w:p>
      <w:pPr>
        <w:adjustRightInd w:val="0"/>
        <w:snapToGrid w:val="0"/>
        <w:spacing w:line="288" w:lineRule="auto"/>
        <w:jc w:val="left"/>
        <w:rPr>
          <w:rFonts w:cs="Times New Roman"/>
          <w:b/>
          <w:spacing w:val="-6"/>
          <w:sz w:val="21"/>
          <w:szCs w:val="21"/>
        </w:rPr>
      </w:pPr>
      <w:r>
        <w:rPr>
          <w:rFonts w:cs="Times New Roman"/>
          <w:bCs/>
          <w:spacing w:val="-6"/>
          <w:sz w:val="21"/>
          <w:szCs w:val="21"/>
        </w:rPr>
        <w:t>2.有关本项目实施所涉及的一切费用均计入报价。</w:t>
      </w:r>
    </w:p>
    <w:p>
      <w:pPr>
        <w:adjustRightInd w:val="0"/>
        <w:snapToGrid w:val="0"/>
        <w:spacing w:line="288" w:lineRule="auto"/>
        <w:jc w:val="left"/>
        <w:rPr>
          <w:rFonts w:cs="Times New Roman"/>
          <w:b/>
          <w:spacing w:val="-6"/>
          <w:sz w:val="21"/>
          <w:szCs w:val="21"/>
        </w:rPr>
      </w:pPr>
      <w:r>
        <w:rPr>
          <w:rFonts w:cs="Times New Roman"/>
          <w:b/>
          <w:spacing w:val="-6"/>
          <w:sz w:val="21"/>
          <w:szCs w:val="21"/>
        </w:rPr>
        <w:t>3.以上表格要求细分项目及报价，在“具体服务”一栏中，服务类项目填写具体服务。</w:t>
      </w:r>
    </w:p>
    <w:p>
      <w:pPr>
        <w:adjustRightInd w:val="0"/>
        <w:snapToGrid w:val="0"/>
        <w:spacing w:line="288" w:lineRule="auto"/>
        <w:rPr>
          <w:sz w:val="21"/>
          <w:szCs w:val="21"/>
        </w:rPr>
      </w:pPr>
    </w:p>
    <w:p>
      <w:pPr>
        <w:adjustRightInd w:val="0"/>
        <w:snapToGrid w:val="0"/>
        <w:spacing w:line="288" w:lineRule="auto"/>
        <w:rPr>
          <w:sz w:val="21"/>
          <w:szCs w:val="21"/>
        </w:rPr>
      </w:pPr>
    </w:p>
    <w:p>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61"/>
    <w:p>
      <w:pPr>
        <w:adjustRightInd w:val="0"/>
        <w:snapToGrid w:val="0"/>
        <w:spacing w:line="288" w:lineRule="auto"/>
        <w:rPr>
          <w:sz w:val="21"/>
          <w:szCs w:val="21"/>
        </w:rPr>
      </w:pPr>
      <w:r>
        <w:rPr>
          <w:sz w:val="21"/>
          <w:szCs w:val="21"/>
        </w:rPr>
        <w:br w:type="page"/>
      </w:r>
    </w:p>
    <w:p>
      <w:pPr>
        <w:widowControl/>
        <w:adjustRightInd w:val="0"/>
        <w:snapToGrid w:val="0"/>
        <w:spacing w:line="288" w:lineRule="auto"/>
        <w:jc w:val="left"/>
        <w:rPr>
          <w:rFonts w:cs="Times New Roman"/>
          <w:b/>
          <w:bCs/>
          <w:spacing w:val="-6"/>
          <w:sz w:val="21"/>
          <w:szCs w:val="21"/>
          <w:highlight w:val="none"/>
        </w:rPr>
      </w:pPr>
      <w:r>
        <w:rPr>
          <w:rFonts w:cs="Times New Roman"/>
          <w:b/>
          <w:bCs/>
          <w:spacing w:val="-6"/>
          <w:sz w:val="21"/>
          <w:szCs w:val="21"/>
          <w:highlight w:val="none"/>
        </w:rPr>
        <w:br w:type="page"/>
      </w:r>
    </w:p>
    <w:p>
      <w:pPr>
        <w:adjustRightInd w:val="0"/>
        <w:snapToGrid w:val="0"/>
        <w:spacing w:line="288" w:lineRule="auto"/>
        <w:jc w:val="center"/>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pPr>
        <w:snapToGrid w:val="0"/>
        <w:spacing w:line="288" w:lineRule="auto"/>
        <w:rPr>
          <w:rFonts w:cs="仿宋_GB2312"/>
          <w:sz w:val="21"/>
          <w:szCs w:val="21"/>
          <w:u w:val="single"/>
        </w:rPr>
      </w:pPr>
    </w:p>
    <w:p>
      <w:pPr>
        <w:snapToGrid w:val="0"/>
        <w:spacing w:line="288" w:lineRule="auto"/>
        <w:rPr>
          <w:rFonts w:cs="Times New Roman"/>
          <w:sz w:val="21"/>
          <w:szCs w:val="21"/>
        </w:rPr>
      </w:pPr>
      <w:r>
        <w:rPr>
          <w:rFonts w:hint="eastAsia" w:cs="仿宋_GB2312"/>
          <w:sz w:val="21"/>
          <w:szCs w:val="21"/>
          <w:u w:val="single"/>
        </w:rPr>
        <w:t>（采购人）、（采购代理机构）</w:t>
      </w:r>
    </w:p>
    <w:p>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pPr>
        <w:snapToGrid w:val="0"/>
        <w:spacing w:line="288" w:lineRule="auto"/>
        <w:ind w:firstLine="424" w:firstLineChars="202"/>
        <w:rPr>
          <w:sz w:val="21"/>
          <w:szCs w:val="21"/>
        </w:rPr>
      </w:pPr>
      <w:r>
        <w:rPr>
          <w:rFonts w:hint="eastAsia"/>
          <w:sz w:val="21"/>
          <w:szCs w:val="21"/>
        </w:rPr>
        <w:t>特此说明。</w:t>
      </w:r>
    </w:p>
    <w:p>
      <w:pPr>
        <w:snapToGrid w:val="0"/>
        <w:spacing w:line="288" w:lineRule="auto"/>
        <w:ind w:right="480" w:firstLine="424" w:firstLineChars="202"/>
        <w:rPr>
          <w:sz w:val="21"/>
          <w:szCs w:val="21"/>
        </w:rPr>
      </w:pPr>
      <w:r>
        <w:rPr>
          <w:rFonts w:hint="eastAsia"/>
          <w:sz w:val="21"/>
          <w:szCs w:val="21"/>
        </w:rPr>
        <w:t>供应商（法定名称章）：</w:t>
      </w:r>
    </w:p>
    <w:p>
      <w:pPr>
        <w:snapToGrid w:val="0"/>
        <w:spacing w:line="288" w:lineRule="auto"/>
        <w:ind w:right="1440" w:firstLine="424" w:firstLineChars="202"/>
        <w:rPr>
          <w:sz w:val="21"/>
          <w:szCs w:val="21"/>
        </w:rPr>
      </w:pPr>
      <w:r>
        <w:rPr>
          <w:sz w:val="21"/>
          <w:szCs w:val="21"/>
        </w:rPr>
        <w:t>日期：       年     月     日</w:t>
      </w:r>
    </w:p>
    <w:p>
      <w:pPr>
        <w:snapToGrid w:val="0"/>
        <w:spacing w:line="288" w:lineRule="auto"/>
        <w:rPr>
          <w:b/>
          <w:bCs/>
          <w:sz w:val="21"/>
          <w:szCs w:val="21"/>
        </w:rPr>
      </w:pPr>
    </w:p>
    <w:p>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b/>
          <w:spacing w:val="-6"/>
          <w:sz w:val="21"/>
          <w:szCs w:val="21"/>
        </w:rPr>
      </w:pPr>
      <w:r>
        <w:rPr>
          <w:b/>
          <w:spacing w:val="-6"/>
          <w:sz w:val="21"/>
          <w:szCs w:val="21"/>
        </w:rPr>
        <w:br w:type="page"/>
      </w:r>
    </w:p>
    <w:p>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授权代表根据磋商文件规定及响应内容而对采购人、采购代理机构所作的任何合法承诺，包括书面澄清及相应等均对联合响应各方产生约束力。</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pPr>
        <w:snapToGrid w:val="0"/>
        <w:spacing w:line="288" w:lineRule="auto"/>
        <w:ind w:firstLine="422" w:firstLineChars="201"/>
        <w:rPr>
          <w:rFonts w:cs="仿宋_GB2312"/>
          <w:kern w:val="0"/>
          <w:sz w:val="21"/>
          <w:szCs w:val="21"/>
          <w:lang w:val="zh-CN"/>
        </w:rPr>
      </w:pPr>
    </w:p>
    <w:p>
      <w:pPr>
        <w:snapToGrid w:val="0"/>
        <w:spacing w:line="288" w:lineRule="auto"/>
        <w:ind w:firstLine="422" w:firstLineChars="201"/>
        <w:rPr>
          <w:rFonts w:cs="仿宋_GB2312"/>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Times New Roman"/>
          <w:b/>
          <w:bCs/>
          <w:sz w:val="21"/>
          <w:szCs w:val="21"/>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pPr>
        <w:widowControl/>
        <w:jc w:val="left"/>
        <w:rPr>
          <w:rFonts w:cs="仿宋_GB2312"/>
          <w:b/>
          <w:kern w:val="0"/>
          <w:sz w:val="21"/>
          <w:szCs w:val="21"/>
        </w:rPr>
      </w:pPr>
      <w:r>
        <w:rPr>
          <w:rFonts w:cs="仿宋_GB2312"/>
          <w:b/>
          <w:kern w:val="0"/>
          <w:sz w:val="21"/>
          <w:szCs w:val="21"/>
        </w:rPr>
        <w:br w:type="page"/>
      </w:r>
    </w:p>
    <w:p>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pPr>
        <w:snapToGrid w:val="0"/>
        <w:spacing w:line="288" w:lineRule="auto"/>
        <w:rPr>
          <w:rFonts w:cs="仿宋_GB2312"/>
          <w:kern w:val="0"/>
          <w:sz w:val="21"/>
          <w:szCs w:val="21"/>
          <w:lang w:val="zh-CN"/>
        </w:rPr>
      </w:pPr>
    </w:p>
    <w:p>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pPr>
        <w:snapToGrid w:val="0"/>
        <w:spacing w:line="288" w:lineRule="auto"/>
        <w:ind w:firstLine="424" w:firstLineChars="201"/>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pPr>
        <w:snapToGrid w:val="0"/>
        <w:spacing w:line="288" w:lineRule="auto"/>
        <w:rPr>
          <w:rFonts w:cs="仿宋_GB2312"/>
          <w:b/>
          <w:bCs/>
          <w:kern w:val="0"/>
          <w:sz w:val="21"/>
          <w:szCs w:val="21"/>
          <w:lang w:val="zh-CN"/>
        </w:rPr>
      </w:pPr>
    </w:p>
    <w:p>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D54"/>
    <w:multiLevelType w:val="multilevel"/>
    <w:tmpl w:val="095E7D54"/>
    <w:lvl w:ilvl="0" w:tentative="0">
      <w:start w:val="1"/>
      <w:numFmt w:val="decimal"/>
      <w:pStyle w:val="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5F3F5D"/>
    <w:multiLevelType w:val="multilevel"/>
    <w:tmpl w:val="0C5F3F5D"/>
    <w:lvl w:ilvl="0" w:tentative="0">
      <w:start w:val="1"/>
      <w:numFmt w:val="decimal"/>
      <w:lvlText w:val="%1"/>
      <w:lvlJc w:val="left"/>
      <w:pPr>
        <w:ind w:left="425" w:hanging="425"/>
      </w:pPr>
    </w:lvl>
    <w:lvl w:ilvl="1" w:tentative="0">
      <w:start w:val="1"/>
      <w:numFmt w:val="decimal"/>
      <w:pStyle w:val="7"/>
      <w:lvlText w:val="%1.%2"/>
      <w:lvlJc w:val="left"/>
      <w:pPr>
        <w:ind w:left="6805"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D0F6660"/>
    <w:multiLevelType w:val="multilevel"/>
    <w:tmpl w:val="2D0F6660"/>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pStyle w:val="8"/>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BC9AA22"/>
    <w:multiLevelType w:val="singleLevel"/>
    <w:tmpl w:val="4BC9AA2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17756B2"/>
    <w:rsid w:val="04576521"/>
    <w:rsid w:val="0A8A729F"/>
    <w:rsid w:val="0B1C52A7"/>
    <w:rsid w:val="0B4C5836"/>
    <w:rsid w:val="0BA8098F"/>
    <w:rsid w:val="0FA029FA"/>
    <w:rsid w:val="1580434A"/>
    <w:rsid w:val="1684404D"/>
    <w:rsid w:val="1A327CC0"/>
    <w:rsid w:val="1FB32BEE"/>
    <w:rsid w:val="1FBF521A"/>
    <w:rsid w:val="21B2549B"/>
    <w:rsid w:val="269F2AE5"/>
    <w:rsid w:val="2BF632E2"/>
    <w:rsid w:val="300F4B88"/>
    <w:rsid w:val="3CAF703D"/>
    <w:rsid w:val="43DC092A"/>
    <w:rsid w:val="4C584B00"/>
    <w:rsid w:val="50796BBB"/>
    <w:rsid w:val="53B2094F"/>
    <w:rsid w:val="542B2B2B"/>
    <w:rsid w:val="562A08FA"/>
    <w:rsid w:val="579F5041"/>
    <w:rsid w:val="5D393E97"/>
    <w:rsid w:val="6F3A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6">
    <w:name w:val="heading 1"/>
    <w:basedOn w:val="1"/>
    <w:next w:val="1"/>
    <w:qFormat/>
    <w:uiPriority w:val="0"/>
    <w:pPr>
      <w:numPr>
        <w:ilvl w:val="0"/>
        <w:numId w:val="1"/>
      </w:numPr>
      <w:outlineLvl w:val="0"/>
    </w:pPr>
  </w:style>
  <w:style w:type="paragraph" w:styleId="7">
    <w:name w:val="heading 2"/>
    <w:basedOn w:val="1"/>
    <w:next w:val="1"/>
    <w:unhideWhenUsed/>
    <w:qFormat/>
    <w:uiPriority w:val="0"/>
    <w:pPr>
      <w:numPr>
        <w:ilvl w:val="1"/>
        <w:numId w:val="2"/>
      </w:numPr>
      <w:ind w:left="0" w:firstLine="0" w:firstLineChars="0"/>
      <w:outlineLvl w:val="1"/>
    </w:pPr>
    <w:rPr>
      <w:rFonts w:ascii="仿宋" w:hAnsi="仿宋" w:eastAsia="仿宋"/>
      <w:b/>
      <w:bCs/>
      <w:sz w:val="28"/>
      <w:szCs w:val="28"/>
    </w:rPr>
  </w:style>
  <w:style w:type="paragraph" w:styleId="8">
    <w:name w:val="heading 3"/>
    <w:basedOn w:val="1"/>
    <w:next w:val="1"/>
    <w:link w:val="41"/>
    <w:unhideWhenUsed/>
    <w:qFormat/>
    <w:uiPriority w:val="0"/>
    <w:pPr>
      <w:numPr>
        <w:ilvl w:val="2"/>
        <w:numId w:val="3"/>
      </w:numPr>
      <w:outlineLvl w:val="2"/>
    </w:pPr>
    <w:rPr>
      <w:rFonts w:ascii="宋体" w:hAnsi="宋体"/>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2"/>
    <w:link w:val="30"/>
    <w:qFormat/>
    <w:uiPriority w:val="0"/>
    <w:pPr>
      <w:spacing w:line="200" w:lineRule="atLeast"/>
      <w:ind w:firstLine="301"/>
    </w:pPr>
    <w:rPr>
      <w:rFonts w:hAnsi="Courier New" w:cs="Times New Roman"/>
      <w:spacing w:val="-4"/>
      <w:sz w:val="18"/>
      <w:szCs w:val="20"/>
    </w:rPr>
  </w:style>
  <w:style w:type="paragraph" w:styleId="4">
    <w:name w:val="Body Text First Indent"/>
    <w:basedOn w:val="5"/>
    <w:next w:val="2"/>
    <w:qFormat/>
    <w:uiPriority w:val="0"/>
    <w:pPr>
      <w:ind w:firstLine="420" w:firstLineChars="100"/>
    </w:pPr>
    <w:rPr>
      <w:rFonts w:ascii="Calibri" w:hAnsi="Calibri" w:cs="Times New Roman"/>
      <w:sz w:val="21"/>
    </w:rPr>
  </w:style>
  <w:style w:type="paragraph" w:styleId="5">
    <w:name w:val="Body Text"/>
    <w:basedOn w:val="1"/>
    <w:next w:val="1"/>
    <w:link w:val="38"/>
    <w:qFormat/>
    <w:uiPriority w:val="0"/>
    <w:pPr>
      <w:spacing w:after="120"/>
    </w:pPr>
  </w:style>
  <w:style w:type="paragraph" w:styleId="9">
    <w:name w:val="Normal Indent"/>
    <w:basedOn w:val="1"/>
    <w:qFormat/>
    <w:uiPriority w:val="0"/>
    <w:pPr>
      <w:spacing w:after="240" w:line="480" w:lineRule="auto"/>
    </w:pPr>
    <w:rPr>
      <w:rFonts w:ascii="宋体" w:hAnsi="宋体" w:eastAsia="宋体" w:cs="Times New Roman"/>
      <w:szCs w:val="30"/>
      <w:lang w:bidi="he-IL"/>
    </w:rPr>
  </w:style>
  <w:style w:type="paragraph" w:styleId="10">
    <w:name w:val="annotation text"/>
    <w:basedOn w:val="1"/>
    <w:link w:val="27"/>
    <w:unhideWhenUsed/>
    <w:qFormat/>
    <w:uiPriority w:val="99"/>
    <w:pPr>
      <w:jc w:val="left"/>
    </w:pPr>
    <w:rPr>
      <w:rFonts w:ascii="Times New Roman" w:hAnsi="Times New Roman" w:cs="Times New Roman"/>
      <w:sz w:val="28"/>
    </w:rPr>
  </w:style>
  <w:style w:type="paragraph" w:styleId="11">
    <w:name w:val="Plain Text"/>
    <w:basedOn w:val="1"/>
    <w:link w:val="39"/>
    <w:semiHidden/>
    <w:unhideWhenUsed/>
    <w:qFormat/>
    <w:uiPriority w:val="99"/>
    <w:rPr>
      <w:rFonts w:hAnsi="Courier New" w:cs="Courier New" w:asciiTheme="minorEastAsia" w:eastAsiaTheme="minorEastAsia"/>
    </w:rPr>
  </w:style>
  <w:style w:type="paragraph" w:styleId="12">
    <w:name w:val="Balloon Text"/>
    <w:basedOn w:val="1"/>
    <w:link w:val="29"/>
    <w:qFormat/>
    <w:uiPriority w:val="0"/>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Normal (Web)"/>
    <w:basedOn w:val="1"/>
    <w:unhideWhenUsed/>
    <w:qFormat/>
    <w:uiPriority w:val="99"/>
    <w:pPr>
      <w:widowControl/>
      <w:spacing w:before="100" w:beforeAutospacing="1" w:after="100" w:afterAutospacing="1"/>
      <w:jc w:val="left"/>
    </w:pPr>
    <w:rPr>
      <w:kern w:val="0"/>
    </w:rPr>
  </w:style>
  <w:style w:type="paragraph" w:styleId="17">
    <w:name w:val="annotation subject"/>
    <w:basedOn w:val="10"/>
    <w:next w:val="10"/>
    <w:link w:val="36"/>
    <w:semiHidden/>
    <w:unhideWhenUsed/>
    <w:qFormat/>
    <w:uiPriority w:val="0"/>
    <w:rPr>
      <w:rFonts w:ascii="宋体" w:hAnsi="宋体" w:cs="宋体"/>
      <w:b/>
      <w:bCs/>
      <w:sz w:val="24"/>
    </w:rPr>
  </w:style>
  <w:style w:type="table" w:styleId="19">
    <w:name w:val="Table Grid"/>
    <w:basedOn w:val="1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single"/>
    </w:rPr>
  </w:style>
  <w:style w:type="character" w:styleId="22">
    <w:name w:val="annotation reference"/>
    <w:unhideWhenUsed/>
    <w:qFormat/>
    <w:uiPriority w:val="99"/>
    <w:rPr>
      <w:sz w:val="21"/>
      <w:szCs w:val="21"/>
    </w:rPr>
  </w:style>
  <w:style w:type="paragraph" w:styleId="23">
    <w:name w:val="List Paragraph"/>
    <w:basedOn w:val="1"/>
    <w:qFormat/>
    <w:uiPriority w:val="99"/>
    <w:pPr>
      <w:ind w:firstLine="420" w:firstLineChars="200"/>
    </w:pPr>
  </w:style>
  <w:style w:type="paragraph" w:customStyle="1" w:styleId="24">
    <w:name w:val="_Style 1"/>
    <w:qFormat/>
    <w:uiPriority w:val="0"/>
    <w:rPr>
      <w:rFonts w:ascii="Calibri" w:hAnsi="Calibri" w:eastAsia="宋体" w:cs="Times New Roman"/>
      <w:kern w:val="2"/>
      <w:sz w:val="28"/>
      <w:szCs w:val="22"/>
      <w:lang w:val="en-US" w:eastAsia="zh-CN" w:bidi="ar-SA"/>
    </w:rPr>
  </w:style>
  <w:style w:type="character" w:customStyle="1" w:styleId="25">
    <w:name w:val="页眉 字符"/>
    <w:basedOn w:val="20"/>
    <w:link w:val="14"/>
    <w:qFormat/>
    <w:uiPriority w:val="99"/>
    <w:rPr>
      <w:sz w:val="18"/>
      <w:szCs w:val="18"/>
    </w:rPr>
  </w:style>
  <w:style w:type="character" w:customStyle="1" w:styleId="26">
    <w:name w:val="页脚 字符"/>
    <w:basedOn w:val="20"/>
    <w:link w:val="13"/>
    <w:qFormat/>
    <w:uiPriority w:val="99"/>
    <w:rPr>
      <w:sz w:val="18"/>
      <w:szCs w:val="18"/>
    </w:rPr>
  </w:style>
  <w:style w:type="character" w:customStyle="1" w:styleId="27">
    <w:name w:val="批注文字 字符"/>
    <w:basedOn w:val="20"/>
    <w:link w:val="10"/>
    <w:qFormat/>
    <w:uiPriority w:val="99"/>
    <w:rPr>
      <w:rFonts w:ascii="Times New Roman" w:hAnsi="Times New Roman" w:eastAsia="宋体" w:cs="Times New Roman"/>
      <w:sz w:val="28"/>
      <w:szCs w:val="24"/>
    </w:rPr>
  </w:style>
  <w:style w:type="character" w:customStyle="1" w:styleId="28">
    <w:name w:val="正文文本缩进 字符"/>
    <w:basedOn w:val="20"/>
    <w:qFormat/>
    <w:uiPriority w:val="0"/>
    <w:rPr>
      <w:rFonts w:ascii="宋体" w:hAnsi="宋体" w:eastAsia="宋体" w:cs="宋体"/>
      <w:sz w:val="24"/>
      <w:szCs w:val="24"/>
    </w:rPr>
  </w:style>
  <w:style w:type="character" w:customStyle="1" w:styleId="29">
    <w:name w:val="批注框文本 字符"/>
    <w:basedOn w:val="20"/>
    <w:link w:val="12"/>
    <w:qFormat/>
    <w:uiPriority w:val="0"/>
    <w:rPr>
      <w:rFonts w:ascii="宋体" w:hAnsi="宋体" w:eastAsia="宋体" w:cs="宋体"/>
      <w:sz w:val="18"/>
      <w:szCs w:val="18"/>
    </w:rPr>
  </w:style>
  <w:style w:type="character" w:customStyle="1" w:styleId="30">
    <w:name w:val="正文文本缩进 字符1"/>
    <w:link w:val="3"/>
    <w:qFormat/>
    <w:uiPriority w:val="0"/>
    <w:rPr>
      <w:rFonts w:ascii="宋体" w:hAnsi="Courier New" w:eastAsia="宋体" w:cs="Times New Roman"/>
      <w:spacing w:val="-4"/>
      <w:sz w:val="18"/>
      <w:szCs w:val="20"/>
    </w:rPr>
  </w:style>
  <w:style w:type="character" w:customStyle="1" w:styleId="31">
    <w:name w:val="正文文本缩进 字符2"/>
    <w:qFormat/>
    <w:uiPriority w:val="0"/>
    <w:rPr>
      <w:rFonts w:ascii="宋体" w:hAnsi="Courier New"/>
      <w:spacing w:val="-4"/>
      <w:kern w:val="2"/>
      <w:sz w:val="18"/>
    </w:rPr>
  </w:style>
  <w:style w:type="character" w:customStyle="1" w:styleId="32">
    <w:name w:val="未处理的提及1"/>
    <w:basedOn w:val="20"/>
    <w:semiHidden/>
    <w:unhideWhenUsed/>
    <w:qFormat/>
    <w:uiPriority w:val="99"/>
    <w:rPr>
      <w:color w:val="605E5C"/>
      <w:shd w:val="clear" w:color="auto" w:fill="E1DFDD"/>
    </w:rPr>
  </w:style>
  <w:style w:type="paragraph" w:customStyle="1" w:styleId="33">
    <w:name w:val="纯文本1"/>
    <w:basedOn w:val="1"/>
    <w:next w:val="11"/>
    <w:link w:val="35"/>
    <w:qFormat/>
    <w:uiPriority w:val="99"/>
    <w:pPr>
      <w:spacing w:before="156" w:beforeLines="50" w:after="156" w:afterLines="50" w:line="400" w:lineRule="atLeast"/>
    </w:pPr>
    <w:rPr>
      <w:rFonts w:hAnsi="Courier New" w:cs="Times New Roman"/>
    </w:rPr>
  </w:style>
  <w:style w:type="character" w:customStyle="1" w:styleId="34">
    <w:name w:val="纯文本 字符"/>
    <w:basedOn w:val="20"/>
    <w:qFormat/>
    <w:uiPriority w:val="0"/>
    <w:rPr>
      <w:rFonts w:ascii="宋体" w:hAnsi="Courier New" w:eastAsia="宋体" w:cs="Courier New"/>
      <w:kern w:val="2"/>
      <w:sz w:val="24"/>
      <w:szCs w:val="24"/>
    </w:rPr>
  </w:style>
  <w:style w:type="character" w:customStyle="1" w:styleId="35">
    <w:name w:val="纯文本 字符1"/>
    <w:link w:val="33"/>
    <w:qFormat/>
    <w:uiPriority w:val="99"/>
    <w:rPr>
      <w:rFonts w:ascii="宋体" w:hAnsi="Courier New" w:eastAsia="宋体" w:cs="Times New Roman"/>
      <w:kern w:val="2"/>
      <w:sz w:val="24"/>
      <w:szCs w:val="24"/>
    </w:rPr>
  </w:style>
  <w:style w:type="character" w:customStyle="1" w:styleId="36">
    <w:name w:val="批注主题 字符"/>
    <w:basedOn w:val="27"/>
    <w:link w:val="17"/>
    <w:semiHidden/>
    <w:qFormat/>
    <w:uiPriority w:val="0"/>
    <w:rPr>
      <w:rFonts w:ascii="宋体" w:hAnsi="宋体" w:eastAsia="宋体" w:cs="宋体"/>
      <w:b/>
      <w:bCs/>
      <w:sz w:val="24"/>
      <w:szCs w:val="24"/>
    </w:rPr>
  </w:style>
  <w:style w:type="character" w:customStyle="1" w:styleId="37">
    <w:name w:val="Unresolved Mention"/>
    <w:basedOn w:val="20"/>
    <w:semiHidden/>
    <w:unhideWhenUsed/>
    <w:qFormat/>
    <w:uiPriority w:val="99"/>
    <w:rPr>
      <w:color w:val="605E5C"/>
      <w:shd w:val="clear" w:color="auto" w:fill="E1DFDD"/>
    </w:rPr>
  </w:style>
  <w:style w:type="character" w:customStyle="1" w:styleId="38">
    <w:name w:val="正文文本 字符"/>
    <w:basedOn w:val="20"/>
    <w:link w:val="5"/>
    <w:qFormat/>
    <w:uiPriority w:val="0"/>
    <w:rPr>
      <w:rFonts w:ascii="宋体" w:hAnsi="宋体" w:eastAsia="宋体" w:cs="宋体"/>
      <w:sz w:val="24"/>
      <w:szCs w:val="24"/>
    </w:rPr>
  </w:style>
  <w:style w:type="character" w:customStyle="1" w:styleId="39">
    <w:name w:val="纯文本 字符2"/>
    <w:basedOn w:val="20"/>
    <w:link w:val="11"/>
    <w:semiHidden/>
    <w:qFormat/>
    <w:uiPriority w:val="99"/>
    <w:rPr>
      <w:rFonts w:hAnsi="Courier New" w:cs="Courier New" w:asciiTheme="minorEastAsia"/>
      <w:sz w:val="24"/>
      <w:szCs w:val="24"/>
    </w:rPr>
  </w:style>
  <w:style w:type="table" w:customStyle="1" w:styleId="40">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标题 3 字符"/>
    <w:basedOn w:val="20"/>
    <w:link w:val="8"/>
    <w:qFormat/>
    <w:uiPriority w:val="0"/>
    <w:rPr>
      <w:rFonts w:ascii="宋体" w:hAnsi="宋体"/>
      <w:b/>
      <w:bCs/>
      <w:sz w:val="24"/>
      <w:szCs w:val="24"/>
    </w:rPr>
  </w:style>
  <w:style w:type="paragraph" w:customStyle="1" w:styleId="42">
    <w:name w:val="Default"/>
    <w:next w:val="4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PlainText"/>
    <w:basedOn w:val="1"/>
    <w:qFormat/>
    <w:uiPriority w:val="0"/>
    <w:pPr>
      <w:jc w:val="left"/>
    </w:pPr>
    <w:rPr>
      <w:rFonts w:hAnsi="Courier New"/>
      <w:kern w:val="0"/>
      <w:szCs w:val="20"/>
    </w:rPr>
  </w:style>
  <w:style w:type="paragraph" w:customStyle="1" w:styleId="46">
    <w:name w:val="[Normal]"/>
    <w:qFormat/>
    <w:uiPriority w:val="99"/>
    <w:rPr>
      <w:rFonts w:ascii="宋体" w:hAnsi="宋体" w:eastAsia="宋体" w:cs="Times New Roman"/>
      <w:sz w:val="24"/>
      <w:szCs w:val="22"/>
      <w:lang w:val="zh-CN" w:eastAsia="zh-CN" w:bidi="ar-SA"/>
    </w:rPr>
  </w:style>
  <w:style w:type="paragraph" w:customStyle="1" w:styleId="4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51</Pages>
  <Words>4697</Words>
  <Characters>26778</Characters>
  <Lines>223</Lines>
  <Paragraphs>62</Paragraphs>
  <TotalTime>0</TotalTime>
  <ScaleCrop>false</ScaleCrop>
  <LinksUpToDate>false</LinksUpToDate>
  <CharactersWithSpaces>31413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2024-08-14T00:55:12Z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E3F4C1B8BE3E47699D29A2430888F545_13</vt:lpwstr>
  </property>
</Properties>
</file>