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00EF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32968DE">
      <w:pPr>
        <w:rPr>
          <w:rFonts w:hint="eastAsia"/>
        </w:rPr>
      </w:pPr>
    </w:p>
    <w:p w14:paraId="4DE83E21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标段编号：TCZX-ZFCG(F)-202500</w:t>
      </w:r>
      <w:r>
        <w:rPr>
          <w:rFonts w:hint="eastAsia"/>
          <w:b/>
          <w:lang w:val="en-US" w:eastAsia="zh-CN"/>
        </w:rPr>
        <w:t>4</w:t>
      </w:r>
    </w:p>
    <w:p w14:paraId="26D90112">
      <w:pPr>
        <w:rPr>
          <w:rFonts w:hint="eastAsia"/>
          <w:b/>
        </w:rPr>
      </w:pPr>
      <w:r>
        <w:rPr>
          <w:rFonts w:hint="eastAsia"/>
          <w:b/>
        </w:rPr>
        <w:t>标段名称：杭州西湖世界文化景观遗产价值阐释专项规划</w:t>
      </w:r>
    </w:p>
    <w:p w14:paraId="0B2D516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01"/>
        <w:gridCol w:w="4360"/>
      </w:tblGrid>
      <w:tr w14:paraId="24A9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045D2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1" w:type="dxa"/>
          </w:tcPr>
          <w:p w14:paraId="046ED5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0" w:type="dxa"/>
          </w:tcPr>
          <w:p w14:paraId="3D4C94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B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40B296C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1" w:type="dxa"/>
          </w:tcPr>
          <w:p w14:paraId="1FAC88FC">
            <w:pPr>
              <w:rPr>
                <w:rFonts w:hint="eastAsia"/>
              </w:rPr>
            </w:pPr>
            <w:r>
              <w:rPr>
                <w:rFonts w:hint="eastAsia"/>
              </w:rPr>
              <w:t>清华大学建筑设计研究院有限公司</w:t>
            </w:r>
          </w:p>
        </w:tc>
        <w:tc>
          <w:tcPr>
            <w:tcW w:w="4360" w:type="dxa"/>
          </w:tcPr>
          <w:p w14:paraId="695253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得分为69.28，排名第2</w:t>
            </w:r>
          </w:p>
        </w:tc>
      </w:tr>
      <w:tr w14:paraId="4A94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E7D73F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01" w:type="dxa"/>
          </w:tcPr>
          <w:p w14:paraId="4B463EDA">
            <w:pPr>
              <w:rPr>
                <w:rFonts w:hint="eastAsia"/>
              </w:rPr>
            </w:pPr>
            <w:r>
              <w:rPr>
                <w:rFonts w:hint="eastAsia"/>
              </w:rPr>
              <w:t>北京北建大建筑设计研究院有限公司</w:t>
            </w:r>
          </w:p>
        </w:tc>
        <w:tc>
          <w:tcPr>
            <w:tcW w:w="4360" w:type="dxa"/>
          </w:tcPr>
          <w:p w14:paraId="02453B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得分为63.8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0，排名第3</w:t>
            </w:r>
          </w:p>
        </w:tc>
      </w:tr>
      <w:tr w14:paraId="236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4505E6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101" w:type="dxa"/>
          </w:tcPr>
          <w:p w14:paraId="11AD5F47">
            <w:pPr>
              <w:rPr>
                <w:rFonts w:hint="eastAsia"/>
              </w:rPr>
            </w:pPr>
          </w:p>
        </w:tc>
        <w:tc>
          <w:tcPr>
            <w:tcW w:w="4360" w:type="dxa"/>
          </w:tcPr>
          <w:p w14:paraId="1F4C3746">
            <w:pPr>
              <w:rPr>
                <w:rFonts w:hint="default"/>
                <w:lang w:val="en-US" w:eastAsia="zh-CN"/>
              </w:rPr>
            </w:pPr>
          </w:p>
        </w:tc>
      </w:tr>
    </w:tbl>
    <w:p w14:paraId="1B3788CB"/>
    <w:p w14:paraId="0262B59F">
      <w:pPr>
        <w:rPr>
          <w:rFonts w:hint="eastAsia"/>
        </w:rPr>
      </w:pPr>
    </w:p>
    <w:p w14:paraId="0A82FF4A"/>
    <w:p w14:paraId="69FC56D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1DA16F89"/>
    <w:rsid w:val="6172390D"/>
    <w:rsid w:val="7AB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165</Characters>
  <Lines>1</Lines>
  <Paragraphs>1</Paragraphs>
  <TotalTime>0</TotalTime>
  <ScaleCrop>false</ScaleCrop>
  <LinksUpToDate>false</LinksUpToDate>
  <CharactersWithSpaces>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2025-03-10T05:57:05Z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CFF624BCBE00452B90326954B97EF69C_12</vt:lpwstr>
  </property>
  <property fmtid="{D5CDD505-2E9C-101B-9397-08002B2CF9AE}" pid="4" name="KSOTemplateDocerSaveRecord">
    <vt:lpwstr>eyJoZGlkIjoiNDY2OTMyNGMyN2EzYzcxNDNmMDdlYzA4ZmI3ZmEyMmYiLCJ1c2VySWQiOiI0NTc5MDQxNTMifQ==</vt:lpwstr>
  </property>
</Properties>
</file>