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color w:val="auto"/>
          <w:sz w:val="48"/>
          <w:szCs w:val="48"/>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绍兴市中医院纯水系统维保及电子胃肠镜保修服务项目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（电子招投标） </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绍兴市中医院纯水系统维保及电子胃肠镜保修服务项目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TYJZ2024</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绍兴市中医院纯水系统维保及电子胃肠镜保修服务项目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600000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 xml:space="preserve">350000，250000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标项名称：纯水系统维保</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预算金额（元）：350000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标项名称：电子胃肠镜保修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预算金额（元）：250000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bookmarkStart w:id="167" w:name="_GoBack"/>
          <w:bookmarkEnd w:id="167"/>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绍兴市越城区迎凤路87号鑫海大厦1601</w:t>
      </w:r>
      <w:r>
        <w:rPr>
          <w:rFonts w:hint="eastAsia" w:ascii="仿宋" w:hAnsi="仿宋" w:eastAsia="仿宋" w:cs="仿宋"/>
          <w:color w:val="auto"/>
          <w:sz w:val="24"/>
          <w:highlight w:val="none"/>
        </w:rPr>
        <w:t>泰宇咨询会议室，在政府采购云平台（www.zcygov.cn）上开启响应文件。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637"/>
      <w:bookmarkStart w:id="6" w:name="_Toc28359019"/>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傅利萍</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kern w:val="0"/>
          <w:sz w:val="24"/>
          <w:highlight w:val="none"/>
        </w:rPr>
        <w:t>0575-8910</w:t>
      </w:r>
      <w:r>
        <w:rPr>
          <w:rFonts w:hint="eastAsia" w:ascii="仿宋" w:hAnsi="仿宋" w:eastAsia="仿宋" w:cs="仿宋"/>
          <w:color w:val="auto"/>
          <w:kern w:val="0"/>
          <w:sz w:val="24"/>
          <w:highlight w:val="none"/>
          <w:lang w:val="en-US" w:eastAsia="zh-CN"/>
        </w:rPr>
        <w:t>9951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638"/>
      <w:bookmarkStart w:id="10" w:name="_Toc28359097"/>
      <w:bookmarkStart w:id="11" w:name="_Toc28359020"/>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lang w:eastAsia="zh-CN"/>
        </w:rPr>
        <w:t>绍兴市越城区迎凤路87号鑫海大厦1601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98"/>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01标、02标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*62</w:t>
            </w:r>
            <w:r>
              <w:rPr>
                <w:rFonts w:hint="eastAsia" w:ascii="仿宋" w:hAnsi="仿宋" w:eastAsia="仿宋" w:cs="仿宋"/>
                <w:snapToGrid w:val="0"/>
                <w:color w:val="auto"/>
                <w:kern w:val="28"/>
                <w:sz w:val="24"/>
                <w:highlight w:val="none"/>
              </w:rPr>
              <w:t>%进行收费。服务费不到2000元按照2000元收取。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290"/>
      <w:bookmarkEnd w:id="20"/>
      <w:bookmarkStart w:id="21" w:name="_Hlt68072998"/>
      <w:bookmarkEnd w:id="21"/>
      <w:bookmarkStart w:id="22" w:name="_Hlt68072990"/>
      <w:bookmarkEnd w:id="22"/>
      <w:bookmarkStart w:id="23" w:name="_Hlt75236101"/>
      <w:bookmarkEnd w:id="23"/>
      <w:bookmarkStart w:id="24" w:name="_Hlt74714665"/>
      <w:bookmarkEnd w:id="24"/>
      <w:bookmarkStart w:id="25" w:name="_Hlt68057669"/>
      <w:bookmarkEnd w:id="25"/>
      <w:bookmarkStart w:id="26" w:name="_Hlt68403820"/>
      <w:bookmarkEnd w:id="26"/>
      <w:bookmarkStart w:id="27" w:name="_Hlt68073093"/>
      <w:bookmarkEnd w:id="27"/>
      <w:bookmarkStart w:id="28" w:name="_Hlt74707468"/>
      <w:bookmarkEnd w:id="28"/>
      <w:bookmarkStart w:id="29" w:name="_Hlt74729768"/>
      <w:bookmarkEnd w:id="29"/>
      <w:bookmarkStart w:id="30" w:name="_Hlt75236011"/>
      <w:bookmarkEnd w:id="30"/>
      <w:bookmarkStart w:id="31" w:name="_Hlt74730295"/>
      <w:bookmarkEnd w:id="31"/>
      <w:bookmarkStart w:id="32" w:name="_Toc81372953"/>
      <w:bookmarkStart w:id="33" w:name="_Toc84325929"/>
      <w:bookmarkStart w:id="34" w:name="_Toc81372776"/>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ind w:firstLine="482" w:firstLineChars="200"/>
        <w:jc w:val="left"/>
        <w:outlineLvl w:val="0"/>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 w:hAnsi="仿宋" w:eastAsia="仿宋" w:cs="仿宋"/>
          <w:b/>
          <w:color w:val="auto"/>
          <w:sz w:val="24"/>
          <w:highlight w:val="none"/>
          <w:lang w:val="en-US" w:eastAsia="zh-CN"/>
        </w:rPr>
        <w:t>纯水系统维保</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35</w:t>
      </w:r>
      <w:r>
        <w:rPr>
          <w:rFonts w:hint="eastAsia" w:ascii="仿宋" w:hAnsi="仿宋" w:eastAsia="仿宋" w:cs="仿宋"/>
          <w:b/>
          <w:color w:val="auto"/>
          <w:sz w:val="24"/>
          <w:highlight w:val="none"/>
          <w:lang w:eastAsia="zh-CN"/>
        </w:rPr>
        <w:t>万元</w:t>
      </w:r>
      <w:r>
        <w:rPr>
          <w:rFonts w:hint="eastAsia" w:ascii="仿宋" w:hAnsi="仿宋" w:eastAsia="仿宋" w:cs="仿宋"/>
          <w:b/>
          <w:color w:val="auto"/>
          <w:sz w:val="24"/>
          <w:highlight w:val="none"/>
          <w:lang w:val="en-US" w:eastAsia="zh-CN"/>
        </w:rPr>
        <w:t>/3年</w:t>
      </w:r>
      <w:r>
        <w:rPr>
          <w:rFonts w:hint="eastAsia" w:ascii="仿宋" w:hAnsi="仿宋" w:eastAsia="仿宋" w:cs="仿宋"/>
          <w:b/>
          <w:color w:val="auto"/>
          <w:sz w:val="24"/>
          <w:highlight w:val="none"/>
          <w:lang w:eastAsia="zh-CN"/>
        </w:rPr>
        <w:t>，合同期限：自合同签订之日起三年。</w:t>
      </w:r>
    </w:p>
    <w:p>
      <w:pPr>
        <w:widowControl w:val="0"/>
        <w:adjustRightInd/>
        <w:snapToGrid/>
        <w:spacing w:beforeLines="50" w:afterLines="50" w:line="360" w:lineRule="auto"/>
        <w:ind w:firstLine="422" w:firstLineChars="200"/>
        <w:jc w:val="both"/>
        <w:rPr>
          <w:rFonts w:hint="eastAsia" w:ascii="仿宋" w:hAnsi="仿宋" w:eastAsia="仿宋" w:cs="仿宋"/>
          <w:b/>
          <w:color w:val="auto"/>
          <w:kern w:val="2"/>
          <w:sz w:val="21"/>
          <w:szCs w:val="24"/>
          <w:highlight w:val="none"/>
        </w:rPr>
      </w:pPr>
      <w:r>
        <w:rPr>
          <w:rFonts w:hint="eastAsia" w:ascii="仿宋" w:hAnsi="仿宋" w:eastAsia="仿宋" w:cs="仿宋"/>
          <w:b/>
          <w:color w:val="auto"/>
          <w:kern w:val="2"/>
          <w:sz w:val="21"/>
          <w:szCs w:val="24"/>
          <w:highlight w:val="none"/>
        </w:rPr>
        <w:t>一、项目概况</w:t>
      </w:r>
    </w:p>
    <w:p>
      <w:pPr>
        <w:spacing w:line="220" w:lineRule="atLeast"/>
        <w:ind w:firstLine="420" w:firstLineChars="200"/>
        <w:rPr>
          <w:rFonts w:hint="eastAsia" w:ascii="仿宋" w:hAnsi="仿宋" w:eastAsia="仿宋" w:cs="仿宋"/>
          <w:b/>
          <w:color w:val="auto"/>
          <w:kern w:val="2"/>
          <w:sz w:val="21"/>
          <w:szCs w:val="24"/>
          <w:highlight w:val="none"/>
          <w:lang w:val="en-US" w:eastAsia="zh-CN"/>
        </w:rPr>
      </w:pPr>
      <w:r>
        <w:rPr>
          <w:rFonts w:hint="eastAsia" w:ascii="仿宋" w:hAnsi="仿宋" w:eastAsia="仿宋" w:cs="仿宋"/>
          <w:color w:val="auto"/>
          <w:kern w:val="2"/>
          <w:sz w:val="21"/>
          <w:szCs w:val="24"/>
          <w:highlight w:val="none"/>
        </w:rPr>
        <w:t>项目采购预算：</w:t>
      </w:r>
      <w:r>
        <w:rPr>
          <w:rFonts w:hint="eastAsia" w:ascii="仿宋" w:hAnsi="仿宋" w:eastAsia="仿宋" w:cs="仿宋"/>
          <w:color w:val="auto"/>
          <w:kern w:val="2"/>
          <w:sz w:val="21"/>
          <w:szCs w:val="24"/>
          <w:highlight w:val="none"/>
        </w:rPr>
        <w:t>35万元（其中常规耗材及维保服务总预算15.8万元，非常规耗材总预算18.6万元）；服务期限：3年。</w:t>
      </w:r>
      <w:r>
        <w:rPr>
          <w:rFonts w:hint="eastAsia" w:ascii="仿宋" w:hAnsi="仿宋" w:eastAsia="仿宋" w:cs="仿宋"/>
          <w:b/>
          <w:color w:val="auto"/>
          <w:kern w:val="2"/>
          <w:sz w:val="21"/>
          <w:szCs w:val="24"/>
          <w:highlight w:val="none"/>
          <w:lang w:val="en-US" w:eastAsia="zh-CN"/>
        </w:rPr>
        <w:t>非常规耗材按需更换单独付费，要求及清单见附件一。</w:t>
      </w:r>
    </w:p>
    <w:p>
      <w:pPr>
        <w:widowControl w:val="0"/>
        <w:adjustRightInd/>
        <w:snapToGrid/>
        <w:spacing w:beforeLines="50" w:afterLines="50" w:line="360" w:lineRule="auto"/>
        <w:ind w:firstLine="420" w:firstLineChars="200"/>
        <w:jc w:val="both"/>
        <w:rPr>
          <w:rFonts w:hint="eastAsia" w:ascii="仿宋" w:hAnsi="仿宋" w:eastAsia="仿宋" w:cs="仿宋"/>
          <w:color w:val="auto"/>
          <w:kern w:val="2"/>
          <w:sz w:val="21"/>
          <w:szCs w:val="24"/>
          <w:highlight w:val="none"/>
          <w:lang w:val="en-US" w:eastAsia="zh-CN"/>
        </w:rPr>
      </w:pPr>
      <w:r>
        <w:rPr>
          <w:rFonts w:hint="eastAsia" w:ascii="仿宋" w:hAnsi="仿宋" w:eastAsia="仿宋" w:cs="仿宋"/>
          <w:color w:val="auto"/>
          <w:kern w:val="2"/>
          <w:sz w:val="21"/>
          <w:szCs w:val="24"/>
          <w:highlight w:val="none"/>
        </w:rPr>
        <w:t>1、绍兴市中医院纯水系统维保服务项目，包括纯水系统设备的日常维护保养服务以及耗材的采购更换。</w:t>
      </w:r>
    </w:p>
    <w:p>
      <w:pPr>
        <w:widowControl w:val="0"/>
        <w:adjustRightInd/>
        <w:snapToGrid/>
        <w:spacing w:beforeLines="50" w:afterLines="50" w:line="360" w:lineRule="auto"/>
        <w:ind w:firstLine="420" w:firstLineChars="200"/>
        <w:jc w:val="both"/>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2、投标人指派专业人员在服务期内对招标范围内的服务内容提供日常保养和故障维修，使其纯水设备符合相应的国家标准和行业标准的要求；并按实际需要保证耗材的供货及更换，要求投标人的投标货物必须是合格的、未曾使用过的全新产品，且须符合相应的国家标准和行业标准的要求。投标产品在更换周期内，如出现质量问题，投标人须负责免费更换。</w:t>
      </w:r>
    </w:p>
    <w:p>
      <w:pPr>
        <w:widowControl w:val="0"/>
        <w:adjustRightInd/>
        <w:snapToGrid/>
        <w:spacing w:beforeLines="50" w:afterLines="50" w:line="360" w:lineRule="auto"/>
        <w:ind w:firstLine="422" w:firstLineChars="200"/>
        <w:jc w:val="both"/>
        <w:rPr>
          <w:rFonts w:hint="eastAsia" w:ascii="仿宋" w:hAnsi="仿宋" w:eastAsia="仿宋" w:cs="仿宋"/>
          <w:b/>
          <w:color w:val="auto"/>
          <w:kern w:val="2"/>
          <w:sz w:val="21"/>
          <w:szCs w:val="24"/>
          <w:highlight w:val="none"/>
        </w:rPr>
      </w:pPr>
      <w:r>
        <w:rPr>
          <w:rFonts w:hint="eastAsia" w:ascii="仿宋" w:hAnsi="仿宋" w:eastAsia="仿宋" w:cs="仿宋"/>
          <w:b/>
          <w:color w:val="auto"/>
          <w:kern w:val="2"/>
          <w:sz w:val="21"/>
          <w:szCs w:val="24"/>
          <w:highlight w:val="none"/>
        </w:rPr>
        <w:t>二、服务要求</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（一）设备日常运行维护</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1、定期巡检</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每月进行1次巡检服务，包括对医用纯水系统进行免费保养、修理和替换由于设备、材料、施工质量的问题造成的损坏及故障常规检查、调整和润滑。具体内容包括：</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1.1预处理系统维保：</w:t>
      </w:r>
    </w:p>
    <w:p>
      <w:pPr>
        <w:pStyle w:val="964"/>
        <w:numPr>
          <w:ilvl w:val="0"/>
          <w:numId w:val="1"/>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检查各仪表功能完整性，记录各滤器运行压力值；</w:t>
      </w:r>
    </w:p>
    <w:p>
      <w:pPr>
        <w:pStyle w:val="964"/>
        <w:numPr>
          <w:ilvl w:val="0"/>
          <w:numId w:val="1"/>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检查各滤器自动冲洗流程的流畅性；</w:t>
      </w:r>
    </w:p>
    <w:p>
      <w:pPr>
        <w:pStyle w:val="964"/>
        <w:numPr>
          <w:ilvl w:val="0"/>
          <w:numId w:val="1"/>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检查各滤器上下端口连接的密封性及稳固性；</w:t>
      </w:r>
    </w:p>
    <w:p>
      <w:pPr>
        <w:pStyle w:val="964"/>
        <w:numPr>
          <w:ilvl w:val="0"/>
          <w:numId w:val="1"/>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检测软化器及炭滤器出水水质（硬度及余氯）；</w:t>
      </w:r>
    </w:p>
    <w:p>
      <w:pPr>
        <w:pStyle w:val="964"/>
        <w:numPr>
          <w:ilvl w:val="0"/>
          <w:numId w:val="1"/>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外部清洁。</w:t>
      </w:r>
    </w:p>
    <w:p>
      <w:pPr>
        <w:pStyle w:val="964"/>
        <w:spacing w:before="180" w:after="180"/>
        <w:ind w:firstLine="420"/>
        <w:rPr>
          <w:rFonts w:hint="eastAsia" w:ascii="仿宋" w:hAnsi="仿宋" w:eastAsia="仿宋" w:cs="仿宋"/>
          <w:color w:val="auto"/>
          <w:highlight w:val="none"/>
        </w:rPr>
      </w:pPr>
      <w:r>
        <w:rPr>
          <w:rFonts w:hint="eastAsia" w:ascii="仿宋" w:hAnsi="仿宋" w:eastAsia="仿宋" w:cs="仿宋"/>
          <w:color w:val="auto"/>
          <w:highlight w:val="none"/>
        </w:rPr>
        <w:t>1.2 反渗透系统维保：</w:t>
      </w:r>
    </w:p>
    <w:p>
      <w:pPr>
        <w:pStyle w:val="964"/>
        <w:numPr>
          <w:ilvl w:val="0"/>
          <w:numId w:val="2"/>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检查各仪表功能完整性，记录各段压力容器运行压力值；</w:t>
      </w:r>
    </w:p>
    <w:p>
      <w:pPr>
        <w:pStyle w:val="964"/>
        <w:numPr>
          <w:ilvl w:val="0"/>
          <w:numId w:val="2"/>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检查各电动阀门运动行程的顺畅性及稳定性；</w:t>
      </w:r>
    </w:p>
    <w:p>
      <w:pPr>
        <w:pStyle w:val="964"/>
        <w:numPr>
          <w:ilvl w:val="0"/>
          <w:numId w:val="2"/>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检查各旁通阀门运动行程的顺畅性及稳定性；</w:t>
      </w:r>
    </w:p>
    <w:p>
      <w:pPr>
        <w:pStyle w:val="964"/>
        <w:numPr>
          <w:ilvl w:val="0"/>
          <w:numId w:val="2"/>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记录进出水水质数据；</w:t>
      </w:r>
    </w:p>
    <w:p>
      <w:pPr>
        <w:pStyle w:val="964"/>
        <w:numPr>
          <w:ilvl w:val="0"/>
          <w:numId w:val="2"/>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外部清洁。</w:t>
      </w:r>
    </w:p>
    <w:p>
      <w:pPr>
        <w:pStyle w:val="964"/>
        <w:spacing w:before="180" w:after="180"/>
        <w:ind w:firstLine="420"/>
        <w:rPr>
          <w:rFonts w:hint="eastAsia" w:ascii="仿宋" w:hAnsi="仿宋" w:eastAsia="仿宋" w:cs="仿宋"/>
          <w:color w:val="auto"/>
          <w:highlight w:val="none"/>
        </w:rPr>
      </w:pPr>
      <w:r>
        <w:rPr>
          <w:rFonts w:hint="eastAsia" w:ascii="仿宋" w:hAnsi="仿宋" w:eastAsia="仿宋" w:cs="仿宋"/>
          <w:color w:val="auto"/>
          <w:highlight w:val="none"/>
        </w:rPr>
        <w:t>1.3后处理系统维保：</w:t>
      </w:r>
    </w:p>
    <w:p>
      <w:pPr>
        <w:pStyle w:val="964"/>
        <w:numPr>
          <w:ilvl w:val="0"/>
          <w:numId w:val="3"/>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检查各仪表功能完整性；</w:t>
      </w:r>
    </w:p>
    <w:p>
      <w:pPr>
        <w:pStyle w:val="964"/>
        <w:numPr>
          <w:ilvl w:val="0"/>
          <w:numId w:val="3"/>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记录EDI模组运行数据及进出水水质数据；</w:t>
      </w:r>
    </w:p>
    <w:p>
      <w:pPr>
        <w:pStyle w:val="964"/>
        <w:numPr>
          <w:ilvl w:val="0"/>
          <w:numId w:val="3"/>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检查各微孔过滤器滤芯污堵情况；</w:t>
      </w:r>
    </w:p>
    <w:p>
      <w:pPr>
        <w:pStyle w:val="964"/>
        <w:numPr>
          <w:ilvl w:val="0"/>
          <w:numId w:val="3"/>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检查使用泵及备用泵运行功能；</w:t>
      </w:r>
    </w:p>
    <w:p>
      <w:pPr>
        <w:pStyle w:val="964"/>
        <w:numPr>
          <w:ilvl w:val="0"/>
          <w:numId w:val="3"/>
        </w:numPr>
        <w:spacing w:before="180" w:after="180"/>
        <w:ind w:firstLineChars="0"/>
        <w:rPr>
          <w:rFonts w:hint="eastAsia" w:ascii="仿宋" w:hAnsi="仿宋" w:eastAsia="仿宋" w:cs="仿宋"/>
          <w:color w:val="auto"/>
          <w:highlight w:val="none"/>
        </w:rPr>
      </w:pPr>
      <w:r>
        <w:rPr>
          <w:rFonts w:hint="eastAsia" w:ascii="仿宋" w:hAnsi="仿宋" w:eastAsia="仿宋" w:cs="仿宋"/>
          <w:color w:val="auto"/>
          <w:highlight w:val="none"/>
        </w:rPr>
        <w:t>外部清洁。</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1.4每次现场维保结束，提供维保记录单，以便查阅维修保养、部件更换次数、检查及维修日期等记录。</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2、水质检测</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每年进行一次微量元素的水质检测，并出具检测报告。</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3、电话回访</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每月对纯水系统的使用情况进行电话咨询回访。</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4、服务响应</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提供24小时服务专线电话，服务响应时间不得超过30分钟。当设备发生故障报修，需上门服务时，应在4小时内派专业工程师到达现场进行维修排除故障。</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（二）设备耗材更换</w:t>
      </w:r>
    </w:p>
    <w:p>
      <w:pPr>
        <w:spacing w:line="360" w:lineRule="auto"/>
        <w:ind w:firstLine="420" w:firstLineChars="200"/>
        <w:rPr>
          <w:rFonts w:hint="eastAsia" w:ascii="仿宋" w:hAnsi="仿宋" w:eastAsia="仿宋" w:cs="仿宋"/>
          <w:color w:val="auto"/>
          <w:kern w:val="2"/>
          <w:sz w:val="21"/>
          <w:szCs w:val="24"/>
          <w:highlight w:val="none"/>
          <w:lang w:eastAsia="zh-CN"/>
        </w:rPr>
      </w:pPr>
      <w:r>
        <w:rPr>
          <w:rFonts w:hint="eastAsia" w:ascii="仿宋" w:hAnsi="仿宋" w:eastAsia="仿宋" w:cs="仿宋"/>
          <w:color w:val="auto"/>
          <w:kern w:val="2"/>
          <w:sz w:val="21"/>
          <w:szCs w:val="24"/>
          <w:highlight w:val="none"/>
        </w:rPr>
        <w:t>根据设备运行情况、耗材更换周期及更换条件及时更换</w:t>
      </w:r>
      <w:r>
        <w:rPr>
          <w:rFonts w:hint="eastAsia" w:ascii="仿宋" w:hAnsi="仿宋" w:eastAsia="仿宋" w:cs="仿宋"/>
          <w:color w:val="auto"/>
          <w:kern w:val="2"/>
          <w:sz w:val="21"/>
          <w:szCs w:val="24"/>
          <w:highlight w:val="none"/>
          <w:lang w:eastAsia="zh-CN"/>
        </w:rPr>
        <w:t>相关耗材</w:t>
      </w:r>
      <w:r>
        <w:rPr>
          <w:rFonts w:hint="eastAsia" w:ascii="仿宋" w:hAnsi="仿宋" w:eastAsia="仿宋" w:cs="仿宋"/>
          <w:color w:val="auto"/>
          <w:kern w:val="2"/>
          <w:sz w:val="21"/>
          <w:szCs w:val="24"/>
          <w:highlight w:val="none"/>
        </w:rPr>
        <w:t>，</w:t>
      </w:r>
      <w:r>
        <w:rPr>
          <w:rFonts w:hint="eastAsia" w:ascii="仿宋" w:hAnsi="仿宋" w:eastAsia="仿宋" w:cs="仿宋"/>
          <w:color w:val="auto"/>
          <w:kern w:val="2"/>
          <w:sz w:val="21"/>
          <w:szCs w:val="24"/>
          <w:highlight w:val="none"/>
          <w:lang w:eastAsia="zh-CN"/>
        </w:rPr>
        <w:t>包含但不仅限于</w:t>
      </w:r>
      <w:r>
        <w:rPr>
          <w:rFonts w:hint="eastAsia" w:ascii="仿宋" w:hAnsi="仿宋" w:eastAsia="仿宋" w:cs="仿宋"/>
          <w:color w:val="auto"/>
          <w:kern w:val="2"/>
          <w:sz w:val="21"/>
          <w:szCs w:val="24"/>
          <w:highlight w:val="none"/>
        </w:rPr>
        <w:t>微孔过滤器、精密过滤器、浓水利用装置、紫外线灯管等。</w:t>
      </w:r>
      <w:r>
        <w:rPr>
          <w:rFonts w:hint="eastAsia" w:ascii="仿宋" w:hAnsi="仿宋" w:eastAsia="仿宋" w:cs="仿宋"/>
          <w:color w:val="auto"/>
          <w:kern w:val="2"/>
          <w:sz w:val="21"/>
          <w:szCs w:val="24"/>
          <w:highlight w:val="none"/>
        </w:rPr>
        <w:t>在服务期内，设备出现任何硬件故障导致需要更换的，安排专业工程师上门维修，更换</w:t>
      </w:r>
      <w:r>
        <w:rPr>
          <w:rFonts w:hint="eastAsia" w:ascii="仿宋" w:hAnsi="仿宋" w:eastAsia="仿宋" w:cs="仿宋"/>
          <w:color w:val="auto"/>
          <w:kern w:val="2"/>
          <w:sz w:val="21"/>
          <w:szCs w:val="24"/>
          <w:highlight w:val="none"/>
          <w:lang w:eastAsia="zh-CN"/>
        </w:rPr>
        <w:t>包含但不仅限于</w:t>
      </w:r>
      <w:r>
        <w:rPr>
          <w:rFonts w:hint="eastAsia" w:ascii="仿宋" w:hAnsi="仿宋" w:eastAsia="仿宋" w:cs="仿宋"/>
          <w:color w:val="auto"/>
          <w:kern w:val="2"/>
          <w:sz w:val="21"/>
          <w:szCs w:val="24"/>
          <w:highlight w:val="none"/>
        </w:rPr>
        <w:t>管件、阀门、仪表</w:t>
      </w:r>
      <w:r>
        <w:rPr>
          <w:rFonts w:hint="eastAsia" w:ascii="仿宋" w:hAnsi="仿宋" w:eastAsia="仿宋" w:cs="仿宋"/>
          <w:color w:val="auto"/>
          <w:kern w:val="2"/>
          <w:sz w:val="21"/>
          <w:szCs w:val="24"/>
          <w:highlight w:val="none"/>
          <w:lang w:eastAsia="zh-CN"/>
        </w:rPr>
        <w:t>等</w:t>
      </w:r>
      <w:r>
        <w:rPr>
          <w:rFonts w:hint="eastAsia" w:ascii="仿宋" w:hAnsi="仿宋" w:eastAsia="仿宋" w:cs="仿宋"/>
          <w:color w:val="auto"/>
          <w:kern w:val="2"/>
          <w:sz w:val="21"/>
          <w:szCs w:val="24"/>
          <w:highlight w:val="none"/>
        </w:rPr>
        <w:t>。</w:t>
      </w:r>
      <w:r>
        <w:rPr>
          <w:rFonts w:hint="eastAsia" w:ascii="仿宋" w:hAnsi="仿宋" w:eastAsia="仿宋" w:cs="仿宋"/>
          <w:color w:val="auto"/>
          <w:kern w:val="2"/>
          <w:sz w:val="21"/>
          <w:szCs w:val="24"/>
          <w:highlight w:val="none"/>
          <w:lang w:eastAsia="zh-CN"/>
        </w:rPr>
        <w:t>另涉及到非常规耗材按中标价按实结算。</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（三）管路消毒</w:t>
      </w:r>
    </w:p>
    <w:p>
      <w:pPr>
        <w:spacing w:line="360" w:lineRule="auto"/>
        <w:ind w:firstLine="420" w:firstLineChars="200"/>
        <w:rPr>
          <w:rFonts w:hint="eastAsia" w:ascii="仿宋" w:hAnsi="仿宋" w:eastAsia="仿宋" w:cs="仿宋"/>
          <w:color w:val="auto"/>
          <w:kern w:val="2"/>
          <w:sz w:val="21"/>
          <w:szCs w:val="24"/>
          <w:highlight w:val="none"/>
        </w:rPr>
      </w:pPr>
      <w:r>
        <w:rPr>
          <w:rFonts w:hint="eastAsia" w:ascii="仿宋" w:hAnsi="仿宋" w:eastAsia="仿宋" w:cs="仿宋"/>
          <w:bCs/>
          <w:color w:val="auto"/>
          <w:kern w:val="2"/>
          <w:sz w:val="21"/>
          <w:szCs w:val="24"/>
          <w:highlight w:val="none"/>
        </w:rPr>
        <w:t>定期上门对纯水系统设备进行</w:t>
      </w:r>
      <w:r>
        <w:rPr>
          <w:rFonts w:hint="eastAsia" w:ascii="仿宋" w:hAnsi="仿宋" w:eastAsia="仿宋" w:cs="仿宋"/>
          <w:color w:val="auto"/>
          <w:kern w:val="2"/>
          <w:sz w:val="21"/>
          <w:szCs w:val="24"/>
          <w:highlight w:val="none"/>
        </w:rPr>
        <w:t>消毒清洗工作：</w:t>
      </w:r>
    </w:p>
    <w:p>
      <w:pPr>
        <w:pStyle w:val="257"/>
        <w:numPr>
          <w:ilvl w:val="0"/>
          <w:numId w:val="4"/>
        </w:numPr>
        <w:spacing w:line="360" w:lineRule="auto"/>
        <w:ind w:firstLineChars="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每年对纯水供水管路进行1-2次消毒清洗工作；</w:t>
      </w:r>
    </w:p>
    <w:p>
      <w:pPr>
        <w:pStyle w:val="257"/>
        <w:numPr>
          <w:ilvl w:val="0"/>
          <w:numId w:val="4"/>
        </w:numPr>
        <w:spacing w:line="360" w:lineRule="auto"/>
        <w:ind w:firstLineChars="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当供水细菌超标时消毒；</w:t>
      </w:r>
    </w:p>
    <w:p>
      <w:pPr>
        <w:pStyle w:val="257"/>
        <w:numPr>
          <w:ilvl w:val="0"/>
          <w:numId w:val="4"/>
        </w:numPr>
        <w:spacing w:line="360" w:lineRule="auto"/>
        <w:ind w:firstLineChars="0"/>
        <w:rPr>
          <w:rFonts w:hint="eastAsia" w:ascii="仿宋" w:hAnsi="仿宋" w:eastAsia="仿宋" w:cs="仿宋"/>
          <w:color w:val="auto"/>
          <w:kern w:val="2"/>
          <w:sz w:val="21"/>
          <w:szCs w:val="24"/>
          <w:highlight w:val="none"/>
        </w:rPr>
      </w:pPr>
      <w:r>
        <w:rPr>
          <w:rFonts w:hint="eastAsia" w:ascii="仿宋" w:hAnsi="仿宋" w:eastAsia="仿宋" w:cs="仿宋"/>
          <w:color w:val="auto"/>
          <w:kern w:val="2"/>
          <w:sz w:val="21"/>
          <w:szCs w:val="24"/>
          <w:highlight w:val="none"/>
        </w:rPr>
        <w:t>提供消毒液残留检测试纸。</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jc w:val="left"/>
        <w:textAlignment w:val="auto"/>
        <w:rPr>
          <w:rFonts w:hint="eastAsia" w:ascii="仿宋" w:hAnsi="仿宋" w:eastAsia="仿宋" w:cs="仿宋"/>
          <w:color w:val="auto"/>
          <w:kern w:val="2"/>
          <w:sz w:val="21"/>
          <w:szCs w:val="21"/>
          <w:highlight w:val="none"/>
          <w:lang w:eastAsia="zh-CN"/>
        </w:rPr>
      </w:pPr>
      <w:r>
        <w:rPr>
          <w:rFonts w:hint="eastAsia" w:ascii="仿宋" w:hAnsi="仿宋" w:eastAsia="仿宋" w:cs="仿宋"/>
          <w:b/>
          <w:bCs/>
          <w:color w:val="auto"/>
          <w:kern w:val="2"/>
          <w:sz w:val="21"/>
          <w:szCs w:val="21"/>
          <w:highlight w:val="none"/>
          <w:lang w:eastAsia="zh-CN"/>
        </w:rPr>
        <w:t>三、</w:t>
      </w:r>
      <w:r>
        <w:rPr>
          <w:rFonts w:hint="eastAsia" w:ascii="仿宋" w:hAnsi="仿宋" w:eastAsia="仿宋" w:cs="仿宋"/>
          <w:b/>
          <w:bCs/>
          <w:color w:val="auto"/>
          <w:highlight w:val="none"/>
          <w:lang w:val="en-US" w:eastAsia="zh-CN"/>
        </w:rPr>
        <w:t>考核方式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采购人应对中标方提供的维保服务质量，服度态度进行全面考核，考核合格方可支付服务费用，考核标准参照：《绍兴市中医院医疗设备维保服务考核管理办法》。</w:t>
      </w:r>
    </w:p>
    <w:p>
      <w:pPr>
        <w:widowControl w:val="0"/>
        <w:numPr>
          <w:ilvl w:val="0"/>
          <w:numId w:val="0"/>
        </w:numPr>
        <w:spacing w:after="0" w:line="240" w:lineRule="auto"/>
        <w:ind w:leftChars="0"/>
        <w:jc w:val="left"/>
        <w:rPr>
          <w:rFonts w:hint="eastAsia" w:ascii="仿宋" w:hAnsi="仿宋" w:eastAsia="仿宋" w:cs="仿宋"/>
          <w:color w:val="auto"/>
          <w:kern w:val="2"/>
          <w:sz w:val="24"/>
          <w:szCs w:val="24"/>
          <w:highlight w:val="none"/>
          <w:lang w:eastAsia="zh-CN"/>
        </w:rPr>
      </w:pPr>
      <w:r>
        <w:rPr>
          <w:rFonts w:hint="eastAsia" w:ascii="仿宋" w:hAnsi="仿宋" w:eastAsia="仿宋" w:cs="仿宋"/>
          <w:b/>
          <w:bCs/>
          <w:color w:val="auto"/>
          <w:kern w:val="2"/>
          <w:sz w:val="24"/>
          <w:szCs w:val="24"/>
          <w:highlight w:val="none"/>
          <w:lang w:eastAsia="zh-CN"/>
        </w:rPr>
        <w:t>附件一：</w:t>
      </w:r>
    </w:p>
    <w:p>
      <w:pPr>
        <w:widowControl w:val="0"/>
        <w:numPr>
          <w:ilvl w:val="0"/>
          <w:numId w:val="0"/>
        </w:numPr>
        <w:spacing w:after="0" w:line="240" w:lineRule="auto"/>
        <w:ind w:leftChars="0"/>
        <w:jc w:val="left"/>
        <w:rPr>
          <w:rFonts w:hint="eastAsia" w:ascii="仿宋" w:hAnsi="仿宋" w:eastAsia="仿宋" w:cs="仿宋"/>
          <w:b/>
          <w:bCs/>
          <w:color w:val="auto"/>
          <w:kern w:val="2"/>
          <w:sz w:val="24"/>
          <w:szCs w:val="24"/>
          <w:highlight w:val="none"/>
          <w:lang w:eastAsia="zh-CN"/>
        </w:rPr>
      </w:pPr>
      <w:r>
        <w:rPr>
          <w:rFonts w:hint="eastAsia" w:ascii="仿宋" w:hAnsi="仿宋" w:eastAsia="仿宋" w:cs="仿宋"/>
          <w:b/>
          <w:bCs/>
          <w:color w:val="auto"/>
          <w:kern w:val="2"/>
          <w:sz w:val="24"/>
          <w:szCs w:val="24"/>
          <w:highlight w:val="none"/>
          <w:lang w:eastAsia="zh-CN"/>
        </w:rPr>
        <w:t>常规耗材及维保服务清单，总预算15.8万元</w:t>
      </w:r>
    </w:p>
    <w:tbl>
      <w:tblPr>
        <w:tblStyle w:val="62"/>
        <w:tblW w:w="512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4"/>
        <w:gridCol w:w="1610"/>
        <w:gridCol w:w="1677"/>
        <w:gridCol w:w="3354"/>
        <w:gridCol w:w="696"/>
        <w:gridCol w:w="7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4" w:type="pct"/>
            <w:tcBorders>
              <w:top w:val="single" w:color="000000" w:sz="4" w:space="0"/>
              <w:left w:val="single" w:color="000000" w:sz="4" w:space="0"/>
              <w:bottom w:val="single" w:color="000000" w:sz="4" w:space="0"/>
              <w:right w:val="single" w:color="000000" w:sz="4" w:space="0"/>
            </w:tcBorders>
            <w:shd w:val="clear" w:color="auto" w:fill="FFC000"/>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921" w:type="pct"/>
            <w:tcBorders>
              <w:top w:val="single" w:color="000000" w:sz="4" w:space="0"/>
              <w:left w:val="single" w:color="000000" w:sz="4" w:space="0"/>
              <w:bottom w:val="single" w:color="000000" w:sz="4" w:space="0"/>
              <w:right w:val="single" w:color="000000" w:sz="4" w:space="0"/>
            </w:tcBorders>
            <w:shd w:val="clear" w:color="auto" w:fill="FFC000"/>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名称</w:t>
            </w:r>
          </w:p>
        </w:tc>
        <w:tc>
          <w:tcPr>
            <w:tcW w:w="959" w:type="pct"/>
            <w:tcBorders>
              <w:top w:val="single" w:color="000000" w:sz="4" w:space="0"/>
              <w:left w:val="single" w:color="000000" w:sz="4" w:space="0"/>
              <w:bottom w:val="single" w:color="000000" w:sz="4" w:space="0"/>
              <w:right w:val="single" w:color="000000" w:sz="4" w:space="0"/>
            </w:tcBorders>
            <w:shd w:val="clear" w:color="auto" w:fill="FFC000"/>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w:t>
            </w:r>
          </w:p>
        </w:tc>
        <w:tc>
          <w:tcPr>
            <w:tcW w:w="1918" w:type="pct"/>
            <w:tcBorders>
              <w:top w:val="single" w:color="000000" w:sz="4" w:space="0"/>
              <w:left w:val="single" w:color="000000" w:sz="4" w:space="0"/>
              <w:bottom w:val="single" w:color="000000" w:sz="4" w:space="0"/>
              <w:right w:val="single" w:color="000000" w:sz="4" w:space="0"/>
            </w:tcBorders>
            <w:shd w:val="clear" w:color="auto" w:fill="FFC000"/>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说明</w:t>
            </w:r>
          </w:p>
        </w:tc>
        <w:tc>
          <w:tcPr>
            <w:tcW w:w="398" w:type="pct"/>
            <w:tcBorders>
              <w:top w:val="single" w:color="000000" w:sz="4" w:space="0"/>
              <w:left w:val="single" w:color="000000" w:sz="4" w:space="0"/>
              <w:bottom w:val="single" w:color="000000" w:sz="4" w:space="0"/>
              <w:right w:val="single" w:color="000000" w:sz="4" w:space="0"/>
            </w:tcBorders>
            <w:shd w:val="clear" w:color="auto" w:fill="FFC000"/>
            <w:noWrap w:val="0"/>
            <w:vAlign w:val="top"/>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数量</w:t>
            </w:r>
          </w:p>
        </w:tc>
        <w:tc>
          <w:tcPr>
            <w:tcW w:w="427" w:type="pct"/>
            <w:tcBorders>
              <w:top w:val="single" w:color="000000" w:sz="4" w:space="0"/>
              <w:left w:val="single" w:color="000000" w:sz="4" w:space="0"/>
              <w:bottom w:val="single" w:color="000000" w:sz="4" w:space="0"/>
              <w:right w:val="single" w:color="000000" w:sz="4" w:space="0"/>
            </w:tcBorders>
            <w:shd w:val="clear" w:color="auto" w:fill="FFC000"/>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一、日常运维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电话回访</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每月1次</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次/年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设备巡检</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每月1次，记录运行数据</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次/年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DPD余氯快速检测试剂</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0.05-1mg/L</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常用水质检测消耗试剂</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硬度显色剂</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常用水质检测消耗试剂，总硬度</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盒/年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二、常规耗材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保安过滤器滤芯</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30英寸，精度5μm，材质：PP</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压差值大于初始压差值0.05MPa，或使用时长大于6个月时,需更换滤芯。</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消毒过滤器滤芯</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30英寸，精度5μm，材质：PP</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压差值大于初始压差值0.05MPa，或使用时长大于12个月时,需更换滤芯。</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浓水利用装置滤芯</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40英寸，材质：复合PA，过滤面积2.0m</w:t>
            </w:r>
            <w:r>
              <w:rPr>
                <w:rFonts w:hint="eastAsia" w:ascii="仿宋" w:hAnsi="仿宋" w:eastAsia="仿宋" w:cs="仿宋"/>
                <w:i w:val="0"/>
                <w:iCs w:val="0"/>
                <w:color w:val="auto"/>
                <w:kern w:val="0"/>
                <w:sz w:val="21"/>
                <w:szCs w:val="21"/>
                <w:highlight w:val="none"/>
                <w:u w:val="none"/>
                <w:vertAlign w:val="superscript"/>
                <w:lang w:val="en-US" w:eastAsia="zh-CN" w:bidi="ar"/>
              </w:rPr>
              <w:t>2</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压差值大于初始压差值0.05MPa，或使用时长大于6个月时,需更换滤芯。</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微孔滤芯</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20英寸，精度0.22μm，材质：尼龙</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压差值大于初始压差值0.05MPa，或使用时长大于6个月时,需更换滤芯。</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微孔滤芯</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40英寸，精度0.22μm，材质：尼龙</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压差值大于初始压差值0.05MPa，或使用时长大于6个月时,需更换滤芯。</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紫外线灯管</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寿命9000小时，波长100-400NM，40W</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使用时长大于12个月时，需更换灯管。</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紫外线灯管</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寿命9000小时，波长100-400NM，80W</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使用时长大于12个月时，需更换灯管。</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紫外线灯管</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寿命9000小时，波长100-400NM，120W</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使用时长大于12个月时，需更换灯管。</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6"/>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三、管路消毒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921"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全系统消毒</w:t>
            </w:r>
          </w:p>
        </w:tc>
        <w:tc>
          <w:tcPr>
            <w:tcW w:w="95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w:t>
            </w:r>
          </w:p>
        </w:tc>
        <w:tc>
          <w:tcPr>
            <w:tcW w:w="191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纯水管道消毒（清洗、冲洗、检验）</w:t>
            </w:r>
          </w:p>
        </w:tc>
        <w:tc>
          <w:tcPr>
            <w:tcW w:w="39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42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次/年</w:t>
            </w:r>
          </w:p>
        </w:tc>
      </w:tr>
    </w:tbl>
    <w:p>
      <w:pPr>
        <w:widowControl w:val="0"/>
        <w:numPr>
          <w:ilvl w:val="0"/>
          <w:numId w:val="0"/>
        </w:numPr>
        <w:spacing w:after="0" w:line="240" w:lineRule="auto"/>
        <w:ind w:leftChars="0"/>
        <w:jc w:val="left"/>
        <w:rPr>
          <w:rFonts w:hint="eastAsia" w:ascii="仿宋" w:hAnsi="仿宋" w:eastAsia="仿宋" w:cs="仿宋"/>
          <w:color w:val="auto"/>
          <w:kern w:val="2"/>
          <w:sz w:val="24"/>
          <w:szCs w:val="24"/>
          <w:highlight w:val="none"/>
          <w:lang w:eastAsia="zh-CN"/>
        </w:rPr>
      </w:pPr>
    </w:p>
    <w:p>
      <w:pPr>
        <w:widowControl w:val="0"/>
        <w:numPr>
          <w:ilvl w:val="0"/>
          <w:numId w:val="0"/>
        </w:numPr>
        <w:spacing w:after="0" w:line="240" w:lineRule="auto"/>
        <w:ind w:leftChars="0"/>
        <w:jc w:val="left"/>
        <w:rPr>
          <w:rFonts w:hint="eastAsia" w:ascii="仿宋" w:hAnsi="仿宋" w:eastAsia="仿宋" w:cs="仿宋"/>
          <w:b/>
          <w:bCs/>
          <w:color w:val="auto"/>
          <w:kern w:val="2"/>
          <w:sz w:val="24"/>
          <w:szCs w:val="24"/>
          <w:highlight w:val="none"/>
          <w:lang w:eastAsia="zh-CN"/>
        </w:rPr>
      </w:pPr>
      <w:r>
        <w:rPr>
          <w:rFonts w:hint="eastAsia" w:ascii="仿宋" w:hAnsi="仿宋" w:eastAsia="仿宋" w:cs="仿宋"/>
          <w:b/>
          <w:bCs/>
          <w:color w:val="auto"/>
          <w:kern w:val="2"/>
          <w:sz w:val="24"/>
          <w:szCs w:val="24"/>
          <w:highlight w:val="none"/>
          <w:lang w:eastAsia="zh-CN"/>
        </w:rPr>
        <w:t>非常规耗材清单，总预算18.6万元</w:t>
      </w:r>
    </w:p>
    <w:tbl>
      <w:tblPr>
        <w:tblStyle w:val="62"/>
        <w:tblW w:w="5368" w:type="pct"/>
        <w:tblInd w:w="-17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1"/>
        <w:gridCol w:w="819"/>
        <w:gridCol w:w="2318"/>
        <w:gridCol w:w="2536"/>
        <w:gridCol w:w="1309"/>
        <w:gridCol w:w="655"/>
        <w:gridCol w:w="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72"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44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名称</w:t>
            </w:r>
          </w:p>
        </w:tc>
        <w:tc>
          <w:tcPr>
            <w:tcW w:w="1266"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w:t>
            </w:r>
          </w:p>
        </w:tc>
        <w:tc>
          <w:tcPr>
            <w:tcW w:w="1385"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说明</w:t>
            </w:r>
          </w:p>
        </w:tc>
        <w:tc>
          <w:tcPr>
            <w:tcW w:w="715"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上限单价</w:t>
            </w:r>
          </w:p>
        </w:tc>
        <w:tc>
          <w:tcPr>
            <w:tcW w:w="357" w:type="pct"/>
            <w:tcBorders>
              <w:top w:val="single" w:color="000000" w:sz="4" w:space="0"/>
              <w:left w:val="single" w:color="000000" w:sz="4" w:space="0"/>
              <w:bottom w:val="single" w:color="000000" w:sz="4" w:space="0"/>
              <w:right w:val="single" w:color="000000" w:sz="4" w:space="0"/>
            </w:tcBorders>
            <w:shd w:val="clear" w:color="auto" w:fill="FFC000"/>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数量</w:t>
            </w:r>
          </w:p>
        </w:tc>
        <w:tc>
          <w:tcPr>
            <w:tcW w:w="454" w:type="pct"/>
            <w:tcBorders>
              <w:top w:val="single" w:color="000000" w:sz="4" w:space="0"/>
              <w:left w:val="single" w:color="000000" w:sz="4" w:space="0"/>
              <w:bottom w:val="single" w:color="000000" w:sz="4" w:space="0"/>
              <w:right w:val="single" w:color="000000" w:sz="4" w:space="0"/>
            </w:tcBorders>
            <w:shd w:val="clear" w:color="auto" w:fill="FFC000"/>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7"/>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一、非常规耗材（更换周期2年以上，需更换时单独付费）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石英砂</w:t>
            </w:r>
          </w:p>
        </w:tc>
        <w:tc>
          <w:tcPr>
            <w:tcW w:w="12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0.6-4mm，精制石英砂</w:t>
            </w:r>
          </w:p>
        </w:tc>
        <w:tc>
          <w:tcPr>
            <w:tcW w:w="13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机械过滤器维保；手动冲洗后，压差仍大于初始值0.1MPa，或根据产水水质决定是否更换。</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2100</w:t>
            </w:r>
          </w:p>
        </w:tc>
        <w:tc>
          <w:tcPr>
            <w:tcW w:w="4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公斤/次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树脂</w:t>
            </w:r>
          </w:p>
        </w:tc>
        <w:tc>
          <w:tcPr>
            <w:tcW w:w="12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001*7，食品卫生级软化树脂</w:t>
            </w:r>
          </w:p>
        </w:tc>
        <w:tc>
          <w:tcPr>
            <w:tcW w:w="13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软化器维保；手动再生后，出水硬度仍不合格, 或根据产水水质决定是否更换。</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¥25.00</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w:t>
            </w:r>
          </w:p>
        </w:tc>
        <w:tc>
          <w:tcPr>
            <w:tcW w:w="4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升/次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活性炭填料</w:t>
            </w:r>
          </w:p>
        </w:tc>
        <w:tc>
          <w:tcPr>
            <w:tcW w:w="12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椰壳，碘吸附值≥1000，强度≥96％，粒度：8-20目，水分≤10％，pH：6-9，表面密度：0.5-0.55g/ML</w:t>
            </w:r>
          </w:p>
        </w:tc>
        <w:tc>
          <w:tcPr>
            <w:tcW w:w="13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炭滤器维保；手动冲洗后，出水余氯仍不合格, 或根据产水水质决定是否更换。</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¥30.00</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700</w:t>
            </w:r>
          </w:p>
        </w:tc>
        <w:tc>
          <w:tcPr>
            <w:tcW w:w="4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公斤/次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5" w:hRule="atLeast"/>
        </w:trPr>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反渗膜</w:t>
            </w:r>
          </w:p>
        </w:tc>
        <w:tc>
          <w:tcPr>
            <w:tcW w:w="12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产水量：48m</w:t>
            </w:r>
            <w:r>
              <w:rPr>
                <w:rFonts w:hint="eastAsia" w:ascii="仿宋" w:hAnsi="仿宋" w:eastAsia="仿宋" w:cs="仿宋"/>
                <w:i w:val="0"/>
                <w:iCs w:val="0"/>
                <w:color w:val="auto"/>
                <w:kern w:val="0"/>
                <w:sz w:val="21"/>
                <w:szCs w:val="21"/>
                <w:highlight w:val="none"/>
                <w:u w:val="none"/>
                <w:vertAlign w:val="superscript"/>
                <w:lang w:val="en-US" w:eastAsia="zh-CN" w:bidi="ar"/>
              </w:rPr>
              <w:t>3</w:t>
            </w:r>
            <w:r>
              <w:rPr>
                <w:rFonts w:hint="eastAsia" w:ascii="仿宋" w:hAnsi="仿宋" w:eastAsia="仿宋" w:cs="仿宋"/>
                <w:i w:val="0"/>
                <w:iCs w:val="0"/>
                <w:color w:val="auto"/>
                <w:kern w:val="0"/>
                <w:sz w:val="21"/>
                <w:szCs w:val="21"/>
                <w:highlight w:val="none"/>
                <w:u w:val="none"/>
                <w:lang w:val="en-US" w:eastAsia="zh-CN" w:bidi="ar"/>
              </w:rPr>
              <w:t>/d；脱盐率：99.3%；孔径：0.1nm；膜面积：41m</w:t>
            </w:r>
            <w:r>
              <w:rPr>
                <w:rFonts w:hint="eastAsia" w:ascii="仿宋" w:hAnsi="仿宋" w:eastAsia="仿宋" w:cs="仿宋"/>
                <w:i w:val="0"/>
                <w:iCs w:val="0"/>
                <w:color w:val="auto"/>
                <w:kern w:val="0"/>
                <w:sz w:val="21"/>
                <w:szCs w:val="21"/>
                <w:highlight w:val="none"/>
                <w:u w:val="none"/>
                <w:vertAlign w:val="superscript"/>
                <w:lang w:val="en-US" w:eastAsia="zh-CN" w:bidi="ar"/>
              </w:rPr>
              <w:t>2</w:t>
            </w:r>
            <w:r>
              <w:rPr>
                <w:rFonts w:hint="eastAsia" w:ascii="仿宋" w:hAnsi="仿宋" w:eastAsia="仿宋" w:cs="仿宋"/>
                <w:i w:val="0"/>
                <w:iCs w:val="0"/>
                <w:color w:val="auto"/>
                <w:kern w:val="0"/>
                <w:sz w:val="21"/>
                <w:szCs w:val="21"/>
                <w:highlight w:val="none"/>
                <w:u w:val="none"/>
                <w:lang w:val="en-US" w:eastAsia="zh-CN" w:bidi="ar"/>
              </w:rPr>
              <w:t>；材质：聚酰胺；尺寸：长度1016；最高操作温度：45℃</w:t>
            </w:r>
          </w:p>
        </w:tc>
        <w:tc>
          <w:tcPr>
            <w:tcW w:w="13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反渗透装置维保；脱盐率小于96%，或根据产水水质决定是否更换。</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¥8,500.00</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4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37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EDI模块</w:t>
            </w:r>
          </w:p>
        </w:tc>
        <w:tc>
          <w:tcPr>
            <w:tcW w:w="126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1000L/H</w:t>
            </w:r>
          </w:p>
        </w:tc>
        <w:tc>
          <w:tcPr>
            <w:tcW w:w="138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EDI装置维保；产水电阻小于10MΩ∙cm，或根据产水水质决定是否更换。</w:t>
            </w:r>
          </w:p>
        </w:tc>
        <w:tc>
          <w:tcPr>
            <w:tcW w:w="71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¥22,000.00</w:t>
            </w:r>
          </w:p>
        </w:tc>
        <w:tc>
          <w:tcPr>
            <w:tcW w:w="35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45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台/次</w:t>
            </w:r>
          </w:p>
        </w:tc>
      </w:tr>
    </w:tbl>
    <w:p>
      <w:pPr>
        <w:widowControl w:val="0"/>
        <w:numPr>
          <w:ilvl w:val="0"/>
          <w:numId w:val="0"/>
        </w:numPr>
        <w:spacing w:after="0" w:line="240" w:lineRule="auto"/>
        <w:ind w:leftChars="0"/>
        <w:jc w:val="left"/>
        <w:rPr>
          <w:rFonts w:hint="eastAsia" w:ascii="仿宋" w:hAnsi="仿宋" w:eastAsia="仿宋" w:cs="仿宋"/>
          <w:color w:val="auto"/>
          <w:kern w:val="2"/>
          <w:sz w:val="24"/>
          <w:szCs w:val="24"/>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2</w:t>
      </w:r>
      <w:r>
        <w:rPr>
          <w:rFonts w:hint="eastAsia" w:ascii="仿宋" w:hAnsi="仿宋" w:eastAsia="仿宋" w:cs="仿宋"/>
          <w:b/>
          <w:color w:val="auto"/>
          <w:sz w:val="24"/>
          <w:szCs w:val="24"/>
          <w:highlight w:val="none"/>
          <w:bdr w:val="single" w:color="auto" w:sz="4" w:space="0"/>
        </w:rPr>
        <w:t>标</w:t>
      </w:r>
      <w:r>
        <w:rPr>
          <w:rFonts w:hint="eastAsia" w:ascii="仿宋" w:hAnsi="仿宋" w:eastAsia="仿宋" w:cs="仿宋"/>
          <w:b/>
          <w:color w:val="auto"/>
          <w:sz w:val="24"/>
          <w:highlight w:val="none"/>
          <w:lang w:val="en-US" w:eastAsia="zh-CN"/>
        </w:rPr>
        <w:t>电子胃肠镜保修服务</w:t>
      </w:r>
      <w:r>
        <w:rPr>
          <w:rFonts w:hint="eastAsia" w:ascii="仿宋" w:hAnsi="仿宋" w:eastAsia="仿宋" w:cs="仿宋"/>
          <w:b/>
          <w:color w:val="auto"/>
          <w:sz w:val="24"/>
          <w:highlight w:val="none"/>
          <w:lang w:eastAsia="zh-CN"/>
        </w:rPr>
        <w:t>，预算</w:t>
      </w:r>
      <w:r>
        <w:rPr>
          <w:rFonts w:hint="eastAsia" w:ascii="仿宋" w:hAnsi="仿宋" w:eastAsia="仿宋" w:cs="仿宋"/>
          <w:b/>
          <w:color w:val="auto"/>
          <w:sz w:val="24"/>
          <w:highlight w:val="none"/>
          <w:lang w:val="en-US" w:eastAsia="zh-CN"/>
        </w:rPr>
        <w:t>25</w:t>
      </w:r>
      <w:r>
        <w:rPr>
          <w:rFonts w:hint="eastAsia" w:ascii="仿宋" w:hAnsi="仿宋" w:eastAsia="仿宋" w:cs="仿宋"/>
          <w:b/>
          <w:color w:val="auto"/>
          <w:sz w:val="24"/>
          <w:highlight w:val="none"/>
          <w:lang w:eastAsia="zh-CN"/>
        </w:rPr>
        <w:t>万元</w:t>
      </w:r>
      <w:r>
        <w:rPr>
          <w:rFonts w:hint="eastAsia" w:ascii="仿宋" w:hAnsi="仿宋" w:eastAsia="仿宋" w:cs="仿宋"/>
          <w:b/>
          <w:color w:val="auto"/>
          <w:sz w:val="24"/>
          <w:highlight w:val="none"/>
          <w:lang w:val="en-US" w:eastAsia="zh-CN"/>
        </w:rPr>
        <w:t>/3年</w:t>
      </w:r>
      <w:r>
        <w:rPr>
          <w:rFonts w:hint="eastAsia" w:ascii="仿宋" w:hAnsi="仿宋" w:eastAsia="仿宋" w:cs="仿宋"/>
          <w:b/>
          <w:color w:val="auto"/>
          <w:sz w:val="24"/>
          <w:highlight w:val="none"/>
          <w:lang w:eastAsia="zh-CN"/>
        </w:rPr>
        <w:t>，合同期限：自合同签订之日起三年。</w:t>
      </w:r>
    </w:p>
    <w:p>
      <w:pPr>
        <w:keepNext w:val="0"/>
        <w:keepLines w:val="0"/>
        <w:pageBreakBefore w:val="0"/>
        <w:widowControl w:val="0"/>
        <w:numPr>
          <w:ilvl w:val="0"/>
          <w:numId w:val="5"/>
        </w:numPr>
        <w:kinsoku/>
        <w:wordWrap/>
        <w:overflowPunct/>
        <w:topLinePunct w:val="0"/>
        <w:autoSpaceDE/>
        <w:autoSpaceDN/>
        <w:bidi w:val="0"/>
        <w:adjustRightInd/>
        <w:spacing w:line="360" w:lineRule="auto"/>
        <w:ind w:firstLine="422" w:firstLineChars="200"/>
        <w:textAlignment w:val="auto"/>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项目内容</w:t>
      </w:r>
    </w:p>
    <w:p>
      <w:pPr>
        <w:pStyle w:val="40"/>
        <w:numPr>
          <w:ilvl w:val="0"/>
          <w:numId w:val="0"/>
        </w:num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w:t>
      </w:r>
    </w:p>
    <w:tbl>
      <w:tblPr>
        <w:tblStyle w:val="62"/>
        <w:tblW w:w="47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1652"/>
        <w:gridCol w:w="1370"/>
        <w:gridCol w:w="1260"/>
        <w:gridCol w:w="916"/>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175"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项目</w:t>
            </w:r>
          </w:p>
        </w:tc>
        <w:tc>
          <w:tcPr>
            <w:tcW w:w="1033"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名称</w:t>
            </w:r>
          </w:p>
        </w:tc>
        <w:tc>
          <w:tcPr>
            <w:tcW w:w="857"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型号</w:t>
            </w:r>
          </w:p>
        </w:tc>
        <w:tc>
          <w:tcPr>
            <w:tcW w:w="788"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编号</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数量</w:t>
            </w:r>
          </w:p>
        </w:tc>
        <w:tc>
          <w:tcPr>
            <w:tcW w:w="571" w:type="pct"/>
            <w:tcBorders>
              <w:top w:val="single" w:color="auto" w:sz="4" w:space="0"/>
              <w:left w:val="single" w:color="auto" w:sz="4" w:space="0"/>
              <w:bottom w:val="single" w:color="auto" w:sz="4" w:space="0"/>
              <w:right w:val="single" w:color="auto" w:sz="4" w:space="0"/>
            </w:tcBorders>
            <w:noWrap w:val="0"/>
            <w:vAlign w:val="center"/>
          </w:tcPr>
          <w:p>
            <w:pPr>
              <w:spacing w:line="288" w:lineRule="auto"/>
              <w:jc w:val="center"/>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75" w:type="pct"/>
            <w:vMerge w:val="restar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电子胃肠镜镜子保修项目</w:t>
            </w:r>
          </w:p>
        </w:tc>
        <w:tc>
          <w:tcPr>
            <w:tcW w:w="1033"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电子胃镜</w:t>
            </w:r>
          </w:p>
        </w:tc>
        <w:tc>
          <w:tcPr>
            <w:tcW w:w="857"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GIF-H290</w:t>
            </w:r>
          </w:p>
        </w:tc>
        <w:tc>
          <w:tcPr>
            <w:tcW w:w="78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2960941</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571" w:type="pct"/>
            <w:tcBorders>
              <w:top w:val="single" w:color="auto" w:sz="4" w:space="0"/>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75" w:type="pct"/>
            <w:vMerge w:val="continue"/>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p>
        </w:tc>
        <w:tc>
          <w:tcPr>
            <w:tcW w:w="1033"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电子胃镜</w:t>
            </w:r>
          </w:p>
        </w:tc>
        <w:tc>
          <w:tcPr>
            <w:tcW w:w="857"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GIF-H290</w:t>
            </w:r>
          </w:p>
        </w:tc>
        <w:tc>
          <w:tcPr>
            <w:tcW w:w="78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2960942</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571"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175" w:type="pct"/>
            <w:vMerge w:val="continue"/>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p>
        </w:tc>
        <w:tc>
          <w:tcPr>
            <w:tcW w:w="1033"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电子肠镜</w:t>
            </w:r>
          </w:p>
        </w:tc>
        <w:tc>
          <w:tcPr>
            <w:tcW w:w="857"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CF-H290I</w:t>
            </w:r>
          </w:p>
        </w:tc>
        <w:tc>
          <w:tcPr>
            <w:tcW w:w="788"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2045322</w:t>
            </w:r>
          </w:p>
        </w:tc>
        <w:tc>
          <w:tcPr>
            <w:tcW w:w="573"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p>
        </w:tc>
        <w:tc>
          <w:tcPr>
            <w:tcW w:w="571" w:type="pct"/>
            <w:tcBorders>
              <w:left w:val="single" w:color="auto" w:sz="4" w:space="0"/>
              <w:right w:val="single" w:color="auto" w:sz="4" w:space="0"/>
            </w:tcBorders>
            <w:noWrap w:val="0"/>
            <w:vAlign w:val="center"/>
          </w:tcPr>
          <w:p>
            <w:pPr>
              <w:spacing w:line="360" w:lineRule="auto"/>
              <w:jc w:val="center"/>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支</w:t>
            </w:r>
          </w:p>
        </w:tc>
      </w:tr>
    </w:tbl>
    <w:p>
      <w:pPr>
        <w:pStyle w:val="40"/>
        <w:numPr>
          <w:ilvl w:val="0"/>
          <w:numId w:val="0"/>
        </w:numPr>
        <w:rPr>
          <w:rFonts w:hint="eastAsia" w:ascii="仿宋" w:hAnsi="仿宋" w:eastAsia="仿宋" w:cs="仿宋"/>
          <w:color w:val="auto"/>
          <w:highlight w:val="none"/>
          <w:lang w:val="en-US" w:eastAsia="zh-CN"/>
        </w:rPr>
      </w:pPr>
    </w:p>
    <w:p>
      <w:pPr>
        <w:keepNext w:val="0"/>
        <w:keepLines w:val="0"/>
        <w:pageBreakBefore w:val="0"/>
        <w:numPr>
          <w:ilvl w:val="0"/>
          <w:numId w:val="5"/>
        </w:numPr>
        <w:kinsoku/>
        <w:wordWrap/>
        <w:overflowPunct/>
        <w:topLinePunct w:val="0"/>
        <w:bidi w:val="0"/>
        <w:adjustRightInd/>
        <w:spacing w:line="360" w:lineRule="auto"/>
        <w:ind w:left="0" w:leftChars="0" w:firstLine="422" w:firstLineChars="200"/>
        <w:jc w:val="both"/>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项目要求</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1、</w:t>
      </w:r>
      <w:r>
        <w:rPr>
          <w:rFonts w:hint="eastAsia" w:ascii="仿宋" w:hAnsi="仿宋" w:eastAsia="仿宋" w:cs="仿宋"/>
          <w:color w:val="auto"/>
          <w:kern w:val="0"/>
          <w:sz w:val="21"/>
          <w:szCs w:val="21"/>
          <w:highlight w:val="none"/>
        </w:rPr>
        <w:t>保修形式： 全保</w:t>
      </w:r>
      <w:r>
        <w:rPr>
          <w:rFonts w:hint="eastAsia" w:ascii="仿宋" w:hAnsi="仿宋" w:eastAsia="仿宋" w:cs="仿宋"/>
          <w:color w:val="auto"/>
          <w:kern w:val="0"/>
          <w:sz w:val="21"/>
          <w:szCs w:val="21"/>
          <w:highlight w:val="none"/>
          <w:lang w:val="en-US" w:eastAsia="zh-CN"/>
        </w:rPr>
        <w:t>,包含主机冷光源</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bCs/>
          <w:color w:val="auto"/>
          <w:sz w:val="21"/>
          <w:szCs w:val="21"/>
          <w:highlight w:val="none"/>
          <w:lang w:val="en-US" w:eastAsia="zh-CN"/>
        </w:rPr>
        <w:t>MAJ-1817)光源</w:t>
      </w:r>
      <w:r>
        <w:rPr>
          <w:rFonts w:hint="eastAsia" w:ascii="仿宋" w:hAnsi="仿宋" w:eastAsia="仿宋" w:cs="仿宋"/>
          <w:color w:val="auto"/>
          <w:kern w:val="0"/>
          <w:sz w:val="21"/>
          <w:szCs w:val="21"/>
          <w:highlight w:val="none"/>
          <w:lang w:val="en-US" w:eastAsia="zh-CN"/>
        </w:rPr>
        <w:t>1颗</w:t>
      </w:r>
      <w:r>
        <w:rPr>
          <w:rFonts w:hint="eastAsia" w:ascii="仿宋" w:hAnsi="仿宋" w:eastAsia="仿宋" w:cs="仿宋"/>
          <w:color w:val="auto"/>
          <w:kern w:val="0"/>
          <w:sz w:val="21"/>
          <w:szCs w:val="21"/>
          <w:highlight w:val="none"/>
          <w:lang w:val="en-US" w:eastAsia="zh-CN"/>
        </w:rPr>
        <w:t>，</w:t>
      </w:r>
      <w:r>
        <w:rPr>
          <w:rFonts w:hint="eastAsia" w:ascii="仿宋" w:hAnsi="仿宋" w:eastAsia="仿宋" w:cs="仿宋"/>
          <w:color w:val="auto"/>
          <w:kern w:val="0"/>
          <w:sz w:val="21"/>
          <w:szCs w:val="21"/>
          <w:highlight w:val="none"/>
        </w:rPr>
        <w:t>在保修服务期内免费提供所有保修所需备件及需定期更换的耗品。</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方案提供：投标人应承诺按照国家、行业标准规定，出具一项完善、合理和可行的维保服务方案，方案中应体现针对本项目的内镜中心用的电子镜进行系统、全面维保所必须的具体措施，人员配置，质量保证、时间安排等内容，以使设备高效、正常运作，确保设备达到临床应用要求。</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配件保障：投标人须保证在在采购人所在城市或周边城市（省级）设有备件库，具备充足的配件供应能力。投标人所提供的零配件具有规范的进货渠道，所有零配件为原厂原装全新配件，每次更换的零配件需提供厂家相应证明材料，进口配件须提供报关证明，重要部件需提供出厂检测报告，所有更换配件应与机器匹配，确保维保后设备质量达到厂家性能指标，并符合厂家或法定部门检测要求。</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4、人员保障：投标人应具有强大技术保障团队，具有承担本项目所必须的专业技术工程师人数≥2名，工程师经原厂技术培训并获得资格认定。</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5、质量保障：服务期内，投标人应承诺提供完善的质量保证措施，确保维修检测、使用培训及时、规范，保持镜子完好率为100%。定期维护结束后，向用户方提交详细的书面报告，总结维保内容，分析故障原因，提出改进措施。</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6、响应保障：为提供快速响应服务，投标人应对采购人所在城市或周边城市（省级）设立常驻服务机构。并承诺提供每周 7*24 小时服务支持，当设备出现故障时，供应商须在 2 小时内响应，提供电话技术支持。如电话解决不了设备故障，寄送镜子维修，确保镜子从送修到修复在15个工作日内完成，无法修复的，需提供备用镜子，确保不影响采购人正常开展工作；为提供更专业、便捷的维修服务，投标人必须具备800或400客户服务专线电话。</w:t>
      </w:r>
    </w:p>
    <w:p>
      <w:pPr>
        <w:keepNext w:val="0"/>
        <w:keepLines w:val="0"/>
        <w:pageBreakBefore w:val="0"/>
        <w:widowControl/>
        <w:kinsoku/>
        <w:wordWrap/>
        <w:overflowPunct/>
        <w:topLinePunct w:val="0"/>
        <w:autoSpaceDE/>
        <w:autoSpaceDN/>
        <w:bidi w:val="0"/>
        <w:adjustRightInd/>
        <w:spacing w:line="360" w:lineRule="auto"/>
        <w:ind w:left="315" w:hanging="315"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7、其他保障：</w:t>
      </w:r>
    </w:p>
    <w:p>
      <w:pPr>
        <w:keepNext w:val="0"/>
        <w:keepLines w:val="0"/>
        <w:pageBreakBefore w:val="0"/>
        <w:widowControl/>
        <w:kinsoku/>
        <w:wordWrap/>
        <w:overflowPunct/>
        <w:topLinePunct w:val="0"/>
        <w:autoSpaceDE/>
        <w:autoSpaceDN/>
        <w:bidi w:val="0"/>
        <w:adjustRightInd/>
        <w:spacing w:line="360" w:lineRule="auto"/>
        <w:ind w:left="315" w:leftChars="100" w:hanging="105" w:hangingChars="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（1）在服务期内，如设备厂家对内镜主机系统有免费软件升级服务时，投标人应免费提供；</w:t>
      </w:r>
    </w:p>
    <w:p>
      <w:pPr>
        <w:keepNext w:val="0"/>
        <w:keepLines w:val="0"/>
        <w:pageBreakBefore w:val="0"/>
        <w:widowControl/>
        <w:kinsoku/>
        <w:wordWrap/>
        <w:overflowPunct/>
        <w:topLinePunct w:val="0"/>
        <w:autoSpaceDE/>
        <w:autoSpaceDN/>
        <w:bidi w:val="0"/>
        <w:adjustRightInd/>
        <w:spacing w:line="360" w:lineRule="auto"/>
        <w:ind w:left="315" w:leftChars="100" w:hanging="105" w:hangingChars="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（2）对采购人内镜中心的主机提供每年1次定期维护、保养、校正服务（PM SERVICE），包括设备安全检查，质量检查，状态检查，除尘保养，确保设备处于正常工作状态，并提供完整的书面维保报告。</w:t>
      </w:r>
    </w:p>
    <w:p>
      <w:pPr>
        <w:keepNext w:val="0"/>
        <w:keepLines w:val="0"/>
        <w:pageBreakBefore w:val="0"/>
        <w:widowControl/>
        <w:kinsoku/>
        <w:wordWrap/>
        <w:overflowPunct/>
        <w:topLinePunct w:val="0"/>
        <w:autoSpaceDE/>
        <w:autoSpaceDN/>
        <w:bidi w:val="0"/>
        <w:adjustRightInd/>
        <w:spacing w:line="360" w:lineRule="auto"/>
        <w:ind w:left="315" w:hanging="316" w:hangingChars="150"/>
        <w:textAlignment w:val="auto"/>
        <w:rPr>
          <w:rFonts w:hint="eastAsia" w:ascii="仿宋" w:hAnsi="仿宋" w:eastAsia="仿宋" w:cs="仿宋"/>
          <w:color w:val="auto"/>
          <w:kern w:val="0"/>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color w:val="auto"/>
          <w:kern w:val="0"/>
          <w:sz w:val="21"/>
          <w:szCs w:val="21"/>
          <w:highlight w:val="none"/>
        </w:rPr>
        <w:t>8、其他要求：</w:t>
      </w:r>
    </w:p>
    <w:p>
      <w:pPr>
        <w:keepNext w:val="0"/>
        <w:keepLines w:val="0"/>
        <w:pageBreakBefore w:val="0"/>
        <w:widowControl/>
        <w:kinsoku/>
        <w:wordWrap/>
        <w:overflowPunct/>
        <w:topLinePunct w:val="0"/>
        <w:autoSpaceDE/>
        <w:autoSpaceDN/>
        <w:bidi w:val="0"/>
        <w:adjustRightInd/>
        <w:spacing w:line="360" w:lineRule="auto"/>
        <w:ind w:left="315" w:leftChars="100" w:hanging="105" w:hangingChars="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（1）投标人应承诺承担在服务期间伴随产生的所有人工费、差旅费和更换配件费等所有费用。</w:t>
      </w:r>
    </w:p>
    <w:p>
      <w:pPr>
        <w:keepNext w:val="0"/>
        <w:keepLines w:val="0"/>
        <w:pageBreakBefore w:val="0"/>
        <w:widowControl/>
        <w:kinsoku/>
        <w:wordWrap/>
        <w:overflowPunct/>
        <w:topLinePunct w:val="0"/>
        <w:autoSpaceDE/>
        <w:autoSpaceDN/>
        <w:bidi w:val="0"/>
        <w:adjustRightInd/>
        <w:spacing w:line="360" w:lineRule="auto"/>
        <w:ind w:left="315" w:leftChars="100" w:hanging="105" w:hangingChars="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（2）如果投标人在单次故障维修时间超过 15个工作日，采购人可以请其他设备服务商进行维修服务，由此发生的一切费用由投标人承担。</w:t>
      </w:r>
    </w:p>
    <w:p>
      <w:pPr>
        <w:keepNext w:val="0"/>
        <w:keepLines w:val="0"/>
        <w:pageBreakBefore w:val="0"/>
        <w:widowControl/>
        <w:kinsoku/>
        <w:wordWrap/>
        <w:overflowPunct/>
        <w:topLinePunct w:val="0"/>
        <w:autoSpaceDE/>
        <w:autoSpaceDN/>
        <w:bidi w:val="0"/>
        <w:adjustRightInd/>
        <w:spacing w:line="360" w:lineRule="auto"/>
        <w:ind w:left="315" w:leftChars="100" w:hanging="105" w:hangingChars="5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（3）在维修过程中，若因投标人的维修人员疏忽失误造成设备损坏，资料、软件丢失等意外情况，投标人应承诺赔付造成的直接损失。</w:t>
      </w:r>
    </w:p>
    <w:p>
      <w:pPr>
        <w:pStyle w:val="40"/>
        <w:keepNext w:val="0"/>
        <w:keepLines w:val="0"/>
        <w:pageBreakBefore w:val="0"/>
        <w:numPr>
          <w:ilvl w:val="0"/>
          <w:numId w:val="0"/>
        </w:numPr>
        <w:kinsoku/>
        <w:wordWrap/>
        <w:overflowPunct/>
        <w:topLinePunct w:val="0"/>
        <w:autoSpaceDE/>
        <w:autoSpaceDN/>
        <w:bidi w:val="0"/>
        <w:adjustRightInd/>
        <w:spacing w:line="360" w:lineRule="auto"/>
        <w:ind w:firstLine="210" w:firstLineChars="100"/>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（4）对每条镜子每年维保费用进行单独报价，合计总价。</w:t>
      </w:r>
    </w:p>
    <w:p>
      <w:pPr>
        <w:pStyle w:val="40"/>
        <w:keepNext w:val="0"/>
        <w:keepLines w:val="0"/>
        <w:pageBreakBefore w:val="0"/>
        <w:numPr>
          <w:ilvl w:val="0"/>
          <w:numId w:val="0"/>
        </w:numPr>
        <w:kinsoku/>
        <w:wordWrap/>
        <w:overflowPunct/>
        <w:topLinePunct w:val="0"/>
        <w:autoSpaceDE/>
        <w:autoSpaceDN/>
        <w:bidi w:val="0"/>
        <w:adjustRightInd/>
        <w:spacing w:line="360" w:lineRule="auto"/>
        <w:ind w:firstLine="211" w:firstLineChars="100"/>
        <w:textAlignment w:val="auto"/>
        <w:rPr>
          <w:rFonts w:hint="eastAsia" w:ascii="仿宋" w:hAnsi="仿宋" w:eastAsia="仿宋" w:cs="仿宋"/>
          <w:b/>
          <w:bCs/>
          <w:color w:val="auto"/>
          <w:kern w:val="0"/>
          <w:sz w:val="21"/>
          <w:szCs w:val="21"/>
          <w:highlight w:val="none"/>
          <w:lang w:eastAsia="zh-CN"/>
        </w:rPr>
      </w:pPr>
      <w:r>
        <w:rPr>
          <w:rFonts w:hint="eastAsia" w:ascii="仿宋" w:hAnsi="仿宋" w:eastAsia="仿宋" w:cs="仿宋"/>
          <w:b/>
          <w:bCs/>
          <w:color w:val="auto"/>
          <w:kern w:val="0"/>
          <w:sz w:val="21"/>
          <w:szCs w:val="21"/>
          <w:highlight w:val="none"/>
          <w:lang w:eastAsia="zh-CN"/>
        </w:rPr>
        <w:t>三、付款方式</w:t>
      </w:r>
    </w:p>
    <w:p>
      <w:pPr>
        <w:keepNext w:val="0"/>
        <w:keepLines w:val="0"/>
        <w:pageBreakBefore w:val="0"/>
        <w:widowControl/>
        <w:kinsoku/>
        <w:wordWrap/>
        <w:overflowPunct/>
        <w:topLinePunct w:val="0"/>
        <w:autoSpaceDE/>
        <w:autoSpaceDN/>
        <w:bidi w:val="0"/>
        <w:adjustRightInd/>
        <w:spacing w:line="360" w:lineRule="auto"/>
        <w:ind w:firstLine="210" w:firstLineChars="1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kern w:val="0"/>
          <w:szCs w:val="21"/>
          <w:highlight w:val="none"/>
        </w:rPr>
        <w:t>按年支付；每年保修期结束，发票财务入账后，1个月内支付。</w:t>
      </w:r>
    </w:p>
    <w:p>
      <w:pPr>
        <w:keepNext w:val="0"/>
        <w:keepLines w:val="0"/>
        <w:pageBreakBefore w:val="0"/>
        <w:kinsoku/>
        <w:wordWrap/>
        <w:overflowPunct/>
        <w:topLinePunct w:val="0"/>
        <w:autoSpaceDE/>
        <w:autoSpaceDN/>
        <w:bidi w:val="0"/>
        <w:adjustRightInd/>
        <w:spacing w:after="0" w:line="360" w:lineRule="auto"/>
        <w:ind w:firstLine="210" w:firstLineChars="100"/>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合同</w:t>
      </w:r>
      <w:r>
        <w:rPr>
          <w:rFonts w:hint="eastAsia" w:ascii="仿宋" w:hAnsi="仿宋" w:eastAsia="仿宋" w:cs="仿宋"/>
          <w:color w:val="auto"/>
          <w:sz w:val="21"/>
          <w:szCs w:val="21"/>
          <w:highlight w:val="none"/>
          <w:lang w:val="en-US" w:eastAsia="zh-CN"/>
        </w:rPr>
        <w:t>签订后</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60天</w:t>
      </w:r>
      <w:r>
        <w:rPr>
          <w:rFonts w:hint="eastAsia" w:ascii="仿宋" w:hAnsi="仿宋" w:eastAsia="仿宋" w:cs="仿宋"/>
          <w:color w:val="auto"/>
          <w:sz w:val="21"/>
          <w:szCs w:val="21"/>
          <w:highlight w:val="none"/>
          <w:lang w:eastAsia="zh-CN"/>
        </w:rPr>
        <w:t>支付本年度保修费用的</w:t>
      </w:r>
      <w:r>
        <w:rPr>
          <w:rFonts w:hint="eastAsia" w:ascii="仿宋" w:hAnsi="仿宋" w:eastAsia="仿宋" w:cs="仿宋"/>
          <w:color w:val="auto"/>
          <w:sz w:val="21"/>
          <w:szCs w:val="21"/>
          <w:highlight w:val="none"/>
          <w:lang w:val="en-US" w:eastAsia="zh-CN"/>
        </w:rPr>
        <w:t>50%，本年度保修服务结束后，根据医院的考核结果支付剩余</w:t>
      </w:r>
      <w:r>
        <w:rPr>
          <w:rFonts w:hint="eastAsia" w:ascii="仿宋" w:hAnsi="仿宋" w:eastAsia="仿宋" w:cs="仿宋"/>
          <w:color w:val="auto"/>
          <w:sz w:val="21"/>
          <w:szCs w:val="21"/>
          <w:highlight w:val="none"/>
          <w:lang w:eastAsia="zh-CN"/>
        </w:rPr>
        <w:t>保修费用的</w:t>
      </w:r>
      <w:r>
        <w:rPr>
          <w:rFonts w:hint="eastAsia" w:ascii="仿宋" w:hAnsi="仿宋" w:eastAsia="仿宋" w:cs="仿宋"/>
          <w:color w:val="auto"/>
          <w:sz w:val="21"/>
          <w:szCs w:val="21"/>
          <w:highlight w:val="none"/>
          <w:lang w:val="en-US" w:eastAsia="zh-CN"/>
        </w:rPr>
        <w:t>50%</w:t>
      </w:r>
      <w:r>
        <w:rPr>
          <w:rFonts w:hint="eastAsia" w:ascii="仿宋" w:hAnsi="仿宋" w:eastAsia="仿宋" w:cs="仿宋"/>
          <w:color w:val="auto"/>
          <w:sz w:val="21"/>
          <w:szCs w:val="21"/>
          <w:highlight w:val="none"/>
          <w:lang w:eastAsia="zh-CN"/>
        </w:rPr>
        <w:t>。</w:t>
      </w:r>
    </w:p>
    <w:p>
      <w:pPr>
        <w:pStyle w:val="40"/>
        <w:keepNext w:val="0"/>
        <w:keepLines w:val="0"/>
        <w:pageBreakBefore w:val="0"/>
        <w:widowControl w:val="0"/>
        <w:numPr>
          <w:ilvl w:val="0"/>
          <w:numId w:val="0"/>
        </w:numPr>
        <w:kinsoku/>
        <w:wordWrap/>
        <w:overflowPunct/>
        <w:topLinePunct w:val="0"/>
        <w:autoSpaceDE/>
        <w:autoSpaceDN/>
        <w:bidi w:val="0"/>
        <w:adjustRightInd/>
        <w:spacing w:line="360" w:lineRule="auto"/>
        <w:ind w:firstLine="211" w:firstLineChars="100"/>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四、考核</w:t>
      </w:r>
    </w:p>
    <w:p>
      <w:pPr>
        <w:keepNext w:val="0"/>
        <w:keepLines w:val="0"/>
        <w:pageBreakBefore w:val="0"/>
        <w:widowControl w:val="0"/>
        <w:kinsoku/>
        <w:wordWrap/>
        <w:overflowPunct/>
        <w:topLinePunct w:val="0"/>
        <w:autoSpaceDE/>
        <w:autoSpaceDN/>
        <w:bidi w:val="0"/>
        <w:adjustRightInd/>
        <w:spacing w:after="0" w:line="360" w:lineRule="auto"/>
        <w:ind w:firstLine="210" w:firstLineChars="1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采购人应对中标方提供的</w:t>
      </w:r>
      <w:r>
        <w:rPr>
          <w:rFonts w:hint="eastAsia" w:ascii="仿宋" w:hAnsi="仿宋" w:eastAsia="仿宋" w:cs="仿宋"/>
          <w:color w:val="auto"/>
          <w:sz w:val="21"/>
          <w:szCs w:val="21"/>
          <w:highlight w:val="none"/>
          <w:lang w:val="en-US"/>
        </w:rPr>
        <w:t>维保</w:t>
      </w:r>
      <w:r>
        <w:rPr>
          <w:rFonts w:hint="eastAsia" w:ascii="仿宋" w:hAnsi="仿宋" w:eastAsia="仿宋" w:cs="仿宋"/>
          <w:color w:val="auto"/>
          <w:sz w:val="21"/>
          <w:szCs w:val="21"/>
          <w:highlight w:val="none"/>
        </w:rPr>
        <w:t>服务质量，服度态度进行全面考核，考核合格方可支付服务费用，考核标准参照：《绍兴市</w:t>
      </w:r>
      <w:r>
        <w:rPr>
          <w:rFonts w:hint="eastAsia" w:ascii="仿宋" w:hAnsi="仿宋" w:eastAsia="仿宋" w:cs="仿宋"/>
          <w:color w:val="auto"/>
          <w:sz w:val="21"/>
          <w:szCs w:val="21"/>
          <w:highlight w:val="none"/>
          <w:lang w:eastAsia="zh-CN"/>
        </w:rPr>
        <w:t>中</w:t>
      </w:r>
      <w:r>
        <w:rPr>
          <w:rFonts w:hint="eastAsia" w:ascii="仿宋" w:hAnsi="仿宋" w:eastAsia="仿宋" w:cs="仿宋"/>
          <w:color w:val="auto"/>
          <w:sz w:val="21"/>
          <w:szCs w:val="21"/>
          <w:highlight w:val="none"/>
        </w:rPr>
        <w:t>医院</w:t>
      </w:r>
      <w:r>
        <w:rPr>
          <w:rFonts w:hint="eastAsia" w:ascii="仿宋" w:hAnsi="仿宋" w:eastAsia="仿宋" w:cs="仿宋"/>
          <w:color w:val="auto"/>
          <w:sz w:val="21"/>
          <w:szCs w:val="21"/>
          <w:highlight w:val="none"/>
          <w:lang w:val="en-US"/>
        </w:rPr>
        <w:t>医疗设备维保</w:t>
      </w:r>
      <w:r>
        <w:rPr>
          <w:rFonts w:hint="eastAsia" w:ascii="仿宋" w:hAnsi="仿宋" w:eastAsia="仿宋" w:cs="仿宋"/>
          <w:color w:val="auto"/>
          <w:sz w:val="21"/>
          <w:szCs w:val="21"/>
          <w:highlight w:val="none"/>
        </w:rPr>
        <w:t>服务考核管理办法》。</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36"/>
          <w:szCs w:val="36"/>
          <w:highlight w:val="none"/>
        </w:rPr>
      </w:pPr>
    </w:p>
    <w:p>
      <w:pPr>
        <w:pStyle w:val="40"/>
        <w:rPr>
          <w:rFonts w:hint="eastAsia"/>
          <w:color w:val="auto"/>
          <w:highlight w:val="none"/>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1"/>
          <w:szCs w:val="21"/>
          <w:highlight w:val="none"/>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绍兴市</w:t>
      </w:r>
      <w:r>
        <w:rPr>
          <w:rFonts w:hint="eastAsia" w:ascii="仿宋" w:hAnsi="仿宋" w:eastAsia="仿宋" w:cs="仿宋"/>
          <w:b/>
          <w:bCs/>
          <w:color w:val="auto"/>
          <w:kern w:val="2"/>
          <w:sz w:val="21"/>
          <w:szCs w:val="21"/>
          <w:highlight w:val="none"/>
          <w:lang w:eastAsia="zh-CN"/>
        </w:rPr>
        <w:t>中</w:t>
      </w:r>
      <w:r>
        <w:rPr>
          <w:rFonts w:hint="eastAsia" w:ascii="仿宋" w:hAnsi="仿宋" w:eastAsia="仿宋" w:cs="仿宋"/>
          <w:b/>
          <w:bCs/>
          <w:color w:val="auto"/>
          <w:kern w:val="2"/>
          <w:sz w:val="21"/>
          <w:szCs w:val="21"/>
          <w:highlight w:val="none"/>
        </w:rPr>
        <w:t>医院</w:t>
      </w:r>
      <w:r>
        <w:rPr>
          <w:rFonts w:hint="eastAsia" w:ascii="仿宋" w:hAnsi="仿宋" w:eastAsia="仿宋" w:cs="仿宋"/>
          <w:b/>
          <w:bCs/>
          <w:color w:val="auto"/>
          <w:kern w:val="2"/>
          <w:sz w:val="21"/>
          <w:szCs w:val="21"/>
          <w:highlight w:val="none"/>
          <w:u w:val="single"/>
          <w:lang w:val="en-US" w:eastAsia="zh-CN"/>
        </w:rPr>
        <w:t xml:space="preserve">   </w:t>
      </w:r>
      <w:r>
        <w:rPr>
          <w:rFonts w:hint="eastAsia" w:ascii="仿宋" w:hAnsi="仿宋" w:eastAsia="仿宋" w:cs="仿宋"/>
          <w:b/>
          <w:bCs/>
          <w:color w:val="auto"/>
          <w:kern w:val="2"/>
          <w:sz w:val="21"/>
          <w:szCs w:val="21"/>
          <w:highlight w:val="none"/>
        </w:rPr>
        <w:t>医疗设备维保服务考核管理办法</w:t>
      </w:r>
    </w:p>
    <w:p>
      <w:pPr>
        <w:pStyle w:val="33"/>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仿宋" w:hAnsi="仿宋" w:eastAsia="仿宋" w:cs="仿宋"/>
          <w:color w:val="auto"/>
          <w:sz w:val="21"/>
          <w:szCs w:val="21"/>
          <w:highlight w:val="none"/>
        </w:rPr>
      </w:pP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为加强管理，提升维保服务质量，确保维保服务规范化运作，保障临床工作的顺利开展，特制定如下考核细则： </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医疗设备维保服务工作，由绍兴市</w:t>
      </w:r>
      <w:r>
        <w:rPr>
          <w:rFonts w:hint="eastAsia" w:ascii="仿宋" w:hAnsi="仿宋" w:eastAsia="仿宋" w:cs="仿宋"/>
          <w:color w:val="auto"/>
          <w:sz w:val="21"/>
          <w:szCs w:val="21"/>
          <w:highlight w:val="none"/>
          <w:lang w:eastAsia="zh-CN"/>
        </w:rPr>
        <w:t>中</w:t>
      </w:r>
      <w:r>
        <w:rPr>
          <w:rFonts w:hint="eastAsia" w:ascii="仿宋" w:hAnsi="仿宋" w:eastAsia="仿宋" w:cs="仿宋"/>
          <w:color w:val="auto"/>
          <w:sz w:val="21"/>
          <w:szCs w:val="21"/>
          <w:highlight w:val="none"/>
        </w:rPr>
        <w:t>医院设备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负责监管，考核小组负责日常管理，各涉及科室配合、协助监管。</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考核小组：设备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成立维保服务考核小组，设备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长任组长，小组成员由全体工程师担任，考核小组负责日常监管和年度考核。</w:t>
      </w:r>
    </w:p>
    <w:p>
      <w:pPr>
        <w:pStyle w:val="33"/>
        <w:spacing w:after="0"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考核采用百分制，对服务质量和满意度进行年度考核，设备处考核小组打分，详见附表。</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考核的最终结果作为医院向维保服务公司支付费用依据，具体如下：综合考核结果9</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分以上（含9</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分）的按合同全额支付；综合考核结果低于9</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分，每下降1分，扣款</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000元，直至80分；综合考核结果低于80分，下降1分，扣款</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000元，直至60分，并予以书面警告；综合考核评价低于60分，终止合同，并承担相应违约责任。</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考核内容详见《绍兴市</w:t>
      </w:r>
      <w:r>
        <w:rPr>
          <w:rFonts w:hint="eastAsia" w:ascii="仿宋" w:hAnsi="仿宋" w:eastAsia="仿宋" w:cs="仿宋"/>
          <w:color w:val="auto"/>
          <w:sz w:val="21"/>
          <w:szCs w:val="21"/>
          <w:highlight w:val="none"/>
          <w:lang w:eastAsia="zh-CN"/>
        </w:rPr>
        <w:t>中</w:t>
      </w:r>
      <w:r>
        <w:rPr>
          <w:rFonts w:hint="eastAsia" w:ascii="仿宋" w:hAnsi="仿宋" w:eastAsia="仿宋" w:cs="仿宋"/>
          <w:color w:val="auto"/>
          <w:sz w:val="21"/>
          <w:szCs w:val="21"/>
          <w:highlight w:val="none"/>
        </w:rPr>
        <w:t>医院</w:t>
      </w:r>
      <w:r>
        <w:rPr>
          <w:rFonts w:hint="eastAsia" w:ascii="仿宋" w:hAnsi="仿宋" w:eastAsia="仿宋" w:cs="仿宋"/>
          <w:color w:val="auto"/>
          <w:sz w:val="21"/>
          <w:szCs w:val="21"/>
          <w:highlight w:val="none"/>
          <w:lang w:val="zh-CN"/>
        </w:rPr>
        <w:t>医疗设备</w:t>
      </w:r>
      <w:r>
        <w:rPr>
          <w:rFonts w:hint="eastAsia" w:ascii="仿宋" w:hAnsi="仿宋" w:eastAsia="仿宋" w:cs="仿宋"/>
          <w:color w:val="auto"/>
          <w:sz w:val="21"/>
          <w:szCs w:val="21"/>
          <w:highlight w:val="none"/>
        </w:rPr>
        <w:t>维保服务考核表》，本考核事宜解释权为设备</w:t>
      </w:r>
      <w:r>
        <w:rPr>
          <w:rFonts w:hint="eastAsia" w:ascii="仿宋" w:hAnsi="仿宋" w:eastAsia="仿宋" w:cs="仿宋"/>
          <w:color w:val="auto"/>
          <w:sz w:val="21"/>
          <w:szCs w:val="21"/>
          <w:highlight w:val="none"/>
          <w:lang w:eastAsia="zh-CN"/>
        </w:rPr>
        <w:t>科</w:t>
      </w:r>
      <w:r>
        <w:rPr>
          <w:rFonts w:hint="eastAsia" w:ascii="仿宋" w:hAnsi="仿宋" w:eastAsia="仿宋" w:cs="仿宋"/>
          <w:color w:val="auto"/>
          <w:sz w:val="21"/>
          <w:szCs w:val="21"/>
          <w:highlight w:val="none"/>
        </w:rPr>
        <w:t>。</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其他分项考核（除考核表规定内容外）：</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1)维保服务公司在服务过程中未按标准执行而引起临床科室或病人投诉的，经调查情况属实的，每发生1起扣除1000元；</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2)维保服务公司在服务过程未按标准执行而引起医疗纠纷及事故的，每发生1起扣除</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000元，并承担相应赔偿责任；</w:t>
      </w:r>
    </w:p>
    <w:p>
      <w:pPr>
        <w:pStyle w:val="33"/>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3)在上级部门检查中，因维保服务公司原因受到书面通报批评或被新闻媒体曝光批评的，每发生1起扣除</w:t>
      </w:r>
      <w:r>
        <w:rPr>
          <w:rFonts w:hint="eastAsia" w:ascii="仿宋" w:hAnsi="仿宋" w:eastAsia="仿宋" w:cs="仿宋"/>
          <w:color w:val="auto"/>
          <w:sz w:val="21"/>
          <w:szCs w:val="21"/>
          <w:highlight w:val="none"/>
          <w:lang w:val="en-US" w:eastAsia="zh-CN"/>
        </w:rPr>
        <w:t>5000</w:t>
      </w:r>
      <w:r>
        <w:rPr>
          <w:rFonts w:hint="eastAsia" w:ascii="仿宋" w:hAnsi="仿宋" w:eastAsia="仿宋" w:cs="仿宋"/>
          <w:color w:val="auto"/>
          <w:sz w:val="21"/>
          <w:szCs w:val="21"/>
          <w:highlight w:val="none"/>
        </w:rPr>
        <w:t>元，医院可单方面终止合同；</w:t>
      </w:r>
    </w:p>
    <w:p>
      <w:pPr>
        <w:widowControl w:val="0"/>
        <w:spacing w:after="0" w:line="240" w:lineRule="auto"/>
        <w:jc w:val="center"/>
        <w:rPr>
          <w:rFonts w:hint="eastAsia" w:ascii="仿宋" w:hAnsi="仿宋" w:eastAsia="仿宋" w:cs="仿宋"/>
          <w:b/>
          <w:bCs/>
          <w:color w:val="auto"/>
          <w:kern w:val="2"/>
          <w:sz w:val="21"/>
          <w:szCs w:val="21"/>
          <w:highlight w:val="none"/>
        </w:rPr>
      </w:pPr>
    </w:p>
    <w:p>
      <w:pPr>
        <w:widowControl w:val="0"/>
        <w:spacing w:after="0" w:line="240" w:lineRule="auto"/>
        <w:jc w:val="center"/>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绍兴市</w:t>
      </w:r>
      <w:r>
        <w:rPr>
          <w:rFonts w:hint="eastAsia" w:ascii="仿宋" w:hAnsi="仿宋" w:eastAsia="仿宋" w:cs="仿宋"/>
          <w:b/>
          <w:bCs/>
          <w:color w:val="auto"/>
          <w:kern w:val="2"/>
          <w:sz w:val="21"/>
          <w:szCs w:val="21"/>
          <w:highlight w:val="none"/>
          <w:lang w:eastAsia="zh-CN"/>
        </w:rPr>
        <w:t>中</w:t>
      </w:r>
      <w:r>
        <w:rPr>
          <w:rFonts w:hint="eastAsia" w:ascii="仿宋" w:hAnsi="仿宋" w:eastAsia="仿宋" w:cs="仿宋"/>
          <w:b/>
          <w:bCs/>
          <w:color w:val="auto"/>
          <w:kern w:val="2"/>
          <w:sz w:val="21"/>
          <w:szCs w:val="21"/>
          <w:highlight w:val="none"/>
        </w:rPr>
        <w:t>医院</w:t>
      </w:r>
      <w:r>
        <w:rPr>
          <w:rFonts w:hint="eastAsia" w:ascii="仿宋" w:hAnsi="仿宋" w:eastAsia="仿宋" w:cs="仿宋"/>
          <w:b/>
          <w:bCs/>
          <w:color w:val="auto"/>
          <w:kern w:val="2"/>
          <w:sz w:val="21"/>
          <w:szCs w:val="21"/>
          <w:highlight w:val="none"/>
          <w:lang w:val="en-US" w:eastAsia="zh-CN"/>
        </w:rPr>
        <w:t xml:space="preserve">  </w:t>
      </w:r>
      <w:r>
        <w:rPr>
          <w:rFonts w:hint="eastAsia" w:ascii="仿宋" w:hAnsi="仿宋" w:eastAsia="仿宋" w:cs="仿宋"/>
          <w:b/>
          <w:bCs/>
          <w:color w:val="auto"/>
          <w:kern w:val="2"/>
          <w:sz w:val="21"/>
          <w:szCs w:val="21"/>
          <w:highlight w:val="none"/>
          <w:lang w:val="zh-CN"/>
        </w:rPr>
        <w:t>医疗设备</w:t>
      </w:r>
      <w:r>
        <w:rPr>
          <w:rFonts w:hint="eastAsia" w:ascii="仿宋" w:hAnsi="仿宋" w:eastAsia="仿宋" w:cs="仿宋"/>
          <w:b/>
          <w:bCs/>
          <w:color w:val="auto"/>
          <w:kern w:val="2"/>
          <w:sz w:val="21"/>
          <w:szCs w:val="21"/>
          <w:highlight w:val="none"/>
        </w:rPr>
        <w:t>维保服务考核表</w:t>
      </w:r>
    </w:p>
    <w:p>
      <w:pPr>
        <w:widowControl w:val="0"/>
        <w:spacing w:after="0" w:line="240" w:lineRule="auto"/>
        <w:jc w:val="both"/>
        <w:rPr>
          <w:rFonts w:hint="eastAsia" w:ascii="仿宋" w:hAnsi="仿宋" w:eastAsia="仿宋" w:cs="仿宋"/>
          <w:color w:val="auto"/>
          <w:kern w:val="2"/>
          <w:sz w:val="21"/>
          <w:szCs w:val="21"/>
          <w:highlight w:val="none"/>
        </w:rPr>
      </w:pPr>
    </w:p>
    <w:p>
      <w:pPr>
        <w:widowControl w:val="0"/>
        <w:spacing w:after="0" w:line="240" w:lineRule="auto"/>
        <w:jc w:val="both"/>
        <w:rPr>
          <w:rFonts w:hint="eastAsia" w:ascii="仿宋" w:hAnsi="仿宋" w:eastAsia="仿宋" w:cs="仿宋"/>
          <w:color w:val="auto"/>
          <w:kern w:val="2"/>
          <w:sz w:val="21"/>
          <w:szCs w:val="21"/>
          <w:highlight w:val="none"/>
        </w:rPr>
      </w:pPr>
    </w:p>
    <w:tbl>
      <w:tblPr>
        <w:tblStyle w:val="6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合同编号</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科室</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服务公司</w:t>
            </w:r>
          </w:p>
        </w:tc>
        <w:tc>
          <w:tcPr>
            <w:tcW w:w="3826"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c>
          <w:tcPr>
            <w:tcW w:w="2175"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联系人及联系方式</w:t>
            </w:r>
          </w:p>
        </w:tc>
        <w:tc>
          <w:tcPr>
            <w:tcW w:w="1674"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考核周期</w:t>
            </w:r>
          </w:p>
        </w:tc>
        <w:tc>
          <w:tcPr>
            <w:tcW w:w="7675" w:type="dxa"/>
            <w:gridSpan w:val="3"/>
            <w:noWrap w:val="0"/>
            <w:vAlign w:val="center"/>
          </w:tcPr>
          <w:p>
            <w:pPr>
              <w:widowControl w:val="0"/>
              <w:spacing w:after="0" w:line="240" w:lineRule="auto"/>
              <w:jc w:val="left"/>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noWrap w:val="0"/>
            <w:vAlign w:val="center"/>
          </w:tcPr>
          <w:p>
            <w:pPr>
              <w:widowControl w:val="0"/>
              <w:spacing w:after="0" w:line="240" w:lineRule="auto"/>
              <w:jc w:val="both"/>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对照检测服务双方约定条款，实际履行情况（附检测记录）：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序号</w:t>
            </w:r>
          </w:p>
        </w:tc>
        <w:tc>
          <w:tcPr>
            <w:tcW w:w="3826" w:type="dxa"/>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评价内容（总分100分）</w:t>
            </w:r>
          </w:p>
        </w:tc>
        <w:tc>
          <w:tcPr>
            <w:tcW w:w="3849" w:type="dxa"/>
            <w:gridSpan w:val="2"/>
            <w:noWrap w:val="0"/>
            <w:vAlign w:val="center"/>
          </w:tcPr>
          <w:p>
            <w:pPr>
              <w:widowControl w:val="0"/>
              <w:spacing w:after="0" w:line="240" w:lineRule="auto"/>
              <w:jc w:val="center"/>
              <w:rPr>
                <w:rFonts w:hint="eastAsia" w:ascii="仿宋" w:hAnsi="仿宋" w:eastAsia="仿宋" w:cs="仿宋"/>
                <w:b/>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设备维修服务响应速度（15分）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2</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定期维护（PM等）服务完成率</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3</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配件质量与供应能力（15分）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4</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完好率保障情况（10分）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5</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单次维修报告提供情况（10分）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6</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维保年度总结报告质量（10分）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7</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维修人员操作规范化程度（10分）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8</w:t>
            </w:r>
          </w:p>
        </w:tc>
        <w:tc>
          <w:tcPr>
            <w:tcW w:w="3826" w:type="dxa"/>
            <w:noWrap w:val="0"/>
            <w:vAlign w:val="center"/>
          </w:tcPr>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维修服务满意度（20分）</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综合考评结果</w:t>
            </w:r>
          </w:p>
        </w:tc>
        <w:tc>
          <w:tcPr>
            <w:tcW w:w="3849" w:type="dxa"/>
            <w:gridSpan w:val="2"/>
            <w:noWrap w:val="0"/>
            <w:vAlign w:val="center"/>
          </w:tcPr>
          <w:p>
            <w:pPr>
              <w:widowControl w:val="0"/>
              <w:spacing w:after="0" w:line="240" w:lineRule="auto"/>
              <w:jc w:val="center"/>
              <w:rPr>
                <w:rFonts w:hint="eastAsia" w:ascii="仿宋" w:hAnsi="仿宋" w:eastAsia="仿宋" w:cs="仿宋"/>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noWrap w:val="0"/>
            <w:vAlign w:val="top"/>
          </w:tcPr>
          <w:p>
            <w:pPr>
              <w:widowControl w:val="0"/>
              <w:spacing w:after="0" w:line="240" w:lineRule="auto"/>
              <w:jc w:val="both"/>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改进意见及建议：</w:t>
            </w:r>
          </w:p>
        </w:tc>
      </w:tr>
    </w:tbl>
    <w:p>
      <w:pPr>
        <w:widowControl w:val="0"/>
        <w:spacing w:after="0" w:line="240" w:lineRule="auto"/>
        <w:jc w:val="left"/>
        <w:rPr>
          <w:rFonts w:hint="eastAsia" w:ascii="仿宋" w:hAnsi="仿宋" w:eastAsia="仿宋" w:cs="仿宋"/>
          <w:color w:val="auto"/>
          <w:kern w:val="2"/>
          <w:sz w:val="21"/>
          <w:szCs w:val="21"/>
          <w:highlight w:val="none"/>
        </w:rPr>
      </w:pPr>
    </w:p>
    <w:p>
      <w:pPr>
        <w:widowControl w:val="0"/>
        <w:spacing w:after="0" w:line="240" w:lineRule="auto"/>
        <w:jc w:val="left"/>
        <w:rPr>
          <w:rFonts w:hint="eastAsia" w:ascii="仿宋" w:hAnsi="仿宋" w:eastAsia="仿宋" w:cs="仿宋"/>
          <w:color w:val="auto"/>
          <w:kern w:val="2"/>
          <w:sz w:val="21"/>
          <w:szCs w:val="21"/>
          <w:highlight w:val="none"/>
        </w:rPr>
      </w:pPr>
    </w:p>
    <w:p>
      <w:pPr>
        <w:widowControl w:val="0"/>
        <w:spacing w:after="0" w:line="240" w:lineRule="auto"/>
        <w:jc w:val="left"/>
        <w:rPr>
          <w:rFonts w:hint="eastAsia" w:ascii="仿宋" w:hAnsi="仿宋" w:eastAsia="仿宋" w:cs="仿宋"/>
          <w:color w:val="auto"/>
          <w:kern w:val="2"/>
          <w:sz w:val="21"/>
          <w:szCs w:val="21"/>
          <w:highlight w:val="none"/>
        </w:rPr>
      </w:pPr>
    </w:p>
    <w:p>
      <w:pPr>
        <w:widowControl w:val="0"/>
        <w:spacing w:after="0" w:line="240" w:lineRule="auto"/>
        <w:jc w:val="left"/>
        <w:rPr>
          <w:rFonts w:hint="eastAsia" w:ascii="仿宋" w:hAnsi="仿宋" w:eastAsia="仿宋" w:cs="仿宋"/>
          <w:color w:val="auto"/>
          <w:kern w:val="2"/>
          <w:sz w:val="21"/>
          <w:szCs w:val="21"/>
          <w:highlight w:val="none"/>
          <w:u w:val="single"/>
        </w:rPr>
      </w:pPr>
      <w:r>
        <w:rPr>
          <w:rFonts w:hint="eastAsia" w:ascii="仿宋" w:hAnsi="仿宋" w:eastAsia="仿宋" w:cs="仿宋"/>
          <w:color w:val="auto"/>
          <w:kern w:val="2"/>
          <w:sz w:val="21"/>
          <w:szCs w:val="21"/>
          <w:highlight w:val="none"/>
        </w:rPr>
        <w:t>考评组员：</w:t>
      </w:r>
      <w:r>
        <w:rPr>
          <w:rFonts w:hint="eastAsia" w:ascii="仿宋" w:hAnsi="仿宋" w:eastAsia="仿宋" w:cs="仿宋"/>
          <w:color w:val="auto"/>
          <w:kern w:val="2"/>
          <w:sz w:val="21"/>
          <w:szCs w:val="21"/>
          <w:highlight w:val="none"/>
          <w:u w:val="single"/>
        </w:rPr>
        <w:t xml:space="preserve">            　　　　　　　　　    　　　 </w:t>
      </w:r>
      <w:r>
        <w:rPr>
          <w:rFonts w:hint="eastAsia" w:ascii="仿宋" w:hAnsi="仿宋" w:eastAsia="仿宋" w:cs="仿宋"/>
          <w:color w:val="auto"/>
          <w:kern w:val="2"/>
          <w:sz w:val="21"/>
          <w:szCs w:val="21"/>
          <w:highlight w:val="none"/>
        </w:rPr>
        <w:t xml:space="preserve"> 日期：</w:t>
      </w:r>
      <w:r>
        <w:rPr>
          <w:rFonts w:hint="eastAsia" w:ascii="仿宋" w:hAnsi="仿宋" w:eastAsia="仿宋" w:cs="仿宋"/>
          <w:color w:val="auto"/>
          <w:kern w:val="2"/>
          <w:sz w:val="21"/>
          <w:szCs w:val="21"/>
          <w:highlight w:val="none"/>
          <w:u w:val="single"/>
        </w:rPr>
        <w:t xml:space="preserve">            </w:t>
      </w:r>
    </w:p>
    <w:p>
      <w:pPr>
        <w:widowControl w:val="0"/>
        <w:spacing w:after="0" w:line="240" w:lineRule="auto"/>
        <w:jc w:val="left"/>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 xml:space="preserve">  </w:t>
      </w:r>
    </w:p>
    <w:p>
      <w:pPr>
        <w:widowControl w:val="0"/>
        <w:spacing w:after="0" w:line="240" w:lineRule="auto"/>
        <w:jc w:val="left"/>
        <w:rPr>
          <w:rFonts w:hint="eastAsia" w:ascii="仿宋" w:hAnsi="仿宋" w:eastAsia="仿宋" w:cs="仿宋"/>
          <w:color w:val="auto"/>
          <w:kern w:val="2"/>
          <w:sz w:val="21"/>
          <w:szCs w:val="21"/>
          <w:highlight w:val="none"/>
        </w:rPr>
      </w:pPr>
    </w:p>
    <w:p>
      <w:pPr>
        <w:widowControl w:val="0"/>
        <w:spacing w:after="0" w:line="240" w:lineRule="auto"/>
        <w:jc w:val="left"/>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rPr>
        <w:t>审核人：</w:t>
      </w:r>
      <w:r>
        <w:rPr>
          <w:rFonts w:hint="eastAsia" w:ascii="仿宋" w:hAnsi="仿宋" w:eastAsia="仿宋" w:cs="仿宋"/>
          <w:color w:val="auto"/>
          <w:kern w:val="2"/>
          <w:sz w:val="21"/>
          <w:szCs w:val="21"/>
          <w:highlight w:val="none"/>
          <w:u w:val="single"/>
        </w:rPr>
        <w:t xml:space="preserve">         　　　　　　　　　　　　　　     </w:t>
      </w:r>
      <w:r>
        <w:rPr>
          <w:rFonts w:hint="eastAsia" w:ascii="仿宋" w:hAnsi="仿宋" w:eastAsia="仿宋" w:cs="仿宋"/>
          <w:color w:val="auto"/>
          <w:kern w:val="2"/>
          <w:sz w:val="21"/>
          <w:szCs w:val="21"/>
          <w:highlight w:val="none"/>
        </w:rPr>
        <w:t xml:space="preserve">  日期：</w:t>
      </w:r>
      <w:r>
        <w:rPr>
          <w:rFonts w:hint="eastAsia" w:ascii="仿宋" w:hAnsi="仿宋" w:eastAsia="仿宋" w:cs="仿宋"/>
          <w:color w:val="auto"/>
          <w:kern w:val="2"/>
          <w:sz w:val="21"/>
          <w:szCs w:val="21"/>
          <w:highlight w:val="none"/>
          <w:u w:val="single"/>
        </w:rPr>
        <w:t xml:space="preserve">           </w:t>
      </w:r>
      <w:r>
        <w:rPr>
          <w:rFonts w:hint="eastAsia" w:ascii="仿宋" w:hAnsi="仿宋" w:eastAsia="仿宋" w:cs="仿宋"/>
          <w:color w:val="auto"/>
          <w:kern w:val="2"/>
          <w:sz w:val="21"/>
          <w:szCs w:val="21"/>
          <w:highlight w:val="none"/>
        </w:rPr>
        <w:t xml:space="preserve">             </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3"/>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2967"/>
      <w:bookmarkStart w:id="40" w:name="_Toc20421"/>
      <w:bookmarkStart w:id="41" w:name="_Toc28855"/>
      <w:bookmarkStart w:id="42" w:name="_Toc15367"/>
      <w:r>
        <w:rPr>
          <w:rFonts w:hint="eastAsia" w:ascii="仿宋" w:hAnsi="仿宋" w:eastAsia="仿宋" w:cs="仿宋"/>
          <w:b/>
          <w:color w:val="auto"/>
          <w:sz w:val="24"/>
          <w:highlight w:val="none"/>
        </w:rPr>
        <w:t>1.1 合同组成部分</w:t>
      </w:r>
      <w:bookmarkEnd w:id="38"/>
      <w:bookmarkEnd w:id="39"/>
      <w:bookmarkEnd w:id="40"/>
      <w:bookmarkEnd w:id="41"/>
      <w:bookmarkEnd w:id="4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18585"/>
      <w:bookmarkStart w:id="44" w:name="_Toc6773"/>
      <w:bookmarkStart w:id="45" w:name="_Toc6311"/>
      <w:bookmarkStart w:id="46" w:name="_Toc2918"/>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918"/>
      <w:bookmarkStart w:id="49" w:name="_Toc4929"/>
      <w:bookmarkStart w:id="50" w:name="_Toc1386"/>
      <w:bookmarkStart w:id="51" w:name="_Toc21124"/>
      <w:bookmarkStart w:id="52"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30506"/>
      <w:bookmarkStart w:id="54" w:name="_Toc3654"/>
      <w:bookmarkStart w:id="55" w:name="_Toc14993"/>
      <w:bookmarkStart w:id="56" w:name="_Toc30158"/>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31421"/>
      <w:bookmarkStart w:id="62" w:name="_Toc3625"/>
      <w:bookmarkStart w:id="63" w:name="_Toc8772"/>
      <w:bookmarkStart w:id="64" w:name="_Toc11108"/>
      <w:bookmarkStart w:id="65" w:name="_Toc4760"/>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4662"/>
      <w:bookmarkStart w:id="67" w:name="_Toc2375"/>
      <w:bookmarkStart w:id="68" w:name="_Toc3079"/>
      <w:bookmarkStart w:id="69" w:name="_Toc8586"/>
      <w:bookmarkStart w:id="70" w:name="_Toc5698"/>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9497"/>
      <w:bookmarkStart w:id="73" w:name="_Toc26807"/>
      <w:bookmarkStart w:id="74" w:name="_Toc32454"/>
      <w:bookmarkStart w:id="75" w:name="_Toc18683"/>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15583"/>
      <w:bookmarkStart w:id="77" w:name="_Toc28375"/>
      <w:bookmarkStart w:id="78" w:name="_Toc16021"/>
      <w:r>
        <w:rPr>
          <w:rFonts w:hint="eastAsia" w:ascii="仿宋" w:hAnsi="仿宋" w:eastAsia="仿宋" w:cs="仿宋"/>
          <w:b/>
          <w:color w:val="auto"/>
          <w:sz w:val="24"/>
          <w:highlight w:val="none"/>
        </w:rPr>
        <w:t>1.9合同争议的解决</w:t>
      </w:r>
      <w:bookmarkEnd w:id="76"/>
      <w:bookmarkEnd w:id="77"/>
      <w:bookmarkEnd w:id="7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2" w:name="_Toc19680"/>
      <w:bookmarkStart w:id="83" w:name="_Toc25079"/>
      <w:bookmarkStart w:id="84" w:name="_Toc5228"/>
      <w:bookmarkStart w:id="85" w:name="_Toc14021"/>
      <w:bookmarkStart w:id="86" w:name="_Toc31297"/>
      <w:r>
        <w:rPr>
          <w:rFonts w:hint="eastAsia" w:ascii="仿宋" w:hAnsi="仿宋" w:eastAsia="仿宋" w:cs="仿宋"/>
          <w:b/>
          <w:color w:val="auto"/>
          <w:sz w:val="24"/>
          <w:highlight w:val="none"/>
        </w:rPr>
        <w:t>2.1 定义</w:t>
      </w:r>
      <w:bookmarkEnd w:id="82"/>
      <w:bookmarkEnd w:id="83"/>
      <w:bookmarkEnd w:id="84"/>
      <w:bookmarkEnd w:id="85"/>
      <w:bookmarkEnd w:id="8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769"/>
      <w:bookmarkStart w:id="89" w:name="_Toc1953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9161"/>
      <w:bookmarkStart w:id="94" w:name="_Toc4133"/>
      <w:bookmarkStart w:id="95" w:name="_Toc12412"/>
      <w:bookmarkStart w:id="96" w:name="_Toc27945"/>
      <w:r>
        <w:rPr>
          <w:rFonts w:hint="eastAsia" w:ascii="仿宋" w:hAnsi="仿宋" w:eastAsia="仿宋" w:cs="仿宋"/>
          <w:b/>
          <w:color w:val="auto"/>
          <w:sz w:val="24"/>
          <w:highlight w:val="none"/>
        </w:rPr>
        <w:t>2.3 知识产权</w:t>
      </w:r>
      <w:bookmarkEnd w:id="92"/>
      <w:bookmarkEnd w:id="93"/>
      <w:bookmarkEnd w:id="94"/>
      <w:bookmarkEnd w:id="95"/>
      <w:bookmarkEnd w:id="9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97" w:name="_Toc31233"/>
      <w:bookmarkStart w:id="98" w:name="_Toc22011"/>
      <w:bookmarkStart w:id="99" w:name="_Toc26555"/>
      <w:bookmarkStart w:id="100" w:name="_Toc15447"/>
      <w:bookmarkStart w:id="101" w:name="_Toc32670"/>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2" w:name="_Toc18990"/>
      <w:bookmarkStart w:id="103" w:name="_Toc30507"/>
      <w:bookmarkStart w:id="104" w:name="_Toc16163"/>
      <w:bookmarkStart w:id="105" w:name="_Toc13467"/>
      <w:bookmarkStart w:id="106" w:name="_Toc13154"/>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10663"/>
      <w:bookmarkStart w:id="112" w:name="_Toc42"/>
      <w:bookmarkStart w:id="113" w:name="_Toc21830"/>
      <w:bookmarkStart w:id="114" w:name="_Toc23368"/>
      <w:r>
        <w:rPr>
          <w:rFonts w:hint="eastAsia" w:ascii="仿宋" w:hAnsi="仿宋" w:eastAsia="仿宋" w:cs="仿宋"/>
          <w:b/>
          <w:color w:val="auto"/>
          <w:sz w:val="24"/>
          <w:highlight w:val="none"/>
        </w:rPr>
        <w:t>2.10 合同转让和分包</w:t>
      </w:r>
      <w:bookmarkEnd w:id="110"/>
      <w:bookmarkEnd w:id="111"/>
      <w:bookmarkEnd w:id="112"/>
      <w:bookmarkEnd w:id="113"/>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6633"/>
      <w:bookmarkStart w:id="117" w:name="_Toc25571"/>
      <w:bookmarkStart w:id="118" w:name="_Toc4720"/>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0" w:name="_Toc24465"/>
      <w:bookmarkStart w:id="121" w:name="_Toc23854"/>
      <w:bookmarkStart w:id="122" w:name="_Toc14115"/>
      <w:bookmarkStart w:id="123" w:name="_Toc25783"/>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25" w:name="_Toc30105"/>
      <w:bookmarkStart w:id="126" w:name="_Toc7315"/>
      <w:bookmarkStart w:id="127" w:name="_Toc14814"/>
      <w:bookmarkStart w:id="128" w:name="_Toc26883"/>
      <w:bookmarkStart w:id="129" w:name="_Toc25525"/>
      <w:r>
        <w:rPr>
          <w:rFonts w:hint="eastAsia" w:ascii="仿宋" w:hAnsi="仿宋" w:eastAsia="仿宋" w:cs="仿宋"/>
          <w:b/>
          <w:color w:val="auto"/>
          <w:sz w:val="24"/>
          <w:highlight w:val="none"/>
        </w:rPr>
        <w:t>2.13 乙方破产</w:t>
      </w:r>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016"/>
      <w:bookmarkStart w:id="131" w:name="_Toc1123"/>
      <w:bookmarkStart w:id="132" w:name="_Toc23323"/>
      <w:r>
        <w:rPr>
          <w:rFonts w:hint="eastAsia" w:ascii="仿宋" w:hAnsi="仿宋" w:eastAsia="仿宋" w:cs="仿宋"/>
          <w:b/>
          <w:color w:val="auto"/>
          <w:sz w:val="24"/>
          <w:highlight w:val="none"/>
        </w:rPr>
        <w:t>2.14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4525"/>
      <w:bookmarkStart w:id="134" w:name="_Toc1969"/>
      <w:bookmarkStart w:id="135" w:name="_Toc17363"/>
      <w:r>
        <w:rPr>
          <w:rFonts w:hint="eastAsia" w:ascii="仿宋" w:hAnsi="仿宋" w:eastAsia="仿宋" w:cs="仿宋"/>
          <w:b/>
          <w:color w:val="auto"/>
          <w:sz w:val="24"/>
          <w:highlight w:val="none"/>
        </w:rPr>
        <w:t>2.15 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36" w:name="_Toc25198"/>
      <w:bookmarkStart w:id="137" w:name="_Toc12666"/>
      <w:bookmarkStart w:id="138" w:name="_Toc2308"/>
      <w:bookmarkStart w:id="139" w:name="_Toc9808"/>
      <w:bookmarkStart w:id="140" w:name="_Toc31892"/>
      <w:r>
        <w:rPr>
          <w:rFonts w:hint="eastAsia" w:ascii="仿宋" w:hAnsi="仿宋" w:eastAsia="仿宋" w:cs="仿宋"/>
          <w:b/>
          <w:color w:val="auto"/>
          <w:sz w:val="24"/>
          <w:highlight w:val="none"/>
        </w:rPr>
        <w:t>2.16 通知和送达</w:t>
      </w:r>
      <w:bookmarkEnd w:id="136"/>
      <w:bookmarkEnd w:id="137"/>
      <w:bookmarkEnd w:id="138"/>
      <w:bookmarkEnd w:id="139"/>
      <w:bookmarkEnd w:id="140"/>
    </w:p>
    <w:p>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pPr>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27644"/>
      <w:bookmarkStart w:id="145" w:name="_Toc20808"/>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8567"/>
      <w:bookmarkStart w:id="153" w:name="_Toc10330"/>
      <w:bookmarkStart w:id="154" w:name="_Toc12773"/>
      <w:bookmarkStart w:id="155" w:name="_Toc279701263"/>
      <w:bookmarkStart w:id="156" w:name="_Toc259093692"/>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default" w:ascii="仿宋" w:hAnsi="仿宋" w:eastAsia="仿宋" w:cs="仿宋"/>
          <w:b/>
          <w:bCs/>
          <w:iCs/>
          <w:color w:val="auto"/>
          <w:sz w:val="24"/>
          <w:highlight w:val="none"/>
          <w:lang w:val="en-US" w:eastAsia="zh-CN"/>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1</w:t>
      </w:r>
      <w:r>
        <w:rPr>
          <w:rFonts w:hint="eastAsia" w:ascii="仿宋" w:hAnsi="仿宋" w:eastAsia="仿宋" w:cs="仿宋"/>
          <w:b/>
          <w:color w:val="auto"/>
          <w:sz w:val="24"/>
          <w:szCs w:val="24"/>
          <w:highlight w:val="none"/>
          <w:bdr w:val="single" w:color="auto" w:sz="4" w:space="0"/>
        </w:rPr>
        <w:t>标</w:t>
      </w:r>
    </w:p>
    <w:tbl>
      <w:tblPr>
        <w:tblStyle w:val="62"/>
        <w:tblW w:w="51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8023"/>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序号</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评 分 说 明</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400" w:lineRule="exact"/>
              <w:jc w:val="center"/>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投标人技术力量、企业资质等对履行本项目的满足程度和保障性。</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2021年1月1日至投标文件递交截止时间（以合同签订时间为准），同类纯水系统维保服务项目业绩情况，每提供一个业绩得1分，本项得分不超过2分。注：须在投标文件中提供合同复印件加盖供应商公章。（未按规定提供证明材料的类似业绩不予认可）</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417"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上述提供的同类项目业绩中具有业主反馈材料的：每提供一份满意反馈证明材料得1分；得分可累计，得分不超过2分；未提供的不得分。注：业主反馈表须加盖业主单位公章或相关科室章，且反馈材料中能体现评审需要的要素（反馈表格式不限）。</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投标人具有质量管理体系认证证书、环境管理体系认证证书以及职业健康安全管理体系认证证书的，每提供一个证书复印件得1分。</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纯水系统维修保养方案：</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（1）投标方案与需求的吻合程度以及方案的优势情况，包括方案的科学性、可靠性、成熟性、合理性等；（</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拟</w:t>
            </w:r>
            <w:r>
              <w:rPr>
                <w:rFonts w:hint="eastAsia" w:ascii="仿宋" w:hAnsi="仿宋" w:eastAsia="仿宋" w:cs="仿宋"/>
                <w:color w:val="auto"/>
                <w:sz w:val="21"/>
                <w:szCs w:val="21"/>
                <w:highlight w:val="none"/>
              </w:rPr>
              <w:t>投入使用的维保机械设备</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rPr>
              <w:t>提供发票及</w:t>
            </w:r>
            <w:r>
              <w:rPr>
                <w:rFonts w:hint="eastAsia" w:ascii="仿宋" w:hAnsi="仿宋" w:eastAsia="仿宋" w:cs="仿宋"/>
                <w:color w:val="auto"/>
                <w:sz w:val="21"/>
                <w:szCs w:val="21"/>
                <w:highlight w:val="none"/>
                <w:lang w:eastAsia="zh-CN"/>
              </w:rPr>
              <w:t>图片</w:t>
            </w:r>
            <w:r>
              <w:rPr>
                <w:rFonts w:hint="eastAsia" w:ascii="仿宋" w:hAnsi="仿宋" w:eastAsia="仿宋" w:cs="仿宋"/>
                <w:color w:val="auto"/>
                <w:sz w:val="21"/>
                <w:szCs w:val="21"/>
                <w:highlight w:val="none"/>
              </w:rPr>
              <w:t>等证明材料</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（3）提供关于耗材采购、保管、使用的方案，对方案的科学性、可行性、合理性等进行评审；（</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（4）维护保养方案对设备安全防护、正常运行的保障程度情况进行评审；（</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val="zh-CN"/>
              </w:rPr>
              <w:t>建立运行服务保障应急预案，方案对系统实施可能遇到的问题及其应对措施进行评审。</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（6）投标人是否建立定期巡检制度和运行情况报告制度，定期出具巡检和运行情况报告；是否建立服务档案和解决方案资料库等工作台帐等；（</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（1）投标人是否具有完备的管理组织、项目实施规范和管理制度，是否有完善的质量管理体系，并能有效实施；（</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（2）拟派项目负责人具有执业证书、类似项目经验、职称证书等情况进行评审；（</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（3）项目组成员组织结构形式及整体人员的素质、技术能力、专业分布、经验等情况；（</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（4）人员数量安排合理性情况。（</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注：提供人员信息、证书复印件、提供社保证明以及相关评审要素材料。</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所提供的各项服务承诺：</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（1）有利于招标人及项目实施的服务承诺及其可行性、完整性。（</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（2）未履行服务承诺的惩罚措施。（</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提供的维保耗材的品牌档次及技术参数的优劣情况进行评审（</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rPr>
              <w:t>5分）。</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4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p>
        </w:tc>
        <w:tc>
          <w:tcPr>
            <w:tcW w:w="415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按投标人所在地或距离招标人最便捷的固定售后服务机构及其响应速度等有利于招标人的情况。（提供营业执照或固定售后服务机构的资料）</w:t>
            </w:r>
          </w:p>
        </w:tc>
        <w:tc>
          <w:tcPr>
            <w:tcW w:w="4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right="-21" w:rightChars="-10"/>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0"/>
          <w:szCs w:val="20"/>
          <w:highlight w:val="none"/>
          <w:shd w:val="clear" w:color="auto" w:fill="FFFFFF"/>
          <w:lang w:val="en-US"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2</w:t>
      </w:r>
      <w:r>
        <w:rPr>
          <w:rFonts w:hint="eastAsia" w:ascii="仿宋" w:hAnsi="仿宋" w:eastAsia="仿宋" w:cs="仿宋"/>
          <w:b/>
          <w:color w:val="auto"/>
          <w:sz w:val="24"/>
          <w:szCs w:val="24"/>
          <w:highlight w:val="none"/>
          <w:bdr w:val="single" w:color="auto" w:sz="4" w:space="0"/>
        </w:rPr>
        <w:t>标</w:t>
      </w:r>
    </w:p>
    <w:tbl>
      <w:tblPr>
        <w:tblStyle w:val="62"/>
        <w:tblW w:w="96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371"/>
        <w:gridCol w:w="6793"/>
        <w:gridCol w:w="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序号</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评分内容</w:t>
            </w:r>
          </w:p>
        </w:tc>
        <w:tc>
          <w:tcPr>
            <w:tcW w:w="6793" w:type="dxa"/>
            <w:noWrap w:val="0"/>
            <w:vAlign w:val="top"/>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评 分 说 明</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主要技术参数响应性</w:t>
            </w:r>
          </w:p>
        </w:tc>
        <w:tc>
          <w:tcPr>
            <w:tcW w:w="6793"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满足招标文件要求的得</w:t>
            </w:r>
            <w:r>
              <w:rPr>
                <w:rFonts w:hint="eastAsia" w:ascii="仿宋" w:hAnsi="仿宋" w:eastAsia="仿宋" w:cs="仿宋"/>
                <w:color w:val="auto"/>
                <w:sz w:val="21"/>
                <w:szCs w:val="21"/>
                <w:highlight w:val="none"/>
                <w:lang w:val="en-US" w:eastAsia="zh-CN"/>
              </w:rPr>
              <w:t>30</w:t>
            </w:r>
            <w:r>
              <w:rPr>
                <w:rFonts w:hint="eastAsia" w:ascii="仿宋" w:hAnsi="仿宋" w:eastAsia="仿宋" w:cs="仿宋"/>
                <w:color w:val="auto"/>
                <w:sz w:val="21"/>
                <w:szCs w:val="21"/>
                <w:highlight w:val="none"/>
              </w:rPr>
              <w:t>分，打“▲”号的指标为主要功能、配置，如出现负偏离每项扣4分；其他一般性指标每有一项负偏离的扣2分，扣完为止。</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承诺</w:t>
            </w:r>
          </w:p>
        </w:tc>
        <w:tc>
          <w:tcPr>
            <w:tcW w:w="6793" w:type="dxa"/>
            <w:noWrap w:val="0"/>
            <w:vAlign w:val="center"/>
          </w:tcPr>
          <w:p>
            <w:pPr>
              <w:keepNext w:val="0"/>
              <w:keepLines w:val="0"/>
              <w:pageBreakBefore w:val="0"/>
              <w:widowControl/>
              <w:kinsoku/>
              <w:wordWrap/>
              <w:overflowPunct/>
              <w:topLinePunct w:val="0"/>
              <w:autoSpaceDE/>
              <w:autoSpaceDN/>
              <w:bidi w:val="0"/>
              <w:adjustRightInd/>
              <w:snapToGrid/>
              <w:spacing w:after="0"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投标人中标后承诺</w:t>
            </w:r>
            <w:r>
              <w:rPr>
                <w:rFonts w:hint="eastAsia" w:ascii="仿宋" w:hAnsi="仿宋" w:eastAsia="仿宋" w:cs="仿宋"/>
                <w:color w:val="auto"/>
                <w:sz w:val="21"/>
                <w:szCs w:val="21"/>
                <w:highlight w:val="none"/>
              </w:rPr>
              <w:t>提供厂家授权资质的得</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未承诺不得分</w:t>
            </w:r>
            <w:r>
              <w:rPr>
                <w:rFonts w:hint="eastAsia" w:ascii="仿宋" w:hAnsi="仿宋" w:eastAsia="仿宋" w:cs="仿宋"/>
                <w:color w:val="auto"/>
                <w:sz w:val="21"/>
                <w:szCs w:val="21"/>
                <w:highlight w:val="none"/>
              </w:rPr>
              <w:t>。</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企业实力</w:t>
            </w:r>
          </w:p>
        </w:tc>
        <w:tc>
          <w:tcPr>
            <w:tcW w:w="6793" w:type="dxa"/>
            <w:noWrap w:val="0"/>
            <w:vAlign w:val="center"/>
          </w:tcPr>
          <w:p>
            <w:pPr>
              <w:keepNext w:val="0"/>
              <w:keepLines w:val="0"/>
              <w:pageBreakBefore w:val="0"/>
              <w:widowControl/>
              <w:numPr>
                <w:ilvl w:val="0"/>
                <w:numId w:val="6"/>
              </w:numPr>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根据投标单位供货能力、信誉度、服务承诺、响应承诺等情况，由专家酌情打分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p>
          <w:p>
            <w:pPr>
              <w:keepNext w:val="0"/>
              <w:keepLines w:val="0"/>
              <w:pageBreakBefore w:val="0"/>
              <w:widowControl/>
              <w:numPr>
                <w:ilvl w:val="0"/>
                <w:numId w:val="6"/>
              </w:numPr>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提供用户服务满意度反馈表，每提供一份反馈结果为满意及以上的得1分，最高得5分，同一用户不重复计取。</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保修、保养服务方案</w:t>
            </w:r>
          </w:p>
        </w:tc>
        <w:tc>
          <w:tcPr>
            <w:tcW w:w="6793"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根据投标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提供的保修服务内容、保养服务方案；提供远程服务和远程监控方案，客户服务专线电话服务内容和方案；是否具有较强的专业技术队伍，能提供快速的售后服务响应等。</w:t>
            </w:r>
          </w:p>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根据</w:t>
            </w:r>
            <w:r>
              <w:rPr>
                <w:rFonts w:hint="eastAsia" w:ascii="仿宋" w:hAnsi="仿宋" w:eastAsia="仿宋" w:cs="仿宋"/>
                <w:color w:val="auto"/>
                <w:sz w:val="21"/>
                <w:szCs w:val="21"/>
                <w:highlight w:val="none"/>
                <w:lang w:eastAsia="zh-CN"/>
              </w:rPr>
              <w:t>各投标人</w:t>
            </w:r>
            <w:r>
              <w:rPr>
                <w:rFonts w:hint="eastAsia" w:ascii="仿宋" w:hAnsi="仿宋" w:eastAsia="仿宋" w:cs="仿宋"/>
                <w:color w:val="auto"/>
                <w:sz w:val="21"/>
                <w:szCs w:val="21"/>
                <w:highlight w:val="none"/>
              </w:rPr>
              <w:t>的响应情况综合</w:t>
            </w:r>
            <w:r>
              <w:rPr>
                <w:rFonts w:hint="eastAsia" w:ascii="仿宋" w:hAnsi="仿宋" w:eastAsia="仿宋" w:cs="仿宋"/>
                <w:color w:val="auto"/>
                <w:sz w:val="21"/>
                <w:szCs w:val="21"/>
                <w:highlight w:val="none"/>
                <w:lang w:eastAsia="zh-CN"/>
              </w:rPr>
              <w:t>评审</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0-9分</w:t>
            </w:r>
            <w:r>
              <w:rPr>
                <w:rFonts w:hint="eastAsia" w:ascii="仿宋" w:hAnsi="仿宋" w:eastAsia="仿宋" w:cs="仿宋"/>
                <w:color w:val="auto"/>
                <w:sz w:val="21"/>
                <w:szCs w:val="21"/>
                <w:highlight w:val="none"/>
              </w:rPr>
              <w:t>。</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3" w:leftChars="-6" w:right="42" w:rightChars="20" w:firstLine="12" w:firstLineChars="6"/>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投标人业绩</w:t>
            </w:r>
          </w:p>
        </w:tc>
        <w:tc>
          <w:tcPr>
            <w:tcW w:w="6793"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20</w:t>
            </w:r>
            <w:r>
              <w:rPr>
                <w:rFonts w:hint="eastAsia" w:ascii="仿宋" w:hAnsi="仿宋" w:eastAsia="仿宋" w:cs="仿宋"/>
                <w:color w:val="auto"/>
                <w:sz w:val="21"/>
                <w:szCs w:val="21"/>
                <w:highlight w:val="none"/>
                <w:lang w:val="en-US" w:eastAsia="zh-CN"/>
              </w:rPr>
              <w:t>21</w:t>
            </w:r>
            <w:r>
              <w:rPr>
                <w:rFonts w:hint="eastAsia" w:ascii="仿宋" w:hAnsi="仿宋" w:eastAsia="仿宋" w:cs="仿宋"/>
                <w:color w:val="auto"/>
                <w:sz w:val="21"/>
                <w:szCs w:val="21"/>
                <w:highlight w:val="none"/>
              </w:rPr>
              <w:t>年1月至今案例合同</w:t>
            </w:r>
            <w:r>
              <w:rPr>
                <w:rFonts w:hint="eastAsia" w:ascii="仿宋" w:hAnsi="仿宋" w:eastAsia="仿宋" w:cs="仿宋"/>
                <w:color w:val="auto"/>
                <w:sz w:val="21"/>
                <w:szCs w:val="21"/>
                <w:highlight w:val="none"/>
                <w:lang w:eastAsia="zh-CN"/>
              </w:rPr>
              <w:t>（以合同签订时间为准），</w:t>
            </w:r>
            <w:r>
              <w:rPr>
                <w:rFonts w:hint="eastAsia" w:ascii="仿宋" w:hAnsi="仿宋" w:eastAsia="仿宋" w:cs="仿宋"/>
                <w:color w:val="auto"/>
                <w:sz w:val="21"/>
                <w:szCs w:val="21"/>
                <w:highlight w:val="none"/>
              </w:rPr>
              <w:t>根据投标人所提供的同类产品案例合同，每有一份得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，提供合同复印件加盖投标人盖章，未提供不得分</w:t>
            </w:r>
            <w:r>
              <w:rPr>
                <w:rFonts w:hint="eastAsia" w:ascii="仿宋" w:hAnsi="仿宋" w:eastAsia="仿宋" w:cs="仿宋"/>
                <w:color w:val="auto"/>
                <w:sz w:val="21"/>
                <w:szCs w:val="21"/>
                <w:highlight w:val="none"/>
              </w:rPr>
              <w:t>。</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备品备件及零配件情况</w:t>
            </w:r>
          </w:p>
        </w:tc>
        <w:tc>
          <w:tcPr>
            <w:tcW w:w="6793"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投标人承诺</w:t>
            </w:r>
            <w:r>
              <w:rPr>
                <w:rFonts w:hint="eastAsia" w:ascii="仿宋" w:hAnsi="仿宋" w:eastAsia="仿宋" w:cs="仿宋"/>
                <w:color w:val="auto"/>
                <w:sz w:val="21"/>
                <w:szCs w:val="21"/>
                <w:highlight w:val="none"/>
              </w:rPr>
              <w:t>在镜子维修时能及时（14天内）提供相应备品备件（镜子）的得8分；除镜子以外配套设备故障时也能提供相同型号备品备件（主机、光源等）的得8分，总分16分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eastAsia="zh-CN"/>
              </w:rPr>
              <w:t>未承诺不得分。</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人员保障</w:t>
            </w:r>
          </w:p>
        </w:tc>
        <w:tc>
          <w:tcPr>
            <w:tcW w:w="6793" w:type="dxa"/>
            <w:noWrap w:val="0"/>
            <w:vAlign w:val="center"/>
          </w:tcPr>
          <w:p>
            <w:pPr>
              <w:keepNext w:val="0"/>
              <w:keepLines w:val="0"/>
              <w:pageBreakBefore w:val="0"/>
              <w:widowControl/>
              <w:tabs>
                <w:tab w:val="right" w:pos="5525"/>
              </w:tabs>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在满足招标文件要求的基础上，</w:t>
            </w:r>
            <w:r>
              <w:rPr>
                <w:rFonts w:hint="eastAsia" w:ascii="仿宋" w:hAnsi="仿宋" w:eastAsia="仿宋" w:cs="仿宋"/>
                <w:color w:val="auto"/>
                <w:sz w:val="21"/>
                <w:szCs w:val="21"/>
                <w:highlight w:val="none"/>
              </w:rPr>
              <w:t>专业技术工程师</w:t>
            </w:r>
            <w:r>
              <w:rPr>
                <w:rFonts w:hint="eastAsia" w:ascii="仿宋" w:hAnsi="仿宋" w:eastAsia="仿宋" w:cs="仿宋"/>
                <w:color w:val="auto"/>
                <w:sz w:val="21"/>
                <w:szCs w:val="21"/>
                <w:highlight w:val="none"/>
                <w:lang w:eastAsia="zh-CN"/>
              </w:rPr>
              <w:t>每增加</w:t>
            </w:r>
            <w:r>
              <w:rPr>
                <w:rFonts w:hint="eastAsia" w:ascii="仿宋" w:hAnsi="仿宋" w:eastAsia="仿宋" w:cs="仿宋"/>
                <w:color w:val="auto"/>
                <w:sz w:val="21"/>
                <w:szCs w:val="21"/>
                <w:highlight w:val="none"/>
                <w:lang w:val="en-US" w:eastAsia="zh-CN"/>
              </w:rPr>
              <w:t>1名得2分，最高得6分，提供相关证书复印件加盖投标人公章，未提供不得分。</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27"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w:t>
            </w:r>
          </w:p>
        </w:tc>
        <w:tc>
          <w:tcPr>
            <w:tcW w:w="1371" w:type="dxa"/>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其他优惠承诺</w:t>
            </w:r>
          </w:p>
        </w:tc>
        <w:tc>
          <w:tcPr>
            <w:tcW w:w="6793" w:type="dxa"/>
            <w:noWrap w:val="0"/>
            <w:vAlign w:val="center"/>
          </w:tcPr>
          <w:p>
            <w:pPr>
              <w:keepNext w:val="0"/>
              <w:keepLines w:val="0"/>
              <w:pageBreakBefore w:val="0"/>
              <w:widowControl/>
              <w:kinsoku/>
              <w:wordWrap/>
              <w:overflowPunct/>
              <w:topLinePunct w:val="0"/>
              <w:autoSpaceDE/>
              <w:autoSpaceDN/>
              <w:bidi w:val="0"/>
              <w:adjustRightInd/>
              <w:snapToGrid/>
              <w:spacing w:after="0" w:line="36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投标人</w:t>
            </w:r>
            <w:r>
              <w:rPr>
                <w:rFonts w:hint="eastAsia" w:ascii="仿宋" w:hAnsi="仿宋" w:eastAsia="仿宋" w:cs="仿宋"/>
                <w:color w:val="auto"/>
                <w:sz w:val="21"/>
                <w:szCs w:val="21"/>
                <w:highlight w:val="none"/>
              </w:rPr>
              <w:t>根据自身的能力，提供各种服务</w:t>
            </w:r>
            <w:r>
              <w:rPr>
                <w:rFonts w:hint="eastAsia" w:ascii="仿宋" w:hAnsi="仿宋" w:eastAsia="仿宋" w:cs="仿宋"/>
                <w:color w:val="auto"/>
                <w:sz w:val="21"/>
                <w:szCs w:val="21"/>
                <w:highlight w:val="none"/>
                <w:lang w:eastAsia="zh-CN"/>
              </w:rPr>
              <w:t>承诺，</w:t>
            </w:r>
            <w:r>
              <w:rPr>
                <w:rFonts w:hint="eastAsia" w:ascii="仿宋" w:hAnsi="仿宋" w:eastAsia="仿宋" w:cs="仿宋"/>
                <w:color w:val="auto"/>
                <w:sz w:val="21"/>
                <w:szCs w:val="21"/>
                <w:highlight w:val="none"/>
                <w:lang w:val="en-US" w:eastAsia="zh-CN"/>
              </w:rPr>
              <w:t>0-4分</w:t>
            </w:r>
            <w:r>
              <w:rPr>
                <w:rFonts w:hint="eastAsia" w:ascii="仿宋" w:hAnsi="仿宋" w:eastAsia="仿宋" w:cs="仿宋"/>
                <w:color w:val="auto"/>
                <w:sz w:val="21"/>
                <w:szCs w:val="21"/>
                <w:highlight w:val="none"/>
              </w:rPr>
              <w:t>。</w:t>
            </w:r>
          </w:p>
        </w:tc>
        <w:tc>
          <w:tcPr>
            <w:tcW w:w="750" w:type="dxa"/>
            <w:noWrap w:val="0"/>
            <w:vAlign w:val="center"/>
          </w:tcPr>
          <w:p>
            <w:pPr>
              <w:keepNext w:val="0"/>
              <w:keepLines w:val="0"/>
              <w:pageBreakBefore w:val="0"/>
              <w:kinsoku/>
              <w:wordWrap/>
              <w:overflowPunct/>
              <w:topLinePunct w:val="0"/>
              <w:autoSpaceDE/>
              <w:autoSpaceDN/>
              <w:bidi w:val="0"/>
              <w:adjustRightInd/>
              <w:snapToGrid/>
              <w:spacing w:line="360" w:lineRule="exact"/>
              <w:ind w:left="-115" w:leftChars="-55" w:right="-115" w:rightChars="-55"/>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4</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7"/>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7"/>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4"/>
        <w:numPr>
          <w:ilvl w:val="0"/>
          <w:numId w:val="7"/>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4"/>
        <w:numPr>
          <w:ilvl w:val="0"/>
          <w:numId w:val="7"/>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4"/>
        <w:numPr>
          <w:ilvl w:val="0"/>
          <w:numId w:val="7"/>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4"/>
        <w:numPr>
          <w:ilvl w:val="0"/>
          <w:numId w:val="7"/>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lang w:eastAsia="zh-CN"/>
        </w:rPr>
      </w:pPr>
    </w:p>
    <w:p>
      <w:pPr>
        <w:pStyle w:val="80"/>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w:t>
      </w:r>
      <w:r>
        <w:rPr>
          <w:rFonts w:hint="eastAsia" w:ascii="仿宋" w:hAnsi="仿宋" w:eastAsia="仿宋" w:cs="仿宋"/>
          <w:b/>
          <w:color w:val="auto"/>
          <w:kern w:val="0"/>
          <w:sz w:val="24"/>
          <w:highlight w:val="none"/>
          <w:lang w:val="en-US" w:eastAsia="zh-CN"/>
        </w:rPr>
        <w:t>--01标</w:t>
      </w:r>
      <w:r>
        <w:rPr>
          <w:rFonts w:hint="eastAsia" w:ascii="仿宋" w:hAnsi="仿宋" w:eastAsia="仿宋" w:cs="仿宋"/>
          <w:b/>
          <w:color w:val="auto"/>
          <w:kern w:val="0"/>
          <w:sz w:val="24"/>
          <w:highlight w:val="none"/>
          <w:lang w:val="zh-CN"/>
        </w:rPr>
        <w:t>（报价表）(单位均为人民币元)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i w:val="0"/>
                <w:iCs w:val="0"/>
                <w:color w:val="auto"/>
                <w:kern w:val="0"/>
                <w:sz w:val="21"/>
                <w:szCs w:val="21"/>
                <w:highlight w:val="none"/>
                <w:u w:val="none"/>
                <w:lang w:val="en-US" w:eastAsia="zh-CN" w:bidi="ar"/>
              </w:rPr>
              <w:t>常规耗材</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i w:val="0"/>
                <w:iCs w:val="0"/>
                <w:color w:val="auto"/>
                <w:kern w:val="0"/>
                <w:sz w:val="21"/>
                <w:szCs w:val="21"/>
                <w:highlight w:val="none"/>
                <w:u w:val="none"/>
                <w:lang w:val="en-US" w:eastAsia="zh-CN" w:bidi="ar"/>
              </w:rPr>
              <w:t>非常规耗材</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w:t>
      </w:r>
      <w:r>
        <w:rPr>
          <w:rFonts w:hint="eastAsia" w:ascii="仿宋" w:hAnsi="仿宋" w:eastAsia="仿宋" w:cs="仿宋"/>
          <w:b/>
          <w:color w:val="auto"/>
          <w:kern w:val="0"/>
          <w:sz w:val="24"/>
          <w:highlight w:val="none"/>
          <w:lang w:val="en-US" w:eastAsia="zh-CN"/>
        </w:rPr>
        <w:t>--01标</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lang w:val="zh-CN" w:eastAsia="zh-CN"/>
        </w:rPr>
        <w:t>非常规耗材</w:t>
      </w:r>
      <w:r>
        <w:rPr>
          <w:rFonts w:hint="eastAsia" w:ascii="仿宋" w:hAnsi="仿宋" w:eastAsia="仿宋" w:cs="仿宋"/>
          <w:b/>
          <w:color w:val="auto"/>
          <w:kern w:val="0"/>
          <w:sz w:val="24"/>
          <w:highlight w:val="none"/>
          <w:lang w:val="zh-CN"/>
        </w:rPr>
        <w:t>明细表）(单位均为人民币元)</w:t>
      </w:r>
    </w:p>
    <w:tbl>
      <w:tblPr>
        <w:tblStyle w:val="62"/>
        <w:tblW w:w="4621" w:type="pct"/>
        <w:tblInd w:w="6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2"/>
        <w:gridCol w:w="849"/>
        <w:gridCol w:w="3105"/>
        <w:gridCol w:w="3246"/>
        <w:gridCol w:w="1118"/>
        <w:gridCol w:w="875"/>
        <w:gridCol w:w="975"/>
        <w:gridCol w:w="1200"/>
        <w:gridCol w:w="1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09"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序号</w:t>
            </w:r>
          </w:p>
        </w:tc>
        <w:tc>
          <w:tcPr>
            <w:tcW w:w="3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名称</w:t>
            </w:r>
          </w:p>
        </w:tc>
        <w:tc>
          <w:tcPr>
            <w:tcW w:w="115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规格</w:t>
            </w:r>
          </w:p>
        </w:tc>
        <w:tc>
          <w:tcPr>
            <w:tcW w:w="1208"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说明</w:t>
            </w:r>
          </w:p>
        </w:tc>
        <w:tc>
          <w:tcPr>
            <w:tcW w:w="416"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上限单价</w:t>
            </w:r>
          </w:p>
        </w:tc>
        <w:tc>
          <w:tcPr>
            <w:tcW w:w="325" w:type="pct"/>
            <w:tcBorders>
              <w:top w:val="single" w:color="000000" w:sz="4" w:space="0"/>
              <w:left w:val="single" w:color="000000" w:sz="4" w:space="0"/>
              <w:bottom w:val="single" w:color="000000" w:sz="4" w:space="0"/>
              <w:right w:val="single" w:color="000000" w:sz="4" w:space="0"/>
            </w:tcBorders>
            <w:shd w:val="clear" w:color="auto" w:fill="FFFFFF" w:themeFill="background1"/>
            <w:noWrap w:val="0"/>
            <w:vAlign w:val="center"/>
          </w:tcPr>
          <w:p>
            <w:pPr>
              <w:keepNext w:val="0"/>
              <w:keepLines w:val="0"/>
              <w:widowControl/>
              <w:suppressLineNumbers w:val="0"/>
              <w:jc w:val="center"/>
              <w:textAlignment w:val="top"/>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数量</w:t>
            </w:r>
          </w:p>
        </w:tc>
        <w:tc>
          <w:tcPr>
            <w:tcW w:w="362"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单位</w:t>
            </w:r>
          </w:p>
        </w:tc>
        <w:tc>
          <w:tcPr>
            <w:tcW w:w="446"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单价（元/公斤）</w:t>
            </w:r>
          </w:p>
        </w:tc>
        <w:tc>
          <w:tcPr>
            <w:tcW w:w="458"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总价（元/次）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94" w:type="pct"/>
            <w:gridSpan w:val="7"/>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一、非常规耗材（更换周期2年以上，需更换时单独付费）</w:t>
            </w:r>
          </w:p>
        </w:tc>
        <w:tc>
          <w:tcPr>
            <w:tcW w:w="446"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p>
        </w:tc>
        <w:tc>
          <w:tcPr>
            <w:tcW w:w="458" w:type="pct"/>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left"/>
              <w:textAlignment w:val="bottom"/>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石英砂</w:t>
            </w:r>
          </w:p>
        </w:tc>
        <w:tc>
          <w:tcPr>
            <w:tcW w:w="11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0.6-4mm，精制石英砂</w:t>
            </w:r>
          </w:p>
        </w:tc>
        <w:tc>
          <w:tcPr>
            <w:tcW w:w="12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机械过滤器维保；手动冲洗后，压差仍大于初始值0.1MPa，或根据产水水质决定是否更换。</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¥5.00</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2100</w:t>
            </w:r>
          </w:p>
        </w:tc>
        <w:tc>
          <w:tcPr>
            <w:tcW w:w="3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公斤/次</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树脂</w:t>
            </w:r>
          </w:p>
        </w:tc>
        <w:tc>
          <w:tcPr>
            <w:tcW w:w="11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001*7，食品卫生级软化树脂</w:t>
            </w:r>
          </w:p>
        </w:tc>
        <w:tc>
          <w:tcPr>
            <w:tcW w:w="12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软化器维保；手动再生后，出水硬度仍不合格, 或根据产水水质决定是否更换。</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¥25.00</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1200</w:t>
            </w:r>
          </w:p>
        </w:tc>
        <w:tc>
          <w:tcPr>
            <w:tcW w:w="3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升/次</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活性炭填料</w:t>
            </w:r>
          </w:p>
        </w:tc>
        <w:tc>
          <w:tcPr>
            <w:tcW w:w="11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椰壳，碘吸附值≥1000，强度≥96％，粒度：8-20目，水分≤10％，pH：6-9，表面密度：0.5-0.55g/ML</w:t>
            </w:r>
          </w:p>
        </w:tc>
        <w:tc>
          <w:tcPr>
            <w:tcW w:w="12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炭滤器维保；手动冲洗后，出水余氯仍不合格, 或根据产水水质决定是否更换。</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¥30.00</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700</w:t>
            </w:r>
          </w:p>
        </w:tc>
        <w:tc>
          <w:tcPr>
            <w:tcW w:w="3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公斤/次</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5" w:hRule="atLeast"/>
        </w:trPr>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反渗膜</w:t>
            </w:r>
          </w:p>
        </w:tc>
        <w:tc>
          <w:tcPr>
            <w:tcW w:w="11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产水量：48m</w:t>
            </w:r>
            <w:r>
              <w:rPr>
                <w:rFonts w:hint="eastAsia" w:ascii="仿宋" w:hAnsi="仿宋" w:eastAsia="仿宋" w:cs="仿宋"/>
                <w:i w:val="0"/>
                <w:iCs w:val="0"/>
                <w:color w:val="auto"/>
                <w:kern w:val="0"/>
                <w:sz w:val="21"/>
                <w:szCs w:val="21"/>
                <w:highlight w:val="none"/>
                <w:u w:val="none"/>
                <w:vertAlign w:val="superscript"/>
                <w:lang w:val="en-US" w:eastAsia="zh-CN" w:bidi="ar"/>
              </w:rPr>
              <w:t>3</w:t>
            </w:r>
            <w:r>
              <w:rPr>
                <w:rFonts w:hint="eastAsia" w:ascii="仿宋" w:hAnsi="仿宋" w:eastAsia="仿宋" w:cs="仿宋"/>
                <w:i w:val="0"/>
                <w:iCs w:val="0"/>
                <w:color w:val="auto"/>
                <w:kern w:val="0"/>
                <w:sz w:val="21"/>
                <w:szCs w:val="21"/>
                <w:highlight w:val="none"/>
                <w:u w:val="none"/>
                <w:lang w:val="en-US" w:eastAsia="zh-CN" w:bidi="ar"/>
              </w:rPr>
              <w:t>/d；脱盐率：99.3%；孔径：0.1nm；膜面积：41m</w:t>
            </w:r>
            <w:r>
              <w:rPr>
                <w:rFonts w:hint="eastAsia" w:ascii="仿宋" w:hAnsi="仿宋" w:eastAsia="仿宋" w:cs="仿宋"/>
                <w:i w:val="0"/>
                <w:iCs w:val="0"/>
                <w:color w:val="auto"/>
                <w:kern w:val="0"/>
                <w:sz w:val="21"/>
                <w:szCs w:val="21"/>
                <w:highlight w:val="none"/>
                <w:u w:val="none"/>
                <w:vertAlign w:val="superscript"/>
                <w:lang w:val="en-US" w:eastAsia="zh-CN" w:bidi="ar"/>
              </w:rPr>
              <w:t>2</w:t>
            </w:r>
            <w:r>
              <w:rPr>
                <w:rFonts w:hint="eastAsia" w:ascii="仿宋" w:hAnsi="仿宋" w:eastAsia="仿宋" w:cs="仿宋"/>
                <w:i w:val="0"/>
                <w:iCs w:val="0"/>
                <w:color w:val="auto"/>
                <w:kern w:val="0"/>
                <w:sz w:val="21"/>
                <w:szCs w:val="21"/>
                <w:highlight w:val="none"/>
                <w:u w:val="none"/>
                <w:lang w:val="en-US" w:eastAsia="zh-CN" w:bidi="ar"/>
              </w:rPr>
              <w:t>；材质：聚酰胺；尺寸：长度1016；最高操作温度：45℃</w:t>
            </w:r>
          </w:p>
        </w:tc>
        <w:tc>
          <w:tcPr>
            <w:tcW w:w="12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反渗透装置维保；脱盐率小于96%，或根据产水水质决定是否更换。</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¥8,500.00</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3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支/次</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3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3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EDI模块</w:t>
            </w:r>
          </w:p>
        </w:tc>
        <w:tc>
          <w:tcPr>
            <w:tcW w:w="115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1000L/H</w:t>
            </w:r>
          </w:p>
        </w:tc>
        <w:tc>
          <w:tcPr>
            <w:tcW w:w="1208"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EDI装置维保；产水电阻小于10MΩ∙cm，或根据产水水质决定是否更换。</w:t>
            </w:r>
          </w:p>
        </w:tc>
        <w:tc>
          <w:tcPr>
            <w:tcW w:w="41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¥22,000.00</w:t>
            </w:r>
          </w:p>
        </w:tc>
        <w:tc>
          <w:tcPr>
            <w:tcW w:w="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62"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台/次</w:t>
            </w:r>
          </w:p>
        </w:tc>
        <w:tc>
          <w:tcPr>
            <w:tcW w:w="4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c>
          <w:tcPr>
            <w:tcW w:w="458"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2989" w:type="pct"/>
            <w:gridSpan w:val="4"/>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投标报价（元/次）</w:t>
            </w:r>
          </w:p>
        </w:tc>
        <w:tc>
          <w:tcPr>
            <w:tcW w:w="201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小写：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trPr>
        <w:tc>
          <w:tcPr>
            <w:tcW w:w="2989" w:type="pct"/>
            <w:gridSpan w:val="4"/>
            <w:vMerge w:val="continue"/>
            <w:tcBorders>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auto"/>
                <w:highlight w:val="none"/>
              </w:rPr>
            </w:pPr>
          </w:p>
        </w:tc>
        <w:tc>
          <w:tcPr>
            <w:tcW w:w="2010" w:type="pct"/>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大写：</w:t>
            </w:r>
          </w:p>
        </w:tc>
      </w:tr>
    </w:tbl>
    <w:p>
      <w:pPr>
        <w:pStyle w:val="692"/>
        <w:keepNext w:val="0"/>
        <w:pageBreakBefore w:val="0"/>
        <w:tabs>
          <w:tab w:val="clear" w:pos="720"/>
        </w:tabs>
        <w:snapToGrid w:val="0"/>
        <w:spacing w:before="120" w:after="120"/>
        <w:ind w:firstLine="643"/>
        <w:jc w:val="left"/>
        <w:outlineLvl w:val="9"/>
        <w:rPr>
          <w:rFonts w:hint="eastAsia" w:ascii="仿宋" w:hAnsi="仿宋" w:eastAsia="仿宋" w:cs="仿宋"/>
          <w:b/>
          <w:bCs/>
          <w:i w:val="0"/>
          <w:iCs w:val="0"/>
          <w:color w:val="auto"/>
          <w:kern w:val="0"/>
          <w:sz w:val="21"/>
          <w:szCs w:val="21"/>
          <w:highlight w:val="none"/>
          <w:u w:val="none"/>
          <w:lang w:val="zh-CN" w:eastAsia="zh-CN" w:bidi="ar"/>
        </w:rPr>
      </w:pPr>
      <w:r>
        <w:rPr>
          <w:rFonts w:hint="eastAsia" w:ascii="仿宋" w:hAnsi="仿宋" w:eastAsia="仿宋" w:cs="仿宋"/>
          <w:b/>
          <w:bCs/>
          <w:i w:val="0"/>
          <w:iCs w:val="0"/>
          <w:color w:val="auto"/>
          <w:kern w:val="0"/>
          <w:sz w:val="21"/>
          <w:szCs w:val="21"/>
          <w:highlight w:val="none"/>
          <w:u w:val="none"/>
          <w:lang w:val="zh-CN" w:eastAsia="zh-CN" w:bidi="ar"/>
        </w:rPr>
        <w:t>注：开标一览表</w:t>
      </w:r>
      <w:r>
        <w:rPr>
          <w:rFonts w:hint="eastAsia" w:ascii="仿宋" w:hAnsi="仿宋" w:eastAsia="仿宋" w:cs="仿宋"/>
          <w:b/>
          <w:bCs/>
          <w:i w:val="0"/>
          <w:iCs w:val="0"/>
          <w:color w:val="auto"/>
          <w:kern w:val="0"/>
          <w:sz w:val="21"/>
          <w:szCs w:val="21"/>
          <w:highlight w:val="none"/>
          <w:u w:val="none"/>
          <w:lang w:val="en-US" w:eastAsia="zh-CN" w:bidi="ar"/>
        </w:rPr>
        <w:t>--01标</w:t>
      </w:r>
      <w:r>
        <w:rPr>
          <w:rFonts w:hint="eastAsia" w:ascii="仿宋" w:hAnsi="仿宋" w:eastAsia="仿宋" w:cs="仿宋"/>
          <w:b/>
          <w:bCs/>
          <w:i w:val="0"/>
          <w:iCs w:val="0"/>
          <w:color w:val="auto"/>
          <w:kern w:val="0"/>
          <w:sz w:val="21"/>
          <w:szCs w:val="21"/>
          <w:highlight w:val="none"/>
          <w:u w:val="none"/>
          <w:lang w:val="zh-CN" w:eastAsia="zh-CN" w:bidi="ar"/>
        </w:rPr>
        <w:t>（非常规耗材明细表）中</w:t>
      </w:r>
      <w:r>
        <w:rPr>
          <w:rFonts w:hint="eastAsia" w:ascii="仿宋" w:hAnsi="仿宋" w:eastAsia="仿宋" w:cs="仿宋"/>
          <w:b/>
          <w:bCs/>
          <w:i w:val="0"/>
          <w:iCs w:val="0"/>
          <w:color w:val="auto"/>
          <w:kern w:val="0"/>
          <w:sz w:val="21"/>
          <w:szCs w:val="21"/>
          <w:highlight w:val="none"/>
          <w:u w:val="none"/>
          <w:lang w:val="en-US" w:eastAsia="zh-CN" w:bidi="ar"/>
        </w:rPr>
        <w:t>投标报价（元/次）的报价须与开标一览表（报价表）中</w:t>
      </w:r>
      <w:r>
        <w:rPr>
          <w:rFonts w:hint="eastAsia" w:ascii="仿宋" w:hAnsi="仿宋" w:eastAsia="仿宋" w:cs="仿宋"/>
          <w:b/>
          <w:bCs/>
          <w:i w:val="0"/>
          <w:iCs w:val="0"/>
          <w:color w:val="auto"/>
          <w:kern w:val="0"/>
          <w:sz w:val="21"/>
          <w:szCs w:val="21"/>
          <w:highlight w:val="none"/>
          <w:u w:val="none"/>
          <w:lang w:val="zh-CN" w:eastAsia="zh-CN" w:bidi="ar"/>
        </w:rPr>
        <w:t>非常规耗材报价一致，如有不一致，则</w:t>
      </w:r>
      <w:r>
        <w:rPr>
          <w:rFonts w:hint="eastAsia" w:ascii="仿宋" w:hAnsi="仿宋" w:eastAsia="仿宋" w:cs="仿宋"/>
          <w:b/>
          <w:bCs/>
          <w:i w:val="0"/>
          <w:iCs w:val="0"/>
          <w:color w:val="auto"/>
          <w:kern w:val="0"/>
          <w:sz w:val="21"/>
          <w:szCs w:val="21"/>
          <w:highlight w:val="none"/>
          <w:u w:val="none"/>
          <w:lang w:val="en-US" w:eastAsia="zh-CN" w:bidi="ar"/>
        </w:rPr>
        <w:t>以单价金额计算结果为准。</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 xml:space="preserve">  </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en-US" w:eastAsia="zh-CN"/>
        </w:rPr>
      </w:pPr>
    </w:p>
    <w:p>
      <w:pPr>
        <w:pStyle w:val="692"/>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开标一览表（报价表）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w:t>
      </w:r>
      <w:r>
        <w:rPr>
          <w:rFonts w:hint="eastAsia" w:ascii="仿宋" w:hAnsi="仿宋" w:eastAsia="仿宋" w:cs="仿宋"/>
          <w:b/>
          <w:color w:val="auto"/>
          <w:kern w:val="0"/>
          <w:sz w:val="24"/>
          <w:highlight w:val="none"/>
          <w:lang w:val="en-US" w:eastAsia="zh-CN"/>
        </w:rPr>
        <w:t>--02标</w:t>
      </w:r>
      <w:r>
        <w:rPr>
          <w:rFonts w:hint="eastAsia" w:ascii="仿宋" w:hAnsi="仿宋" w:eastAsia="仿宋" w:cs="仿宋"/>
          <w:b/>
          <w:color w:val="auto"/>
          <w:kern w:val="0"/>
          <w:sz w:val="24"/>
          <w:highlight w:val="none"/>
          <w:lang w:val="zh-CN"/>
        </w:rPr>
        <w:t>（报价表）(单位均为人民币元)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36110187"/>
    <w:bookmarkStart w:id="165" w:name="_Toc91899912"/>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27CFBB"/>
    <w:multiLevelType w:val="singleLevel"/>
    <w:tmpl w:val="BC27CFBB"/>
    <w:lvl w:ilvl="0" w:tentative="0">
      <w:start w:val="1"/>
      <w:numFmt w:val="chineseCounting"/>
      <w:suff w:val="nothing"/>
      <w:lvlText w:val="%1、"/>
      <w:lvlJc w:val="left"/>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20B1170"/>
    <w:multiLevelType w:val="multilevel"/>
    <w:tmpl w:val="020B1170"/>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2BFF0262"/>
    <w:multiLevelType w:val="multilevel"/>
    <w:tmpl w:val="2BFF0262"/>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5">
    <w:nsid w:val="3FE57BF5"/>
    <w:multiLevelType w:val="multilevel"/>
    <w:tmpl w:val="3FE57BF5"/>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6">
    <w:nsid w:val="73333982"/>
    <w:multiLevelType w:val="multilevel"/>
    <w:tmpl w:val="73333982"/>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7">
    <w:nsid w:val="75E7DFD9"/>
    <w:multiLevelType w:val="singleLevel"/>
    <w:tmpl w:val="75E7DFD9"/>
    <w:lvl w:ilvl="0" w:tentative="0">
      <w:start w:val="1"/>
      <w:numFmt w:val="decimal"/>
      <w:suff w:val="nothing"/>
      <w:lvlText w:val="%1、"/>
      <w:lvlJc w:val="left"/>
    </w:lvl>
  </w:abstractNum>
  <w:num w:numId="1">
    <w:abstractNumId w:val="6"/>
  </w:num>
  <w:num w:numId="2">
    <w:abstractNumId w:val="4"/>
  </w:num>
  <w:num w:numId="3">
    <w:abstractNumId w:val="5"/>
  </w:num>
  <w:num w:numId="4">
    <w:abstractNumId w:val="3"/>
  </w:num>
  <w:num w:numId="5">
    <w:abstractNumId w:val="0"/>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Y5MDg0NGJlOWY0OTM2N2UyOGI4Y2I1YzJjZWE0M2QifQ=="/>
  </w:docVars>
  <w:rsids>
    <w:rsidRoot w:val="00172A27"/>
    <w:rsid w:val="059A6CF2"/>
    <w:rsid w:val="0EC75C6E"/>
    <w:rsid w:val="0F096B8F"/>
    <w:rsid w:val="0F63063F"/>
    <w:rsid w:val="17E6386F"/>
    <w:rsid w:val="18E60774"/>
    <w:rsid w:val="19EF674B"/>
    <w:rsid w:val="1D2F1C3B"/>
    <w:rsid w:val="224D796A"/>
    <w:rsid w:val="26D112CD"/>
    <w:rsid w:val="2CE61358"/>
    <w:rsid w:val="30CD01D9"/>
    <w:rsid w:val="38872063"/>
    <w:rsid w:val="3E2D78CE"/>
    <w:rsid w:val="427E60E8"/>
    <w:rsid w:val="490735E2"/>
    <w:rsid w:val="4CB0248B"/>
    <w:rsid w:val="4F4B3D85"/>
    <w:rsid w:val="505F7017"/>
    <w:rsid w:val="50EC03C9"/>
    <w:rsid w:val="52A51824"/>
    <w:rsid w:val="5DD645EB"/>
    <w:rsid w:val="5F561B6F"/>
    <w:rsid w:val="5F57E5CA"/>
    <w:rsid w:val="620B296D"/>
    <w:rsid w:val="651C5785"/>
    <w:rsid w:val="65AA6490"/>
    <w:rsid w:val="669C35D3"/>
    <w:rsid w:val="6BD4147B"/>
    <w:rsid w:val="6E641962"/>
    <w:rsid w:val="6FC37AD4"/>
    <w:rsid w:val="70CC50B4"/>
    <w:rsid w:val="74E06233"/>
    <w:rsid w:val="77B46440"/>
    <w:rsid w:val="78AD1F79"/>
    <w:rsid w:val="79393030"/>
    <w:rsid w:val="7BFA0509"/>
    <w:rsid w:val="7DFF3A1B"/>
    <w:rsid w:val="7E9D44CD"/>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5">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autoRedefine/>
    <w:qFormat/>
    <w:uiPriority w:val="0"/>
    <w:pPr>
      <w:ind w:firstLine="420"/>
    </w:pPr>
    <w:rPr>
      <w:rFonts w:hAnsi="Calibri" w:cs="Times New Roman"/>
      <w:snapToGrid/>
      <w:szCs w:val="20"/>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156"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156"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0" w:after="0"/>
      <w:ind w:left="1680"/>
      <w:outlineLvl w:val="2"/>
    </w:pPr>
  </w:style>
  <w:style w:type="paragraph" w:customStyle="1" w:styleId="657">
    <w:name w:val="章标题"/>
    <w:next w:val="639"/>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小四正文"/>
    <w:basedOn w:val="1"/>
    <w:qFormat/>
    <w:uiPriority w:val="0"/>
    <w:pPr>
      <w:widowControl w:val="0"/>
      <w:adjustRightInd/>
      <w:snapToGrid/>
      <w:spacing w:beforeLines="50" w:afterLines="50" w:line="360" w:lineRule="auto"/>
      <w:ind w:firstLine="200" w:firstLineChars="200"/>
      <w:jc w:val="both"/>
    </w:pPr>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47406</Words>
  <Characters>50730</Characters>
  <Paragraphs>1943</Paragraphs>
  <TotalTime>20</TotalTime>
  <ScaleCrop>false</ScaleCrop>
  <LinksUpToDate>false</LinksUpToDate>
  <CharactersWithSpaces>58225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jj</cp:lastModifiedBy>
  <cp:lastPrinted>2021-12-28T19:06:00Z</cp:lastPrinted>
  <dcterms:modified xsi:type="dcterms:W3CDTF">2024-06-14T11:05:18Z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BC72C786CC1F449B9D592523167D8958_13</vt:lpwstr>
  </property>
</Properties>
</file>