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7C8E98">
      <w:r>
        <w:drawing>
          <wp:inline distT="0" distB="0" distL="114300" distR="114300">
            <wp:extent cx="3168650" cy="3524250"/>
            <wp:effectExtent l="0" t="0" r="6350" b="63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68650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332E2E"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以上投标分项报价按中标（成交）金额</w:t>
      </w:r>
      <w:bookmarkStart w:id="0" w:name="_GoBack"/>
      <w:bookmarkEnd w:id="0"/>
      <w:r>
        <w:rPr>
          <w:rFonts w:hint="eastAsia"/>
          <w:lang w:val="en-US" w:eastAsia="zh-CN"/>
        </w:rPr>
        <w:t>同比例下浮。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9F12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2025-04-01T06:38:24Z</dcterms:created>
  <dc:creator>Administrator</dc:creator>
  <cp:lastModifiedBy>I don't care</cp:lastModifiedBy>
  <dcterms:modified xsi:type="dcterms:W3CDTF">2025-04-01T06:41:00Z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eyJoZGlkIjoiMGIyZmY3NWEzMmY4ODM2ZmNlZDdjOTY1YjdmNzljYjUiLCJ1c2VySWQiOiIyODA1OTIyMjIifQ==</vt:lpwstr>
  </property>
  <property fmtid="{D5CDD505-2E9C-101B-9397-08002B2CF9AE}" pid="4" name="ICV">
    <vt:lpwstr>BE5AE57DE9FB47709E5EAC9AD62E9C0A_12</vt:lpwstr>
  </property>
</Properties>
</file>