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8CD6C">
      <w:pPr>
        <w:jc w:val="center"/>
        <w:rPr>
          <w:rFonts w:hint="eastAsia"/>
          <w:b/>
        </w:rPr>
      </w:pPr>
      <w:r>
        <w:rPr>
          <w:rFonts w:hint="eastAsia"/>
          <w:b/>
        </w:rPr>
        <w:t>供应商未中标情况说明</w:t>
      </w:r>
    </w:p>
    <w:p w14:paraId="5E5D1BC8">
      <w:pPr>
        <w:jc w:val="both"/>
        <w:rPr>
          <w:rFonts w:hint="eastAsia"/>
          <w:b/>
        </w:rPr>
      </w:pPr>
    </w:p>
    <w:p w14:paraId="10FE04DD">
      <w:pPr>
        <w:jc w:val="center"/>
        <w:rPr>
          <w:rFonts w:hint="eastAsia"/>
          <w:b/>
        </w:rPr>
      </w:pPr>
    </w:p>
    <w:p w14:paraId="4964DFC6">
      <w:pPr>
        <w:rPr>
          <w:rFonts w:hint="eastAsia"/>
        </w:rPr>
      </w:pPr>
    </w:p>
    <w:p w14:paraId="6EFE94D0">
      <w:pPr>
        <w:rPr>
          <w:rFonts w:hint="default"/>
          <w:b/>
          <w:lang w:val="en-US" w:eastAsia="zh-CN"/>
        </w:rPr>
      </w:pPr>
      <w:r>
        <w:rPr>
          <w:rFonts w:hint="eastAsia"/>
          <w:b/>
        </w:rPr>
        <w:t>标段编号：SCCG2024-GK-48</w:t>
      </w:r>
    </w:p>
    <w:p w14:paraId="69993C77">
      <w:pPr>
        <w:rPr>
          <w:rFonts w:hint="eastAsia"/>
          <w:b/>
          <w:lang w:val="en-US" w:eastAsia="zh-CN"/>
        </w:rPr>
      </w:pPr>
    </w:p>
    <w:p w14:paraId="66992145">
      <w:pPr>
        <w:rPr>
          <w:rFonts w:hint="default"/>
          <w:b/>
          <w:lang w:val="en-US" w:eastAsia="zh-CN"/>
        </w:rPr>
      </w:pPr>
    </w:p>
    <w:p w14:paraId="40EA5E99">
      <w:pPr>
        <w:rPr>
          <w:rFonts w:hint="eastAsia"/>
          <w:b/>
          <w:lang w:val="en-US" w:eastAsia="zh-CN"/>
        </w:rPr>
      </w:pPr>
      <w:r>
        <w:rPr>
          <w:rFonts w:hint="eastAsia"/>
          <w:b/>
        </w:rPr>
        <w:t>标段名称：2025-2026年杭州东站枢纽出租车通道及相关区域日常运营管理及日常养护项目</w:t>
      </w:r>
    </w:p>
    <w:p w14:paraId="00FC4EC3">
      <w:pPr>
        <w:rPr>
          <w:rFonts w:hint="eastAsia"/>
          <w:b/>
          <w:lang w:val="en-US" w:eastAsia="zh-CN"/>
        </w:rPr>
      </w:pPr>
    </w:p>
    <w:p w14:paraId="1D450BD8">
      <w:pPr>
        <w:rPr>
          <w:rFonts w:hint="eastAsia"/>
          <w: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4680"/>
        <w:gridCol w:w="2689"/>
      </w:tblGrid>
      <w:tr w14:paraId="5E35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14:paraId="5CD3D138">
            <w:pPr>
              <w:jc w:val="center"/>
              <w:rPr>
                <w:rFonts w:hint="eastAsia"/>
                <w:b/>
              </w:rPr>
            </w:pPr>
          </w:p>
          <w:p w14:paraId="64618CB5">
            <w:pPr>
              <w:jc w:val="center"/>
              <w:rPr>
                <w:rFonts w:hint="eastAsia"/>
                <w:b/>
              </w:rPr>
            </w:pPr>
            <w:r>
              <w:rPr>
                <w:rFonts w:hint="eastAsia"/>
                <w:b/>
              </w:rPr>
              <w:t>序号</w:t>
            </w:r>
          </w:p>
          <w:p w14:paraId="3C5EEFF0">
            <w:pPr>
              <w:jc w:val="center"/>
              <w:rPr>
                <w:rFonts w:hint="eastAsia"/>
                <w:b/>
              </w:rPr>
            </w:pPr>
          </w:p>
        </w:tc>
        <w:tc>
          <w:tcPr>
            <w:tcW w:w="4680" w:type="dxa"/>
          </w:tcPr>
          <w:p w14:paraId="3A281FDB">
            <w:pPr>
              <w:jc w:val="center"/>
              <w:rPr>
                <w:rFonts w:hint="eastAsia"/>
                <w:b/>
              </w:rPr>
            </w:pPr>
          </w:p>
          <w:p w14:paraId="7020FC55">
            <w:pPr>
              <w:jc w:val="center"/>
              <w:rPr>
                <w:rFonts w:hint="eastAsia"/>
                <w:b/>
              </w:rPr>
            </w:pPr>
            <w:r>
              <w:rPr>
                <w:rFonts w:hint="eastAsia"/>
                <w:b/>
              </w:rPr>
              <w:t>单位名称</w:t>
            </w:r>
          </w:p>
          <w:p w14:paraId="4539162B">
            <w:pPr>
              <w:jc w:val="center"/>
              <w:rPr>
                <w:rFonts w:hint="eastAsia"/>
                <w:b/>
              </w:rPr>
            </w:pPr>
          </w:p>
        </w:tc>
        <w:tc>
          <w:tcPr>
            <w:tcW w:w="2689" w:type="dxa"/>
          </w:tcPr>
          <w:p w14:paraId="5C3030E6">
            <w:pPr>
              <w:jc w:val="center"/>
              <w:rPr>
                <w:rFonts w:hint="eastAsia"/>
                <w:b/>
              </w:rPr>
            </w:pPr>
          </w:p>
          <w:p w14:paraId="1586BEBC">
            <w:pPr>
              <w:jc w:val="center"/>
              <w:rPr>
                <w:rFonts w:hint="eastAsia"/>
                <w:b/>
              </w:rPr>
            </w:pPr>
            <w:r>
              <w:rPr>
                <w:rFonts w:hint="eastAsia"/>
                <w:b/>
              </w:rPr>
              <w:t>未中标理由</w:t>
            </w:r>
          </w:p>
        </w:tc>
      </w:tr>
      <w:tr w14:paraId="68E6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21" w:type="dxa"/>
          </w:tcPr>
          <w:p w14:paraId="5B36493B">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1</w:t>
            </w:r>
          </w:p>
        </w:tc>
        <w:tc>
          <w:tcPr>
            <w:tcW w:w="4680" w:type="dxa"/>
          </w:tcPr>
          <w:p w14:paraId="2E442E04">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rPr>
              <w:t>北京中航大北物业管理有限公司</w:t>
            </w:r>
          </w:p>
        </w:tc>
        <w:tc>
          <w:tcPr>
            <w:tcW w:w="2689" w:type="dxa"/>
          </w:tcPr>
          <w:p w14:paraId="2FAFD019">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总分88.28 排名第2</w:t>
            </w:r>
          </w:p>
        </w:tc>
      </w:tr>
      <w:tr w14:paraId="1C23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14:paraId="46596D24">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w:t>
            </w:r>
          </w:p>
        </w:tc>
        <w:tc>
          <w:tcPr>
            <w:tcW w:w="4680" w:type="dxa"/>
          </w:tcPr>
          <w:p w14:paraId="1F374D92">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shd w:val="clear" w:fill="FFFFFF"/>
              </w:rPr>
              <w:t>杭州邦成物业管理有限公司</w:t>
            </w:r>
            <w:r>
              <w:rPr>
                <w:rFonts w:hint="eastAsia" w:ascii="微软雅黑" w:hAnsi="微软雅黑" w:eastAsia="微软雅黑" w:cs="微软雅黑"/>
                <w:i w:val="0"/>
                <w:iCs w:val="0"/>
                <w:caps w:val="0"/>
                <w:color w:val="333333"/>
                <w:spacing w:val="0"/>
                <w:sz w:val="21"/>
                <w:szCs w:val="21"/>
                <w:shd w:val="clear" w:fill="FFFFFF"/>
                <w:lang w:eastAsia="zh-CN"/>
              </w:rPr>
              <w:t>、</w:t>
            </w:r>
            <w:r>
              <w:rPr>
                <w:rFonts w:ascii="微软雅黑" w:hAnsi="微软雅黑" w:eastAsia="微软雅黑" w:cs="微软雅黑"/>
                <w:i w:val="0"/>
                <w:iCs w:val="0"/>
                <w:caps w:val="0"/>
                <w:spacing w:val="0"/>
                <w:sz w:val="21"/>
                <w:szCs w:val="21"/>
                <w:shd w:val="clear" w:fill="FFFFFF"/>
              </w:rPr>
              <w:t>浙江盾达保安服务有限公司</w:t>
            </w:r>
            <w:r>
              <w:rPr>
                <w:rFonts w:hint="eastAsia" w:ascii="微软雅黑" w:hAnsi="微软雅黑" w:eastAsia="微软雅黑" w:cs="微软雅黑"/>
                <w:i w:val="0"/>
                <w:iCs w:val="0"/>
                <w:caps w:val="0"/>
                <w:spacing w:val="0"/>
                <w:sz w:val="21"/>
                <w:szCs w:val="21"/>
                <w:shd w:val="clear" w:fill="FFFFFF"/>
                <w:lang w:eastAsia="zh-CN"/>
              </w:rPr>
              <w:t>（联合体）</w:t>
            </w:r>
          </w:p>
        </w:tc>
        <w:tc>
          <w:tcPr>
            <w:tcW w:w="2689" w:type="dxa"/>
          </w:tcPr>
          <w:p w14:paraId="2220B7B1">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总分87.79排名第3</w:t>
            </w:r>
          </w:p>
        </w:tc>
      </w:tr>
      <w:tr w14:paraId="690B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14:paraId="6FD2BC76">
            <w:pPr>
              <w:ind w:firstLine="420" w:firstLineChars="200"/>
              <w:jc w:val="both"/>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w:t>
            </w:r>
          </w:p>
        </w:tc>
        <w:tc>
          <w:tcPr>
            <w:tcW w:w="4680" w:type="dxa"/>
          </w:tcPr>
          <w:p w14:paraId="3B10DB38">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rPr>
              <w:t>南都物业服务集团股份有限公司</w:t>
            </w:r>
          </w:p>
        </w:tc>
        <w:tc>
          <w:tcPr>
            <w:tcW w:w="2689" w:type="dxa"/>
            <w:vAlign w:val="top"/>
          </w:tcPr>
          <w:p w14:paraId="50B230AE">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总分87.11排名第4</w:t>
            </w:r>
          </w:p>
        </w:tc>
      </w:tr>
      <w:tr w14:paraId="435C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14:paraId="502A13B2">
            <w:pPr>
              <w:ind w:firstLine="420" w:firstLineChars="200"/>
              <w:jc w:val="both"/>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4</w:t>
            </w:r>
          </w:p>
        </w:tc>
        <w:tc>
          <w:tcPr>
            <w:tcW w:w="4680" w:type="dxa"/>
          </w:tcPr>
          <w:p w14:paraId="6D923DA0">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rPr>
              <w:t>洁洁城市管理有限公司</w:t>
            </w:r>
            <w:r>
              <w:rPr>
                <w:rFonts w:hint="eastAsia" w:ascii="微软雅黑" w:hAnsi="微软雅黑" w:eastAsia="微软雅黑" w:cs="微软雅黑"/>
                <w:i w:val="0"/>
                <w:iCs w:val="0"/>
                <w:caps w:val="0"/>
                <w:color w:val="333333"/>
                <w:spacing w:val="0"/>
                <w:sz w:val="21"/>
                <w:szCs w:val="21"/>
                <w:lang w:eastAsia="zh-CN"/>
              </w:rPr>
              <w:t>、</w:t>
            </w:r>
            <w:r>
              <w:rPr>
                <w:rFonts w:ascii="微软雅黑" w:hAnsi="微软雅黑" w:eastAsia="微软雅黑" w:cs="微软雅黑"/>
                <w:i w:val="0"/>
                <w:iCs w:val="0"/>
                <w:caps w:val="0"/>
                <w:spacing w:val="0"/>
                <w:sz w:val="21"/>
                <w:szCs w:val="21"/>
                <w:shd w:val="clear" w:fill="FFFFFF"/>
              </w:rPr>
              <w:t>杭州可俐环境建设有限公司</w:t>
            </w:r>
            <w:r>
              <w:rPr>
                <w:rFonts w:hint="eastAsia" w:ascii="微软雅黑" w:hAnsi="微软雅黑" w:eastAsia="微软雅黑" w:cs="微软雅黑"/>
                <w:i w:val="0"/>
                <w:iCs w:val="0"/>
                <w:caps w:val="0"/>
                <w:spacing w:val="0"/>
                <w:sz w:val="21"/>
                <w:szCs w:val="21"/>
                <w:shd w:val="clear" w:fill="FFFFFF"/>
                <w:lang w:eastAsia="zh-CN"/>
              </w:rPr>
              <w:t>（联合体</w:t>
            </w:r>
            <w:bookmarkStart w:id="0" w:name="_GoBack"/>
            <w:bookmarkEnd w:id="0"/>
            <w:r>
              <w:rPr>
                <w:rFonts w:hint="eastAsia" w:ascii="微软雅黑" w:hAnsi="微软雅黑" w:eastAsia="微软雅黑" w:cs="微软雅黑"/>
                <w:i w:val="0"/>
                <w:iCs w:val="0"/>
                <w:caps w:val="0"/>
                <w:spacing w:val="0"/>
                <w:sz w:val="21"/>
                <w:szCs w:val="21"/>
                <w:shd w:val="clear" w:fill="FFFFFF"/>
                <w:lang w:eastAsia="zh-CN"/>
              </w:rPr>
              <w:t>）</w:t>
            </w:r>
          </w:p>
        </w:tc>
        <w:tc>
          <w:tcPr>
            <w:tcW w:w="2689" w:type="dxa"/>
            <w:vAlign w:val="top"/>
          </w:tcPr>
          <w:p w14:paraId="3E9B6B1B">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总分87.02 排名第5</w:t>
            </w:r>
          </w:p>
        </w:tc>
      </w:tr>
      <w:tr w14:paraId="2256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14:paraId="5A88E630">
            <w:pPr>
              <w:ind w:firstLine="420" w:firstLineChars="200"/>
              <w:jc w:val="both"/>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5</w:t>
            </w:r>
          </w:p>
        </w:tc>
        <w:tc>
          <w:tcPr>
            <w:tcW w:w="4680" w:type="dxa"/>
          </w:tcPr>
          <w:p w14:paraId="2C7E6CE9">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rPr>
              <w:t>杭州云心物业有限公司</w:t>
            </w:r>
          </w:p>
        </w:tc>
        <w:tc>
          <w:tcPr>
            <w:tcW w:w="2689" w:type="dxa"/>
            <w:vAlign w:val="top"/>
          </w:tcPr>
          <w:p w14:paraId="3C058AEB">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总分37.53 排名第6</w:t>
            </w:r>
          </w:p>
        </w:tc>
      </w:tr>
      <w:tr w14:paraId="50C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921" w:type="dxa"/>
          </w:tcPr>
          <w:p w14:paraId="214207BC">
            <w:pPr>
              <w:ind w:firstLine="420" w:firstLineChars="200"/>
              <w:jc w:val="both"/>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6</w:t>
            </w:r>
          </w:p>
        </w:tc>
        <w:tc>
          <w:tcPr>
            <w:tcW w:w="4680" w:type="dxa"/>
          </w:tcPr>
          <w:p w14:paraId="07070FD3">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rPr>
              <w:t>杭州都市物业管理有限公司</w:t>
            </w:r>
          </w:p>
        </w:tc>
        <w:tc>
          <w:tcPr>
            <w:tcW w:w="2689" w:type="dxa"/>
            <w:vAlign w:val="top"/>
          </w:tcPr>
          <w:p w14:paraId="2EB95B07">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总分31.04 排名第7</w:t>
            </w:r>
          </w:p>
        </w:tc>
      </w:tr>
    </w:tbl>
    <w:p w14:paraId="733E8C81">
      <w:pPr>
        <w:ind w:firstLine="420" w:firstLineChars="200"/>
        <w:jc w:val="both"/>
        <w:rPr>
          <w:rFonts w:hint="eastAsia" w:ascii="微软雅黑" w:hAnsi="微软雅黑" w:eastAsia="微软雅黑" w:cs="微软雅黑"/>
          <w:i w:val="0"/>
          <w:iCs w:val="0"/>
          <w:caps w:val="0"/>
          <w:color w:val="333333"/>
          <w:spacing w:val="0"/>
          <w:sz w:val="21"/>
          <w:szCs w:val="21"/>
          <w:shd w:val="clear" w:fill="FFFFFF"/>
          <w:lang w:val="en-US" w:eastAsia="zh-CN"/>
        </w:rPr>
      </w:pPr>
    </w:p>
    <w:p w14:paraId="31FE6A06">
      <w:pPr>
        <w:jc w:val="both"/>
        <w:rPr>
          <w:rFonts w:hint="eastAsia"/>
        </w:rPr>
      </w:pPr>
      <w:r>
        <w:rPr>
          <w:rFonts w:hint="eastAsia" w:ascii="微软雅黑" w:hAnsi="微软雅黑" w:eastAsia="微软雅黑" w:cs="微软雅黑"/>
          <w:i w:val="0"/>
          <w:iCs w:val="0"/>
          <w:caps w:val="0"/>
          <w:color w:val="333333"/>
          <w:spacing w:val="0"/>
          <w:sz w:val="21"/>
          <w:szCs w:val="21"/>
          <w:shd w:val="clear" w:fill="FFFFFF"/>
        </w:rPr>
        <w:t>备注：</w:t>
      </w:r>
      <w:r>
        <w:rPr>
          <w:rFonts w:ascii="微软雅黑" w:hAnsi="微软雅黑" w:eastAsia="微软雅黑" w:cs="微软雅黑"/>
          <w:i w:val="0"/>
          <w:iCs w:val="0"/>
          <w:caps w:val="0"/>
          <w:color w:val="333333"/>
          <w:spacing w:val="0"/>
          <w:sz w:val="21"/>
          <w:szCs w:val="21"/>
          <w:shd w:val="clear" w:fill="FFFFFF"/>
        </w:rPr>
        <w:t>若标段废标，可对整个标段废标情况说明即可。</w:t>
      </w:r>
    </w:p>
    <w:p w14:paraId="33C2C79C"/>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TVmNTE1NDNhNDFjMDBkOTYzYWNjYjIzZTJhOWQifQ=="/>
  </w:docVars>
  <w:rsids>
    <w:rsidRoot w:val="00000000"/>
    <w:rsid w:val="03556BD0"/>
    <w:rsid w:val="036C79D6"/>
    <w:rsid w:val="03956321"/>
    <w:rsid w:val="04497BAB"/>
    <w:rsid w:val="06442B8D"/>
    <w:rsid w:val="0A207F73"/>
    <w:rsid w:val="0E5232CD"/>
    <w:rsid w:val="114950F1"/>
    <w:rsid w:val="14174D41"/>
    <w:rsid w:val="1BA90823"/>
    <w:rsid w:val="1F383203"/>
    <w:rsid w:val="26D94133"/>
    <w:rsid w:val="28065C39"/>
    <w:rsid w:val="280B7499"/>
    <w:rsid w:val="2B8243EE"/>
    <w:rsid w:val="2C7145E8"/>
    <w:rsid w:val="2C850E0B"/>
    <w:rsid w:val="2CB4115B"/>
    <w:rsid w:val="2DFB532B"/>
    <w:rsid w:val="2F5E49B6"/>
    <w:rsid w:val="38254E8A"/>
    <w:rsid w:val="38AE74AC"/>
    <w:rsid w:val="39116145"/>
    <w:rsid w:val="4855239E"/>
    <w:rsid w:val="4E81153A"/>
    <w:rsid w:val="515141EF"/>
    <w:rsid w:val="553D6B6F"/>
    <w:rsid w:val="5B4736CA"/>
    <w:rsid w:val="5E4A6A42"/>
    <w:rsid w:val="687F0F05"/>
    <w:rsid w:val="68B17B1B"/>
    <w:rsid w:val="6AF349C7"/>
    <w:rsid w:val="6CDD78FD"/>
    <w:rsid w:val="6D366EB8"/>
    <w:rsid w:val="6F9E54E7"/>
    <w:rsid w:val="73E86551"/>
    <w:rsid w:val="79433798"/>
    <w:rsid w:val="7B0834E7"/>
    <w:rsid w:val="7C79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252</Characters>
  <Lines>0</Lines>
  <Paragraphs>0</Paragraphs>
  <TotalTime>2</TotalTime>
  <ScaleCrop>false</ScaleCrop>
  <LinksUpToDate>false</LinksUpToDate>
  <CharactersWithSpaces>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2024-05-21T07:47:00Z</dcterms:created>
  <dc:creator>xlcgzx</dc:creator>
  <cp:lastModifiedBy>合法土樱</cp:lastModifiedBy>
  <dcterms:modified xsi:type="dcterms:W3CDTF">2025-01-13T08:58:40Z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91C75C25EAFD4DF298E30770BF99A25D_13</vt:lpwstr>
  </property>
  <property fmtid="{D5CDD505-2E9C-101B-9397-08002B2CF9AE}" pid="4" name="KSOTemplateDocerSaveRecord">
    <vt:lpwstr>eyJoZGlkIjoiZjhmOWUyYjA0MjFjMmY3YTk1YjMwNTM3ZjFmZDNmNDMiLCJ1c2VySWQiOiIzNTEyNTI5NzIifQ==</vt:lpwstr>
  </property>
</Properties>
</file>