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360" w:lineRule="auto"/>
        <w:jc w:val="center"/>
        <w:outlineLvl w:val="0"/>
        <w:rPr>
          <w:rFonts w:hint="eastAsia" w:cs="宋体" w:asciiTheme="minorEastAsia" w:hAnsiTheme="minorEastAsia" w:eastAsiaTheme="minorEastAsia"/>
          <w:b/>
          <w:color w:val="000000" w:themeColor="text1"/>
          <w:sz w:val="24"/>
          <w:lang w:val="en-US" w:eastAsia="zh-CN"/>
        </w:rPr>
      </w:pPr>
      <w:bookmarkStart w:id="0" w:name="_Toc19126"/>
      <w:r>
        <w:rPr>
          <w:rFonts w:hint="eastAsia" w:cs="宋体" w:asciiTheme="minorEastAsia" w:hAnsiTheme="minorEastAsia" w:eastAsiaTheme="minorEastAsia"/>
          <w:b/>
          <w:color w:val="000000" w:themeColor="text1"/>
          <w:sz w:val="24"/>
          <w:lang w:val="en-US" w:eastAsia="zh-CN"/>
        </w:rPr>
        <w:t>设计说明书</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1</w:t>
      </w:r>
      <w:r>
        <w:rPr>
          <w:rFonts w:hint="eastAsia" w:cs="宋体" w:asciiTheme="minorEastAsia" w:hAnsiTheme="minorEastAsia" w:eastAsiaTheme="minorEastAsia"/>
          <w:b/>
          <w:color w:val="000000" w:themeColor="text1"/>
          <w:sz w:val="24"/>
          <w:lang w:eastAsia="zh-CN"/>
        </w:rPr>
        <w:t>、</w:t>
      </w:r>
      <w:bookmarkEnd w:id="0"/>
      <w:r>
        <w:rPr>
          <w:rFonts w:hint="eastAsia" w:cs="宋体" w:asciiTheme="minorEastAsia" w:hAnsiTheme="minorEastAsia" w:eastAsiaTheme="minorEastAsia"/>
          <w:b/>
          <w:color w:val="000000" w:themeColor="text1"/>
          <w:sz w:val="24"/>
          <w:lang w:val="en-US" w:eastAsia="zh-CN"/>
        </w:rPr>
        <w:t>施工图设计依据</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en-US" w:eastAsia="zh-CN"/>
        </w:rPr>
        <w:t>马鞍山镇街里村2024年基础设施建设项目</w:t>
      </w:r>
      <w:r>
        <w:rPr>
          <w:rFonts w:hint="eastAsia" w:cs="宋体" w:asciiTheme="minorEastAsia" w:hAnsiTheme="minorEastAsia" w:eastAsiaTheme="minorEastAsia"/>
          <w:color w:val="000000" w:themeColor="text1"/>
          <w:kern w:val="0"/>
          <w:sz w:val="24"/>
        </w:rPr>
        <w:t>。</w:t>
      </w:r>
      <w:r>
        <w:rPr>
          <w:rFonts w:hint="eastAsia" w:cs="宋体" w:asciiTheme="minorEastAsia" w:hAnsiTheme="minorEastAsia" w:eastAsiaTheme="minorEastAsia"/>
          <w:color w:val="000000" w:themeColor="text1"/>
          <w:kern w:val="0"/>
          <w:sz w:val="24"/>
          <w:lang w:val="zh-CN"/>
        </w:rPr>
        <w:t>依据</w:t>
      </w:r>
      <w:r>
        <w:rPr>
          <w:rFonts w:hint="eastAsia" w:cs="宋体" w:asciiTheme="minorEastAsia" w:hAnsiTheme="minorEastAsia" w:eastAsiaTheme="minorEastAsia"/>
          <w:color w:val="000000" w:themeColor="text1"/>
          <w:kern w:val="0"/>
          <w:sz w:val="24"/>
          <w:lang w:val="en-US" w:eastAsia="zh-CN"/>
        </w:rPr>
        <w:t>伊通满族自治县乡村振兴服务中心关于</w:t>
      </w:r>
      <w:r>
        <w:rPr>
          <w:rFonts w:hint="eastAsia" w:cs="宋体" w:asciiTheme="minorEastAsia" w:hAnsiTheme="minorEastAsia" w:eastAsiaTheme="minorEastAsia"/>
          <w:color w:val="000000" w:themeColor="text1"/>
          <w:kern w:val="0"/>
          <w:sz w:val="24"/>
          <w:lang w:val="zh-CN"/>
        </w:rPr>
        <w:t>《</w:t>
      </w:r>
      <w:r>
        <w:rPr>
          <w:rFonts w:hint="eastAsia" w:cs="宋体" w:asciiTheme="minorEastAsia" w:hAnsiTheme="minorEastAsia" w:eastAsiaTheme="minorEastAsia"/>
          <w:color w:val="000000" w:themeColor="text1"/>
          <w:kern w:val="0"/>
          <w:sz w:val="24"/>
          <w:lang w:val="en-US" w:eastAsia="zh-CN"/>
        </w:rPr>
        <w:t>马鞍山镇街里村2024年基础设施建设项目</w:t>
      </w:r>
      <w:r>
        <w:rPr>
          <w:rFonts w:hint="eastAsia" w:cs="宋体" w:asciiTheme="minorEastAsia" w:hAnsiTheme="minorEastAsia" w:eastAsiaTheme="minorEastAsia"/>
          <w:color w:val="000000" w:themeColor="text1"/>
          <w:kern w:val="0"/>
          <w:sz w:val="24"/>
          <w:lang w:val="zh-CN"/>
        </w:rPr>
        <w:t>》的</w:t>
      </w:r>
      <w:r>
        <w:rPr>
          <w:rFonts w:hint="eastAsia" w:cs="宋体" w:asciiTheme="minorEastAsia" w:hAnsiTheme="minorEastAsia" w:eastAsiaTheme="minorEastAsia"/>
          <w:color w:val="000000" w:themeColor="text1"/>
          <w:kern w:val="0"/>
          <w:sz w:val="24"/>
          <w:lang w:val="en-US" w:eastAsia="zh-CN"/>
        </w:rPr>
        <w:t>任务委托书</w:t>
      </w:r>
      <w:r>
        <w:rPr>
          <w:rFonts w:hint="eastAsia" w:cs="宋体" w:asciiTheme="minorEastAsia" w:hAnsiTheme="minorEastAsia" w:eastAsiaTheme="minorEastAsia"/>
          <w:color w:val="000000" w:themeColor="text1"/>
          <w:kern w:val="0"/>
          <w:sz w:val="24"/>
          <w:lang w:val="zh-CN"/>
        </w:rPr>
        <w:t>。</w:t>
      </w:r>
    </w:p>
    <w:p>
      <w:pPr>
        <w:spacing w:beforeLines="100" w:line="360" w:lineRule="auto"/>
        <w:outlineLvl w:val="0"/>
        <w:rPr>
          <w:rFonts w:hint="eastAsia"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lang w:val="en-US" w:eastAsia="zh-CN"/>
        </w:rPr>
        <w:t>2、</w:t>
      </w:r>
      <w:r>
        <w:rPr>
          <w:rFonts w:hint="eastAsia" w:cs="宋体" w:asciiTheme="minorEastAsia" w:hAnsiTheme="minorEastAsia" w:eastAsiaTheme="minorEastAsia"/>
          <w:b/>
          <w:color w:val="000000" w:themeColor="text1"/>
          <w:sz w:val="24"/>
        </w:rPr>
        <w:t>采用的规范、规程和工程验收标准</w:t>
      </w:r>
    </w:p>
    <w:p>
      <w:pPr>
        <w:spacing w:beforeLines="100" w:line="360" w:lineRule="auto"/>
        <w:outlineLvl w:val="0"/>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lang w:val="en-US" w:eastAsia="zh-CN"/>
        </w:rPr>
        <w:t>2.1</w:t>
      </w:r>
      <w:r>
        <w:rPr>
          <w:rFonts w:hint="eastAsia" w:cs="宋体" w:asciiTheme="minorEastAsia" w:hAnsiTheme="minorEastAsia" w:eastAsiaTheme="minorEastAsia"/>
          <w:b/>
          <w:color w:val="000000" w:themeColor="text1"/>
          <w:sz w:val="24"/>
        </w:rPr>
        <w:t>设计规范、标准</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lang w:eastAsia="zh-CN"/>
        </w:rPr>
      </w:pPr>
      <w:r>
        <w:rPr>
          <w:rFonts w:hint="eastAsia" w:cs="宋体" w:asciiTheme="minorEastAsia" w:hAnsiTheme="minorEastAsia" w:eastAsiaTheme="minorEastAsia"/>
          <w:color w:val="000000" w:themeColor="text1"/>
          <w:sz w:val="24"/>
          <w:szCs w:val="24"/>
        </w:rPr>
        <w:t>（1）</w:t>
      </w:r>
      <w:r>
        <w:rPr>
          <w:rFonts w:hint="eastAsia" w:cs="宋体" w:asciiTheme="minorEastAsia" w:hAnsiTheme="minorEastAsia" w:eastAsiaTheme="minorEastAsia"/>
          <w:color w:val="000000" w:themeColor="text1"/>
          <w:sz w:val="24"/>
          <w:szCs w:val="24"/>
          <w:lang w:eastAsia="zh-CN"/>
        </w:rPr>
        <w:t>《乡村道路工程技术规范》GBT 51224-2017</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w:t>
      </w:r>
      <w:r>
        <w:rPr>
          <w:rFonts w:hint="eastAsia" w:cs="宋体" w:asciiTheme="minorEastAsia" w:hAnsiTheme="minorEastAsia" w:eastAsiaTheme="minorEastAsia"/>
          <w:color w:val="000000" w:themeColor="text1"/>
          <w:sz w:val="24"/>
          <w:szCs w:val="24"/>
        </w:rPr>
        <w:t>）《城市道路工程设计规范》CJJ37-2012(2016年版)</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3</w:t>
      </w:r>
      <w:r>
        <w:rPr>
          <w:rFonts w:hint="eastAsia" w:cs="宋体" w:asciiTheme="minorEastAsia" w:hAnsiTheme="minorEastAsia" w:eastAsiaTheme="minorEastAsia"/>
          <w:color w:val="000000" w:themeColor="text1"/>
          <w:sz w:val="24"/>
          <w:szCs w:val="24"/>
        </w:rPr>
        <w:t>）《城镇道路路面设计规范》CJJ 169-2012</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4</w:t>
      </w:r>
      <w:r>
        <w:rPr>
          <w:rFonts w:hint="eastAsia" w:cs="宋体" w:asciiTheme="minorEastAsia" w:hAnsiTheme="minorEastAsia" w:eastAsiaTheme="minorEastAsia"/>
          <w:color w:val="000000" w:themeColor="text1"/>
          <w:sz w:val="24"/>
          <w:szCs w:val="24"/>
        </w:rPr>
        <w:t>）《市政公用工程设计文件编制深度规定》（2013年版）</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5</w:t>
      </w:r>
      <w:r>
        <w:rPr>
          <w:rFonts w:hint="eastAsia" w:cs="宋体" w:asciiTheme="minorEastAsia" w:hAnsiTheme="minorEastAsia" w:eastAsiaTheme="minorEastAsia"/>
          <w:color w:val="000000" w:themeColor="text1"/>
          <w:sz w:val="24"/>
          <w:szCs w:val="24"/>
        </w:rPr>
        <w:t>）《镇（乡）村排水工程技术规程》（CJJ124-2008）</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6</w:t>
      </w:r>
      <w:r>
        <w:rPr>
          <w:rFonts w:hint="eastAsia" w:cs="宋体" w:asciiTheme="minorEastAsia" w:hAnsiTheme="minorEastAsia" w:eastAsiaTheme="minorEastAsia"/>
          <w:color w:val="000000" w:themeColor="text1"/>
          <w:sz w:val="24"/>
          <w:szCs w:val="24"/>
        </w:rPr>
        <w:t>）《砌体结构</w:t>
      </w:r>
      <w:r>
        <w:rPr>
          <w:rFonts w:hint="eastAsia" w:cs="宋体" w:asciiTheme="minorEastAsia" w:hAnsiTheme="minorEastAsia" w:eastAsiaTheme="minorEastAsia"/>
          <w:color w:val="000000" w:themeColor="text1"/>
          <w:sz w:val="24"/>
          <w:szCs w:val="24"/>
          <w:lang w:val="en-US" w:eastAsia="zh-CN"/>
        </w:rPr>
        <w:t>通用</w:t>
      </w:r>
      <w:r>
        <w:rPr>
          <w:rFonts w:hint="eastAsia" w:cs="宋体" w:asciiTheme="minorEastAsia" w:hAnsiTheme="minorEastAsia" w:eastAsiaTheme="minorEastAsia"/>
          <w:color w:val="000000" w:themeColor="text1"/>
          <w:sz w:val="24"/>
          <w:szCs w:val="24"/>
        </w:rPr>
        <w:t>规范》（GB</w:t>
      </w:r>
      <w:r>
        <w:rPr>
          <w:rFonts w:hint="eastAsia" w:cs="宋体" w:asciiTheme="minorEastAsia" w:hAnsiTheme="minorEastAsia" w:eastAsiaTheme="minorEastAsia"/>
          <w:color w:val="000000" w:themeColor="text1"/>
          <w:sz w:val="24"/>
          <w:szCs w:val="24"/>
          <w:lang w:val="en-US" w:eastAsia="zh-CN"/>
        </w:rPr>
        <w:t>55007</w:t>
      </w:r>
      <w:r>
        <w:rPr>
          <w:rFonts w:hint="eastAsia" w:cs="宋体" w:asciiTheme="minorEastAsia" w:hAnsiTheme="minorEastAsia" w:eastAsiaTheme="minorEastAsia"/>
          <w:color w:val="000000" w:themeColor="text1"/>
          <w:sz w:val="24"/>
          <w:szCs w:val="24"/>
        </w:rPr>
        <w:t>-20</w:t>
      </w:r>
      <w:r>
        <w:rPr>
          <w:rFonts w:hint="eastAsia" w:cs="宋体" w:asciiTheme="minorEastAsia" w:hAnsiTheme="minorEastAsia" w:eastAsiaTheme="minorEastAsia"/>
          <w:color w:val="000000" w:themeColor="text1"/>
          <w:sz w:val="24"/>
          <w:szCs w:val="24"/>
          <w:lang w:val="en-US" w:eastAsia="zh-CN"/>
        </w:rPr>
        <w:t>2</w:t>
      </w:r>
      <w:r>
        <w:rPr>
          <w:rFonts w:hint="eastAsia" w:cs="宋体" w:asciiTheme="minorEastAsia" w:hAnsiTheme="minorEastAsia" w:eastAsiaTheme="minorEastAsia"/>
          <w:color w:val="000000" w:themeColor="text1"/>
          <w:sz w:val="24"/>
          <w:szCs w:val="24"/>
        </w:rPr>
        <w:t>1）</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7</w:t>
      </w:r>
      <w:r>
        <w:rPr>
          <w:rFonts w:hint="eastAsia" w:cs="宋体" w:asciiTheme="minorEastAsia" w:hAnsiTheme="minorEastAsia" w:eastAsiaTheme="minorEastAsia"/>
          <w:color w:val="000000" w:themeColor="text1"/>
          <w:sz w:val="24"/>
          <w:szCs w:val="24"/>
        </w:rPr>
        <w:t>）《给水排水工程构筑物结构设计规范》（GB50069-2002）</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8</w:t>
      </w:r>
      <w:r>
        <w:rPr>
          <w:rFonts w:hint="eastAsia" w:cs="宋体" w:asciiTheme="minorEastAsia" w:hAnsiTheme="minorEastAsia" w:eastAsiaTheme="minorEastAsia"/>
          <w:color w:val="000000" w:themeColor="text1"/>
          <w:sz w:val="24"/>
          <w:szCs w:val="24"/>
        </w:rPr>
        <w:t>）《公路桥涵设计通用规范》（JTG D60-2015 ）</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9</w:t>
      </w:r>
      <w:r>
        <w:rPr>
          <w:rFonts w:hint="eastAsia" w:cs="宋体" w:asciiTheme="minorEastAsia" w:hAnsiTheme="minorEastAsia" w:eastAsiaTheme="minorEastAsia"/>
          <w:color w:val="000000" w:themeColor="text1"/>
          <w:sz w:val="24"/>
          <w:szCs w:val="24"/>
        </w:rPr>
        <w:t>）预算依据《吉林省市政工程计价定额》JLJD-SZ-201</w:t>
      </w:r>
      <w:r>
        <w:rPr>
          <w:rFonts w:hint="eastAsia" w:cs="宋体" w:asciiTheme="minorEastAsia" w:hAnsiTheme="minorEastAsia" w:eastAsiaTheme="minorEastAsia"/>
          <w:color w:val="000000" w:themeColor="text1"/>
          <w:sz w:val="24"/>
          <w:szCs w:val="24"/>
          <w:lang w:val="en-US" w:eastAsia="zh-CN"/>
        </w:rPr>
        <w:t>9</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10</w:t>
      </w:r>
      <w:r>
        <w:rPr>
          <w:rFonts w:hint="eastAsia" w:cs="宋体" w:asciiTheme="minorEastAsia" w:hAnsiTheme="minorEastAsia" w:eastAsiaTheme="minorEastAsia"/>
          <w:color w:val="000000" w:themeColor="text1"/>
          <w:sz w:val="24"/>
          <w:szCs w:val="24"/>
        </w:rPr>
        <w:t>）《国家建筑标准设计图集《市政排水管道工程及附属设施》06MS201</w:t>
      </w:r>
    </w:p>
    <w:p>
      <w:pPr>
        <w:spacing w:line="360" w:lineRule="auto"/>
        <w:ind w:firstLine="480" w:firstLineChars="200"/>
        <w:jc w:val="left"/>
        <w:rPr>
          <w:rFonts w:hint="default"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11</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rPr>
        <w:t>《城市道路照明设计标准》CJJ45-20</w:t>
      </w:r>
      <w:r>
        <w:rPr>
          <w:rFonts w:hint="eastAsia" w:ascii="宋体" w:hAnsi="宋体" w:eastAsia="宋体" w:cs="宋体"/>
          <w:bCs/>
          <w:color w:val="000000" w:themeColor="text1"/>
          <w:sz w:val="24"/>
          <w:szCs w:val="24"/>
          <w:lang w:val="en-US" w:eastAsia="zh-CN"/>
        </w:rPr>
        <w:t>15</w:t>
      </w:r>
    </w:p>
    <w:p>
      <w:pPr>
        <w:spacing w:line="360" w:lineRule="auto"/>
        <w:ind w:firstLine="480" w:firstLineChars="200"/>
        <w:jc w:val="left"/>
        <w:rPr>
          <w:rFonts w:hint="eastAsia" w:ascii="宋体" w:hAnsi="宋体" w:eastAsia="宋体" w:cs="宋体"/>
          <w:bCs/>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12</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rPr>
        <w:t>《道路与街路照明灯具安全要求》GB7000.5-2005</w:t>
      </w:r>
    </w:p>
    <w:p>
      <w:pPr>
        <w:spacing w:line="360" w:lineRule="auto"/>
        <w:ind w:firstLine="480" w:firstLineChars="200"/>
        <w:jc w:val="left"/>
        <w:rPr>
          <w:rFonts w:hint="eastAsia" w:ascii="宋体" w:hAnsi="宋体" w:eastAsia="宋体" w:cs="宋体"/>
          <w:bCs/>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13</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rPr>
        <w:t>《低压配电设计规范》GB50054-2011</w:t>
      </w:r>
    </w:p>
    <w:p>
      <w:pPr>
        <w:spacing w:line="360" w:lineRule="auto"/>
        <w:ind w:firstLine="480" w:firstLineChars="200"/>
        <w:jc w:val="left"/>
        <w:rPr>
          <w:rFonts w:hint="eastAsia" w:ascii="宋体" w:hAnsi="宋体" w:eastAsia="宋体" w:cs="宋体"/>
          <w:bCs/>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14</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rPr>
        <w:t>《城市道路照明工程施工及验收规程》CJJ89-2012</w:t>
      </w:r>
    </w:p>
    <w:p>
      <w:pPr>
        <w:spacing w:line="360" w:lineRule="auto"/>
        <w:ind w:firstLine="480" w:firstLineChars="200"/>
        <w:jc w:val="left"/>
        <w:rPr>
          <w:rFonts w:hint="default"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15</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rPr>
        <w:t>《电气装置安装工程 电缆线路施工及验收规范》GB50168-20</w:t>
      </w:r>
      <w:r>
        <w:rPr>
          <w:rFonts w:hint="eastAsia" w:ascii="宋体" w:hAnsi="宋体" w:eastAsia="宋体" w:cs="宋体"/>
          <w:bCs/>
          <w:color w:val="000000" w:themeColor="text1"/>
          <w:sz w:val="24"/>
          <w:szCs w:val="24"/>
          <w:lang w:val="en-US" w:eastAsia="zh-CN"/>
        </w:rPr>
        <w:t>18</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16</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lang w:val="en-US" w:eastAsia="zh-CN"/>
        </w:rPr>
        <w:t>《道路照明灯杆技术条件》CJ/T527-2018</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17</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lang w:val="en-US" w:eastAsia="zh-CN"/>
        </w:rPr>
        <w:t>《乡村道路工程技术规范》GB/T51224-2017；</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18</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lang w:val="en-US" w:eastAsia="zh-CN"/>
        </w:rPr>
        <w:t>《民用建筑电气设计标准》GB51348-2019；</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19</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lang w:val="en-US" w:eastAsia="zh-CN"/>
        </w:rPr>
        <w:t>《LED城市道路照明应用技术要求》GB/T 31832-2015</w:t>
      </w:r>
    </w:p>
    <w:p>
      <w:pPr>
        <w:spacing w:line="360" w:lineRule="auto"/>
        <w:ind w:firstLine="480" w:firstLineChars="200"/>
        <w:jc w:val="left"/>
        <w:rPr>
          <w:rFonts w:hint="default" w:ascii="宋体" w:hAnsi="宋体" w:eastAsia="宋体" w:cs="宋体"/>
          <w:bCs/>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20</w:t>
      </w:r>
      <w:r>
        <w:rPr>
          <w:rFonts w:hint="eastAsia" w:cs="宋体" w:asciiTheme="minorEastAsia" w:hAnsiTheme="minorEastAsia" w:eastAsiaTheme="minorEastAsia"/>
          <w:color w:val="000000" w:themeColor="text1"/>
          <w:sz w:val="24"/>
          <w:szCs w:val="24"/>
        </w:rPr>
        <w:t>）</w:t>
      </w:r>
      <w:r>
        <w:rPr>
          <w:rFonts w:hint="eastAsia" w:ascii="宋体" w:hAnsi="宋体" w:eastAsia="宋体" w:cs="宋体"/>
          <w:bCs/>
          <w:color w:val="000000" w:themeColor="text1"/>
          <w:sz w:val="24"/>
          <w:szCs w:val="24"/>
          <w:lang w:val="en-US" w:eastAsia="zh-CN"/>
        </w:rPr>
        <w:t>《城市道路照明设施运行维护技术标准》T/CMEA 21-2021</w:t>
      </w:r>
    </w:p>
    <w:p>
      <w:pPr>
        <w:pStyle w:val="2"/>
        <w:rPr>
          <w:rFonts w:hint="eastAsia"/>
        </w:rPr>
      </w:pP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21</w:t>
      </w:r>
      <w:r>
        <w:rPr>
          <w:rFonts w:hint="eastAsia" w:cs="宋体" w:asciiTheme="minorEastAsia" w:hAnsiTheme="minorEastAsia" w:eastAsiaTheme="minorEastAsia"/>
          <w:color w:val="000000" w:themeColor="text1"/>
          <w:sz w:val="24"/>
          <w:szCs w:val="24"/>
        </w:rPr>
        <w:t>）《工程建设标准强制性条文》城镇建设部分(2013年版)</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22</w:t>
      </w:r>
      <w:r>
        <w:rPr>
          <w:rFonts w:hint="eastAsia" w:cs="宋体" w:asciiTheme="minorEastAsia" w:hAnsiTheme="minorEastAsia" w:eastAsiaTheme="minorEastAsia"/>
          <w:color w:val="000000" w:themeColor="text1"/>
          <w:sz w:val="24"/>
          <w:szCs w:val="24"/>
        </w:rPr>
        <w:t>）《建设部推广应用和限制禁止使用技术》公告（第218号）2004年</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以及其它有关的地方性规范和标准</w:t>
      </w:r>
    </w:p>
    <w:p>
      <w:pPr>
        <w:spacing w:beforeLines="100" w:line="360" w:lineRule="auto"/>
        <w:ind w:firstLine="480" w:firstLineChars="200"/>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设计基础资料</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1</w:t>
      </w:r>
      <w:r>
        <w:rPr>
          <w:rFonts w:hint="eastAsia" w:cs="宋体" w:asciiTheme="minorEastAsia" w:hAnsiTheme="minorEastAsia" w:eastAsiaTheme="minorEastAsia"/>
          <w:color w:val="000000" w:themeColor="text1"/>
          <w:sz w:val="24"/>
          <w:szCs w:val="24"/>
        </w:rPr>
        <w:t>）实测1：1000地形图；</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2</w:t>
      </w:r>
      <w:r>
        <w:rPr>
          <w:rFonts w:hint="eastAsia" w:cs="宋体" w:asciiTheme="minorEastAsia" w:hAnsiTheme="minorEastAsia" w:eastAsiaTheme="minorEastAsia"/>
          <w:color w:val="000000" w:themeColor="text1"/>
          <w:sz w:val="24"/>
          <w:szCs w:val="24"/>
        </w:rPr>
        <w:t>）</w:t>
      </w:r>
      <w:r>
        <w:rPr>
          <w:rFonts w:hint="eastAsia" w:ascii="宋体" w:hAnsi="宋体"/>
          <w:color w:val="000000" w:themeColor="text1"/>
          <w:sz w:val="24"/>
          <w:lang w:eastAsia="zh-CN"/>
        </w:rPr>
        <w:t>道路纵、横断地面高程测量数据；</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3</w:t>
      </w:r>
      <w:r>
        <w:rPr>
          <w:rFonts w:hint="eastAsia" w:cs="宋体" w:asciiTheme="minorEastAsia" w:hAnsiTheme="minorEastAsia" w:eastAsiaTheme="minorEastAsia"/>
          <w:color w:val="000000" w:themeColor="text1"/>
          <w:sz w:val="24"/>
          <w:szCs w:val="24"/>
        </w:rPr>
        <w:t>）甲方提供的其他相关资料。</w:t>
      </w:r>
    </w:p>
    <w:p>
      <w:pPr>
        <w:numPr>
          <w:ilvl w:val="0"/>
          <w:numId w:val="0"/>
        </w:numPr>
        <w:spacing w:line="360" w:lineRule="auto"/>
        <w:ind w:left="480" w:leftChars="0"/>
        <w:rPr>
          <w:rFonts w:hint="eastAsia" w:cs="宋体" w:asciiTheme="minorEastAsia" w:hAnsiTheme="minorEastAsia" w:eastAsiaTheme="minorEastAsia"/>
          <w:color w:val="000000" w:themeColor="text1"/>
          <w:sz w:val="24"/>
          <w:szCs w:val="24"/>
          <w:lang w:val="en-US" w:eastAsia="zh-CN"/>
        </w:rPr>
      </w:pP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4</w:t>
      </w:r>
      <w:r>
        <w:rPr>
          <w:rFonts w:hint="eastAsia" w:cs="宋体" w:asciiTheme="minorEastAsia" w:hAnsiTheme="minorEastAsia" w:eastAsiaTheme="minorEastAsia"/>
          <w:color w:val="000000" w:themeColor="text1"/>
          <w:sz w:val="24"/>
          <w:szCs w:val="24"/>
        </w:rPr>
        <w:t>）</w:t>
      </w:r>
      <w:r>
        <w:rPr>
          <w:rFonts w:hint="eastAsia" w:cs="宋体" w:asciiTheme="minorEastAsia" w:hAnsiTheme="minorEastAsia" w:eastAsiaTheme="minorEastAsia"/>
          <w:color w:val="000000" w:themeColor="text1"/>
          <w:sz w:val="24"/>
          <w:szCs w:val="24"/>
          <w:lang w:val="en-US" w:eastAsia="zh-CN"/>
        </w:rPr>
        <w:t>导线点位置控制点T3位于村部路灯杆预埋螺栓,</w:t>
      </w:r>
    </w:p>
    <w:p>
      <w:pPr>
        <w:numPr>
          <w:ilvl w:val="0"/>
          <w:numId w:val="0"/>
        </w:numPr>
        <w:spacing w:line="360" w:lineRule="auto"/>
        <w:ind w:left="480" w:leftChars="0" w:firstLine="480" w:firstLineChars="200"/>
        <w:rPr>
          <w:rFonts w:hint="eastAsia" w:ascii="宋体" w:hAnsi="宋体"/>
          <w:b/>
          <w:bCs/>
          <w:color w:val="000000" w:themeColor="text1"/>
          <w:sz w:val="24"/>
        </w:rPr>
      </w:pPr>
      <w:r>
        <w:rPr>
          <w:rFonts w:hint="eastAsia" w:cs="宋体" w:asciiTheme="minorEastAsia" w:hAnsiTheme="minorEastAsia" w:eastAsiaTheme="minorEastAsia"/>
          <w:color w:val="000000" w:themeColor="text1"/>
          <w:sz w:val="24"/>
          <w:szCs w:val="24"/>
          <w:lang w:val="en-US" w:eastAsia="zh-CN"/>
        </w:rPr>
        <w:t>高程246.29m,坐标X=435117.6520  Y=4811995.0720。</w:t>
      </w:r>
    </w:p>
    <w:p>
      <w:pPr>
        <w:spacing w:line="360" w:lineRule="auto"/>
        <w:outlineLvl w:val="1"/>
        <w:rPr>
          <w:rFonts w:hint="eastAsia" w:ascii="宋体" w:hAnsi="宋体"/>
          <w:b/>
          <w:bCs/>
          <w:color w:val="000000" w:themeColor="text1"/>
          <w:sz w:val="24"/>
        </w:rPr>
      </w:pPr>
      <w:r>
        <w:rPr>
          <w:rFonts w:hint="eastAsia" w:ascii="宋体" w:hAnsi="宋体"/>
          <w:b/>
          <w:bCs/>
          <w:color w:val="000000" w:themeColor="text1"/>
          <w:sz w:val="24"/>
        </w:rPr>
        <w:t>2.2、工程验收规范</w:t>
      </w:r>
    </w:p>
    <w:p>
      <w:pPr>
        <w:numPr>
          <w:ilvl w:val="0"/>
          <w:numId w:val="2"/>
        </w:numPr>
        <w:spacing w:line="360" w:lineRule="auto"/>
        <w:ind w:left="0" w:leftChars="0" w:firstLine="420" w:firstLineChars="0"/>
        <w:rPr>
          <w:rFonts w:hint="eastAsia"/>
          <w:color w:val="000000" w:themeColor="text1"/>
        </w:rPr>
      </w:pPr>
      <w:r>
        <w:rPr>
          <w:rFonts w:hint="eastAsia" w:ascii="宋体" w:hAnsi="宋体"/>
          <w:color w:val="000000" w:themeColor="text1"/>
          <w:sz w:val="24"/>
          <w:lang w:eastAsia="zh-CN"/>
        </w:rPr>
        <w:t>《城镇道路工程施工与质量验收规范》CJJ 1-2008</w:t>
      </w:r>
    </w:p>
    <w:p>
      <w:pPr>
        <w:spacing w:beforeLines="100" w:line="360" w:lineRule="auto"/>
        <w:outlineLvl w:val="0"/>
        <w:rPr>
          <w:rFonts w:hint="eastAsia"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2.3技术标准</w:t>
      </w:r>
    </w:p>
    <w:p>
      <w:pPr>
        <w:spacing w:line="360" w:lineRule="auto"/>
        <w:outlineLvl w:val="2"/>
        <w:rPr>
          <w:rFonts w:hint="eastAsia" w:ascii="宋体" w:hAnsi="宋体"/>
          <w:color w:val="000000" w:themeColor="text1"/>
          <w:sz w:val="24"/>
        </w:rPr>
      </w:pPr>
      <w:r>
        <w:rPr>
          <w:rFonts w:hint="eastAsia" w:ascii="宋体" w:hAnsi="宋体"/>
          <w:b/>
          <w:bCs/>
          <w:color w:val="000000" w:themeColor="text1"/>
          <w:sz w:val="24"/>
        </w:rPr>
        <w:t>2.3.1、</w:t>
      </w:r>
      <w:r>
        <w:rPr>
          <w:rFonts w:hint="eastAsia" w:ascii="宋体" w:hAnsi="宋体"/>
          <w:b/>
          <w:color w:val="000000" w:themeColor="text1"/>
          <w:sz w:val="24"/>
        </w:rPr>
        <w:t>道路工程技术标准</w:t>
      </w:r>
      <w:r>
        <w:rPr>
          <w:rFonts w:hint="eastAsia" w:ascii="宋体" w:hAnsi="宋体"/>
          <w:color w:val="000000" w:themeColor="text1"/>
          <w:sz w:val="24"/>
        </w:rPr>
        <w:t>：</w:t>
      </w:r>
    </w:p>
    <w:p>
      <w:pPr>
        <w:pStyle w:val="2"/>
        <w:rPr>
          <w:rFonts w:hint="eastAsia"/>
          <w:color w:val="000000" w:themeColor="text1"/>
        </w:rPr>
      </w:pPr>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201"/>
        <w:gridCol w:w="35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2" w:type="dxa"/>
            <w:noWrap w:val="0"/>
            <w:vAlign w:val="center"/>
          </w:tcPr>
          <w:p>
            <w:pPr>
              <w:jc w:val="center"/>
              <w:rPr>
                <w:color w:val="000000" w:themeColor="text1"/>
              </w:rPr>
            </w:pPr>
            <w:r>
              <w:rPr>
                <w:rFonts w:hint="eastAsia"/>
                <w:color w:val="000000" w:themeColor="text1"/>
              </w:rPr>
              <w:t>序号</w:t>
            </w:r>
          </w:p>
        </w:tc>
        <w:tc>
          <w:tcPr>
            <w:tcW w:w="2201" w:type="dxa"/>
            <w:noWrap w:val="0"/>
            <w:vAlign w:val="center"/>
          </w:tcPr>
          <w:p>
            <w:pPr>
              <w:jc w:val="center"/>
              <w:rPr>
                <w:color w:val="000000" w:themeColor="text1"/>
              </w:rPr>
            </w:pPr>
            <w:r>
              <w:rPr>
                <w:rFonts w:hint="eastAsia"/>
                <w:color w:val="000000" w:themeColor="text1"/>
              </w:rPr>
              <w:t>项目</w:t>
            </w:r>
          </w:p>
        </w:tc>
        <w:tc>
          <w:tcPr>
            <w:tcW w:w="3595" w:type="dxa"/>
            <w:noWrap w:val="0"/>
            <w:vAlign w:val="top"/>
          </w:tcPr>
          <w:p>
            <w:pPr>
              <w:jc w:val="center"/>
              <w:rPr>
                <w:color w:val="000000" w:themeColor="text1"/>
              </w:rPr>
            </w:pPr>
            <w:r>
              <w:rPr>
                <w:rFonts w:hint="eastAsia"/>
                <w:color w:val="000000" w:themeColor="text1"/>
              </w:rPr>
              <w:t>道路等级</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742" w:type="dxa"/>
            <w:noWrap w:val="0"/>
            <w:vAlign w:val="center"/>
          </w:tcPr>
          <w:p>
            <w:pPr>
              <w:jc w:val="center"/>
              <w:rPr>
                <w:color w:val="000000" w:themeColor="text1"/>
              </w:rPr>
            </w:pPr>
            <w:r>
              <w:rPr>
                <w:rFonts w:hint="eastAsia"/>
                <w:color w:val="000000" w:themeColor="text1"/>
              </w:rPr>
              <w:t>1</w:t>
            </w:r>
          </w:p>
        </w:tc>
        <w:tc>
          <w:tcPr>
            <w:tcW w:w="2201" w:type="dxa"/>
            <w:noWrap w:val="0"/>
            <w:vAlign w:val="center"/>
          </w:tcPr>
          <w:p>
            <w:pPr>
              <w:jc w:val="center"/>
              <w:rPr>
                <w:color w:val="000000" w:themeColor="text1"/>
              </w:rPr>
            </w:pPr>
            <w:r>
              <w:rPr>
                <w:rFonts w:hint="eastAsia"/>
                <w:color w:val="000000" w:themeColor="text1"/>
              </w:rPr>
              <w:t>道路分类、等级</w:t>
            </w:r>
          </w:p>
        </w:tc>
        <w:tc>
          <w:tcPr>
            <w:tcW w:w="3595" w:type="dxa"/>
            <w:noWrap w:val="0"/>
            <w:vAlign w:val="top"/>
          </w:tcPr>
          <w:p>
            <w:pPr>
              <w:jc w:val="center"/>
              <w:rPr>
                <w:rFonts w:hint="eastAsia" w:eastAsia="宋体"/>
                <w:color w:val="000000" w:themeColor="text1"/>
                <w:lang w:eastAsia="zh-CN"/>
              </w:rPr>
            </w:pPr>
            <w:r>
              <w:rPr>
                <w:rFonts w:hint="eastAsia"/>
                <w:color w:val="000000" w:themeColor="text1"/>
                <w:lang w:val="en-US" w:eastAsia="zh-CN"/>
              </w:rPr>
              <w:t>巷路</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42" w:type="dxa"/>
            <w:noWrap w:val="0"/>
            <w:vAlign w:val="center"/>
          </w:tcPr>
          <w:p>
            <w:pPr>
              <w:jc w:val="center"/>
              <w:rPr>
                <w:rFonts w:hint="eastAsia"/>
                <w:color w:val="000000" w:themeColor="text1"/>
              </w:rPr>
            </w:pPr>
            <w:r>
              <w:rPr>
                <w:rFonts w:hint="eastAsia"/>
                <w:color w:val="000000" w:themeColor="text1"/>
              </w:rPr>
              <w:t>2</w:t>
            </w:r>
          </w:p>
        </w:tc>
        <w:tc>
          <w:tcPr>
            <w:tcW w:w="2201" w:type="dxa"/>
            <w:noWrap w:val="0"/>
            <w:vAlign w:val="center"/>
          </w:tcPr>
          <w:p>
            <w:pPr>
              <w:jc w:val="center"/>
              <w:rPr>
                <w:color w:val="000000" w:themeColor="text1"/>
              </w:rPr>
            </w:pPr>
            <w:r>
              <w:rPr>
                <w:rFonts w:hint="eastAsia"/>
                <w:color w:val="000000" w:themeColor="text1"/>
              </w:rPr>
              <w:t>路面类型</w:t>
            </w:r>
          </w:p>
        </w:tc>
        <w:tc>
          <w:tcPr>
            <w:tcW w:w="3595" w:type="dxa"/>
            <w:noWrap w:val="0"/>
            <w:vAlign w:val="top"/>
          </w:tcPr>
          <w:p>
            <w:pPr>
              <w:jc w:val="center"/>
              <w:rPr>
                <w:rFonts w:hint="default" w:eastAsia="宋体"/>
                <w:color w:val="000000" w:themeColor="text1"/>
                <w:lang w:val="en-US" w:eastAsia="zh-CN"/>
              </w:rPr>
            </w:pPr>
            <w:r>
              <w:rPr>
                <w:rFonts w:hint="eastAsia"/>
                <w:color w:val="000000" w:themeColor="text1"/>
                <w:lang w:val="en-US" w:eastAsia="zh-CN"/>
              </w:rPr>
              <w:t>水泥混凝土路面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742" w:type="dxa"/>
            <w:noWrap w:val="0"/>
            <w:vAlign w:val="center"/>
          </w:tcPr>
          <w:p>
            <w:pPr>
              <w:jc w:val="center"/>
              <w:rPr>
                <w:rFonts w:hint="eastAsia"/>
                <w:color w:val="000000" w:themeColor="text1"/>
              </w:rPr>
            </w:pPr>
            <w:r>
              <w:rPr>
                <w:rFonts w:hint="eastAsia"/>
                <w:color w:val="000000" w:themeColor="text1"/>
              </w:rPr>
              <w:t>3</w:t>
            </w:r>
          </w:p>
        </w:tc>
        <w:tc>
          <w:tcPr>
            <w:tcW w:w="2201" w:type="dxa"/>
            <w:noWrap w:val="0"/>
            <w:vAlign w:val="center"/>
          </w:tcPr>
          <w:p>
            <w:pPr>
              <w:jc w:val="center"/>
              <w:rPr>
                <w:rFonts w:hint="eastAsia"/>
                <w:color w:val="000000" w:themeColor="text1"/>
              </w:rPr>
            </w:pPr>
            <w:r>
              <w:rPr>
                <w:rFonts w:hint="eastAsia"/>
                <w:color w:val="000000" w:themeColor="text1"/>
              </w:rPr>
              <w:t>车道数</w:t>
            </w:r>
          </w:p>
        </w:tc>
        <w:tc>
          <w:tcPr>
            <w:tcW w:w="3595" w:type="dxa"/>
            <w:noWrap w:val="0"/>
            <w:vAlign w:val="top"/>
          </w:tcPr>
          <w:p>
            <w:pPr>
              <w:jc w:val="center"/>
              <w:rPr>
                <w:rFonts w:hint="eastAsia"/>
                <w:color w:val="000000" w:themeColor="text1"/>
              </w:rPr>
            </w:pPr>
            <w:r>
              <w:rPr>
                <w:rFonts w:hint="eastAsia"/>
                <w:color w:val="000000" w:themeColor="text1"/>
              </w:rPr>
              <w:t>双向一车道</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42" w:type="dxa"/>
            <w:noWrap w:val="0"/>
            <w:vAlign w:val="center"/>
          </w:tcPr>
          <w:p>
            <w:pPr>
              <w:jc w:val="center"/>
              <w:rPr>
                <w:rFonts w:hint="eastAsia"/>
                <w:color w:val="000000" w:themeColor="text1"/>
              </w:rPr>
            </w:pPr>
            <w:r>
              <w:rPr>
                <w:rFonts w:hint="eastAsia"/>
                <w:color w:val="000000" w:themeColor="text1"/>
              </w:rPr>
              <w:t>4</w:t>
            </w:r>
          </w:p>
        </w:tc>
        <w:tc>
          <w:tcPr>
            <w:tcW w:w="2201" w:type="dxa"/>
            <w:noWrap w:val="0"/>
            <w:vAlign w:val="center"/>
          </w:tcPr>
          <w:p>
            <w:pPr>
              <w:jc w:val="center"/>
              <w:rPr>
                <w:color w:val="000000" w:themeColor="text1"/>
              </w:rPr>
            </w:pPr>
            <w:r>
              <w:rPr>
                <w:rFonts w:hint="eastAsia"/>
                <w:color w:val="000000" w:themeColor="text1"/>
              </w:rPr>
              <w:t>路面结构设计年限</w:t>
            </w:r>
          </w:p>
        </w:tc>
        <w:tc>
          <w:tcPr>
            <w:tcW w:w="3595" w:type="dxa"/>
            <w:noWrap w:val="0"/>
            <w:vAlign w:val="top"/>
          </w:tcPr>
          <w:p>
            <w:pPr>
              <w:jc w:val="center"/>
              <w:rPr>
                <w:color w:val="000000" w:themeColor="text1"/>
              </w:rPr>
            </w:pPr>
            <w:r>
              <w:rPr>
                <w:rFonts w:hint="eastAsia"/>
                <w:color w:val="000000" w:themeColor="text1"/>
              </w:rPr>
              <w:t>10年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742" w:type="dxa"/>
            <w:noWrap w:val="0"/>
            <w:vAlign w:val="center"/>
          </w:tcPr>
          <w:p>
            <w:pPr>
              <w:jc w:val="center"/>
              <w:rPr>
                <w:rFonts w:hint="eastAsia" w:eastAsia="宋体"/>
                <w:color w:val="000000" w:themeColor="text1"/>
                <w:lang w:val="en-US" w:eastAsia="zh-CN"/>
              </w:rPr>
            </w:pPr>
            <w:r>
              <w:rPr>
                <w:rFonts w:hint="eastAsia"/>
                <w:color w:val="000000" w:themeColor="text1"/>
                <w:lang w:val="en-US" w:eastAsia="zh-CN"/>
              </w:rPr>
              <w:t>5</w:t>
            </w:r>
          </w:p>
        </w:tc>
        <w:tc>
          <w:tcPr>
            <w:tcW w:w="2201" w:type="dxa"/>
            <w:noWrap w:val="0"/>
            <w:vAlign w:val="center"/>
          </w:tcPr>
          <w:p>
            <w:pPr>
              <w:jc w:val="center"/>
              <w:rPr>
                <w:rFonts w:hint="default" w:eastAsia="宋体"/>
                <w:color w:val="000000" w:themeColor="text1"/>
                <w:lang w:val="en-US" w:eastAsia="zh-CN"/>
              </w:rPr>
            </w:pPr>
            <w:r>
              <w:rPr>
                <w:rFonts w:hint="eastAsia"/>
                <w:color w:val="000000" w:themeColor="text1"/>
                <w:lang w:val="en-US" w:eastAsia="zh-CN"/>
              </w:rPr>
              <w:t>设计速度</w:t>
            </w:r>
          </w:p>
        </w:tc>
        <w:tc>
          <w:tcPr>
            <w:tcW w:w="3595" w:type="dxa"/>
            <w:noWrap w:val="0"/>
            <w:vAlign w:val="top"/>
          </w:tcPr>
          <w:p>
            <w:pPr>
              <w:jc w:val="center"/>
              <w:rPr>
                <w:rFonts w:hint="default"/>
                <w:color w:val="000000" w:themeColor="text1"/>
                <w:lang w:val="en-US" w:eastAsia="zh-CN"/>
              </w:rPr>
            </w:pPr>
            <w:r>
              <w:rPr>
                <w:rFonts w:hint="eastAsia"/>
                <w:color w:val="000000" w:themeColor="text1"/>
                <w:lang w:val="en-US" w:eastAsia="zh-CN"/>
              </w:rPr>
              <w:t>15km/h</w:t>
            </w:r>
          </w:p>
        </w:tc>
      </w:tr>
    </w:tbl>
    <w:p>
      <w:pPr>
        <w:spacing w:beforeLines="100" w:line="360" w:lineRule="auto"/>
        <w:outlineLvl w:val="0"/>
        <w:rPr>
          <w:rFonts w:hint="eastAsia" w:cs="宋体" w:asciiTheme="minorEastAsia" w:hAnsiTheme="minorEastAsia" w:eastAsiaTheme="minorEastAsia"/>
          <w:b/>
          <w:color w:val="000000" w:themeColor="text1"/>
          <w:sz w:val="24"/>
          <w:lang w:val="en-US" w:eastAsia="zh-CN"/>
        </w:rPr>
      </w:pPr>
      <w:bookmarkStart w:id="1" w:name="_Toc78"/>
      <w:r>
        <w:rPr>
          <w:rFonts w:hint="eastAsia" w:cs="宋体" w:asciiTheme="minorEastAsia" w:hAnsiTheme="minorEastAsia" w:eastAsiaTheme="minorEastAsia"/>
          <w:b/>
          <w:color w:val="000000" w:themeColor="text1"/>
          <w:sz w:val="24"/>
          <w:lang w:val="en-US" w:eastAsia="zh-CN"/>
        </w:rPr>
        <w:t>3、测设经过</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我公司组织专业人员进行了全线外业勘测及调查，在外业勘测前组织有关工程技术人员对本项目的工程设计方案进行了详细研究和实地踏查。</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外业测量中全部采用GPS（RTK）卫星定位系统进行放样，全线进行精确的路线平、纵、横测量及对各种交叉构造物的测量。对沿线居民分布、农田水利设施、建筑物、河流、沟渠、鱼塘、管线、地类及行政区划等进行了详细调查。</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在勘测及设计期间公司总工办及相关技术负责人员多次亲临现场检查指导，保证了勘测设计的质量与进度。对外业资料进行整理核对后，我公司相关部门按ISO9001质量体系规定对勘测成果进行了内部验收，内部验收后确定了最终的设计方案。</w:t>
      </w:r>
    </w:p>
    <w:p>
      <w:pPr>
        <w:spacing w:beforeLines="100" w:line="360" w:lineRule="auto"/>
        <w:outlineLvl w:val="0"/>
        <w:rPr>
          <w:rFonts w:hint="default" w:cs="宋体" w:asciiTheme="minorEastAsia" w:hAnsiTheme="minorEastAsia" w:eastAsiaTheme="minorEastAsia"/>
          <w:color w:val="000000" w:themeColor="text1"/>
          <w:kern w:val="0"/>
          <w:sz w:val="24"/>
          <w:lang w:val="en-US"/>
        </w:rPr>
      </w:pPr>
      <w:r>
        <w:rPr>
          <w:rFonts w:hint="eastAsia" w:cs="宋体" w:asciiTheme="minorEastAsia" w:hAnsiTheme="minorEastAsia" w:eastAsiaTheme="minorEastAsia"/>
          <w:b/>
          <w:color w:val="000000" w:themeColor="text1"/>
          <w:sz w:val="24"/>
          <w:lang w:val="en-US" w:eastAsia="zh-CN"/>
        </w:rPr>
        <w:t>4、</w:t>
      </w:r>
      <w:bookmarkEnd w:id="1"/>
      <w:r>
        <w:rPr>
          <w:rFonts w:hint="eastAsia" w:cs="宋体" w:asciiTheme="minorEastAsia" w:hAnsiTheme="minorEastAsia" w:eastAsiaTheme="minorEastAsia"/>
          <w:b/>
          <w:color w:val="000000" w:themeColor="text1"/>
          <w:sz w:val="24"/>
          <w:lang w:val="en-US" w:eastAsia="zh-CN"/>
        </w:rPr>
        <w:t>建设条件</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4.1地形地貌</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伊通地处长白山脉向松辽平原过渡的丘陵地带。东南部和西北部分属吉林哈达岭余脉和大黑山脉，多为连绵起伏的低山丘陵，占伊通满族自治县总面积的60.8%。境内最高点为河源镇青顶山，海拔611米。中部、西部为伊通河与东辽河的冲积平原和侵蚀台地，地势大致由南向北倾斜。境内地貌按成因和形态可分6种类型。</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r>
        <w:rPr>
          <w:rFonts w:hint="eastAsia" w:cs="宋体" w:asciiTheme="minorEastAsia" w:hAnsiTheme="minorEastAsia" w:eastAsiaTheme="minorEastAsia"/>
          <w:color w:val="000000" w:themeColor="text1"/>
          <w:kern w:val="0"/>
          <w:sz w:val="24"/>
          <w:lang w:val="zh-CN"/>
        </w:rPr>
        <w:t>根据《建筑抗震设计规范》（GB50011-2010）（2016年版）中有关建（构）筑物抗震设防烈度、设计基本地震加速度和设计地震分组的规定，及通过查《中国地震动参数区划图》（GB18306-2015）明确：抗震设防烈度为6度，设计基本地震加速度值为0.05g。</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4.2气候水文</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zh-CN"/>
        </w:rPr>
      </w:pPr>
      <w:bookmarkStart w:id="2" w:name="_Toc10539"/>
      <w:r>
        <w:rPr>
          <w:rFonts w:hint="eastAsia" w:cs="宋体" w:asciiTheme="minorEastAsia" w:hAnsiTheme="minorEastAsia" w:eastAsiaTheme="minorEastAsia"/>
          <w:color w:val="000000" w:themeColor="text1"/>
          <w:kern w:val="0"/>
          <w:sz w:val="24"/>
          <w:lang w:val="zh-CN"/>
        </w:rPr>
        <w:t>伊通满族自治县属北温带大陆性季风气候，春季干燥多风，夏季短促湿热，秋季晴冷温差较大，冬季严寒而漫长。市区内平均气温5.5摄氏度，夏季最高气温极值35.5摄氏度，冬季最低气温历史极值-40.2摄氏度，年平均降水量651.7毫米，日照时数2261小时，年平均风速为2.2米/秒，这为项目建设提供了良好的气候条件。</w:t>
      </w:r>
    </w:p>
    <w:p>
      <w:pPr>
        <w:spacing w:beforeLines="100" w:line="360" w:lineRule="auto"/>
        <w:outlineLvl w:val="0"/>
        <w:rPr>
          <w:rFonts w:hint="default"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4.3、</w:t>
      </w:r>
      <w:bookmarkEnd w:id="2"/>
      <w:r>
        <w:rPr>
          <w:rFonts w:hint="eastAsia" w:cs="宋体" w:asciiTheme="minorEastAsia" w:hAnsiTheme="minorEastAsia" w:eastAsiaTheme="minorEastAsia"/>
          <w:b/>
          <w:color w:val="000000" w:themeColor="text1"/>
          <w:sz w:val="24"/>
          <w:lang w:val="en-US" w:eastAsia="zh-CN"/>
        </w:rPr>
        <w:t>旧路概况</w:t>
      </w:r>
    </w:p>
    <w:p>
      <w:pPr>
        <w:spacing w:line="360" w:lineRule="auto"/>
        <w:ind w:firstLine="470" w:firstLineChars="196"/>
        <w:rPr>
          <w:rFonts w:hint="eastAsia" w:cs="宋体" w:asciiTheme="minorEastAsia" w:hAnsiTheme="minorEastAsia" w:eastAsiaTheme="minorEastAsia"/>
          <w:color w:val="000000" w:themeColor="text1"/>
          <w:kern w:val="0"/>
          <w:sz w:val="24"/>
          <w:lang w:val="en-US" w:eastAsia="zh-CN"/>
        </w:rPr>
      </w:pPr>
      <w:r>
        <w:rPr>
          <w:rFonts w:hint="eastAsia" w:cs="宋体" w:asciiTheme="minorEastAsia" w:hAnsiTheme="minorEastAsia" w:eastAsiaTheme="minorEastAsia"/>
          <w:color w:val="000000" w:themeColor="text1"/>
          <w:kern w:val="0"/>
          <w:sz w:val="24"/>
          <w:highlight w:val="none"/>
          <w:lang w:val="en-US" w:eastAsia="zh-CN"/>
        </w:rPr>
        <w:t>马鞍山镇街里村2024年基础设施建设项目</w:t>
      </w:r>
      <w:r>
        <w:rPr>
          <w:rFonts w:hint="eastAsia" w:cs="宋体" w:asciiTheme="minorEastAsia" w:hAnsiTheme="minorEastAsia" w:eastAsiaTheme="minorEastAsia"/>
          <w:color w:val="000000" w:themeColor="text1"/>
          <w:kern w:val="0"/>
          <w:sz w:val="24"/>
          <w:lang w:val="en-US" w:eastAsia="zh-CN"/>
        </w:rPr>
        <w:t>是</w:t>
      </w:r>
      <w:r>
        <w:rPr>
          <w:rFonts w:hint="eastAsia" w:cs="宋体" w:asciiTheme="minorEastAsia" w:hAnsiTheme="minorEastAsia" w:eastAsiaTheme="minorEastAsia"/>
          <w:color w:val="000000" w:themeColor="text1"/>
          <w:kern w:val="0"/>
          <w:sz w:val="24"/>
          <w:highlight w:val="none"/>
          <w:lang w:val="en-US" w:eastAsia="zh-CN"/>
        </w:rPr>
        <w:t>街里村村</w:t>
      </w:r>
      <w:r>
        <w:rPr>
          <w:rFonts w:hint="eastAsia" w:cs="宋体" w:asciiTheme="minorEastAsia" w:hAnsiTheme="minorEastAsia" w:eastAsiaTheme="minorEastAsia"/>
          <w:color w:val="000000" w:themeColor="text1"/>
          <w:kern w:val="0"/>
          <w:sz w:val="24"/>
          <w:lang w:val="en-US" w:eastAsia="zh-CN"/>
        </w:rPr>
        <w:t>内道路，村民出行主要道路，原有道路为土路，路面坑洼不平，路面宽度3.0、4.0m,原有道路多年行车碾压、以及常年雨水冲刷，道路受损严重，</w:t>
      </w:r>
      <w:r>
        <w:rPr>
          <w:rFonts w:hint="eastAsia" w:cs="宋体" w:asciiTheme="minorEastAsia" w:hAnsiTheme="minorEastAsia" w:eastAsiaTheme="minorEastAsia"/>
          <w:color w:val="000000" w:themeColor="text1"/>
          <w:kern w:val="0"/>
          <w:sz w:val="24"/>
        </w:rPr>
        <w:t>春秋季节尘土飞扬</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原有排水管孔径偏小、堵塞、坍塌、雨季道路泥泞不堪，排水不畅，给当地居民以及过往车辆带来极大困扰，</w:t>
      </w:r>
      <w:r>
        <w:rPr>
          <w:rFonts w:hint="eastAsia" w:cs="宋体" w:asciiTheme="minorEastAsia" w:hAnsiTheme="minorEastAsia" w:eastAsiaTheme="minorEastAsia"/>
          <w:color w:val="000000" w:themeColor="text1"/>
          <w:kern w:val="0"/>
          <w:sz w:val="24"/>
        </w:rPr>
        <w:t>受道路条件的限制，群众各种生活必需品及农副产品无法顺利输送，</w:t>
      </w:r>
      <w:r>
        <w:rPr>
          <w:rFonts w:hint="eastAsia" w:cs="宋体" w:asciiTheme="minorEastAsia" w:hAnsiTheme="minorEastAsia" w:eastAsiaTheme="minorEastAsia"/>
          <w:color w:val="000000" w:themeColor="text1"/>
          <w:kern w:val="0"/>
          <w:sz w:val="24"/>
          <w:lang w:val="en-US" w:eastAsia="zh-CN"/>
        </w:rPr>
        <w:t>同时村内无照明系统，</w:t>
      </w:r>
      <w:r>
        <w:rPr>
          <w:rFonts w:hint="eastAsia" w:cs="宋体" w:asciiTheme="minorEastAsia" w:hAnsiTheme="minorEastAsia" w:eastAsiaTheme="minorEastAsia"/>
          <w:color w:val="000000" w:themeColor="text1"/>
          <w:kern w:val="0"/>
          <w:sz w:val="24"/>
        </w:rPr>
        <w:t>给百姓的出行和运输带来极大的不便</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制约了当地经济发展。</w:t>
      </w:r>
    </w:p>
    <w:p>
      <w:pPr>
        <w:numPr>
          <w:ilvl w:val="0"/>
          <w:numId w:val="0"/>
        </w:numPr>
        <w:spacing w:beforeLines="100" w:line="360" w:lineRule="auto"/>
        <w:outlineLvl w:val="0"/>
        <w:rPr>
          <w:rFonts w:hint="eastAsia" w:cs="宋体" w:asciiTheme="minorEastAsia" w:hAnsiTheme="minorEastAsia" w:eastAsiaTheme="minorEastAsia"/>
          <w:b/>
          <w:color w:val="000000" w:themeColor="text1"/>
          <w:sz w:val="24"/>
          <w:lang w:val="en-US" w:eastAsia="zh-CN"/>
        </w:rPr>
      </w:pPr>
      <w:r>
        <w:rPr>
          <w:rFonts w:hint="eastAsia" w:cs="宋体" w:asciiTheme="minorEastAsia" w:hAnsiTheme="minorEastAsia" w:eastAsiaTheme="minorEastAsia"/>
          <w:b/>
          <w:color w:val="000000" w:themeColor="text1"/>
          <w:sz w:val="24"/>
          <w:lang w:val="en-US" w:eastAsia="zh-CN"/>
        </w:rPr>
        <w:t>5、设计概要</w:t>
      </w:r>
    </w:p>
    <w:p>
      <w:pPr>
        <w:spacing w:line="360" w:lineRule="auto"/>
        <w:outlineLvl w:val="1"/>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.1、工程范围、工程规模、主要工程内容</w:t>
      </w:r>
    </w:p>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.1.1、工程范围</w:t>
      </w:r>
    </w:p>
    <w:p>
      <w:pPr>
        <w:spacing w:line="360" w:lineRule="auto"/>
        <w:ind w:firstLine="480" w:firstLineChars="200"/>
        <w:jc w:val="left"/>
        <w:rPr>
          <w:rFonts w:hint="eastAsia" w:ascii="宋体" w:hAnsi="宋体"/>
          <w:color w:val="000000" w:themeColor="text1"/>
          <w:sz w:val="24"/>
        </w:rPr>
      </w:pPr>
      <w:r>
        <w:rPr>
          <w:rFonts w:hint="eastAsia" w:ascii="宋体" w:hAnsi="宋体"/>
          <w:color w:val="000000" w:themeColor="text1"/>
          <w:sz w:val="24"/>
        </w:rPr>
        <w:t>本项目位于伊通满族自治县</w:t>
      </w:r>
      <w:r>
        <w:rPr>
          <w:rFonts w:hint="eastAsia" w:cs="宋体" w:asciiTheme="minorEastAsia" w:hAnsiTheme="minorEastAsia" w:eastAsiaTheme="minorEastAsia"/>
          <w:color w:val="000000" w:themeColor="text1"/>
          <w:kern w:val="0"/>
          <w:sz w:val="24"/>
          <w:highlight w:val="none"/>
          <w:lang w:val="en-US" w:eastAsia="zh-CN"/>
        </w:rPr>
        <w:t>马鞍山镇街里村</w:t>
      </w:r>
      <w:r>
        <w:rPr>
          <w:rFonts w:hint="eastAsia" w:cs="宋体" w:asciiTheme="minorEastAsia" w:hAnsiTheme="minorEastAsia" w:eastAsiaTheme="minorEastAsia"/>
          <w:color w:val="000000" w:themeColor="text1"/>
          <w:kern w:val="0"/>
          <w:sz w:val="24"/>
          <w:lang w:val="en-US" w:eastAsia="zh-CN"/>
        </w:rPr>
        <w:t>屯内</w:t>
      </w:r>
      <w:r>
        <w:rPr>
          <w:rFonts w:hint="eastAsia" w:ascii="宋体" w:hAnsi="宋体"/>
          <w:color w:val="000000" w:themeColor="text1"/>
          <w:sz w:val="24"/>
          <w:szCs w:val="22"/>
        </w:rPr>
        <w:t>。</w:t>
      </w:r>
    </w:p>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 xml:space="preserve">.1.2、工程规模 </w:t>
      </w:r>
    </w:p>
    <w:p>
      <w:pPr>
        <w:spacing w:line="360" w:lineRule="auto"/>
        <w:ind w:firstLine="480" w:firstLineChars="200"/>
        <w:jc w:val="left"/>
        <w:rPr>
          <w:rFonts w:hint="default" w:ascii="宋体" w:hAnsi="宋体" w:eastAsia="宋体"/>
          <w:bCs/>
          <w:color w:val="000000" w:themeColor="text1"/>
          <w:sz w:val="24"/>
          <w:lang w:val="en-US" w:eastAsia="zh-CN"/>
        </w:rPr>
      </w:pPr>
      <w:r>
        <w:rPr>
          <w:rFonts w:hint="eastAsia" w:ascii="宋体" w:hAnsi="宋体"/>
          <w:color w:val="000000" w:themeColor="text1"/>
          <w:sz w:val="24"/>
        </w:rPr>
        <w:t>本</w:t>
      </w:r>
      <w:r>
        <w:rPr>
          <w:rFonts w:hint="eastAsia" w:ascii="宋体" w:hAnsi="宋体"/>
          <w:bCs/>
          <w:color w:val="000000" w:themeColor="text1"/>
          <w:sz w:val="24"/>
        </w:rPr>
        <w:t>工程设计内容道路工程</w:t>
      </w:r>
      <w:r>
        <w:rPr>
          <w:rFonts w:hint="eastAsia" w:ascii="宋体" w:hAnsi="宋体"/>
          <w:bCs/>
          <w:color w:val="000000" w:themeColor="text1"/>
          <w:sz w:val="24"/>
          <w:lang w:eastAsia="zh-CN"/>
        </w:rPr>
        <w:t>，</w:t>
      </w:r>
      <w:r>
        <w:rPr>
          <w:rFonts w:hint="eastAsia" w:ascii="宋体" w:hAnsi="宋体"/>
          <w:bCs/>
          <w:color w:val="000000" w:themeColor="text1"/>
          <w:sz w:val="24"/>
          <w:lang w:val="en-US" w:eastAsia="zh-CN"/>
        </w:rPr>
        <w:t>照明工程。</w:t>
      </w:r>
    </w:p>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w:t>
      </w:r>
      <w:r>
        <w:rPr>
          <w:rFonts w:hint="eastAsia" w:ascii="宋体" w:hAnsi="宋体"/>
          <w:b/>
          <w:bCs/>
          <w:color w:val="000000" w:themeColor="text1"/>
          <w:sz w:val="24"/>
        </w:rPr>
        <w:t>.1.3、主要工程内容</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en-US" w:eastAsia="zh-CN"/>
        </w:rPr>
      </w:pPr>
      <w:r>
        <w:rPr>
          <w:rFonts w:hint="eastAsia" w:cs="宋体" w:asciiTheme="minorEastAsia" w:hAnsiTheme="minorEastAsia" w:eastAsiaTheme="minorEastAsia"/>
          <w:color w:val="000000" w:themeColor="text1"/>
          <w:kern w:val="0"/>
          <w:sz w:val="24"/>
          <w:lang w:val="en-US" w:eastAsia="zh-CN"/>
        </w:rPr>
        <w:t>修建</w:t>
      </w:r>
      <w:r>
        <w:rPr>
          <w:rFonts w:hint="eastAsia" w:cs="宋体" w:asciiTheme="minorEastAsia" w:hAnsiTheme="minorEastAsia" w:eastAsiaTheme="minorEastAsia"/>
          <w:color w:val="000000" w:themeColor="text1"/>
          <w:kern w:val="0"/>
          <w:sz w:val="24"/>
        </w:rPr>
        <w:t>水泥混凝土路面村内</w:t>
      </w:r>
      <w:r>
        <w:rPr>
          <w:rFonts w:hint="eastAsia" w:cs="宋体" w:asciiTheme="minorEastAsia" w:hAnsiTheme="minorEastAsia" w:eastAsiaTheme="minorEastAsia"/>
          <w:color w:val="000000" w:themeColor="text1"/>
          <w:kern w:val="0"/>
          <w:sz w:val="24"/>
          <w:lang w:eastAsia="zh-CN"/>
        </w:rPr>
        <w:t>道</w:t>
      </w:r>
      <w:r>
        <w:rPr>
          <w:rFonts w:hint="eastAsia" w:cs="宋体" w:asciiTheme="minorEastAsia" w:hAnsiTheme="minorEastAsia" w:eastAsiaTheme="minorEastAsia"/>
          <w:color w:val="000000" w:themeColor="text1"/>
          <w:kern w:val="0"/>
          <w:sz w:val="24"/>
          <w:lang w:val="en-US" w:eastAsia="zh-CN"/>
        </w:rPr>
        <w:t>路2953.98m；路面宽度分别为3.0、4.0m，铺装面积10879.67㎡(包含加铺转角)，太阳能路灯64盏，φ600土埋</w:t>
      </w:r>
      <w:r>
        <w:rPr>
          <w:rFonts w:hint="eastAsia" w:cs="宋体" w:asciiTheme="minorEastAsia" w:hAnsiTheme="minorEastAsia" w:eastAsiaTheme="minorEastAsia"/>
          <w:color w:val="000000" w:themeColor="text1"/>
          <w:kern w:val="0"/>
          <w:sz w:val="24"/>
        </w:rPr>
        <w:t>管</w:t>
      </w:r>
      <w:r>
        <w:rPr>
          <w:rFonts w:hint="eastAsia" w:cs="宋体" w:asciiTheme="minorEastAsia" w:hAnsiTheme="minorEastAsia" w:eastAsiaTheme="minorEastAsia"/>
          <w:color w:val="000000" w:themeColor="text1"/>
          <w:kern w:val="0"/>
          <w:sz w:val="24"/>
          <w:lang w:val="en-US" w:eastAsia="zh-CN"/>
        </w:rPr>
        <w:t>涵7</w:t>
      </w:r>
      <w:r>
        <w:rPr>
          <w:rFonts w:hint="eastAsia" w:cs="宋体" w:asciiTheme="minorEastAsia" w:hAnsiTheme="minorEastAsia" w:eastAsiaTheme="minorEastAsia"/>
          <w:color w:val="000000" w:themeColor="text1"/>
          <w:kern w:val="0"/>
          <w:sz w:val="24"/>
        </w:rPr>
        <w:t>座</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φ800土埋</w:t>
      </w:r>
      <w:r>
        <w:rPr>
          <w:rFonts w:hint="eastAsia" w:cs="宋体" w:asciiTheme="minorEastAsia" w:hAnsiTheme="minorEastAsia" w:eastAsiaTheme="minorEastAsia"/>
          <w:color w:val="000000" w:themeColor="text1"/>
          <w:kern w:val="0"/>
          <w:sz w:val="24"/>
        </w:rPr>
        <w:t>管</w:t>
      </w:r>
      <w:r>
        <w:rPr>
          <w:rFonts w:hint="eastAsia" w:cs="宋体" w:asciiTheme="minorEastAsia" w:hAnsiTheme="minorEastAsia" w:eastAsiaTheme="minorEastAsia"/>
          <w:color w:val="000000" w:themeColor="text1"/>
          <w:kern w:val="0"/>
          <w:sz w:val="24"/>
          <w:lang w:val="en-US" w:eastAsia="zh-CN"/>
        </w:rPr>
        <w:t>涵1</w:t>
      </w:r>
      <w:r>
        <w:rPr>
          <w:rFonts w:hint="eastAsia" w:cs="宋体" w:asciiTheme="minorEastAsia" w:hAnsiTheme="minorEastAsia" w:eastAsiaTheme="minorEastAsia"/>
          <w:color w:val="000000" w:themeColor="text1"/>
          <w:kern w:val="0"/>
          <w:sz w:val="24"/>
        </w:rPr>
        <w:t>座</w:t>
      </w:r>
      <w:r>
        <w:rPr>
          <w:rFonts w:hint="eastAsia" w:cs="宋体" w:asciiTheme="minorEastAsia" w:hAnsiTheme="minorEastAsia" w:eastAsiaTheme="minorEastAsia"/>
          <w:color w:val="000000" w:themeColor="text1"/>
          <w:kern w:val="0"/>
          <w:sz w:val="24"/>
          <w:lang w:eastAsia="zh-CN"/>
        </w:rPr>
        <w:t>。</w:t>
      </w:r>
    </w:p>
    <w:p>
      <w:pPr>
        <w:spacing w:beforeLines="100" w:line="360" w:lineRule="auto"/>
        <w:outlineLvl w:val="0"/>
        <w:rPr>
          <w:rFonts w:cs="宋体" w:asciiTheme="minorEastAsia" w:hAnsiTheme="minorEastAsia" w:eastAsiaTheme="minorEastAsia"/>
          <w:b/>
          <w:color w:val="000000" w:themeColor="text1"/>
          <w:sz w:val="24"/>
        </w:rPr>
      </w:pPr>
      <w:bookmarkStart w:id="3" w:name="_Toc13249"/>
      <w:r>
        <w:rPr>
          <w:rFonts w:hint="eastAsia" w:cs="宋体" w:asciiTheme="minorEastAsia" w:hAnsiTheme="minorEastAsia" w:eastAsiaTheme="minorEastAsia"/>
          <w:b/>
          <w:color w:val="000000" w:themeColor="text1"/>
          <w:sz w:val="24"/>
          <w:lang w:val="en-US" w:eastAsia="zh-CN"/>
        </w:rPr>
        <w:t>5</w:t>
      </w:r>
      <w:r>
        <w:rPr>
          <w:rFonts w:hint="eastAsia" w:cs="宋体" w:asciiTheme="minorEastAsia" w:hAnsiTheme="minorEastAsia" w:eastAsiaTheme="minorEastAsia"/>
          <w:b/>
          <w:color w:val="000000" w:themeColor="text1"/>
          <w:sz w:val="24"/>
        </w:rPr>
        <w:t>.</w:t>
      </w:r>
      <w:r>
        <w:rPr>
          <w:rFonts w:hint="eastAsia" w:cs="宋体" w:asciiTheme="minorEastAsia" w:hAnsiTheme="minorEastAsia" w:eastAsiaTheme="minorEastAsia"/>
          <w:b/>
          <w:color w:val="000000" w:themeColor="text1"/>
          <w:sz w:val="24"/>
          <w:lang w:val="en-US" w:eastAsia="zh-CN"/>
        </w:rPr>
        <w:t>2</w:t>
      </w:r>
      <w:r>
        <w:rPr>
          <w:rFonts w:hint="eastAsia" w:cs="宋体" w:asciiTheme="minorEastAsia" w:hAnsiTheme="minorEastAsia" w:eastAsiaTheme="minorEastAsia"/>
          <w:b/>
          <w:color w:val="000000" w:themeColor="text1"/>
          <w:sz w:val="24"/>
        </w:rPr>
        <w:t>设计原则</w:t>
      </w:r>
      <w:bookmarkEnd w:id="3"/>
    </w:p>
    <w:p>
      <w:pPr>
        <w:spacing w:line="360" w:lineRule="auto"/>
        <w:outlineLvl w:val="3"/>
        <w:rPr>
          <w:rFonts w:ascii="宋体" w:hAnsi="宋体"/>
          <w:b/>
          <w:color w:val="000000" w:themeColor="text1"/>
          <w:sz w:val="24"/>
          <w:szCs w:val="24"/>
        </w:rPr>
      </w:pPr>
      <w:bookmarkStart w:id="4" w:name="_Toc409266861"/>
      <w:bookmarkStart w:id="5" w:name="_Toc303673649"/>
      <w:bookmarkStart w:id="6" w:name="_Toc13261"/>
      <w:r>
        <w:rPr>
          <w:rFonts w:hint="eastAsia" w:ascii="宋体" w:hAnsi="宋体"/>
          <w:b/>
          <w:color w:val="000000" w:themeColor="text1"/>
          <w:sz w:val="24"/>
          <w:szCs w:val="24"/>
          <w:lang w:val="en-US" w:eastAsia="zh-CN"/>
        </w:rPr>
        <w:t>5</w:t>
      </w:r>
      <w:r>
        <w:rPr>
          <w:rFonts w:hint="eastAsia" w:ascii="宋体" w:hAnsi="宋体"/>
          <w:b/>
          <w:color w:val="000000" w:themeColor="text1"/>
          <w:sz w:val="24"/>
          <w:szCs w:val="24"/>
        </w:rPr>
        <w:t>.1.1.道路平面设计原则</w:t>
      </w:r>
      <w:bookmarkEnd w:id="4"/>
      <w:bookmarkEnd w:id="5"/>
    </w:p>
    <w:p>
      <w:pPr>
        <w:pStyle w:val="8"/>
        <w:numPr>
          <w:ilvl w:val="0"/>
          <w:numId w:val="0"/>
        </w:numPr>
        <w:spacing w:line="360" w:lineRule="auto"/>
        <w:ind w:left="420" w:leftChars="0"/>
        <w:rPr>
          <w:rFonts w:hint="eastAsia" w:hAnsi="宋体" w:cs="宋体"/>
          <w:color w:val="000000" w:themeColor="text1"/>
          <w:kern w:val="0"/>
          <w:sz w:val="24"/>
          <w:szCs w:val="24"/>
          <w:lang w:val="en-US" w:eastAsia="zh-CN"/>
        </w:rPr>
      </w:pPr>
      <w:bookmarkStart w:id="7" w:name="_Toc303673650"/>
      <w:bookmarkStart w:id="8" w:name="_Toc409266862"/>
      <w:r>
        <w:rPr>
          <w:rFonts w:hint="eastAsia" w:hAnsi="宋体" w:cs="宋体"/>
          <w:color w:val="000000" w:themeColor="text1"/>
          <w:kern w:val="0"/>
          <w:sz w:val="24"/>
          <w:szCs w:val="24"/>
          <w:lang w:val="en-US" w:eastAsia="zh-CN"/>
        </w:rPr>
        <w:t>1. 平面线位按照既有道路走向确定。</w:t>
      </w:r>
    </w:p>
    <w:p>
      <w:pPr>
        <w:spacing w:line="360" w:lineRule="auto"/>
        <w:outlineLvl w:val="3"/>
        <w:rPr>
          <w:rFonts w:ascii="宋体" w:hAnsi="宋体"/>
          <w:b/>
          <w:color w:val="000000" w:themeColor="text1"/>
          <w:sz w:val="24"/>
          <w:szCs w:val="24"/>
        </w:rPr>
      </w:pPr>
      <w:r>
        <w:rPr>
          <w:rFonts w:hint="eastAsia" w:ascii="宋体" w:hAnsi="宋体"/>
          <w:b/>
          <w:color w:val="000000" w:themeColor="text1"/>
          <w:sz w:val="24"/>
          <w:szCs w:val="24"/>
          <w:lang w:val="en-US" w:eastAsia="zh-CN"/>
        </w:rPr>
        <w:t>5</w:t>
      </w:r>
      <w:r>
        <w:rPr>
          <w:rFonts w:hint="eastAsia" w:ascii="宋体" w:hAnsi="宋体"/>
          <w:b/>
          <w:color w:val="000000" w:themeColor="text1"/>
          <w:sz w:val="24"/>
          <w:szCs w:val="24"/>
        </w:rPr>
        <w:t>.1.2.纵断设计原则</w:t>
      </w:r>
      <w:bookmarkEnd w:id="7"/>
      <w:bookmarkEnd w:id="8"/>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bookmarkStart w:id="9" w:name="_Toc303673651"/>
      <w:bookmarkStart w:id="10" w:name="_Toc409266863"/>
      <w:r>
        <w:rPr>
          <w:rFonts w:hint="eastAsia" w:hAnsi="宋体" w:cs="宋体"/>
          <w:color w:val="000000" w:themeColor="text1"/>
          <w:kern w:val="0"/>
          <w:sz w:val="24"/>
          <w:szCs w:val="24"/>
          <w:lang w:val="en-US" w:eastAsia="zh-CN"/>
        </w:rPr>
        <w:t>严格执行符合道路等级标准的纵断设计技术指标前提下，考虑到</w:t>
      </w:r>
      <w:r>
        <w:rPr>
          <w:rFonts w:hint="eastAsia" w:ascii="宋体" w:hAnsi="宋体"/>
          <w:color w:val="000000" w:themeColor="text1"/>
          <w:sz w:val="24"/>
          <w:szCs w:val="24"/>
        </w:rPr>
        <w:t>道路两侧</w:t>
      </w:r>
      <w:r>
        <w:rPr>
          <w:rFonts w:hint="eastAsia" w:hAnsi="宋体"/>
          <w:color w:val="000000" w:themeColor="text1"/>
          <w:sz w:val="24"/>
          <w:szCs w:val="24"/>
          <w:lang w:val="en-US" w:eastAsia="zh-CN"/>
        </w:rPr>
        <w:t>既有</w:t>
      </w:r>
      <w:r>
        <w:rPr>
          <w:rFonts w:hint="eastAsia" w:ascii="宋体" w:hAnsi="宋体"/>
          <w:color w:val="000000" w:themeColor="text1"/>
          <w:sz w:val="24"/>
          <w:szCs w:val="24"/>
        </w:rPr>
        <w:t>建筑物</w:t>
      </w:r>
      <w:r>
        <w:rPr>
          <w:rFonts w:hint="eastAsia" w:hAnsi="宋体"/>
          <w:color w:val="000000" w:themeColor="text1"/>
          <w:sz w:val="24"/>
          <w:szCs w:val="24"/>
          <w:lang w:val="en-US" w:eastAsia="zh-CN"/>
        </w:rPr>
        <w:t>与道路关系，保持新建道路与既有土路面高差基本一致原则。</w:t>
      </w:r>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r>
        <w:rPr>
          <w:rFonts w:hint="eastAsia" w:hAnsi="宋体" w:cs="宋体"/>
          <w:color w:val="000000" w:themeColor="text1"/>
          <w:kern w:val="0"/>
          <w:sz w:val="24"/>
          <w:szCs w:val="24"/>
          <w:lang w:val="en-US" w:eastAsia="zh-CN"/>
        </w:rPr>
        <w:t>根据技术标准，平纵组合均衡的原则合理设置竖曲线。</w:t>
      </w:r>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r>
        <w:rPr>
          <w:rFonts w:hint="eastAsia" w:hAnsi="宋体" w:cs="宋体"/>
          <w:color w:val="000000" w:themeColor="text1"/>
          <w:kern w:val="0"/>
          <w:sz w:val="24"/>
          <w:szCs w:val="24"/>
          <w:lang w:val="en-US" w:eastAsia="zh-CN"/>
        </w:rPr>
        <w:t xml:space="preserve">选择组合得当的合成坡度，以利于路面排水和行车安全。 </w:t>
      </w:r>
    </w:p>
    <w:p>
      <w:pPr>
        <w:pStyle w:val="8"/>
        <w:numPr>
          <w:ilvl w:val="0"/>
          <w:numId w:val="3"/>
        </w:numPr>
        <w:spacing w:line="360" w:lineRule="auto"/>
        <w:ind w:left="5" w:firstLine="415"/>
        <w:rPr>
          <w:rFonts w:hint="eastAsia" w:hAnsi="宋体" w:cs="宋体"/>
          <w:color w:val="000000" w:themeColor="text1"/>
          <w:kern w:val="0"/>
          <w:sz w:val="24"/>
          <w:szCs w:val="24"/>
          <w:lang w:val="en-US" w:eastAsia="zh-CN"/>
        </w:rPr>
      </w:pPr>
      <w:r>
        <w:rPr>
          <w:rFonts w:hint="eastAsia" w:hAnsi="宋体" w:cs="宋体"/>
          <w:color w:val="000000" w:themeColor="text1"/>
          <w:kern w:val="0"/>
          <w:sz w:val="24"/>
          <w:szCs w:val="24"/>
          <w:lang w:val="en-US" w:eastAsia="zh-CN"/>
        </w:rPr>
        <w:t>综合考虑土方均衡的原则，进行纵断设计，尽量降低工程造价。</w:t>
      </w:r>
    </w:p>
    <w:bookmarkEnd w:id="9"/>
    <w:bookmarkEnd w:id="10"/>
    <w:p>
      <w:pPr>
        <w:spacing w:beforeLines="100" w:line="360" w:lineRule="auto"/>
        <w:outlineLvl w:val="0"/>
        <w:rPr>
          <w:rFonts w:cs="宋体" w:asciiTheme="minorEastAsia" w:hAnsiTheme="minorEastAsia" w:eastAsiaTheme="minorEastAsia"/>
          <w:b/>
          <w:color w:val="000000" w:themeColor="text1"/>
          <w:sz w:val="24"/>
        </w:rPr>
      </w:pPr>
      <w:r>
        <w:rPr>
          <w:rFonts w:hint="eastAsia" w:ascii="宋体" w:hAnsi="宋体"/>
          <w:b/>
          <w:color w:val="000000" w:themeColor="text1"/>
          <w:sz w:val="24"/>
          <w:szCs w:val="24"/>
          <w:lang w:val="en-US" w:eastAsia="zh-CN"/>
        </w:rPr>
        <w:t>5</w:t>
      </w:r>
      <w:r>
        <w:rPr>
          <w:rFonts w:hint="eastAsia" w:ascii="宋体" w:hAnsi="宋体"/>
          <w:b/>
          <w:color w:val="000000" w:themeColor="text1"/>
          <w:sz w:val="24"/>
          <w:szCs w:val="24"/>
        </w:rPr>
        <w:t>.1.3.</w:t>
      </w:r>
      <w:r>
        <w:rPr>
          <w:rFonts w:hint="eastAsia" w:cs="宋体" w:asciiTheme="minorEastAsia" w:hAnsiTheme="minorEastAsia" w:eastAsiaTheme="minorEastAsia"/>
          <w:b/>
          <w:color w:val="000000" w:themeColor="text1"/>
          <w:sz w:val="24"/>
        </w:rPr>
        <w:t>横断</w:t>
      </w:r>
      <w:r>
        <w:rPr>
          <w:rFonts w:hint="eastAsia" w:cs="宋体" w:asciiTheme="minorEastAsia" w:hAnsiTheme="minorEastAsia" w:eastAsiaTheme="minorEastAsia"/>
          <w:b/>
          <w:color w:val="000000" w:themeColor="text1"/>
          <w:sz w:val="24"/>
          <w:lang w:val="en-US" w:eastAsia="zh-CN"/>
        </w:rPr>
        <w:t>面</w:t>
      </w:r>
      <w:r>
        <w:rPr>
          <w:rFonts w:hint="eastAsia" w:cs="宋体" w:asciiTheme="minorEastAsia" w:hAnsiTheme="minorEastAsia" w:eastAsiaTheme="minorEastAsia"/>
          <w:b/>
          <w:color w:val="000000" w:themeColor="text1"/>
          <w:sz w:val="24"/>
        </w:rPr>
        <w:t>设计</w:t>
      </w:r>
      <w:bookmarkEnd w:id="6"/>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结合本项目</w:t>
      </w:r>
      <w:r>
        <w:rPr>
          <w:rFonts w:hint="eastAsia" w:cs="宋体" w:asciiTheme="minorEastAsia" w:hAnsiTheme="minorEastAsia" w:eastAsiaTheme="minorEastAsia"/>
          <w:color w:val="000000" w:themeColor="text1"/>
          <w:kern w:val="0"/>
          <w:sz w:val="24"/>
          <w:lang w:eastAsia="zh-CN"/>
        </w:rPr>
        <w:t>村内</w:t>
      </w:r>
      <w:r>
        <w:rPr>
          <w:rFonts w:hint="eastAsia" w:cs="宋体" w:asciiTheme="minorEastAsia" w:hAnsiTheme="minorEastAsia" w:eastAsiaTheme="minorEastAsia"/>
          <w:color w:val="000000" w:themeColor="text1"/>
          <w:kern w:val="0"/>
          <w:sz w:val="24"/>
        </w:rPr>
        <w:t>实际情况需求，本次设计</w:t>
      </w:r>
      <w:r>
        <w:rPr>
          <w:rFonts w:hint="eastAsia" w:cs="宋体" w:asciiTheme="minorEastAsia" w:hAnsiTheme="minorEastAsia" w:eastAsiaTheme="minorEastAsia"/>
          <w:color w:val="000000" w:themeColor="text1"/>
          <w:kern w:val="0"/>
          <w:sz w:val="24"/>
          <w:lang w:eastAsia="zh-CN"/>
        </w:rPr>
        <w:t>道路</w:t>
      </w:r>
      <w:r>
        <w:rPr>
          <w:rFonts w:hint="eastAsia" w:cs="宋体" w:asciiTheme="minorEastAsia" w:hAnsiTheme="minorEastAsia" w:eastAsiaTheme="minorEastAsia"/>
          <w:color w:val="000000" w:themeColor="text1"/>
          <w:kern w:val="0"/>
          <w:sz w:val="24"/>
        </w:rPr>
        <w:t>硬化铺装平面完全按现状道路平面范围确定，具体土路</w:t>
      </w:r>
      <w:r>
        <w:rPr>
          <w:rFonts w:hint="eastAsia" w:cs="宋体" w:asciiTheme="minorEastAsia" w:hAnsiTheme="minorEastAsia" w:eastAsiaTheme="minorEastAsia"/>
          <w:color w:val="000000" w:themeColor="text1"/>
          <w:kern w:val="0"/>
          <w:sz w:val="24"/>
          <w:lang w:val="en-US" w:eastAsia="zh-CN"/>
        </w:rPr>
        <w:t>修建</w:t>
      </w:r>
      <w:r>
        <w:rPr>
          <w:rFonts w:hint="eastAsia" w:cs="宋体" w:asciiTheme="minorEastAsia" w:hAnsiTheme="minorEastAsia" w:eastAsiaTheme="minorEastAsia"/>
          <w:color w:val="000000" w:themeColor="text1"/>
          <w:kern w:val="0"/>
          <w:sz w:val="24"/>
        </w:rPr>
        <w:t>水泥混凝土路硬化平面范围依据</w:t>
      </w:r>
      <w:r>
        <w:rPr>
          <w:rFonts w:hint="eastAsia" w:cs="宋体" w:asciiTheme="minorEastAsia" w:hAnsiTheme="minorEastAsia" w:eastAsiaTheme="minorEastAsia"/>
          <w:color w:val="000000" w:themeColor="text1"/>
          <w:kern w:val="0"/>
          <w:sz w:val="24"/>
          <w:lang w:val="en-US" w:eastAsia="zh-CN"/>
        </w:rPr>
        <w:t>实测</w:t>
      </w:r>
      <w:r>
        <w:rPr>
          <w:rFonts w:hint="eastAsia" w:cs="宋体" w:asciiTheme="minorEastAsia" w:hAnsiTheme="minorEastAsia" w:eastAsiaTheme="minorEastAsia"/>
          <w:color w:val="000000" w:themeColor="text1"/>
          <w:kern w:val="0"/>
          <w:sz w:val="24"/>
        </w:rPr>
        <w:t>1：1000地形图所确定，具体施工应结合现场实际情况确定。</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路面设置单向1</w:t>
      </w:r>
      <w:r>
        <w:rPr>
          <w:rFonts w:hint="eastAsia" w:cs="宋体" w:asciiTheme="minorEastAsia" w:hAnsiTheme="minorEastAsia" w:eastAsiaTheme="minorEastAsia"/>
          <w:color w:val="000000" w:themeColor="text1"/>
          <w:kern w:val="0"/>
          <w:sz w:val="24"/>
          <w:lang w:val="en-US" w:eastAsia="zh-CN"/>
        </w:rPr>
        <w:t>.0</w:t>
      </w:r>
      <w:r>
        <w:rPr>
          <w:rFonts w:hint="eastAsia" w:cs="宋体" w:asciiTheme="minorEastAsia" w:hAnsiTheme="minorEastAsia" w:eastAsiaTheme="minorEastAsia"/>
          <w:color w:val="000000" w:themeColor="text1"/>
          <w:kern w:val="0"/>
          <w:sz w:val="24"/>
        </w:rPr>
        <w:t>%路面横坡，水泥混凝土路横坡坡向结合现场排水情况确定。</w:t>
      </w:r>
    </w:p>
    <w:p>
      <w:pPr>
        <w:autoSpaceDE w:val="0"/>
        <w:autoSpaceDN w:val="0"/>
        <w:adjustRightInd w:val="0"/>
        <w:spacing w:line="360" w:lineRule="auto"/>
        <w:ind w:firstLine="480" w:firstLineChars="200"/>
        <w:jc w:val="left"/>
        <w:rPr>
          <w:rFonts w:hint="eastAsia" w:ascii="宋体" w:hAnsi="宋体" w:cs="宋体"/>
          <w:color w:val="000000" w:themeColor="text1"/>
          <w:kern w:val="0"/>
          <w:sz w:val="24"/>
        </w:rPr>
      </w:pPr>
      <w:r>
        <w:rPr>
          <w:rFonts w:hint="eastAsia" w:ascii="宋体" w:hAnsi="宋体" w:cs="宋体"/>
          <w:color w:val="000000" w:themeColor="text1"/>
          <w:kern w:val="0"/>
          <w:sz w:val="24"/>
        </w:rPr>
        <w:t>平面线位按照既有道路走向确定</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6"/>
        <w:gridCol w:w="656"/>
        <w:gridCol w:w="2636"/>
        <w:gridCol w:w="1244"/>
        <w:gridCol w:w="1316"/>
        <w:gridCol w:w="1647"/>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11" w:name="_Toc27490"/>
            <w:r>
              <w:rPr>
                <w:rFonts w:hint="eastAsia" w:ascii="宋体" w:hAnsi="宋体" w:eastAsia="宋体" w:cs="宋体"/>
                <w:i w:val="0"/>
                <w:iCs w:val="0"/>
                <w:color w:val="000000"/>
                <w:kern w:val="0"/>
                <w:sz w:val="22"/>
                <w:szCs w:val="22"/>
                <w:u w:val="none"/>
                <w:lang w:val="en-US" w:eastAsia="zh-CN" w:bidi="ar"/>
              </w:rPr>
              <w:t>路线序号</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起点桩号</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终点桩号</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道路长度（m）</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硬质路面宽度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DL01</w:t>
            </w:r>
          </w:p>
        </w:tc>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水泥路至杨立民房前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K0+174.634</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174.634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DL02</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陆成房前至秦凤林房前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K0+294.847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294.847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DL03</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水泥路至雷今田房前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K0+131.802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131.802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DL04</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水泥路至雷守伟房前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K0+</w:t>
            </w:r>
            <w:r>
              <w:rPr>
                <w:rFonts w:hint="eastAsia" w:ascii="宋体" w:hAnsi="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11.200</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 xml:space="preserve">11.200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DL05</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秦凤林房东至雷守仓房东</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K0+195.070</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195.070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DL06</w:t>
            </w:r>
          </w:p>
        </w:tc>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水泥路至旱地</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K0+048.853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48.853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DL07</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车立国房前至刘景和房前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K0+107.160</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107.160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DL08</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沥青路至于德海房前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K0+107.951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107.951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DL09</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水泥路至王永先房前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K0+184.533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184.533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DL10</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孙鹏举房前至吴立军房前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K0+082.523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82.523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DL11</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孙金海房前至陈成房前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K0+107.458</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107.458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DL12</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赵静房前吴德全房后</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K0+058.972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58.972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DL13</w:t>
            </w:r>
          </w:p>
        </w:tc>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九社</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邵百成门前至吴德全门前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K0+037.676</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37.676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DL14</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伊范公路至李百荣房后</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K0+086.178</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86.178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DL15</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邵百军门前至陈文生房东</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K0+136.163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136.163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DL16</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王长海道东至李杰房东</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K0+401.281</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401.281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DL17</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杨少斌房后至吴德成门前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K0+080.747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80.747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DL18</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陈光财房后至杨玉文门前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K0+121.207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121.207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DL19</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吴德双门前至张连和门前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K0+073.977</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73.977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DL20</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赵金龙门前至郭万林房后</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K0+071.762</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71.762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DL21</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柴景国房西至刘利峰门前</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K0+045.113</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45.113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DL22</w:t>
            </w:r>
          </w:p>
        </w:tc>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吴国华房西至王喜和房东</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K0+000</w:t>
            </w: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K0+094.878</w:t>
            </w: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94.878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29</w:t>
            </w:r>
            <w:r>
              <w:rPr>
                <w:rFonts w:hint="eastAsia" w:ascii="宋体" w:hAnsi="宋体" w:eastAsia="宋体" w:cs="宋体"/>
                <w:i w:val="0"/>
                <w:iCs w:val="0"/>
                <w:color w:val="000000"/>
                <w:kern w:val="0"/>
                <w:sz w:val="22"/>
                <w:szCs w:val="22"/>
                <w:u w:val="none"/>
                <w:lang w:val="en-US" w:eastAsia="zh-CN" w:bidi="ar"/>
              </w:rPr>
              <w:t xml:space="preserve">53.984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spacing w:beforeLines="100" w:line="360" w:lineRule="auto"/>
        <w:outlineLvl w:val="0"/>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b/>
          <w:color w:val="000000" w:themeColor="text1"/>
          <w:sz w:val="24"/>
          <w:lang w:val="en-US" w:eastAsia="zh-CN"/>
        </w:rPr>
        <w:t>5.2</w:t>
      </w:r>
      <w:r>
        <w:rPr>
          <w:rFonts w:hint="eastAsia" w:cs="宋体" w:asciiTheme="minorEastAsia" w:hAnsiTheme="minorEastAsia" w:eastAsiaTheme="minorEastAsia"/>
          <w:b/>
          <w:color w:val="000000" w:themeColor="text1"/>
          <w:sz w:val="24"/>
        </w:rPr>
        <w:t>路基设计</w:t>
      </w:r>
      <w:bookmarkEnd w:id="11"/>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路基施工应满足相关规范/标准的要求。路基开工前应全面复核设计路中线，并按设计线位进行放线。</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①压实度及填料要求：路基压实度及填料强度、粒径标准应严格按路基设计说明要求执行。</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②路槽土基回弹模量及竣工弯沉要求：路基施工完成后应对路槽底土基模量或弯沉（选其一）进行检验，合格后方可进行路面施工。</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1、填方路基</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 xml:space="preserve">①应将地基表层碾压密实。在一般土质地段，基底的压实度（重型）不应小于90%。路基填土高度小于路面和路床总厚度时，应将地基表层土进行超挖并分层回填压实。     </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填料应优先选用渗水性较好的粗粒土。如天然级配砂砾、中砂、石质坚硬不易风化的片砂砾等，不得使用淤泥、沼泽土、冻土、有机土，含草皮、生活垃圾、树根腐殖物质的土严禁作为路基填料。液限大于50％、塑性指数大于26、含水量不适宜直接压实的细粒土，不得用做路堤材料。</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③填筑路堤应采用水平分层填筑法施工。不同性质的土，应分别填筑，不得混填。每种填料的压实厚度和松铺厚度应通过试验确定，每种填料层连续总厚度不宜小于50cm，最上一层压实厚度不小于10cm。每一填筑层压实后的宽度不得小于设计宽度。每一压实层均应检验压实度，满足要求后方可继续填筑。原地面纵坡大于12%路段，可采用纵向分层法施工，沿纵坡分层逐层填压密实；山坡路堤地面横坡陡于1:5时，原地面应按设计要求挖成台阶(台阶宽度不小于2.0m)，并用小型夯实机加以夯实，填筑由最低一层台阶填起，并分层夯实，然后逐台向上填筑，分层夯实，所有台阶填完之后，即可按一般填土进行。若填方分几个作业段施工，两段交接处不在同一时间填筑，则先填地段应按1：1.0坡度分层留台阶，若两个地段同时填筑，则应分层相互交叠衔接，其搭接长度不得小于2m。</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2、挖方路基</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①挖方地段的路床为岩石或土基良好时，可直接利用作为路床，并应平整、碾压密实。</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②挖方开挖应自上而下进行，不得乱挖超挖，严禁掏底开挖。</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③开挖过程中，应采取措施保证边坡稳定。开挖至边坡线前，应预留一定宽度，预留的宽度应保证刷坡过程中设计边坡线外的土层不受到扰动。</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④应采取临时排水措施，确保施工作业面不积水。</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⑤挖方路基施工遇到地下水时应采取排导措施，将水引入路基排水系统，不得随意堵塞泉眼。</w:t>
      </w:r>
    </w:p>
    <w:p>
      <w:pPr>
        <w:spacing w:line="360" w:lineRule="auto"/>
        <w:ind w:firstLine="480" w:firstLineChars="200"/>
        <w:rPr>
          <w:rFonts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zh-CN"/>
        </w:rPr>
        <w:t>路基压实度填料强度、最大粒径等应符合下表要求：</w:t>
      </w:r>
    </w:p>
    <w:p>
      <w:pPr>
        <w:pStyle w:val="2"/>
        <w:rPr>
          <w:color w:val="000000" w:themeColor="text1"/>
          <w:lang w:val="zh-CN"/>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9"/>
        <w:gridCol w:w="2967"/>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109"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填挖类型</w:t>
            </w: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路床顶面以下深度深度（cm）</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路基最小压实度（%）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2109" w:type="dxa"/>
            <w:vMerge w:val="restart"/>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填方</w:t>
            </w: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0～80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2109" w:type="dxa"/>
            <w:vMerge w:val="continue"/>
            <w:vAlign w:val="center"/>
          </w:tcPr>
          <w:p>
            <w:pPr>
              <w:spacing w:line="360" w:lineRule="auto"/>
              <w:jc w:val="center"/>
              <w:rPr>
                <w:rFonts w:cs="宋体" w:asciiTheme="minorEastAsia" w:hAnsiTheme="minorEastAsia" w:eastAsiaTheme="minorEastAsia"/>
                <w:color w:val="000000" w:themeColor="text1"/>
                <w:sz w:val="24"/>
              </w:rPr>
            </w:pP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80～150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2109" w:type="dxa"/>
            <w:vMerge w:val="continue"/>
            <w:vAlign w:val="center"/>
          </w:tcPr>
          <w:p>
            <w:pPr>
              <w:spacing w:line="360" w:lineRule="auto"/>
              <w:jc w:val="center"/>
              <w:rPr>
                <w:rFonts w:cs="宋体" w:asciiTheme="minorEastAsia" w:hAnsiTheme="minorEastAsia" w:eastAsiaTheme="minorEastAsia"/>
                <w:color w:val="000000" w:themeColor="text1"/>
                <w:sz w:val="24"/>
              </w:rPr>
            </w:pP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&gt;150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109" w:type="dxa"/>
            <w:vMerge w:val="restart"/>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零填方或挖方</w:t>
            </w: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0～30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109" w:type="dxa"/>
            <w:vMerge w:val="continue"/>
            <w:vAlign w:val="center"/>
          </w:tcPr>
          <w:p>
            <w:pPr>
              <w:spacing w:line="360" w:lineRule="auto"/>
              <w:jc w:val="center"/>
              <w:rPr>
                <w:rFonts w:cs="宋体" w:asciiTheme="minorEastAsia" w:hAnsiTheme="minorEastAsia" w:eastAsiaTheme="minorEastAsia"/>
                <w:color w:val="000000" w:themeColor="text1"/>
                <w:sz w:val="24"/>
              </w:rPr>
            </w:pPr>
          </w:p>
        </w:tc>
        <w:tc>
          <w:tcPr>
            <w:tcW w:w="296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30～80</w:t>
            </w:r>
          </w:p>
        </w:tc>
        <w:tc>
          <w:tcPr>
            <w:tcW w:w="3537" w:type="dxa"/>
            <w:vAlign w:val="center"/>
          </w:tcPr>
          <w:p>
            <w:pPr>
              <w:spacing w:line="360" w:lineRule="auto"/>
              <w:jc w:val="center"/>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w:t>
            </w:r>
          </w:p>
        </w:tc>
      </w:tr>
    </w:tbl>
    <w:p>
      <w:pPr>
        <w:spacing w:line="360" w:lineRule="auto"/>
        <w:outlineLvl w:val="2"/>
        <w:rPr>
          <w:rFonts w:hint="eastAsia" w:ascii="宋体" w:hAnsi="宋体"/>
          <w:b/>
          <w:bCs/>
          <w:color w:val="000000" w:themeColor="text1"/>
          <w:sz w:val="24"/>
        </w:rPr>
      </w:pPr>
      <w:r>
        <w:rPr>
          <w:rFonts w:hint="eastAsia" w:ascii="宋体" w:hAnsi="宋体"/>
          <w:b/>
          <w:bCs/>
          <w:color w:val="000000" w:themeColor="text1"/>
          <w:sz w:val="24"/>
          <w:lang w:val="en-US" w:eastAsia="zh-CN"/>
        </w:rPr>
        <w:t>5.3</w:t>
      </w:r>
      <w:r>
        <w:rPr>
          <w:rFonts w:hint="eastAsia" w:ascii="宋体" w:hAnsi="宋体"/>
          <w:b/>
          <w:bCs/>
          <w:color w:val="000000" w:themeColor="text1"/>
          <w:sz w:val="24"/>
        </w:rPr>
        <w:t>、路面设计要求</w:t>
      </w:r>
    </w:p>
    <w:p>
      <w:pPr>
        <w:spacing w:line="360" w:lineRule="auto"/>
        <w:ind w:firstLine="480" w:firstLineChars="200"/>
        <w:rPr>
          <w:rFonts w:asciiTheme="minorEastAsia" w:hAnsiTheme="minorEastAsia" w:eastAsiaTheme="minorEastAsia"/>
          <w:color w:val="000000" w:themeColor="text1"/>
          <w:sz w:val="24"/>
          <w:lang w:val="zh-CN"/>
        </w:rPr>
      </w:pPr>
      <w:r>
        <w:rPr>
          <w:rFonts w:hint="eastAsia" w:ascii="宋体" w:hAnsi="宋体"/>
          <w:bCs/>
          <w:color w:val="000000" w:themeColor="text1"/>
          <w:sz w:val="24"/>
        </w:rPr>
        <w:t>基层压实度要求按照《城镇道路路面设计规范》CJJ 169-2012执行。路面压实采用重型压实标准，压实度上基层压实度不小于97%，下基层压实度不小于95%。</w:t>
      </w:r>
    </w:p>
    <w:p>
      <w:pPr>
        <w:spacing w:line="360" w:lineRule="auto"/>
        <w:outlineLvl w:val="2"/>
        <w:rPr>
          <w:rFonts w:hint="default" w:ascii="宋体" w:hAnsi="宋体"/>
          <w:b/>
          <w:bCs/>
          <w:color w:val="000000" w:themeColor="text1"/>
          <w:sz w:val="24"/>
          <w:lang w:val="en-US" w:eastAsia="zh-CN"/>
        </w:rPr>
      </w:pPr>
      <w:r>
        <w:rPr>
          <w:rFonts w:hint="eastAsia" w:ascii="宋体" w:hAnsi="宋体"/>
          <w:b/>
          <w:bCs/>
          <w:color w:val="000000" w:themeColor="text1"/>
          <w:sz w:val="24"/>
          <w:lang w:val="en-US" w:eastAsia="zh-CN"/>
        </w:rPr>
        <w:t>5.3.1路面结构设计</w:t>
      </w:r>
    </w:p>
    <w:p>
      <w:pPr>
        <w:spacing w:line="360" w:lineRule="auto"/>
        <w:ind w:firstLine="480" w:firstLineChars="200"/>
        <w:rPr>
          <w:rFonts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zh-CN"/>
        </w:rPr>
        <w:t>路面设计结构方案</w:t>
      </w:r>
    </w:p>
    <w:p>
      <w:pPr>
        <w:spacing w:line="360" w:lineRule="auto"/>
        <w:outlineLvl w:val="2"/>
        <w:rPr>
          <w:rFonts w:hint="default" w:ascii="宋体" w:hAnsi="宋体"/>
          <w:b/>
          <w:bCs/>
          <w:color w:val="000000" w:themeColor="text1"/>
          <w:sz w:val="24"/>
          <w:lang w:val="en-US" w:eastAsia="zh-CN"/>
        </w:rPr>
      </w:pPr>
      <w:r>
        <w:rPr>
          <w:rFonts w:hint="eastAsia" w:ascii="宋体" w:hAnsi="宋体"/>
          <w:b/>
          <w:bCs/>
          <w:color w:val="000000" w:themeColor="text1"/>
          <w:sz w:val="24"/>
          <w:lang w:val="en-US" w:eastAsia="zh-CN"/>
        </w:rPr>
        <w:t>新建</w:t>
      </w:r>
      <w:r>
        <w:rPr>
          <w:rFonts w:hint="eastAsia" w:ascii="宋体" w:hAnsi="宋体"/>
          <w:b/>
          <w:bCs/>
          <w:color w:val="000000" w:themeColor="text1"/>
          <w:sz w:val="24"/>
          <w:lang w:val="zh-CN" w:eastAsia="zh-CN"/>
        </w:rPr>
        <w:t>路面</w:t>
      </w:r>
      <w:r>
        <w:rPr>
          <w:rFonts w:hint="eastAsia" w:ascii="宋体" w:hAnsi="宋体"/>
          <w:b/>
          <w:bCs/>
          <w:color w:val="000000" w:themeColor="text1"/>
          <w:sz w:val="24"/>
          <w:lang w:val="en-US" w:eastAsia="zh-CN"/>
        </w:rPr>
        <w:t>结构</w:t>
      </w:r>
    </w:p>
    <w:p>
      <w:pPr>
        <w:spacing w:line="360" w:lineRule="auto"/>
        <w:ind w:firstLine="960" w:firstLineChars="400"/>
        <w:rPr>
          <w:rFonts w:hint="eastAsia"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zh-CN"/>
        </w:rPr>
        <w:t>20cm水泥混凝土</w:t>
      </w:r>
      <w:r>
        <w:rPr>
          <w:rFonts w:hint="eastAsia" w:ascii="宋体" w:hAnsi="宋体"/>
          <w:color w:val="000000" w:themeColor="text1"/>
          <w:sz w:val="24"/>
        </w:rPr>
        <w:t>(fr≥4.5Mpa)</w:t>
      </w:r>
    </w:p>
    <w:p>
      <w:pPr>
        <w:spacing w:line="360" w:lineRule="auto"/>
        <w:ind w:firstLine="960" w:firstLineChars="400"/>
        <w:rPr>
          <w:rFonts w:hint="eastAsia" w:cs="宋体" w:asciiTheme="minorEastAsia" w:hAnsiTheme="minorEastAsia" w:eastAsiaTheme="minorEastAsia"/>
          <w:color w:val="000000" w:themeColor="text1"/>
          <w:sz w:val="24"/>
          <w:lang w:val="zh-CN"/>
        </w:rPr>
      </w:pPr>
      <w:r>
        <w:rPr>
          <w:rFonts w:hint="eastAsia" w:cs="宋体" w:asciiTheme="minorEastAsia" w:hAnsiTheme="minorEastAsia" w:eastAsiaTheme="minorEastAsia"/>
          <w:color w:val="000000" w:themeColor="text1"/>
          <w:sz w:val="24"/>
          <w:lang w:val="en-US" w:eastAsia="zh-CN"/>
        </w:rPr>
        <w:t>25</w:t>
      </w:r>
      <w:r>
        <w:rPr>
          <w:rFonts w:hint="eastAsia" w:cs="宋体" w:asciiTheme="minorEastAsia" w:hAnsiTheme="minorEastAsia" w:eastAsiaTheme="minorEastAsia"/>
          <w:color w:val="000000" w:themeColor="text1"/>
          <w:sz w:val="24"/>
          <w:lang w:val="zh-CN"/>
        </w:rPr>
        <w:t>cm</w:t>
      </w:r>
      <w:r>
        <w:rPr>
          <w:rFonts w:hint="eastAsia" w:cs="宋体" w:asciiTheme="minorEastAsia" w:hAnsiTheme="minorEastAsia" w:eastAsiaTheme="minorEastAsia"/>
          <w:color w:val="000000" w:themeColor="text1"/>
          <w:sz w:val="24"/>
          <w:lang w:val="en-US" w:eastAsia="zh-CN"/>
        </w:rPr>
        <w:t>山皮石</w:t>
      </w:r>
    </w:p>
    <w:p>
      <w:pPr>
        <w:spacing w:line="360" w:lineRule="auto"/>
        <w:ind w:firstLine="960" w:firstLineChars="400"/>
        <w:rPr>
          <w:rFonts w:hint="eastAsia" w:cs="宋体" w:asciiTheme="minorEastAsia" w:hAnsiTheme="minorEastAsia" w:eastAsiaTheme="minorEastAsia"/>
          <w:color w:val="000000" w:themeColor="text1"/>
          <w:sz w:val="24"/>
          <w:lang w:val="en-US" w:eastAsia="zh-CN"/>
        </w:rPr>
      </w:pPr>
      <w:r>
        <w:rPr>
          <w:rFonts w:hint="eastAsia" w:cs="宋体" w:asciiTheme="minorEastAsia" w:hAnsiTheme="minorEastAsia" w:eastAsiaTheme="minorEastAsia"/>
          <w:color w:val="000000" w:themeColor="text1"/>
          <w:sz w:val="24"/>
          <w:lang w:val="en-US" w:eastAsia="zh-CN"/>
        </w:rPr>
        <w:t>基底整平碾压</w:t>
      </w:r>
    </w:p>
    <w:p>
      <w:pPr>
        <w:pStyle w:val="2"/>
        <w:ind w:left="0" w:leftChars="0" w:firstLine="0" w:firstLineChars="0"/>
        <w:rPr>
          <w:rFonts w:hint="eastAsia" w:cs="宋体" w:asciiTheme="minorEastAsia" w:hAnsiTheme="minorEastAsia" w:eastAsiaTheme="minorEastAsia"/>
          <w:b/>
          <w:color w:val="000000" w:themeColor="text1"/>
          <w:kern w:val="0"/>
          <w:sz w:val="24"/>
        </w:rPr>
      </w:pPr>
      <w:r>
        <w:rPr>
          <w:rFonts w:hint="eastAsia" w:ascii="宋体" w:hAnsi="宋体"/>
          <w:b/>
          <w:bCs/>
          <w:color w:val="000000" w:themeColor="text1"/>
          <w:sz w:val="24"/>
          <w:lang w:val="en-US" w:eastAsia="zh-CN"/>
        </w:rPr>
        <w:t>5.3.2</w:t>
      </w:r>
      <w:r>
        <w:rPr>
          <w:rFonts w:hint="eastAsia" w:cs="宋体" w:asciiTheme="minorEastAsia" w:hAnsiTheme="minorEastAsia" w:eastAsiaTheme="minorEastAsia"/>
          <w:b/>
          <w:color w:val="000000" w:themeColor="text1"/>
          <w:kern w:val="0"/>
          <w:sz w:val="24"/>
          <w:lang w:eastAsia="zh-CN"/>
        </w:rPr>
        <w:t>土路肩</w:t>
      </w:r>
    </w:p>
    <w:p>
      <w:pPr>
        <w:spacing w:line="360" w:lineRule="auto"/>
        <w:ind w:firstLine="360" w:firstLineChars="150"/>
        <w:rPr>
          <w:rFonts w:hint="eastAsia" w:ascii="宋体" w:hAnsi="宋体"/>
          <w:color w:val="000000" w:themeColor="text1"/>
          <w:sz w:val="24"/>
          <w:lang w:val="en-US" w:eastAsia="zh-CN"/>
        </w:rPr>
      </w:pPr>
      <w:r>
        <w:rPr>
          <w:rFonts w:hint="eastAsia" w:ascii="宋体" w:hAnsi="宋体"/>
          <w:color w:val="000000" w:themeColor="text1"/>
          <w:sz w:val="24"/>
          <w:lang w:eastAsia="zh-CN"/>
        </w:rPr>
        <w:t>土路肩路肩宽度</w:t>
      </w:r>
      <w:r>
        <w:rPr>
          <w:rFonts w:hint="eastAsia" w:ascii="宋体" w:hAnsi="宋体"/>
          <w:color w:val="000000" w:themeColor="text1"/>
          <w:sz w:val="24"/>
          <w:lang w:val="en-US" w:eastAsia="zh-CN"/>
        </w:rPr>
        <w:t>0.50m×2，坡度2.5%。</w:t>
      </w:r>
    </w:p>
    <w:p>
      <w:pPr>
        <w:spacing w:line="360" w:lineRule="auto"/>
        <w:outlineLvl w:val="2"/>
        <w:rPr>
          <w:rFonts w:hint="eastAsia" w:ascii="宋体" w:hAnsi="宋体" w:eastAsia="宋体" w:cs="Times New Roman"/>
          <w:b/>
          <w:bCs/>
          <w:color w:val="000000" w:themeColor="text1"/>
          <w:sz w:val="24"/>
          <w:lang w:val="en-US" w:eastAsia="zh-CN"/>
        </w:rPr>
      </w:pPr>
      <w:r>
        <w:rPr>
          <w:rFonts w:hint="eastAsia" w:ascii="宋体" w:hAnsi="宋体" w:eastAsia="宋体" w:cs="Times New Roman"/>
          <w:b/>
          <w:bCs/>
          <w:color w:val="000000" w:themeColor="text1"/>
          <w:sz w:val="24"/>
          <w:lang w:val="en-US" w:eastAsia="zh-CN"/>
        </w:rPr>
        <w:t>5.4、</w:t>
      </w:r>
      <w:r>
        <w:rPr>
          <w:rFonts w:hint="eastAsia" w:ascii="宋体" w:hAnsi="宋体" w:cs="Times New Roman"/>
          <w:b/>
          <w:bCs/>
          <w:color w:val="000000" w:themeColor="text1"/>
          <w:sz w:val="24"/>
          <w:lang w:val="en-US" w:eastAsia="zh-CN"/>
        </w:rPr>
        <w:t>照明工程</w:t>
      </w:r>
      <w:bookmarkStart w:id="34" w:name="_GoBack"/>
      <w:bookmarkEnd w:id="34"/>
    </w:p>
    <w:p>
      <w:pPr>
        <w:spacing w:line="600" w:lineRule="exact"/>
        <w:rPr>
          <w:rFonts w:hint="eastAsia" w:ascii="宋体" w:hAnsi="宋体" w:cs="宋体"/>
          <w:b/>
          <w:sz w:val="24"/>
          <w:szCs w:val="24"/>
        </w:rPr>
      </w:pPr>
      <w:bookmarkStart w:id="12" w:name="_Toc497738266"/>
      <w:bookmarkStart w:id="13" w:name="_Toc13483389"/>
      <w:bookmarkStart w:id="14" w:name="_Toc11420255"/>
      <w:bookmarkStart w:id="15" w:name="_Toc524679436"/>
      <w:bookmarkStart w:id="16" w:name="_Toc7431607"/>
      <w:bookmarkStart w:id="17" w:name="_Toc438495892"/>
      <w:bookmarkStart w:id="18" w:name="_Toc326505591"/>
      <w:bookmarkStart w:id="19" w:name="_Toc498670052"/>
      <w:bookmarkStart w:id="20" w:name="_Toc480356126"/>
      <w:bookmarkStart w:id="21" w:name="_Toc438020859"/>
      <w:bookmarkStart w:id="22" w:name="_Toc364619061"/>
      <w:bookmarkStart w:id="23" w:name="_Toc364619056"/>
      <w:bookmarkStart w:id="24" w:name="_Toc497738254"/>
      <w:bookmarkStart w:id="25" w:name="_Toc442037748"/>
      <w:bookmarkStart w:id="26" w:name="_Toc304360544"/>
      <w:bookmarkStart w:id="27" w:name="_Toc442037753"/>
      <w:bookmarkStart w:id="28" w:name="_Toc3039"/>
      <w:r>
        <w:rPr>
          <w:rFonts w:hint="eastAsia" w:ascii="宋体" w:hAnsi="宋体" w:cs="宋体"/>
          <w:b/>
          <w:sz w:val="24"/>
          <w:szCs w:val="24"/>
          <w:lang w:val="en-US" w:eastAsia="zh-CN"/>
        </w:rPr>
        <w:t>5</w:t>
      </w:r>
      <w:r>
        <w:rPr>
          <w:rFonts w:hint="eastAsia" w:ascii="宋体" w:hAnsi="宋体" w:cs="宋体"/>
          <w:b/>
          <w:sz w:val="24"/>
          <w:szCs w:val="24"/>
        </w:rPr>
        <w:t>.</w:t>
      </w:r>
      <w:r>
        <w:rPr>
          <w:rFonts w:hint="eastAsia" w:ascii="宋体" w:hAnsi="宋体" w:cs="宋体"/>
          <w:b/>
          <w:sz w:val="24"/>
          <w:szCs w:val="24"/>
          <w:lang w:val="en-US" w:eastAsia="zh-CN"/>
        </w:rPr>
        <w:t>4</w:t>
      </w:r>
      <w:r>
        <w:rPr>
          <w:rFonts w:hint="eastAsia" w:ascii="宋体" w:hAnsi="宋体" w:cs="宋体"/>
          <w:b/>
          <w:sz w:val="24"/>
          <w:szCs w:val="24"/>
        </w:rPr>
        <w:t>.1道路照明设计依据</w:t>
      </w:r>
      <w:bookmarkEnd w:id="12"/>
      <w:bookmarkEnd w:id="13"/>
      <w:bookmarkEnd w:id="14"/>
      <w:bookmarkEnd w:id="15"/>
      <w:bookmarkEnd w:id="16"/>
      <w:r>
        <w:rPr>
          <w:rFonts w:hint="eastAsia" w:ascii="宋体" w:hAnsi="宋体" w:cs="宋体"/>
          <w:b/>
          <w:sz w:val="24"/>
          <w:szCs w:val="24"/>
        </w:rPr>
        <w:t>：</w:t>
      </w:r>
    </w:p>
    <w:p>
      <w:pPr>
        <w:spacing w:line="360" w:lineRule="auto"/>
        <w:ind w:firstLine="480" w:firstLineChars="200"/>
        <w:jc w:val="left"/>
        <w:rPr>
          <w:rFonts w:hint="default" w:ascii="宋体" w:hAnsi="宋体" w:eastAsia="宋体" w:cs="宋体"/>
          <w:bCs/>
          <w:color w:val="000000" w:themeColor="text1"/>
          <w:sz w:val="24"/>
          <w:szCs w:val="24"/>
          <w:lang w:val="en-US" w:eastAsia="zh-CN"/>
        </w:rPr>
      </w:pPr>
      <w:r>
        <w:rPr>
          <w:rFonts w:hint="eastAsia" w:ascii="宋体" w:hAnsi="宋体" w:eastAsia="宋体" w:cs="宋体"/>
          <w:bCs/>
          <w:color w:val="000000" w:themeColor="text1"/>
          <w:sz w:val="24"/>
          <w:szCs w:val="24"/>
          <w:lang w:val="en-US" w:eastAsia="zh-CN"/>
        </w:rPr>
        <w:t>1</w:t>
      </w:r>
      <w:r>
        <w:rPr>
          <w:rFonts w:hint="eastAsia" w:ascii="宋体" w:hAnsi="宋体" w:eastAsia="宋体" w:cs="宋体"/>
          <w:bCs/>
          <w:color w:val="000000" w:themeColor="text1"/>
          <w:sz w:val="24"/>
          <w:szCs w:val="24"/>
        </w:rPr>
        <w:t>、《城市道路照明设计标准》CJJ45-20</w:t>
      </w:r>
      <w:r>
        <w:rPr>
          <w:rFonts w:hint="eastAsia" w:ascii="宋体" w:hAnsi="宋体" w:eastAsia="宋体" w:cs="宋体"/>
          <w:bCs/>
          <w:color w:val="000000" w:themeColor="text1"/>
          <w:sz w:val="24"/>
          <w:szCs w:val="24"/>
          <w:lang w:val="en-US" w:eastAsia="zh-CN"/>
        </w:rPr>
        <w:t>15</w:t>
      </w:r>
    </w:p>
    <w:p>
      <w:pPr>
        <w:spacing w:line="360" w:lineRule="auto"/>
        <w:ind w:firstLine="480" w:firstLineChars="200"/>
        <w:jc w:val="left"/>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lang w:val="en-US" w:eastAsia="zh-CN"/>
        </w:rPr>
        <w:t>2</w:t>
      </w:r>
      <w:r>
        <w:rPr>
          <w:rFonts w:hint="eastAsia" w:ascii="宋体" w:hAnsi="宋体" w:eastAsia="宋体" w:cs="宋体"/>
          <w:bCs/>
          <w:color w:val="000000" w:themeColor="text1"/>
          <w:sz w:val="24"/>
          <w:szCs w:val="24"/>
        </w:rPr>
        <w:t>、《道路与街路照明灯具安全要求》GB7000.5-2005</w:t>
      </w:r>
    </w:p>
    <w:p>
      <w:pPr>
        <w:spacing w:line="360" w:lineRule="auto"/>
        <w:ind w:firstLine="480" w:firstLineChars="200"/>
        <w:jc w:val="left"/>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lang w:val="en-US" w:eastAsia="zh-CN"/>
        </w:rPr>
        <w:t>3</w:t>
      </w:r>
      <w:r>
        <w:rPr>
          <w:rFonts w:hint="eastAsia" w:ascii="宋体" w:hAnsi="宋体" w:eastAsia="宋体" w:cs="宋体"/>
          <w:bCs/>
          <w:color w:val="000000" w:themeColor="text1"/>
          <w:sz w:val="24"/>
          <w:szCs w:val="24"/>
        </w:rPr>
        <w:t>、《低压配电设计规范》GB50054-2011</w:t>
      </w:r>
    </w:p>
    <w:p>
      <w:pPr>
        <w:spacing w:line="360" w:lineRule="auto"/>
        <w:ind w:firstLine="480" w:firstLineChars="200"/>
        <w:jc w:val="left"/>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lang w:val="en-US" w:eastAsia="zh-CN"/>
        </w:rPr>
        <w:t>4</w:t>
      </w:r>
      <w:r>
        <w:rPr>
          <w:rFonts w:hint="eastAsia" w:ascii="宋体" w:hAnsi="宋体" w:eastAsia="宋体" w:cs="宋体"/>
          <w:bCs/>
          <w:color w:val="000000" w:themeColor="text1"/>
          <w:sz w:val="24"/>
          <w:szCs w:val="24"/>
        </w:rPr>
        <w:t>、《城市道路照明工程施工及验收规程》CJJ89-2012</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ascii="宋体" w:hAnsi="宋体" w:eastAsia="宋体" w:cs="宋体"/>
          <w:bCs/>
          <w:color w:val="000000" w:themeColor="text1"/>
          <w:sz w:val="24"/>
          <w:szCs w:val="24"/>
          <w:lang w:val="en-US" w:eastAsia="zh-CN"/>
        </w:rPr>
        <w:t>5</w:t>
      </w:r>
      <w:r>
        <w:rPr>
          <w:rFonts w:hint="eastAsia" w:ascii="宋体" w:hAnsi="宋体" w:eastAsia="宋体" w:cs="宋体"/>
          <w:bCs/>
          <w:color w:val="000000" w:themeColor="text1"/>
          <w:sz w:val="24"/>
          <w:szCs w:val="24"/>
        </w:rPr>
        <w:t>、</w:t>
      </w:r>
      <w:r>
        <w:rPr>
          <w:rFonts w:hint="eastAsia" w:ascii="宋体" w:hAnsi="宋体" w:eastAsia="宋体" w:cs="宋体"/>
          <w:bCs/>
          <w:color w:val="000000" w:themeColor="text1"/>
          <w:sz w:val="24"/>
          <w:szCs w:val="24"/>
          <w:lang w:val="en-US" w:eastAsia="zh-CN"/>
        </w:rPr>
        <w:t>《道路照明灯杆技术条件》CJ/T527-2018</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ascii="宋体" w:hAnsi="宋体" w:eastAsia="宋体" w:cs="宋体"/>
          <w:bCs/>
          <w:color w:val="000000" w:themeColor="text1"/>
          <w:sz w:val="24"/>
          <w:szCs w:val="24"/>
          <w:lang w:val="en-US" w:eastAsia="zh-CN"/>
        </w:rPr>
        <w:t>6、《乡村道路工程技术规范》GB/T51224-2017；</w:t>
      </w:r>
    </w:p>
    <w:p>
      <w:pPr>
        <w:spacing w:line="360" w:lineRule="auto"/>
        <w:ind w:firstLine="480" w:firstLineChars="200"/>
        <w:jc w:val="left"/>
        <w:rPr>
          <w:rFonts w:hint="eastAsia" w:ascii="宋体" w:hAnsi="宋体" w:eastAsia="宋体" w:cs="宋体"/>
          <w:bCs/>
          <w:color w:val="000000" w:themeColor="text1"/>
          <w:sz w:val="24"/>
          <w:szCs w:val="24"/>
          <w:lang w:val="en-US" w:eastAsia="zh-CN"/>
        </w:rPr>
      </w:pPr>
      <w:r>
        <w:rPr>
          <w:rFonts w:hint="eastAsia" w:ascii="宋体" w:hAnsi="宋体" w:eastAsia="宋体" w:cs="宋体"/>
          <w:bCs/>
          <w:color w:val="000000" w:themeColor="text1"/>
          <w:sz w:val="24"/>
          <w:szCs w:val="24"/>
          <w:lang w:val="en-US" w:eastAsia="zh-CN"/>
        </w:rPr>
        <w:t>7、《LED城市道路照明应用技术要求》GB/T 31832-2015</w:t>
      </w:r>
    </w:p>
    <w:p>
      <w:pPr>
        <w:spacing w:line="360" w:lineRule="auto"/>
        <w:ind w:firstLine="480" w:firstLineChars="200"/>
        <w:jc w:val="left"/>
        <w:rPr>
          <w:rFonts w:hint="default" w:ascii="宋体" w:hAnsi="宋体" w:eastAsia="宋体" w:cs="宋体"/>
          <w:bCs/>
          <w:color w:val="000000" w:themeColor="text1"/>
          <w:sz w:val="24"/>
          <w:szCs w:val="24"/>
          <w:lang w:val="en-US" w:eastAsia="zh-CN"/>
        </w:rPr>
      </w:pPr>
      <w:r>
        <w:rPr>
          <w:rFonts w:hint="eastAsia" w:ascii="宋体" w:hAnsi="宋体" w:eastAsia="宋体" w:cs="宋体"/>
          <w:bCs/>
          <w:color w:val="000000" w:themeColor="text1"/>
          <w:sz w:val="24"/>
          <w:szCs w:val="24"/>
          <w:lang w:val="en-US" w:eastAsia="zh-CN"/>
        </w:rPr>
        <w:t>8、《城市道路照明设施运行维护技术标准》T/CMEA 21-2021</w:t>
      </w:r>
    </w:p>
    <w:p>
      <w:pPr>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国家现行有关设计规范及规定。</w:t>
      </w:r>
    </w:p>
    <w:p>
      <w:pPr>
        <w:spacing w:line="600" w:lineRule="exact"/>
        <w:rPr>
          <w:rFonts w:hint="eastAsia" w:ascii="宋体" w:hAnsi="宋体" w:cs="宋体"/>
          <w:b/>
          <w:color w:val="000000"/>
          <w:sz w:val="24"/>
          <w:szCs w:val="24"/>
        </w:rPr>
      </w:pPr>
      <w:bookmarkStart w:id="29" w:name="OLE_LINK59"/>
      <w:bookmarkStart w:id="30" w:name="OLE_LINK40"/>
      <w:bookmarkStart w:id="31" w:name="OLE_LINK39"/>
      <w:r>
        <w:rPr>
          <w:rFonts w:hint="eastAsia" w:ascii="宋体" w:hAnsi="宋体" w:cs="宋体"/>
          <w:b/>
          <w:sz w:val="24"/>
          <w:szCs w:val="24"/>
          <w:lang w:val="en-US" w:eastAsia="zh-CN"/>
        </w:rPr>
        <w:t>5</w:t>
      </w:r>
      <w:r>
        <w:rPr>
          <w:rFonts w:hint="eastAsia" w:ascii="宋体" w:hAnsi="宋体" w:cs="宋体"/>
          <w:b/>
          <w:sz w:val="24"/>
          <w:szCs w:val="24"/>
        </w:rPr>
        <w:t>.</w:t>
      </w:r>
      <w:r>
        <w:rPr>
          <w:rFonts w:hint="eastAsia" w:ascii="宋体" w:hAnsi="宋体" w:cs="宋体"/>
          <w:b/>
          <w:sz w:val="24"/>
          <w:szCs w:val="24"/>
          <w:lang w:val="en-US" w:eastAsia="zh-CN"/>
        </w:rPr>
        <w:t>4</w:t>
      </w:r>
      <w:r>
        <w:rPr>
          <w:rFonts w:hint="eastAsia" w:ascii="宋体" w:hAnsi="宋体" w:cs="宋体"/>
          <w:b/>
          <w:sz w:val="24"/>
          <w:szCs w:val="24"/>
        </w:rPr>
        <w:t>.2</w:t>
      </w:r>
      <w:r>
        <w:rPr>
          <w:rFonts w:hint="eastAsia" w:ascii="宋体" w:hAnsi="宋体" w:cs="宋体"/>
          <w:b/>
          <w:color w:val="000000"/>
          <w:sz w:val="24"/>
          <w:szCs w:val="24"/>
        </w:rPr>
        <w:t>道路现状、路宽、道路照明现状及道路照明标准要求</w:t>
      </w:r>
    </w:p>
    <w:p>
      <w:pPr>
        <w:spacing w:line="360" w:lineRule="auto"/>
        <w:ind w:firstLine="480" w:firstLineChars="200"/>
        <w:rPr>
          <w:rFonts w:hint="default" w:ascii="宋体" w:hAnsi="宋体" w:eastAsia="宋体" w:cs="宋体"/>
          <w:color w:val="000000" w:themeColor="text1"/>
          <w:sz w:val="24"/>
          <w:szCs w:val="24"/>
          <w:lang w:val="en-US"/>
        </w:rPr>
      </w:pPr>
      <w:r>
        <w:rPr>
          <w:rFonts w:hint="eastAsia" w:ascii="宋体" w:hAnsi="宋体" w:eastAsia="宋体" w:cs="宋体"/>
          <w:color w:val="000000" w:themeColor="text1"/>
          <w:sz w:val="24"/>
          <w:szCs w:val="24"/>
        </w:rPr>
        <w:t>本工程道路在</w:t>
      </w:r>
      <w:r>
        <w:rPr>
          <w:rFonts w:hint="eastAsia" w:ascii="宋体" w:hAnsi="宋体" w:eastAsia="宋体" w:cs="宋体"/>
          <w:color w:val="000000" w:themeColor="text1"/>
          <w:sz w:val="24"/>
          <w:szCs w:val="24"/>
          <w:lang w:val="en-US" w:eastAsia="zh-CN"/>
        </w:rPr>
        <w:t>现有</w:t>
      </w:r>
      <w:r>
        <w:rPr>
          <w:rFonts w:hint="eastAsia" w:ascii="宋体" w:hAnsi="宋体" w:eastAsia="宋体" w:cs="宋体"/>
          <w:color w:val="000000" w:themeColor="text1"/>
          <w:sz w:val="24"/>
          <w:szCs w:val="24"/>
        </w:rPr>
        <w:t>水泥混凝土路面上进行</w:t>
      </w:r>
      <w:r>
        <w:rPr>
          <w:rFonts w:hint="eastAsia" w:ascii="宋体" w:hAnsi="宋体" w:eastAsia="宋体" w:cs="宋体"/>
          <w:color w:val="000000" w:themeColor="text1"/>
          <w:sz w:val="24"/>
          <w:szCs w:val="24"/>
          <w:lang w:val="en-US" w:eastAsia="zh-CN"/>
        </w:rPr>
        <w:t>新建太阳能路灯</w:t>
      </w:r>
      <w:r>
        <w:rPr>
          <w:rFonts w:hint="eastAsia" w:ascii="宋体" w:hAnsi="宋体" w:cs="宋体"/>
          <w:color w:val="000000" w:themeColor="text1"/>
          <w:sz w:val="24"/>
          <w:szCs w:val="24"/>
          <w:lang w:val="en-US" w:eastAsia="zh-CN"/>
        </w:rPr>
        <w:t>。</w:t>
      </w:r>
    </w:p>
    <w:p>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道路等级为城市支路。照明标准值应符合</w:t>
      </w:r>
      <w:bookmarkEnd w:id="29"/>
      <w:r>
        <w:rPr>
          <w:rFonts w:hint="eastAsia" w:ascii="宋体" w:hAnsi="宋体" w:eastAsia="宋体" w:cs="宋体"/>
          <w:color w:val="000000" w:themeColor="text1"/>
          <w:sz w:val="24"/>
          <w:szCs w:val="24"/>
        </w:rPr>
        <w:t>《城市道路照明设计标准》（CJJ 45-2015）的相关规定：</w:t>
      </w:r>
      <w:r>
        <w:rPr>
          <w:rFonts w:hint="eastAsia" w:ascii="宋体" w:hAnsi="宋体" w:eastAsia="宋体" w:cs="宋体"/>
          <w:color w:val="000000" w:themeColor="text1"/>
          <w:sz w:val="24"/>
          <w:szCs w:val="24"/>
          <w:highlight w:val="none"/>
        </w:rPr>
        <w:t>平均亮度0.</w:t>
      </w:r>
      <w:r>
        <w:rPr>
          <w:rFonts w:hint="eastAsia" w:ascii="宋体" w:hAnsi="宋体" w:eastAsia="宋体" w:cs="宋体"/>
          <w:color w:val="000000" w:themeColor="text1"/>
          <w:sz w:val="24"/>
          <w:szCs w:val="24"/>
          <w:highlight w:val="none"/>
          <w:lang w:val="en-US" w:eastAsia="zh-CN"/>
        </w:rPr>
        <w:t>5</w:t>
      </w:r>
      <w:r>
        <w:rPr>
          <w:rFonts w:hint="eastAsia" w:ascii="宋体" w:hAnsi="宋体" w:eastAsia="宋体" w:cs="宋体"/>
          <w:color w:val="000000" w:themeColor="text1"/>
          <w:sz w:val="24"/>
          <w:szCs w:val="24"/>
          <w:highlight w:val="none"/>
        </w:rPr>
        <w:t>cd/㎡，平均照度</w:t>
      </w:r>
      <w:r>
        <w:rPr>
          <w:rFonts w:hint="eastAsia" w:ascii="宋体" w:hAnsi="宋体" w:eastAsia="宋体" w:cs="宋体"/>
          <w:color w:val="000000" w:themeColor="text1"/>
          <w:sz w:val="24"/>
          <w:szCs w:val="24"/>
          <w:highlight w:val="none"/>
          <w:lang w:val="en-US" w:eastAsia="zh-CN"/>
        </w:rPr>
        <w:t>8</w:t>
      </w:r>
      <w:r>
        <w:rPr>
          <w:rFonts w:hint="eastAsia" w:ascii="宋体" w:hAnsi="宋体" w:eastAsia="宋体" w:cs="宋体"/>
          <w:color w:val="000000" w:themeColor="text1"/>
          <w:sz w:val="24"/>
          <w:szCs w:val="24"/>
          <w:highlight w:val="none"/>
        </w:rPr>
        <w:t>lx,照明功率密度</w:t>
      </w:r>
      <w:r>
        <w:rPr>
          <w:rFonts w:hint="eastAsia" w:ascii="宋体" w:hAnsi="宋体" w:eastAsia="宋体" w:cs="宋体"/>
          <w:color w:val="000000" w:themeColor="text1"/>
          <w:sz w:val="24"/>
          <w:szCs w:val="24"/>
          <w:highlight w:val="none"/>
          <w:lang w:val="en-US" w:eastAsia="zh-CN"/>
        </w:rPr>
        <w:t>限</w:t>
      </w:r>
      <w:r>
        <w:rPr>
          <w:rFonts w:hint="eastAsia" w:ascii="宋体" w:hAnsi="宋体" w:eastAsia="宋体" w:cs="宋体"/>
          <w:color w:val="000000" w:themeColor="text1"/>
          <w:sz w:val="24"/>
          <w:szCs w:val="24"/>
          <w:highlight w:val="none"/>
        </w:rPr>
        <w:t>值</w:t>
      </w:r>
      <w:r>
        <w:rPr>
          <w:rFonts w:hint="eastAsia" w:ascii="宋体" w:hAnsi="宋体" w:eastAsia="宋体" w:cs="宋体"/>
          <w:color w:val="000000" w:themeColor="text1"/>
          <w:sz w:val="24"/>
          <w:szCs w:val="24"/>
          <w:highlight w:val="none"/>
          <w:lang w:val="en-US" w:eastAsia="zh-CN"/>
        </w:rPr>
        <w:t>≤0.45</w:t>
      </w:r>
      <w:r>
        <w:rPr>
          <w:rFonts w:hint="eastAsia" w:ascii="宋体" w:hAnsi="宋体" w:eastAsia="宋体" w:cs="宋体"/>
          <w:color w:val="000000" w:themeColor="text1"/>
          <w:sz w:val="24"/>
          <w:szCs w:val="24"/>
          <w:highlight w:val="none"/>
        </w:rPr>
        <w:t>W/㎡。</w:t>
      </w:r>
    </w:p>
    <w:bookmarkEnd w:id="30"/>
    <w:bookmarkEnd w:id="31"/>
    <w:p>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路灯选择、布置方式：灯具为单侧布置，灯杆高度为</w:t>
      </w:r>
      <w:r>
        <w:rPr>
          <w:rFonts w:hint="eastAsia" w:ascii="宋体" w:hAnsi="宋体" w:eastAsia="宋体" w:cs="宋体"/>
          <w:color w:val="000000" w:themeColor="text1"/>
          <w:sz w:val="24"/>
          <w:szCs w:val="24"/>
          <w:lang w:val="en-US" w:eastAsia="zh-CN"/>
        </w:rPr>
        <w:t>6</w:t>
      </w:r>
      <w:r>
        <w:rPr>
          <w:rFonts w:hint="eastAsia" w:ascii="宋体" w:hAnsi="宋体" w:eastAsia="宋体" w:cs="宋体"/>
          <w:color w:val="000000" w:themeColor="text1"/>
          <w:sz w:val="24"/>
          <w:szCs w:val="24"/>
        </w:rPr>
        <w:t>m，悬挑长度1.2m，灯具为</w:t>
      </w:r>
      <w:r>
        <w:rPr>
          <w:rFonts w:hint="eastAsia" w:ascii="宋体" w:hAnsi="宋体" w:eastAsia="宋体" w:cs="宋体"/>
          <w:color w:val="000000" w:themeColor="text1"/>
          <w:sz w:val="24"/>
          <w:szCs w:val="24"/>
          <w:lang w:val="en-US" w:eastAsia="zh-CN"/>
        </w:rPr>
        <w:t>半</w:t>
      </w:r>
      <w:r>
        <w:rPr>
          <w:rFonts w:hint="eastAsia" w:ascii="宋体" w:hAnsi="宋体" w:eastAsia="宋体" w:cs="宋体"/>
          <w:color w:val="000000" w:themeColor="text1"/>
          <w:sz w:val="24"/>
          <w:szCs w:val="24"/>
        </w:rPr>
        <w:t>截光型，光源为LED 40W，平均安装间距30m。</w:t>
      </w:r>
    </w:p>
    <w:p>
      <w:pPr>
        <w:spacing w:line="600" w:lineRule="exact"/>
        <w:rPr>
          <w:rFonts w:hint="eastAsia" w:ascii="宋体" w:hAnsi="宋体" w:cs="宋体"/>
          <w:b/>
          <w:sz w:val="24"/>
          <w:szCs w:val="24"/>
        </w:rPr>
      </w:pPr>
      <w:r>
        <w:rPr>
          <w:rFonts w:hint="eastAsia" w:ascii="宋体" w:hAnsi="宋体" w:cs="宋体"/>
          <w:b/>
          <w:sz w:val="24"/>
          <w:szCs w:val="24"/>
          <w:lang w:val="en-US" w:eastAsia="zh-CN"/>
        </w:rPr>
        <w:t>5.</w:t>
      </w:r>
      <w:r>
        <w:rPr>
          <w:rFonts w:hint="eastAsia" w:ascii="宋体" w:hAnsi="宋体" w:cs="宋体"/>
          <w:b/>
          <w:sz w:val="24"/>
          <w:szCs w:val="24"/>
        </w:rPr>
        <w:t>4.3路灯电气等相关参数要求</w:t>
      </w:r>
    </w:p>
    <w:p>
      <w:pPr>
        <w:spacing w:line="360" w:lineRule="auto"/>
        <w:ind w:firstLine="480" w:firstLineChars="200"/>
        <w:rPr>
          <w:rFonts w:ascii="宋体" w:hAnsi="宋体" w:cs="宋体"/>
          <w:color w:val="000000" w:themeColor="text1"/>
          <w:sz w:val="24"/>
          <w:szCs w:val="24"/>
        </w:rPr>
      </w:pPr>
      <w:r>
        <w:rPr>
          <w:rFonts w:hint="eastAsia" w:ascii="宋体" w:hAnsi="宋体" w:cs="宋体"/>
          <w:sz w:val="24"/>
          <w:szCs w:val="24"/>
        </w:rPr>
        <w:t>光源：</w:t>
      </w:r>
      <w:r>
        <w:rPr>
          <w:rFonts w:ascii="宋体" w:hAnsi="宋体" w:cs="宋体"/>
          <w:sz w:val="24"/>
          <w:szCs w:val="24"/>
        </w:rPr>
        <w:t>光源的显色指数(Ra)不宜小于60；光源的相关色温不宜高于5000K，并宜优先选择中或低色温光源；选用同类光源的色品容差不应大于7SDCM；在现行国家标准《均匀色空间和色差公式》GB／T 7921规定的CIE 1976均匀色度标尺图中，在寿命周期内光源的色品坐标与</w:t>
      </w:r>
      <w:r>
        <w:rPr>
          <w:rFonts w:ascii="宋体" w:hAnsi="宋体" w:cs="宋体"/>
          <w:color w:val="000000" w:themeColor="text1"/>
          <w:sz w:val="24"/>
          <w:szCs w:val="24"/>
        </w:rPr>
        <w:t>初始值的偏差不应超过0</w:t>
      </w:r>
      <w:r>
        <w:rPr>
          <w:rFonts w:hint="eastAsia" w:ascii="宋体" w:hAnsi="宋体" w:cs="宋体"/>
          <w:color w:val="000000" w:themeColor="text1"/>
          <w:sz w:val="24"/>
          <w:szCs w:val="24"/>
          <w:lang w:val="en-US" w:eastAsia="zh-CN"/>
        </w:rPr>
        <w:t>.</w:t>
      </w:r>
      <w:r>
        <w:rPr>
          <w:rFonts w:ascii="宋体" w:hAnsi="宋体" w:cs="宋体"/>
          <w:color w:val="000000" w:themeColor="text1"/>
          <w:sz w:val="24"/>
          <w:szCs w:val="24"/>
        </w:rPr>
        <w:t>012。</w:t>
      </w:r>
      <w:r>
        <w:rPr>
          <w:rFonts w:hint="eastAsia" w:ascii="宋体" w:hAnsi="宋体" w:cs="宋体"/>
          <w:color w:val="000000" w:themeColor="text1"/>
          <w:sz w:val="24"/>
          <w:szCs w:val="24"/>
        </w:rPr>
        <w:t>光源寿命应</w:t>
      </w:r>
      <w:r>
        <w:rPr>
          <w:rFonts w:ascii="宋体" w:hAnsi="宋体" w:cs="宋体"/>
          <w:color w:val="000000" w:themeColor="text1"/>
          <w:sz w:val="24"/>
          <w:szCs w:val="24"/>
        </w:rPr>
        <w:t>≥</w:t>
      </w:r>
      <w:r>
        <w:rPr>
          <w:rFonts w:hint="eastAsia" w:ascii="宋体" w:hAnsi="宋体" w:cs="宋体"/>
          <w:color w:val="000000" w:themeColor="text1"/>
          <w:sz w:val="24"/>
          <w:szCs w:val="24"/>
        </w:rPr>
        <w:t>70000h。</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灯具：</w:t>
      </w:r>
      <w:r>
        <w:rPr>
          <w:rFonts w:ascii="宋体" w:hAnsi="宋体" w:cs="宋体"/>
          <w:color w:val="000000" w:themeColor="text1"/>
          <w:sz w:val="24"/>
          <w:szCs w:val="24"/>
          <w:highlight w:val="none"/>
        </w:rPr>
        <w:t>灯具效能</w:t>
      </w:r>
      <w:r>
        <w:rPr>
          <w:rFonts w:hint="eastAsia" w:ascii="宋体" w:hAnsi="宋体" w:cs="宋体"/>
          <w:color w:val="000000" w:themeColor="text1"/>
          <w:sz w:val="24"/>
          <w:szCs w:val="24"/>
          <w:highlight w:val="none"/>
          <w:lang w:val="en-US" w:eastAsia="zh-CN"/>
        </w:rPr>
        <w:t>限值</w:t>
      </w:r>
      <w:r>
        <w:rPr>
          <w:rFonts w:ascii="宋体" w:hAnsi="宋体" w:cs="宋体"/>
          <w:color w:val="000000" w:themeColor="text1"/>
          <w:sz w:val="24"/>
          <w:szCs w:val="24"/>
          <w:highlight w:val="none"/>
        </w:rPr>
        <w:t>9</w:t>
      </w:r>
      <w:r>
        <w:rPr>
          <w:rFonts w:hint="eastAsia" w:ascii="宋体" w:hAnsi="宋体" w:cs="宋体"/>
          <w:color w:val="000000" w:themeColor="text1"/>
          <w:sz w:val="24"/>
          <w:szCs w:val="24"/>
          <w:highlight w:val="none"/>
          <w:lang w:val="en-US" w:eastAsia="zh-CN"/>
        </w:rPr>
        <w:t>5l</w:t>
      </w:r>
      <w:r>
        <w:rPr>
          <w:rFonts w:ascii="宋体" w:hAnsi="宋体" w:cs="宋体"/>
          <w:color w:val="000000" w:themeColor="text1"/>
          <w:sz w:val="24"/>
          <w:szCs w:val="24"/>
          <w:highlight w:val="none"/>
        </w:rPr>
        <w:t>m/W</w:t>
      </w:r>
      <w:r>
        <w:rPr>
          <w:rFonts w:ascii="宋体" w:hAnsi="宋体" w:cs="宋体"/>
          <w:color w:val="000000" w:themeColor="text1"/>
          <w:sz w:val="24"/>
          <w:szCs w:val="24"/>
        </w:rPr>
        <w:t>；在标称工作状态下，灯具连续燃点3000小时的光源光通量维持率不应小于96％，灯具连续燃点6000小时的光源光通量维持率不应小于92％；</w:t>
      </w:r>
    </w:p>
    <w:p>
      <w:pPr>
        <w:spacing w:line="360" w:lineRule="auto"/>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灯具：灯具结构均为一体化 LED光源，压铸铝壳及钢化玻璃透光罩，灯罩防护等级IP65，维护系数0.</w:t>
      </w:r>
      <w:r>
        <w:rPr>
          <w:rFonts w:hint="eastAsia" w:ascii="宋体" w:hAnsi="宋体" w:eastAsia="宋体" w:cs="宋体"/>
          <w:color w:val="000000" w:themeColor="text1"/>
          <w:sz w:val="24"/>
          <w:szCs w:val="24"/>
          <w:lang w:val="en-US" w:eastAsia="zh-CN"/>
        </w:rPr>
        <w:t>7</w:t>
      </w:r>
      <w:r>
        <w:rPr>
          <w:rFonts w:hint="eastAsia" w:ascii="宋体" w:hAnsi="宋体" w:eastAsia="宋体" w:cs="宋体"/>
          <w:color w:val="000000" w:themeColor="text1"/>
          <w:sz w:val="24"/>
          <w:szCs w:val="24"/>
        </w:rPr>
        <w:t>。</w:t>
      </w:r>
    </w:p>
    <w:p>
      <w:pPr>
        <w:spacing w:line="360" w:lineRule="auto"/>
        <w:ind w:firstLine="480" w:firstLineChars="200"/>
        <w:rPr>
          <w:rFonts w:ascii="宋体" w:hAnsi="宋体" w:eastAsia="宋体" w:cs="宋体"/>
          <w:color w:val="000000" w:themeColor="text1"/>
          <w:sz w:val="24"/>
          <w:szCs w:val="24"/>
        </w:rPr>
      </w:pPr>
      <w:r>
        <w:rPr>
          <w:rFonts w:ascii="宋体" w:hAnsi="宋体" w:eastAsia="宋体" w:cs="宋体"/>
          <w:color w:val="000000" w:themeColor="text1"/>
          <w:sz w:val="24"/>
          <w:szCs w:val="24"/>
        </w:rPr>
        <w:t>灯杆</w:t>
      </w:r>
      <w:r>
        <w:rPr>
          <w:rFonts w:hint="eastAsia" w:ascii="宋体" w:hAnsi="宋体" w:eastAsia="宋体" w:cs="宋体"/>
          <w:color w:val="000000" w:themeColor="text1"/>
          <w:sz w:val="24"/>
          <w:szCs w:val="24"/>
        </w:rPr>
        <w:t>：采用优质Q235钢板经模压成型，灯杆表面热镀锌处理后表面聚脂粉体涂装；灯杆壁厚2.75mm。杆高6米，上口径60mm,下口径150mm,法兰盘280mm*280mm*12mm</w:t>
      </w:r>
      <w:r>
        <w:rPr>
          <w:rFonts w:ascii="宋体" w:hAnsi="宋体" w:eastAsia="宋体" w:cs="宋体"/>
          <w:color w:val="000000" w:themeColor="text1"/>
          <w:sz w:val="24"/>
          <w:szCs w:val="24"/>
        </w:rPr>
        <w:t>，防腐蚀年限为30年，抵抗风速40m/s。</w:t>
      </w:r>
    </w:p>
    <w:p>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val="en-US" w:eastAsia="zh-CN"/>
        </w:rPr>
        <w:t>太阳能电池组件</w:t>
      </w:r>
      <w:r>
        <w:rPr>
          <w:rFonts w:hint="eastAsia" w:ascii="宋体" w:hAnsi="宋体" w:eastAsia="宋体" w:cs="宋体"/>
          <w:color w:val="000000" w:themeColor="text1"/>
          <w:sz w:val="24"/>
          <w:szCs w:val="24"/>
        </w:rPr>
        <w:t>：采用3.2V磷酸铁锂，用于12v太阳能系统,太阳能锂电池电池容量：60AH</w:t>
      </w:r>
    </w:p>
    <w:p>
      <w:pPr>
        <w:spacing w:line="360" w:lineRule="auto"/>
        <w:ind w:firstLine="480" w:firstLineChars="200"/>
        <w:rPr>
          <w:rFonts w:ascii="宋体" w:hAnsi="宋体" w:eastAsia="宋体" w:cs="宋体"/>
          <w:color w:val="000000" w:themeColor="text1"/>
          <w:sz w:val="24"/>
          <w:szCs w:val="24"/>
        </w:rPr>
      </w:pPr>
      <w:r>
        <w:rPr>
          <w:rFonts w:ascii="宋体" w:hAnsi="宋体" w:eastAsia="宋体" w:cs="宋体"/>
          <w:color w:val="000000" w:themeColor="text1"/>
          <w:sz w:val="24"/>
          <w:szCs w:val="24"/>
        </w:rPr>
        <w:t>控制器：</w:t>
      </w:r>
      <w:r>
        <w:rPr>
          <w:rFonts w:hint="eastAsia" w:ascii="宋体" w:hAnsi="宋体" w:eastAsia="宋体" w:cs="宋体"/>
          <w:color w:val="000000" w:themeColor="text1"/>
          <w:sz w:val="24"/>
          <w:szCs w:val="24"/>
        </w:rPr>
        <w:t>应符合GB 24460和GB/ 19064规定，</w:t>
      </w:r>
      <w:r>
        <w:rPr>
          <w:rFonts w:ascii="宋体" w:hAnsi="宋体" w:eastAsia="宋体" w:cs="宋体"/>
          <w:color w:val="000000" w:themeColor="text1"/>
          <w:sz w:val="24"/>
          <w:szCs w:val="24"/>
        </w:rPr>
        <w:t>微电脑智能控制器，防过充，过放，光控开，时控关，寿命≥</w:t>
      </w:r>
      <w:r>
        <w:rPr>
          <w:rFonts w:hint="eastAsia" w:ascii="宋体" w:hAnsi="宋体" w:eastAsia="宋体" w:cs="宋体"/>
          <w:color w:val="000000" w:themeColor="text1"/>
          <w:sz w:val="24"/>
          <w:szCs w:val="24"/>
        </w:rPr>
        <w:t>8</w:t>
      </w:r>
      <w:r>
        <w:rPr>
          <w:rFonts w:ascii="宋体" w:hAnsi="宋体" w:eastAsia="宋体" w:cs="宋体"/>
          <w:color w:val="000000" w:themeColor="text1"/>
          <w:sz w:val="24"/>
          <w:szCs w:val="24"/>
        </w:rPr>
        <w:t>年。</w:t>
      </w:r>
    </w:p>
    <w:p>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太阳能光伏板:太阳能板功率：40Wp*2，多晶硅。</w:t>
      </w:r>
    </w:p>
    <w:p>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光源：40W LED</w:t>
      </w:r>
      <w:r>
        <w:rPr>
          <w:rFonts w:hint="eastAsia" w:ascii="宋体" w:hAnsi="宋体" w:eastAsia="宋体" w:cs="宋体"/>
          <w:color w:val="000000" w:themeColor="text1"/>
          <w:sz w:val="24"/>
          <w:szCs w:val="24"/>
          <w:lang w:val="en-US" w:eastAsia="zh-CN"/>
        </w:rPr>
        <w:t>半</w:t>
      </w:r>
      <w:r>
        <w:rPr>
          <w:rFonts w:hint="eastAsia" w:ascii="宋体" w:hAnsi="宋体" w:eastAsia="宋体" w:cs="宋体"/>
          <w:color w:val="000000" w:themeColor="text1"/>
          <w:sz w:val="24"/>
          <w:szCs w:val="24"/>
        </w:rPr>
        <w:t>截光型灯。</w:t>
      </w:r>
    </w:p>
    <w:p>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逆变器：逆变器应符合GB/T 19064的规定。</w:t>
      </w:r>
    </w:p>
    <w:p>
      <w:pPr>
        <w:spacing w:line="600" w:lineRule="exact"/>
        <w:rPr>
          <w:rFonts w:ascii="宋体" w:hAnsi="宋体" w:cs="宋体"/>
          <w:b/>
          <w:sz w:val="24"/>
          <w:szCs w:val="24"/>
        </w:rPr>
      </w:pPr>
      <w:r>
        <w:rPr>
          <w:rFonts w:hint="eastAsia" w:ascii="宋体" w:hAnsi="宋体" w:cs="宋体"/>
          <w:b/>
          <w:sz w:val="24"/>
          <w:szCs w:val="24"/>
          <w:lang w:val="en-US" w:eastAsia="zh-CN"/>
        </w:rPr>
        <w:t>5.</w:t>
      </w:r>
      <w:r>
        <w:rPr>
          <w:rFonts w:hint="eastAsia" w:ascii="宋体" w:hAnsi="宋体" w:cs="宋体"/>
          <w:b/>
          <w:sz w:val="24"/>
          <w:szCs w:val="24"/>
        </w:rPr>
        <w:t>4.4</w:t>
      </w:r>
      <w:r>
        <w:rPr>
          <w:rFonts w:ascii="宋体" w:hAnsi="宋体" w:cs="宋体"/>
          <w:b/>
          <w:sz w:val="24"/>
          <w:szCs w:val="24"/>
        </w:rPr>
        <w:t>路灯控制</w:t>
      </w:r>
    </w:p>
    <w:p>
      <w:pPr>
        <w:spacing w:line="360" w:lineRule="auto"/>
        <w:ind w:firstLine="480" w:firstLineChars="200"/>
        <w:rPr>
          <w:rFonts w:ascii="仿宋_GB2312" w:hAnsi="宋体" w:eastAsia="仿宋_GB2312"/>
          <w:sz w:val="28"/>
          <w:szCs w:val="28"/>
        </w:rPr>
      </w:pPr>
      <w:r>
        <w:rPr>
          <w:rFonts w:ascii="宋体" w:hAnsi="宋体" w:cs="宋体"/>
          <w:sz w:val="24"/>
          <w:szCs w:val="24"/>
        </w:rPr>
        <w:t>系统采用光电相结合的方式，可切换至时间控制、手动控制、光控。</w:t>
      </w:r>
    </w:p>
    <w:p>
      <w:pPr>
        <w:spacing w:line="600" w:lineRule="exact"/>
        <w:rPr>
          <w:rFonts w:ascii="宋体" w:hAnsi="宋体" w:cs="宋体"/>
          <w:b/>
          <w:sz w:val="24"/>
          <w:szCs w:val="24"/>
        </w:rPr>
      </w:pPr>
      <w:r>
        <w:rPr>
          <w:rFonts w:hint="eastAsia" w:ascii="宋体" w:hAnsi="宋体" w:cs="宋体"/>
          <w:b/>
          <w:sz w:val="24"/>
          <w:szCs w:val="24"/>
          <w:lang w:val="en-US" w:eastAsia="zh-CN"/>
        </w:rPr>
        <w:t>5.</w:t>
      </w:r>
      <w:r>
        <w:rPr>
          <w:rFonts w:hint="eastAsia" w:ascii="宋体" w:hAnsi="宋体" w:cs="宋体"/>
          <w:b/>
          <w:sz w:val="24"/>
          <w:szCs w:val="24"/>
        </w:rPr>
        <w:t>4.5</w:t>
      </w:r>
      <w:r>
        <w:rPr>
          <w:rFonts w:ascii="宋体" w:hAnsi="宋体" w:cs="宋体"/>
          <w:b/>
          <w:sz w:val="24"/>
          <w:szCs w:val="24"/>
        </w:rPr>
        <w:t>防雷接地</w:t>
      </w:r>
    </w:p>
    <w:p>
      <w:pPr>
        <w:spacing w:line="360" w:lineRule="auto"/>
        <w:ind w:firstLine="480" w:firstLineChars="200"/>
        <w:rPr>
          <w:rFonts w:hint="eastAsia" w:cs="宋体" w:asciiTheme="minorEastAsia" w:hAnsiTheme="minorEastAsia" w:eastAsiaTheme="minorEastAsia"/>
          <w:color w:val="000000" w:themeColor="text1"/>
          <w:kern w:val="0"/>
          <w:sz w:val="24"/>
          <w:lang w:val="en-US" w:eastAsia="zh-CN"/>
        </w:rPr>
      </w:pPr>
      <w:r>
        <w:rPr>
          <w:rFonts w:ascii="宋体" w:hAnsi="宋体" w:cs="宋体"/>
          <w:sz w:val="24"/>
          <w:szCs w:val="24"/>
        </w:rPr>
        <w:t>用金属灯柱兼做接闪器和引下线，路灯基础钢筋笼半米以下其钢筋表面积大于0.37㎡，作为防雷接地体</w:t>
      </w:r>
      <w:r>
        <w:rPr>
          <w:rFonts w:hint="eastAsia" w:ascii="宋体" w:hAnsi="宋体" w:cs="宋体"/>
          <w:sz w:val="24"/>
          <w:szCs w:val="24"/>
        </w:rPr>
        <w:t>，</w:t>
      </w:r>
      <w:r>
        <w:rPr>
          <w:rFonts w:ascii="宋体" w:hAnsi="宋体" w:cs="宋体"/>
          <w:sz w:val="24"/>
          <w:szCs w:val="24"/>
        </w:rPr>
        <w:t>接电电阻≤10欧，</w:t>
      </w:r>
      <w:r>
        <w:rPr>
          <w:rFonts w:hint="eastAsia" w:ascii="宋体" w:hAnsi="宋体" w:cs="宋体"/>
          <w:sz w:val="24"/>
          <w:szCs w:val="24"/>
        </w:rPr>
        <w:t>不满足</w:t>
      </w:r>
      <w:r>
        <w:rPr>
          <w:rFonts w:ascii="宋体" w:hAnsi="宋体" w:cs="宋体"/>
          <w:sz w:val="24"/>
          <w:szCs w:val="24"/>
        </w:rPr>
        <w:t>应增加人工接地极，在路灯控制器内设置TVS（瞬态电压抑制）防雷保护。</w:t>
      </w:r>
      <w:bookmarkEnd w:id="17"/>
      <w:bookmarkEnd w:id="18"/>
      <w:bookmarkEnd w:id="19"/>
      <w:bookmarkEnd w:id="20"/>
      <w:bookmarkEnd w:id="21"/>
      <w:bookmarkEnd w:id="22"/>
      <w:bookmarkEnd w:id="23"/>
      <w:bookmarkEnd w:id="24"/>
      <w:bookmarkEnd w:id="25"/>
      <w:bookmarkEnd w:id="26"/>
      <w:bookmarkEnd w:id="27"/>
    </w:p>
    <w:p>
      <w:pPr>
        <w:spacing w:line="360" w:lineRule="auto"/>
        <w:outlineLvl w:val="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lang w:val="en-US" w:eastAsia="zh-CN"/>
        </w:rPr>
        <w:t>5</w:t>
      </w:r>
      <w:r>
        <w:rPr>
          <w:rFonts w:hint="eastAsia" w:asciiTheme="minorEastAsia" w:hAnsiTheme="minorEastAsia" w:eastAsiaTheme="minorEastAsia"/>
          <w:b/>
          <w:color w:val="000000" w:themeColor="text1"/>
          <w:sz w:val="24"/>
        </w:rPr>
        <w:t>.</w:t>
      </w:r>
      <w:r>
        <w:rPr>
          <w:rFonts w:hint="eastAsia" w:asciiTheme="minorEastAsia" w:hAnsiTheme="minorEastAsia" w:eastAsiaTheme="minorEastAsia"/>
          <w:b/>
          <w:color w:val="000000" w:themeColor="text1"/>
          <w:sz w:val="24"/>
          <w:lang w:val="en-US" w:eastAsia="zh-CN"/>
        </w:rPr>
        <w:t>5</w:t>
      </w:r>
      <w:r>
        <w:rPr>
          <w:rFonts w:hint="eastAsia" w:asciiTheme="minorEastAsia" w:hAnsiTheme="minorEastAsia" w:eastAsiaTheme="minorEastAsia"/>
          <w:b/>
          <w:color w:val="000000" w:themeColor="text1"/>
          <w:sz w:val="24"/>
        </w:rPr>
        <w:t>主要材料</w:t>
      </w:r>
      <w:bookmarkEnd w:id="28"/>
    </w:p>
    <w:p>
      <w:pPr>
        <w:autoSpaceDE w:val="0"/>
        <w:autoSpaceDN w:val="0"/>
        <w:adjustRightInd w:val="0"/>
        <w:spacing w:line="360" w:lineRule="auto"/>
        <w:jc w:val="left"/>
        <w:rPr>
          <w:rFonts w:cs="宋体" w:asciiTheme="minorEastAsia" w:hAnsiTheme="minorEastAsia" w:eastAsiaTheme="minorEastAsia"/>
          <w:b/>
          <w:color w:val="000000" w:themeColor="text1"/>
          <w:kern w:val="0"/>
          <w:sz w:val="24"/>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.1水泥混凝土</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水泥</w:t>
      </w:r>
      <w:r>
        <w:rPr>
          <w:rFonts w:hint="eastAsia" w:cs="宋体" w:asciiTheme="minorEastAsia" w:hAnsiTheme="minorEastAsia" w:eastAsiaTheme="minorEastAsia"/>
          <w:color w:val="000000" w:themeColor="text1"/>
          <w:kern w:val="0"/>
          <w:sz w:val="24"/>
          <w:lang w:val="en-US" w:eastAsia="zh-CN"/>
        </w:rPr>
        <w:t>标号采用42.5号硅酸盐水泥或</w:t>
      </w:r>
      <w:r>
        <w:rPr>
          <w:rFonts w:hint="eastAsia" w:cs="宋体" w:asciiTheme="minorEastAsia" w:hAnsiTheme="minorEastAsia" w:eastAsiaTheme="minorEastAsia"/>
          <w:color w:val="000000" w:themeColor="text1"/>
          <w:kern w:val="0"/>
          <w:sz w:val="24"/>
        </w:rPr>
        <w:t>普通硅酸盐水泥，</w:t>
      </w:r>
      <w:r>
        <w:rPr>
          <w:rFonts w:hint="eastAsia" w:cs="宋体" w:asciiTheme="minorEastAsia" w:hAnsiTheme="minorEastAsia" w:eastAsiaTheme="minorEastAsia"/>
          <w:color w:val="000000" w:themeColor="text1"/>
          <w:kern w:val="0"/>
          <w:sz w:val="24"/>
          <w:lang w:val="en-US" w:eastAsia="zh-CN"/>
        </w:rPr>
        <w:t>混凝土配合比应按国家标准规定进行计算和试配，以28天抗压强度为检验标准。</w:t>
      </w:r>
      <w:r>
        <w:rPr>
          <w:rFonts w:hint="eastAsia" w:cs="宋体" w:asciiTheme="minorEastAsia" w:hAnsiTheme="minorEastAsia" w:eastAsiaTheme="minorEastAsia"/>
          <w:color w:val="000000" w:themeColor="text1"/>
          <w:kern w:val="0"/>
          <w:sz w:val="24"/>
        </w:rPr>
        <w:t>粗集料(碎石)应符合水泥砼面层粗集料级配组成表要求。路面水泥采用42.5号普通硅酸盐水泥，水泥用量不得小于320Kg/m3，水泥混凝土的水灰比不大于0.48 ，混凝土中必须加引气剂，其用量可根据实验确定，水泥混凝土路面结构设计安全等级为三级，目标可靠度为70％，目标可靠指标为0.52，变异水平等级为中，水泥混凝土弯拉强度变异系数变化范围为：0.10＜Cv≤0.15,基层顶面当量回弹模量变异系数变化范围为0.25＜Cv≤0.35，水泥混凝土面层厚度变异系数变化范围为0.04＜Cv≤0.06，表面构造深度一般路段为0.5～0.9mm,特殊的急弯、陡坡、交叉口或组合坡度大于或等于4%的纵坡路段为0.6～1.1mm。</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水泥的化学成分和物理指标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197"/>
        <w:gridCol w:w="6733"/>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水泥性能</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中、轻交通路面</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铝酸三钙</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不宜＞9.0%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铁铝酸四钙</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12.0%～20.0%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氧化镁</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不得＞6.0%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三氧化硫</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不得＞4.0%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碱含量</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Na</w:t>
            </w:r>
            <w:r>
              <w:rPr>
                <w:rFonts w:hint="eastAsia" w:ascii="宋体" w:hAnsi="宋体"/>
                <w:color w:val="000000" w:themeColor="text1"/>
                <w:spacing w:val="16"/>
                <w:sz w:val="30"/>
                <w:szCs w:val="30"/>
                <w:vertAlign w:val="subscript"/>
              </w:rPr>
              <w:t>2</w:t>
            </w:r>
            <w:r>
              <w:rPr>
                <w:rFonts w:hint="eastAsia" w:ascii="宋体" w:hAnsi="宋体"/>
                <w:color w:val="000000" w:themeColor="text1"/>
                <w:spacing w:val="16"/>
                <w:sz w:val="24"/>
                <w:szCs w:val="24"/>
              </w:rPr>
              <w:t>O+0.658K</w:t>
            </w:r>
            <w:r>
              <w:rPr>
                <w:rFonts w:hint="eastAsia" w:ascii="宋体" w:hAnsi="宋体"/>
                <w:color w:val="000000" w:themeColor="text1"/>
                <w:spacing w:val="16"/>
                <w:sz w:val="30"/>
                <w:szCs w:val="30"/>
                <w:vertAlign w:val="subscript"/>
              </w:rPr>
              <w:t>2</w:t>
            </w:r>
            <w:r>
              <w:rPr>
                <w:rFonts w:hint="eastAsia" w:ascii="宋体" w:hAnsi="宋体"/>
                <w:color w:val="000000" w:themeColor="text1"/>
                <w:spacing w:val="16"/>
                <w:sz w:val="24"/>
                <w:szCs w:val="24"/>
              </w:rPr>
              <w:t>O≤0.6%</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混合材料种类</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不得掺窑灰、煤矸石、火山灰、烧粘土、煤渣，有盐冻要求时不得掺石灰岩粉</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出磨时安定性</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雷氏夹或蒸煮法检验必须合格</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标准稠度需水量</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不易＞30%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比表面积</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宜在300～450m</w:t>
            </w:r>
            <w:r>
              <w:rPr>
                <w:rFonts w:hint="eastAsia" w:ascii="宋体" w:hAnsi="宋体"/>
                <w:color w:val="000000" w:themeColor="text1"/>
                <w:spacing w:val="16"/>
                <w:sz w:val="30"/>
                <w:szCs w:val="30"/>
                <w:vertAlign w:val="superscript"/>
              </w:rPr>
              <w:t>2</w:t>
            </w:r>
            <w:r>
              <w:rPr>
                <w:rFonts w:hint="eastAsia" w:ascii="宋体" w:hAnsi="宋体"/>
                <w:color w:val="000000" w:themeColor="text1"/>
                <w:spacing w:val="16"/>
                <w:sz w:val="24"/>
                <w:szCs w:val="24"/>
              </w:rPr>
              <w:t>/Kg</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细度(80μm)</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筛余量不得＞10%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28d干缩率</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不得＞0.10%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97"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耐磨性</w:t>
            </w:r>
          </w:p>
        </w:tc>
        <w:tc>
          <w:tcPr>
            <w:tcW w:w="6733"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不得＞3.0Kg/m</w:t>
            </w:r>
            <w:r>
              <w:rPr>
                <w:rFonts w:hint="eastAsia" w:ascii="宋体" w:hAnsi="宋体"/>
                <w:color w:val="000000" w:themeColor="text1"/>
                <w:spacing w:val="16"/>
                <w:sz w:val="30"/>
                <w:szCs w:val="30"/>
                <w:vertAlign w:val="superscript"/>
              </w:rPr>
              <w:t>2</w:t>
            </w:r>
          </w:p>
        </w:tc>
      </w:tr>
    </w:tbl>
    <w:p>
      <w:pPr>
        <w:pStyle w:val="8"/>
        <w:tabs>
          <w:tab w:val="left" w:pos="14716"/>
        </w:tabs>
        <w:ind w:firstLine="533" w:firstLineChars="196"/>
        <w:jc w:val="left"/>
        <w:rPr>
          <w:rFonts w:hint="eastAsia" w:ascii="宋体" w:hAnsi="宋体"/>
          <w:b/>
          <w:bCs/>
          <w:color w:val="000000" w:themeColor="text1"/>
          <w:spacing w:val="16"/>
          <w:sz w:val="24"/>
          <w:szCs w:val="24"/>
        </w:rPr>
      </w:pPr>
      <w:r>
        <w:rPr>
          <w:rFonts w:hint="eastAsia" w:hAnsi="宋体"/>
          <w:b/>
          <w:bCs/>
          <w:color w:val="000000" w:themeColor="text1"/>
          <w:spacing w:val="16"/>
          <w:sz w:val="24"/>
          <w:szCs w:val="24"/>
          <w:lang w:val="en-US" w:eastAsia="zh-CN"/>
        </w:rPr>
        <w:t>5</w:t>
      </w:r>
      <w:r>
        <w:rPr>
          <w:rFonts w:hint="eastAsia" w:ascii="宋体" w:hAnsi="宋体"/>
          <w:b/>
          <w:bCs/>
          <w:color w:val="000000" w:themeColor="text1"/>
          <w:spacing w:val="16"/>
          <w:sz w:val="24"/>
          <w:szCs w:val="24"/>
        </w:rPr>
        <w:t>.</w:t>
      </w:r>
      <w:r>
        <w:rPr>
          <w:rFonts w:hint="eastAsia" w:hAnsi="宋体"/>
          <w:b/>
          <w:bCs/>
          <w:color w:val="000000" w:themeColor="text1"/>
          <w:spacing w:val="16"/>
          <w:sz w:val="24"/>
          <w:szCs w:val="24"/>
          <w:lang w:val="en-US" w:eastAsia="zh-CN"/>
        </w:rPr>
        <w:t>5</w:t>
      </w:r>
      <w:r>
        <w:rPr>
          <w:rFonts w:hint="eastAsia" w:ascii="宋体" w:hAnsi="宋体"/>
          <w:b/>
          <w:bCs/>
          <w:color w:val="000000" w:themeColor="text1"/>
          <w:spacing w:val="16"/>
          <w:sz w:val="24"/>
          <w:szCs w:val="24"/>
        </w:rPr>
        <w:t>.2粗集料</w:t>
      </w:r>
    </w:p>
    <w:p>
      <w:pPr>
        <w:pStyle w:val="8"/>
        <w:tabs>
          <w:tab w:val="left" w:pos="14716"/>
        </w:tabs>
        <w:ind w:firstLine="533" w:firstLineChars="196"/>
        <w:jc w:val="left"/>
        <w:rPr>
          <w:rFonts w:hint="eastAsia" w:ascii="宋体" w:hAnsi="宋体"/>
          <w:color w:val="000000" w:themeColor="text1"/>
          <w:spacing w:val="16"/>
          <w:sz w:val="24"/>
          <w:szCs w:val="24"/>
        </w:rPr>
      </w:pPr>
      <w:r>
        <w:rPr>
          <w:rFonts w:hint="eastAsia" w:ascii="宋体" w:hAnsi="宋体"/>
          <w:color w:val="000000" w:themeColor="text1"/>
          <w:spacing w:val="16"/>
          <w:sz w:val="24"/>
          <w:szCs w:val="24"/>
        </w:rPr>
        <w:t>1、粗集料应实用质地坚硬、耐久、洁净的碎石，且集料的吸水率不应大于2.0%。</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碎石技术指标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碎石压碎值(%)</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坚固性(按质量损失计%)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＜12</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针片状颗粒质量(按质量计%)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含泥量(按质量计%)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泥块含量(按质量计%)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＜0.7</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有机物质量(比色法)</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合格</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硫化物及硫酸盐(按SO</w:t>
            </w:r>
            <w:r>
              <w:rPr>
                <w:rFonts w:hint="eastAsia" w:ascii="宋体" w:hAnsi="宋体"/>
                <w:color w:val="000000" w:themeColor="text1"/>
                <w:spacing w:val="16"/>
                <w:sz w:val="24"/>
                <w:szCs w:val="24"/>
                <w:vertAlign w:val="subscript"/>
              </w:rPr>
              <w:t>3</w:t>
            </w:r>
            <w:r>
              <w:rPr>
                <w:rFonts w:hint="eastAsia" w:ascii="宋体" w:hAnsi="宋体"/>
                <w:color w:val="000000" w:themeColor="text1"/>
                <w:spacing w:val="16"/>
                <w:sz w:val="24"/>
                <w:szCs w:val="24"/>
              </w:rPr>
              <w:t>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岩石抗压强度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岩浆岩大于等于100Mpa</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岩浆岩不应小于80Mpa</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沉积岩不应小于60Mpa</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表观密度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&gt;2500kg/m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松散堆积密度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&gt;1350kg/m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空隙率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碱集料反应</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不得有碱活性反应或疑似</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碱活性反应</w:t>
            </w:r>
          </w:p>
        </w:tc>
      </w:tr>
    </w:tbl>
    <w:p>
      <w:pPr>
        <w:pStyle w:val="8"/>
        <w:numPr>
          <w:ilvl w:val="0"/>
          <w:numId w:val="4"/>
        </w:numPr>
        <w:tabs>
          <w:tab w:val="left" w:pos="14716"/>
        </w:tabs>
        <w:ind w:firstLine="533" w:firstLineChars="196"/>
        <w:jc w:val="left"/>
        <w:rPr>
          <w:rFonts w:hint="eastAsia" w:ascii="宋体" w:hAnsi="宋体"/>
          <w:color w:val="000000" w:themeColor="text1"/>
          <w:spacing w:val="16"/>
          <w:sz w:val="24"/>
          <w:szCs w:val="24"/>
        </w:rPr>
      </w:pPr>
      <w:r>
        <w:rPr>
          <w:rFonts w:hint="eastAsia" w:ascii="宋体" w:hAnsi="宋体"/>
          <w:color w:val="000000" w:themeColor="text1"/>
          <w:spacing w:val="16"/>
          <w:sz w:val="24"/>
          <w:szCs w:val="24"/>
        </w:rPr>
        <w:t>做路面用的粗集料，采用碎石，不得使用不分级的统料，应按最大公称粒径的不同，采用2～4个粒径的集料进行掺配，并应复核下列要求：碎石最大公称粒径不应大于26.5mm，</w:t>
      </w:r>
    </w:p>
    <w:p>
      <w:pPr>
        <w:pStyle w:val="8"/>
        <w:tabs>
          <w:tab w:val="left" w:pos="14716"/>
        </w:tabs>
        <w:ind w:firstLine="411" w:firstLineChars="196"/>
        <w:jc w:val="center"/>
        <w:rPr>
          <w:rFonts w:hint="eastAsia" w:ascii="宋体" w:hAnsi="宋体"/>
          <w:color w:val="000000" w:themeColor="text1"/>
          <w:spacing w:val="16"/>
          <w:sz w:val="24"/>
          <w:szCs w:val="24"/>
        </w:rPr>
      </w:pPr>
      <w:r>
        <w:rPr>
          <w:rFonts w:hint="eastAsia"/>
          <w:b/>
          <w:color w:val="000000" w:themeColor="text1"/>
        </w:rPr>
        <w:t xml:space="preserve">    </w:t>
      </w:r>
      <w:r>
        <w:rPr>
          <w:rFonts w:hint="eastAsia" w:ascii="宋体" w:hAnsi="宋体"/>
          <w:b/>
          <w:bCs/>
          <w:color w:val="000000" w:themeColor="text1"/>
          <w:sz w:val="24"/>
          <w:szCs w:val="24"/>
        </w:rPr>
        <w:t>粗集料级配范围</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500"/>
        <w:gridCol w:w="1118"/>
        <w:gridCol w:w="1117"/>
        <w:gridCol w:w="1118"/>
        <w:gridCol w:w="1117"/>
        <w:gridCol w:w="990"/>
        <w:gridCol w:w="990"/>
        <w:gridCol w:w="736"/>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restart"/>
            <w:noWrap w:val="0"/>
            <w:vAlign w:val="top"/>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分级</w:t>
            </w:r>
          </w:p>
        </w:tc>
        <w:tc>
          <w:tcPr>
            <w:tcW w:w="7186" w:type="dxa"/>
            <w:gridSpan w:val="7"/>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方筛孔尺寸(mm)</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2.36</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16.0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19.0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26.5</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31.5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45" w:type="dxa"/>
            <w:gridSpan w:val="2"/>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7186" w:type="dxa"/>
            <w:gridSpan w:val="7"/>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累计筛余(以质量计)(%)</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restart"/>
            <w:noWrap w:val="0"/>
            <w:vAlign w:val="top"/>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合成级配</w:t>
            </w: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4.75～16</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4.75～19</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85～95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60～75</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30～45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4.75～26.5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70～90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50～70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25～40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0～5</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4.75～31.5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75～90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60～75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20～35</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restart"/>
            <w:noWrap w:val="0"/>
            <w:vAlign w:val="top"/>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粒级</w:t>
            </w: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4.75～9.5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80～100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9.5～16</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9.5～19</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95～100</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40～60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16～26.5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55～70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55～70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25～40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5" w:type="dxa"/>
            <w:vMerge w:val="continue"/>
            <w:noWrap w:val="0"/>
            <w:vAlign w:val="top"/>
          </w:tcPr>
          <w:p>
            <w:pPr>
              <w:pStyle w:val="8"/>
              <w:tabs>
                <w:tab w:val="left" w:pos="14716"/>
              </w:tabs>
              <w:jc w:val="center"/>
              <w:rPr>
                <w:rFonts w:hint="eastAsia" w:ascii="宋体" w:hAnsi="宋体"/>
                <w:color w:val="000000" w:themeColor="text1"/>
                <w:spacing w:val="16"/>
                <w:sz w:val="24"/>
                <w:szCs w:val="24"/>
              </w:rPr>
            </w:pPr>
          </w:p>
        </w:tc>
        <w:tc>
          <w:tcPr>
            <w:tcW w:w="150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16～31.5</w:t>
            </w: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p>
        </w:tc>
        <w:tc>
          <w:tcPr>
            <w:tcW w:w="1118"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85～100</w:t>
            </w:r>
          </w:p>
        </w:tc>
        <w:tc>
          <w:tcPr>
            <w:tcW w:w="1117"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85～100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55～70</w:t>
            </w:r>
          </w:p>
        </w:tc>
        <w:tc>
          <w:tcPr>
            <w:tcW w:w="990"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25～40</w:t>
            </w:r>
          </w:p>
        </w:tc>
        <w:tc>
          <w:tcPr>
            <w:tcW w:w="736" w:type="dxa"/>
            <w:noWrap w:val="0"/>
            <w:vAlign w:val="top"/>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bl>
    <w:p>
      <w:pPr>
        <w:pStyle w:val="8"/>
        <w:tabs>
          <w:tab w:val="left" w:pos="14716"/>
        </w:tabs>
        <w:ind w:firstLine="533" w:firstLineChars="196"/>
        <w:jc w:val="left"/>
        <w:rPr>
          <w:rFonts w:hint="eastAsia" w:ascii="宋体" w:hAnsi="宋体"/>
          <w:b/>
          <w:bCs/>
          <w:color w:val="000000" w:themeColor="text1"/>
          <w:spacing w:val="16"/>
          <w:sz w:val="24"/>
          <w:szCs w:val="24"/>
        </w:rPr>
      </w:pPr>
      <w:r>
        <w:rPr>
          <w:rFonts w:hint="eastAsia" w:hAnsi="宋体"/>
          <w:b/>
          <w:bCs/>
          <w:color w:val="000000" w:themeColor="text1"/>
          <w:spacing w:val="16"/>
          <w:sz w:val="24"/>
          <w:szCs w:val="24"/>
          <w:lang w:val="en-US" w:eastAsia="zh-CN"/>
        </w:rPr>
        <w:t>5</w:t>
      </w:r>
      <w:r>
        <w:rPr>
          <w:rFonts w:hint="eastAsia" w:ascii="宋体" w:hAnsi="宋体"/>
          <w:b/>
          <w:bCs/>
          <w:color w:val="000000" w:themeColor="text1"/>
          <w:spacing w:val="16"/>
          <w:sz w:val="24"/>
          <w:szCs w:val="24"/>
        </w:rPr>
        <w:t>.</w:t>
      </w:r>
      <w:r>
        <w:rPr>
          <w:rFonts w:hint="eastAsia" w:hAnsi="宋体"/>
          <w:b/>
          <w:bCs/>
          <w:color w:val="000000" w:themeColor="text1"/>
          <w:spacing w:val="16"/>
          <w:sz w:val="24"/>
          <w:szCs w:val="24"/>
          <w:lang w:val="en-US" w:eastAsia="zh-CN"/>
        </w:rPr>
        <w:t>5</w:t>
      </w:r>
      <w:r>
        <w:rPr>
          <w:rFonts w:hint="eastAsia" w:ascii="宋体" w:hAnsi="宋体"/>
          <w:b/>
          <w:bCs/>
          <w:color w:val="000000" w:themeColor="text1"/>
          <w:spacing w:val="16"/>
          <w:sz w:val="24"/>
          <w:szCs w:val="24"/>
        </w:rPr>
        <w:t>.3细集料</w:t>
      </w:r>
    </w:p>
    <w:p>
      <w:pPr>
        <w:ind w:firstLine="533" w:firstLineChars="196"/>
        <w:rPr>
          <w:rFonts w:hint="eastAsia" w:ascii="宋体" w:hAnsi="宋体"/>
          <w:color w:val="000000" w:themeColor="text1"/>
          <w:spacing w:val="16"/>
          <w:sz w:val="24"/>
          <w:szCs w:val="24"/>
        </w:rPr>
      </w:pPr>
      <w:r>
        <w:rPr>
          <w:rFonts w:hint="eastAsia" w:ascii="宋体" w:hAnsi="宋体"/>
          <w:color w:val="000000" w:themeColor="text1"/>
          <w:spacing w:val="16"/>
          <w:sz w:val="24"/>
          <w:szCs w:val="24"/>
        </w:rPr>
        <w:t xml:space="preserve">   1、细集料应采用质地坚硬、耐久、洁净的天然砂或机制砂，并应符合下列规定。砂的硅质含量不应低于25%。</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细集料技术指标</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机制砂单位级最大压碎指数(%)</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坚固性(按质量损失计%)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云母(按质量计%)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天然砂、机制砂泥块含量</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机制砂MB值&lt;1.4或合格石粉含量(按质量计%)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机制砂MB值≥1.4或不合格石粉含量(按质量计%)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有机物含量（比色法）</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合格</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硫化物及硫酸盐(按SO</w:t>
            </w:r>
            <w:r>
              <w:rPr>
                <w:rFonts w:hint="eastAsia" w:ascii="宋体" w:hAnsi="宋体"/>
                <w:color w:val="000000" w:themeColor="text1"/>
                <w:spacing w:val="16"/>
                <w:sz w:val="24"/>
                <w:szCs w:val="24"/>
                <w:vertAlign w:val="subscript"/>
              </w:rPr>
              <w:t>3</w:t>
            </w:r>
            <w:r>
              <w:rPr>
                <w:rFonts w:hint="eastAsia" w:ascii="宋体" w:hAnsi="宋体"/>
                <w:color w:val="000000" w:themeColor="text1"/>
                <w:spacing w:val="16"/>
                <w:sz w:val="24"/>
                <w:szCs w:val="24"/>
              </w:rPr>
              <w:t>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轻物质（按质量计%）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机制砂母岩抗压强度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≥300Mpa</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氯化物（氯离子质量计%)）</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＜0.06</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表观密度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&gt;2500kg/m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松散堆积密度</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&gt;1400kg/m</w:t>
            </w:r>
            <w:r>
              <w:rPr>
                <w:rFonts w:hint="eastAsia" w:ascii="宋体" w:hAnsi="宋体"/>
                <w:color w:val="000000" w:themeColor="text1"/>
                <w:spacing w:val="16"/>
                <w:sz w:val="24"/>
                <w:szCs w:val="24"/>
                <w:vertAlign w:val="superscript"/>
              </w:rPr>
              <w:t>3</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空隙率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碱集料反应</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不得有碱活性反应或疑似</w:t>
            </w: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碱活性反应</w:t>
            </w:r>
          </w:p>
        </w:tc>
      </w:tr>
    </w:tbl>
    <w:p>
      <w:pPr>
        <w:numPr>
          <w:ilvl w:val="0"/>
          <w:numId w:val="5"/>
        </w:numPr>
        <w:ind w:firstLine="533" w:firstLineChars="196"/>
        <w:rPr>
          <w:rFonts w:hint="eastAsia" w:ascii="宋体" w:hAnsi="宋体"/>
          <w:color w:val="000000" w:themeColor="text1"/>
          <w:spacing w:val="16"/>
          <w:sz w:val="24"/>
          <w:szCs w:val="24"/>
        </w:rPr>
      </w:pPr>
      <w:r>
        <w:rPr>
          <w:rFonts w:hint="eastAsia" w:ascii="宋体" w:hAnsi="宋体"/>
          <w:color w:val="000000" w:themeColor="text1"/>
          <w:spacing w:val="16"/>
          <w:sz w:val="24"/>
          <w:szCs w:val="24"/>
        </w:rPr>
        <w:t>路面用天然砂采用细度模数在2.1～3.1之间的砂。同一配合比用砂的细度模数变化范围不应超过0.3，否则应分层堆放，并调整配合比后的砂率后使用。</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细集料级配范围</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1631"/>
        <w:gridCol w:w="1445"/>
        <w:gridCol w:w="1445"/>
        <w:gridCol w:w="1445"/>
        <w:gridCol w:w="1259"/>
        <w:gridCol w:w="1260"/>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restart"/>
            <w:noWrap w:val="0"/>
            <w:vAlign w:val="center"/>
          </w:tcPr>
          <w:p>
            <w:pPr>
              <w:pStyle w:val="8"/>
              <w:tabs>
                <w:tab w:val="left" w:pos="14716"/>
              </w:tabs>
              <w:jc w:val="center"/>
              <w:rPr>
                <w:rFonts w:hint="eastAsia" w:ascii="宋体" w:hAnsi="宋体"/>
                <w:color w:val="000000" w:themeColor="text1"/>
                <w:spacing w:val="16"/>
                <w:sz w:val="24"/>
                <w:szCs w:val="24"/>
              </w:rPr>
            </w:pPr>
          </w:p>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砂分级</w:t>
            </w:r>
          </w:p>
        </w:tc>
        <w:tc>
          <w:tcPr>
            <w:tcW w:w="8485" w:type="dxa"/>
            <w:gridSpan w:val="6"/>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方筛孔尺寸(mm)</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noWrap w:val="0"/>
            <w:vAlign w:val="center"/>
          </w:tcPr>
          <w:p>
            <w:pPr>
              <w:pStyle w:val="8"/>
              <w:tabs>
                <w:tab w:val="left" w:pos="14716"/>
              </w:tabs>
              <w:jc w:val="center"/>
              <w:rPr>
                <w:rFonts w:hint="eastAsia" w:ascii="宋体" w:hAnsi="宋体"/>
                <w:color w:val="000000" w:themeColor="text1"/>
                <w:spacing w:val="16"/>
                <w:sz w:val="24"/>
                <w:szCs w:val="24"/>
              </w:rPr>
            </w:pPr>
          </w:p>
        </w:tc>
        <w:tc>
          <w:tcPr>
            <w:tcW w:w="1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0.15</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0.30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0.60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1.18</w:t>
            </w:r>
          </w:p>
        </w:tc>
        <w:tc>
          <w:tcPr>
            <w:tcW w:w="125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2.36</w:t>
            </w:r>
          </w:p>
        </w:tc>
        <w:tc>
          <w:tcPr>
            <w:tcW w:w="1260"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4.75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vMerge w:val="continue"/>
            <w:noWrap w:val="0"/>
            <w:vAlign w:val="center"/>
          </w:tcPr>
          <w:p>
            <w:pPr>
              <w:pStyle w:val="8"/>
              <w:tabs>
                <w:tab w:val="left" w:pos="14716"/>
              </w:tabs>
              <w:jc w:val="center"/>
              <w:rPr>
                <w:rFonts w:hint="eastAsia" w:ascii="宋体" w:hAnsi="宋体"/>
                <w:color w:val="000000" w:themeColor="text1"/>
                <w:spacing w:val="16"/>
                <w:sz w:val="24"/>
                <w:szCs w:val="24"/>
              </w:rPr>
            </w:pPr>
          </w:p>
        </w:tc>
        <w:tc>
          <w:tcPr>
            <w:tcW w:w="8485" w:type="dxa"/>
            <w:gridSpan w:val="6"/>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累计筛余(以质量计)(%)</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粗砂</w:t>
            </w:r>
          </w:p>
        </w:tc>
        <w:tc>
          <w:tcPr>
            <w:tcW w:w="1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80～95</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71～85</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35～65</w:t>
            </w:r>
          </w:p>
        </w:tc>
        <w:tc>
          <w:tcPr>
            <w:tcW w:w="125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5～35</w:t>
            </w:r>
          </w:p>
        </w:tc>
        <w:tc>
          <w:tcPr>
            <w:tcW w:w="1260"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中砂</w:t>
            </w:r>
          </w:p>
        </w:tc>
        <w:tc>
          <w:tcPr>
            <w:tcW w:w="1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90～100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70～92</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41～70</w:t>
            </w:r>
          </w:p>
        </w:tc>
        <w:tc>
          <w:tcPr>
            <w:tcW w:w="1445"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10～50</w:t>
            </w:r>
          </w:p>
        </w:tc>
        <w:tc>
          <w:tcPr>
            <w:tcW w:w="125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0～25</w:t>
            </w:r>
          </w:p>
        </w:tc>
        <w:tc>
          <w:tcPr>
            <w:tcW w:w="1260"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0～10</w:t>
            </w:r>
          </w:p>
        </w:tc>
      </w:tr>
    </w:tbl>
    <w:p>
      <w:pPr>
        <w:spacing w:line="360" w:lineRule="auto"/>
        <w:ind w:firstLine="480" w:firstLineChars="200"/>
        <w:rPr>
          <w:rFonts w:cs="宋体" w:asciiTheme="minorEastAsia" w:hAnsiTheme="minorEastAsia" w:eastAsiaTheme="minorEastAsia"/>
          <w:bCs/>
          <w:color w:val="000000" w:themeColor="text1"/>
          <w:sz w:val="24"/>
        </w:rPr>
      </w:pPr>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4山皮石底</w:t>
      </w:r>
      <w:r>
        <w:rPr>
          <w:rFonts w:hint="eastAsia" w:cs="宋体" w:asciiTheme="minorEastAsia" w:hAnsiTheme="minorEastAsia" w:eastAsiaTheme="minorEastAsia"/>
          <w:b/>
          <w:color w:val="000000" w:themeColor="text1"/>
          <w:kern w:val="0"/>
          <w:sz w:val="24"/>
        </w:rPr>
        <w:t>基层</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为保证填筑质量，山皮石原材料质量应符合以下要求：</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1、山皮石中石料的最大粒径上路床控制在10cm以内，下路床控制在15cm以内，同时要求山皮石料具有较好的自然级配；</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2、填料的最大含土量控制在10%以内，并且不应含腐植土等杂物；</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3、施工前应先修筑试验段，以确定能达到最大压实干密度的松铺厚度与压实机械组合，宜采用12t以上震动压路机或25t以上的轮胎压路机。压实密度应符合试验段确定的施工工艺，沉降差不应大于试验路段确定的沉降差。</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4、山皮石中石料的抗压强度不小于30Mpa；密实系数不小于0.94。（1）山皮石中石料的最大粒径控制在30cm以内，同时要求山皮石料具有较好的自然级配。</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5、根据《吉林省公路填石路基施工技术规范》4.1.5规定，当山皮石抗压强度低于30Mpa时，应进行CBR及耐崩解实验，CBR值不得低于15%，耐崩解实验不得低于80%。</w:t>
      </w:r>
    </w:p>
    <w:tbl>
      <w:tblPr>
        <w:tblStyle w:val="16"/>
        <w:tblW w:w="494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172"/>
        <w:gridCol w:w="990"/>
        <w:gridCol w:w="1399"/>
        <w:gridCol w:w="1399"/>
        <w:gridCol w:w="1403"/>
        <w:gridCol w:w="1167"/>
        <w:gridCol w:w="16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069"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筛孔尺寸mm</w:t>
            </w:r>
          </w:p>
        </w:tc>
        <w:tc>
          <w:tcPr>
            <w:tcW w:w="487"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53</w:t>
            </w:r>
          </w:p>
        </w:tc>
        <w:tc>
          <w:tcPr>
            <w:tcW w:w="688"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37.5</w:t>
            </w:r>
          </w:p>
        </w:tc>
        <w:tc>
          <w:tcPr>
            <w:tcW w:w="688"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9.5</w:t>
            </w:r>
          </w:p>
        </w:tc>
        <w:tc>
          <w:tcPr>
            <w:tcW w:w="690"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4.75</w:t>
            </w:r>
          </w:p>
        </w:tc>
        <w:tc>
          <w:tcPr>
            <w:tcW w:w="574"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0.06</w:t>
            </w:r>
          </w:p>
        </w:tc>
        <w:tc>
          <w:tcPr>
            <w:tcW w:w="803"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0.075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9" w:hRule="atLeast"/>
        </w:trPr>
        <w:tc>
          <w:tcPr>
            <w:tcW w:w="1069"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通过质量</w:t>
            </w:r>
          </w:p>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百分率</w:t>
            </w:r>
          </w:p>
        </w:tc>
        <w:tc>
          <w:tcPr>
            <w:tcW w:w="487"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100</w:t>
            </w:r>
          </w:p>
        </w:tc>
        <w:tc>
          <w:tcPr>
            <w:tcW w:w="688"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80~100</w:t>
            </w:r>
          </w:p>
        </w:tc>
        <w:tc>
          <w:tcPr>
            <w:tcW w:w="688"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40~100</w:t>
            </w:r>
          </w:p>
        </w:tc>
        <w:tc>
          <w:tcPr>
            <w:tcW w:w="690"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25~85</w:t>
            </w:r>
          </w:p>
        </w:tc>
        <w:tc>
          <w:tcPr>
            <w:tcW w:w="574" w:type="pct"/>
            <w:noWrap w:val="0"/>
            <w:vAlign w:val="center"/>
          </w:tcPr>
          <w:p>
            <w:pPr>
              <w:autoSpaceDE w:val="0"/>
              <w:autoSpaceDN w:val="0"/>
              <w:adjustRightInd w:val="0"/>
              <w:spacing w:line="360" w:lineRule="auto"/>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8~45</w:t>
            </w:r>
          </w:p>
        </w:tc>
        <w:tc>
          <w:tcPr>
            <w:tcW w:w="803" w:type="pct"/>
            <w:noWrap w:val="0"/>
            <w:vAlign w:val="center"/>
          </w:tcPr>
          <w:p>
            <w:pPr>
              <w:autoSpaceDE w:val="0"/>
              <w:autoSpaceDN w:val="0"/>
              <w:adjustRightInd w:val="0"/>
              <w:spacing w:line="360" w:lineRule="auto"/>
              <w:ind w:firstLine="480" w:firstLineChars="200"/>
              <w:jc w:val="center"/>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0~15</w:t>
            </w:r>
          </w:p>
        </w:tc>
      </w:tr>
    </w:tbl>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lang w:val="en-US" w:eastAsia="zh-CN"/>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5浆砌石材料要求</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（1）石料：砌石材料坚硬新鲜，无风化剥落层或裂纹，石材表面无污垢、水锈等杂质，用于表面的石材，应色泽均匀</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强度不小于MU30</w:t>
      </w:r>
      <w:r>
        <w:rPr>
          <w:rFonts w:hint="eastAsia" w:cs="宋体" w:asciiTheme="minorEastAsia" w:hAnsiTheme="minorEastAsia" w:eastAsiaTheme="minorEastAsia"/>
          <w:color w:val="000000" w:themeColor="text1"/>
          <w:kern w:val="0"/>
          <w:sz w:val="24"/>
        </w:rPr>
        <w:t>。</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（2）本次工程采用块石砌体，石料外表规格应棱角分明，各面平整其长度应大于50cm，块高大于25cm，石料容重不小于22.5KN／M3，湿抗压强度大于100Mpa。</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lang w:val="en-US" w:eastAsia="zh-CN"/>
        </w:rPr>
        <w:t>3</w:t>
      </w:r>
      <w:r>
        <w:rPr>
          <w:rFonts w:hint="eastAsia" w:cs="宋体" w:asciiTheme="minorEastAsia" w:hAnsiTheme="minorEastAsia" w:eastAsiaTheme="minorEastAsia"/>
          <w:color w:val="000000" w:themeColor="text1"/>
          <w:kern w:val="0"/>
          <w:sz w:val="24"/>
          <w:lang w:eastAsia="zh-CN"/>
        </w:rPr>
        <w:t>）</w:t>
      </w:r>
      <w:r>
        <w:rPr>
          <w:rFonts w:hint="eastAsia" w:cs="宋体" w:asciiTheme="minorEastAsia" w:hAnsiTheme="minorEastAsia" w:eastAsiaTheme="minorEastAsia"/>
          <w:color w:val="000000" w:themeColor="text1"/>
          <w:kern w:val="0"/>
          <w:sz w:val="24"/>
        </w:rPr>
        <w:t xml:space="preserve"> 砂：砌筑砂浆选用中粗砂；粒径为0.15～5mm，细度模数为2.5～3.0。</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（4）水泥和水：</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①砌筑工程采用的水泥品种和标号应符合施工要求，到货的水泥应按品种、标号、出厂日期分别堆存，受潮湿结块的水泥，禁止使用。</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②未经处理的工业废水不得使用。对拌和及养护的水质有怀疑时，应进行砂浆强度验证，如果该水制成砂浆的抗压强度低于标准水制成的砂浆28天龄期抗压强度的90％以下时，则此水不能使用。</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③砂浆</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砂浆的强度</w:t>
      </w:r>
      <w:r>
        <w:rPr>
          <w:rFonts w:hint="eastAsia" w:cs="宋体" w:asciiTheme="minorEastAsia" w:hAnsiTheme="minorEastAsia" w:eastAsiaTheme="minorEastAsia"/>
          <w:color w:val="000000" w:themeColor="text1"/>
          <w:kern w:val="0"/>
          <w:sz w:val="24"/>
          <w:lang w:val="en-US" w:eastAsia="zh-CN"/>
        </w:rPr>
        <w:t>采用M10砂浆砌筑。</w:t>
      </w:r>
      <w:r>
        <w:rPr>
          <w:rFonts w:hint="eastAsia" w:cs="宋体" w:asciiTheme="minorEastAsia" w:hAnsiTheme="minorEastAsia" w:eastAsiaTheme="minorEastAsia"/>
          <w:color w:val="000000" w:themeColor="text1"/>
          <w:kern w:val="0"/>
          <w:sz w:val="24"/>
        </w:rPr>
        <w:t>，配合比必须通过试验确定。拌制砂浆时，严格按照试验确定的配料单进行配料，严禁擅自更改，配料的称量允许误差应符合下列规定：</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水泥为±2%；砂±3%；水±1%。</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（5）砂浆拌和时间：机械拌和不少于2-3分钟，一般不允许人工拌和。局部少量的人工拌和料至少干拌三遍，再湿拌至色泽均匀，方可使用。</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lang w:val="en-US" w:eastAsia="zh-CN"/>
        </w:rPr>
      </w:pPr>
      <w:r>
        <w:rPr>
          <w:rFonts w:hint="eastAsia" w:cs="宋体" w:asciiTheme="minorEastAsia" w:hAnsiTheme="minorEastAsia" w:eastAsiaTheme="minorEastAsia"/>
          <w:color w:val="000000" w:themeColor="text1"/>
          <w:kern w:val="0"/>
          <w:sz w:val="24"/>
        </w:rPr>
        <w:t>（6）砂浆应随拌随用。</w:t>
      </w:r>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lang w:val="en-US" w:eastAsia="zh-CN"/>
        </w:rPr>
      </w:pP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5</w:t>
      </w:r>
      <w:r>
        <w:rPr>
          <w:rFonts w:hint="eastAsia" w:cs="宋体" w:asciiTheme="minorEastAsia" w:hAnsiTheme="minorEastAsia" w:eastAsiaTheme="minorEastAsia"/>
          <w:b/>
          <w:color w:val="000000" w:themeColor="text1"/>
          <w:kern w:val="0"/>
          <w:sz w:val="24"/>
        </w:rPr>
        <w:t>.</w:t>
      </w:r>
      <w:r>
        <w:rPr>
          <w:rFonts w:hint="eastAsia" w:cs="宋体" w:asciiTheme="minorEastAsia" w:hAnsiTheme="minorEastAsia" w:eastAsiaTheme="minorEastAsia"/>
          <w:b/>
          <w:color w:val="000000" w:themeColor="text1"/>
          <w:kern w:val="0"/>
          <w:sz w:val="24"/>
          <w:lang w:val="en-US" w:eastAsia="zh-CN"/>
        </w:rPr>
        <w:t>6</w:t>
      </w:r>
      <w:r>
        <w:rPr>
          <w:rFonts w:hint="eastAsia" w:cs="宋体" w:asciiTheme="minorEastAsia" w:hAnsiTheme="minorEastAsia" w:eastAsiaTheme="minorEastAsia"/>
          <w:b/>
          <w:color w:val="000000" w:themeColor="text1"/>
          <w:kern w:val="0"/>
          <w:sz w:val="24"/>
        </w:rPr>
        <w:t>接缝材料</w:t>
      </w:r>
    </w:p>
    <w:p>
      <w:pPr>
        <w:spacing w:line="360" w:lineRule="auto"/>
        <w:ind w:firstLine="480" w:firstLineChars="200"/>
        <w:rPr>
          <w:rFonts w:hint="eastAsia" w:cs="宋体" w:asciiTheme="minorEastAsia" w:hAnsiTheme="minorEastAsia" w:eastAsiaTheme="minorEastAsia"/>
          <w:bCs/>
          <w:color w:val="000000" w:themeColor="text1"/>
          <w:sz w:val="24"/>
          <w:lang w:val="en-US" w:eastAsia="zh-CN"/>
        </w:rPr>
      </w:pPr>
      <w:r>
        <w:rPr>
          <w:rFonts w:hint="eastAsia" w:cs="宋体" w:asciiTheme="minorEastAsia" w:hAnsiTheme="minorEastAsia" w:eastAsiaTheme="minorEastAsia"/>
          <w:bCs/>
          <w:color w:val="000000" w:themeColor="text1"/>
          <w:sz w:val="24"/>
          <w:lang w:val="en-US" w:eastAsia="zh-CN"/>
        </w:rPr>
        <w:t>1、接缝材料应选用能适应混凝土面板膨胀和收缩、施工时不变形、弹性复原率高、耐久性好的胀缝板。其吸水后的压缩应力不应小于不吸水的90%。</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胀缝板的技术要求</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压缩应力（Mpa）</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2.0～10.0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弹性复原率（%）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挤出量（%）</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＜3.0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弯曲荷载（N</w:t>
            </w:r>
            <w:r>
              <w:rPr>
                <w:rFonts w:ascii="宋体" w:hAnsi="宋体"/>
                <w:color w:val="000000" w:themeColor="text1"/>
                <w:spacing w:val="16"/>
                <w:sz w:val="24"/>
                <w:szCs w:val="24"/>
              </w:rPr>
              <w:t>）</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5.0～40.0</w:t>
            </w:r>
          </w:p>
        </w:tc>
      </w:tr>
    </w:tbl>
    <w:p>
      <w:pPr>
        <w:rPr>
          <w:rFonts w:hint="eastAsia" w:ascii="宋体" w:hAnsi="宋体"/>
          <w:color w:val="000000" w:themeColor="text1"/>
          <w:spacing w:val="16"/>
          <w:sz w:val="24"/>
          <w:szCs w:val="24"/>
        </w:rPr>
      </w:pPr>
      <w:r>
        <w:rPr>
          <w:rFonts w:hint="eastAsia" w:ascii="宋体" w:hAnsi="宋体"/>
          <w:color w:val="000000" w:themeColor="text1"/>
          <w:spacing w:val="16"/>
          <w:sz w:val="24"/>
          <w:szCs w:val="24"/>
        </w:rPr>
        <w:t xml:space="preserve"> </w:t>
      </w:r>
      <w:r>
        <w:rPr>
          <w:rFonts w:hint="eastAsia" w:ascii="宋体" w:hAnsi="宋体"/>
          <w:color w:val="000000" w:themeColor="text1"/>
          <w:spacing w:val="16"/>
          <w:sz w:val="24"/>
          <w:szCs w:val="24"/>
          <w:lang w:val="en-US" w:eastAsia="zh-CN"/>
        </w:rPr>
        <w:t xml:space="preserve"> </w:t>
      </w:r>
      <w:r>
        <w:rPr>
          <w:rFonts w:hint="eastAsia" w:cs="宋体" w:asciiTheme="minorEastAsia" w:hAnsiTheme="minorEastAsia" w:eastAsiaTheme="minorEastAsia"/>
          <w:bCs/>
          <w:color w:val="000000" w:themeColor="text1"/>
          <w:sz w:val="24"/>
          <w:lang w:val="en-US" w:eastAsia="zh-CN"/>
        </w:rPr>
        <w:t xml:space="preserve"> 2、填缝材料应具有与混凝土板壁粘结牢固、回弹性好、不溶于水、不渗水，高温时不挤出、不流淌、抗嵌入能力强、耐老化龟裂，负温拉伸量大，低温时不脆裂，耐久性好等性能。应优选使用树脂类、橡胶类或改性沥青类填缝材料，并宜在填缝中加入耐老化剂。施工温度宜选常温。</w:t>
      </w:r>
    </w:p>
    <w:p>
      <w:pPr>
        <w:pStyle w:val="8"/>
        <w:tabs>
          <w:tab w:val="left" w:pos="14716"/>
        </w:tabs>
        <w:ind w:firstLine="470" w:firstLineChars="196"/>
        <w:jc w:val="center"/>
        <w:rPr>
          <w:rFonts w:hint="eastAsia" w:ascii="宋体" w:hAnsi="宋体"/>
          <w:color w:val="000000" w:themeColor="text1"/>
          <w:spacing w:val="16"/>
          <w:sz w:val="24"/>
          <w:szCs w:val="24"/>
        </w:rPr>
      </w:pPr>
      <w:r>
        <w:rPr>
          <w:rFonts w:hint="eastAsia" w:ascii="宋体" w:hAnsi="宋体"/>
          <w:b/>
          <w:bCs/>
          <w:color w:val="000000" w:themeColor="text1"/>
          <w:sz w:val="24"/>
          <w:szCs w:val="24"/>
        </w:rPr>
        <w:t>填缝材料技术要求</w:t>
      </w:r>
    </w:p>
    <w:tbl>
      <w:tblPr>
        <w:tblStyle w:val="16"/>
        <w:tblW w:w="0" w:type="auto"/>
        <w:jc w:val="center"/>
        <w:tblBorders>
          <w:top w:val="double" w:color="auto" w:sz="6" w:space="0"/>
          <w:left w:val="none" w:color="auto" w:sz="0" w:space="0"/>
          <w:bottom w:val="doub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299"/>
        <w:gridCol w:w="4631"/>
      </w:tblGrid>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失粘（固化）时间（h）</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6～24</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弹性复原率（%）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≥75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流动度（mm）</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(-10℃)拉伸量（Mpa）</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≥15</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与混凝土粘结强度（Mpa）</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≥0.2</w:t>
            </w:r>
          </w:p>
        </w:tc>
      </w:tr>
      <w:tr>
        <w:tblPrEx>
          <w:tblBorders>
            <w:top w:val="double" w:color="auto" w:sz="6" w:space="0"/>
            <w:left w:val="none" w:color="auto" w:sz="0" w:space="0"/>
            <w:bottom w:val="doub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299"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粘结延伸率（%）</w:t>
            </w:r>
          </w:p>
        </w:tc>
        <w:tc>
          <w:tcPr>
            <w:tcW w:w="4631" w:type="dxa"/>
            <w:noWrap w:val="0"/>
            <w:vAlign w:val="center"/>
          </w:tcPr>
          <w:p>
            <w:pPr>
              <w:pStyle w:val="8"/>
              <w:tabs>
                <w:tab w:val="left" w:pos="14716"/>
              </w:tabs>
              <w:jc w:val="center"/>
              <w:rPr>
                <w:rFonts w:hint="eastAsia" w:ascii="宋体" w:hAnsi="宋体"/>
                <w:color w:val="000000" w:themeColor="text1"/>
                <w:spacing w:val="16"/>
                <w:sz w:val="24"/>
                <w:szCs w:val="24"/>
              </w:rPr>
            </w:pPr>
            <w:r>
              <w:rPr>
                <w:rFonts w:hint="eastAsia" w:ascii="宋体" w:hAnsi="宋体"/>
                <w:color w:val="000000" w:themeColor="text1"/>
                <w:spacing w:val="16"/>
                <w:sz w:val="24"/>
                <w:szCs w:val="24"/>
              </w:rPr>
              <w:t>≥200</w:t>
            </w:r>
          </w:p>
        </w:tc>
      </w:tr>
    </w:tbl>
    <w:p>
      <w:pPr>
        <w:spacing w:line="360" w:lineRule="auto"/>
        <w:ind w:firstLine="480" w:firstLineChars="200"/>
        <w:rPr>
          <w:rFonts w:hint="eastAsia"/>
          <w:color w:val="000000" w:themeColor="text1"/>
        </w:rPr>
      </w:pPr>
      <w:r>
        <w:rPr>
          <w:rFonts w:hint="eastAsia" w:cs="宋体" w:asciiTheme="minorEastAsia" w:hAnsiTheme="minorEastAsia" w:eastAsiaTheme="minorEastAsia"/>
          <w:bCs/>
          <w:color w:val="000000" w:themeColor="text1"/>
          <w:sz w:val="24"/>
          <w:lang w:val="en-US" w:eastAsia="zh-CN"/>
        </w:rPr>
        <w:t>填缝时应使用背衬垫条控制填缝形状系数。背趁垫条应具有良好的弹性、柔韧性、不吸水、耐酸碱腐蚀和高温布软化等性能。背衬垫条材料有聚氨酯、橡胶或微孔泡沫塑料等，其形状应为圆柱形，直径应比接缝宽度大2～5mm。</w:t>
      </w:r>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rPr>
      </w:pPr>
      <w:bookmarkStart w:id="32" w:name="_Toc32689"/>
      <w:r>
        <w:rPr>
          <w:rFonts w:hint="eastAsia" w:cs="宋体" w:asciiTheme="minorEastAsia" w:hAnsiTheme="minorEastAsia" w:eastAsiaTheme="minorEastAsia"/>
          <w:b/>
          <w:color w:val="000000" w:themeColor="text1"/>
          <w:kern w:val="0"/>
          <w:sz w:val="24"/>
          <w:lang w:val="en-US" w:eastAsia="zh-CN"/>
        </w:rPr>
        <w:t>6、</w:t>
      </w:r>
      <w:r>
        <w:rPr>
          <w:rFonts w:hint="eastAsia" w:cs="宋体" w:asciiTheme="minorEastAsia" w:hAnsiTheme="minorEastAsia" w:eastAsiaTheme="minorEastAsia"/>
          <w:b/>
          <w:color w:val="000000" w:themeColor="text1"/>
          <w:kern w:val="0"/>
          <w:sz w:val="24"/>
        </w:rPr>
        <w:t>施工组织计划</w:t>
      </w:r>
      <w:bookmarkEnd w:id="32"/>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施工组织、施工力量、施工工期安排</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（1）根据本标段的工程特点，成立专门的项目管理组织机构，负责对本工程项目的建设组织、指挥、控制和协调。</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（2）对本工程实行招标投标制度，本着公开、公平、公正的原则，择优选用有资质、重管理、守合同的监理工程师队伍和施工承包商，为工程质量、工期、投资规模控制打下坚实的基础。</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主要材料供应、机具设备的配置</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（1）主要材料供应</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对于外购的钢材、水泥等材料，建议统一购买，有效管理和控制材料规格、性能指标和质量，也便于有效组织交通运输。</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对于沿线料场开采的卵石以及砂石等筑路材料，应加强试验检测。</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（2）机具、设备配置</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施工承包商应具备与承包本工程项目相应的资质、人员、技术和机具设备，本设计未详细计列。</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施工进场前期工程及临时工程</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（1）征地拆迁</w:t>
      </w:r>
    </w:p>
    <w:p>
      <w:pPr>
        <w:spacing w:line="500" w:lineRule="exact"/>
        <w:ind w:firstLine="480" w:firstLineChars="200"/>
        <w:rPr>
          <w:rFonts w:hint="eastAsia" w:asciiTheme="minorEastAsia" w:hAnsiTheme="minorEastAsia" w:eastAsiaTheme="minorEastAsia"/>
          <w:color w:val="000000" w:themeColor="text1"/>
          <w:sz w:val="24"/>
          <w:lang w:eastAsia="zh-CN"/>
        </w:rPr>
      </w:pPr>
      <w:r>
        <w:rPr>
          <w:rFonts w:hint="eastAsia" w:asciiTheme="minorEastAsia" w:hAnsiTheme="minorEastAsia" w:eastAsiaTheme="minorEastAsia"/>
          <w:color w:val="000000" w:themeColor="text1"/>
          <w:sz w:val="24"/>
        </w:rPr>
        <w:t>征地拆迁是一项涉及面广、政策性强的工作，本项目为现状道路改造，</w:t>
      </w:r>
      <w:r>
        <w:rPr>
          <w:rFonts w:hint="eastAsia" w:asciiTheme="minorEastAsia" w:hAnsiTheme="minorEastAsia" w:eastAsiaTheme="minorEastAsia"/>
          <w:color w:val="000000" w:themeColor="text1"/>
          <w:sz w:val="24"/>
          <w:lang w:val="en-US" w:eastAsia="zh-CN"/>
        </w:rPr>
        <w:t>不</w:t>
      </w:r>
      <w:r>
        <w:rPr>
          <w:rFonts w:hint="eastAsia" w:asciiTheme="minorEastAsia" w:hAnsiTheme="minorEastAsia" w:eastAsiaTheme="minorEastAsia"/>
          <w:color w:val="000000" w:themeColor="text1"/>
          <w:sz w:val="24"/>
        </w:rPr>
        <w:t>涉及征地拆迁较少</w:t>
      </w:r>
      <w:r>
        <w:rPr>
          <w:rFonts w:hint="eastAsia" w:asciiTheme="minorEastAsia" w:hAnsiTheme="minorEastAsia" w:eastAsiaTheme="minorEastAsia"/>
          <w:color w:val="000000" w:themeColor="text1"/>
          <w:sz w:val="24"/>
          <w:lang w:eastAsia="zh-CN"/>
        </w:rPr>
        <w:t>。</w:t>
      </w:r>
    </w:p>
    <w:p>
      <w:pPr>
        <w:spacing w:line="500" w:lineRule="exact"/>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（2）施工用电</w:t>
      </w:r>
    </w:p>
    <w:p>
      <w:pPr>
        <w:spacing w:line="500" w:lineRule="exact"/>
        <w:ind w:firstLine="480" w:firstLineChars="200"/>
        <w:rPr>
          <w:rFonts w:hint="eastAsia" w:asciiTheme="minorEastAsia" w:hAnsiTheme="minorEastAsia" w:eastAsiaTheme="minorEastAsia"/>
          <w:b/>
          <w:color w:val="000000" w:themeColor="text1"/>
          <w:sz w:val="24"/>
          <w:lang w:val="en-US" w:eastAsia="zh-CN"/>
        </w:rPr>
      </w:pPr>
      <w:r>
        <w:rPr>
          <w:rFonts w:hint="eastAsia" w:asciiTheme="minorEastAsia" w:hAnsiTheme="minorEastAsia" w:eastAsiaTheme="minorEastAsia"/>
          <w:color w:val="000000" w:themeColor="text1"/>
          <w:sz w:val="24"/>
        </w:rPr>
        <w:t>生活用电可在就近乡村接线，工程用电可就近与高压电网相接，但不能私拉乱接，用电必须经过当地供电部门同意和安装后才能用。局部地段施工单位考虑自备柴油发电机。</w:t>
      </w:r>
      <w:bookmarkStart w:id="33" w:name="_Toc28698"/>
    </w:p>
    <w:p>
      <w:pPr>
        <w:autoSpaceDE w:val="0"/>
        <w:autoSpaceDN w:val="0"/>
        <w:adjustRightInd w:val="0"/>
        <w:spacing w:line="360" w:lineRule="auto"/>
        <w:jc w:val="left"/>
        <w:rPr>
          <w:rFonts w:hint="eastAsia" w:cs="宋体" w:asciiTheme="minorEastAsia" w:hAnsiTheme="minorEastAsia" w:eastAsiaTheme="minorEastAsia"/>
          <w:b/>
          <w:color w:val="000000" w:themeColor="text1"/>
          <w:kern w:val="0"/>
          <w:sz w:val="24"/>
          <w:lang w:val="en-US" w:eastAsia="zh-CN"/>
        </w:rPr>
      </w:pPr>
      <w:r>
        <w:rPr>
          <w:rFonts w:hint="eastAsia" w:cs="宋体" w:asciiTheme="minorEastAsia" w:hAnsiTheme="minorEastAsia" w:eastAsiaTheme="minorEastAsia"/>
          <w:b/>
          <w:color w:val="000000" w:themeColor="text1"/>
          <w:kern w:val="0"/>
          <w:sz w:val="24"/>
          <w:lang w:val="en-US" w:eastAsia="zh-CN"/>
        </w:rPr>
        <w:t>7、其他注意事项</w:t>
      </w:r>
      <w:bookmarkEnd w:id="33"/>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（1）施工前应与各村相关主管部门联系，做好施工过程中的交通组织与协调管理工作，确保工程的顺利实施。同时注意对现状构筑物、管线等探明保护。</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（2）施工中应注意与相交道路、桥涵等接顺，交叉口处结合现状顺接。按现场实际情况适当调整标高。</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（3）本次考虑</w:t>
      </w:r>
      <w:r>
        <w:rPr>
          <w:rFonts w:hint="eastAsia" w:asciiTheme="minorEastAsia" w:hAnsiTheme="minorEastAsia" w:eastAsiaTheme="minorEastAsia"/>
          <w:color w:val="000000" w:themeColor="text1"/>
          <w:kern w:val="0"/>
          <w:sz w:val="24"/>
          <w:lang w:val="en-US" w:eastAsia="zh-CN"/>
        </w:rPr>
        <w:t>修建</w:t>
      </w:r>
      <w:r>
        <w:rPr>
          <w:rFonts w:hint="eastAsia" w:asciiTheme="minorEastAsia" w:hAnsiTheme="minorEastAsia" w:eastAsiaTheme="minorEastAsia"/>
          <w:color w:val="000000" w:themeColor="text1"/>
          <w:kern w:val="0"/>
          <w:sz w:val="24"/>
          <w:lang w:eastAsia="zh-CN"/>
        </w:rPr>
        <w:t>道路</w:t>
      </w:r>
      <w:r>
        <w:rPr>
          <w:rFonts w:hint="eastAsia" w:asciiTheme="minorEastAsia" w:hAnsiTheme="minorEastAsia" w:eastAsiaTheme="minorEastAsia"/>
          <w:color w:val="000000" w:themeColor="text1"/>
          <w:kern w:val="0"/>
          <w:sz w:val="24"/>
        </w:rPr>
        <w:t>均按现状标高确定，道路路基仅考虑挖方量，局部填方量结合现场确定。土方压实需考虑计入工程；旧路挖除外运的材料及土方，存放地点由各乡镇协调安排。</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（4） 由于项目在村内，现状情况复杂，施工时可根据现场情况微调。</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（5）本项目未提供相关地勘报告，施工时遇不良或特殊土质，应及时同设计单位联系。</w:t>
      </w:r>
    </w:p>
    <w:p>
      <w:pPr>
        <w:autoSpaceDE w:val="0"/>
        <w:autoSpaceDN w:val="0"/>
        <w:adjustRightInd w:val="0"/>
        <w:spacing w:line="360" w:lineRule="auto"/>
        <w:ind w:firstLine="480" w:firstLineChars="200"/>
        <w:jc w:val="left"/>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（7）本说明未尽事宜，请按照有关设计及施工规程、规范执行。</w:t>
      </w:r>
    </w:p>
    <w:p>
      <w:pPr>
        <w:autoSpaceDE w:val="0"/>
        <w:autoSpaceDN w:val="0"/>
        <w:adjustRightInd w:val="0"/>
        <w:spacing w:line="360" w:lineRule="auto"/>
        <w:ind w:firstLine="480" w:firstLineChars="200"/>
        <w:jc w:val="left"/>
        <w:rPr>
          <w:rFonts w:hint="eastAsia"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w:t>
      </w:r>
      <w:r>
        <w:rPr>
          <w:rFonts w:hint="eastAsia" w:cs="宋体" w:asciiTheme="minorEastAsia" w:hAnsiTheme="minorEastAsia" w:eastAsiaTheme="minorEastAsia"/>
          <w:color w:val="000000" w:themeColor="text1"/>
          <w:kern w:val="0"/>
          <w:sz w:val="24"/>
          <w:lang w:val="en-US" w:eastAsia="zh-CN"/>
        </w:rPr>
        <w:t>8</w:t>
      </w:r>
      <w:r>
        <w:rPr>
          <w:rFonts w:hint="eastAsia" w:cs="宋体" w:asciiTheme="minorEastAsia" w:hAnsiTheme="minorEastAsia" w:eastAsiaTheme="minorEastAsia"/>
          <w:color w:val="000000" w:themeColor="text1"/>
          <w:kern w:val="0"/>
          <w:sz w:val="24"/>
        </w:rPr>
        <w:t>）路面施工时，开挖路槽后应及时铺筑路面各结构层，尽量避免路槽积水，影响路基、路面强度，同时应做好交通组织，以确保施工和行车安全。</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lang w:val="en-US" w:eastAsia="zh-CN"/>
        </w:rPr>
        <w:t>(9)</w:t>
      </w:r>
      <w:r>
        <w:rPr>
          <w:rFonts w:hint="eastAsia" w:asciiTheme="minorEastAsia" w:hAnsiTheme="minorEastAsia" w:eastAsiaTheme="minorEastAsia"/>
          <w:color w:val="000000" w:themeColor="text1"/>
          <w:kern w:val="0"/>
          <w:sz w:val="24"/>
        </w:rPr>
        <w:t>横向施工缝宜等间距布置，不宜采用斜缝。横缝采用不设传力杆假逢型。胀缝路面两端构造物间距大于等于500m,低温施工350m时，宜设一道胀缝，临近构造物、小半径平曲线、凹曲线或与其他道路相交处应设置胀缝。</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w:t>
      </w:r>
      <w:r>
        <w:rPr>
          <w:rFonts w:hint="eastAsia" w:asciiTheme="minorEastAsia" w:hAnsiTheme="minorEastAsia" w:eastAsiaTheme="minorEastAsia"/>
          <w:color w:val="000000" w:themeColor="text1"/>
          <w:kern w:val="0"/>
          <w:sz w:val="24"/>
          <w:lang w:val="en-US" w:eastAsia="zh-CN"/>
        </w:rPr>
        <w:t>10</w:t>
      </w:r>
      <w:r>
        <w:rPr>
          <w:rFonts w:hint="eastAsia" w:asciiTheme="minorEastAsia" w:hAnsiTheme="minorEastAsia" w:eastAsiaTheme="minorEastAsia"/>
          <w:color w:val="000000" w:themeColor="text1"/>
          <w:kern w:val="0"/>
          <w:sz w:val="24"/>
        </w:rPr>
        <w:t>）抗滑构造技术要求</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① 表面抗滑技术要求应严格按照《公路水泥混凝土路面施工技术细则》（JTG/T F30-2014）11.3的规定执行，组合坡度大于或等于4%的纵坡路段，应使用横向槽，水泥混凝土面层的表面构造深度不小于0.6mm。矩形槽槽深宜为3～4mm，槽宽宜为3～5mm，槽间距宜为12～15mm。路面结冰地区，可采用上宽6mm、下宽3mm的梯形槽或上宽6mm的半圆形槽。</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② 构造深度均匀，不损坏构造边棱，耐磨抗冻，不影响路面和桥面的平整度。</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w:t>
      </w:r>
      <w:r>
        <w:rPr>
          <w:rFonts w:hint="eastAsia" w:asciiTheme="minorEastAsia" w:hAnsiTheme="minorEastAsia" w:eastAsiaTheme="minorEastAsia"/>
          <w:color w:val="000000" w:themeColor="text1"/>
          <w:kern w:val="0"/>
          <w:sz w:val="24"/>
          <w:lang w:val="en-US" w:eastAsia="zh-CN"/>
        </w:rPr>
        <w:t>11</w:t>
      </w:r>
      <w:r>
        <w:rPr>
          <w:rFonts w:hint="eastAsia" w:asciiTheme="minorEastAsia" w:hAnsiTheme="minorEastAsia" w:eastAsiaTheme="minorEastAsia"/>
          <w:color w:val="000000" w:themeColor="text1"/>
          <w:kern w:val="0"/>
          <w:sz w:val="24"/>
        </w:rPr>
        <w:t>）混凝土路面铺筑完成或软作抗滑构造完毕后应立即开始养生，养生时间应根据混凝土弯拉强度增长情况而定，不宜小于设计弯拉强度的80%，养生天数宜为14～21d。面板达到设计弯拉强度后，方可开放交通。</w:t>
      </w:r>
    </w:p>
    <w:p>
      <w:pPr>
        <w:autoSpaceDE w:val="0"/>
        <w:autoSpaceDN w:val="0"/>
        <w:adjustRightInd w:val="0"/>
        <w:spacing w:line="360" w:lineRule="auto"/>
        <w:ind w:firstLine="480" w:firstLineChars="200"/>
        <w:jc w:val="left"/>
        <w:rPr>
          <w:rFonts w:hint="eastAsia"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w:t>
      </w:r>
      <w:r>
        <w:rPr>
          <w:rFonts w:hint="eastAsia" w:asciiTheme="minorEastAsia" w:hAnsiTheme="minorEastAsia" w:eastAsiaTheme="minorEastAsia"/>
          <w:color w:val="000000" w:themeColor="text1"/>
          <w:kern w:val="0"/>
          <w:sz w:val="24"/>
          <w:lang w:val="en-US" w:eastAsia="zh-CN"/>
        </w:rPr>
        <w:t>12</w:t>
      </w:r>
      <w:r>
        <w:rPr>
          <w:rFonts w:hint="eastAsia" w:asciiTheme="minorEastAsia" w:hAnsiTheme="minorEastAsia" w:eastAsiaTheme="minorEastAsia"/>
          <w:color w:val="000000" w:themeColor="text1"/>
          <w:kern w:val="0"/>
          <w:sz w:val="24"/>
        </w:rPr>
        <w:t>）由于项目在村内，现状情况复杂，施工时可根据现场情况微调。</w:t>
      </w:r>
    </w:p>
    <w:p>
      <w:pPr>
        <w:autoSpaceDE w:val="0"/>
        <w:autoSpaceDN w:val="0"/>
        <w:adjustRightInd w:val="0"/>
        <w:spacing w:line="360" w:lineRule="auto"/>
        <w:ind w:firstLine="480" w:firstLineChars="200"/>
        <w:jc w:val="left"/>
        <w:rPr>
          <w:rFonts w:cs="宋体" w:asciiTheme="minorEastAsia" w:hAnsiTheme="minorEastAsia" w:eastAsiaTheme="minorEastAsia"/>
          <w:color w:val="000000" w:themeColor="text1"/>
          <w:kern w:val="0"/>
          <w:sz w:val="24"/>
        </w:rPr>
      </w:pPr>
      <w:r>
        <w:rPr>
          <w:rFonts w:hint="eastAsia" w:cs="宋体" w:asciiTheme="minorEastAsia" w:hAnsiTheme="minorEastAsia" w:eastAsiaTheme="minorEastAsia"/>
          <w:color w:val="000000" w:themeColor="text1"/>
          <w:kern w:val="0"/>
          <w:sz w:val="24"/>
        </w:rPr>
        <w:t>（1</w:t>
      </w:r>
      <w:r>
        <w:rPr>
          <w:rFonts w:hint="eastAsia" w:cs="宋体" w:asciiTheme="minorEastAsia" w:hAnsiTheme="minorEastAsia" w:eastAsiaTheme="minorEastAsia"/>
          <w:color w:val="000000" w:themeColor="text1"/>
          <w:kern w:val="0"/>
          <w:sz w:val="24"/>
          <w:lang w:val="en-US" w:eastAsia="zh-CN"/>
        </w:rPr>
        <w:t>3</w:t>
      </w:r>
      <w:r>
        <w:rPr>
          <w:rFonts w:hint="eastAsia" w:cs="宋体" w:asciiTheme="minorEastAsia" w:hAnsiTheme="minorEastAsia" w:eastAsiaTheme="minorEastAsia"/>
          <w:color w:val="000000" w:themeColor="text1"/>
          <w:kern w:val="0"/>
          <w:sz w:val="24"/>
        </w:rPr>
        <w:t>）施工工序要求紧密衔接，严格控制工程质量，才能取得预期的整治效果。</w:t>
      </w:r>
    </w:p>
    <w:p>
      <w:pPr>
        <w:autoSpaceDE w:val="0"/>
        <w:autoSpaceDN w:val="0"/>
        <w:adjustRightInd w:val="0"/>
        <w:spacing w:line="360" w:lineRule="auto"/>
        <w:ind w:firstLine="480" w:firstLineChars="200"/>
        <w:jc w:val="left"/>
        <w:rPr>
          <w:rFonts w:cs="宋体" w:asciiTheme="minorEastAsia" w:hAnsiTheme="minorEastAsia" w:eastAsiaTheme="minorEastAsia"/>
          <w:b/>
          <w:color w:val="000000" w:themeColor="text1"/>
          <w:sz w:val="24"/>
        </w:rPr>
      </w:pPr>
      <w:r>
        <w:rPr>
          <w:rFonts w:hint="eastAsia" w:cs="宋体" w:asciiTheme="minorEastAsia" w:hAnsiTheme="minorEastAsia" w:eastAsiaTheme="minorEastAsia"/>
          <w:color w:val="000000" w:themeColor="text1"/>
          <w:kern w:val="0"/>
          <w:sz w:val="24"/>
        </w:rPr>
        <w:t>（1</w:t>
      </w:r>
      <w:r>
        <w:rPr>
          <w:rFonts w:hint="eastAsia" w:cs="宋体" w:asciiTheme="minorEastAsia" w:hAnsiTheme="minorEastAsia" w:eastAsiaTheme="minorEastAsia"/>
          <w:color w:val="000000" w:themeColor="text1"/>
          <w:kern w:val="0"/>
          <w:sz w:val="24"/>
          <w:lang w:val="en-US" w:eastAsia="zh-CN"/>
        </w:rPr>
        <w:t>4</w:t>
      </w:r>
      <w:r>
        <w:rPr>
          <w:rFonts w:hint="eastAsia" w:cs="宋体" w:asciiTheme="minorEastAsia" w:hAnsiTheme="minorEastAsia" w:eastAsiaTheme="minorEastAsia"/>
          <w:color w:val="000000" w:themeColor="text1"/>
          <w:kern w:val="0"/>
          <w:sz w:val="24"/>
        </w:rPr>
        <w:t>）道路在施工过程中，应严格按照国家及地方最新的</w:t>
      </w:r>
      <w:r>
        <w:rPr>
          <w:rFonts w:hint="eastAsia" w:cs="宋体" w:asciiTheme="minorEastAsia" w:hAnsiTheme="minorEastAsia" w:eastAsiaTheme="minorEastAsia"/>
          <w:color w:val="000000" w:themeColor="text1"/>
          <w:kern w:val="0"/>
          <w:sz w:val="24"/>
          <w:lang w:val="en-US" w:eastAsia="zh-CN"/>
        </w:rPr>
        <w:t>道路</w:t>
      </w:r>
      <w:r>
        <w:rPr>
          <w:rFonts w:hint="eastAsia" w:cs="宋体" w:asciiTheme="minorEastAsia" w:hAnsiTheme="minorEastAsia" w:eastAsiaTheme="minorEastAsia"/>
          <w:color w:val="000000" w:themeColor="text1"/>
          <w:kern w:val="0"/>
          <w:sz w:val="24"/>
        </w:rPr>
        <w:t>安全生产许可达标标准、国家安全生产强制性条例规范实施手册中的相关规定进行操作，同时在营运过程中应加强管理，确保在建设和营运过程中的安全。</w:t>
      </w:r>
    </w:p>
    <w:sectPr>
      <w:footerReference r:id="rId3" w:type="default"/>
      <w:pgSz w:w="23814" w:h="16839" w:orient="landscape"/>
      <w:pgMar w:top="1134" w:right="1418" w:bottom="2268" w:left="1418" w:header="851" w:footer="567" w:gutter="0"/>
      <w:pgNumType w:start="1"/>
      <w:cols w:space="840" w:num="2"/>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4E595"/>
    <w:multiLevelType w:val="multilevel"/>
    <w:tmpl w:val="0134E595"/>
    <w:lvl w:ilvl="0" w:tentative="0">
      <w:start w:val="1"/>
      <w:numFmt w:val="decimal"/>
      <w:lvlText w:val="%1."/>
      <w:lvlJc w:val="left"/>
      <w:pPr>
        <w:ind w:left="425" w:hanging="425"/>
      </w:pPr>
      <w:rPr>
        <w:rFonts w:hint="default"/>
      </w:rPr>
    </w:lvl>
    <w:lvl w:ilvl="1" w:tentative="0">
      <w:start w:val="1"/>
      <w:numFmt w:val="decimal"/>
      <w:isLgl/>
      <w:lvlText w:val="%1.%2"/>
      <w:lvlJc w:val="left"/>
      <w:pPr>
        <w:ind w:left="720" w:hanging="720"/>
      </w:pPr>
      <w:rPr>
        <w:rFonts w:hint="default"/>
      </w:rPr>
    </w:lvl>
    <w:lvl w:ilvl="2" w:tentative="0">
      <w:start w:val="8"/>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5A2CD176"/>
    <w:multiLevelType w:val="singleLevel"/>
    <w:tmpl w:val="5A2CD176"/>
    <w:lvl w:ilvl="0" w:tentative="0">
      <w:start w:val="2"/>
      <w:numFmt w:val="decimal"/>
      <w:suff w:val="nothing"/>
      <w:lvlText w:val="%1、"/>
      <w:lvlJc w:val="left"/>
    </w:lvl>
  </w:abstractNum>
  <w:abstractNum w:abstractNumId="2">
    <w:nsid w:val="5A6AEE8D"/>
    <w:multiLevelType w:val="singleLevel"/>
    <w:tmpl w:val="5A6AEE8D"/>
    <w:lvl w:ilvl="0" w:tentative="0">
      <w:start w:val="2"/>
      <w:numFmt w:val="decimal"/>
      <w:suff w:val="nothing"/>
      <w:lvlText w:val="%1、"/>
      <w:lvlJc w:val="left"/>
    </w:lvl>
  </w:abstractNum>
  <w:abstractNum w:abstractNumId="3">
    <w:nsid w:val="60F129F0"/>
    <w:multiLevelType w:val="singleLevel"/>
    <w:tmpl w:val="60F129F0"/>
    <w:lvl w:ilvl="0" w:tentative="0">
      <w:start w:val="1"/>
      <w:numFmt w:val="decimal"/>
      <w:suff w:val="nothing"/>
      <w:lvlText w:val="%1、"/>
      <w:lvlJc w:val="left"/>
      <w:pPr>
        <w:ind w:left="0" w:firstLine="420"/>
      </w:pPr>
      <w:rPr>
        <w:rFonts w:hint="default"/>
      </w:rPr>
    </w:lvl>
  </w:abstractNum>
  <w:abstractNum w:abstractNumId="4">
    <w:nsid w:val="693D28FD"/>
    <w:multiLevelType w:val="multilevel"/>
    <w:tmpl w:val="693D28FD"/>
    <w:lvl w:ilvl="0" w:tentative="0">
      <w:start w:val="1"/>
      <w:numFmt w:val="decimal"/>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rPr>
        <w:rFonts w:hint="default" w:ascii="Times New Roman" w:hAnsi="Times New Roman" w:eastAsia="仿宋_GB2312" w:cs="Times New Roman"/>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I3YWE0YjZkNTE3YjcyNTFhNmEyMjgxZjJjNjFkMTcifQ=="/>
  </w:docVars>
  <w:rsids>
    <w:rsidRoot w:val="05941F82"/>
    <w:rsid w:val="00016568"/>
    <w:rsid w:val="000226D1"/>
    <w:rsid w:val="000256D0"/>
    <w:rsid w:val="000275CD"/>
    <w:rsid w:val="00052ABC"/>
    <w:rsid w:val="00065593"/>
    <w:rsid w:val="000675DA"/>
    <w:rsid w:val="0008580E"/>
    <w:rsid w:val="000911C8"/>
    <w:rsid w:val="000957AE"/>
    <w:rsid w:val="000D5C23"/>
    <w:rsid w:val="000D6852"/>
    <w:rsid w:val="000E21B2"/>
    <w:rsid w:val="000E5D0A"/>
    <w:rsid w:val="000F5421"/>
    <w:rsid w:val="000F7A42"/>
    <w:rsid w:val="00105B30"/>
    <w:rsid w:val="0012365F"/>
    <w:rsid w:val="00191974"/>
    <w:rsid w:val="001955E1"/>
    <w:rsid w:val="001A37E4"/>
    <w:rsid w:val="001B302F"/>
    <w:rsid w:val="001C5C13"/>
    <w:rsid w:val="001C70C5"/>
    <w:rsid w:val="001D14EA"/>
    <w:rsid w:val="001D7D01"/>
    <w:rsid w:val="001D7F8E"/>
    <w:rsid w:val="001E5875"/>
    <w:rsid w:val="00257B7D"/>
    <w:rsid w:val="002A1726"/>
    <w:rsid w:val="002A3FCD"/>
    <w:rsid w:val="002A689E"/>
    <w:rsid w:val="002B3429"/>
    <w:rsid w:val="002D1C2A"/>
    <w:rsid w:val="002D5FB0"/>
    <w:rsid w:val="002D7E34"/>
    <w:rsid w:val="00310BC1"/>
    <w:rsid w:val="00336FE8"/>
    <w:rsid w:val="00344D1C"/>
    <w:rsid w:val="0035718D"/>
    <w:rsid w:val="0037164B"/>
    <w:rsid w:val="00384F39"/>
    <w:rsid w:val="003861C4"/>
    <w:rsid w:val="003B14F4"/>
    <w:rsid w:val="003B7635"/>
    <w:rsid w:val="003F580A"/>
    <w:rsid w:val="003F5DC5"/>
    <w:rsid w:val="00414955"/>
    <w:rsid w:val="004201E7"/>
    <w:rsid w:val="0042538E"/>
    <w:rsid w:val="00460A52"/>
    <w:rsid w:val="00467B4C"/>
    <w:rsid w:val="00471450"/>
    <w:rsid w:val="00475030"/>
    <w:rsid w:val="00482B05"/>
    <w:rsid w:val="0048523C"/>
    <w:rsid w:val="00496905"/>
    <w:rsid w:val="004C2798"/>
    <w:rsid w:val="004C6A89"/>
    <w:rsid w:val="004D0A79"/>
    <w:rsid w:val="004F4C10"/>
    <w:rsid w:val="005071D4"/>
    <w:rsid w:val="005217D5"/>
    <w:rsid w:val="00537A71"/>
    <w:rsid w:val="00542DF8"/>
    <w:rsid w:val="00573630"/>
    <w:rsid w:val="00574275"/>
    <w:rsid w:val="005811CB"/>
    <w:rsid w:val="005874D6"/>
    <w:rsid w:val="005A1C82"/>
    <w:rsid w:val="005A302D"/>
    <w:rsid w:val="005C0F40"/>
    <w:rsid w:val="005E2951"/>
    <w:rsid w:val="005E46D7"/>
    <w:rsid w:val="005F4831"/>
    <w:rsid w:val="005F69B4"/>
    <w:rsid w:val="00600794"/>
    <w:rsid w:val="00616B80"/>
    <w:rsid w:val="00624575"/>
    <w:rsid w:val="00631B4A"/>
    <w:rsid w:val="00634C3A"/>
    <w:rsid w:val="0064505B"/>
    <w:rsid w:val="00657124"/>
    <w:rsid w:val="006729E6"/>
    <w:rsid w:val="00696F22"/>
    <w:rsid w:val="006A7FF5"/>
    <w:rsid w:val="006B4123"/>
    <w:rsid w:val="006B605B"/>
    <w:rsid w:val="006B7B8D"/>
    <w:rsid w:val="006C4BC5"/>
    <w:rsid w:val="006C4F20"/>
    <w:rsid w:val="006C79B6"/>
    <w:rsid w:val="006F6D9A"/>
    <w:rsid w:val="00707CC0"/>
    <w:rsid w:val="00730EC7"/>
    <w:rsid w:val="00742858"/>
    <w:rsid w:val="00785D05"/>
    <w:rsid w:val="007A74F1"/>
    <w:rsid w:val="007C3002"/>
    <w:rsid w:val="007E0300"/>
    <w:rsid w:val="007E2344"/>
    <w:rsid w:val="007F443A"/>
    <w:rsid w:val="00810086"/>
    <w:rsid w:val="00831DE3"/>
    <w:rsid w:val="0083465F"/>
    <w:rsid w:val="00852E8E"/>
    <w:rsid w:val="00860E8F"/>
    <w:rsid w:val="00891D54"/>
    <w:rsid w:val="008D4D98"/>
    <w:rsid w:val="008E4479"/>
    <w:rsid w:val="009253FB"/>
    <w:rsid w:val="00927C32"/>
    <w:rsid w:val="00942B3D"/>
    <w:rsid w:val="00950726"/>
    <w:rsid w:val="00962EA3"/>
    <w:rsid w:val="009A61CE"/>
    <w:rsid w:val="009B43F0"/>
    <w:rsid w:val="009D0FAE"/>
    <w:rsid w:val="009D1B2C"/>
    <w:rsid w:val="009F7D9C"/>
    <w:rsid w:val="00A02D5A"/>
    <w:rsid w:val="00A0463D"/>
    <w:rsid w:val="00A1011B"/>
    <w:rsid w:val="00A22038"/>
    <w:rsid w:val="00A25C00"/>
    <w:rsid w:val="00A364B9"/>
    <w:rsid w:val="00A54407"/>
    <w:rsid w:val="00AA39B7"/>
    <w:rsid w:val="00AB5B21"/>
    <w:rsid w:val="00AB736B"/>
    <w:rsid w:val="00AC0F44"/>
    <w:rsid w:val="00AF0196"/>
    <w:rsid w:val="00AF0A2F"/>
    <w:rsid w:val="00B014C2"/>
    <w:rsid w:val="00B04180"/>
    <w:rsid w:val="00B32C5A"/>
    <w:rsid w:val="00B35874"/>
    <w:rsid w:val="00B407E9"/>
    <w:rsid w:val="00B60E6C"/>
    <w:rsid w:val="00B6401A"/>
    <w:rsid w:val="00B907C0"/>
    <w:rsid w:val="00B95770"/>
    <w:rsid w:val="00BA1F0F"/>
    <w:rsid w:val="00BB4016"/>
    <w:rsid w:val="00BC2748"/>
    <w:rsid w:val="00BC57AA"/>
    <w:rsid w:val="00BE0918"/>
    <w:rsid w:val="00BF3409"/>
    <w:rsid w:val="00C171D3"/>
    <w:rsid w:val="00C44186"/>
    <w:rsid w:val="00C53E36"/>
    <w:rsid w:val="00C93671"/>
    <w:rsid w:val="00C95554"/>
    <w:rsid w:val="00CC35BA"/>
    <w:rsid w:val="00CD6766"/>
    <w:rsid w:val="00CE3085"/>
    <w:rsid w:val="00CE6390"/>
    <w:rsid w:val="00CF0BC2"/>
    <w:rsid w:val="00D02D65"/>
    <w:rsid w:val="00D126E6"/>
    <w:rsid w:val="00D419E4"/>
    <w:rsid w:val="00D57527"/>
    <w:rsid w:val="00D608FA"/>
    <w:rsid w:val="00D674E3"/>
    <w:rsid w:val="00D90BF2"/>
    <w:rsid w:val="00D96CF3"/>
    <w:rsid w:val="00DF089A"/>
    <w:rsid w:val="00E05594"/>
    <w:rsid w:val="00E0760A"/>
    <w:rsid w:val="00E27221"/>
    <w:rsid w:val="00E43198"/>
    <w:rsid w:val="00E537C3"/>
    <w:rsid w:val="00E652E2"/>
    <w:rsid w:val="00EC40D9"/>
    <w:rsid w:val="00ED231E"/>
    <w:rsid w:val="00ED3204"/>
    <w:rsid w:val="00ED449A"/>
    <w:rsid w:val="00ED4A8F"/>
    <w:rsid w:val="00F34D48"/>
    <w:rsid w:val="00F42BDB"/>
    <w:rsid w:val="00F51723"/>
    <w:rsid w:val="00FF1BA6"/>
    <w:rsid w:val="010211F6"/>
    <w:rsid w:val="01072FD3"/>
    <w:rsid w:val="011B16BD"/>
    <w:rsid w:val="012D0462"/>
    <w:rsid w:val="014B36F7"/>
    <w:rsid w:val="0160084E"/>
    <w:rsid w:val="01A24EAB"/>
    <w:rsid w:val="01A36629"/>
    <w:rsid w:val="01E05DF9"/>
    <w:rsid w:val="01E7558B"/>
    <w:rsid w:val="01FD4EFD"/>
    <w:rsid w:val="02215CD1"/>
    <w:rsid w:val="02377801"/>
    <w:rsid w:val="028010F4"/>
    <w:rsid w:val="028242A1"/>
    <w:rsid w:val="029C7989"/>
    <w:rsid w:val="02B84EE8"/>
    <w:rsid w:val="02C02F73"/>
    <w:rsid w:val="02C141A3"/>
    <w:rsid w:val="02F9039B"/>
    <w:rsid w:val="03061252"/>
    <w:rsid w:val="03865C34"/>
    <w:rsid w:val="038D77BD"/>
    <w:rsid w:val="04620ECD"/>
    <w:rsid w:val="04AD2D2F"/>
    <w:rsid w:val="04F35535"/>
    <w:rsid w:val="051A0943"/>
    <w:rsid w:val="051A51B8"/>
    <w:rsid w:val="05367E26"/>
    <w:rsid w:val="05941F82"/>
    <w:rsid w:val="05A4438F"/>
    <w:rsid w:val="05B32A5F"/>
    <w:rsid w:val="05B60A3D"/>
    <w:rsid w:val="05D50EB4"/>
    <w:rsid w:val="05D8381B"/>
    <w:rsid w:val="05E23F9C"/>
    <w:rsid w:val="05E61EF7"/>
    <w:rsid w:val="05F31298"/>
    <w:rsid w:val="06036691"/>
    <w:rsid w:val="06071298"/>
    <w:rsid w:val="064015DF"/>
    <w:rsid w:val="06483909"/>
    <w:rsid w:val="06701912"/>
    <w:rsid w:val="069A65B0"/>
    <w:rsid w:val="06AB2832"/>
    <w:rsid w:val="06DA3C88"/>
    <w:rsid w:val="071327A5"/>
    <w:rsid w:val="07263BAC"/>
    <w:rsid w:val="0780537F"/>
    <w:rsid w:val="079532DB"/>
    <w:rsid w:val="079E219A"/>
    <w:rsid w:val="07AE01F0"/>
    <w:rsid w:val="07B40FAC"/>
    <w:rsid w:val="082B0DD2"/>
    <w:rsid w:val="087150EF"/>
    <w:rsid w:val="08862091"/>
    <w:rsid w:val="088827E1"/>
    <w:rsid w:val="08A5472A"/>
    <w:rsid w:val="08C02048"/>
    <w:rsid w:val="09151756"/>
    <w:rsid w:val="09194E2A"/>
    <w:rsid w:val="091F6217"/>
    <w:rsid w:val="09256674"/>
    <w:rsid w:val="098C30E3"/>
    <w:rsid w:val="099052FE"/>
    <w:rsid w:val="09DC0C8E"/>
    <w:rsid w:val="09F55385"/>
    <w:rsid w:val="0A361D92"/>
    <w:rsid w:val="0A7E39BB"/>
    <w:rsid w:val="0A884F4A"/>
    <w:rsid w:val="0AE16B6E"/>
    <w:rsid w:val="0B244CE6"/>
    <w:rsid w:val="0B2D714C"/>
    <w:rsid w:val="0B3E2F09"/>
    <w:rsid w:val="0B9D3BC7"/>
    <w:rsid w:val="0BAC3011"/>
    <w:rsid w:val="0C295823"/>
    <w:rsid w:val="0C931AD8"/>
    <w:rsid w:val="0D0B58E2"/>
    <w:rsid w:val="0D2772D4"/>
    <w:rsid w:val="0D282E56"/>
    <w:rsid w:val="0D6869CB"/>
    <w:rsid w:val="0D8C3C83"/>
    <w:rsid w:val="0DA076A6"/>
    <w:rsid w:val="0DA2513F"/>
    <w:rsid w:val="0DA537DC"/>
    <w:rsid w:val="0DB04357"/>
    <w:rsid w:val="0DC406AB"/>
    <w:rsid w:val="0DC4663B"/>
    <w:rsid w:val="0DE10621"/>
    <w:rsid w:val="0E21478B"/>
    <w:rsid w:val="0E5973A2"/>
    <w:rsid w:val="0E925DBF"/>
    <w:rsid w:val="0EA94665"/>
    <w:rsid w:val="0EC71127"/>
    <w:rsid w:val="0ED6438E"/>
    <w:rsid w:val="0EF62596"/>
    <w:rsid w:val="0EF83673"/>
    <w:rsid w:val="0F167B0F"/>
    <w:rsid w:val="0F2B249C"/>
    <w:rsid w:val="0F963360"/>
    <w:rsid w:val="0FA50C3C"/>
    <w:rsid w:val="0FC041EE"/>
    <w:rsid w:val="0FC86692"/>
    <w:rsid w:val="1009271C"/>
    <w:rsid w:val="100B0596"/>
    <w:rsid w:val="102064DD"/>
    <w:rsid w:val="10387DF3"/>
    <w:rsid w:val="10A047C3"/>
    <w:rsid w:val="1102693D"/>
    <w:rsid w:val="11407FA2"/>
    <w:rsid w:val="115C2AB2"/>
    <w:rsid w:val="11654C24"/>
    <w:rsid w:val="117025B6"/>
    <w:rsid w:val="11716805"/>
    <w:rsid w:val="11793892"/>
    <w:rsid w:val="11800C15"/>
    <w:rsid w:val="1182113A"/>
    <w:rsid w:val="11A03A9A"/>
    <w:rsid w:val="11C8709D"/>
    <w:rsid w:val="11CD74AB"/>
    <w:rsid w:val="12383860"/>
    <w:rsid w:val="124459B3"/>
    <w:rsid w:val="129F1B30"/>
    <w:rsid w:val="12C84067"/>
    <w:rsid w:val="131D6E69"/>
    <w:rsid w:val="132176A3"/>
    <w:rsid w:val="136F4886"/>
    <w:rsid w:val="13E177E9"/>
    <w:rsid w:val="13E50276"/>
    <w:rsid w:val="13F6410B"/>
    <w:rsid w:val="13F74918"/>
    <w:rsid w:val="14203C50"/>
    <w:rsid w:val="1448276F"/>
    <w:rsid w:val="144E18FC"/>
    <w:rsid w:val="1461070D"/>
    <w:rsid w:val="149943A3"/>
    <w:rsid w:val="14D013EF"/>
    <w:rsid w:val="14FA4817"/>
    <w:rsid w:val="15360030"/>
    <w:rsid w:val="15885B5C"/>
    <w:rsid w:val="15C9047F"/>
    <w:rsid w:val="15FA2FF1"/>
    <w:rsid w:val="15FF1F7B"/>
    <w:rsid w:val="161640D1"/>
    <w:rsid w:val="163276DE"/>
    <w:rsid w:val="16345558"/>
    <w:rsid w:val="166A03FC"/>
    <w:rsid w:val="166F0BF1"/>
    <w:rsid w:val="167D556F"/>
    <w:rsid w:val="16B575A1"/>
    <w:rsid w:val="16C375DE"/>
    <w:rsid w:val="17491ECB"/>
    <w:rsid w:val="175247A8"/>
    <w:rsid w:val="178D5376"/>
    <w:rsid w:val="179318D0"/>
    <w:rsid w:val="17985129"/>
    <w:rsid w:val="179E4E78"/>
    <w:rsid w:val="17CE473A"/>
    <w:rsid w:val="182B7B10"/>
    <w:rsid w:val="184D79C9"/>
    <w:rsid w:val="185E03A6"/>
    <w:rsid w:val="1881137E"/>
    <w:rsid w:val="189871F2"/>
    <w:rsid w:val="18B84434"/>
    <w:rsid w:val="18DB75E5"/>
    <w:rsid w:val="19193774"/>
    <w:rsid w:val="192F64C7"/>
    <w:rsid w:val="194523F6"/>
    <w:rsid w:val="19650358"/>
    <w:rsid w:val="19AA4166"/>
    <w:rsid w:val="19F228DD"/>
    <w:rsid w:val="1A0635F7"/>
    <w:rsid w:val="1A170884"/>
    <w:rsid w:val="1A3E71A7"/>
    <w:rsid w:val="1A7840BB"/>
    <w:rsid w:val="1A924EA6"/>
    <w:rsid w:val="1A951403"/>
    <w:rsid w:val="1ADB1195"/>
    <w:rsid w:val="1ADD4BFF"/>
    <w:rsid w:val="1AFA023C"/>
    <w:rsid w:val="1B9979B3"/>
    <w:rsid w:val="1BD01A43"/>
    <w:rsid w:val="1C0A12E7"/>
    <w:rsid w:val="1C796ADF"/>
    <w:rsid w:val="1C987A7B"/>
    <w:rsid w:val="1CAD273F"/>
    <w:rsid w:val="1CBB5734"/>
    <w:rsid w:val="1D110AF0"/>
    <w:rsid w:val="1D373BB6"/>
    <w:rsid w:val="1D5656CA"/>
    <w:rsid w:val="1D576541"/>
    <w:rsid w:val="1D6C2239"/>
    <w:rsid w:val="1D882BCA"/>
    <w:rsid w:val="1DBF6009"/>
    <w:rsid w:val="1DF133E0"/>
    <w:rsid w:val="1E1660C5"/>
    <w:rsid w:val="1E336A7F"/>
    <w:rsid w:val="1E45734B"/>
    <w:rsid w:val="1E5D77F3"/>
    <w:rsid w:val="1E6D6DAC"/>
    <w:rsid w:val="1E911D1D"/>
    <w:rsid w:val="1EA54268"/>
    <w:rsid w:val="1EA61823"/>
    <w:rsid w:val="1F7C0BD3"/>
    <w:rsid w:val="1F9248DA"/>
    <w:rsid w:val="1F932B6B"/>
    <w:rsid w:val="1FD94AE8"/>
    <w:rsid w:val="200B6292"/>
    <w:rsid w:val="201D3690"/>
    <w:rsid w:val="20257688"/>
    <w:rsid w:val="2051474C"/>
    <w:rsid w:val="20842A1C"/>
    <w:rsid w:val="20BF1CBF"/>
    <w:rsid w:val="20CC4D54"/>
    <w:rsid w:val="20DC510A"/>
    <w:rsid w:val="20DD5B8C"/>
    <w:rsid w:val="20EA6985"/>
    <w:rsid w:val="20F070A1"/>
    <w:rsid w:val="2120725A"/>
    <w:rsid w:val="21704AC4"/>
    <w:rsid w:val="21761FCA"/>
    <w:rsid w:val="219F6987"/>
    <w:rsid w:val="21B3269F"/>
    <w:rsid w:val="21C916A0"/>
    <w:rsid w:val="21D12A72"/>
    <w:rsid w:val="21E76AEA"/>
    <w:rsid w:val="220F1B47"/>
    <w:rsid w:val="2210706F"/>
    <w:rsid w:val="22187F72"/>
    <w:rsid w:val="2244123E"/>
    <w:rsid w:val="226E130D"/>
    <w:rsid w:val="2273527A"/>
    <w:rsid w:val="227806AE"/>
    <w:rsid w:val="22833074"/>
    <w:rsid w:val="22AB0699"/>
    <w:rsid w:val="22CA3282"/>
    <w:rsid w:val="22F671D0"/>
    <w:rsid w:val="22F84255"/>
    <w:rsid w:val="22FD0815"/>
    <w:rsid w:val="22FD149F"/>
    <w:rsid w:val="23130BCF"/>
    <w:rsid w:val="232C6117"/>
    <w:rsid w:val="23344B38"/>
    <w:rsid w:val="23411E36"/>
    <w:rsid w:val="23487C77"/>
    <w:rsid w:val="23781D14"/>
    <w:rsid w:val="23885F15"/>
    <w:rsid w:val="23AD702F"/>
    <w:rsid w:val="23BA65EB"/>
    <w:rsid w:val="23CE70D4"/>
    <w:rsid w:val="23FE6CFC"/>
    <w:rsid w:val="241217AC"/>
    <w:rsid w:val="244A331B"/>
    <w:rsid w:val="246846FA"/>
    <w:rsid w:val="24810496"/>
    <w:rsid w:val="24A54985"/>
    <w:rsid w:val="24D40A88"/>
    <w:rsid w:val="252B7DD7"/>
    <w:rsid w:val="25B60B6B"/>
    <w:rsid w:val="25D529F8"/>
    <w:rsid w:val="261A22C3"/>
    <w:rsid w:val="262F3FAF"/>
    <w:rsid w:val="2662215D"/>
    <w:rsid w:val="26672398"/>
    <w:rsid w:val="267907CF"/>
    <w:rsid w:val="268B338A"/>
    <w:rsid w:val="2695128E"/>
    <w:rsid w:val="27102D2D"/>
    <w:rsid w:val="27426940"/>
    <w:rsid w:val="279577A5"/>
    <w:rsid w:val="27BC2D7F"/>
    <w:rsid w:val="27EE56A4"/>
    <w:rsid w:val="281713B7"/>
    <w:rsid w:val="28217D3B"/>
    <w:rsid w:val="2844540D"/>
    <w:rsid w:val="2853726E"/>
    <w:rsid w:val="28A377CA"/>
    <w:rsid w:val="28AB2E16"/>
    <w:rsid w:val="28E65763"/>
    <w:rsid w:val="28F65324"/>
    <w:rsid w:val="2931435B"/>
    <w:rsid w:val="29491A44"/>
    <w:rsid w:val="29B03761"/>
    <w:rsid w:val="29C80D9C"/>
    <w:rsid w:val="2A2A03BE"/>
    <w:rsid w:val="2A332C2B"/>
    <w:rsid w:val="2A3A7521"/>
    <w:rsid w:val="2A4857F7"/>
    <w:rsid w:val="2A7228D5"/>
    <w:rsid w:val="2A79227F"/>
    <w:rsid w:val="2A9065F1"/>
    <w:rsid w:val="2AA131BA"/>
    <w:rsid w:val="2ABC3BB2"/>
    <w:rsid w:val="2AD97B85"/>
    <w:rsid w:val="2AF92481"/>
    <w:rsid w:val="2B0312B4"/>
    <w:rsid w:val="2B1124AC"/>
    <w:rsid w:val="2B14398C"/>
    <w:rsid w:val="2B6D6F34"/>
    <w:rsid w:val="2BB00ADD"/>
    <w:rsid w:val="2BD33AA2"/>
    <w:rsid w:val="2C0734F1"/>
    <w:rsid w:val="2C490302"/>
    <w:rsid w:val="2C4F3123"/>
    <w:rsid w:val="2C5F0F2E"/>
    <w:rsid w:val="2C76439E"/>
    <w:rsid w:val="2C84212D"/>
    <w:rsid w:val="2C9542BA"/>
    <w:rsid w:val="2CA13205"/>
    <w:rsid w:val="2CB60EF2"/>
    <w:rsid w:val="2CC47593"/>
    <w:rsid w:val="2CD23AFF"/>
    <w:rsid w:val="2CD7782D"/>
    <w:rsid w:val="2D0D6CAF"/>
    <w:rsid w:val="2D161B9D"/>
    <w:rsid w:val="2D177764"/>
    <w:rsid w:val="2D2619F7"/>
    <w:rsid w:val="2D6A3CAE"/>
    <w:rsid w:val="2D811081"/>
    <w:rsid w:val="2D8E1FA6"/>
    <w:rsid w:val="2D9A1AB9"/>
    <w:rsid w:val="2DB17BB8"/>
    <w:rsid w:val="2E1B3E40"/>
    <w:rsid w:val="2E321F0C"/>
    <w:rsid w:val="2E3D589A"/>
    <w:rsid w:val="2E4B6BA5"/>
    <w:rsid w:val="2E4D5193"/>
    <w:rsid w:val="2E59197B"/>
    <w:rsid w:val="2EB943BD"/>
    <w:rsid w:val="2EE94486"/>
    <w:rsid w:val="2F161357"/>
    <w:rsid w:val="2F41632A"/>
    <w:rsid w:val="2F5846F8"/>
    <w:rsid w:val="2F783D8F"/>
    <w:rsid w:val="2F9C0F93"/>
    <w:rsid w:val="300F19EF"/>
    <w:rsid w:val="301D4F27"/>
    <w:rsid w:val="303D5733"/>
    <w:rsid w:val="3051098E"/>
    <w:rsid w:val="3081186A"/>
    <w:rsid w:val="30A05CC2"/>
    <w:rsid w:val="30AF2B91"/>
    <w:rsid w:val="30C05C4A"/>
    <w:rsid w:val="30C85091"/>
    <w:rsid w:val="30E57EA1"/>
    <w:rsid w:val="311A1007"/>
    <w:rsid w:val="31264419"/>
    <w:rsid w:val="312A65D0"/>
    <w:rsid w:val="312B460E"/>
    <w:rsid w:val="313639A5"/>
    <w:rsid w:val="31406633"/>
    <w:rsid w:val="3148438F"/>
    <w:rsid w:val="31616E93"/>
    <w:rsid w:val="318B24CE"/>
    <w:rsid w:val="31BB2CA1"/>
    <w:rsid w:val="31CC0D25"/>
    <w:rsid w:val="31EE2A79"/>
    <w:rsid w:val="321C4EE3"/>
    <w:rsid w:val="322D4BE8"/>
    <w:rsid w:val="32525504"/>
    <w:rsid w:val="325D20BC"/>
    <w:rsid w:val="32A7158A"/>
    <w:rsid w:val="32CD53B1"/>
    <w:rsid w:val="32DE0C48"/>
    <w:rsid w:val="32FF1C0F"/>
    <w:rsid w:val="333A6815"/>
    <w:rsid w:val="3360064B"/>
    <w:rsid w:val="33FD3B57"/>
    <w:rsid w:val="33FD4A2B"/>
    <w:rsid w:val="34297DFA"/>
    <w:rsid w:val="343E6AAA"/>
    <w:rsid w:val="34687C68"/>
    <w:rsid w:val="34992A22"/>
    <w:rsid w:val="34F62354"/>
    <w:rsid w:val="35041840"/>
    <w:rsid w:val="35896ED1"/>
    <w:rsid w:val="35C5268F"/>
    <w:rsid w:val="35E9276F"/>
    <w:rsid w:val="36093A4D"/>
    <w:rsid w:val="36183207"/>
    <w:rsid w:val="364F59B0"/>
    <w:rsid w:val="36653376"/>
    <w:rsid w:val="366915B0"/>
    <w:rsid w:val="36715229"/>
    <w:rsid w:val="36DC3AE4"/>
    <w:rsid w:val="36E232F9"/>
    <w:rsid w:val="36E66B42"/>
    <w:rsid w:val="36EB5E39"/>
    <w:rsid w:val="371446FF"/>
    <w:rsid w:val="37936FA0"/>
    <w:rsid w:val="379C2B74"/>
    <w:rsid w:val="37B448C8"/>
    <w:rsid w:val="37B577D3"/>
    <w:rsid w:val="37EA72CD"/>
    <w:rsid w:val="37F11D92"/>
    <w:rsid w:val="37F72BB9"/>
    <w:rsid w:val="382138C1"/>
    <w:rsid w:val="38252A67"/>
    <w:rsid w:val="38264F45"/>
    <w:rsid w:val="382F7FD7"/>
    <w:rsid w:val="386F25FA"/>
    <w:rsid w:val="3877465C"/>
    <w:rsid w:val="3880739F"/>
    <w:rsid w:val="38AC2F4A"/>
    <w:rsid w:val="38B70DC4"/>
    <w:rsid w:val="38FF7CA7"/>
    <w:rsid w:val="391F1F1E"/>
    <w:rsid w:val="3937462C"/>
    <w:rsid w:val="3942415B"/>
    <w:rsid w:val="3961510A"/>
    <w:rsid w:val="396C04A7"/>
    <w:rsid w:val="39770D0D"/>
    <w:rsid w:val="3990210D"/>
    <w:rsid w:val="39DA04CC"/>
    <w:rsid w:val="39FF404B"/>
    <w:rsid w:val="3A1B20A2"/>
    <w:rsid w:val="3A451BB0"/>
    <w:rsid w:val="3A6F3782"/>
    <w:rsid w:val="3AC04F8F"/>
    <w:rsid w:val="3AF77640"/>
    <w:rsid w:val="3B053AF3"/>
    <w:rsid w:val="3B070E53"/>
    <w:rsid w:val="3B0A7DA5"/>
    <w:rsid w:val="3B120DDF"/>
    <w:rsid w:val="3B1D2EA4"/>
    <w:rsid w:val="3B1F00D5"/>
    <w:rsid w:val="3B7C61EE"/>
    <w:rsid w:val="3B8D4E09"/>
    <w:rsid w:val="3B942937"/>
    <w:rsid w:val="3BA6327B"/>
    <w:rsid w:val="3BFC46F4"/>
    <w:rsid w:val="3C0F40DA"/>
    <w:rsid w:val="3C2C11B0"/>
    <w:rsid w:val="3C2E584B"/>
    <w:rsid w:val="3C700C3E"/>
    <w:rsid w:val="3C9A2F9C"/>
    <w:rsid w:val="3CB1546D"/>
    <w:rsid w:val="3CED7A63"/>
    <w:rsid w:val="3CF41E49"/>
    <w:rsid w:val="3CF47A85"/>
    <w:rsid w:val="3D0F7E27"/>
    <w:rsid w:val="3D2D0FD4"/>
    <w:rsid w:val="3D3F654B"/>
    <w:rsid w:val="3D4146E2"/>
    <w:rsid w:val="3D60299B"/>
    <w:rsid w:val="3D721B24"/>
    <w:rsid w:val="3D796824"/>
    <w:rsid w:val="3DCA2DB1"/>
    <w:rsid w:val="3DF45BBB"/>
    <w:rsid w:val="3E0A09CC"/>
    <w:rsid w:val="3E2C2898"/>
    <w:rsid w:val="3E3151B2"/>
    <w:rsid w:val="3E5B7076"/>
    <w:rsid w:val="3E9018EE"/>
    <w:rsid w:val="3EC12201"/>
    <w:rsid w:val="3EE61FEC"/>
    <w:rsid w:val="3F1A7640"/>
    <w:rsid w:val="3F7C42D4"/>
    <w:rsid w:val="3FBD3BCB"/>
    <w:rsid w:val="3FCE60A5"/>
    <w:rsid w:val="3FE907AA"/>
    <w:rsid w:val="403909D8"/>
    <w:rsid w:val="404D79EA"/>
    <w:rsid w:val="406E5485"/>
    <w:rsid w:val="407F5D72"/>
    <w:rsid w:val="40EC17DC"/>
    <w:rsid w:val="410007EE"/>
    <w:rsid w:val="410B6E28"/>
    <w:rsid w:val="41285166"/>
    <w:rsid w:val="41B26140"/>
    <w:rsid w:val="41DB77E6"/>
    <w:rsid w:val="41F867C6"/>
    <w:rsid w:val="41FF5279"/>
    <w:rsid w:val="420820FD"/>
    <w:rsid w:val="420859AE"/>
    <w:rsid w:val="420F1DBE"/>
    <w:rsid w:val="42266218"/>
    <w:rsid w:val="42295833"/>
    <w:rsid w:val="4284685E"/>
    <w:rsid w:val="42990621"/>
    <w:rsid w:val="42AA09D2"/>
    <w:rsid w:val="42C17A73"/>
    <w:rsid w:val="42E46317"/>
    <w:rsid w:val="43034F52"/>
    <w:rsid w:val="432107CE"/>
    <w:rsid w:val="43267769"/>
    <w:rsid w:val="435C6F7C"/>
    <w:rsid w:val="43AC21F6"/>
    <w:rsid w:val="43B80221"/>
    <w:rsid w:val="43D1752D"/>
    <w:rsid w:val="43DE782A"/>
    <w:rsid w:val="441579B6"/>
    <w:rsid w:val="444202F4"/>
    <w:rsid w:val="44422F25"/>
    <w:rsid w:val="4481138F"/>
    <w:rsid w:val="449A3781"/>
    <w:rsid w:val="44DF45BC"/>
    <w:rsid w:val="44F942C4"/>
    <w:rsid w:val="44FD449E"/>
    <w:rsid w:val="45152FD5"/>
    <w:rsid w:val="45251095"/>
    <w:rsid w:val="453647A2"/>
    <w:rsid w:val="45710CC1"/>
    <w:rsid w:val="46854BCB"/>
    <w:rsid w:val="46876DFF"/>
    <w:rsid w:val="46A246CB"/>
    <w:rsid w:val="46F55CA9"/>
    <w:rsid w:val="46FB6A6A"/>
    <w:rsid w:val="4788512E"/>
    <w:rsid w:val="479B691A"/>
    <w:rsid w:val="47A71606"/>
    <w:rsid w:val="47B30038"/>
    <w:rsid w:val="47D97FDF"/>
    <w:rsid w:val="47E25602"/>
    <w:rsid w:val="481B75A4"/>
    <w:rsid w:val="481C304B"/>
    <w:rsid w:val="48246CB6"/>
    <w:rsid w:val="48256259"/>
    <w:rsid w:val="482F072B"/>
    <w:rsid w:val="48407456"/>
    <w:rsid w:val="48423EB6"/>
    <w:rsid w:val="484F711E"/>
    <w:rsid w:val="487B485A"/>
    <w:rsid w:val="48972216"/>
    <w:rsid w:val="48A66839"/>
    <w:rsid w:val="48B30E1A"/>
    <w:rsid w:val="48D16FC3"/>
    <w:rsid w:val="48E11D0D"/>
    <w:rsid w:val="48FF3A76"/>
    <w:rsid w:val="491168E0"/>
    <w:rsid w:val="491D13CF"/>
    <w:rsid w:val="49210BBC"/>
    <w:rsid w:val="49210E3B"/>
    <w:rsid w:val="494C0587"/>
    <w:rsid w:val="49845D29"/>
    <w:rsid w:val="49BF2136"/>
    <w:rsid w:val="49CE294D"/>
    <w:rsid w:val="49D15963"/>
    <w:rsid w:val="49E34EE4"/>
    <w:rsid w:val="4A3F7D50"/>
    <w:rsid w:val="4AAF3030"/>
    <w:rsid w:val="4AE1105A"/>
    <w:rsid w:val="4B582F0A"/>
    <w:rsid w:val="4B720916"/>
    <w:rsid w:val="4B8B1C5C"/>
    <w:rsid w:val="4BAB2D0D"/>
    <w:rsid w:val="4BDA36DE"/>
    <w:rsid w:val="4BE26C56"/>
    <w:rsid w:val="4BEB7B04"/>
    <w:rsid w:val="4BFA56C8"/>
    <w:rsid w:val="4BFD3D74"/>
    <w:rsid w:val="4C032EB6"/>
    <w:rsid w:val="4C9B1D07"/>
    <w:rsid w:val="4CB55DAF"/>
    <w:rsid w:val="4CC87B94"/>
    <w:rsid w:val="4CCB6C0A"/>
    <w:rsid w:val="4CCF0B13"/>
    <w:rsid w:val="4CFE5920"/>
    <w:rsid w:val="4DA26BAD"/>
    <w:rsid w:val="4DD4267A"/>
    <w:rsid w:val="4DEB45C9"/>
    <w:rsid w:val="4E164FDA"/>
    <w:rsid w:val="4E1B275A"/>
    <w:rsid w:val="4E5762EC"/>
    <w:rsid w:val="4E673E75"/>
    <w:rsid w:val="4E9764FE"/>
    <w:rsid w:val="4EA40B81"/>
    <w:rsid w:val="4EB011D0"/>
    <w:rsid w:val="4EB243D8"/>
    <w:rsid w:val="4EB31779"/>
    <w:rsid w:val="4ECB00BC"/>
    <w:rsid w:val="4F034535"/>
    <w:rsid w:val="4F141C48"/>
    <w:rsid w:val="4F544DCA"/>
    <w:rsid w:val="4F8E752A"/>
    <w:rsid w:val="4F9E312C"/>
    <w:rsid w:val="4FC3192E"/>
    <w:rsid w:val="4FDF4FF8"/>
    <w:rsid w:val="4FEC4A28"/>
    <w:rsid w:val="4FF20345"/>
    <w:rsid w:val="4FF716CB"/>
    <w:rsid w:val="501E3B8D"/>
    <w:rsid w:val="5020283D"/>
    <w:rsid w:val="505B4F35"/>
    <w:rsid w:val="50707A06"/>
    <w:rsid w:val="508014F9"/>
    <w:rsid w:val="50C518C9"/>
    <w:rsid w:val="50CC069D"/>
    <w:rsid w:val="50CE5BA8"/>
    <w:rsid w:val="50E900A7"/>
    <w:rsid w:val="50F73806"/>
    <w:rsid w:val="5106779B"/>
    <w:rsid w:val="510908FA"/>
    <w:rsid w:val="51330760"/>
    <w:rsid w:val="515919D1"/>
    <w:rsid w:val="51D171E2"/>
    <w:rsid w:val="51DD5574"/>
    <w:rsid w:val="522D3D11"/>
    <w:rsid w:val="523C53F3"/>
    <w:rsid w:val="528058D8"/>
    <w:rsid w:val="528818DA"/>
    <w:rsid w:val="52A8547C"/>
    <w:rsid w:val="52C51C0F"/>
    <w:rsid w:val="534A5D5F"/>
    <w:rsid w:val="53656BCB"/>
    <w:rsid w:val="53804297"/>
    <w:rsid w:val="53B57096"/>
    <w:rsid w:val="53D6593A"/>
    <w:rsid w:val="53EA3D04"/>
    <w:rsid w:val="54586FFC"/>
    <w:rsid w:val="54596730"/>
    <w:rsid w:val="54AC09FB"/>
    <w:rsid w:val="54E159BE"/>
    <w:rsid w:val="54E82143"/>
    <w:rsid w:val="54EB6F3B"/>
    <w:rsid w:val="54F642FC"/>
    <w:rsid w:val="55AC5767"/>
    <w:rsid w:val="563F5F8B"/>
    <w:rsid w:val="564915A3"/>
    <w:rsid w:val="56B20A20"/>
    <w:rsid w:val="56DD3D9C"/>
    <w:rsid w:val="57045914"/>
    <w:rsid w:val="574D5DD3"/>
    <w:rsid w:val="575724BB"/>
    <w:rsid w:val="57584FBD"/>
    <w:rsid w:val="575925A3"/>
    <w:rsid w:val="57744C6A"/>
    <w:rsid w:val="57765E33"/>
    <w:rsid w:val="5785783C"/>
    <w:rsid w:val="57F65100"/>
    <w:rsid w:val="582506ED"/>
    <w:rsid w:val="5849092A"/>
    <w:rsid w:val="585711D8"/>
    <w:rsid w:val="585D2567"/>
    <w:rsid w:val="58856E59"/>
    <w:rsid w:val="58A85E2A"/>
    <w:rsid w:val="5923730C"/>
    <w:rsid w:val="59314CC3"/>
    <w:rsid w:val="59370F01"/>
    <w:rsid w:val="594661A1"/>
    <w:rsid w:val="59555E10"/>
    <w:rsid w:val="595E51B3"/>
    <w:rsid w:val="59731B40"/>
    <w:rsid w:val="59AB4CCF"/>
    <w:rsid w:val="59BE1E55"/>
    <w:rsid w:val="59CA4797"/>
    <w:rsid w:val="5A1F407C"/>
    <w:rsid w:val="5A390A5D"/>
    <w:rsid w:val="5A5F2C6C"/>
    <w:rsid w:val="5AA86E23"/>
    <w:rsid w:val="5ADE3680"/>
    <w:rsid w:val="5B7C03CC"/>
    <w:rsid w:val="5B937FF4"/>
    <w:rsid w:val="5BAA400D"/>
    <w:rsid w:val="5BCD17B1"/>
    <w:rsid w:val="5BD5469A"/>
    <w:rsid w:val="5BE048D7"/>
    <w:rsid w:val="5C69202A"/>
    <w:rsid w:val="5C6F58CE"/>
    <w:rsid w:val="5CB32897"/>
    <w:rsid w:val="5CC76201"/>
    <w:rsid w:val="5D115368"/>
    <w:rsid w:val="5D5E0913"/>
    <w:rsid w:val="5D6A71D5"/>
    <w:rsid w:val="5D9473ED"/>
    <w:rsid w:val="5DA13666"/>
    <w:rsid w:val="5DEB238E"/>
    <w:rsid w:val="5E0609AD"/>
    <w:rsid w:val="5E0D78C2"/>
    <w:rsid w:val="5E134288"/>
    <w:rsid w:val="5E420235"/>
    <w:rsid w:val="5E4B3858"/>
    <w:rsid w:val="5E4E3D57"/>
    <w:rsid w:val="5E901FC3"/>
    <w:rsid w:val="5ECD6384"/>
    <w:rsid w:val="5EF271CB"/>
    <w:rsid w:val="5EFE3124"/>
    <w:rsid w:val="5F0F31FC"/>
    <w:rsid w:val="5F355703"/>
    <w:rsid w:val="5F3A3E78"/>
    <w:rsid w:val="5F653F1A"/>
    <w:rsid w:val="5F657EF5"/>
    <w:rsid w:val="5FA6383E"/>
    <w:rsid w:val="5FAA6D54"/>
    <w:rsid w:val="5FBC2290"/>
    <w:rsid w:val="5FBE7D8F"/>
    <w:rsid w:val="5FF67529"/>
    <w:rsid w:val="5FFA6722"/>
    <w:rsid w:val="603B7817"/>
    <w:rsid w:val="60E02D60"/>
    <w:rsid w:val="60F139D6"/>
    <w:rsid w:val="61200FDD"/>
    <w:rsid w:val="613C2872"/>
    <w:rsid w:val="613F10CE"/>
    <w:rsid w:val="619E3662"/>
    <w:rsid w:val="61E565A7"/>
    <w:rsid w:val="62493EAB"/>
    <w:rsid w:val="624F782E"/>
    <w:rsid w:val="626F2BA7"/>
    <w:rsid w:val="62737042"/>
    <w:rsid w:val="62896A33"/>
    <w:rsid w:val="62CD7F72"/>
    <w:rsid w:val="62E40D9F"/>
    <w:rsid w:val="62E737C6"/>
    <w:rsid w:val="63031F37"/>
    <w:rsid w:val="63041006"/>
    <w:rsid w:val="631C6A69"/>
    <w:rsid w:val="632F0115"/>
    <w:rsid w:val="634B7B8C"/>
    <w:rsid w:val="634F334B"/>
    <w:rsid w:val="635A0BB0"/>
    <w:rsid w:val="6384309D"/>
    <w:rsid w:val="63844882"/>
    <w:rsid w:val="639B551F"/>
    <w:rsid w:val="63C35974"/>
    <w:rsid w:val="644D6D5A"/>
    <w:rsid w:val="64636FDF"/>
    <w:rsid w:val="64736400"/>
    <w:rsid w:val="64892469"/>
    <w:rsid w:val="64974892"/>
    <w:rsid w:val="64A4505E"/>
    <w:rsid w:val="64B333E7"/>
    <w:rsid w:val="65013FCF"/>
    <w:rsid w:val="65414C52"/>
    <w:rsid w:val="65645C36"/>
    <w:rsid w:val="65760FF7"/>
    <w:rsid w:val="657B5DDA"/>
    <w:rsid w:val="65A447F7"/>
    <w:rsid w:val="65B723EE"/>
    <w:rsid w:val="65DF6900"/>
    <w:rsid w:val="65F00F9B"/>
    <w:rsid w:val="65F423CE"/>
    <w:rsid w:val="66531D4A"/>
    <w:rsid w:val="6673435B"/>
    <w:rsid w:val="66E94EA6"/>
    <w:rsid w:val="673F40A8"/>
    <w:rsid w:val="6742569B"/>
    <w:rsid w:val="679927BD"/>
    <w:rsid w:val="68115E74"/>
    <w:rsid w:val="681F2B7E"/>
    <w:rsid w:val="68426537"/>
    <w:rsid w:val="68573D1B"/>
    <w:rsid w:val="686D2352"/>
    <w:rsid w:val="687519E1"/>
    <w:rsid w:val="68877DF1"/>
    <w:rsid w:val="68AA554C"/>
    <w:rsid w:val="68B255F2"/>
    <w:rsid w:val="68C36171"/>
    <w:rsid w:val="68ED2B31"/>
    <w:rsid w:val="690D7691"/>
    <w:rsid w:val="69253498"/>
    <w:rsid w:val="693358FD"/>
    <w:rsid w:val="694703C1"/>
    <w:rsid w:val="696C7C37"/>
    <w:rsid w:val="69AF24F6"/>
    <w:rsid w:val="69D026F2"/>
    <w:rsid w:val="69E61EB4"/>
    <w:rsid w:val="69FC0FD7"/>
    <w:rsid w:val="6A5B04BC"/>
    <w:rsid w:val="6AA06FDD"/>
    <w:rsid w:val="6AF65614"/>
    <w:rsid w:val="6AF758C9"/>
    <w:rsid w:val="6B212CD0"/>
    <w:rsid w:val="6B213BD8"/>
    <w:rsid w:val="6B505C9E"/>
    <w:rsid w:val="6B600BC9"/>
    <w:rsid w:val="6B770714"/>
    <w:rsid w:val="6B823505"/>
    <w:rsid w:val="6B837F5A"/>
    <w:rsid w:val="6B9C3C6A"/>
    <w:rsid w:val="6BBE401E"/>
    <w:rsid w:val="6C001DE8"/>
    <w:rsid w:val="6C4C2949"/>
    <w:rsid w:val="6C690977"/>
    <w:rsid w:val="6C6E0447"/>
    <w:rsid w:val="6C9F0EA5"/>
    <w:rsid w:val="6CB15251"/>
    <w:rsid w:val="6CB965F1"/>
    <w:rsid w:val="6CC048E3"/>
    <w:rsid w:val="6D2A7839"/>
    <w:rsid w:val="6D3562DB"/>
    <w:rsid w:val="6D3A4F88"/>
    <w:rsid w:val="6D643FA3"/>
    <w:rsid w:val="6D7711CB"/>
    <w:rsid w:val="6DB271E1"/>
    <w:rsid w:val="6DB42F62"/>
    <w:rsid w:val="6DB63E53"/>
    <w:rsid w:val="6DC36570"/>
    <w:rsid w:val="6DD70E49"/>
    <w:rsid w:val="6DDD56BF"/>
    <w:rsid w:val="6DE31753"/>
    <w:rsid w:val="6E3C5E88"/>
    <w:rsid w:val="6E472727"/>
    <w:rsid w:val="6E551B6C"/>
    <w:rsid w:val="6E5C0476"/>
    <w:rsid w:val="6E75686D"/>
    <w:rsid w:val="6EC20FEE"/>
    <w:rsid w:val="6ED223D1"/>
    <w:rsid w:val="6F275723"/>
    <w:rsid w:val="6F5844D1"/>
    <w:rsid w:val="6F954681"/>
    <w:rsid w:val="6FA6768F"/>
    <w:rsid w:val="6FB17851"/>
    <w:rsid w:val="70064094"/>
    <w:rsid w:val="70221D2E"/>
    <w:rsid w:val="7074300C"/>
    <w:rsid w:val="70856844"/>
    <w:rsid w:val="70944981"/>
    <w:rsid w:val="70947E4E"/>
    <w:rsid w:val="70CE4A79"/>
    <w:rsid w:val="70E40ACE"/>
    <w:rsid w:val="71152BBA"/>
    <w:rsid w:val="716F0ABA"/>
    <w:rsid w:val="717F6C52"/>
    <w:rsid w:val="718957FC"/>
    <w:rsid w:val="71C14F86"/>
    <w:rsid w:val="71DB3A09"/>
    <w:rsid w:val="720A469C"/>
    <w:rsid w:val="72326712"/>
    <w:rsid w:val="72CE6752"/>
    <w:rsid w:val="72E17BC5"/>
    <w:rsid w:val="72F82CAD"/>
    <w:rsid w:val="72FA6ED8"/>
    <w:rsid w:val="73223592"/>
    <w:rsid w:val="73496A81"/>
    <w:rsid w:val="737D26BC"/>
    <w:rsid w:val="738B6F48"/>
    <w:rsid w:val="73990FEB"/>
    <w:rsid w:val="74520C51"/>
    <w:rsid w:val="74625C44"/>
    <w:rsid w:val="746C1A3A"/>
    <w:rsid w:val="74791AB3"/>
    <w:rsid w:val="748051BB"/>
    <w:rsid w:val="74944905"/>
    <w:rsid w:val="74BA5AD2"/>
    <w:rsid w:val="74DB3ADA"/>
    <w:rsid w:val="750C5555"/>
    <w:rsid w:val="75222256"/>
    <w:rsid w:val="753658E9"/>
    <w:rsid w:val="753E3195"/>
    <w:rsid w:val="755A5B60"/>
    <w:rsid w:val="75635BF6"/>
    <w:rsid w:val="75E43528"/>
    <w:rsid w:val="75FA0FD5"/>
    <w:rsid w:val="760A3DFC"/>
    <w:rsid w:val="761756AB"/>
    <w:rsid w:val="763E0E8A"/>
    <w:rsid w:val="765476A8"/>
    <w:rsid w:val="765F1C20"/>
    <w:rsid w:val="7697136B"/>
    <w:rsid w:val="76A915B1"/>
    <w:rsid w:val="76B00853"/>
    <w:rsid w:val="76FE7477"/>
    <w:rsid w:val="771959B1"/>
    <w:rsid w:val="77211DF4"/>
    <w:rsid w:val="77282CE7"/>
    <w:rsid w:val="772C162A"/>
    <w:rsid w:val="7739648C"/>
    <w:rsid w:val="77422E8C"/>
    <w:rsid w:val="77851BE3"/>
    <w:rsid w:val="77C57893"/>
    <w:rsid w:val="77FF5B47"/>
    <w:rsid w:val="78255B9D"/>
    <w:rsid w:val="78421573"/>
    <w:rsid w:val="78575210"/>
    <w:rsid w:val="78AD5880"/>
    <w:rsid w:val="78B14A5C"/>
    <w:rsid w:val="78C4478F"/>
    <w:rsid w:val="79035281"/>
    <w:rsid w:val="790A6638"/>
    <w:rsid w:val="791C5D24"/>
    <w:rsid w:val="79633672"/>
    <w:rsid w:val="79667B82"/>
    <w:rsid w:val="798D2931"/>
    <w:rsid w:val="79906F9A"/>
    <w:rsid w:val="79E248CC"/>
    <w:rsid w:val="79FE54CC"/>
    <w:rsid w:val="7A3E2FF8"/>
    <w:rsid w:val="7A641E64"/>
    <w:rsid w:val="7A6655B0"/>
    <w:rsid w:val="7A704015"/>
    <w:rsid w:val="7A811927"/>
    <w:rsid w:val="7A8F29DE"/>
    <w:rsid w:val="7AAA399E"/>
    <w:rsid w:val="7AD4029D"/>
    <w:rsid w:val="7AE9338D"/>
    <w:rsid w:val="7AF06723"/>
    <w:rsid w:val="7B3304EA"/>
    <w:rsid w:val="7B51340D"/>
    <w:rsid w:val="7BA8634B"/>
    <w:rsid w:val="7BE539FA"/>
    <w:rsid w:val="7C0D094B"/>
    <w:rsid w:val="7C0D624E"/>
    <w:rsid w:val="7C517F42"/>
    <w:rsid w:val="7C532DD4"/>
    <w:rsid w:val="7C5E4034"/>
    <w:rsid w:val="7C823750"/>
    <w:rsid w:val="7CC33656"/>
    <w:rsid w:val="7CC34068"/>
    <w:rsid w:val="7CD800C5"/>
    <w:rsid w:val="7CE75161"/>
    <w:rsid w:val="7CEE2E08"/>
    <w:rsid w:val="7D0A79AE"/>
    <w:rsid w:val="7D11554A"/>
    <w:rsid w:val="7D32101D"/>
    <w:rsid w:val="7DD10F1F"/>
    <w:rsid w:val="7E2C2491"/>
    <w:rsid w:val="7E9F22F8"/>
    <w:rsid w:val="7E9F6495"/>
    <w:rsid w:val="7EBB5F5B"/>
    <w:rsid w:val="7EDB3D9B"/>
    <w:rsid w:val="7EF97EFE"/>
    <w:rsid w:val="7F1029E1"/>
    <w:rsid w:val="7F370CAE"/>
    <w:rsid w:val="7F5100A5"/>
    <w:rsid w:val="7F514BCE"/>
    <w:rsid w:val="7F5771C9"/>
    <w:rsid w:val="7F845C03"/>
    <w:rsid w:val="7FDA3C0A"/>
    <w:rsid w:val="7FF95A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numPr>
        <w:ilvl w:val="1"/>
        <w:numId w:val="1"/>
      </w:numPr>
      <w:spacing w:before="260" w:after="260" w:line="416" w:lineRule="auto"/>
      <w:outlineLvl w:val="1"/>
    </w:pPr>
    <w:rPr>
      <w:rFonts w:ascii="Arial" w:hAnsi="Arial"/>
      <w:b/>
      <w:bCs/>
      <w:sz w:val="30"/>
      <w:szCs w:val="32"/>
    </w:rPr>
  </w:style>
  <w:style w:type="paragraph" w:styleId="5">
    <w:name w:val="heading 3"/>
    <w:basedOn w:val="1"/>
    <w:next w:val="1"/>
    <w:qFormat/>
    <w:uiPriority w:val="0"/>
    <w:pPr>
      <w:keepNext/>
      <w:keepLines/>
      <w:spacing w:before="60" w:after="60" w:line="560" w:lineRule="exact"/>
      <w:outlineLvl w:val="2"/>
    </w:pPr>
    <w:rPr>
      <w:b/>
      <w:bCs/>
      <w:sz w:val="28"/>
      <w:szCs w:val="32"/>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6">
    <w:name w:val="Normal Indent"/>
    <w:basedOn w:val="1"/>
    <w:next w:val="3"/>
    <w:link w:val="28"/>
    <w:qFormat/>
    <w:uiPriority w:val="0"/>
    <w:pPr>
      <w:ind w:firstLine="420" w:firstLineChars="200"/>
    </w:pPr>
    <w:rPr>
      <w:rFonts w:asciiTheme="minorHAnsi" w:hAnsiTheme="minorHAnsi" w:eastAsiaTheme="minorEastAsia" w:cstheme="minorBidi"/>
      <w:szCs w:val="22"/>
    </w:rPr>
  </w:style>
  <w:style w:type="paragraph" w:styleId="7">
    <w:name w:val="Body Text"/>
    <w:basedOn w:val="1"/>
    <w:link w:val="29"/>
    <w:autoRedefine/>
    <w:qFormat/>
    <w:uiPriority w:val="0"/>
    <w:pPr>
      <w:spacing w:after="120"/>
    </w:pPr>
  </w:style>
  <w:style w:type="paragraph" w:styleId="8">
    <w:name w:val="Plain Text"/>
    <w:basedOn w:val="1"/>
    <w:autoRedefine/>
    <w:qFormat/>
    <w:uiPriority w:val="0"/>
    <w:rPr>
      <w:rFonts w:ascii="宋体" w:hAnsi="Courier New" w:cs="Courier New"/>
      <w:szCs w:val="21"/>
    </w:rPr>
  </w:style>
  <w:style w:type="paragraph" w:styleId="9">
    <w:name w:val="Balloon Text"/>
    <w:basedOn w:val="1"/>
    <w:link w:val="25"/>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pPr>
      <w:jc w:val="left"/>
    </w:pPr>
    <w:rPr>
      <w:rFonts w:ascii="等线"/>
      <w:b/>
      <w:bCs/>
      <w:caps/>
      <w:szCs w:val="20"/>
    </w:rPr>
  </w:style>
  <w:style w:type="paragraph" w:styleId="13">
    <w:name w:val="toc 2"/>
    <w:basedOn w:val="1"/>
    <w:next w:val="1"/>
    <w:autoRedefine/>
    <w:qFormat/>
    <w:uiPriority w:val="39"/>
    <w:pPr>
      <w:ind w:left="200" w:leftChars="200"/>
      <w:jc w:val="left"/>
    </w:pPr>
    <w:rPr>
      <w:rFonts w:ascii="等线"/>
      <w:smallCaps/>
      <w:szCs w:val="20"/>
    </w:rPr>
  </w:style>
  <w:style w:type="paragraph" w:styleId="14">
    <w:name w:val="Body Text 2"/>
    <w:basedOn w:val="1"/>
    <w:autoRedefine/>
    <w:qFormat/>
    <w:uiPriority w:val="0"/>
    <w:rPr>
      <w:rFonts w:ascii="宋体"/>
      <w:spacing w:val="6"/>
      <w:kern w:val="0"/>
      <w:position w:val="10"/>
      <w:sz w:val="28"/>
    </w:rPr>
  </w:style>
  <w:style w:type="paragraph" w:styleId="15">
    <w:name w:val="Normal (Web)"/>
    <w:basedOn w:val="1"/>
    <w:autoRedefine/>
    <w:unhideWhenUsed/>
    <w:qFormat/>
    <w:uiPriority w:val="99"/>
    <w:pPr>
      <w:widowControl/>
      <w:spacing w:before="100" w:beforeAutospacing="1" w:after="100" w:afterAutospacing="1"/>
      <w:jc w:val="left"/>
    </w:pPr>
    <w:rPr>
      <w:rFonts w:hAnsi="宋体" w:cs="宋体"/>
      <w:kern w:val="0"/>
      <w:sz w:val="24"/>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autoRedefine/>
    <w:qFormat/>
    <w:uiPriority w:val="99"/>
    <w:rPr>
      <w:color w:val="136EC2"/>
      <w:u w:val="single"/>
    </w:rPr>
  </w:style>
  <w:style w:type="paragraph" w:customStyle="1" w:styleId="20">
    <w:name w:val="xl63"/>
    <w:basedOn w:val="1"/>
    <w:autoRedefine/>
    <w:qFormat/>
    <w:uiPriority w:val="0"/>
    <w:pPr>
      <w:widowControl/>
      <w:spacing w:before="100" w:beforeAutospacing="1" w:after="100" w:afterAutospacing="1"/>
      <w:jc w:val="center"/>
    </w:pPr>
    <w:rPr>
      <w:rFonts w:ascii="Arial Unicode MS" w:hAnsi="Arial Unicode MS" w:eastAsia="Arial Unicode MS" w:cs="Arial Unicode MS"/>
      <w:b/>
      <w:bCs/>
      <w:kern w:val="0"/>
      <w:sz w:val="36"/>
      <w:szCs w:val="36"/>
    </w:rPr>
  </w:style>
  <w:style w:type="paragraph" w:customStyle="1" w:styleId="21">
    <w:name w:val="3"/>
    <w:basedOn w:val="1"/>
    <w:next w:val="6"/>
    <w:autoRedefine/>
    <w:qFormat/>
    <w:uiPriority w:val="0"/>
    <w:rPr>
      <w:rFonts w:ascii="Book Antiqua" w:hAnsi="Book Antiqua"/>
      <w:kern w:val="0"/>
    </w:rPr>
  </w:style>
  <w:style w:type="paragraph" w:customStyle="1" w:styleId="22">
    <w:name w:val="2"/>
    <w:basedOn w:val="1"/>
    <w:next w:val="15"/>
    <w:autoRedefine/>
    <w:qFormat/>
    <w:uiPriority w:val="0"/>
    <w:pPr>
      <w:widowControl/>
      <w:spacing w:before="100" w:beforeAutospacing="1" w:after="100" w:afterAutospacing="1"/>
      <w:ind w:firstLine="480"/>
      <w:jc w:val="left"/>
    </w:pPr>
    <w:rPr>
      <w:rFonts w:ascii="宋体" w:hAnsi="宋体"/>
      <w:kern w:val="0"/>
      <w:sz w:val="24"/>
    </w:rPr>
  </w:style>
  <w:style w:type="paragraph" w:customStyle="1" w:styleId="23">
    <w:name w:val="目录"/>
    <w:basedOn w:val="12"/>
    <w:autoRedefine/>
    <w:qFormat/>
    <w:uiPriority w:val="0"/>
    <w:pPr>
      <w:tabs>
        <w:tab w:val="right" w:leader="dot" w:pos="8296"/>
      </w:tabs>
    </w:pPr>
    <w:rPr>
      <w:rFonts w:ascii="仿宋" w:hAnsi="仿宋"/>
      <w:b w:val="0"/>
      <w:bCs w:val="0"/>
      <w:caps w:val="0"/>
      <w:color w:val="000000"/>
      <w:szCs w:val="28"/>
    </w:rPr>
  </w:style>
  <w:style w:type="paragraph" w:customStyle="1" w:styleId="24">
    <w:name w:val="封面2"/>
    <w:basedOn w:val="1"/>
    <w:autoRedefine/>
    <w:qFormat/>
    <w:uiPriority w:val="0"/>
    <w:pPr>
      <w:jc w:val="center"/>
    </w:pPr>
    <w:rPr>
      <w:rFonts w:ascii="黑体" w:hAnsi="黑体" w:eastAsia="黑体" w:cs="宋体"/>
      <w:sz w:val="36"/>
      <w:szCs w:val="20"/>
    </w:rPr>
  </w:style>
  <w:style w:type="character" w:customStyle="1" w:styleId="25">
    <w:name w:val="批注框文本 Char"/>
    <w:basedOn w:val="18"/>
    <w:link w:val="9"/>
    <w:autoRedefine/>
    <w:qFormat/>
    <w:uiPriority w:val="0"/>
    <w:rPr>
      <w:rFonts w:ascii="Times New Roman" w:hAnsi="Times New Roman" w:eastAsia="宋体" w:cs="Times New Roman"/>
      <w:kern w:val="2"/>
      <w:sz w:val="18"/>
      <w:szCs w:val="18"/>
    </w:rPr>
  </w:style>
  <w:style w:type="paragraph" w:styleId="26">
    <w:name w:val="List Paragraph"/>
    <w:basedOn w:val="1"/>
    <w:autoRedefine/>
    <w:unhideWhenUsed/>
    <w:qFormat/>
    <w:uiPriority w:val="99"/>
    <w:pPr>
      <w:ind w:firstLine="420" w:firstLineChars="200"/>
    </w:pPr>
  </w:style>
  <w:style w:type="paragraph" w:customStyle="1" w:styleId="27">
    <w:name w:val="表格"/>
    <w:basedOn w:val="1"/>
    <w:autoRedefine/>
    <w:qFormat/>
    <w:uiPriority w:val="0"/>
    <w:pPr>
      <w:widowControl/>
      <w:jc w:val="center"/>
    </w:pPr>
    <w:rPr>
      <w:rFonts w:cs="宋体"/>
      <w:kern w:val="0"/>
    </w:rPr>
  </w:style>
  <w:style w:type="character" w:customStyle="1" w:styleId="28">
    <w:name w:val="正文缩进 Char"/>
    <w:link w:val="6"/>
    <w:autoRedefine/>
    <w:qFormat/>
    <w:uiPriority w:val="0"/>
    <w:rPr>
      <w:rFonts w:asciiTheme="minorHAnsi" w:hAnsiTheme="minorHAnsi" w:eastAsiaTheme="minorEastAsia" w:cstheme="minorBidi"/>
      <w:kern w:val="2"/>
      <w:sz w:val="21"/>
      <w:szCs w:val="22"/>
    </w:rPr>
  </w:style>
  <w:style w:type="character" w:customStyle="1" w:styleId="29">
    <w:name w:val="正文文本 Char"/>
    <w:basedOn w:val="18"/>
    <w:link w:val="7"/>
    <w:autoRedefine/>
    <w:qFormat/>
    <w:uiPriority w:val="0"/>
    <w:rPr>
      <w:rFonts w:ascii="Times New Roman" w:hAnsi="Times New Roman"/>
      <w:kern w:val="2"/>
      <w:sz w:val="21"/>
      <w:szCs w:val="24"/>
    </w:rPr>
  </w:style>
  <w:style w:type="paragraph" w:customStyle="1" w:styleId="3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设计正文"/>
    <w:basedOn w:val="1"/>
    <w:qFormat/>
    <w:uiPriority w:val="0"/>
    <w:pPr>
      <w:adjustRightInd w:val="0"/>
      <w:spacing w:line="360" w:lineRule="auto"/>
      <w:ind w:firstLine="200" w:firstLineChars="200"/>
      <w:textAlignment w:val="baseline"/>
    </w:pPr>
    <w:rPr>
      <w:kern w:val="0"/>
      <w:sz w:val="24"/>
      <w:szCs w:val="20"/>
    </w:rPr>
  </w:style>
  <w:style w:type="paragraph" w:customStyle="1" w:styleId="32">
    <w:name w:val="表头"/>
    <w:basedOn w:val="1"/>
    <w:qFormat/>
    <w:uiPriority w:val="99"/>
    <w:pPr>
      <w:adjustRightInd/>
      <w:snapToGrid/>
      <w:spacing w:line="360" w:lineRule="auto"/>
      <w:ind w:firstLine="0"/>
      <w:jc w:val="center"/>
      <w:textAlignment w:val="auto"/>
    </w:pPr>
    <w:rPr>
      <w:rFonts w:ascii="Times New Roman" w:eastAsia="仿宋_GB2312"/>
      <w:b/>
      <w:spacing w:val="6"/>
      <w:kern w:val="28"/>
      <w:sz w:val="28"/>
    </w:rPr>
  </w:style>
  <w:style w:type="paragraph" w:customStyle="1" w:styleId="33">
    <w:name w:val="样式1"/>
    <w:basedOn w:val="1"/>
    <w:qFormat/>
    <w:uiPriority w:val="99"/>
    <w:pPr>
      <w:adjustRightInd/>
      <w:snapToGrid/>
      <w:spacing w:line="240" w:lineRule="auto"/>
      <w:ind w:firstLine="480"/>
      <w:jc w:val="both"/>
      <w:textAlignment w:val="auto"/>
    </w:pPr>
    <w:rPr>
      <w:rFonts w:ascii="仿宋_GB2312" w:eastAsia="仿宋_GB2312"/>
      <w:b/>
      <w:snapToGrid/>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8456</Words>
  <Characters>10413</Characters>
  <Lines>98</Lines>
  <Paragraphs>27</Paragraphs>
  <TotalTime>9</TotalTime>
  <ScaleCrop>false</ScaleCrop>
  <LinksUpToDate>false</LinksUpToDate>
  <CharactersWithSpaces>10482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2020-11-25T14:20:00Z</dcterms:created>
  <dc:creator>Administrator</dc:creator>
  <cp:lastModifiedBy>千里之行始于足下足下足下足下</cp:lastModifiedBy>
  <cp:lastPrinted>2021-08-09T07:20:00Z</cp:lastPrinted>
  <dcterms:modified xsi:type="dcterms:W3CDTF">2024-06-03T08:13:09Z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92223A803E564E7FBD7F125E15F76768</vt:lpwstr>
  </property>
</Properties>
</file>