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bookmarkStart w:id="100" w:name="_GoBack"/>
    </w:p>
    <w:p w14:paraId="7BE71BBD">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p>
    <w:p w14:paraId="42407254">
      <w:pPr>
        <w:jc w:val="center"/>
        <w:rPr>
          <w:rFonts w:ascii="黑体" w:hAnsi="宋体" w:eastAsia="黑体" w:cs="宋体"/>
          <w:b/>
          <w:color w:val="000000" w:themeColor="text1"/>
          <w:kern w:val="0"/>
          <w:sz w:val="15"/>
          <w:szCs w:val="15"/>
          <w:highlight w:val="none"/>
          <w14:textFill>
            <w14:solidFill>
              <w14:schemeClr w14:val="tx1"/>
            </w14:solidFill>
          </w14:textFill>
        </w:rPr>
      </w:pPr>
    </w:p>
    <w:p w14:paraId="32265E62">
      <w:pPr>
        <w:jc w:val="center"/>
        <w:rPr>
          <w:rFonts w:ascii="黑体" w:hAnsi="宋体" w:eastAsia="黑体" w:cs="宋体"/>
          <w:b/>
          <w:color w:val="000000" w:themeColor="text1"/>
          <w:kern w:val="0"/>
          <w:sz w:val="15"/>
          <w:szCs w:val="15"/>
          <w:highlight w:val="none"/>
          <w14:textFill>
            <w14:solidFill>
              <w14:schemeClr w14:val="tx1"/>
            </w14:solidFill>
          </w14:textFill>
        </w:rPr>
      </w:pPr>
    </w:p>
    <w:p w14:paraId="4750EC9B">
      <w:pPr>
        <w:jc w:val="center"/>
        <w:outlineLvl w:val="0"/>
        <w:rPr>
          <w:rFonts w:hint="eastAsia" w:ascii="微软雅黑" w:hAnsi="微软雅黑" w:eastAsia="微软雅黑" w:cs="微软雅黑"/>
          <w:b/>
          <w:color w:val="000000" w:themeColor="text1"/>
          <w:spacing w:val="-6"/>
          <w:sz w:val="44"/>
          <w:szCs w:val="44"/>
          <w:highlight w:val="none"/>
          <w14:textFill>
            <w14:solidFill>
              <w14:schemeClr w14:val="tx1"/>
            </w14:solidFill>
          </w14:textFill>
        </w:rPr>
      </w:pPr>
      <w:bookmarkStart w:id="0" w:name="_Toc4338"/>
      <w:r>
        <w:rPr>
          <w:rFonts w:hint="eastAsia" w:ascii="微软雅黑" w:hAnsi="微软雅黑" w:eastAsia="微软雅黑" w:cs="微软雅黑"/>
          <w:b/>
          <w:color w:val="000000" w:themeColor="text1"/>
          <w:spacing w:val="-6"/>
          <w:sz w:val="44"/>
          <w:szCs w:val="44"/>
          <w:highlight w:val="none"/>
          <w:lang w:eastAsia="zh-CN"/>
          <w14:textFill>
            <w14:solidFill>
              <w14:schemeClr w14:val="tx1"/>
            </w14:solidFill>
          </w14:textFill>
        </w:rPr>
        <w:t>长春市宽城区医院异地建设项目立体停车位采购与安装</w:t>
      </w:r>
      <w:bookmarkEnd w:id="0"/>
    </w:p>
    <w:p w14:paraId="04C00465">
      <w:pPr>
        <w:jc w:val="center"/>
        <w:rPr>
          <w:rFonts w:ascii="黑体" w:eastAsia="黑体"/>
          <w:b/>
          <w:bCs/>
          <w:color w:val="000000" w:themeColor="text1"/>
          <w:sz w:val="100"/>
          <w:szCs w:val="100"/>
          <w:highlight w:val="none"/>
          <w14:textFill>
            <w14:solidFill>
              <w14:schemeClr w14:val="tx1"/>
            </w14:solidFill>
          </w14:textFill>
        </w:rPr>
      </w:pPr>
    </w:p>
    <w:p w14:paraId="2FB6FE23">
      <w:pPr>
        <w:jc w:val="center"/>
        <w:outlineLvl w:val="0"/>
        <w:rPr>
          <w:rFonts w:ascii="黑体" w:eastAsia="黑体"/>
          <w:b/>
          <w:bCs/>
          <w:color w:val="000000" w:themeColor="text1"/>
          <w:sz w:val="96"/>
          <w:szCs w:val="96"/>
          <w:highlight w:val="none"/>
          <w14:textFill>
            <w14:solidFill>
              <w14:schemeClr w14:val="tx1"/>
            </w14:solidFill>
          </w14:textFill>
        </w:rPr>
      </w:pPr>
      <w:bookmarkStart w:id="1" w:name="_Toc10358"/>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1"/>
    </w:p>
    <w:p w14:paraId="0A0FC067">
      <w:pPr>
        <w:adjustRightInd w:val="0"/>
        <w:spacing w:line="360" w:lineRule="auto"/>
        <w:jc w:val="center"/>
        <w:rPr>
          <w:rFonts w:ascii="黑体" w:hAnsi="宋体" w:eastAsia="黑体" w:cs="宋体"/>
          <w:b/>
          <w:color w:val="000000" w:themeColor="text1"/>
          <w:sz w:val="32"/>
          <w:szCs w:val="32"/>
          <w:highlight w:val="none"/>
          <w14:textFill>
            <w14:solidFill>
              <w14:schemeClr w14:val="tx1"/>
            </w14:solidFill>
          </w14:textFill>
        </w:rPr>
      </w:pPr>
    </w:p>
    <w:p w14:paraId="6E66CBF0">
      <w:pPr>
        <w:spacing w:afterLines="100" w:line="480" w:lineRule="auto"/>
        <w:jc w:val="center"/>
        <w:outlineLvl w:val="0"/>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2" w:name="_Toc19276"/>
      <w:r>
        <w:rPr>
          <w:rFonts w:hint="eastAsia" w:ascii="黑体" w:hAnsi="宋体" w:eastAsia="黑体"/>
          <w:b/>
          <w:color w:val="000000" w:themeColor="text1"/>
          <w:sz w:val="32"/>
          <w:szCs w:val="32"/>
          <w:highlight w:val="none"/>
          <w:lang w:val="zh-CN" w:eastAsia="zh-CN"/>
          <w14:textFill>
            <w14:solidFill>
              <w14:schemeClr w14:val="tx1"/>
            </w14:solidFill>
          </w14:textFill>
        </w:rPr>
        <w:t>项目编号：2024106</w:t>
      </w:r>
      <w:bookmarkEnd w:id="2"/>
    </w:p>
    <w:p w14:paraId="09409490">
      <w:pPr>
        <w:adjustRightInd w:val="0"/>
        <w:spacing w:line="360" w:lineRule="auto"/>
        <w:jc w:val="center"/>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4E32F4E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17478B01">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FFD77E0">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1D7ABA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08F2F4DC">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63FA3210">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3" w:name="_Toc29332"/>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r>
        <w:rPr>
          <w:rFonts w:hint="eastAsia" w:ascii="黑体" w:hAnsi="宋体" w:eastAsia="黑体"/>
          <w:b/>
          <w:color w:val="000000" w:themeColor="text1"/>
          <w:sz w:val="32"/>
          <w:szCs w:val="32"/>
          <w:highlight w:val="none"/>
          <w:lang w:val="en-US" w:eastAsia="zh-CN"/>
          <w14:textFill>
            <w14:solidFill>
              <w14:schemeClr w14:val="tx1"/>
            </w14:solidFill>
          </w14:textFill>
        </w:rPr>
        <w:t>长春宽城经济开发区管理委员会</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3"/>
    </w:p>
    <w:p w14:paraId="4FB07E3E">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4" w:name="_Toc10641"/>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采购代理机构：吉林省百顺工程管理有限公司</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4"/>
    </w:p>
    <w:p w14:paraId="5EE89CCD">
      <w:pPr>
        <w:spacing w:afterLines="100" w:line="480" w:lineRule="auto"/>
        <w:jc w:val="center"/>
        <w:outlineLvl w:val="0"/>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5" w:name="_Toc10637"/>
      <w:r>
        <w:rPr>
          <w:rFonts w:hint="eastAsia" w:ascii="黑体" w:hAnsi="宋体" w:eastAsia="黑体"/>
          <w:b/>
          <w:color w:val="000000" w:themeColor="text1"/>
          <w:sz w:val="32"/>
          <w:szCs w:val="32"/>
          <w:highlight w:val="none"/>
          <w:lang w:val="en-US" w:eastAsia="zh-CN"/>
          <w14:textFill>
            <w14:solidFill>
              <w14:schemeClr w14:val="tx1"/>
            </w14:solidFill>
          </w14:textFill>
        </w:rPr>
        <w:t>日        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四</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十一</w:t>
      </w:r>
      <w:r>
        <w:rPr>
          <w:rFonts w:hint="eastAsia" w:ascii="黑体" w:hAnsi="宋体" w:eastAsia="黑体"/>
          <w:b/>
          <w:bCs/>
          <w:color w:val="000000" w:themeColor="text1"/>
          <w:sz w:val="32"/>
          <w:szCs w:val="32"/>
          <w:highlight w:val="none"/>
          <w14:textFill>
            <w14:solidFill>
              <w14:schemeClr w14:val="tx1"/>
            </w14:solidFill>
          </w14:textFill>
        </w:rPr>
        <w:t>月</w:t>
      </w:r>
      <w:bookmarkEnd w:id="5"/>
    </w:p>
    <w:p w14:paraId="769DEEE3">
      <w:pPr>
        <w:spacing w:afterLines="100" w:line="480" w:lineRule="auto"/>
        <w:jc w:val="center"/>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sdt>
      <w:sdtPr>
        <w:rPr>
          <w:rFonts w:ascii="宋体" w:hAnsi="宋体" w:eastAsia="宋体" w:cs="Times New Roman"/>
          <w:b/>
          <w:bCs/>
          <w:color w:val="000000" w:themeColor="text1"/>
          <w:kern w:val="2"/>
          <w:sz w:val="44"/>
          <w:szCs w:val="44"/>
          <w:highlight w:val="none"/>
          <w:lang w:val="en-US" w:eastAsia="zh-CN" w:bidi="ar-SA"/>
          <w14:textFill>
            <w14:solidFill>
              <w14:schemeClr w14:val="tx1"/>
            </w14:solidFill>
          </w14:textFill>
        </w:rPr>
        <w:id w:val="147469039"/>
        <w15:color w:val="DBDBDB"/>
        <w:docPartObj>
          <w:docPartGallery w:val="Table of Contents"/>
          <w:docPartUnique/>
        </w:docPartObj>
      </w:sdtPr>
      <w:sdtEndPr>
        <w:rPr>
          <w:rFonts w:ascii="宋体" w:hAnsi="宋体" w:eastAsia="宋体" w:cs="Times New Roman"/>
          <w:b/>
          <w:bCs/>
          <w:color w:val="000000" w:themeColor="text1"/>
          <w:kern w:val="2"/>
          <w:sz w:val="21"/>
          <w:szCs w:val="48"/>
          <w:highlight w:val="none"/>
          <w:lang w:val="en-US" w:eastAsia="zh-CN" w:bidi="ar-SA"/>
          <w14:textFill>
            <w14:solidFill>
              <w14:schemeClr w14:val="tx1"/>
            </w14:solidFill>
          </w14:textFill>
        </w:rPr>
      </w:sdtEndPr>
      <w:sdtContent>
        <w:p w14:paraId="71B069BB">
          <w:pPr>
            <w:spacing w:before="0" w:beforeLines="0" w:after="0" w:afterLines="0" w:line="240" w:lineRule="auto"/>
            <w:ind w:left="0" w:leftChars="0" w:right="0" w:rightChars="0" w:firstLine="0" w:firstLineChars="0"/>
            <w:jc w:val="center"/>
            <w:rPr>
              <w:b/>
              <w:bCs/>
              <w:color w:val="000000" w:themeColor="text1"/>
              <w:sz w:val="44"/>
              <w:szCs w:val="44"/>
              <w:highlight w:val="none"/>
              <w14:textFill>
                <w14:solidFill>
                  <w14:schemeClr w14:val="tx1"/>
                </w14:solidFill>
              </w14:textFill>
            </w:rPr>
          </w:pPr>
          <w:r>
            <w:rPr>
              <w:rFonts w:ascii="宋体" w:hAnsi="宋体" w:eastAsia="宋体"/>
              <w:b/>
              <w:bCs/>
              <w:color w:val="000000" w:themeColor="text1"/>
              <w:sz w:val="44"/>
              <w:szCs w:val="44"/>
              <w:highlight w:val="none"/>
              <w14:textFill>
                <w14:solidFill>
                  <w14:schemeClr w14:val="tx1"/>
                </w14:solidFill>
              </w14:textFill>
            </w:rPr>
            <w:t>目录</w:t>
          </w:r>
        </w:p>
        <w:p w14:paraId="02905C21">
          <w:pPr>
            <w:pStyle w:val="115"/>
            <w:tabs>
              <w:tab w:val="right" w:leader="dot" w:pos="9638"/>
            </w:tabs>
            <w:rPr>
              <w:color w:val="000000" w:themeColor="text1"/>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fldChar w:fldCharType="begin"/>
          </w:r>
          <w:r>
            <w:rPr>
              <w:rFonts w:ascii="宋体" w:hAnsi="宋体"/>
              <w:color w:val="000000" w:themeColor="text1"/>
              <w:sz w:val="48"/>
              <w:szCs w:val="48"/>
              <w:highlight w:val="none"/>
              <w14:textFill>
                <w14:solidFill>
                  <w14:schemeClr w14:val="tx1"/>
                </w14:solidFill>
              </w14:textFill>
            </w:rPr>
            <w:instrText xml:space="preserve">TOC \o "1-1" \h \u </w:instrText>
          </w:r>
          <w:r>
            <w:rPr>
              <w:rFonts w:ascii="宋体" w:hAnsi="宋体"/>
              <w:color w:val="000000" w:themeColor="text1"/>
              <w:sz w:val="48"/>
              <w:szCs w:val="48"/>
              <w:highlight w:val="none"/>
              <w14:textFill>
                <w14:solidFill>
                  <w14:schemeClr w14:val="tx1"/>
                </w14:solidFill>
              </w14:textFill>
            </w:rPr>
            <w:fldChar w:fldCharType="separate"/>
          </w:r>
        </w:p>
        <w:p w14:paraId="260CA4E3">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_Toc30832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b/>
              <w:bCs/>
              <w:color w:val="000000" w:themeColor="text1"/>
              <w:sz w:val="28"/>
              <w:szCs w:val="28"/>
              <w:highlight w:val="none"/>
              <w14:textFill>
                <w14:solidFill>
                  <w14:schemeClr w14:val="tx1"/>
                </w14:solidFill>
              </w14:textFill>
            </w:rPr>
            <w:t xml:space="preserve">第一章 </w:t>
          </w:r>
          <w:r>
            <w:rPr>
              <w:rFonts w:hint="eastAsia"/>
              <w:b/>
              <w:bCs/>
              <w:color w:val="000000" w:themeColor="text1"/>
              <w:sz w:val="28"/>
              <w:szCs w:val="28"/>
              <w:highlight w:val="none"/>
              <w:lang w:eastAsia="zh-CN"/>
              <w14:textFill>
                <w14:solidFill>
                  <w14:schemeClr w14:val="tx1"/>
                </w14:solidFill>
              </w14:textFill>
            </w:rPr>
            <w:t>竞争性磋商</w:t>
          </w:r>
          <w:r>
            <w:rPr>
              <w:rFonts w:hint="eastAsia"/>
              <w:b/>
              <w:bCs/>
              <w:color w:val="000000" w:themeColor="text1"/>
              <w:sz w:val="28"/>
              <w:szCs w:val="28"/>
              <w:highlight w:val="none"/>
              <w14:textFill>
                <w14:solidFill>
                  <w14:schemeClr w14:val="tx1"/>
                </w14:solidFill>
              </w14:textFill>
            </w:rPr>
            <w:t>公告</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_Toc30832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67E34C0E">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_Toc9784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 xml:space="preserve">第二章 </w:t>
          </w:r>
          <w:r>
            <w:rPr>
              <w:rFonts w:hint="eastAsia" w:eastAsia="宋体"/>
              <w:b/>
              <w:bCs/>
              <w:color w:val="000000" w:themeColor="text1"/>
              <w:sz w:val="28"/>
              <w:szCs w:val="28"/>
              <w:highlight w:val="none"/>
              <w:lang w:val="en-US" w:eastAsia="zh-CN"/>
              <w14:textFill>
                <w14:solidFill>
                  <w14:schemeClr w14:val="tx1"/>
                </w14:solidFill>
              </w14:textFill>
            </w:rPr>
            <w:t>供应商须知</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_Toc9784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5</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69423103">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_Toc30908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 xml:space="preserve">第三章 </w:t>
          </w:r>
          <w:r>
            <w:rPr>
              <w:rFonts w:hint="eastAsia" w:eastAsia="宋体"/>
              <w:b/>
              <w:bCs/>
              <w:color w:val="000000" w:themeColor="text1"/>
              <w:sz w:val="28"/>
              <w:szCs w:val="28"/>
              <w:highlight w:val="none"/>
              <w:lang w:val="en-US" w:eastAsia="zh-CN"/>
              <w14:textFill>
                <w14:solidFill>
                  <w14:schemeClr w14:val="tx1"/>
                </w14:solidFill>
              </w14:textFill>
            </w:rPr>
            <w:t>评审办法（综合评分法）</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_Toc30908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23</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48A03B96">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_Toc5702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b/>
              <w:bCs/>
              <w:color w:val="000000" w:themeColor="text1"/>
              <w:sz w:val="28"/>
              <w:szCs w:val="28"/>
              <w:highlight w:val="none"/>
              <w:lang w:val="en-US" w:eastAsia="zh-CN"/>
              <w14:textFill>
                <w14:solidFill>
                  <w14:schemeClr w14:val="tx1"/>
                </w14:solidFill>
              </w14:textFill>
            </w:rPr>
            <w:t>第四章 合同条款及格式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_Toc5702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31</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61EEF958">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_Toc32019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eastAsia="宋体"/>
              <w:b/>
              <w:bCs/>
              <w:color w:val="000000" w:themeColor="text1"/>
              <w:sz w:val="28"/>
              <w:szCs w:val="28"/>
              <w:highlight w:val="none"/>
              <w:lang w:val="en-US" w:eastAsia="zh-CN"/>
              <w14:textFill>
                <w14:solidFill>
                  <w14:schemeClr w14:val="tx1"/>
                </w14:solidFill>
              </w14:textFill>
            </w:rPr>
            <w:t>第五章 采购需求</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_Toc32019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36</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27D5FF64">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 HYPERLINK \l _Toc589 </w:instrText>
          </w:r>
          <w:r>
            <w:rPr>
              <w:rFonts w:ascii="宋体" w:hAnsi="宋体"/>
              <w:b/>
              <w:bCs/>
              <w:color w:val="000000" w:themeColor="text1"/>
              <w:sz w:val="28"/>
              <w:szCs w:val="28"/>
              <w:highlight w:val="none"/>
              <w14:textFill>
                <w14:solidFill>
                  <w14:schemeClr w14:val="tx1"/>
                </w14:solidFill>
              </w14:textFill>
            </w:rPr>
            <w:fldChar w:fldCharType="separate"/>
          </w:r>
          <w:r>
            <w:rPr>
              <w:rFonts w:hint="eastAsia"/>
              <w:b/>
              <w:bCs/>
              <w:color w:val="000000" w:themeColor="text1"/>
              <w:sz w:val="28"/>
              <w:szCs w:val="28"/>
              <w:highlight w:val="none"/>
              <w14:textFill>
                <w14:solidFill>
                  <w14:schemeClr w14:val="tx1"/>
                </w14:solidFill>
              </w14:textFill>
            </w:rPr>
            <w:t>第六章 响应文件格式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_Toc589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37</w:t>
          </w:r>
          <w:r>
            <w:rPr>
              <w:b/>
              <w:bCs/>
              <w:color w:val="000000" w:themeColor="text1"/>
              <w:sz w:val="28"/>
              <w:szCs w:val="28"/>
              <w:highlight w:val="none"/>
              <w14:textFill>
                <w14:solidFill>
                  <w14:schemeClr w14:val="tx1"/>
                </w14:solidFill>
              </w14:textFill>
            </w:rPr>
            <w:fldChar w:fldCharType="end"/>
          </w:r>
          <w:r>
            <w:rPr>
              <w:rFonts w:ascii="宋体" w:hAnsi="宋体"/>
              <w:b/>
              <w:bCs/>
              <w:color w:val="000000" w:themeColor="text1"/>
              <w:sz w:val="28"/>
              <w:szCs w:val="28"/>
              <w:highlight w:val="none"/>
              <w14:textFill>
                <w14:solidFill>
                  <w14:schemeClr w14:val="tx1"/>
                </w14:solidFill>
              </w14:textFill>
            </w:rPr>
            <w:fldChar w:fldCharType="end"/>
          </w:r>
        </w:p>
        <w:p w14:paraId="499483BA">
          <w:pPr>
            <w:jc w:val="center"/>
            <w:rPr>
              <w:rFonts w:ascii="宋体" w:hAnsi="宋体" w:eastAsia="宋体" w:cs="Times New Roman"/>
              <w:color w:val="000000" w:themeColor="text1"/>
              <w:kern w:val="2"/>
              <w:sz w:val="21"/>
              <w:szCs w:val="48"/>
              <w:highlight w:val="none"/>
              <w:lang w:val="en-US" w:eastAsia="zh-CN" w:bidi="ar-SA"/>
              <w14:textFill>
                <w14:solidFill>
                  <w14:schemeClr w14:val="tx1"/>
                </w14:solidFill>
              </w14:textFill>
            </w:rPr>
          </w:pPr>
          <w:r>
            <w:rPr>
              <w:rFonts w:ascii="宋体" w:hAnsi="宋体"/>
              <w:color w:val="000000" w:themeColor="text1"/>
              <w:szCs w:val="48"/>
              <w:highlight w:val="none"/>
              <w14:textFill>
                <w14:solidFill>
                  <w14:schemeClr w14:val="tx1"/>
                </w14:solidFill>
              </w14:textFill>
            </w:rPr>
            <w:fldChar w:fldCharType="end"/>
          </w:r>
        </w:p>
      </w:sdtContent>
    </w:sdt>
    <w:p w14:paraId="6F1E5E38">
      <w:pPr>
        <w:pStyle w:val="3"/>
        <w:rPr>
          <w:color w:val="000000" w:themeColor="text1"/>
          <w:highlight w:val="none"/>
          <w14:textFill>
            <w14:solidFill>
              <w14:schemeClr w14:val="tx1"/>
            </w14:solidFill>
          </w14:textFill>
        </w:rPr>
      </w:pPr>
    </w:p>
    <w:p w14:paraId="68BCB2D3">
      <w:pPr>
        <w:jc w:val="center"/>
        <w:rPr>
          <w:rFonts w:ascii="宋体" w:hAnsi="宋体"/>
          <w:color w:val="000000" w:themeColor="text1"/>
          <w:sz w:val="48"/>
          <w:szCs w:val="48"/>
          <w:highlight w:val="none"/>
          <w14:textFill>
            <w14:solidFill>
              <w14:schemeClr w14:val="tx1"/>
            </w14:solidFill>
          </w14:textFill>
        </w:rPr>
      </w:pPr>
    </w:p>
    <w:p w14:paraId="260E454D">
      <w:pPr>
        <w:jc w:val="center"/>
        <w:rPr>
          <w:rFonts w:ascii="宋体" w:hAnsi="宋体"/>
          <w:color w:val="000000" w:themeColor="text1"/>
          <w:sz w:val="48"/>
          <w:szCs w:val="48"/>
          <w:highlight w:val="none"/>
          <w14:textFill>
            <w14:solidFill>
              <w14:schemeClr w14:val="tx1"/>
            </w14:solidFill>
          </w14:textFill>
        </w:rPr>
      </w:pPr>
    </w:p>
    <w:p w14:paraId="7C5333A0">
      <w:pPr>
        <w:jc w:val="center"/>
        <w:rPr>
          <w:rFonts w:ascii="宋体" w:hAnsi="宋体"/>
          <w:color w:val="000000" w:themeColor="text1"/>
          <w:sz w:val="48"/>
          <w:szCs w:val="48"/>
          <w:highlight w:val="none"/>
          <w14:textFill>
            <w14:solidFill>
              <w14:schemeClr w14:val="tx1"/>
            </w14:solidFill>
          </w14:textFill>
        </w:rPr>
      </w:pPr>
    </w:p>
    <w:p w14:paraId="3DD55898">
      <w:pPr>
        <w:jc w:val="center"/>
        <w:rPr>
          <w:rFonts w:ascii="宋体" w:hAnsi="宋体"/>
          <w:color w:val="000000" w:themeColor="text1"/>
          <w:sz w:val="48"/>
          <w:szCs w:val="48"/>
          <w:highlight w:val="none"/>
          <w14:textFill>
            <w14:solidFill>
              <w14:schemeClr w14:val="tx1"/>
            </w14:solidFill>
          </w14:textFill>
        </w:rPr>
      </w:pPr>
    </w:p>
    <w:p w14:paraId="11909DE5">
      <w:pPr>
        <w:jc w:val="center"/>
        <w:rPr>
          <w:rFonts w:ascii="宋体" w:hAnsi="宋体"/>
          <w:color w:val="000000" w:themeColor="text1"/>
          <w:sz w:val="48"/>
          <w:szCs w:val="48"/>
          <w:highlight w:val="none"/>
          <w14:textFill>
            <w14:solidFill>
              <w14:schemeClr w14:val="tx1"/>
            </w14:solidFill>
          </w14:textFill>
        </w:rPr>
      </w:pPr>
    </w:p>
    <w:p w14:paraId="62D7FD95">
      <w:pPr>
        <w:jc w:val="center"/>
        <w:rPr>
          <w:rFonts w:ascii="宋体" w:hAnsi="宋体"/>
          <w:color w:val="000000" w:themeColor="text1"/>
          <w:sz w:val="48"/>
          <w:szCs w:val="48"/>
          <w:highlight w:val="none"/>
          <w14:textFill>
            <w14:solidFill>
              <w14:schemeClr w14:val="tx1"/>
            </w14:solidFill>
          </w14:textFill>
        </w:rPr>
      </w:pPr>
    </w:p>
    <w:p w14:paraId="5A013923">
      <w:pPr>
        <w:jc w:val="center"/>
        <w:rPr>
          <w:rFonts w:ascii="宋体" w:hAnsi="宋体"/>
          <w:color w:val="000000" w:themeColor="text1"/>
          <w:sz w:val="48"/>
          <w:szCs w:val="48"/>
          <w:highlight w:val="none"/>
          <w14:textFill>
            <w14:solidFill>
              <w14:schemeClr w14:val="tx1"/>
            </w14:solidFill>
          </w14:textFill>
        </w:rPr>
      </w:pPr>
    </w:p>
    <w:p w14:paraId="065E16DD">
      <w:pPr>
        <w:jc w:val="center"/>
        <w:rPr>
          <w:rFonts w:ascii="宋体" w:hAnsi="宋体"/>
          <w:color w:val="000000" w:themeColor="text1"/>
          <w:sz w:val="48"/>
          <w:szCs w:val="48"/>
          <w:highlight w:val="none"/>
          <w14:textFill>
            <w14:solidFill>
              <w14:schemeClr w14:val="tx1"/>
            </w14:solidFill>
          </w14:textFill>
        </w:rPr>
      </w:pPr>
    </w:p>
    <w:p w14:paraId="24C0887F">
      <w:pPr>
        <w:jc w:val="center"/>
        <w:rPr>
          <w:rFonts w:ascii="宋体" w:hAnsi="宋体"/>
          <w:color w:val="000000" w:themeColor="text1"/>
          <w:sz w:val="48"/>
          <w:szCs w:val="48"/>
          <w:highlight w:val="none"/>
          <w14:textFill>
            <w14:solidFill>
              <w14:schemeClr w14:val="tx1"/>
            </w14:solidFill>
          </w14:textFill>
        </w:rPr>
      </w:pPr>
    </w:p>
    <w:p w14:paraId="22567865">
      <w:pPr>
        <w:jc w:val="center"/>
        <w:rPr>
          <w:rFonts w:ascii="宋体" w:hAnsi="宋体"/>
          <w:color w:val="000000" w:themeColor="text1"/>
          <w:sz w:val="48"/>
          <w:szCs w:val="48"/>
          <w:highlight w:val="none"/>
          <w14:textFill>
            <w14:solidFill>
              <w14:schemeClr w14:val="tx1"/>
            </w14:solidFill>
          </w14:textFill>
        </w:rPr>
      </w:pPr>
    </w:p>
    <w:p w14:paraId="247E4E8E">
      <w:pPr>
        <w:jc w:val="center"/>
        <w:rPr>
          <w:rFonts w:ascii="宋体" w:hAnsi="宋体"/>
          <w:color w:val="000000" w:themeColor="text1"/>
          <w:sz w:val="48"/>
          <w:szCs w:val="48"/>
          <w:highlight w:val="none"/>
          <w14:textFill>
            <w14:solidFill>
              <w14:schemeClr w14:val="tx1"/>
            </w14:solidFill>
          </w14:textFill>
        </w:rPr>
      </w:pPr>
    </w:p>
    <w:p w14:paraId="4B12AC96">
      <w:pPr>
        <w:jc w:val="center"/>
        <w:rPr>
          <w:rFonts w:ascii="宋体" w:hAnsi="宋体"/>
          <w:color w:val="000000" w:themeColor="text1"/>
          <w:sz w:val="48"/>
          <w:szCs w:val="48"/>
          <w:highlight w:val="none"/>
          <w14:textFill>
            <w14:solidFill>
              <w14:schemeClr w14:val="tx1"/>
            </w14:solidFill>
          </w14:textFill>
        </w:rPr>
      </w:pPr>
    </w:p>
    <w:p w14:paraId="56224017">
      <w:pPr>
        <w:jc w:val="center"/>
        <w:rPr>
          <w:rFonts w:ascii="宋体" w:hAnsi="宋体"/>
          <w:color w:val="000000" w:themeColor="text1"/>
          <w:sz w:val="48"/>
          <w:szCs w:val="48"/>
          <w:highlight w:val="none"/>
          <w14:textFill>
            <w14:solidFill>
              <w14:schemeClr w14:val="tx1"/>
            </w14:solidFill>
          </w14:textFill>
        </w:rPr>
      </w:pPr>
    </w:p>
    <w:p w14:paraId="46D93EE7">
      <w:pPr>
        <w:jc w:val="both"/>
        <w:rPr>
          <w:rFonts w:ascii="宋体" w:hAnsi="宋体"/>
          <w:color w:val="000000" w:themeColor="text1"/>
          <w:sz w:val="48"/>
          <w:szCs w:val="48"/>
          <w:highlight w:val="none"/>
          <w14:textFill>
            <w14:solidFill>
              <w14:schemeClr w14:val="tx1"/>
            </w14:solidFill>
          </w14:textFill>
        </w:rPr>
      </w:pPr>
    </w:p>
    <w:p w14:paraId="33C7C65F">
      <w:pPr>
        <w:spacing w:line="4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6" w:name="_Toc15493"/>
    </w:p>
    <w:p w14:paraId="2929422C">
      <w:pPr>
        <w:pStyle w:val="47"/>
        <w:rPr>
          <w:rFonts w:hint="eastAsia"/>
          <w:color w:val="000000" w:themeColor="text1"/>
          <w:highlight w:val="none"/>
          <w:lang w:val="en-US" w:eastAsia="zh-CN"/>
          <w14:textFill>
            <w14:solidFill>
              <w14:schemeClr w14:val="tx1"/>
            </w14:solidFill>
          </w14:textFill>
        </w:rPr>
      </w:pPr>
    </w:p>
    <w:bookmarkEnd w:id="6"/>
    <w:p w14:paraId="2B984EE1">
      <w:pPr>
        <w:pStyle w:val="2"/>
        <w:bidi w:val="0"/>
        <w:rPr>
          <w:rFonts w:hint="eastAsia"/>
          <w:color w:val="000000" w:themeColor="text1"/>
          <w:highlight w:val="none"/>
          <w14:textFill>
            <w14:solidFill>
              <w14:schemeClr w14:val="tx1"/>
            </w14:solidFill>
          </w14:textFill>
        </w:rPr>
      </w:pPr>
      <w:bookmarkStart w:id="7" w:name="_Toc30832"/>
      <w:r>
        <w:rPr>
          <w:rFonts w:hint="eastAsia"/>
          <w:color w:val="000000" w:themeColor="text1"/>
          <w:highlight w:val="none"/>
          <w:lang w:eastAsia="zh-CN"/>
          <w14:textFill>
            <w14:solidFill>
              <w14:schemeClr w14:val="tx1"/>
            </w14:solidFill>
          </w14:textFill>
        </w:rPr>
        <w:t>竞争性磋商</w:t>
      </w:r>
      <w:r>
        <w:rPr>
          <w:rFonts w:hint="eastAsia"/>
          <w:color w:val="000000" w:themeColor="text1"/>
          <w:highlight w:val="none"/>
          <w14:textFill>
            <w14:solidFill>
              <w14:schemeClr w14:val="tx1"/>
            </w14:solidFill>
          </w14:textFill>
        </w:rPr>
        <w:t>公告</w:t>
      </w:r>
      <w:bookmarkEnd w:id="7"/>
    </w:p>
    <w:p w14:paraId="54FA870D">
      <w:pPr>
        <w:pStyle w:val="16"/>
        <w:jc w:val="center"/>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长春市宽城区医院异地建设项目立体停车位采购与安装</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zh-CN"/>
          <w14:textFill>
            <w14:solidFill>
              <w14:schemeClr w14:val="tx1"/>
            </w14:solidFill>
          </w14:textFill>
        </w:rPr>
        <w:t>2024年12月09日13时30分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078D8A2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2024106</w:t>
      </w:r>
      <w:r>
        <w:rPr>
          <w:rFonts w:hint="eastAsia" w:ascii="宋体" w:hAnsi="宋体" w:eastAsia="宋体" w:cs="宋体"/>
          <w:bCs/>
          <w:color w:val="000000" w:themeColor="text1"/>
          <w:sz w:val="24"/>
          <w:highlight w:val="none"/>
          <w:lang w:val="zh-CN" w:eastAsia="zh-CN"/>
          <w14:textFill>
            <w14:solidFill>
              <w14:schemeClr w14:val="tx1"/>
            </w14:solidFill>
          </w14:textFill>
        </w:rPr>
        <w:t>；</w:t>
      </w:r>
    </w:p>
    <w:p w14:paraId="6612895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长春市宽城区医院异地建设项目立体停车位采购与安装</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autoSpaceDE w:val="0"/>
        <w:autoSpaceDN w:val="0"/>
        <w:adjustRightInd w:val="0"/>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346691D0">
      <w:pPr>
        <w:widowControl w:val="0"/>
        <w:autoSpaceDE w:val="0"/>
        <w:autoSpaceDN w:val="0"/>
        <w:adjustRightInd w:val="0"/>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155.1500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w:t>
      </w:r>
    </w:p>
    <w:p w14:paraId="75B38CF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155.1500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bCs/>
          <w:color w:val="000000" w:themeColor="text1"/>
          <w:sz w:val="24"/>
          <w:highlight w:val="none"/>
          <w14:textFill>
            <w14:solidFill>
              <w14:schemeClr w14:val="tx1"/>
            </w14:solidFill>
          </w14:textFill>
        </w:rPr>
        <w:t>；</w:t>
      </w:r>
    </w:p>
    <w:p w14:paraId="08C0841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09A9A5C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（1）标的名称：</w:t>
      </w:r>
      <w:r>
        <w:rPr>
          <w:rFonts w:hint="eastAsia" w:ascii="宋体" w:hAnsi="宋体" w:cs="宋体"/>
          <w:bCs/>
          <w:color w:val="000000" w:themeColor="text1"/>
          <w:sz w:val="24"/>
          <w:highlight w:val="none"/>
          <w:lang w:val="en-US" w:eastAsia="zh-CN"/>
          <w14:textFill>
            <w14:solidFill>
              <w14:schemeClr w14:val="tx1"/>
            </w14:solidFill>
          </w14:textFill>
        </w:rPr>
        <w:t>立体停车位采购与安装</w:t>
      </w:r>
      <w:r>
        <w:rPr>
          <w:rFonts w:hint="eastAsia" w:ascii="宋体" w:hAnsi="宋体" w:eastAsia="宋体" w:cs="宋体"/>
          <w:bCs/>
          <w:color w:val="000000" w:themeColor="text1"/>
          <w:sz w:val="24"/>
          <w:highlight w:val="none"/>
          <w14:textFill>
            <w14:solidFill>
              <w14:schemeClr w14:val="tx1"/>
            </w14:solidFill>
          </w14:textFill>
        </w:rPr>
        <w:t>；</w:t>
      </w:r>
    </w:p>
    <w:p w14:paraId="1F3FB96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（2）数量：1批；</w:t>
      </w:r>
    </w:p>
    <w:p w14:paraId="796BF51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（3）简要技术需求：</w:t>
      </w:r>
      <w:r>
        <w:rPr>
          <w:rFonts w:hint="eastAsia" w:ascii="宋体" w:hAnsi="宋体" w:cs="宋体"/>
          <w:bCs/>
          <w:color w:val="000000" w:themeColor="text1"/>
          <w:sz w:val="24"/>
          <w:highlight w:val="none"/>
          <w:lang w:eastAsia="zh-CN"/>
          <w14:textFill>
            <w14:solidFill>
              <w14:schemeClr w14:val="tx1"/>
            </w14:solidFill>
          </w14:textFill>
        </w:rPr>
        <w:t>立体停车位采购与安装</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eastAsia="zh-CN"/>
          <w14:textFill>
            <w14:solidFill>
              <w14:schemeClr w14:val="tx1"/>
            </w14:solidFill>
          </w14:textFill>
        </w:rPr>
        <w:t>详细参数详见磋商文件</w:t>
      </w:r>
      <w:r>
        <w:rPr>
          <w:rFonts w:hint="eastAsia" w:ascii="宋体" w:hAnsi="宋体" w:cs="宋体"/>
          <w:bCs/>
          <w:color w:val="000000" w:themeColor="text1"/>
          <w:sz w:val="24"/>
          <w:highlight w:val="none"/>
          <w:lang w:eastAsia="zh-CN"/>
          <w14:textFill>
            <w14:solidFill>
              <w14:schemeClr w14:val="tx1"/>
            </w14:solidFill>
          </w14:textFill>
        </w:rPr>
        <w:t>；</w:t>
      </w:r>
    </w:p>
    <w:p w14:paraId="3C71C98E">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（4）供货地点：</w:t>
      </w:r>
      <w:r>
        <w:rPr>
          <w:rFonts w:hint="eastAsia" w:ascii="宋体" w:hAnsi="宋体" w:cs="宋体"/>
          <w:bCs/>
          <w:color w:val="000000" w:themeColor="text1"/>
          <w:sz w:val="24"/>
          <w:highlight w:val="none"/>
          <w:lang w:eastAsia="zh-CN"/>
          <w14:textFill>
            <w14:solidFill>
              <w14:schemeClr w14:val="tx1"/>
            </w14:solidFill>
          </w14:textFill>
        </w:rPr>
        <w:t>北凯旋路与北宁路交互长春市宽城区医院院内</w:t>
      </w:r>
      <w:r>
        <w:rPr>
          <w:rFonts w:hint="eastAsia" w:ascii="宋体" w:hAnsi="宋体" w:eastAsia="宋体" w:cs="宋体"/>
          <w:bCs/>
          <w:color w:val="000000" w:themeColor="text1"/>
          <w:sz w:val="24"/>
          <w:highlight w:val="none"/>
          <w14:textFill>
            <w14:solidFill>
              <w14:schemeClr w14:val="tx1"/>
            </w14:solidFill>
          </w14:textFill>
        </w:rPr>
        <w:t>；</w:t>
      </w:r>
    </w:p>
    <w:p w14:paraId="755E924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（5）质量标准：符合现行国家、行业、地方或者其他相关标准的合格要求；</w:t>
      </w:r>
    </w:p>
    <w:p w14:paraId="32807DA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eastAsia="zh-CN"/>
          <w14:textFill>
            <w14:solidFill>
              <w14:schemeClr w14:val="tx1"/>
            </w14:solidFill>
          </w14:textFill>
        </w:rPr>
        <w:t>自合同签订之日起15日内安装调试完毕交付使用并验收合格（具体时间以实际合同为准）</w:t>
      </w:r>
      <w:r>
        <w:rPr>
          <w:rFonts w:hint="eastAsia" w:ascii="宋体" w:hAnsi="宋体" w:cs="宋体"/>
          <w:bCs/>
          <w:color w:val="000000" w:themeColor="text1"/>
          <w:sz w:val="24"/>
          <w:highlight w:val="none"/>
          <w14:textFill>
            <w14:solidFill>
              <w14:schemeClr w14:val="tx1"/>
            </w14:solidFill>
          </w14:textFill>
        </w:rPr>
        <w:t>；</w:t>
      </w:r>
    </w:p>
    <w:p w14:paraId="69F00AC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本项目不接受联合体投标。</w:t>
      </w:r>
    </w:p>
    <w:p w14:paraId="32135016">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的资格要求</w:t>
      </w:r>
    </w:p>
    <w:p w14:paraId="05980C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 申请人的资格要求：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2.1 满足《中华人民共和国政府采购法》第二十二条规定；</w:t>
      </w:r>
    </w:p>
    <w:p w14:paraId="3BCCBD5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2.2 落实政府采购政策需满足的资格：本项目非专门面向中小企业采购；</w:t>
      </w:r>
    </w:p>
    <w:p w14:paraId="48DFB57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2.3本项目按照吉林省财政厅《关于依托政府采购数字金融服务平台开展融资业务有关事项的通知》(吉财采购【2023】721号)支持申请“政采合同贷”的政策。“政采数金平台”联系申话:张经理 0431-81888978，柯经理:0431-81888998。</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 本项目的特定资格要求：</w:t>
      </w:r>
    </w:p>
    <w:p w14:paraId="340B313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3.1 本次磋商要求供应商须是具有独立的法人资格的企业或其他组织，具备建设行政主管部门核发的机电设备安装工程专业承包二级及以上资质，具有有效的安全生产许可证，并在设备、资金、人员组织等方面具有相应的采购及安装能力。</w:t>
      </w:r>
    </w:p>
    <w:p w14:paraId="7970DC1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 供应商拟派出的项目负责人须具备机电工程专业二级及以上注册建造师资格，并具备有效的安全生产考核合格证（B证）且无在建工程。</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3.3供应商参加采购活动应当提交反映其财务状况、依法缴纳税收和社保保障资金情况的资格条件承诺函（《关于加强政府采购信用体系建设简化供应商资格条件有关事项的通知》长财采购〔2022〕2066 号）；</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3.4信誉要求：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（1）供应商参加政府采购活动近3年内（2021年至今）在经营活动中没有重大违法记录。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F9AE9E">
      <w:pPr>
        <w:widowControl w:val="0"/>
        <w:autoSpaceDE w:val="0"/>
        <w:autoSpaceDN w:val="0"/>
        <w:adjustRightInd w:val="0"/>
        <w:spacing w:line="46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2713F11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19</w:t>
      </w:r>
      <w:r>
        <w:rPr>
          <w:rFonts w:hint="eastAsia" w:ascii="宋体" w:hAnsi="宋体" w:eastAsia="宋体" w:cs="宋体"/>
          <w:bCs/>
          <w:color w:val="000000" w:themeColor="text1"/>
          <w:sz w:val="24"/>
          <w:highlight w:val="none"/>
          <w14:textFill>
            <w14:solidFill>
              <w14:schemeClr w14:val="tx1"/>
            </w14:solidFill>
          </w14:textFill>
        </w:rPr>
        <w:t>日上午09时00分至202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26</w:t>
      </w:r>
      <w:r>
        <w:rPr>
          <w:rFonts w:hint="eastAsia" w:ascii="宋体" w:hAnsi="宋体" w:eastAsia="宋体" w:cs="宋体"/>
          <w:bCs/>
          <w:color w:val="000000" w:themeColor="text1"/>
          <w:sz w:val="24"/>
          <w:highlight w:val="none"/>
          <w14:textFill>
            <w14:solidFill>
              <w14:schemeClr w14:val="tx1"/>
            </w14:solidFill>
          </w14:textFill>
        </w:rPr>
        <w:t>日下午16时（北京时间，法定节假日除外）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3AFAB6DE">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191F6A22">
      <w:pPr>
        <w:keepNext w:val="0"/>
        <w:keepLines w:val="0"/>
        <w:pageBreakBefore w:val="0"/>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4E9EAF91">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0C4A23C4">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CEDE89A">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224AD89D">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cs="宋体"/>
          <w:bCs/>
          <w:color w:val="000000" w:themeColor="text1"/>
          <w:sz w:val="24"/>
          <w:highlight w:val="none"/>
          <w:lang w:eastAsia="zh-CN"/>
          <w14:textFill>
            <w14:solidFill>
              <w14:schemeClr w14:val="tx1"/>
            </w14:solidFill>
          </w14:textFill>
        </w:rPr>
        <w:t>2024年12月09日13时30分</w:t>
      </w:r>
      <w:r>
        <w:rPr>
          <w:rFonts w:hint="eastAsia" w:ascii="宋体" w:hAnsi="宋体" w:eastAsia="宋体" w:cs="宋体"/>
          <w:bCs/>
          <w:color w:val="000000" w:themeColor="text1"/>
          <w:sz w:val="24"/>
          <w:highlight w:val="none"/>
          <w14:textFill>
            <w14:solidFill>
              <w14:schemeClr w14:val="tx1"/>
            </w14:solidFill>
          </w14:textFill>
        </w:rPr>
        <w:t>（北京时间）；</w:t>
      </w:r>
    </w:p>
    <w:p w14:paraId="172871A3">
      <w:pPr>
        <w:widowControl w:val="0"/>
        <w:autoSpaceDE w:val="0"/>
        <w:autoSpaceDN w:val="0"/>
        <w:adjustRightInd w:val="0"/>
        <w:spacing w:line="3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14:textFill>
            <w14:solidFill>
              <w14:schemeClr w14:val="tx1"/>
            </w14:solidFill>
          </w14:textFill>
        </w:rPr>
        <w:t>吉林省长春市二道区洋浦大街6999号凯利中心AB栋101开标四室</w:t>
      </w:r>
      <w:r>
        <w:rPr>
          <w:rFonts w:hint="eastAsia" w:ascii="宋体" w:hAnsi="宋体" w:eastAsia="宋体" w:cs="宋体"/>
          <w:bCs/>
          <w:color w:val="000000" w:themeColor="text1"/>
          <w:sz w:val="24"/>
          <w:highlight w:val="none"/>
          <w14:textFill>
            <w14:solidFill>
              <w14:schemeClr w14:val="tx1"/>
            </w14:solidFill>
          </w14:textFill>
        </w:rPr>
        <w:t>。</w:t>
      </w:r>
    </w:p>
    <w:p w14:paraId="1E50F357">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逾期送达的或者未送达指定地点的响应文件，采购人、采购代理机构不予受理。</w:t>
      </w:r>
    </w:p>
    <w:p w14:paraId="250054F8">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3B888E3B">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eastAsia="zh-CN"/>
          <w14:textFill>
            <w14:solidFill>
              <w14:schemeClr w14:val="tx1"/>
            </w14:solidFill>
          </w14:textFill>
        </w:rPr>
        <w:t>2024年12月09日13时30分</w:t>
      </w:r>
      <w:r>
        <w:rPr>
          <w:rFonts w:hint="eastAsia" w:ascii="宋体" w:hAnsi="宋体" w:eastAsia="宋体" w:cs="宋体"/>
          <w:bCs/>
          <w:color w:val="000000" w:themeColor="text1"/>
          <w:sz w:val="24"/>
          <w:highlight w:val="none"/>
          <w14:textFill>
            <w14:solidFill>
              <w14:schemeClr w14:val="tx1"/>
            </w14:solidFill>
          </w14:textFill>
        </w:rPr>
        <w:t>（北京时间）</w:t>
      </w:r>
    </w:p>
    <w:p w14:paraId="66D8435E">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eastAsia="zh-CN"/>
          <w14:textFill>
            <w14:solidFill>
              <w14:schemeClr w14:val="tx1"/>
            </w14:solidFill>
          </w14:textFill>
        </w:rPr>
        <w:t>吉林省长春市二道区洋浦大街6999号凯利中心AB栋101</w:t>
      </w:r>
      <w:r>
        <w:rPr>
          <w:rFonts w:hint="eastAsia" w:ascii="宋体" w:hAnsi="宋体" w:eastAsia="宋体" w:cs="宋体"/>
          <w:bCs/>
          <w:color w:val="000000" w:themeColor="text1"/>
          <w:sz w:val="24"/>
          <w:highlight w:val="none"/>
          <w:lang w:val="zh-CN"/>
          <w14:textFill>
            <w14:solidFill>
              <w14:schemeClr w14:val="tx1"/>
            </w14:solidFill>
          </w14:textFill>
        </w:rPr>
        <w:t>开标四室</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37F9E12E">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5A1BD4BB">
      <w:pPr>
        <w:widowControl w:val="0"/>
        <w:autoSpaceDE w:val="0"/>
        <w:autoSpaceDN w:val="0"/>
        <w:adjustRightInd w:val="0"/>
        <w:spacing w:line="460" w:lineRule="exact"/>
        <w:ind w:firstLine="480" w:firstLineChars="200"/>
        <w:rPr>
          <w:rStyle w:val="114"/>
          <w:rFonts w:ascii="宋体" w:hAnsi="宋体" w:cs="宋体"/>
          <w:bCs/>
          <w:color w:val="000000" w:themeColor="text1"/>
          <w:sz w:val="24"/>
          <w:szCs w:val="24"/>
          <w:highlight w:val="none"/>
          <w14:textFill>
            <w14:solidFill>
              <w14:schemeClr w14:val="tx1"/>
            </w14:solidFill>
          </w14:textFill>
        </w:rPr>
      </w:pPr>
      <w:r>
        <w:rPr>
          <w:rStyle w:val="114"/>
          <w:rFonts w:hint="eastAsia" w:ascii="宋体" w:hAnsi="宋体" w:cs="宋体"/>
          <w:bCs/>
          <w:color w:val="000000" w:themeColor="text1"/>
          <w:sz w:val="24"/>
          <w:szCs w:val="24"/>
          <w:highlight w:val="none"/>
          <w14:textFill>
            <w14:solidFill>
              <w14:schemeClr w14:val="tx1"/>
            </w14:solidFill>
          </w14:textFill>
        </w:rPr>
        <w:t>自本公告发布之日起</w:t>
      </w:r>
      <w:r>
        <w:rPr>
          <w:rStyle w:val="114"/>
          <w:rFonts w:hint="eastAsia" w:ascii="宋体" w:hAnsi="宋体" w:cs="宋体"/>
          <w:bCs/>
          <w:color w:val="000000" w:themeColor="text1"/>
          <w:sz w:val="24"/>
          <w:szCs w:val="24"/>
          <w:highlight w:val="none"/>
          <w:lang w:val="en-US"/>
          <w14:textFill>
            <w14:solidFill>
              <w14:schemeClr w14:val="tx1"/>
            </w14:solidFill>
          </w14:textFill>
        </w:rPr>
        <w:t>5</w:t>
      </w:r>
      <w:r>
        <w:rPr>
          <w:rStyle w:val="114"/>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2F1F2AB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3C4C150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6AE7225E">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EEE51D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7CA4764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autoSpaceDE w:val="0"/>
        <w:autoSpaceDN w:val="0"/>
        <w:adjustRightInd w:val="0"/>
        <w:spacing w:line="460" w:lineRule="exact"/>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8、本公告同时在《中国招标投标公共服务平台》《中国政府采购网》《长春市公共资源交易网》上发布。</w:t>
      </w:r>
    </w:p>
    <w:p w14:paraId="1A5ACC7F">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35393637"/>
      <w:bookmarkStart w:id="9" w:name="_Toc28359019"/>
      <w:bookmarkStart w:id="10" w:name="_Toc35393806"/>
      <w:bookmarkStart w:id="11" w:name="_Toc28359096"/>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称：长春宽城经济开发区管理委员会</w:t>
      </w:r>
    </w:p>
    <w:p w14:paraId="3CFF532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址：长春宽城经济开发区</w:t>
      </w:r>
    </w:p>
    <w:p w14:paraId="1FA4429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联系方式：胡玉姝0431-89991801</w:t>
      </w:r>
    </w:p>
    <w:p w14:paraId="2200B1C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35393807"/>
      <w:bookmarkStart w:id="13" w:name="_Toc35393638"/>
      <w:bookmarkStart w:id="14" w:name="_Toc28359020"/>
      <w:bookmarkStart w:id="15" w:name="_Toc2835909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吉林省百顺工程管理有限公司</w:t>
      </w:r>
    </w:p>
    <w:p w14:paraId="56A6274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 xml:space="preserve">长春市朝阳区西安大路58号(24)层2002号房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14:paraId="771C907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zh-CN" w:eastAsia="zh-CN"/>
          <w14:textFill>
            <w14:solidFill>
              <w14:schemeClr w14:val="tx1"/>
            </w14:solidFill>
          </w14:textFill>
        </w:rPr>
        <w:t>索榕鸿18943633356（办公电话）</w:t>
      </w:r>
    </w:p>
    <w:p w14:paraId="1CCCEA3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28359098"/>
      <w:bookmarkStart w:id="17" w:name="_Toc35393639"/>
      <w:bookmarkStart w:id="18" w:name="_Toc35393808"/>
      <w:bookmarkStart w:id="19" w:name="_Toc28359021"/>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w:t>
      </w:r>
      <w:r>
        <w:rPr>
          <w:rFonts w:hint="eastAsia" w:ascii="宋体" w:hAnsi="宋体" w:cs="宋体"/>
          <w:bCs/>
          <w:color w:val="000000" w:themeColor="text1"/>
          <w:sz w:val="24"/>
          <w:highlight w:val="none"/>
          <w:lang w:val="en-US" w:eastAsia="zh-CN"/>
          <w14:textFill>
            <w14:solidFill>
              <w14:schemeClr w14:val="tx1"/>
            </w14:solidFill>
          </w14:textFill>
        </w:rPr>
        <w:t>索榕鸿</w:t>
      </w:r>
    </w:p>
    <w:p w14:paraId="398B965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18943633356（办公电话）</w:t>
      </w:r>
    </w:p>
    <w:p w14:paraId="4A23D46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4.监督机构：长春宽城经济开发区财政金融局</w:t>
      </w:r>
    </w:p>
    <w:p w14:paraId="1A7971FA">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联系方式：曾祥雪0431-89991808</w:t>
      </w:r>
    </w:p>
    <w:p w14:paraId="7F00C0A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7094309E">
      <w:pPr>
        <w:bidi w:val="0"/>
        <w:jc w:val="center"/>
        <w:rPr>
          <w:b/>
          <w:bCs/>
          <w:sz w:val="44"/>
          <w:szCs w:val="44"/>
          <w:highlight w:val="none"/>
        </w:rPr>
      </w:pPr>
      <w:bookmarkStart w:id="20" w:name="_Toc35393813"/>
      <w:r>
        <w:rPr>
          <w:rFonts w:hint="eastAsia"/>
          <w:b/>
          <w:bCs/>
          <w:sz w:val="44"/>
          <w:szCs w:val="44"/>
          <w:highlight w:val="none"/>
        </w:rPr>
        <w:t>更正公告</w:t>
      </w:r>
      <w:bookmarkEnd w:id="20"/>
    </w:p>
    <w:p w14:paraId="0722962B">
      <w:pPr>
        <w:pStyle w:val="3"/>
        <w:spacing w:line="360" w:lineRule="auto"/>
        <w:rPr>
          <w:rFonts w:ascii="黑体" w:hAnsi="黑体" w:cs="宋体"/>
          <w:b w:val="0"/>
          <w:sz w:val="28"/>
          <w:szCs w:val="28"/>
          <w:highlight w:val="none"/>
          <w:u w:val="none"/>
        </w:rPr>
      </w:pPr>
      <w:bookmarkStart w:id="21" w:name="_Toc35393814"/>
      <w:bookmarkStart w:id="22" w:name="_Toc28359104"/>
      <w:bookmarkStart w:id="23" w:name="_Toc28359027"/>
      <w:bookmarkStart w:id="24" w:name="_Toc35393645"/>
      <w:r>
        <w:rPr>
          <w:rFonts w:hint="eastAsia" w:ascii="黑体" w:hAnsi="黑体" w:cs="宋体"/>
          <w:b w:val="0"/>
          <w:sz w:val="28"/>
          <w:szCs w:val="28"/>
          <w:highlight w:val="none"/>
          <w:u w:val="none"/>
        </w:rPr>
        <w:t>一、项目基本情况</w:t>
      </w:r>
      <w:bookmarkEnd w:id="21"/>
      <w:bookmarkEnd w:id="22"/>
      <w:bookmarkEnd w:id="23"/>
      <w:bookmarkEnd w:id="24"/>
    </w:p>
    <w:p w14:paraId="6F208420">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原公告的采购项目编号：</w:t>
      </w:r>
      <w:r>
        <w:rPr>
          <w:rFonts w:hint="eastAsia" w:ascii="仿宋" w:hAnsi="仿宋" w:eastAsia="仿宋"/>
          <w:sz w:val="28"/>
          <w:szCs w:val="28"/>
          <w:highlight w:val="none"/>
          <w:u w:val="none"/>
          <w:lang w:val="en-US" w:eastAsia="zh-CN"/>
        </w:rPr>
        <w:t>2024106</w:t>
      </w:r>
    </w:p>
    <w:p w14:paraId="5BD94CEB">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原公告的采购项目名称：</w:t>
      </w:r>
      <w:r>
        <w:rPr>
          <w:rFonts w:hint="eastAsia" w:ascii="仿宋" w:hAnsi="仿宋" w:eastAsia="仿宋"/>
          <w:sz w:val="28"/>
          <w:szCs w:val="28"/>
          <w:highlight w:val="none"/>
          <w:u w:val="none"/>
          <w:lang w:val="en-US" w:eastAsia="zh-CN"/>
        </w:rPr>
        <w:t>长春市宽城区医院异地建设项目立体停车位采购与安装</w:t>
      </w:r>
    </w:p>
    <w:p w14:paraId="36A57A4F">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首次公告日期：</w:t>
      </w:r>
      <w:r>
        <w:rPr>
          <w:rFonts w:hint="eastAsia" w:ascii="仿宋" w:hAnsi="仿宋" w:eastAsia="仿宋"/>
          <w:sz w:val="28"/>
          <w:szCs w:val="28"/>
          <w:highlight w:val="none"/>
          <w:u w:val="none"/>
          <w:lang w:val="en-US" w:eastAsia="zh-CN"/>
        </w:rPr>
        <w:t>2024年11月19日</w:t>
      </w:r>
    </w:p>
    <w:p w14:paraId="7AA89CD9">
      <w:pPr>
        <w:pStyle w:val="3"/>
        <w:spacing w:line="360" w:lineRule="auto"/>
        <w:rPr>
          <w:rFonts w:ascii="黑体" w:hAnsi="黑体" w:cs="宋体"/>
          <w:b w:val="0"/>
          <w:sz w:val="28"/>
          <w:szCs w:val="28"/>
          <w:highlight w:val="none"/>
          <w:u w:val="none"/>
        </w:rPr>
      </w:pPr>
      <w:bookmarkStart w:id="25" w:name="_Toc35393815"/>
      <w:bookmarkStart w:id="26" w:name="_Toc28359028"/>
      <w:bookmarkStart w:id="27" w:name="_Toc28359105"/>
      <w:bookmarkStart w:id="28" w:name="_Toc35393646"/>
      <w:r>
        <w:rPr>
          <w:rFonts w:hint="eastAsia" w:ascii="黑体" w:hAnsi="黑体" w:cs="宋体"/>
          <w:b w:val="0"/>
          <w:sz w:val="28"/>
          <w:szCs w:val="28"/>
          <w:highlight w:val="none"/>
          <w:u w:val="none"/>
        </w:rPr>
        <w:t>二、更正信息</w:t>
      </w:r>
      <w:bookmarkEnd w:id="25"/>
      <w:bookmarkEnd w:id="26"/>
      <w:bookmarkEnd w:id="27"/>
      <w:bookmarkEnd w:id="28"/>
    </w:p>
    <w:p w14:paraId="567C4903">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更正事项：</w:t>
      </w:r>
      <w:r>
        <w:rPr>
          <w:rFonts w:hint="eastAsia" w:ascii="仿宋" w:hAnsi="仿宋" w:eastAsia="仿宋"/>
          <w:sz w:val="28"/>
          <w:szCs w:val="28"/>
          <w:highlight w:val="none"/>
          <w:u w:val="none"/>
          <w:lang w:eastAsia="zh-CN"/>
        </w:rPr>
        <w:t>☑</w:t>
      </w:r>
      <w:r>
        <w:rPr>
          <w:rFonts w:hint="eastAsia" w:ascii="仿宋" w:hAnsi="仿宋" w:eastAsia="仿宋"/>
          <w:sz w:val="28"/>
          <w:szCs w:val="28"/>
          <w:highlight w:val="none"/>
          <w:u w:val="none"/>
        </w:rPr>
        <w:t xml:space="preserve">采购公告 </w:t>
      </w:r>
      <w:r>
        <w:rPr>
          <w:rFonts w:hint="eastAsia" w:ascii="仿宋" w:hAnsi="仿宋" w:eastAsia="仿宋"/>
          <w:sz w:val="28"/>
          <w:szCs w:val="28"/>
          <w:highlight w:val="none"/>
          <w:u w:val="none"/>
          <w:lang w:eastAsia="zh-CN"/>
        </w:rPr>
        <w:t>☑</w:t>
      </w:r>
      <w:r>
        <w:rPr>
          <w:rFonts w:hint="eastAsia" w:ascii="仿宋" w:hAnsi="仿宋" w:eastAsia="仿宋"/>
          <w:sz w:val="28"/>
          <w:szCs w:val="28"/>
          <w:highlight w:val="none"/>
          <w:u w:val="none"/>
        </w:rPr>
        <w:t xml:space="preserve">采购文件 □采购结果     </w:t>
      </w:r>
    </w:p>
    <w:p w14:paraId="43B1B22E">
      <w:pPr>
        <w:ind w:firstLine="560" w:firstLineChars="200"/>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更正内容：</w:t>
      </w:r>
      <w:r>
        <w:rPr>
          <w:rFonts w:hint="eastAsia" w:ascii="仿宋" w:hAnsi="仿宋" w:eastAsia="仿宋"/>
          <w:sz w:val="28"/>
          <w:szCs w:val="28"/>
          <w:highlight w:val="none"/>
          <w:u w:val="none"/>
          <w:lang w:eastAsia="zh-CN"/>
        </w:rPr>
        <w:t>原</w:t>
      </w:r>
      <w:r>
        <w:rPr>
          <w:rFonts w:hint="eastAsia" w:ascii="仿宋" w:hAnsi="仿宋" w:eastAsia="仿宋" w:cs="Times New Roman"/>
          <w:sz w:val="28"/>
          <w:szCs w:val="28"/>
          <w:highlight w:val="none"/>
          <w:u w:val="none"/>
          <w:lang w:eastAsia="zh-CN"/>
        </w:rPr>
        <w:t>公告内容：</w:t>
      </w:r>
      <w:r>
        <w:rPr>
          <w:rFonts w:hint="eastAsia" w:ascii="仿宋" w:hAnsi="仿宋" w:eastAsia="仿宋" w:cs="Times New Roman"/>
          <w:sz w:val="28"/>
          <w:szCs w:val="28"/>
          <w:highlight w:val="none"/>
          <w:u w:val="none"/>
          <w:lang w:val="zh-CN" w:eastAsia="zh-CN"/>
        </w:rPr>
        <w:t>特定资格要求</w:t>
      </w:r>
      <w:r>
        <w:rPr>
          <w:rFonts w:hint="eastAsia" w:ascii="仿宋" w:hAnsi="仿宋" w:eastAsia="仿宋" w:cs="Times New Roman"/>
          <w:sz w:val="28"/>
          <w:szCs w:val="28"/>
          <w:highlight w:val="none"/>
          <w:u w:val="none"/>
          <w:lang w:val="en-US" w:eastAsia="zh-CN"/>
        </w:rPr>
        <w:t>3.1本次磋商要求供应商须是具有独立的法人资格的企业或其他组织，具备建设行政主管部门核发的机电设备安装工程专业承包二级及以上资质，具有有效的安全生产许可证，并在设备、资金、人员组织等方面具有相应的采购及安装能力。</w:t>
      </w:r>
    </w:p>
    <w:p w14:paraId="62FE76DF">
      <w:pPr>
        <w:ind w:firstLine="560" w:firstLineChars="200"/>
        <w:rPr>
          <w:rFonts w:hint="eastAsia" w:ascii="仿宋" w:hAnsi="仿宋" w:eastAsia="仿宋" w:cs="Times New Roman"/>
          <w:sz w:val="28"/>
          <w:szCs w:val="28"/>
          <w:highlight w:val="none"/>
          <w:u w:val="none"/>
          <w:lang w:val="en-US" w:eastAsia="zh-CN"/>
        </w:rPr>
      </w:pPr>
      <w:r>
        <w:rPr>
          <w:rFonts w:hint="eastAsia" w:ascii="仿宋" w:hAnsi="仿宋" w:eastAsia="仿宋"/>
          <w:sz w:val="28"/>
          <w:szCs w:val="28"/>
          <w:highlight w:val="none"/>
          <w:u w:val="none"/>
          <w:lang w:eastAsia="zh-CN"/>
        </w:rPr>
        <w:t>现变更为：</w:t>
      </w:r>
      <w:r>
        <w:rPr>
          <w:rFonts w:hint="eastAsia" w:ascii="仿宋" w:hAnsi="仿宋" w:eastAsia="仿宋" w:cs="Times New Roman"/>
          <w:sz w:val="28"/>
          <w:szCs w:val="28"/>
          <w:highlight w:val="none"/>
          <w:u w:val="none"/>
          <w:lang w:val="en-US" w:eastAsia="zh-CN"/>
        </w:rPr>
        <w:t>本次磋商要求供应商须是具有独立的法人资格的企业或其他组织，具备建设行政主管部门核发的</w:t>
      </w:r>
      <w:r>
        <w:rPr>
          <w:rFonts w:hint="eastAsia" w:ascii="仿宋" w:hAnsi="仿宋" w:eastAsia="仿宋" w:cs="Times New Roman"/>
          <w:sz w:val="28"/>
          <w:szCs w:val="28"/>
          <w:highlight w:val="none"/>
          <w:u w:val="none"/>
          <w:lang w:val="en-US" w:eastAsia="zh-CN"/>
        </w:rPr>
        <w:t>建筑机电安装工程专业承包二级</w:t>
      </w:r>
      <w:r>
        <w:rPr>
          <w:rFonts w:hint="eastAsia" w:ascii="仿宋" w:hAnsi="仿宋" w:eastAsia="仿宋" w:cs="Times New Roman"/>
          <w:sz w:val="28"/>
          <w:szCs w:val="28"/>
          <w:highlight w:val="none"/>
          <w:u w:val="none"/>
          <w:lang w:val="en-US" w:eastAsia="zh-CN"/>
        </w:rPr>
        <w:t>及以上资质，具有有效的安全生产许可证，并在设备、资金、人员组织等方面具有相应的采购及安装能力。</w:t>
      </w:r>
    </w:p>
    <w:p w14:paraId="78D978C7">
      <w:pPr>
        <w:ind w:firstLine="560" w:firstLineChars="200"/>
        <w:rPr>
          <w:rFonts w:hint="default"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lang w:val="en-US" w:eastAsia="zh-CN"/>
        </w:rPr>
        <w:t>其他内容不变。</w:t>
      </w:r>
    </w:p>
    <w:p w14:paraId="1F9EB19F">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更正日期：</w:t>
      </w:r>
      <w:r>
        <w:rPr>
          <w:rFonts w:hint="eastAsia" w:ascii="仿宋" w:hAnsi="仿宋" w:eastAsia="仿宋"/>
          <w:sz w:val="28"/>
          <w:szCs w:val="28"/>
          <w:highlight w:val="none"/>
          <w:u w:val="none"/>
          <w:lang w:val="en-US" w:eastAsia="zh-CN"/>
        </w:rPr>
        <w:t>2024年11月21日</w:t>
      </w:r>
      <w:r>
        <w:rPr>
          <w:rFonts w:hint="eastAsia" w:ascii="仿宋" w:hAnsi="仿宋" w:eastAsia="仿宋"/>
          <w:sz w:val="28"/>
          <w:szCs w:val="28"/>
          <w:highlight w:val="none"/>
          <w:u w:val="none"/>
        </w:rPr>
        <w:t>　　　　　　　　　　　　</w:t>
      </w:r>
    </w:p>
    <w:p w14:paraId="79C7AB38">
      <w:pPr>
        <w:pStyle w:val="3"/>
        <w:spacing w:line="360" w:lineRule="auto"/>
        <w:rPr>
          <w:rFonts w:ascii="黑体" w:hAnsi="黑体" w:cs="宋体"/>
          <w:b w:val="0"/>
          <w:sz w:val="28"/>
          <w:szCs w:val="28"/>
          <w:highlight w:val="none"/>
          <w:u w:val="none"/>
        </w:rPr>
      </w:pPr>
      <w:bookmarkStart w:id="29" w:name="_Toc35393647"/>
      <w:bookmarkStart w:id="30" w:name="_Toc35393816"/>
      <w:r>
        <w:rPr>
          <w:rFonts w:hint="eastAsia" w:ascii="黑体" w:hAnsi="黑体" w:cs="宋体"/>
          <w:b w:val="0"/>
          <w:sz w:val="28"/>
          <w:szCs w:val="28"/>
          <w:highlight w:val="none"/>
          <w:u w:val="none"/>
        </w:rPr>
        <w:t>三、其他补充事宜</w:t>
      </w:r>
      <w:bookmarkEnd w:id="29"/>
      <w:bookmarkEnd w:id="30"/>
    </w:p>
    <w:p w14:paraId="221C15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本公告同时在《吉林省公共资源交易公共服务平台》《中国政府采购网》《长春市公共资源交易网》上发布</w:t>
      </w:r>
    </w:p>
    <w:p w14:paraId="0579AE0C">
      <w:pPr>
        <w:pStyle w:val="3"/>
        <w:spacing w:line="360" w:lineRule="auto"/>
        <w:rPr>
          <w:rFonts w:ascii="黑体" w:hAnsi="黑体" w:cs="宋体"/>
          <w:b w:val="0"/>
          <w:sz w:val="28"/>
          <w:szCs w:val="28"/>
          <w:highlight w:val="none"/>
          <w:u w:val="none"/>
        </w:rPr>
      </w:pPr>
      <w:bookmarkStart w:id="31" w:name="_Toc35393817"/>
      <w:bookmarkStart w:id="32" w:name="_Toc28359106"/>
      <w:bookmarkStart w:id="33" w:name="_Toc28359029"/>
      <w:bookmarkStart w:id="34" w:name="_Toc35393648"/>
      <w:r>
        <w:rPr>
          <w:rFonts w:hint="eastAsia" w:ascii="黑体" w:hAnsi="黑体" w:cs="宋体"/>
          <w:b w:val="0"/>
          <w:sz w:val="28"/>
          <w:szCs w:val="28"/>
          <w:highlight w:val="none"/>
          <w:u w:val="none"/>
        </w:rPr>
        <w:t>四、凡对本次公告内容提出询问，请按以下方式联系。</w:t>
      </w:r>
      <w:bookmarkEnd w:id="31"/>
      <w:bookmarkEnd w:id="32"/>
      <w:bookmarkEnd w:id="33"/>
      <w:bookmarkEnd w:id="34"/>
    </w:p>
    <w:p w14:paraId="0BD24C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1.采购人信息</w:t>
      </w:r>
    </w:p>
    <w:p w14:paraId="6CC39E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名    称：长春宽城经济开发区管理委员会</w:t>
      </w:r>
    </w:p>
    <w:p w14:paraId="13FC48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地    址：长春宽城经济开发区</w:t>
      </w:r>
    </w:p>
    <w:p w14:paraId="57BE75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联系方式：胡玉姝0431-89991801</w:t>
      </w:r>
    </w:p>
    <w:p w14:paraId="152141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2.采购代理机构信息</w:t>
      </w:r>
    </w:p>
    <w:p w14:paraId="042A82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名    称：</w:t>
      </w:r>
      <w:r>
        <w:rPr>
          <w:rFonts w:hint="eastAsia" w:ascii="仿宋" w:hAnsi="仿宋" w:eastAsia="仿宋" w:cs="宋体"/>
          <w:b w:val="0"/>
          <w:sz w:val="28"/>
          <w:szCs w:val="28"/>
          <w:highlight w:val="none"/>
          <w:u w:val="none"/>
          <w:lang w:val="en-US" w:eastAsia="zh-CN"/>
        </w:rPr>
        <w:t>吉林省百顺工程管理有限公司</w:t>
      </w:r>
    </w:p>
    <w:p w14:paraId="321F2E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地    址：</w:t>
      </w:r>
      <w:r>
        <w:rPr>
          <w:rFonts w:hint="eastAsia" w:ascii="仿宋" w:hAnsi="仿宋" w:eastAsia="仿宋" w:cs="宋体"/>
          <w:b w:val="0"/>
          <w:sz w:val="28"/>
          <w:szCs w:val="28"/>
          <w:highlight w:val="none"/>
          <w:u w:val="none"/>
          <w:lang w:val="en-US" w:eastAsia="zh-CN"/>
        </w:rPr>
        <w:t>长春市朝阳区西安大路58号(24)层2002号房</w:t>
      </w:r>
      <w:r>
        <w:rPr>
          <w:rFonts w:hint="eastAsia" w:ascii="仿宋" w:hAnsi="仿宋" w:eastAsia="仿宋" w:cs="宋体"/>
          <w:b w:val="0"/>
          <w:sz w:val="28"/>
          <w:szCs w:val="28"/>
          <w:highlight w:val="none"/>
          <w:u w:val="none"/>
        </w:rPr>
        <w:t xml:space="preserve">       </w:t>
      </w:r>
    </w:p>
    <w:p w14:paraId="58FAE7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w:t>
      </w:r>
      <w:r>
        <w:rPr>
          <w:rFonts w:hint="eastAsia" w:ascii="仿宋" w:hAnsi="仿宋" w:eastAsia="仿宋" w:cs="宋体"/>
          <w:b w:val="0"/>
          <w:sz w:val="28"/>
          <w:szCs w:val="28"/>
          <w:highlight w:val="none"/>
          <w:u w:val="none"/>
          <w:lang w:val="zh-CN" w:eastAsia="zh-CN"/>
        </w:rPr>
        <w:t>索榕鸿18943633356（办公电话）</w:t>
      </w:r>
    </w:p>
    <w:p w14:paraId="1EFE9B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3.项目联系方式</w:t>
      </w:r>
    </w:p>
    <w:p w14:paraId="7724A3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项目联系人：</w:t>
      </w:r>
      <w:r>
        <w:rPr>
          <w:rFonts w:hint="eastAsia" w:ascii="仿宋" w:hAnsi="仿宋" w:eastAsia="仿宋" w:cs="宋体"/>
          <w:b w:val="0"/>
          <w:sz w:val="28"/>
          <w:szCs w:val="28"/>
          <w:highlight w:val="none"/>
          <w:u w:val="none"/>
          <w:lang w:val="zh-CN" w:eastAsia="zh-CN"/>
        </w:rPr>
        <w:t>索榕鸿</w:t>
      </w:r>
    </w:p>
    <w:p w14:paraId="4A33F1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电　  话：</w:t>
      </w:r>
      <w:r>
        <w:rPr>
          <w:rFonts w:hint="eastAsia" w:ascii="仿宋" w:hAnsi="仿宋" w:eastAsia="仿宋" w:cs="宋体"/>
          <w:b w:val="0"/>
          <w:sz w:val="28"/>
          <w:szCs w:val="28"/>
          <w:highlight w:val="none"/>
          <w:u w:val="none"/>
          <w:lang w:val="zh-CN" w:eastAsia="zh-CN"/>
        </w:rPr>
        <w:t>18943633356（办公电话）</w:t>
      </w:r>
    </w:p>
    <w:p w14:paraId="32395C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4.监督机构：长春宽城经济开发区财政金融局</w:t>
      </w:r>
    </w:p>
    <w:p w14:paraId="4B9155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联系方式：曾祥雪0431-89991808</w:t>
      </w:r>
    </w:p>
    <w:p w14:paraId="17597327">
      <w:pPr>
        <w:pStyle w:val="3"/>
        <w:rPr>
          <w:rFonts w:hint="eastAsia"/>
          <w:highlight w:val="none"/>
          <w:lang w:val="zh-CN" w:eastAsia="zh-CN"/>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63183AD">
      <w:pPr>
        <w:pStyle w:val="2"/>
        <w:bidi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35" w:name="_Toc383794598"/>
      <w:bookmarkStart w:id="36" w:name="_Toc9784"/>
      <w:bookmarkStart w:id="37" w:name="_Toc325358490"/>
      <w:bookmarkStart w:id="38" w:name="_Toc291782331"/>
      <w:bookmarkStart w:id="39" w:name="_Toc184635071"/>
      <w:r>
        <w:rPr>
          <w:rFonts w:hint="eastAsia" w:eastAsia="宋体"/>
          <w:color w:val="000000" w:themeColor="text1"/>
          <w:highlight w:val="none"/>
          <w:lang w:val="en-US" w:eastAsia="zh-CN"/>
          <w14:textFill>
            <w14:solidFill>
              <w14:schemeClr w14:val="tx1"/>
            </w14:solidFill>
          </w14:textFill>
        </w:rPr>
        <w:t>供应商须知</w:t>
      </w:r>
      <w:bookmarkEnd w:id="35"/>
      <w:bookmarkEnd w:id="36"/>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000000" w:themeColor="text1"/>
          <w:sz w:val="30"/>
          <w:szCs w:val="30"/>
          <w:highlight w:val="none"/>
          <w14:textFill>
            <w14:solidFill>
              <w14:schemeClr w14:val="tx1"/>
            </w14:solidFill>
          </w14:textFill>
        </w:rPr>
      </w:pPr>
      <w:bookmarkStart w:id="40"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40"/>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2095" w:type="dxa"/>
            <w:vAlign w:val="center"/>
          </w:tcPr>
          <w:p w14:paraId="55F93CB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w:t>
            </w:r>
          </w:p>
        </w:tc>
        <w:tc>
          <w:tcPr>
            <w:tcW w:w="6675" w:type="dxa"/>
            <w:vAlign w:val="center"/>
          </w:tcPr>
          <w:p w14:paraId="38691AC0">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名  称：长春宽城经济开发区管理委员会</w:t>
            </w:r>
          </w:p>
          <w:p w14:paraId="2E917F8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地  址：长春市宽城区北凯旋路7388号</w:t>
            </w:r>
          </w:p>
          <w:p w14:paraId="611D87BF">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联系人：胡玉姝</w:t>
            </w:r>
          </w:p>
          <w:p w14:paraId="0607D835">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2095" w:type="dxa"/>
            <w:vAlign w:val="center"/>
          </w:tcPr>
          <w:p w14:paraId="75737AA0">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采购代理机构</w:t>
            </w:r>
          </w:p>
        </w:tc>
        <w:tc>
          <w:tcPr>
            <w:tcW w:w="6675" w:type="dxa"/>
            <w:vAlign w:val="center"/>
          </w:tcPr>
          <w:p w14:paraId="18452181">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名    称：</w:t>
            </w:r>
            <w:r>
              <w:rPr>
                <w:rFonts w:hint="eastAsia" w:ascii="宋体" w:hAnsi="宋体" w:cs="微软雅黑"/>
                <w:color w:val="000000" w:themeColor="text1"/>
                <w:szCs w:val="21"/>
                <w:highlight w:val="none"/>
                <w:lang w:val="zh-CN" w:eastAsia="zh-CN"/>
                <w14:textFill>
                  <w14:solidFill>
                    <w14:schemeClr w14:val="tx1"/>
                  </w14:solidFill>
                </w14:textFill>
              </w:rPr>
              <w:t>吉林省百顺工程管理有限公司</w:t>
            </w:r>
          </w:p>
          <w:p w14:paraId="13B63639">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 xml:space="preserve">长春市朝阳区西安大路58号(24)层2002号房      </w:t>
            </w:r>
          </w:p>
          <w:p w14:paraId="0A6CBACA">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微软雅黑"/>
                <w:color w:val="000000" w:themeColor="text1"/>
                <w:szCs w:val="21"/>
                <w:highlight w:val="none"/>
                <w:lang w:val="en-US" w:eastAsia="zh-CN"/>
                <w14:textFill>
                  <w14:solidFill>
                    <w14:schemeClr w14:val="tx1"/>
                  </w14:solidFill>
                </w14:textFill>
              </w:rPr>
              <w:t xml:space="preserve">索榕鸿     </w:t>
            </w:r>
          </w:p>
          <w:p w14:paraId="5F7E68FA">
            <w:pPr>
              <w:spacing w:line="400" w:lineRule="exact"/>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联系方式：</w:t>
            </w:r>
            <w:r>
              <w:rPr>
                <w:rFonts w:hint="eastAsia" w:ascii="宋体" w:hAnsi="宋体" w:cs="微软雅黑"/>
                <w:color w:val="000000" w:themeColor="text1"/>
                <w:szCs w:val="21"/>
                <w:highlight w:val="none"/>
                <w:lang w:val="en-US" w:eastAsia="zh-CN"/>
                <w14:textFill>
                  <w14:solidFill>
                    <w14:schemeClr w14:val="tx1"/>
                  </w14:solidFill>
                </w14:textFill>
              </w:rPr>
              <w:t>18943633356（办公电话）</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2095" w:type="dxa"/>
            <w:vAlign w:val="center"/>
          </w:tcPr>
          <w:p w14:paraId="26A52C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6675" w:type="dxa"/>
            <w:vAlign w:val="center"/>
          </w:tcPr>
          <w:p w14:paraId="2D906B46">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长春市宽城区医院异地建设项目立体停车位采购与安装</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2095" w:type="dxa"/>
            <w:vAlign w:val="center"/>
          </w:tcPr>
          <w:p w14:paraId="4B0AB0C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w:t>
            </w:r>
            <w:r>
              <w:rPr>
                <w:rFonts w:hint="eastAsia"/>
                <w:color w:val="000000" w:themeColor="text1"/>
                <w:highlight w:val="none"/>
                <w14:textFill>
                  <w14:solidFill>
                    <w14:schemeClr w14:val="tx1"/>
                  </w14:solidFill>
                </w14:textFill>
              </w:rPr>
              <w:t>地点</w:t>
            </w:r>
          </w:p>
        </w:tc>
        <w:tc>
          <w:tcPr>
            <w:tcW w:w="6675" w:type="dxa"/>
            <w:vAlign w:val="center"/>
          </w:tcPr>
          <w:p w14:paraId="2E339BAE">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w:t>
            </w:r>
          </w:p>
        </w:tc>
        <w:tc>
          <w:tcPr>
            <w:tcW w:w="2095" w:type="dxa"/>
            <w:vAlign w:val="center"/>
          </w:tcPr>
          <w:p w14:paraId="77AC171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6675" w:type="dxa"/>
            <w:vAlign w:val="center"/>
          </w:tcPr>
          <w:p w14:paraId="2B08B585">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专项资金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2095" w:type="dxa"/>
            <w:vAlign w:val="center"/>
          </w:tcPr>
          <w:p w14:paraId="41A09F1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6675" w:type="dxa"/>
            <w:vAlign w:val="center"/>
          </w:tcPr>
          <w:p w14:paraId="1AF552B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2095" w:type="dxa"/>
            <w:vAlign w:val="center"/>
          </w:tcPr>
          <w:p w14:paraId="34F2157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6675" w:type="dxa"/>
            <w:vAlign w:val="center"/>
          </w:tcPr>
          <w:p w14:paraId="4D905DE8">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w:t>
            </w:r>
          </w:p>
        </w:tc>
        <w:tc>
          <w:tcPr>
            <w:tcW w:w="2095" w:type="dxa"/>
            <w:vAlign w:val="center"/>
          </w:tcPr>
          <w:p w14:paraId="43EB4EEF">
            <w:pPr>
              <w:spacing w:line="400" w:lineRule="exac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采购内容</w:t>
            </w:r>
          </w:p>
        </w:tc>
        <w:tc>
          <w:tcPr>
            <w:tcW w:w="6675" w:type="dxa"/>
            <w:vAlign w:val="center"/>
          </w:tcPr>
          <w:p w14:paraId="246D89C6">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立体停车位采购与安装</w:t>
            </w:r>
            <w:r>
              <w:rPr>
                <w:rFonts w:hint="eastAsia" w:ascii="宋体" w:hAnsi="宋体" w:eastAsia="宋体" w:cs="微软雅黑"/>
                <w:color w:val="000000" w:themeColor="text1"/>
                <w:szCs w:val="21"/>
                <w:highlight w:val="none"/>
                <w:lang w:val="en-US" w:eastAsia="zh-CN"/>
                <w14:textFill>
                  <w14:solidFill>
                    <w14:schemeClr w14:val="tx1"/>
                  </w14:solidFill>
                </w14:textFill>
              </w:rPr>
              <w:t>，具体内容详见采购需求</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p>
        </w:tc>
        <w:tc>
          <w:tcPr>
            <w:tcW w:w="2095" w:type="dxa"/>
            <w:vAlign w:val="center"/>
          </w:tcPr>
          <w:p w14:paraId="1ED30EFB">
            <w:pPr>
              <w:spacing w:line="40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自合同签订之日起15日内安装调试完毕交付使用并验收合格（具体时间以实际合同为准）</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w:t>
            </w:r>
          </w:p>
        </w:tc>
        <w:tc>
          <w:tcPr>
            <w:tcW w:w="2095" w:type="dxa"/>
            <w:vAlign w:val="center"/>
          </w:tcPr>
          <w:p w14:paraId="0FF929C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c>
          <w:tcPr>
            <w:tcW w:w="6675" w:type="dxa"/>
            <w:vAlign w:val="center"/>
          </w:tcPr>
          <w:p w14:paraId="1EA2F2AB">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2095" w:type="dxa"/>
            <w:vAlign w:val="center"/>
          </w:tcPr>
          <w:p w14:paraId="6FD7A32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资质条件、能力和信誉</w:t>
            </w:r>
          </w:p>
        </w:tc>
        <w:tc>
          <w:tcPr>
            <w:tcW w:w="6675" w:type="dxa"/>
            <w:vAlign w:val="center"/>
          </w:tcPr>
          <w:p w14:paraId="63BD6CC1">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 申请人的资格要求：</w:t>
            </w:r>
          </w:p>
          <w:p w14:paraId="5235044B">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 满足《中华人民共和国政府采购法》第二十二条规定；</w:t>
            </w:r>
          </w:p>
          <w:p w14:paraId="29DAA44B">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 落实政府采购政策需满足的资格：本项目非专门面向中小企业采购；</w:t>
            </w:r>
          </w:p>
          <w:p w14:paraId="5736B55B">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1.3本项目按照吉林省财政厅《关于依托政府采购数字金融服务平台开展融资业务有关事项的通知》(吉财采购【2023】721号)支持申请“政采合同贷”的政策。“政采数金平台”联系申话:张经理 0431-81888978，柯经理:0431-81888998。</w:t>
            </w:r>
          </w:p>
          <w:p w14:paraId="755B0228">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2本项目的特定资格要求：</w:t>
            </w:r>
          </w:p>
          <w:p w14:paraId="6B90EAA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 本次磋商要求供应商须是具有独立的法人资格的企业或其他组织，具备建设行政主管部门核发的建筑机电安装工程专业承包二级及以上资质，具有有效的安全生产许可证，并在设备、资金、人员组织等方面具有相应的采购及安装能力。</w:t>
            </w:r>
          </w:p>
          <w:p w14:paraId="189BB5F0">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 供应商拟派出的项目负责人须具备机电工程专业二级及以上注册建造师资格，并具备有效的安全生产考核合格证（B证）且无在建工程。</w:t>
            </w:r>
          </w:p>
          <w:p w14:paraId="6442DBEA">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2.3供应商参加采购活动应当提交反映其财务状况、依法缴纳税收和社保保障资金情况的资格条件承诺函（《关于加强政府采购信用体系建设简化供应商资格条件有关事项的通知》长财采购〔2022〕2066 号）；</w:t>
            </w:r>
          </w:p>
          <w:p w14:paraId="796E96E3">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2.4信誉要求：</w:t>
            </w:r>
          </w:p>
          <w:p w14:paraId="31B02638">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（1）供应商参加政府采购活动近3年内（2021年至今）在经营活动中没有重大违法记录。</w:t>
            </w:r>
          </w:p>
          <w:p w14:paraId="21460DAC">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（2）拒绝列入政府取消投标资格记录期间的企业或个人投标。</w:t>
            </w:r>
          </w:p>
          <w:p w14:paraId="3824CC47">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759E9302">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（4）未被工商行政管理机关在全国企业信用信息公示系统中列入严重违法失信企业名单；</w:t>
            </w:r>
          </w:p>
          <w:p w14:paraId="4EC1AED1">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（5）未被列入“中国政府采购网”(www.ccgp.gov.cn)政府采购严重违法失信行为记录名单的供应商；</w:t>
            </w:r>
          </w:p>
          <w:p w14:paraId="200A0E0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（6）“中国裁判文书网”（wenshu.court.gov.cn/）查询企业及法定代表人无行贿犯罪记录证明。</w:t>
            </w:r>
          </w:p>
          <w:p w14:paraId="1975DD24">
            <w:pPr>
              <w:spacing w:line="4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p>
        </w:tc>
        <w:tc>
          <w:tcPr>
            <w:tcW w:w="2095" w:type="dxa"/>
            <w:vAlign w:val="center"/>
          </w:tcPr>
          <w:p w14:paraId="25D4C70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2095" w:type="dxa"/>
            <w:vAlign w:val="center"/>
          </w:tcPr>
          <w:p w14:paraId="05E7007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cs="Times New Roman"/>
                <w:color w:val="000000" w:themeColor="text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3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本项目的澄清、修改、补充说明文件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（如有）。</w:t>
            </w:r>
          </w:p>
          <w:p w14:paraId="512F02C3">
            <w:pPr>
              <w:spacing w:line="400" w:lineRule="exac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答疑文件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w:t>
            </w:r>
          </w:p>
        </w:tc>
        <w:tc>
          <w:tcPr>
            <w:tcW w:w="2095" w:type="dxa"/>
            <w:vAlign w:val="center"/>
          </w:tcPr>
          <w:p w14:paraId="17A249F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zh-CN"/>
                <w14:textFill>
                  <w14:solidFill>
                    <w14:schemeClr w14:val="tx1"/>
                  </w14:solidFill>
                </w14:textFill>
              </w:rPr>
              <w:t>提交响应文件截止时间5天前</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w:t>
            </w:r>
          </w:p>
        </w:tc>
        <w:tc>
          <w:tcPr>
            <w:tcW w:w="2095" w:type="dxa"/>
            <w:vAlign w:val="center"/>
          </w:tcPr>
          <w:p w14:paraId="4CBEC97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磋商时间：</w:t>
            </w:r>
            <w:r>
              <w:rPr>
                <w:rFonts w:hint="eastAsia" w:cs="Times New Roman"/>
                <w:color w:val="000000" w:themeColor="text1"/>
                <w:highlight w:val="none"/>
                <w:lang w:val="en-US" w:eastAsia="zh-CN"/>
                <w14:textFill>
                  <w14:solidFill>
                    <w14:schemeClr w14:val="tx1"/>
                  </w14:solidFill>
                </w14:textFill>
              </w:rPr>
              <w:t>2024年12月09日13时30分</w:t>
            </w:r>
          </w:p>
          <w:p w14:paraId="4F1F1C70">
            <w:pPr>
              <w:spacing w:line="400" w:lineRule="exact"/>
              <w:jc w:val="both"/>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highlight w:val="none"/>
                <w14:textFill>
                  <w14:solidFill>
                    <w14:schemeClr w14:val="tx1"/>
                  </w14:solidFill>
                </w14:textFill>
              </w:rPr>
              <w:t>地点：</w:t>
            </w:r>
            <w:r>
              <w:rPr>
                <w:rFonts w:hint="eastAsia" w:cs="Times New Roman"/>
                <w:color w:val="000000" w:themeColor="text1"/>
                <w:highlight w:val="none"/>
                <w:lang w:val="zh-CN" w:eastAsia="zh-CN"/>
                <w14:textFill>
                  <w14:solidFill>
                    <w14:schemeClr w14:val="tx1"/>
                  </w14:solidFill>
                </w14:textFill>
              </w:rPr>
              <w:t>长春市二道区洋浦大街6669号凯利中心AB栋101开标四室</w:t>
            </w:r>
          </w:p>
          <w:p w14:paraId="4AB32D80">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6E527CC3">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供应商需提前下载好腾讯会议，至少开标前10分钟进入会议号“#腾讯会议：149 899 326”，并保持电话畅通。</w:t>
            </w:r>
          </w:p>
          <w:p w14:paraId="44174F82">
            <w:pPr>
              <w:numPr>
                <w:ilvl w:val="0"/>
                <w:numId w:val="4"/>
              </w:numPr>
              <w:spacing w:line="400" w:lineRule="exact"/>
              <w:ind w:left="0" w:leftChars="0" w:firstLine="0" w:firstLineChars="0"/>
              <w:jc w:val="both"/>
              <w:rPr>
                <w:color w:val="000000" w:themeColor="text1"/>
                <w:highlight w:val="none"/>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000000" w:themeColor="text1"/>
                <w:highlight w:val="none"/>
                <w:lang w:val="en-US" w:eastAsia="zh-CN"/>
                <w14:textFill>
                  <w14:solidFill>
                    <w14:schemeClr w14:val="tx1"/>
                  </w14:solidFill>
                </w14:textFill>
              </w:rPr>
              <w:t>磋商</w:t>
            </w:r>
            <w:r>
              <w:rPr>
                <w:rFonts w:hint="eastAsia" w:cs="Times New Roman"/>
                <w:color w:val="000000" w:themeColor="text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w:t>
            </w:r>
          </w:p>
        </w:tc>
        <w:tc>
          <w:tcPr>
            <w:tcW w:w="2095" w:type="dxa"/>
            <w:vAlign w:val="center"/>
          </w:tcPr>
          <w:p w14:paraId="40B0955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确认收到磋商文件澄清的时间</w:t>
            </w:r>
          </w:p>
        </w:tc>
        <w:tc>
          <w:tcPr>
            <w:tcW w:w="6675" w:type="dxa"/>
            <w:vAlign w:val="center"/>
          </w:tcPr>
          <w:p w14:paraId="15967CEA">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时间：收到澄清后24小时内（以发出时间为准）。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形式：本项目所有修改文件均在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”中发布，供应商收到后必须以确认函的形式发送至采购代理机构的邮箱</w:t>
            </w:r>
            <w:r>
              <w:rPr>
                <w:rFonts w:hint="eastAsia" w:cs="Times New Roman"/>
                <w:color w:val="000000" w:themeColor="text1"/>
                <w:highlight w:val="none"/>
                <w:lang w:val="en-US" w:eastAsia="zh-CN"/>
                <w14:textFill>
                  <w14:solidFill>
                    <w14:schemeClr w14:val="tx1"/>
                  </w14:solidFill>
                </w14:textFill>
              </w:rPr>
              <w:t>jlsbsgcgl@163.com</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2.3.2</w:t>
            </w:r>
          </w:p>
        </w:tc>
        <w:tc>
          <w:tcPr>
            <w:tcW w:w="2095" w:type="dxa"/>
            <w:vAlign w:val="center"/>
          </w:tcPr>
          <w:p w14:paraId="512D7D4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确认收到磋商文件修改的时间</w:t>
            </w:r>
          </w:p>
        </w:tc>
        <w:tc>
          <w:tcPr>
            <w:tcW w:w="6675" w:type="dxa"/>
            <w:vAlign w:val="center"/>
          </w:tcPr>
          <w:p w14:paraId="649BFC9F">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3.2.</w:t>
            </w:r>
            <w:r>
              <w:rPr>
                <w:rFonts w:hint="eastAsia" w:cs="Times New Roman"/>
                <w:color w:val="000000" w:themeColor="text1"/>
                <w:highlight w:val="none"/>
                <w:lang w:val="en-US" w:eastAsia="zh-CN"/>
                <w14:textFill>
                  <w14:solidFill>
                    <w14:schemeClr w14:val="tx1"/>
                  </w14:solidFill>
                </w14:textFill>
              </w:rPr>
              <w:t>3</w:t>
            </w:r>
          </w:p>
        </w:tc>
        <w:tc>
          <w:tcPr>
            <w:tcW w:w="2095" w:type="dxa"/>
            <w:vAlign w:val="center"/>
          </w:tcPr>
          <w:p w14:paraId="769BC63C">
            <w:pPr>
              <w:spacing w:line="400" w:lineRule="exact"/>
              <w:jc w:val="cente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最高投标限价</w:t>
            </w:r>
          </w:p>
        </w:tc>
        <w:tc>
          <w:tcPr>
            <w:tcW w:w="6675" w:type="dxa"/>
            <w:vAlign w:val="center"/>
          </w:tcPr>
          <w:p w14:paraId="3E5DD598">
            <w:pPr>
              <w:spacing w:line="40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155.1500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进行报价时不得超出此价格，否则按</w:t>
            </w:r>
            <w:r>
              <w:rPr>
                <w:rFonts w:hint="eastAsia" w:ascii="宋体" w:hAnsi="宋体"/>
                <w:color w:val="000000" w:themeColor="text1"/>
                <w:highlight w:val="none"/>
                <w:lang w:val="en-US" w:eastAsia="zh-CN"/>
                <w14:textFill>
                  <w14:solidFill>
                    <w14:schemeClr w14:val="tx1"/>
                  </w14:solidFill>
                </w14:textFill>
              </w:rPr>
              <w:t>无效报价</w:t>
            </w:r>
            <w:r>
              <w:rPr>
                <w:rFonts w:hint="eastAsia" w:ascii="宋体" w:hAnsi="宋体"/>
                <w:color w:val="000000" w:themeColor="text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7</w:t>
            </w:r>
          </w:p>
        </w:tc>
        <w:tc>
          <w:tcPr>
            <w:tcW w:w="2095" w:type="dxa"/>
            <w:vAlign w:val="center"/>
          </w:tcPr>
          <w:p w14:paraId="70F5F219">
            <w:pPr>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报价的次数</w:t>
            </w:r>
          </w:p>
        </w:tc>
        <w:tc>
          <w:tcPr>
            <w:tcW w:w="6675" w:type="dxa"/>
            <w:vAlign w:val="center"/>
          </w:tcPr>
          <w:p w14:paraId="104BF9B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2次</w:t>
            </w:r>
          </w:p>
          <w:p w14:paraId="58C5137A">
            <w:pPr>
              <w:pStyle w:val="27"/>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注：开标当日，</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不必抵达开标现场，仅需在任意地点通过“政采云”平台（https://www.zcygov.cn）参加开标会议，</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代表须全程在线等候，</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得到磋商小组指令后网上进行二次报价</w:t>
            </w:r>
          </w:p>
          <w:p w14:paraId="19A8F8F8">
            <w:pPr>
              <w:pStyle w:val="27"/>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未按照磋商文件要求进行二次报价的</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视为放弃二次报价，由此引发的后果和责任由</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w:t>
            </w:r>
          </w:p>
        </w:tc>
        <w:tc>
          <w:tcPr>
            <w:tcW w:w="2095" w:type="dxa"/>
            <w:vAlign w:val="center"/>
          </w:tcPr>
          <w:p w14:paraId="5CE5FFF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投标截止之日后90天（日历天），从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响应文件递交</w:t>
            </w:r>
            <w:r>
              <w:rPr>
                <w:rFonts w:hint="eastAsia" w:ascii="Times New Roman" w:hAnsi="Times New Roman" w:eastAsia="宋体" w:cs="Times New Roman"/>
                <w:color w:val="000000" w:themeColor="text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2095" w:type="dxa"/>
            <w:vAlign w:val="center"/>
          </w:tcPr>
          <w:p w14:paraId="3C4D64B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3.4.2</w:t>
            </w:r>
          </w:p>
        </w:tc>
        <w:tc>
          <w:tcPr>
            <w:tcW w:w="2095" w:type="dxa"/>
            <w:vAlign w:val="center"/>
          </w:tcPr>
          <w:p w14:paraId="0FDEC2E6">
            <w:pPr>
              <w:spacing w:line="400" w:lineRule="exact"/>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BF6498F">
            <w:pPr>
              <w:spacing w:line="40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3.4.3</w:t>
            </w:r>
          </w:p>
        </w:tc>
        <w:tc>
          <w:tcPr>
            <w:tcW w:w="2095" w:type="dxa"/>
            <w:vAlign w:val="center"/>
          </w:tcPr>
          <w:p w14:paraId="08070CCB">
            <w:pPr>
              <w:spacing w:line="40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其他可以不予退还</w:t>
            </w:r>
            <w:r>
              <w:rPr>
                <w:rFonts w:hint="eastAsia" w:ascii="宋体" w:hAnsi="宋体" w:eastAsia="宋体" w:cs="宋体"/>
                <w:bCs/>
                <w:color w:val="000000" w:themeColor="text1"/>
                <w:sz w:val="21"/>
                <w:szCs w:val="21"/>
                <w:highlight w:val="none"/>
                <w:lang w:eastAsia="zh-CN"/>
                <w14:textFill>
                  <w14:solidFill>
                    <w14:schemeClr w14:val="tx1"/>
                  </w14:solidFill>
                </w14:textFill>
              </w:rPr>
              <w:t>磋商保证金</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是否允许递交备选投标方案</w:t>
            </w:r>
          </w:p>
        </w:tc>
        <w:tc>
          <w:tcPr>
            <w:tcW w:w="6675" w:type="dxa"/>
            <w:vAlign w:val="center"/>
          </w:tcPr>
          <w:p w14:paraId="5D3A625D">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p>
        </w:tc>
        <w:tc>
          <w:tcPr>
            <w:tcW w:w="2095" w:type="dxa"/>
            <w:vAlign w:val="center"/>
          </w:tcPr>
          <w:p w14:paraId="12D2867E">
            <w:pPr>
              <w:spacing w:line="400" w:lineRule="exact"/>
              <w:jc w:val="cente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响应文件的补充递交</w:t>
            </w:r>
          </w:p>
        </w:tc>
        <w:tc>
          <w:tcPr>
            <w:tcW w:w="6675" w:type="dxa"/>
            <w:vAlign w:val="center"/>
          </w:tcPr>
          <w:p w14:paraId="066DEAF4">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2024年12月09日</w:t>
            </w:r>
            <w:r>
              <w:rPr>
                <w:rFonts w:hint="eastAsia" w:ascii="宋体" w:hAnsi="宋体" w:eastAsia="宋体" w:cs="宋体"/>
                <w:color w:val="000000" w:themeColor="text1"/>
                <w:sz w:val="21"/>
                <w:szCs w:val="21"/>
                <w:highlight w:val="none"/>
                <w:lang w:val="en-US" w:eastAsia="zh-CN"/>
                <w14:textFill>
                  <w14:solidFill>
                    <w14:schemeClr w14:val="tx1"/>
                  </w14:solidFill>
                </w14:textFill>
              </w:rPr>
              <w:t>下午16时前</w:t>
            </w:r>
            <w:r>
              <w:rPr>
                <w:rFonts w:hint="eastAsia" w:ascii="宋体" w:hAnsi="宋体" w:cs="宋体"/>
                <w:color w:val="000000" w:themeColor="text1"/>
                <w:sz w:val="21"/>
                <w:szCs w:val="21"/>
                <w:highlight w:val="none"/>
                <w:lang w:val="en-US" w:eastAsia="zh-CN"/>
                <w14:textFill>
                  <w14:solidFill>
                    <w14:schemeClr w14:val="tx1"/>
                  </w14:solidFill>
                </w14:textFill>
              </w:rPr>
              <w:t>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纸质版投标文件送</w:t>
            </w:r>
            <w:r>
              <w:rPr>
                <w:rFonts w:hint="eastAsia" w:ascii="宋体" w:hAnsi="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w:t>
            </w:r>
          </w:p>
          <w:p w14:paraId="5FD43AD1">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1、份数要求：</w:t>
            </w:r>
          </w:p>
          <w:p w14:paraId="7B9459B3">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正本1份，副本3份，同时提供电子文件U盘2份（PDF为最终上传到政采云系统的签字盖章版本，WORD为投标文件可编辑版本），提交电子文件中要求的内容应包括纸质投标文件的全部内容。</w:t>
            </w:r>
          </w:p>
          <w:p w14:paraId="3689F6DE">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2、其他要求：</w:t>
            </w:r>
          </w:p>
          <w:p w14:paraId="30DA6D7B">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（1）投标单位在“政采云”平台（http：//www.zcygov.cn）上制作投标文件1份（此投标文件须上传至“政采云”平台）。</w:t>
            </w:r>
          </w:p>
          <w:p w14:paraId="20067B3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（2）投标单位在制作投标文件时，电子投标文件与纸质版本投标文件均以“政采云”平台的投标文件格式为准，投标单位上传至“政采云”平台的电子投标文件内容，在纸质投标文件中均应体现。</w:t>
            </w:r>
          </w:p>
          <w:p w14:paraId="7080491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3、递交要求，响应文件电子版内容：</w:t>
            </w:r>
          </w:p>
          <w:p w14:paraId="196695E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响应文件全部内容（PDF版本和Word版本，PDF为最终上传到政采云系统的签字盖章版本，WORD为响应文件可编辑版本，同时清单报价提供excel版和软件版两种格式）。</w:t>
            </w:r>
          </w:p>
          <w:p w14:paraId="06F1BD90">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响应文件电子版份数： 2份</w:t>
            </w:r>
          </w:p>
          <w:p w14:paraId="445232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响应文件电子版形式： U盘</w:t>
            </w:r>
          </w:p>
          <w:p w14:paraId="58E573E8">
            <w:pPr>
              <w:pageBreakBefore w:val="0"/>
              <w:kinsoku/>
              <w:overflowPunct/>
              <w:topLinePunct w:val="0"/>
              <w:bidi w:val="0"/>
              <w:spacing w:line="288"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响应文件电子版密封方式：单独放入一个密封袋中，加贴封条，并在封套封口处加盖申请人单位章，在封套上标记“响应文件电子版”字样。</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1"/>
                <w:szCs w:val="21"/>
                <w:highlight w:val="none"/>
                <w14:textFill>
                  <w14:solidFill>
                    <w14:schemeClr w14:val="tx1"/>
                  </w14:solidFill>
                </w14:textFill>
              </w:rPr>
              <w:t>需在开标前将</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15"/>
                <w:sz w:val="21"/>
                <w:szCs w:val="21"/>
                <w:highlight w:val="none"/>
                <w14:textFill>
                  <w14:solidFill>
                    <w14:schemeClr w14:val="tx1"/>
                  </w14:solidFill>
                </w14:textFill>
              </w:rPr>
              <w:t>制作工具生成的加密文件上传到</w:t>
            </w:r>
            <w:r>
              <w:rPr>
                <w:rFonts w:hint="eastAsia" w:ascii="宋体" w:hAnsi="宋体" w:cs="宋体"/>
                <w:bCs/>
                <w:color w:val="000000" w:themeColor="text1"/>
                <w:sz w:val="21"/>
                <w:szCs w:val="21"/>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15"/>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2024年12月09日13时30分（北京时间）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供应商上传提交响应文件的平台</w:t>
            </w:r>
          </w:p>
        </w:tc>
        <w:tc>
          <w:tcPr>
            <w:tcW w:w="6675" w:type="dxa"/>
            <w:vAlign w:val="top"/>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磋商小组的</w:t>
            </w:r>
            <w:r>
              <w:rPr>
                <w:rFonts w:hint="eastAsia" w:ascii="宋体" w:hAnsi="宋体"/>
                <w:color w:val="000000" w:themeColor="text1"/>
                <w:sz w:val="21"/>
                <w:szCs w:val="21"/>
                <w:highlight w:val="none"/>
                <w:lang w:val="zh-CN"/>
                <w14:textFill>
                  <w14:solidFill>
                    <w14:schemeClr w14:val="tx1"/>
                  </w14:solidFill>
                </w14:textFill>
              </w:rPr>
              <w:t>构成：</w:t>
            </w:r>
            <w:r>
              <w:rPr>
                <w:rFonts w:hint="eastAsia" w:ascii="宋体" w:hAnsi="宋体"/>
                <w:color w:val="000000" w:themeColor="text1"/>
                <w:sz w:val="21"/>
                <w:szCs w:val="21"/>
                <w:highlight w:val="none"/>
                <w:lang w:val="en-US" w:eastAsia="zh-CN"/>
                <w14:textFill>
                  <w14:solidFill>
                    <w14:schemeClr w14:val="tx1"/>
                  </w14:solidFill>
                </w14:textFill>
              </w:rPr>
              <w:t>专家3</w:t>
            </w:r>
            <w:r>
              <w:rPr>
                <w:rFonts w:hint="eastAsia" w:ascii="宋体" w:hAnsi="宋体"/>
                <w:color w:val="000000" w:themeColor="text1"/>
                <w:sz w:val="21"/>
                <w:szCs w:val="21"/>
                <w:highlight w:val="none"/>
                <w:lang w:val="zh-CN"/>
                <w14:textFill>
                  <w14:solidFill>
                    <w14:schemeClr w14:val="tx1"/>
                  </w14:solidFill>
                </w14:textFill>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评标专家确定方式：在</w:t>
            </w:r>
            <w:r>
              <w:rPr>
                <w:rFonts w:hint="eastAsia" w:ascii="宋体" w:hAnsi="宋体"/>
                <w:color w:val="000000" w:themeColor="text1"/>
                <w:sz w:val="21"/>
                <w:szCs w:val="21"/>
                <w:highlight w:val="none"/>
                <w:lang w:eastAsia="zh-CN"/>
                <w14:textFill>
                  <w14:solidFill>
                    <w14:schemeClr w14:val="tx1"/>
                  </w14:solidFill>
                </w14:textFill>
              </w:rPr>
              <w:t>“政采云”平台(https://www.zcygov.cn)</w:t>
            </w:r>
            <w:r>
              <w:rPr>
                <w:rFonts w:hint="eastAsia" w:ascii="宋体" w:hAnsi="宋体"/>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6.3.</w:t>
            </w: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推荐</w:t>
            </w:r>
            <w:r>
              <w:rPr>
                <w:rFonts w:hint="eastAsia" w:ascii="宋体" w:hAnsi="宋体" w:eastAsia="宋体" w:cs="宋体"/>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成交结果公告</w:t>
            </w:r>
            <w:r>
              <w:rPr>
                <w:rFonts w:hint="eastAsia" w:ascii="宋体" w:hAnsi="宋体" w:eastAsia="宋体" w:cs="宋体"/>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www.zcygov.cn），同步推送到吉林省政府采购网（http://www.ccgp-jilin.gov.cn/），并同时在长春市公共资源交易网、中国政府采购网上发布。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8</w:t>
            </w:r>
          </w:p>
        </w:tc>
        <w:tc>
          <w:tcPr>
            <w:tcW w:w="2095" w:type="dxa"/>
            <w:vAlign w:val="center"/>
          </w:tcPr>
          <w:p w14:paraId="77797924">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须知正文第8条规定的情形外，除非已经产生成交候选人，在响应有效期内同意延长响应有效期的</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是，具体要求：详见</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eastAsia="zh-CN"/>
                <w14:textFill>
                  <w14:solidFill>
                    <w14:schemeClr w14:val="tx1"/>
                  </w14:solidFill>
                </w14:textFill>
              </w:rPr>
              <w:t>须知前附表第10.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sym w:font="Wingdings 2" w:char="00A3"/>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代理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按照国家发展计划委员会“发改价格【2015】299号”文要求，固定收取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23300.0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restart"/>
            <w:vAlign w:val="center"/>
          </w:tcPr>
          <w:p w14:paraId="76E6FDE2">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0764AB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投标人必须保证投标时所报资料真实有效，采购人保留对资料的核查权力，一旦发现资料有虚假现象将没收投标人投标保证金，并移交有关部门处理。</w:t>
            </w:r>
          </w:p>
        </w:tc>
      </w:tr>
      <w:tr w14:paraId="6F9A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4DE650C">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564379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0296A54">
            <w:pPr>
              <w:numPr>
                <w:ilvl w:val="0"/>
                <w:numId w:val="5"/>
              </w:numPr>
              <w:spacing w:line="320" w:lineRule="exact"/>
              <w:jc w:val="left"/>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28B2CB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zh-CN"/>
                <w14:textFill>
                  <w14:solidFill>
                    <w14:schemeClr w14:val="tx1"/>
                  </w14:solidFill>
                </w14:textFill>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00B9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对于小型或微型企业参与本项目投标的：投标人需提供小微企业主管部门出具的《小微企业声明函》原件，在评审中将对小型或微型企业上生产的产品价格给予10%的扣除，用扣除后的价格参与评审。</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中小企业声明函中项目采购标的对应的企业划分标准所属行业为</w:t>
            </w:r>
            <w:r>
              <w:rPr>
                <w:rFonts w:hint="eastAsia" w:ascii="宋体" w:hAnsi="宋体" w:eastAsia="宋体" w:cs="宋体"/>
                <w:b/>
                <w:bCs/>
                <w:color w:val="000000" w:themeColor="text1"/>
                <w:sz w:val="21"/>
                <w:szCs w:val="21"/>
                <w:highlight w:val="none"/>
                <w:u w:val="single"/>
                <w14:textFill>
                  <w14:solidFill>
                    <w14:schemeClr w14:val="tx1"/>
                  </w14:solidFill>
                </w14:textFill>
              </w:rPr>
              <w:t>工业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1、供应商需在开标前将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2、开标时，供应商需用生成最终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所使用的数字证书（CA锁），以防</w:t>
            </w:r>
            <w:r>
              <w:rPr>
                <w:rFonts w:hint="eastAsia" w:ascii="宋体" w:hAnsi="宋体" w:eastAsia="宋体" w:cs="宋体"/>
                <w:color w:val="000000" w:themeColor="text1"/>
                <w:sz w:val="21"/>
                <w:szCs w:val="21"/>
                <w:highlight w:val="none"/>
                <w14:textFill>
                  <w14:solidFill>
                    <w14:schemeClr w14:val="tx1"/>
                  </w14:solidFill>
                </w14:textFill>
              </w:rPr>
              <w:t>签到、</w:t>
            </w:r>
            <w:r>
              <w:rPr>
                <w:rFonts w:hint="eastAsia" w:ascii="宋体" w:hAnsi="宋体" w:eastAsia="宋体" w:cs="宋体"/>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开评标过程中如因上述原因导致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3.通过该系统完成投标过程。依照</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的规定完成电子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的编制和提交。如未按</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要求编制、提交电子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，将可能导致否决投标，其后果由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应充分考虑到网络及系统平台可能存在的突发状况，在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www.zcygov.cn）不见面开标系统，播放测试音频，各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将无法看到解密指令、否决投标及澄清、唱标等实时情况，并承担由此产生的一切后果。</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提交截止时间后，通过系统互动区发出</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解密的指令，</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必须使用能正确解密</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的CA 证书，在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系统</w:t>
            </w:r>
            <w:r>
              <w:rPr>
                <w:rFonts w:hint="eastAsia" w:ascii="宋体" w:hAnsi="宋体" w:eastAsia="宋体" w:cs="宋体"/>
                <w:color w:val="000000" w:themeColor="text1"/>
                <w:sz w:val="21"/>
                <w:szCs w:val="21"/>
                <w:highlight w:val="none"/>
                <w:lang w:val="zh-CN"/>
                <w14:textFill>
                  <w14:solidFill>
                    <w14:schemeClr w14:val="tx1"/>
                  </w14:solidFill>
                </w14:textFill>
              </w:rPr>
              <w:t>规定的时间内完成远程解密，因</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原因未能解密、解密失败或解密超时，视为</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撤销其</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；因采购人或系统原因，导致无法按时完成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8.开标当日，</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9.开标、评标过程中，参与远程交互的各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应始终为同一个人，中途不得更换，在否决投标、澄清、质疑等特殊情况下需要交互时，</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一端参与交互的人员只能是</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的法定代表人或授权委托人（答辩等类似环节需要其他人员参与的除外），</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不得以不承认交互人员的资格或身份等为借口推脱，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10.纸质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存档</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代理机构</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具体递交要求执行</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4.根据</w:t>
            </w:r>
            <w:r>
              <w:rPr>
                <w:rFonts w:hint="eastAsia" w:ascii="宋体" w:hAnsi="宋体" w:eastAsia="宋体" w:cs="宋体"/>
                <w:color w:val="000000" w:themeColor="text1"/>
                <w:sz w:val="21"/>
                <w:szCs w:val="21"/>
                <w:highlight w:val="none"/>
                <w:lang w:val="zh-CN" w:eastAsia="zh-CN"/>
                <w14:textFill>
                  <w14:solidFill>
                    <w14:schemeClr w14:val="tx1"/>
                  </w14:solidFill>
                </w14:textFill>
              </w:rPr>
              <w:t>相关</w:t>
            </w:r>
            <w:r>
              <w:rPr>
                <w:rFonts w:hint="eastAsia" w:ascii="宋体" w:hAnsi="宋体" w:eastAsia="宋体" w:cs="宋体"/>
                <w:color w:val="000000" w:themeColor="text1"/>
                <w:sz w:val="21"/>
                <w:szCs w:val="21"/>
                <w:highlight w:val="none"/>
                <w:lang w:val="zh-CN"/>
                <w14:textFill>
                  <w14:solidFill>
                    <w14:schemeClr w14:val="tx1"/>
                  </w14:solidFill>
                </w14:textFill>
              </w:rPr>
              <w:t>要求使用对应版本的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1.开标当天，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3.项目进入</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在线解密阶段后，须在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规定解密时间内使用相应的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000000" w:themeColor="text1"/>
                <w:szCs w:val="2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000000" w:themeColor="text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37"/>
      <w:bookmarkEnd w:id="38"/>
      <w:r>
        <w:rPr>
          <w:rFonts w:hint="eastAsia" w:ascii="宋体" w:hAnsi="宋体"/>
          <w:color w:val="000000" w:themeColor="text1"/>
          <w:highlight w:val="none"/>
          <w14:textFill>
            <w14:solidFill>
              <w14:schemeClr w14:val="tx1"/>
            </w14:solidFill>
          </w14:textFill>
        </w:rPr>
        <w:t>1 ．总则</w:t>
      </w:r>
      <w:bookmarkEnd w:id="39"/>
    </w:p>
    <w:p w14:paraId="3123A5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 项目概况</w:t>
      </w:r>
    </w:p>
    <w:p w14:paraId="7428EF2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80AD6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1.2 资金来源和落实情况</w:t>
      </w:r>
    </w:p>
    <w:p w14:paraId="39C8EE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55CC8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1.3 </w:t>
      </w:r>
      <w:r>
        <w:rPr>
          <w:rFonts w:hint="eastAsia" w:ascii="宋体" w:hAnsi="宋体" w:eastAsia="宋体"/>
          <w:color w:val="000000" w:themeColor="text1"/>
          <w:highlight w:val="none"/>
          <w:lang w:val="en-US" w:eastAsia="zh-CN"/>
          <w14:textFill>
            <w14:solidFill>
              <w14:schemeClr w14:val="tx1"/>
            </w14:solidFill>
          </w14:textFill>
        </w:rPr>
        <w:t>采购</w:t>
      </w:r>
      <w:r>
        <w:rPr>
          <w:rFonts w:hint="eastAsia" w:ascii="宋体" w:hAnsi="宋体" w:eastAsia="宋体"/>
          <w:color w:val="000000" w:themeColor="text1"/>
          <w:highlight w:val="none"/>
          <w14:textFill>
            <w14:solidFill>
              <w14:schemeClr w14:val="tx1"/>
            </w14:solidFill>
          </w14:textFill>
        </w:rPr>
        <w:t>范围、</w:t>
      </w:r>
      <w:r>
        <w:rPr>
          <w:rFonts w:hint="eastAsia" w:ascii="宋体" w:hAnsi="宋体" w:eastAsia="宋体"/>
          <w:color w:val="000000" w:themeColor="text1"/>
          <w:highlight w:val="none"/>
          <w:lang w:val="en-US" w:eastAsia="zh-CN"/>
          <w14:textFill>
            <w14:solidFill>
              <w14:schemeClr w14:val="tx1"/>
            </w14:solidFill>
          </w14:textFill>
        </w:rPr>
        <w:t>供货期限</w:t>
      </w:r>
      <w:r>
        <w:rPr>
          <w:rFonts w:hint="eastAsia" w:ascii="宋体" w:hAnsi="宋体" w:eastAsia="宋体"/>
          <w:color w:val="000000" w:themeColor="text1"/>
          <w:highlight w:val="none"/>
          <w14:textFill>
            <w14:solidFill>
              <w14:schemeClr w14:val="tx1"/>
            </w14:solidFill>
          </w14:textFill>
        </w:rPr>
        <w:t>和质量标准</w:t>
      </w:r>
    </w:p>
    <w:p w14:paraId="4ABB953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2B53F9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1.4 </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资格要求</w:t>
      </w:r>
    </w:p>
    <w:p w14:paraId="41DD9D2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(3）联合体各方不得再以自己名义单独或参加其他联合体在同一标段中投标。</w:t>
      </w:r>
    </w:p>
    <w:p w14:paraId="3A1419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(2)被责令停业的；</w:t>
      </w:r>
    </w:p>
    <w:p w14:paraId="222EFA01">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(4)财产被接管或冻结的；</w:t>
      </w:r>
    </w:p>
    <w:p w14:paraId="6EC2B60F">
      <w:pPr>
        <w:spacing w:line="360" w:lineRule="auto"/>
        <w:ind w:right="105" w:rightChars="5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1.5 费用承担</w:t>
      </w:r>
    </w:p>
    <w:p w14:paraId="1A43E6E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1CCA5A0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1.6 保密</w:t>
      </w:r>
    </w:p>
    <w:p w14:paraId="62D6B51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40F94B5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1.7 语言文字</w:t>
      </w:r>
    </w:p>
    <w:p w14:paraId="5F9014A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3613D2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1.8 计量单位</w:t>
      </w:r>
    </w:p>
    <w:p w14:paraId="7DAE3D5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6E91D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1.9 踏勘现场</w:t>
      </w:r>
    </w:p>
    <w:p w14:paraId="4872FFD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 .3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4EC0C72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1.10 磋商预备会</w:t>
      </w:r>
    </w:p>
    <w:p w14:paraId="0B0E583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5A2E335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1.11 分包</w:t>
      </w:r>
    </w:p>
    <w:p w14:paraId="1BF5361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45974217">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1.12 偏离</w:t>
      </w:r>
    </w:p>
    <w:p w14:paraId="2A805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07D79020">
      <w:pPr>
        <w:pStyle w:val="4"/>
        <w:rPr>
          <w:rFonts w:ascii="宋体" w:hAnsi="宋体"/>
          <w:color w:val="000000" w:themeColor="text1"/>
          <w:highlight w:val="none"/>
          <w14:textFill>
            <w14:solidFill>
              <w14:schemeClr w14:val="tx1"/>
            </w14:solidFill>
          </w14:textFill>
        </w:rPr>
      </w:pPr>
      <w:bookmarkStart w:id="41" w:name="_Toc184635072"/>
      <w:r>
        <w:rPr>
          <w:rFonts w:hint="eastAsia" w:ascii="宋体" w:hAnsi="宋体"/>
          <w:color w:val="000000" w:themeColor="text1"/>
          <w:highlight w:val="none"/>
          <w14:textFill>
            <w14:solidFill>
              <w14:schemeClr w14:val="tx1"/>
            </w14:solidFill>
          </w14:textFill>
        </w:rPr>
        <w:t>2．磋商文件</w:t>
      </w:r>
      <w:bookmarkEnd w:id="41"/>
    </w:p>
    <w:p w14:paraId="107DA4C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磋商文件的组成</w:t>
      </w:r>
    </w:p>
    <w:p w14:paraId="7B52359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磋商文件的澄清</w:t>
      </w:r>
      <w:r>
        <w:rPr>
          <w:rFonts w:hint="eastAsia" w:ascii="宋体" w:hAnsi="宋体" w:eastAsia="宋体"/>
          <w:color w:val="000000" w:themeColor="text1"/>
          <w:highlight w:val="none"/>
          <w:lang w:val="en-US" w:eastAsia="zh-CN"/>
          <w14:textFill>
            <w14:solidFill>
              <w14:schemeClr w14:val="tx1"/>
            </w14:solidFill>
          </w14:textFill>
        </w:rPr>
        <w:t>和</w:t>
      </w:r>
      <w:r>
        <w:rPr>
          <w:rFonts w:hint="eastAsia" w:ascii="宋体" w:hAnsi="宋体" w:eastAsia="宋体"/>
          <w:color w:val="000000" w:themeColor="text1"/>
          <w:highlight w:val="none"/>
          <w14:textFill>
            <w14:solidFill>
              <w14:schemeClr w14:val="tx1"/>
            </w14:solidFill>
          </w14:textFill>
        </w:rPr>
        <w:t>修改</w:t>
      </w:r>
    </w:p>
    <w:p w14:paraId="2D7F952A">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bookmarkStart w:id="42"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67909EC4">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3．响应文件</w:t>
      </w:r>
      <w:bookmarkEnd w:id="42"/>
    </w:p>
    <w:p w14:paraId="722DEEB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响应文件的组成</w:t>
      </w:r>
    </w:p>
    <w:p w14:paraId="73E438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六、投标保证金</w:t>
      </w:r>
    </w:p>
    <w:p w14:paraId="3367D153">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2490C93A">
      <w:pPr>
        <w:spacing w:line="360" w:lineRule="auto"/>
        <w:ind w:right="105" w:rightChars="5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autoSpaceDE w:val="0"/>
        <w:autoSpaceDN w:val="0"/>
        <w:adjustRightIn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72A4BD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3.2 磋商报价</w:t>
      </w:r>
    </w:p>
    <w:p w14:paraId="6C2AD46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14E7FD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3.3 响应有效期</w:t>
      </w:r>
    </w:p>
    <w:p w14:paraId="54E58A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7CCCF876">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磋商保证金</w:t>
      </w:r>
    </w:p>
    <w:p w14:paraId="407E2E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19CF67E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7848FB0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 xml:space="preserve"> 备选投标方案</w:t>
      </w:r>
    </w:p>
    <w:p w14:paraId="035E70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14:textFill>
            <w14:solidFill>
              <w14:schemeClr w14:val="tx1"/>
            </w14:solidFill>
          </w14:textFill>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.4响应文件正本一份，副本份数见供应商须知前附表。正本和副本的封面上应清楚地标记</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正本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或</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副本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的字样。当副本和正本不一致时，以正本为准。</w:t>
      </w:r>
    </w:p>
    <w:p w14:paraId="065769C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.5 响应文件的正本与副本应分别装订成册，并编制目录，具体装订要求见供应商须知前附表规定。</w:t>
      </w:r>
    </w:p>
    <w:p w14:paraId="4842B64F">
      <w:pPr>
        <w:pStyle w:val="4"/>
        <w:rPr>
          <w:rFonts w:ascii="宋体" w:hAnsi="宋体"/>
          <w:color w:val="000000" w:themeColor="text1"/>
          <w:highlight w:val="none"/>
          <w14:textFill>
            <w14:solidFill>
              <w14:schemeClr w14:val="tx1"/>
            </w14:solidFill>
          </w14:textFill>
        </w:rPr>
      </w:pPr>
      <w:bookmarkStart w:id="43" w:name="_Toc184635074"/>
      <w:r>
        <w:rPr>
          <w:rFonts w:hint="eastAsia" w:ascii="宋体" w:hAnsi="宋体"/>
          <w:color w:val="000000" w:themeColor="text1"/>
          <w:highlight w:val="none"/>
          <w14:textFill>
            <w14:solidFill>
              <w14:schemeClr w14:val="tx1"/>
            </w14:solidFill>
          </w14:textFill>
        </w:rPr>
        <w:t>4．投标</w:t>
      </w:r>
      <w:bookmarkEnd w:id="43"/>
    </w:p>
    <w:p w14:paraId="06C785F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4.1 响应文件的密封和标记</w:t>
      </w:r>
    </w:p>
    <w:p w14:paraId="4B78DE23">
      <w:pPr>
        <w:autoSpaceDE w:val="0"/>
        <w:autoSpaceDN w:val="0"/>
        <w:adjustRightInd w:val="0"/>
        <w:spacing w:line="400" w:lineRule="exact"/>
        <w:ind w:firstLine="48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正本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或</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副本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字样，并在封套的封口处加盖供应商单位章。封套上应写明的其他内容见供应商须知前附表。</w:t>
      </w:r>
    </w:p>
    <w:p w14:paraId="53D7FFB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4.1.2电子U盘、磋商报价函，单独放入一个密封袋中，加贴封条，并在封套封口处加盖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单位公章，在封套上分别标记“响应文件电子版”或“磋商报价函”字样。</w:t>
      </w:r>
    </w:p>
    <w:p w14:paraId="79474F32">
      <w:pPr>
        <w:autoSpaceDE w:val="0"/>
        <w:autoSpaceDN w:val="0"/>
        <w:adjustRightInd w:val="0"/>
        <w:spacing w:line="400" w:lineRule="exact"/>
        <w:ind w:firstLine="420" w:firstLineChars="20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3未按本章第</w:t>
      </w: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条要求密封和加写标记的响应文件，采购人不予受理。</w:t>
      </w:r>
    </w:p>
    <w:p w14:paraId="6CE7872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4.2 响应文件的递交</w:t>
      </w:r>
    </w:p>
    <w:p w14:paraId="14ACFD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5BA6F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4.2.5 逾期送达的或者未送达指定地点的响应文件，采购人不予受理。</w:t>
      </w:r>
    </w:p>
    <w:p w14:paraId="0965DF8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 响应文件的修改与撤回</w:t>
      </w:r>
    </w:p>
    <w:p w14:paraId="6EA3A5C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可以修改或撤回已递交的响应文件，但应以书面形式通知采购人。</w:t>
      </w:r>
    </w:p>
    <w:p w14:paraId="41B992F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4.3.2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项的要求签字或盖章。采购人收到书面通知后，向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3E88B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20CE0C8B">
      <w:pPr>
        <w:pStyle w:val="4"/>
        <w:rPr>
          <w:rFonts w:hint="eastAsia" w:ascii="宋体" w:hAnsi="宋体" w:eastAsia="宋体"/>
          <w:color w:val="000000" w:themeColor="text1"/>
          <w:highlight w:val="none"/>
          <w:lang w:eastAsia="zh-CN"/>
          <w14:textFill>
            <w14:solidFill>
              <w14:schemeClr w14:val="tx1"/>
            </w14:solidFill>
          </w14:textFill>
        </w:rPr>
      </w:pPr>
      <w:bookmarkStart w:id="44" w:name="_Toc184635075"/>
      <w:r>
        <w:rPr>
          <w:rFonts w:hint="eastAsia" w:ascii="宋体" w:hAnsi="宋体"/>
          <w:color w:val="000000" w:themeColor="text1"/>
          <w:highlight w:val="none"/>
          <w14:textFill>
            <w14:solidFill>
              <w14:schemeClr w14:val="tx1"/>
            </w14:solidFill>
          </w14:textFill>
        </w:rPr>
        <w:t>5．开</w:t>
      </w:r>
      <w:bookmarkEnd w:id="44"/>
      <w:r>
        <w:rPr>
          <w:rFonts w:hint="eastAsia" w:ascii="宋体" w:hAnsi="宋体"/>
          <w:color w:val="000000" w:themeColor="text1"/>
          <w:highlight w:val="none"/>
          <w:lang w:val="en-US" w:eastAsia="zh-CN"/>
          <w14:textFill>
            <w14:solidFill>
              <w14:schemeClr w14:val="tx1"/>
            </w14:solidFill>
          </w14:textFill>
        </w:rPr>
        <w:t>启</w:t>
      </w:r>
    </w:p>
    <w:p w14:paraId="79F38CC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5.1 开启时间和地点</w:t>
      </w:r>
    </w:p>
    <w:p w14:paraId="27B9CF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5B26676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5.2 磋商程序</w:t>
      </w:r>
    </w:p>
    <w:p w14:paraId="04D3F0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45"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6．评审</w:t>
      </w:r>
      <w:bookmarkEnd w:id="45"/>
    </w:p>
    <w:p w14:paraId="308691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6.1 磋商小组</w:t>
      </w:r>
    </w:p>
    <w:p w14:paraId="00D3282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772DF1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6.2 评审原则</w:t>
      </w:r>
    </w:p>
    <w:p w14:paraId="79A888D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29743F5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6.3 评审工作</w:t>
      </w:r>
    </w:p>
    <w:p w14:paraId="6D3CF51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000000" w:themeColor="text1"/>
          <w:highlight w:val="none"/>
          <w14:textFill>
            <w14:solidFill>
              <w14:schemeClr w14:val="tx1"/>
            </w14:solidFill>
          </w14:textFill>
        </w:rPr>
      </w:pPr>
      <w:bookmarkStart w:id="46" w:name="_Toc184635077"/>
      <w:r>
        <w:rPr>
          <w:rFonts w:hint="eastAsia" w:ascii="宋体" w:hAnsi="宋体"/>
          <w:color w:val="000000" w:themeColor="text1"/>
          <w:highlight w:val="none"/>
          <w14:textFill>
            <w14:solidFill>
              <w14:schemeClr w14:val="tx1"/>
            </w14:solidFill>
          </w14:textFill>
        </w:rPr>
        <w:t>7．合同授予</w:t>
      </w:r>
      <w:bookmarkEnd w:id="46"/>
    </w:p>
    <w:p w14:paraId="6FB84B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7.1 定标方式</w:t>
      </w:r>
    </w:p>
    <w:p w14:paraId="14EA68E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F9F8FE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7.2 成交通知</w:t>
      </w:r>
    </w:p>
    <w:p w14:paraId="2E5F29B5">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05A29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7.3 履约担保</w:t>
      </w:r>
      <w:r>
        <w:rPr>
          <w:rFonts w:hint="eastAsia" w:ascii="宋体" w:hAnsi="宋体" w:eastAsia="宋体"/>
          <w:color w:val="000000" w:themeColor="text1"/>
          <w:highlight w:val="none"/>
          <w:lang w:val="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本项目不收取</w:t>
      </w:r>
      <w:r>
        <w:rPr>
          <w:rFonts w:hint="eastAsia" w:ascii="宋体" w:hAnsi="宋体" w:eastAsia="宋体"/>
          <w:color w:val="000000" w:themeColor="text1"/>
          <w:highlight w:val="none"/>
          <w:lang w:val="zh-CN"/>
          <w14:textFill>
            <w14:solidFill>
              <w14:schemeClr w14:val="tx1"/>
            </w14:solidFill>
          </w14:textFill>
        </w:rPr>
        <w:t>）</w:t>
      </w:r>
    </w:p>
    <w:p w14:paraId="17063F8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7.4 签订合同</w:t>
      </w:r>
    </w:p>
    <w:p w14:paraId="3F7DCE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000000" w:themeColor="text1"/>
          <w:highlight w:val="none"/>
          <w14:textFill>
            <w14:solidFill>
              <w14:schemeClr w14:val="tx1"/>
            </w14:solidFill>
          </w14:textFill>
        </w:rPr>
      </w:pPr>
      <w:bookmarkStart w:id="47" w:name="_Toc184635078"/>
      <w:r>
        <w:rPr>
          <w:rFonts w:hint="eastAsia" w:ascii="宋体" w:hAnsi="宋体"/>
          <w:color w:val="000000" w:themeColor="text1"/>
          <w:highlight w:val="none"/>
          <w14:textFill>
            <w14:solidFill>
              <w14:schemeClr w14:val="tx1"/>
            </w14:solidFill>
          </w14:textFill>
        </w:rPr>
        <w:t>8．重新招标和不再招标</w:t>
      </w:r>
      <w:bookmarkEnd w:id="47"/>
    </w:p>
    <w:p w14:paraId="4515169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8.1 重新招标</w:t>
      </w:r>
    </w:p>
    <w:p w14:paraId="3A683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58AB9A3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8.2 不再招标</w:t>
      </w:r>
    </w:p>
    <w:p w14:paraId="47A1D9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6CA25E04">
      <w:pPr>
        <w:pStyle w:val="4"/>
        <w:rPr>
          <w:rFonts w:ascii="宋体" w:hAnsi="宋体"/>
          <w:color w:val="000000" w:themeColor="text1"/>
          <w:highlight w:val="none"/>
          <w14:textFill>
            <w14:solidFill>
              <w14:schemeClr w14:val="tx1"/>
            </w14:solidFill>
          </w14:textFill>
        </w:rPr>
      </w:pPr>
      <w:bookmarkStart w:id="48" w:name="_Toc184635079"/>
      <w:r>
        <w:rPr>
          <w:rFonts w:hint="eastAsia" w:ascii="宋体" w:hAnsi="宋体"/>
          <w:color w:val="000000" w:themeColor="text1"/>
          <w:highlight w:val="none"/>
          <w14:textFill>
            <w14:solidFill>
              <w14:schemeClr w14:val="tx1"/>
            </w14:solidFill>
          </w14:textFill>
        </w:rPr>
        <w:t>9．纪律和监督</w:t>
      </w:r>
      <w:bookmarkEnd w:id="48"/>
    </w:p>
    <w:p w14:paraId="098E64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9.1 对采购人的纪律要求</w:t>
      </w:r>
    </w:p>
    <w:p w14:paraId="4F57FCF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58319E33">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9.2 对</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的纪律要求</w:t>
      </w:r>
    </w:p>
    <w:p w14:paraId="3E8137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69C7A0E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9.3 对磋商小组成员的纪律要求</w:t>
      </w:r>
    </w:p>
    <w:p w14:paraId="7B3B54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9.4 对与评审活动有关的工作人员的纪律要求</w:t>
      </w:r>
    </w:p>
    <w:p w14:paraId="243BC3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9.5 投诉</w:t>
      </w:r>
    </w:p>
    <w:p w14:paraId="476AE2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CE030CF">
      <w:pPr>
        <w:pStyle w:val="4"/>
        <w:rPr>
          <w:rFonts w:ascii="宋体" w:hAnsi="宋体"/>
          <w:color w:val="000000" w:themeColor="text1"/>
          <w:highlight w:val="none"/>
          <w14:textFill>
            <w14:solidFill>
              <w14:schemeClr w14:val="tx1"/>
            </w14:solidFill>
          </w14:textFill>
        </w:rPr>
      </w:pPr>
      <w:bookmarkStart w:id="49" w:name="_Toc184635080"/>
      <w:r>
        <w:rPr>
          <w:rFonts w:hint="eastAsia"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需要补充的其他内容</w:t>
      </w:r>
      <w:bookmarkEnd w:id="49"/>
    </w:p>
    <w:p w14:paraId="3A6E6D6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pStyle w:val="2"/>
        <w:bidi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0" w:name="_Toc30908"/>
      <w:r>
        <w:rPr>
          <w:rFonts w:hint="eastAsia" w:eastAsia="宋体"/>
          <w:color w:val="000000" w:themeColor="text1"/>
          <w:highlight w:val="none"/>
          <w:lang w:val="en-US" w:eastAsia="zh-CN"/>
          <w14:textFill>
            <w14:solidFill>
              <w14:schemeClr w14:val="tx1"/>
            </w14:solidFill>
          </w14:textFill>
        </w:rPr>
        <w:t>评审办法（综合评分法）</w:t>
      </w:r>
      <w:bookmarkEnd w:id="50"/>
    </w:p>
    <w:p w14:paraId="3978C675">
      <w:pPr>
        <w:spacing w:afterLines="50"/>
        <w:jc w:val="center"/>
        <w:rPr>
          <w:rFonts w:ascii="宋体" w:hAnsi="宋体"/>
          <w:b/>
          <w:color w:val="000000" w:themeColor="text1"/>
          <w:sz w:val="32"/>
          <w:szCs w:val="32"/>
          <w:highlight w:val="none"/>
          <w14:textFill>
            <w14:solidFill>
              <w14:schemeClr w14:val="tx1"/>
            </w14:solidFill>
          </w14:textFill>
        </w:rPr>
      </w:pPr>
      <w:bookmarkStart w:id="51"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24C8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982633D">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28AE5274">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7353F56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资质证书</w:t>
            </w:r>
          </w:p>
        </w:tc>
        <w:tc>
          <w:tcPr>
            <w:tcW w:w="6039" w:type="dxa"/>
            <w:vAlign w:val="center"/>
          </w:tcPr>
          <w:p w14:paraId="0D89A283">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具备建设行政主管部门核发的</w:t>
            </w:r>
            <w:r>
              <w:rPr>
                <w:rFonts w:hint="eastAsia" w:ascii="宋体" w:hAnsi="宋体" w:cs="宋体"/>
                <w:color w:val="000000" w:themeColor="text1"/>
                <w:szCs w:val="21"/>
                <w:highlight w:val="none"/>
                <w:lang w:val="en-US" w:eastAsia="zh-CN"/>
                <w14:textFill>
                  <w14:solidFill>
                    <w14:schemeClr w14:val="tx1"/>
                  </w14:solidFill>
                </w14:textFill>
              </w:rPr>
              <w:t>建筑机电安装工程专业承包二级及以上资质</w:t>
            </w:r>
          </w:p>
          <w:p w14:paraId="2EEFF1A9">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响应文件中附与新版资质证书副本同样大小并加盖供应商公章的复印件，复印件与原件效力等同，或可查询的电子证书，响应文件中附加盖公章的复印件。</w:t>
            </w:r>
          </w:p>
        </w:tc>
      </w:tr>
      <w:tr w14:paraId="620B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0CEF9FA">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1513581A">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15FA23EF">
            <w:pPr>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安全生产许可证</w:t>
            </w:r>
          </w:p>
        </w:tc>
        <w:tc>
          <w:tcPr>
            <w:tcW w:w="6039" w:type="dxa"/>
            <w:vAlign w:val="center"/>
          </w:tcPr>
          <w:p w14:paraId="0EE63F1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eastAsia="宋体" w:cs="宋体"/>
                <w:color w:val="000000" w:themeColor="text1"/>
                <w:szCs w:val="21"/>
                <w:highlight w:val="none"/>
                <w:lang w:val="en-US" w:eastAsia="zh-CN"/>
                <w14:textFill>
                  <w14:solidFill>
                    <w14:schemeClr w14:val="tx1"/>
                  </w14:solidFill>
                </w14:textFill>
              </w:rPr>
              <w:t>有效的安全生产许可证</w:t>
            </w:r>
          </w:p>
          <w:p w14:paraId="6E9A1EE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w:t>
            </w:r>
            <w:r>
              <w:rPr>
                <w:rFonts w:hint="eastAsia" w:ascii="宋体" w:hAnsi="宋体" w:eastAsia="宋体" w:cs="宋体"/>
                <w:b/>
                <w:bCs/>
                <w:color w:val="000000" w:themeColor="text1"/>
                <w:szCs w:val="21"/>
                <w:highlight w:val="none"/>
                <w:lang w:val="zh-CN" w:eastAsia="zh-CN"/>
                <w14:textFill>
                  <w14:solidFill>
                    <w14:schemeClr w14:val="tx1"/>
                  </w14:solidFill>
                </w14:textFill>
              </w:rPr>
              <w:t>安全生产许可证副本</w:t>
            </w:r>
            <w:r>
              <w:rPr>
                <w:rFonts w:hint="eastAsia" w:ascii="宋体" w:hAnsi="宋体" w:eastAsia="宋体" w:cs="宋体"/>
                <w:b/>
                <w:bCs/>
                <w:color w:val="000000" w:themeColor="text1"/>
                <w:szCs w:val="21"/>
                <w:highlight w:val="none"/>
                <w:lang w:val="en-US" w:eastAsia="zh-CN"/>
                <w14:textFill>
                  <w14:solidFill>
                    <w14:schemeClr w14:val="tx1"/>
                  </w14:solidFill>
                </w14:textFill>
              </w:rPr>
              <w:t>复印件加盖供应商公章，</w:t>
            </w:r>
            <w:r>
              <w:rPr>
                <w:rFonts w:hint="eastAsia" w:ascii="宋体" w:hAnsi="宋体" w:eastAsia="宋体" w:cs="宋体"/>
                <w:b/>
                <w:bCs/>
                <w:color w:val="000000" w:themeColor="text1"/>
                <w:szCs w:val="21"/>
                <w:highlight w:val="none"/>
                <w:lang w:val="zh-CN" w:eastAsia="zh-CN"/>
                <w14:textFill>
                  <w14:solidFill>
                    <w14:schemeClr w14:val="tx1"/>
                  </w14:solidFill>
                </w14:textFill>
              </w:rPr>
              <w:t>启用电子证书的供应商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,响应文件内附电子证书的有效查询网址，信息真伪由评标专家登录其提供的有效网址或扫描二维码标识进行查询确认。</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注</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吉林省内供应商启用安全生产许可证电子证书的</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信息的真伪由评标专家通过登录</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吉林省建筑市场监管公共服务平台</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进入</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安全生产许可证管理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子系统</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证书查询</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(http://cxpt.jlsjsxxw.com/AqscxkzDefault.aspx)</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或扫描二维码标识进行查询确认。</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6"/>
              <w:spacing w:line="24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vAlign w:val="center"/>
          </w:tcPr>
          <w:p w14:paraId="5461DDDC">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供应商应按照《长春市财政局关于加强政府采购信用体系建设简化供应商资格条件有关事项的通</w:t>
            </w:r>
            <w:r>
              <w:rPr>
                <w:rFonts w:hint="eastAsia" w:ascii="宋体" w:hAnsi="宋体" w:eastAsia="宋体" w:cs="宋体"/>
                <w:color w:val="000000" w:themeColor="text1"/>
                <w:szCs w:val="21"/>
                <w:highlight w:val="none"/>
                <w:lang w:eastAsia="zh-CN"/>
                <w14:textFill>
                  <w14:solidFill>
                    <w14:schemeClr w14:val="tx1"/>
                  </w14:solidFill>
                </w14:textFill>
              </w:rPr>
              <w:t>知》（长财采购</w:t>
            </w:r>
            <w:r>
              <w:rPr>
                <w:rFonts w:hint="eastAsia" w:ascii="宋体" w:hAnsi="宋体" w:eastAsia="宋体" w:cs="宋体"/>
                <w:color w:val="000000" w:themeColor="text1"/>
                <w:szCs w:val="21"/>
                <w:highlight w:val="none"/>
                <w:lang w:val="en-US" w:eastAsia="zh-CN"/>
                <w14:textFill>
                  <w14:solidFill>
                    <w14:schemeClr w14:val="tx1"/>
                  </w14:solidFill>
                </w14:textFill>
              </w:rPr>
              <w:t>[2022]2066号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15262C29">
            <w:pPr>
              <w:autoSpaceDE w:val="0"/>
              <w:autoSpaceDN w:val="0"/>
              <w:adjustRightInd w:val="0"/>
              <w:spacing w:line="240" w:lineRule="auto"/>
              <w:jc w:val="both"/>
              <w:rPr>
                <w:rFonts w:hint="eastAsia" w:ascii="宋体" w:hAnsi="宋体"/>
                <w:b w:val="0"/>
                <w:bCs w:val="0"/>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679E14A">
            <w:pPr>
              <w:pStyle w:val="106"/>
              <w:spacing w:line="240" w:lineRule="auto"/>
              <w:jc w:val="cente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w:t>
            </w:r>
          </w:p>
        </w:tc>
        <w:tc>
          <w:tcPr>
            <w:tcW w:w="6039" w:type="dxa"/>
            <w:vAlign w:val="center"/>
          </w:tcPr>
          <w:p w14:paraId="4303B5FA">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供应商拟派出的项目经理须具备机电工程专业贰级及以上注册建造师资格，并具备有效的安全生产考核合格证（B类）；</w:t>
            </w:r>
          </w:p>
          <w:p w14:paraId="6C71C9A6">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响应文件中附</w:t>
            </w:r>
            <w:r>
              <w:rPr>
                <w:rFonts w:hint="eastAsia" w:ascii="宋体" w:hAnsi="宋体" w:eastAsia="宋体" w:cs="宋体"/>
                <w:b/>
                <w:bCs/>
                <w:color w:val="000000" w:themeColor="text1"/>
                <w:szCs w:val="21"/>
                <w:highlight w:val="none"/>
                <w:lang w:val="zh-CN" w:eastAsia="zh-CN"/>
                <w14:textFill>
                  <w14:solidFill>
                    <w14:schemeClr w14:val="tx1"/>
                  </w14:solidFill>
                </w14:textFill>
              </w:rPr>
              <w:t>项目经理注册证书及安全考核证书</w:t>
            </w:r>
            <w:r>
              <w:rPr>
                <w:rFonts w:hint="eastAsia" w:ascii="宋体" w:hAnsi="宋体" w:eastAsia="宋体" w:cs="宋体"/>
                <w:b/>
                <w:bCs/>
                <w:color w:val="000000" w:themeColor="text1"/>
                <w:szCs w:val="21"/>
                <w:highlight w:val="none"/>
                <w:lang w:eastAsia="zh-CN"/>
                <w14:textFill>
                  <w14:solidFill>
                    <w14:schemeClr w14:val="tx1"/>
                  </w14:solidFill>
                </w14:textFill>
              </w:rPr>
              <w:t>加盖公章的复印件</w:t>
            </w:r>
            <w:r>
              <w:rPr>
                <w:rFonts w:hint="eastAsia" w:ascii="宋体" w:hAnsi="宋体" w:cs="宋体"/>
                <w:b/>
                <w:bCs/>
                <w:color w:val="000000" w:themeColor="text1"/>
                <w:szCs w:val="21"/>
                <w:highlight w:val="none"/>
                <w:lang w:eastAsia="zh-CN"/>
                <w14:textFill>
                  <w14:solidFill>
                    <w14:schemeClr w14:val="tx1"/>
                  </w14:solidFill>
                </w14:textFill>
              </w:rPr>
              <w:t>。</w:t>
            </w:r>
          </w:p>
          <w:p w14:paraId="0B176B0F">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项目经理</w:t>
            </w:r>
            <w:r>
              <w:rPr>
                <w:rFonts w:hint="eastAsia" w:ascii="宋体" w:hAnsi="宋体" w:eastAsia="宋体" w:cs="宋体"/>
                <w:color w:val="000000" w:themeColor="text1"/>
                <w:szCs w:val="21"/>
                <w:highlight w:val="none"/>
                <w:lang w:eastAsia="zh-CN"/>
                <w14:textFill>
                  <w14:solidFill>
                    <w14:schemeClr w14:val="tx1"/>
                  </w14:solidFill>
                </w14:textFill>
              </w:rPr>
              <w:t>应无在建工程，提供由</w:t>
            </w:r>
            <w:r>
              <w:rPr>
                <w:rFonts w:hint="eastAsia" w:ascii="宋体" w:hAnsi="宋体" w:eastAsia="宋体" w:cs="宋体"/>
                <w:color w:val="000000" w:themeColor="text1"/>
                <w:szCs w:val="21"/>
                <w:highlight w:val="none"/>
                <w:lang w:val="zh-CN" w:eastAsia="zh-CN"/>
                <w14:textFill>
                  <w14:solidFill>
                    <w14:schemeClr w14:val="tx1"/>
                  </w14:solidFill>
                </w14:textFill>
              </w:rPr>
              <w:t>法人</w:t>
            </w:r>
            <w:r>
              <w:rPr>
                <w:rFonts w:hint="eastAsia" w:ascii="宋体" w:hAnsi="宋体" w:eastAsia="宋体" w:cs="宋体"/>
                <w:color w:val="000000" w:themeColor="text1"/>
                <w:szCs w:val="21"/>
                <w:highlight w:val="none"/>
                <w:lang w:eastAsia="zh-CN"/>
                <w14:textFill>
                  <w14:solidFill>
                    <w14:schemeClr w14:val="tx1"/>
                  </w14:solidFill>
                </w14:textFill>
              </w:rPr>
              <w:t>签字并加盖企业公章的</w:t>
            </w:r>
            <w:r>
              <w:rPr>
                <w:rFonts w:hint="eastAsia" w:ascii="宋体" w:hAnsi="宋体" w:eastAsia="宋体" w:cs="宋体"/>
                <w:color w:val="000000" w:themeColor="text1"/>
                <w:szCs w:val="21"/>
                <w:highlight w:val="none"/>
                <w:lang w:val="zh-CN" w:eastAsia="zh-CN"/>
                <w14:textFill>
                  <w14:solidFill>
                    <w14:schemeClr w14:val="tx1"/>
                  </w14:solidFill>
                </w14:textFill>
              </w:rPr>
              <w:t>无在建</w:t>
            </w:r>
            <w:r>
              <w:rPr>
                <w:rFonts w:hint="eastAsia" w:ascii="宋体" w:hAnsi="宋体" w:eastAsia="宋体" w:cs="宋体"/>
                <w:color w:val="000000" w:themeColor="text1"/>
                <w:szCs w:val="21"/>
                <w:highlight w:val="none"/>
                <w:lang w:eastAsia="zh-CN"/>
                <w14:textFill>
                  <w14:solidFill>
                    <w14:schemeClr w14:val="tx1"/>
                  </w14:solidFill>
                </w14:textFill>
              </w:rPr>
              <w:t>工程承诺书</w:t>
            </w:r>
            <w:r>
              <w:rPr>
                <w:rFonts w:hint="eastAsia" w:ascii="宋体" w:hAnsi="宋体" w:cs="宋体"/>
                <w:color w:val="000000" w:themeColor="text1"/>
                <w:szCs w:val="21"/>
                <w:highlight w:val="none"/>
                <w:lang w:eastAsia="zh-CN"/>
                <w14:textFill>
                  <w14:solidFill>
                    <w14:schemeClr w14:val="tx1"/>
                  </w14:solidFill>
                </w14:textFill>
              </w:rPr>
              <w:t>；</w:t>
            </w:r>
          </w:p>
          <w:p w14:paraId="4A9D3AE6">
            <w:pPr>
              <w:autoSpaceDE w:val="0"/>
              <w:autoSpaceDN w:val="0"/>
              <w:adjustRightInd w:val="0"/>
              <w:spacing w:line="240" w:lineRule="auto"/>
              <w:jc w:val="both"/>
              <w:rPr>
                <w:rFonts w:hint="eastAsia" w:ascii="Times New Roman" w:hAnsi="Times New Roman" w:eastAsia="宋体" w:cs="Times New Roman"/>
                <w:b/>
                <w:bCs/>
                <w:color w:val="000000" w:themeColor="text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响应文件中须提供项目经理在吉林省建筑市场监管公共服务平台内人员信息截图，加盖企业公章。评标专家在现场监督人员的监督下对项目经理信息通过吉林省建筑市场监管公共服务平台核实。</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4.供应商参加政府采购活动近3年内（2021年至今）在经营活动中没有重大违法记录。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autoSpaceDE w:val="0"/>
              <w:autoSpaceDN w:val="0"/>
              <w:adjustRightInd w:val="0"/>
              <w:spacing w:line="240" w:lineRule="auto"/>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vAlign w:val="center"/>
          </w:tcPr>
          <w:p w14:paraId="658FCBA7">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vAlign w:val="center"/>
          </w:tcPr>
          <w:p w14:paraId="1D5B025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spacing w:line="240" w:lineRule="exact"/>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570B6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响应有效期</w:t>
            </w:r>
          </w:p>
        </w:tc>
        <w:tc>
          <w:tcPr>
            <w:tcW w:w="6039" w:type="dxa"/>
            <w:vAlign w:val="center"/>
          </w:tcPr>
          <w:p w14:paraId="1BFFDC0D">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采购需</w:t>
            </w:r>
            <w:r>
              <w:rPr>
                <w:rFonts w:hint="eastAsia" w:ascii="宋体" w:hAnsi="宋体"/>
                <w:color w:val="000000" w:themeColor="text1"/>
                <w:szCs w:val="21"/>
                <w:highlight w:val="none"/>
                <w14:textFill>
                  <w14:solidFill>
                    <w14:schemeClr w14:val="tx1"/>
                  </w14:solidFill>
                </w14:textFill>
              </w:rPr>
              <w:t>求</w:t>
            </w:r>
          </w:p>
        </w:tc>
        <w:tc>
          <w:tcPr>
            <w:tcW w:w="6039" w:type="dxa"/>
            <w:vAlign w:val="center"/>
          </w:tcPr>
          <w:p w14:paraId="6B44B1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2787E37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低于（含等于）第二章“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须知”前附表载明的招标控制价。</w:t>
            </w:r>
          </w:p>
        </w:tc>
      </w:tr>
    </w:tbl>
    <w:p w14:paraId="64706281">
      <w:pPr>
        <w:spacing w:beforeLines="100"/>
        <w:ind w:right="-496" w:rightChars="-236"/>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ind w:firstLine="361"/>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67AD9BA8">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2</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3</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4</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其他因素</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10</w:t>
            </w:r>
            <w:r>
              <w:rPr>
                <w:rFonts w:ascii="宋体" w:hAnsi="宋体" w:cs="微软雅黑"/>
                <w:color w:val="000000" w:themeColor="text1"/>
                <w:szCs w:val="21"/>
                <w:highlight w:val="none"/>
                <w:lang w:val="zh-CN"/>
                <w14:textFill>
                  <w14:solidFill>
                    <w14:schemeClr w14:val="tx1"/>
                  </w14:solidFill>
                </w14:textFill>
              </w:rPr>
              <w:t>分</w:t>
            </w:r>
            <w:r>
              <w:rPr>
                <w:rFonts w:hint="eastAsia" w:ascii="宋体" w:hAnsi="宋体" w:cs="微软雅黑"/>
                <w:color w:val="000000" w:themeColor="text1"/>
                <w:szCs w:val="21"/>
                <w:highlight w:val="none"/>
                <w:lang w:val="zh-CN"/>
                <w14:textFill>
                  <w14:solidFill>
                    <w14:schemeClr w14:val="tx1"/>
                  </w14:solidFill>
                </w14:textFill>
              </w:rPr>
              <w:t>。</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48267229">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超出</w:t>
            </w:r>
            <w:r>
              <w:rPr>
                <w:rFonts w:hint="eastAsia" w:ascii="宋体" w:hAnsi="宋体" w:cs="微软雅黑"/>
                <w:color w:val="000000" w:themeColor="text1"/>
                <w:szCs w:val="21"/>
                <w:highlight w:val="none"/>
                <w:lang w:val="en-US" w:eastAsia="zh-CN"/>
                <w14:textFill>
                  <w14:solidFill>
                    <w14:schemeClr w14:val="tx1"/>
                  </w14:solidFill>
                </w14:textFill>
              </w:rPr>
              <w:t>最高限价</w:t>
            </w:r>
            <w:r>
              <w:rPr>
                <w:rFonts w:hint="eastAsia" w:ascii="宋体" w:hAnsi="宋体" w:cs="微软雅黑"/>
                <w:color w:val="000000" w:themeColor="text1"/>
                <w:szCs w:val="21"/>
                <w:highlight w:val="none"/>
                <w14:textFill>
                  <w14:solidFill>
                    <w14:schemeClr w14:val="tx1"/>
                  </w14:solidFill>
                </w14:textFill>
              </w:rPr>
              <w:t>的磋商响应报价按</w:t>
            </w:r>
            <w:r>
              <w:rPr>
                <w:rFonts w:hint="eastAsia" w:ascii="宋体" w:hAnsi="宋体" w:cs="微软雅黑"/>
                <w:color w:val="000000" w:themeColor="text1"/>
                <w:szCs w:val="21"/>
                <w:highlight w:val="none"/>
                <w:lang w:val="en-US" w:eastAsia="zh-CN"/>
                <w14:textFill>
                  <w14:solidFill>
                    <w14:schemeClr w14:val="tx1"/>
                  </w14:solidFill>
                </w14:textFill>
              </w:rPr>
              <w:t>无效报价</w:t>
            </w:r>
            <w:r>
              <w:rPr>
                <w:rFonts w:hint="eastAsia" w:ascii="宋体" w:hAnsi="宋体" w:cs="微软雅黑"/>
                <w:color w:val="000000" w:themeColor="text1"/>
                <w:szCs w:val="21"/>
                <w:highlight w:val="none"/>
                <w14:textFill>
                  <w14:solidFill>
                    <w14:schemeClr w14:val="tx1"/>
                  </w14:solidFill>
                </w14:textFill>
              </w:rPr>
              <w:t>处理。</w:t>
            </w:r>
          </w:p>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注：报价得分保留小数点后两位。</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spacing w:line="0" w:lineRule="atLeast"/>
              <w:ind w:right="69" w:rightChars="33" w:firstLine="100" w:firstLineChars="48"/>
              <w:jc w:val="center"/>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3F173DD">
            <w:pPr>
              <w:spacing w:line="0" w:lineRule="atLeast"/>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最终报价得分=（磋商基准价/最终磋商报价）×30%×100，四舍五入保留小数点后两位有效数字。</w:t>
            </w:r>
          </w:p>
        </w:tc>
        <w:tc>
          <w:tcPr>
            <w:tcW w:w="657" w:type="dxa"/>
            <w:vAlign w:val="center"/>
          </w:tcPr>
          <w:p w14:paraId="788E5725">
            <w:pPr>
              <w:spacing w:line="0" w:lineRule="atLeast"/>
              <w:ind w:right="84" w:rightChars="40" w:firstLine="54" w:firstLineChars="26"/>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商务因素10分</w:t>
            </w:r>
          </w:p>
        </w:tc>
        <w:tc>
          <w:tcPr>
            <w:tcW w:w="1737" w:type="dxa"/>
            <w:vAlign w:val="center"/>
          </w:tcPr>
          <w:p w14:paraId="5B9F5622">
            <w:pPr>
              <w:pStyle w:val="106"/>
              <w:spacing w:line="0" w:lineRule="atLeast"/>
              <w:jc w:val="center"/>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p>
        </w:tc>
        <w:tc>
          <w:tcPr>
            <w:tcW w:w="5606" w:type="dxa"/>
            <w:vAlign w:val="center"/>
          </w:tcPr>
          <w:p w14:paraId="36819841">
            <w:pPr>
              <w:pStyle w:val="106"/>
              <w:spacing w:line="0" w:lineRule="atLeast"/>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每提供</w:t>
            </w:r>
            <w:r>
              <w:rPr>
                <w:rFonts w:hint="eastAsia" w:ascii="Times New Roman" w:hAnsi="Times New Roman" w:cs="Times New Roman"/>
                <w:color w:val="000000" w:themeColor="text1"/>
                <w:sz w:val="21"/>
                <w:szCs w:val="21"/>
                <w:highlight w:val="none"/>
                <w:lang w:val="en-US"/>
                <w14:textFill>
                  <w14:solidFill>
                    <w14:schemeClr w14:val="tx1"/>
                  </w14:solidFill>
                </w14:textFill>
              </w:rPr>
              <w:t>一</w:t>
            </w:r>
            <w:r>
              <w:rPr>
                <w:rFonts w:hint="eastAsia" w:ascii="Times New Roman" w:hAnsi="Times New Roman" w:cs="Times New Roman"/>
                <w:color w:val="000000" w:themeColor="text1"/>
                <w:sz w:val="21"/>
                <w:szCs w:val="21"/>
                <w:highlight w:val="none"/>
                <w14:textFill>
                  <w14:solidFill>
                    <w14:schemeClr w14:val="tx1"/>
                  </w14:solidFill>
                </w14:textFill>
              </w:rPr>
              <w:t>项20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21</w:t>
            </w:r>
            <w:r>
              <w:rPr>
                <w:rFonts w:hint="eastAsia" w:ascii="Times New Roman" w:hAnsi="Times New Roman" w:cs="Times New Roman"/>
                <w:color w:val="000000" w:themeColor="text1"/>
                <w:sz w:val="21"/>
                <w:szCs w:val="21"/>
                <w:highlight w:val="none"/>
                <w14:textFill>
                  <w14:solidFill>
                    <w14:schemeClr w14:val="tx1"/>
                  </w14:solidFill>
                </w14:textFill>
              </w:rPr>
              <w:t>年以来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类似</w:t>
            </w:r>
            <w:r>
              <w:rPr>
                <w:rFonts w:hint="eastAsia" w:ascii="Times New Roman" w:hAnsi="Times New Roman" w:cs="Times New Roman"/>
                <w:color w:val="000000" w:themeColor="text1"/>
                <w:sz w:val="21"/>
                <w:szCs w:val="21"/>
                <w:highlight w:val="none"/>
                <w14:textFill>
                  <w14:solidFill>
                    <w14:schemeClr w14:val="tx1"/>
                  </w14:solidFill>
                </w14:textFill>
              </w:rPr>
              <w:t>业绩得</w:t>
            </w:r>
            <w:r>
              <w:rPr>
                <w:rFonts w:hint="eastAsia" w:ascii="Times New Roman" w:hAnsi="Times New Roman" w:cs="Times New Roman"/>
                <w:color w:val="000000" w:themeColor="text1"/>
                <w:sz w:val="21"/>
                <w:szCs w:val="21"/>
                <w:highlight w:val="none"/>
                <w:lang w:val="en-US"/>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分，最高得</w:t>
            </w:r>
            <w:r>
              <w:rPr>
                <w:rFonts w:hint="eastAsia" w:ascii="Times New Roman" w:hAnsi="Times New Roman" w:cs="Times New Roman"/>
                <w:color w:val="000000" w:themeColor="text1"/>
                <w:sz w:val="21"/>
                <w:szCs w:val="21"/>
                <w:highlight w:val="none"/>
                <w:lang w:val="en-US"/>
                <w14:textFill>
                  <w14:solidFill>
                    <w14:schemeClr w14:val="tx1"/>
                  </w14:solidFill>
                </w14:textFill>
              </w:rPr>
              <w:t>10</w:t>
            </w:r>
            <w:r>
              <w:rPr>
                <w:rFonts w:hint="eastAsia" w:ascii="Times New Roman" w:hAnsi="Times New Roman" w:cs="Times New Roman"/>
                <w:color w:val="000000" w:themeColor="text1"/>
                <w:sz w:val="21"/>
                <w:szCs w:val="21"/>
                <w:highlight w:val="none"/>
                <w14:textFill>
                  <w14:solidFill>
                    <w14:schemeClr w14:val="tx1"/>
                  </w14:solidFill>
                </w14:textFill>
              </w:rPr>
              <w:t>分。</w:t>
            </w:r>
          </w:p>
          <w:p w14:paraId="43DEAC91">
            <w:pPr>
              <w:pStyle w:val="106"/>
              <w:spacing w:line="0" w:lineRule="atLeast"/>
              <w:jc w:val="both"/>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（提供中标</w:t>
            </w:r>
            <w:r>
              <w:rPr>
                <w:rFonts w:hint="eastAsia" w:ascii="Times New Roman" w:hAnsi="Times New Roman" w:cs="Times New Roman"/>
                <w:color w:val="000000" w:themeColor="text1"/>
                <w:sz w:val="21"/>
                <w:szCs w:val="21"/>
                <w:highlight w:val="none"/>
                <w:lang w:val="en-US"/>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14:textFill>
                  <w14:solidFill>
                    <w14:schemeClr w14:val="tx1"/>
                  </w14:solidFill>
                </w14:textFill>
              </w:rPr>
              <w:t>复印件加盖投标单位公章</w:t>
            </w:r>
            <w:r>
              <w:rPr>
                <w:rFonts w:ascii="Times New Roman" w:hAnsi="Times New Roman" w:cs="Times New Roman"/>
                <w:color w:val="000000" w:themeColor="text1"/>
                <w:sz w:val="21"/>
                <w:szCs w:val="21"/>
                <w:highlight w:val="none"/>
                <w14:textFill>
                  <w14:solidFill>
                    <w14:schemeClr w14:val="tx1"/>
                  </w14:solidFill>
                </w14:textFill>
              </w:rPr>
              <w:t>）</w:t>
            </w:r>
          </w:p>
        </w:tc>
        <w:tc>
          <w:tcPr>
            <w:tcW w:w="657" w:type="dxa"/>
            <w:vAlign w:val="center"/>
          </w:tcPr>
          <w:p w14:paraId="3C119E20">
            <w:pPr>
              <w:spacing w:line="0" w:lineRule="atLeast"/>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10</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restart"/>
            <w:vAlign w:val="center"/>
          </w:tcPr>
          <w:p w14:paraId="49293D8A">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restart"/>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50分</w:t>
            </w:r>
          </w:p>
        </w:tc>
        <w:tc>
          <w:tcPr>
            <w:tcW w:w="1737" w:type="dxa"/>
            <w:vAlign w:val="center"/>
          </w:tcPr>
          <w:p w14:paraId="3D6150D5">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12分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5C3001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1. 质量保障措施</w:t>
            </w:r>
          </w:p>
          <w:p w14:paraId="6B392DC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2. 质量方针</w:t>
            </w:r>
          </w:p>
          <w:p w14:paraId="29ACEA0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3. 质量目标</w:t>
            </w:r>
          </w:p>
          <w:p w14:paraId="54C5E931">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4. 质量标准及技术响应</w:t>
            </w:r>
          </w:p>
          <w:p w14:paraId="3A5124E3">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5. 质量保证依据</w:t>
            </w:r>
          </w:p>
          <w:p w14:paraId="1F150577">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6. 质量保证原则</w:t>
            </w:r>
          </w:p>
          <w:p w14:paraId="772712D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有缺失的得</w:t>
            </w:r>
            <w:r>
              <w:rPr>
                <w:rFonts w:hint="eastAsia" w:ascii="宋体" w:hAnsi="宋体" w:eastAsia="宋体" w:cs="微软雅黑"/>
                <w:color w:val="000000" w:themeColor="text1"/>
                <w:szCs w:val="21"/>
                <w:highlight w:val="none"/>
                <w:lang w:val="en-US" w:eastAsia="zh-CN"/>
                <w14:textFill>
                  <w14:solidFill>
                    <w14:schemeClr w14:val="tx1"/>
                  </w14:solidFill>
                </w14:textFill>
              </w:rPr>
              <w:t>1分，本项</w:t>
            </w:r>
            <w:r>
              <w:rPr>
                <w:rFonts w:hint="eastAsia" w:ascii="宋体" w:hAnsi="宋体" w:eastAsia="宋体" w:cs="微软雅黑"/>
                <w:color w:val="000000" w:themeColor="text1"/>
                <w:szCs w:val="21"/>
                <w:highlight w:val="none"/>
                <w14:textFill>
                  <w14:solidFill>
                    <w14:schemeClr w14:val="tx1"/>
                  </w14:solidFill>
                </w14:textFill>
              </w:rPr>
              <w:t>满分</w:t>
            </w:r>
            <w:r>
              <w:rPr>
                <w:rFonts w:hint="eastAsia" w:ascii="宋体" w:hAnsi="宋体" w:eastAsia="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5C94E40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657" w:type="dxa"/>
            <w:vAlign w:val="center"/>
          </w:tcPr>
          <w:p w14:paraId="3105B459">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0-12</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132E533F">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供货方案</w:t>
            </w:r>
          </w:p>
          <w:p w14:paraId="102655F1">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FC20705">
            <w:pPr>
              <w:spacing w:line="0" w:lineRule="atLeast"/>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要求</w:t>
            </w:r>
            <w:r>
              <w:rPr>
                <w:rFonts w:hint="eastAsia" w:ascii="宋体" w:hAnsi="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根据项目实际情况制定出确实可行的供货方案，</w:t>
            </w:r>
            <w:r>
              <w:rPr>
                <w:rFonts w:hint="eastAsia" w:ascii="宋体" w:hAnsi="宋体" w:cs="微软雅黑"/>
                <w:color w:val="000000" w:themeColor="text1"/>
                <w:szCs w:val="21"/>
                <w:highlight w:val="none"/>
                <w:lang w:eastAsia="zh-CN"/>
                <w14:textFill>
                  <w14:solidFill>
                    <w14:schemeClr w14:val="tx1"/>
                  </w14:solidFill>
                </w14:textFill>
              </w:rPr>
              <w:t>包括但不限于</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安装调试计划、拆箱验收进度等</w:t>
            </w:r>
          </w:p>
          <w:p w14:paraId="2382CC52">
            <w:pPr>
              <w:bidi w:val="0"/>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w:t>
            </w:r>
          </w:p>
          <w:p w14:paraId="626F701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vAlign w:val="center"/>
          </w:tcPr>
          <w:p w14:paraId="4686623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4</w:t>
            </w:r>
          </w:p>
        </w:tc>
      </w:tr>
      <w:tr w14:paraId="4F2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4F43FD60">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vAlign w:val="center"/>
          </w:tcPr>
          <w:p w14:paraId="74F1B78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000000" w:themeColor="text1"/>
                <w:szCs w:val="21"/>
                <w:highlight w:val="none"/>
                <w:lang w:val="zh-CN"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响应机制</w:t>
            </w:r>
            <w:r>
              <w:rPr>
                <w:rFonts w:hint="eastAsia" w:ascii="宋体" w:hAnsi="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分，无不得分。（缺失是指：不符合实际，存在偏离内容、内容前后不一致、文不对题、前后逻辑错误、内容缺失有瑕疵、无具体流程细节描述之处）</w:t>
            </w:r>
          </w:p>
        </w:tc>
        <w:tc>
          <w:tcPr>
            <w:tcW w:w="657" w:type="dxa"/>
            <w:vAlign w:val="center"/>
          </w:tcPr>
          <w:p w14:paraId="3CCC050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3A08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051176CB">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应急处置预案</w:t>
            </w:r>
          </w:p>
          <w:p w14:paraId="26A7B628">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10</w:t>
            </w:r>
            <w:r>
              <w:rPr>
                <w:rFonts w:hint="eastAsia" w:ascii="宋体" w:hAnsi="宋体" w:eastAsia="宋体" w:cs="微软雅黑"/>
                <w:color w:val="000000" w:themeColor="text1"/>
                <w:szCs w:val="21"/>
                <w:highlight w:val="none"/>
                <w:lang w:eastAsia="zh-CN"/>
                <w14:textFill>
                  <w14:solidFill>
                    <w14:schemeClr w14:val="tx1"/>
                  </w14:solidFill>
                </w14:textFill>
              </w:rPr>
              <w:t>分）</w:t>
            </w:r>
          </w:p>
        </w:tc>
        <w:tc>
          <w:tcPr>
            <w:tcW w:w="5606" w:type="dxa"/>
            <w:vAlign w:val="center"/>
          </w:tcPr>
          <w:p w14:paraId="70682EEC">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供应商应针对5种以上可能发生的紧急情况制定应急处置预案（包含但不仅限于情况预想、紧急情况报告手段、应急响应时间、相应的应对措施</w:t>
            </w:r>
            <w:r>
              <w:rPr>
                <w:rFonts w:hint="eastAsia" w:ascii="宋体" w:hAnsi="宋体" w:cs="微软雅黑"/>
                <w:color w:val="000000" w:themeColor="text1"/>
                <w:szCs w:val="21"/>
                <w:highlight w:val="none"/>
                <w:lang w:val="zh-CN" w:eastAsia="zh-CN"/>
                <w14:textFill>
                  <w14:solidFill>
                    <w14:schemeClr w14:val="tx1"/>
                  </w14:solidFill>
                </w14:textFill>
              </w:rPr>
              <w:t>、极端恶劣天气及重大活动或节日等特殊情况应急处理（包括传达机制、人员和设备调试、责任分工）；和消防安防应急管理制度</w:t>
            </w:r>
            <w:r>
              <w:rPr>
                <w:rFonts w:hint="eastAsia" w:ascii="宋体" w:hAnsi="宋体" w:eastAsia="宋体" w:cs="微软雅黑"/>
                <w:color w:val="000000" w:themeColor="text1"/>
                <w:szCs w:val="21"/>
                <w:highlight w:val="none"/>
                <w:lang w:val="zh-CN" w:eastAsia="zh-CN"/>
                <w14:textFill>
                  <w14:solidFill>
                    <w14:schemeClr w14:val="tx1"/>
                  </w14:solidFill>
                </w14:textFill>
              </w:rPr>
              <w:t>）</w:t>
            </w:r>
          </w:p>
          <w:p w14:paraId="209300C1">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每具备1条完整且无缺失的</w:t>
            </w:r>
            <w:r>
              <w:rPr>
                <w:rFonts w:hint="eastAsia" w:ascii="宋体" w:hAnsi="宋体" w:eastAsia="宋体" w:cs="微软雅黑"/>
                <w:color w:val="000000" w:themeColor="text1"/>
                <w:szCs w:val="21"/>
                <w:highlight w:val="none"/>
                <w:lang w:val="en-US" w:eastAsia="zh-CN"/>
                <w14:textFill>
                  <w14:solidFill>
                    <w14:schemeClr w14:val="tx1"/>
                  </w14:solidFill>
                </w14:textFill>
              </w:rPr>
              <w:t>预案</w:t>
            </w:r>
            <w:r>
              <w:rPr>
                <w:rFonts w:hint="eastAsia" w:ascii="宋体" w:hAnsi="宋体" w:eastAsia="宋体" w:cs="微软雅黑"/>
                <w:color w:val="000000" w:themeColor="text1"/>
                <w:szCs w:val="21"/>
                <w:highlight w:val="none"/>
                <w:lang w:val="zh-CN" w:eastAsia="zh-CN"/>
                <w14:textFill>
                  <w14:solidFill>
                    <w14:schemeClr w14:val="tx1"/>
                  </w14:solidFill>
                </w14:textFill>
              </w:rPr>
              <w:t>得2分，最多得10分，无不得分。（缺失是指：不符合实际，存在偏离内容、内容前后不一致、文不对题、前后逻辑错误、内容缺失有瑕疵、无具体流程细节描述之处）</w:t>
            </w:r>
          </w:p>
        </w:tc>
        <w:tc>
          <w:tcPr>
            <w:tcW w:w="657" w:type="dxa"/>
            <w:vAlign w:val="center"/>
          </w:tcPr>
          <w:p w14:paraId="5E657DD3">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0-10</w:t>
            </w:r>
          </w:p>
        </w:tc>
      </w:tr>
      <w:tr w14:paraId="417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1D551F4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5A9049D">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333E3D60">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调试使用方案</w:t>
            </w: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24577884">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针对本项目提供调试使用方案包含：</w:t>
            </w:r>
          </w:p>
          <w:p w14:paraId="4AB15F7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验收方案；</w:t>
            </w:r>
          </w:p>
          <w:p w14:paraId="0E90E40E">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2.产品使用方案；</w:t>
            </w:r>
          </w:p>
          <w:p w14:paraId="19F2BFDA">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3.设备试运转方案；</w:t>
            </w:r>
          </w:p>
          <w:p w14:paraId="2EBDE2B6">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14:textFill>
                  <w14:solidFill>
                    <w14:schemeClr w14:val="tx1"/>
                  </w14:solidFill>
                </w14:textFill>
              </w:rPr>
              <w:t>调试</w:t>
            </w:r>
            <w:r>
              <w:rPr>
                <w:rFonts w:hint="eastAsia" w:ascii="宋体" w:hAnsi="宋体" w:cs="微软雅黑"/>
                <w:color w:val="000000" w:themeColor="text1"/>
                <w:szCs w:val="21"/>
                <w:highlight w:val="none"/>
                <w:lang w:val="en-US" w:eastAsia="zh-CN"/>
                <w14:textFill>
                  <w14:solidFill>
                    <w14:schemeClr w14:val="tx1"/>
                  </w14:solidFill>
                </w14:textFill>
              </w:rPr>
              <w:t>人员的安排</w:t>
            </w:r>
          </w:p>
          <w:p w14:paraId="55C668AE">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w:t>
            </w:r>
            <w:r>
              <w:rPr>
                <w:rFonts w:hint="eastAsia" w:ascii="宋体" w:hAnsi="宋体" w:cs="微软雅黑"/>
                <w:color w:val="000000" w:themeColor="text1"/>
                <w:szCs w:val="21"/>
                <w:highlight w:val="none"/>
                <w:lang w:eastAsia="zh-CN"/>
                <w14:textFill>
                  <w14:solidFill>
                    <w14:schemeClr w14:val="tx1"/>
                  </w14:solidFill>
                </w14:textFill>
              </w:rPr>
              <w:t>四</w:t>
            </w:r>
            <w:r>
              <w:rPr>
                <w:rFonts w:hint="eastAsia" w:ascii="宋体" w:hAnsi="宋体" w:eastAsia="宋体" w:cs="微软雅黑"/>
                <w:color w:val="000000" w:themeColor="text1"/>
                <w:szCs w:val="21"/>
                <w:highlight w:val="none"/>
                <w14:textFill>
                  <w14:solidFill>
                    <w14:schemeClr w14:val="tx1"/>
                  </w14:solidFill>
                </w14:textFill>
              </w:rPr>
              <w:t>项内容每提供一小项内容适用于项目且无缺失的方案得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eastAsia="宋体" w:cs="微软雅黑"/>
                <w:color w:val="000000" w:themeColor="text1"/>
                <w:szCs w:val="21"/>
                <w:highlight w:val="none"/>
                <w14:textFill>
                  <w14:solidFill>
                    <w14:schemeClr w14:val="tx1"/>
                  </w14:solidFill>
                </w14:textFill>
              </w:rPr>
              <w:t>分，方案有缺失的得1分，满分</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0C81AF58">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vAlign w:val="center"/>
          </w:tcPr>
          <w:p w14:paraId="73A3EF0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177D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050F8927">
            <w:pPr>
              <w:keepNext w:val="0"/>
              <w:keepLines w:val="0"/>
              <w:pageBreakBefore w:val="0"/>
              <w:widowControl w:val="0"/>
              <w:kinsoku/>
              <w:wordWrap/>
              <w:overflowPunct/>
              <w:topLinePunct w:val="0"/>
              <w:bidi w:val="0"/>
              <w:snapToGrid/>
              <w:spacing w:line="0" w:lineRule="atLeast"/>
              <w:jc w:val="center"/>
              <w:rPr>
                <w:rFonts w:hint="default"/>
                <w:color w:val="000000" w:themeColor="text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2.2.3（4）</w:t>
            </w:r>
          </w:p>
        </w:tc>
        <w:tc>
          <w:tcPr>
            <w:tcW w:w="939" w:type="dxa"/>
            <w:vMerge w:val="restart"/>
            <w:vAlign w:val="center"/>
          </w:tcPr>
          <w:p w14:paraId="10B5E0E3">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其他因素</w:t>
            </w:r>
          </w:p>
        </w:tc>
        <w:tc>
          <w:tcPr>
            <w:tcW w:w="1737" w:type="dxa"/>
            <w:vAlign w:val="center"/>
          </w:tcPr>
          <w:p w14:paraId="26EDBA4C">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优惠条件</w:t>
            </w:r>
          </w:p>
          <w:p w14:paraId="6896C14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vAlign w:val="top"/>
          </w:tcPr>
          <w:p w14:paraId="5B93D021">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实质性优惠条件得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vAlign w:val="center"/>
          </w:tcPr>
          <w:p w14:paraId="0B808223">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eastAsia="宋体" w:cs="微软雅黑"/>
                <w:color w:val="000000" w:themeColor="text1"/>
                <w:szCs w:val="21"/>
                <w:highlight w:val="none"/>
                <w:lang w:val="en-US" w:eastAsia="zh-CN"/>
                <w14:textFill>
                  <w14:solidFill>
                    <w14:schemeClr w14:val="tx1"/>
                  </w14:solidFill>
                </w14:textFill>
              </w:rPr>
              <w:t>5</w:t>
            </w:r>
          </w:p>
        </w:tc>
      </w:tr>
      <w:tr w14:paraId="6E16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32ECCE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3CC74F2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65DD47CE">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p>
          <w:p w14:paraId="0C1B3FC2">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vAlign w:val="top"/>
          </w:tcPr>
          <w:p w14:paraId="6E30E8AD">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w:t>
            </w: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r>
              <w:rPr>
                <w:rFonts w:hint="eastAsia" w:ascii="宋体" w:hAnsi="宋体" w:eastAsia="宋体" w:cs="微软雅黑"/>
                <w:color w:val="000000" w:themeColor="text1"/>
                <w:szCs w:val="21"/>
                <w:highlight w:val="none"/>
                <w:lang w:val="zh-CN" w:eastAsia="zh-CN"/>
                <w14:textFill>
                  <w14:solidFill>
                    <w14:schemeClr w14:val="tx1"/>
                  </w14:solidFill>
                </w14:textFill>
              </w:rPr>
              <w:t>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vAlign w:val="center"/>
          </w:tcPr>
          <w:p w14:paraId="5788213A">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0-5</w:t>
            </w:r>
          </w:p>
        </w:tc>
      </w:tr>
    </w:tbl>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核心产品见采购需求表已注明。</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2DC708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关于印发《政府采购促进中小企业发展暂行办法》的通知》（财库〔2011〕181号）规定本项目对小型和微型企业产品的价格给予10-20%的扣除，用扣除后的价格参与评审，但参加本次采购活动的中小企业应当提供本办法规定的《中小企业声明函》。小型、微型企业提供中型企业制造的货物的，视同为中型企业。</w:t>
      </w:r>
    </w:p>
    <w:p w14:paraId="2CE6EC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07B4F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评标委员会在评审时，价格分加分：</w:t>
      </w:r>
    </w:p>
    <w:p w14:paraId="740D90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(1)根据财库〔2022〕19号文件规定，对小型和微型企业的产品给予10%的价格扣除，并按照扣除后的价格参加评审。</w:t>
      </w:r>
    </w:p>
    <w:p w14:paraId="7B46DB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(2)对于列入财政部、国家发改委发布的《节能产品政府采购品目清单》但不属于国家强制采购的产品，对其投标价格给予3%的价格扣除，并按照扣除后的价格参加评审。</w:t>
      </w:r>
    </w:p>
    <w:p w14:paraId="516F88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（3）对于纳入环境标志产品政府采购品目清单的投标产品，按其在总报价中所占的比例给予3%的价格加分。</w:t>
      </w:r>
    </w:p>
    <w:p w14:paraId="06EB8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投标产品同时纳入节能产品政府采购清单、环境标志产品政府采购品目清单时的，将上述规定的价格分加分比例分叠加后计算价格加分。（投标人须提供在有效期内的认证证明及相应证明材料）。</w:t>
      </w:r>
    </w:p>
    <w:p w14:paraId="5A2B08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（4）《财政部司法部关于政府采购支持监狱企业发展有关问题的通知》文件规定，在政府采购活动中，监狱企业视同小型、微型企业，对监狱企业的投标报价给予10%的价格扣除，并按照扣除后的价格参加评审。</w:t>
      </w:r>
    </w:p>
    <w:p w14:paraId="5E9DDD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5）《关于促进残疾人就业政府采购政策的通知》（财库〔2017〕141号），在政府采购活动中，残疾人福利性单位视同小型、微型企业，对残疾人福利性单位的投标报价给予10%的价格扣除，并按照扣除后的价格参评加审。</w:t>
      </w:r>
    </w:p>
    <w:p w14:paraId="43686439">
      <w:pPr>
        <w:pStyle w:val="35"/>
        <w:jc w:val="left"/>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2" w:name="_Toc1127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52"/>
    </w:p>
    <w:p w14:paraId="64C7E8D5">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评审方法</w:t>
      </w:r>
      <w:bookmarkEnd w:id="51"/>
    </w:p>
    <w:p w14:paraId="2810E2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000000" w:themeColor="text1"/>
          <w:highlight w:val="none"/>
          <w14:textFill>
            <w14:solidFill>
              <w14:schemeClr w14:val="tx1"/>
            </w14:solidFill>
          </w14:textFill>
        </w:rPr>
      </w:pPr>
      <w:bookmarkStart w:id="53" w:name="_Toc184635094"/>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评审标准</w:t>
      </w:r>
      <w:bookmarkEnd w:id="53"/>
    </w:p>
    <w:p w14:paraId="65F5898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初步评审标准</w:t>
      </w:r>
    </w:p>
    <w:p w14:paraId="0E60C4F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2符合</w:t>
      </w:r>
      <w:r>
        <w:rPr>
          <w:rFonts w:hint="eastAsia" w:ascii="宋体" w:hAnsi="宋体"/>
          <w:color w:val="000000" w:themeColor="text1"/>
          <w:szCs w:val="21"/>
          <w:highlight w:val="none"/>
          <w14:textFill>
            <w14:solidFill>
              <w14:schemeClr w14:val="tx1"/>
            </w14:solidFill>
          </w14:textFill>
        </w:rPr>
        <w:t>性评审标准：见评审办法前附表。</w:t>
      </w:r>
    </w:p>
    <w:p w14:paraId="645D6DA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分值构成与评分标准</w:t>
      </w:r>
    </w:p>
    <w:p w14:paraId="2B0A488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5CE5906">
      <w:pPr>
        <w:pStyle w:val="4"/>
        <w:rPr>
          <w:rFonts w:ascii="宋体" w:hAnsi="宋体"/>
          <w:color w:val="000000" w:themeColor="text1"/>
          <w:highlight w:val="none"/>
          <w14:textFill>
            <w14:solidFill>
              <w14:schemeClr w14:val="tx1"/>
            </w14:solidFill>
          </w14:textFill>
        </w:rPr>
      </w:pPr>
      <w:bookmarkStart w:id="54" w:name="_Toc184635095"/>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评审工作程序</w:t>
      </w:r>
      <w:bookmarkEnd w:id="54"/>
    </w:p>
    <w:p w14:paraId="4B131CD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初步评审</w:t>
      </w:r>
    </w:p>
    <w:p w14:paraId="2147C703">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pStyle w:val="5"/>
        <w:rPr>
          <w:rFonts w:ascii="宋体" w:hAnsi="宋体" w:eastAsia="宋体"/>
          <w:color w:val="000000" w:themeColor="text1"/>
          <w:highlight w:val="none"/>
          <w14:textFill>
            <w14:solidFill>
              <w14:schemeClr w14:val="tx1"/>
            </w14:solidFill>
          </w14:textFill>
        </w:rPr>
      </w:pPr>
      <w:bookmarkStart w:id="55" w:name="_Toc447010080"/>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响应文件的澄清</w:t>
      </w:r>
      <w:bookmarkEnd w:id="55"/>
    </w:p>
    <w:p w14:paraId="18998E5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66D0745E">
      <w:pPr>
        <w:pStyle w:val="5"/>
        <w:rPr>
          <w:rFonts w:ascii="宋体" w:hAnsi="宋体" w:eastAsia="宋体"/>
          <w:color w:val="000000" w:themeColor="text1"/>
          <w:highlight w:val="none"/>
          <w14:textFill>
            <w14:solidFill>
              <w14:schemeClr w14:val="tx1"/>
            </w14:solidFill>
          </w14:textFill>
        </w:rPr>
      </w:pPr>
      <w:bookmarkStart w:id="56" w:name="_Toc447010081"/>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确定最终采购需求方案</w:t>
      </w:r>
      <w:bookmarkEnd w:id="56"/>
    </w:p>
    <w:p w14:paraId="0C6A26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1AC7D72C">
      <w:pPr>
        <w:pStyle w:val="5"/>
        <w:rPr>
          <w:rFonts w:ascii="宋体" w:hAnsi="宋体" w:eastAsia="宋体"/>
          <w:color w:val="000000" w:themeColor="text1"/>
          <w:highlight w:val="none"/>
          <w14:textFill>
            <w14:solidFill>
              <w14:schemeClr w14:val="tx1"/>
            </w14:solidFill>
          </w14:textFill>
        </w:rPr>
      </w:pPr>
      <w:bookmarkStart w:id="57" w:name="_Toc447010082"/>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重新提交响应文件和最后报价</w:t>
      </w:r>
      <w:bookmarkEnd w:id="57"/>
    </w:p>
    <w:p w14:paraId="24D3129E">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2271284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3.5详细评审</w:t>
      </w:r>
    </w:p>
    <w:p w14:paraId="69AA10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评审结果</w:t>
      </w:r>
    </w:p>
    <w:p w14:paraId="562B095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29C9431A">
      <w:pPr>
        <w:bidi w:val="0"/>
        <w:jc w:val="left"/>
        <w:rPr>
          <w:color w:val="000000" w:themeColor="text1"/>
          <w:highlight w:val="none"/>
          <w14:textFill>
            <w14:solidFill>
              <w14:schemeClr w14:val="tx1"/>
            </w14:solidFill>
          </w14:textFill>
        </w:rPr>
      </w:pPr>
    </w:p>
    <w:p w14:paraId="39B8775E">
      <w:pPr>
        <w:spacing w:line="420" w:lineRule="exact"/>
        <w:jc w:val="center"/>
        <w:rPr>
          <w:rFonts w:ascii="宋体" w:hAnsi="宋体"/>
          <w:color w:val="000000" w:themeColor="text1"/>
          <w:highlight w:val="none"/>
          <w14:textFill>
            <w14:solidFill>
              <w14:schemeClr w14:val="tx1"/>
            </w14:solidFill>
          </w14:textFill>
        </w:rPr>
      </w:pPr>
    </w:p>
    <w:p w14:paraId="46C23CE2">
      <w:pPr>
        <w:jc w:val="center"/>
        <w:rPr>
          <w:rFonts w:hint="eastAsia" w:ascii="宋体" w:hAnsi="宋体"/>
          <w:b/>
          <w:color w:val="000000" w:themeColor="text1"/>
          <w:sz w:val="32"/>
          <w:szCs w:val="32"/>
          <w:highlight w:val="none"/>
          <w14:textFill>
            <w14:solidFill>
              <w14:schemeClr w14:val="tx1"/>
            </w14:solidFill>
          </w14:textFill>
        </w:rPr>
      </w:pPr>
    </w:p>
    <w:p w14:paraId="16419DF3">
      <w:pPr>
        <w:jc w:val="center"/>
        <w:rPr>
          <w:rFonts w:hint="eastAsia" w:ascii="宋体" w:hAnsi="宋体"/>
          <w:b/>
          <w:color w:val="000000" w:themeColor="text1"/>
          <w:sz w:val="32"/>
          <w:szCs w:val="32"/>
          <w:highlight w:val="none"/>
          <w14:textFill>
            <w14:solidFill>
              <w14:schemeClr w14:val="tx1"/>
            </w14:solidFill>
          </w14:textFill>
        </w:rPr>
      </w:pPr>
    </w:p>
    <w:p w14:paraId="0DD5C50A">
      <w:pPr>
        <w:jc w:val="center"/>
        <w:rPr>
          <w:rFonts w:hint="eastAsia" w:ascii="宋体" w:hAnsi="宋体"/>
          <w:b/>
          <w:color w:val="000000" w:themeColor="text1"/>
          <w:sz w:val="32"/>
          <w:szCs w:val="32"/>
          <w:highlight w:val="none"/>
          <w14:textFill>
            <w14:solidFill>
              <w14:schemeClr w14:val="tx1"/>
            </w14:solidFill>
          </w14:textFill>
        </w:rPr>
      </w:pPr>
    </w:p>
    <w:p w14:paraId="69CD2B47">
      <w:pPr>
        <w:jc w:val="center"/>
        <w:rPr>
          <w:rFonts w:hint="eastAsia" w:ascii="宋体" w:hAnsi="宋体"/>
          <w:b/>
          <w:color w:val="000000" w:themeColor="text1"/>
          <w:sz w:val="32"/>
          <w:szCs w:val="32"/>
          <w:highlight w:val="none"/>
          <w14:textFill>
            <w14:solidFill>
              <w14:schemeClr w14:val="tx1"/>
            </w14:solidFill>
          </w14:textFill>
        </w:rPr>
      </w:pPr>
    </w:p>
    <w:p w14:paraId="542EF021">
      <w:pPr>
        <w:jc w:val="center"/>
        <w:rPr>
          <w:rFonts w:hint="eastAsia" w:ascii="宋体" w:hAnsi="宋体"/>
          <w:b/>
          <w:color w:val="000000" w:themeColor="text1"/>
          <w:sz w:val="32"/>
          <w:szCs w:val="32"/>
          <w:highlight w:val="none"/>
          <w14:textFill>
            <w14:solidFill>
              <w14:schemeClr w14:val="tx1"/>
            </w14:solidFill>
          </w14:textFill>
        </w:rPr>
      </w:pPr>
    </w:p>
    <w:p w14:paraId="4DE48FA0">
      <w:pPr>
        <w:jc w:val="center"/>
        <w:rPr>
          <w:rFonts w:hint="eastAsia" w:ascii="宋体" w:hAnsi="宋体"/>
          <w:b/>
          <w:color w:val="000000" w:themeColor="text1"/>
          <w:sz w:val="32"/>
          <w:szCs w:val="32"/>
          <w:highlight w:val="none"/>
          <w14:textFill>
            <w14:solidFill>
              <w14:schemeClr w14:val="tx1"/>
            </w14:solidFill>
          </w14:textFill>
        </w:rPr>
      </w:pPr>
    </w:p>
    <w:p w14:paraId="375A6D88">
      <w:pPr>
        <w:pStyle w:val="2"/>
        <w:bidi w:val="0"/>
        <w:rPr>
          <w:rFonts w:hint="eastAsia"/>
          <w:color w:val="000000" w:themeColor="text1"/>
          <w:highlight w:val="none"/>
          <w:lang w:val="en-US" w:eastAsia="zh-CN"/>
          <w14:textFill>
            <w14:solidFill>
              <w14:schemeClr w14:val="tx1"/>
            </w14:solidFill>
          </w14:textFill>
        </w:rPr>
      </w:pPr>
      <w:bookmarkStart w:id="58" w:name="_Toc5702"/>
      <w:r>
        <w:rPr>
          <w:rFonts w:hint="eastAsia"/>
          <w:color w:val="000000" w:themeColor="text1"/>
          <w:highlight w:val="none"/>
          <w:lang w:val="en-US" w:eastAsia="zh-CN"/>
          <w14:textFill>
            <w14:solidFill>
              <w14:schemeClr w14:val="tx1"/>
            </w14:solidFill>
          </w14:textFill>
        </w:rPr>
        <w:t>合同条款及格式</w:t>
      </w:r>
      <w:bookmarkEnd w:id="58"/>
    </w:p>
    <w:p w14:paraId="2B8BD7EC">
      <w:pPr>
        <w:pStyle w:val="16"/>
        <w:spacing w:line="360" w:lineRule="auto"/>
        <w:ind w:left="0" w:leftChars="0" w:firstLine="0" w:firstLineChars="0"/>
        <w:jc w:val="both"/>
        <w:rPr>
          <w:color w:val="000000" w:themeColor="text1"/>
          <w:highlight w:val="none"/>
          <w14:textFill>
            <w14:solidFill>
              <w14:schemeClr w14:val="tx1"/>
            </w14:solidFill>
          </w14:textFill>
        </w:rPr>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品牌</w:t>
            </w:r>
          </w:p>
        </w:tc>
        <w:tc>
          <w:tcPr>
            <w:tcW w:w="2520" w:type="dxa"/>
            <w:vAlign w:val="center"/>
          </w:tcPr>
          <w:p w14:paraId="65F9A4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w:t>
            </w:r>
          </w:p>
        </w:tc>
        <w:tc>
          <w:tcPr>
            <w:tcW w:w="1260" w:type="dxa"/>
            <w:vAlign w:val="center"/>
          </w:tcPr>
          <w:p w14:paraId="29C18F9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6ECD9C5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132521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025596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631A4D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4023358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0BFB306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6E0F7E5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4A70E2F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71E269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5D7CACA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551A9ED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784C7A0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15A25E7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E6D7A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31AD368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bl>
    <w:p w14:paraId="0D1FA9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spacing w:line="420" w:lineRule="exact"/>
        <w:jc w:val="center"/>
        <w:rPr>
          <w:rFonts w:ascii="宋体" w:hAnsi="宋体"/>
          <w:color w:val="000000" w:themeColor="text1"/>
          <w:highlight w:val="none"/>
          <w14:textFill>
            <w14:solidFill>
              <w14:schemeClr w14:val="tx1"/>
            </w14:solidFill>
          </w14:textFill>
        </w:rPr>
      </w:pPr>
    </w:p>
    <w:p w14:paraId="3C1FA8F8">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pStyle w:val="2"/>
        <w:bidi w:val="0"/>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 xml:space="preserve"> </w:t>
      </w:r>
      <w:bookmarkStart w:id="59" w:name="_Toc32019"/>
      <w:r>
        <w:rPr>
          <w:rFonts w:hint="eastAsia" w:eastAsia="宋体"/>
          <w:color w:val="000000" w:themeColor="text1"/>
          <w:highlight w:val="none"/>
          <w:lang w:val="en-US" w:eastAsia="zh-CN"/>
          <w14:textFill>
            <w14:solidFill>
              <w14:schemeClr w14:val="tx1"/>
            </w14:solidFill>
          </w14:textFill>
        </w:rPr>
        <w:t>采购需求</w:t>
      </w:r>
      <w:bookmarkEnd w:id="59"/>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宋体"/>
          <w:b w:val="0"/>
          <w:bCs w:val="0"/>
          <w:color w:val="000000" w:themeColor="text1"/>
          <w:kern w:val="2"/>
          <w:sz w:val="24"/>
          <w:szCs w:val="24"/>
          <w:highlight w:val="none"/>
          <w:u w:val="none"/>
          <w:lang w:val="en-US" w:eastAsia="zh-CN"/>
          <w14:textFill>
            <w14:solidFill>
              <w14:schemeClr w14:val="tx1"/>
            </w14:solidFill>
          </w14:textFill>
        </w:rPr>
      </w:pPr>
    </w:p>
    <w:p w14:paraId="006F64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两层升降横移立体停车设备    107套</w:t>
      </w:r>
    </w:p>
    <w:p w14:paraId="51BAF0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1.名称：升降移式</w:t>
      </w:r>
    </w:p>
    <w:p w14:paraId="059497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2.容车规格：长度5000mm，宽度1850mm/1900mm，高度1550mm/1700mm；重量：2000kg；容车类型：大型车/大1型车</w:t>
      </w:r>
    </w:p>
    <w:p w14:paraId="482A96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3.传动系统：驱动方式 电机+链条；速度 升降4.5m/min 横移7m/min;功率 升降 2.2KW 横移 0.2KW</w:t>
      </w:r>
    </w:p>
    <w:p w14:paraId="2ECFBF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4.操作方式：触摸屏+刷卡</w:t>
      </w:r>
    </w:p>
    <w:p w14:paraId="5108D2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5.控制方式：PLC</w:t>
      </w:r>
    </w:p>
    <w:p w14:paraId="4DD313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6.电源：AC 380V 220V</w:t>
      </w:r>
    </w:p>
    <w:p w14:paraId="3794FC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7.取车时间：Max=45S</w:t>
      </w:r>
    </w:p>
    <w:p w14:paraId="4E8C564A">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67BC6550">
      <w:pPr>
        <w:pStyle w:val="2"/>
        <w:bidi w:val="0"/>
        <w:rPr>
          <w:color w:val="000000" w:themeColor="text1"/>
          <w:highlight w:val="none"/>
          <w14:textFill>
            <w14:solidFill>
              <w14:schemeClr w14:val="tx1"/>
            </w14:solidFill>
          </w14:textFill>
        </w:rPr>
      </w:pPr>
      <w:bookmarkStart w:id="60" w:name="_Toc589"/>
      <w:r>
        <w:rPr>
          <w:rFonts w:hint="eastAsia"/>
          <w:color w:val="000000" w:themeColor="text1"/>
          <w:highlight w:val="none"/>
          <w14:textFill>
            <w14:solidFill>
              <w14:schemeClr w14:val="tx1"/>
            </w14:solidFill>
          </w14:textFill>
        </w:rPr>
        <w:t>响应文件格式</w:t>
      </w:r>
      <w:bookmarkEnd w:id="60"/>
    </w:p>
    <w:p w14:paraId="61874E00">
      <w:pPr>
        <w:jc w:val="center"/>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jc w:val="center"/>
        <w:rPr>
          <w:rFonts w:ascii="黑体" w:eastAsia="黑体"/>
          <w:color w:val="000000" w:themeColor="text1"/>
          <w:sz w:val="32"/>
          <w:szCs w:val="32"/>
          <w:highlight w:val="none"/>
          <w14:textFill>
            <w14:solidFill>
              <w14:schemeClr w14:val="tx1"/>
            </w14:solidFill>
          </w14:textFill>
        </w:rPr>
      </w:pPr>
    </w:p>
    <w:p w14:paraId="121BE878">
      <w:pPr>
        <w:jc w:val="center"/>
        <w:rPr>
          <w:rFonts w:ascii="黑体" w:eastAsia="黑体"/>
          <w:color w:val="000000" w:themeColor="text1"/>
          <w:sz w:val="32"/>
          <w:szCs w:val="32"/>
          <w:highlight w:val="none"/>
          <w14:textFill>
            <w14:solidFill>
              <w14:schemeClr w14:val="tx1"/>
            </w14:solidFill>
          </w14:textFill>
        </w:rPr>
      </w:pPr>
    </w:p>
    <w:p w14:paraId="52DF82BB">
      <w:pPr>
        <w:jc w:val="center"/>
        <w:rPr>
          <w:rFonts w:ascii="黑体" w:eastAsia="黑体"/>
          <w:color w:val="000000" w:themeColor="text1"/>
          <w:sz w:val="32"/>
          <w:szCs w:val="32"/>
          <w:highlight w:val="none"/>
          <w14:textFill>
            <w14:solidFill>
              <w14:schemeClr w14:val="tx1"/>
            </w14:solidFill>
          </w14:textFill>
        </w:rPr>
      </w:pPr>
    </w:p>
    <w:p w14:paraId="6BB4F14E">
      <w:pPr>
        <w:jc w:val="center"/>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 </w:t>
      </w:r>
    </w:p>
    <w:p w14:paraId="104D7816">
      <w:pPr>
        <w:spacing w:beforeLines="100"/>
        <w:jc w:val="center"/>
        <w:rPr>
          <w:rFonts w:hint="eastAsia" w:ascii="黑体" w:eastAsia="黑体"/>
          <w:color w:val="000000" w:themeColor="text1"/>
          <w:sz w:val="44"/>
          <w:szCs w:val="44"/>
          <w:highlight w:val="none"/>
          <w14:textFill>
            <w14:solidFill>
              <w14:schemeClr w14:val="tx1"/>
            </w14:solidFill>
          </w14:textFill>
        </w:rPr>
      </w:pPr>
    </w:p>
    <w:p w14:paraId="6AB67308">
      <w:pPr>
        <w:wordWrap w:val="0"/>
        <w:spacing w:beforeLines="100"/>
        <w:jc w:val="right"/>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spacing w:beforeLines="100"/>
        <w:jc w:val="center"/>
        <w:rPr>
          <w:rFonts w:hint="eastAsia" w:ascii="黑体" w:eastAsia="黑体"/>
          <w:color w:val="000000" w:themeColor="text1"/>
          <w:sz w:val="44"/>
          <w:szCs w:val="44"/>
          <w:highlight w:val="none"/>
          <w14:textFill>
            <w14:solidFill>
              <w14:schemeClr w14:val="tx1"/>
            </w14:solidFill>
          </w14:textFill>
        </w:rPr>
      </w:pPr>
    </w:p>
    <w:p w14:paraId="18E6EA7C">
      <w:pPr>
        <w:spacing w:beforeLines="100"/>
        <w:jc w:val="center"/>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jc w:val="center"/>
        <w:rPr>
          <w:rFonts w:ascii="黑体" w:eastAsia="黑体"/>
          <w:color w:val="000000" w:themeColor="text1"/>
          <w:sz w:val="32"/>
          <w:szCs w:val="32"/>
          <w:highlight w:val="none"/>
          <w14:textFill>
            <w14:solidFill>
              <w14:schemeClr w14:val="tx1"/>
            </w14:solidFill>
          </w14:textFill>
        </w:rPr>
      </w:pPr>
    </w:p>
    <w:p w14:paraId="0CB86EA8">
      <w:pPr>
        <w:jc w:val="center"/>
        <w:rPr>
          <w:rFonts w:ascii="黑体" w:eastAsia="黑体"/>
          <w:color w:val="000000" w:themeColor="text1"/>
          <w:sz w:val="32"/>
          <w:szCs w:val="32"/>
          <w:highlight w:val="none"/>
          <w14:textFill>
            <w14:solidFill>
              <w14:schemeClr w14:val="tx1"/>
            </w14:solidFill>
          </w14:textFill>
        </w:rPr>
      </w:pPr>
    </w:p>
    <w:p w14:paraId="64FDA803">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jc w:val="center"/>
        <w:rPr>
          <w:rFonts w:ascii="黑体" w:eastAsia="黑体"/>
          <w:color w:val="000000" w:themeColor="text1"/>
          <w:sz w:val="32"/>
          <w:szCs w:val="32"/>
          <w:highlight w:val="none"/>
          <w14:textFill>
            <w14:solidFill>
              <w14:schemeClr w14:val="tx1"/>
            </w14:solidFill>
          </w14:textFill>
        </w:rPr>
      </w:pPr>
    </w:p>
    <w:p w14:paraId="734FC70C">
      <w:pPr>
        <w:jc w:val="center"/>
        <w:rPr>
          <w:rFonts w:ascii="黑体" w:eastAsia="黑体"/>
          <w:color w:val="000000" w:themeColor="text1"/>
          <w:sz w:val="32"/>
          <w:szCs w:val="32"/>
          <w:highlight w:val="none"/>
          <w14:textFill>
            <w14:solidFill>
              <w14:schemeClr w14:val="tx1"/>
            </w14:solidFill>
          </w14:textFill>
        </w:rPr>
      </w:pPr>
    </w:p>
    <w:p w14:paraId="1E6EE326">
      <w:pPr>
        <w:jc w:val="center"/>
        <w:rPr>
          <w:rFonts w:ascii="黑体" w:eastAsia="黑体"/>
          <w:color w:val="000000" w:themeColor="text1"/>
          <w:sz w:val="32"/>
          <w:szCs w:val="32"/>
          <w:highlight w:val="none"/>
          <w14:textFill>
            <w14:solidFill>
              <w14:schemeClr w14:val="tx1"/>
            </w14:solidFill>
          </w14:textFill>
        </w:rPr>
      </w:pPr>
    </w:p>
    <w:p w14:paraId="3F70CD13">
      <w:pPr>
        <w:jc w:val="center"/>
        <w:rPr>
          <w:rFonts w:ascii="黑体" w:eastAsia="黑体"/>
          <w:color w:val="000000" w:themeColor="text1"/>
          <w:sz w:val="32"/>
          <w:szCs w:val="32"/>
          <w:highlight w:val="none"/>
          <w14:textFill>
            <w14:solidFill>
              <w14:schemeClr w14:val="tx1"/>
            </w14:solidFill>
          </w14:textFill>
        </w:rPr>
      </w:pPr>
    </w:p>
    <w:p w14:paraId="38F677C5">
      <w:pPr>
        <w:jc w:val="center"/>
        <w:rPr>
          <w:rFonts w:ascii="黑体" w:eastAsia="黑体"/>
          <w:color w:val="000000" w:themeColor="text1"/>
          <w:sz w:val="32"/>
          <w:szCs w:val="32"/>
          <w:highlight w:val="none"/>
          <w14:textFill>
            <w14:solidFill>
              <w14:schemeClr w14:val="tx1"/>
            </w14:solidFill>
          </w14:textFill>
        </w:rPr>
      </w:pPr>
    </w:p>
    <w:p w14:paraId="7C58AC65">
      <w:pPr>
        <w:jc w:val="center"/>
        <w:rPr>
          <w:rFonts w:ascii="黑体" w:eastAsia="黑体"/>
          <w:color w:val="000000" w:themeColor="text1"/>
          <w:sz w:val="32"/>
          <w:szCs w:val="32"/>
          <w:highlight w:val="none"/>
          <w14:textFill>
            <w14:solidFill>
              <w14:schemeClr w14:val="tx1"/>
            </w14:solidFill>
          </w14:textFill>
        </w:rPr>
      </w:pPr>
    </w:p>
    <w:p w14:paraId="798C52BA">
      <w:pPr>
        <w:jc w:val="center"/>
        <w:rPr>
          <w:rFonts w:ascii="黑体" w:eastAsia="黑体"/>
          <w:color w:val="000000" w:themeColor="text1"/>
          <w:sz w:val="32"/>
          <w:szCs w:val="32"/>
          <w:highlight w:val="none"/>
          <w14:textFill>
            <w14:solidFill>
              <w14:schemeClr w14:val="tx1"/>
            </w14:solidFill>
          </w14:textFill>
        </w:rPr>
      </w:pPr>
    </w:p>
    <w:p w14:paraId="2866C8E5">
      <w:pPr>
        <w:jc w:val="center"/>
        <w:rPr>
          <w:rFonts w:ascii="黑体" w:eastAsia="黑体"/>
          <w:color w:val="000000" w:themeColor="text1"/>
          <w:sz w:val="32"/>
          <w:szCs w:val="32"/>
          <w:highlight w:val="none"/>
          <w14:textFill>
            <w14:solidFill>
              <w14:schemeClr w14:val="tx1"/>
            </w14:solidFill>
          </w14:textFill>
        </w:rPr>
      </w:pPr>
    </w:p>
    <w:p w14:paraId="426F5A26">
      <w:pPr>
        <w:jc w:val="center"/>
        <w:rPr>
          <w:rFonts w:ascii="黑体" w:eastAsia="黑体"/>
          <w:color w:val="000000" w:themeColor="text1"/>
          <w:sz w:val="32"/>
          <w:szCs w:val="32"/>
          <w:highlight w:val="none"/>
          <w14:textFill>
            <w14:solidFill>
              <w14:schemeClr w14:val="tx1"/>
            </w14:solidFill>
          </w14:textFill>
        </w:rPr>
      </w:pPr>
    </w:p>
    <w:p w14:paraId="5ED0D43C">
      <w:pPr>
        <w:jc w:val="center"/>
        <w:rPr>
          <w:rFonts w:ascii="黑体" w:eastAsia="黑体"/>
          <w:color w:val="000000" w:themeColor="text1"/>
          <w:sz w:val="32"/>
          <w:szCs w:val="32"/>
          <w:highlight w:val="none"/>
          <w14:textFill>
            <w14:solidFill>
              <w14:schemeClr w14:val="tx1"/>
            </w14:solidFill>
          </w14:textFill>
        </w:rPr>
      </w:pPr>
    </w:p>
    <w:p w14:paraId="1FCBFD07">
      <w:pPr>
        <w:jc w:val="center"/>
        <w:rPr>
          <w:rFonts w:ascii="黑体" w:eastAsia="黑体"/>
          <w:color w:val="000000" w:themeColor="text1"/>
          <w:sz w:val="32"/>
          <w:szCs w:val="32"/>
          <w:highlight w:val="none"/>
          <w14:textFill>
            <w14:solidFill>
              <w14:schemeClr w14:val="tx1"/>
            </w14:solidFill>
          </w14:textFill>
        </w:rPr>
      </w:pPr>
    </w:p>
    <w:p w14:paraId="766E5FB3">
      <w:pPr>
        <w:spacing w:line="480" w:lineRule="auto"/>
        <w:ind w:left="0" w:leftChars="0" w:firstLine="2100" w:firstLineChars="750"/>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spacing w:line="48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jc w:val="center"/>
        <w:rPr>
          <w:rFonts w:ascii="黑体" w:eastAsia="黑体"/>
          <w:color w:val="000000" w:themeColor="text1"/>
          <w:sz w:val="28"/>
          <w:szCs w:val="28"/>
          <w:highlight w:val="none"/>
          <w14:textFill>
            <w14:solidFill>
              <w14:schemeClr w14:val="tx1"/>
            </w14:solidFill>
          </w14:textFill>
        </w:rPr>
      </w:pPr>
    </w:p>
    <w:p w14:paraId="65BAF236">
      <w:pPr>
        <w:jc w:val="center"/>
        <w:rPr>
          <w:rFonts w:ascii="黑体" w:eastAsia="黑体"/>
          <w:color w:val="000000" w:themeColor="text1"/>
          <w:sz w:val="28"/>
          <w:szCs w:val="28"/>
          <w:highlight w:val="none"/>
          <w14:textFill>
            <w14:solidFill>
              <w14:schemeClr w14:val="tx1"/>
            </w14:solidFill>
          </w14:textFill>
        </w:rPr>
      </w:pPr>
    </w:p>
    <w:p w14:paraId="562FEBDF">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jc w:val="center"/>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spacing w:line="600" w:lineRule="exact"/>
        <w:ind w:left="420" w:left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p>
    <w:p w14:paraId="123F2993">
      <w:pPr>
        <w:spacing w:line="480" w:lineRule="auto"/>
        <w:jc w:val="left"/>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spacing w:line="360" w:lineRule="auto"/>
        <w:rPr>
          <w:color w:val="000000" w:themeColor="text1"/>
          <w:highlight w:val="none"/>
          <w14:textFill>
            <w14:solidFill>
              <w14:schemeClr w14:val="tx1"/>
            </w14:solidFill>
          </w14:textFill>
        </w:rPr>
      </w:pPr>
    </w:p>
    <w:p w14:paraId="6932A9F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autoSpaceDE w:val="0"/>
        <w:autoSpaceDN w:val="0"/>
        <w:snapToGrid w:val="0"/>
        <w:spacing w:line="360" w:lineRule="auto"/>
        <w:ind w:firstLine="420" w:firstLineChars="200"/>
        <w:jc w:val="lef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43B7B168">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629F04F2">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79545A5D">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1ECE8677">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0134463F">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spacing w:line="600" w:lineRule="auto"/>
        <w:ind w:firstLine="420" w:firstLineChars="200"/>
        <w:jc w:val="right"/>
        <w:rPr>
          <w:color w:val="000000" w:themeColor="text1"/>
          <w:szCs w:val="21"/>
          <w:highlight w:val="none"/>
          <w14:textFill>
            <w14:solidFill>
              <w14:schemeClr w14:val="tx1"/>
            </w14:solidFill>
          </w14:textFill>
        </w:rPr>
      </w:pPr>
    </w:p>
    <w:p w14:paraId="33BE5EE7">
      <w:pPr>
        <w:wordWrap w:val="0"/>
        <w:spacing w:line="600" w:lineRule="auto"/>
        <w:ind w:firstLine="420" w:firstLineChars="200"/>
        <w:jc w:val="right"/>
        <w:rPr>
          <w:color w:val="000000" w:themeColor="text1"/>
          <w:szCs w:val="21"/>
          <w:highlight w:val="none"/>
          <w14:textFill>
            <w14:solidFill>
              <w14:schemeClr w14:val="tx1"/>
            </w14:solidFill>
          </w14:textFill>
        </w:rPr>
      </w:pPr>
    </w:p>
    <w:p w14:paraId="75E005E2">
      <w:pPr>
        <w:pStyle w:val="16"/>
        <w:rPr>
          <w:color w:val="000000" w:themeColor="text1"/>
          <w:highlight w:val="none"/>
          <w14:textFill>
            <w14:solidFill>
              <w14:schemeClr w14:val="tx1"/>
            </w14:solidFill>
          </w14:textFill>
        </w:rPr>
      </w:pPr>
    </w:p>
    <w:p w14:paraId="05AEA36B">
      <w:pPr>
        <w:wordWrap w:val="0"/>
        <w:spacing w:line="60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snapToGrid w:val="0"/>
        <w:jc w:val="center"/>
        <w:rPr>
          <w:color w:val="000000" w:themeColor="text1"/>
          <w:sz w:val="32"/>
          <w:szCs w:val="32"/>
          <w:highlight w:val="none"/>
          <w14:textFill>
            <w14:solidFill>
              <w14:schemeClr w14:val="tx1"/>
            </w14:solidFill>
          </w14:textFill>
        </w:rPr>
      </w:pPr>
    </w:p>
    <w:p w14:paraId="2FEC5E76">
      <w:pPr>
        <w:snapToGrid w:val="0"/>
        <w:jc w:val="center"/>
        <w:rPr>
          <w:b/>
          <w:color w:val="000000" w:themeColor="text1"/>
          <w:sz w:val="32"/>
          <w:szCs w:val="32"/>
          <w:highlight w:val="none"/>
          <w14:textFill>
            <w14:solidFill>
              <w14:schemeClr w14:val="tx1"/>
            </w14:solidFill>
          </w14:textFill>
        </w:rPr>
      </w:pPr>
    </w:p>
    <w:p w14:paraId="0C590F44">
      <w:pPr>
        <w:snapToGrid w:val="0"/>
        <w:jc w:val="center"/>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6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spacing w:line="276" w:lineRule="auto"/>
        <w:rPr>
          <w:color w:val="000000" w:themeColor="text1"/>
          <w:szCs w:val="21"/>
          <w:highlight w:val="none"/>
          <w14:textFill>
            <w14:solidFill>
              <w14:schemeClr w14:val="tx1"/>
            </w14:solidFill>
          </w14:textFill>
        </w:rPr>
      </w:pPr>
    </w:p>
    <w:p w14:paraId="6188F9E0">
      <w:pPr>
        <w:spacing w:line="276" w:lineRule="auto"/>
        <w:rPr>
          <w:color w:val="000000" w:themeColor="text1"/>
          <w:szCs w:val="21"/>
          <w:highlight w:val="none"/>
          <w14:textFill>
            <w14:solidFill>
              <w14:schemeClr w14:val="tx1"/>
            </w14:solidFill>
          </w14:textFill>
        </w:rPr>
      </w:pPr>
    </w:p>
    <w:p w14:paraId="37FE23AC">
      <w:pPr>
        <w:spacing w:line="276"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spacing w:line="276" w:lineRule="auto"/>
        <w:rPr>
          <w:color w:val="000000" w:themeColor="text1"/>
          <w:szCs w:val="21"/>
          <w:highlight w:val="none"/>
          <w14:textFill>
            <w14:solidFill>
              <w14:schemeClr w14:val="tx1"/>
            </w14:solidFill>
          </w14:textFill>
        </w:rPr>
      </w:pPr>
    </w:p>
    <w:p w14:paraId="32B3162F">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spacing w:line="276" w:lineRule="auto"/>
        <w:rPr>
          <w:color w:val="000000" w:themeColor="text1"/>
          <w:szCs w:val="21"/>
          <w:highlight w:val="none"/>
          <w14:textFill>
            <w14:solidFill>
              <w14:schemeClr w14:val="tx1"/>
            </w14:solidFill>
          </w14:textFill>
        </w:rPr>
      </w:pPr>
    </w:p>
    <w:p w14:paraId="16897A4D">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spacing w:line="276" w:lineRule="auto"/>
        <w:rPr>
          <w:color w:val="000000" w:themeColor="text1"/>
          <w:szCs w:val="21"/>
          <w:highlight w:val="none"/>
          <w14:textFill>
            <w14:solidFill>
              <w14:schemeClr w14:val="tx1"/>
            </w14:solidFill>
          </w14:textFill>
        </w:rPr>
      </w:pPr>
    </w:p>
    <w:p w14:paraId="548ACCF3">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spacing w:line="276" w:lineRule="auto"/>
        <w:rPr>
          <w:color w:val="000000" w:themeColor="text1"/>
          <w:szCs w:val="21"/>
          <w:highlight w:val="none"/>
          <w14:textFill>
            <w14:solidFill>
              <w14:schemeClr w14:val="tx1"/>
            </w14:solidFill>
          </w14:textFill>
        </w:rPr>
      </w:pPr>
    </w:p>
    <w:p w14:paraId="04A15BB7">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spacing w:line="276" w:lineRule="auto"/>
        <w:rPr>
          <w:color w:val="000000" w:themeColor="text1"/>
          <w:szCs w:val="21"/>
          <w:highlight w:val="none"/>
          <w14:textFill>
            <w14:solidFill>
              <w14:schemeClr w14:val="tx1"/>
            </w14:solidFill>
          </w14:textFill>
        </w:rPr>
      </w:pPr>
    </w:p>
    <w:p w14:paraId="5722446B">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spacing w:line="276" w:lineRule="auto"/>
        <w:rPr>
          <w:color w:val="000000" w:themeColor="text1"/>
          <w:szCs w:val="21"/>
          <w:highlight w:val="none"/>
          <w14:textFill>
            <w14:solidFill>
              <w14:schemeClr w14:val="tx1"/>
            </w14:solidFill>
          </w14:textFill>
        </w:rPr>
      </w:pPr>
    </w:p>
    <w:p w14:paraId="7BD790DE">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spacing w:line="276" w:lineRule="auto"/>
        <w:rPr>
          <w:color w:val="000000" w:themeColor="text1"/>
          <w:szCs w:val="21"/>
          <w:highlight w:val="none"/>
          <w14:textFill>
            <w14:solidFill>
              <w14:schemeClr w14:val="tx1"/>
            </w14:solidFill>
          </w14:textFill>
        </w:rPr>
      </w:pPr>
    </w:p>
    <w:p w14:paraId="1C09862A">
      <w:pPr>
        <w:spacing w:line="276" w:lineRule="auto"/>
        <w:rPr>
          <w:color w:val="000000" w:themeColor="text1"/>
          <w:szCs w:val="21"/>
          <w:highlight w:val="none"/>
          <w14:textFill>
            <w14:solidFill>
              <w14:schemeClr w14:val="tx1"/>
            </w14:solidFill>
          </w14:textFill>
        </w:rPr>
      </w:pPr>
    </w:p>
    <w:p w14:paraId="655237A5">
      <w:pPr>
        <w:spacing w:line="276" w:lineRule="auto"/>
        <w:ind w:firstLine="840" w:firstLineChars="4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spacing w:line="600" w:lineRule="auto"/>
        <w:ind w:firstLine="4830" w:firstLineChars="23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spacing w:line="600" w:lineRule="auto"/>
        <w:ind w:firstLine="4830" w:firstLineChars="23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spacing w:line="600" w:lineRule="auto"/>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jc w:val="center"/>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62" w:name="_Toc511207283"/>
      <w:bookmarkStart w:id="63" w:name="_Toc449685252"/>
      <w:bookmarkStart w:id="64" w:name="_Toc402425837"/>
      <w:r>
        <w:rPr>
          <w:b/>
          <w:color w:val="000000" w:themeColor="text1"/>
          <w:sz w:val="32"/>
          <w:szCs w:val="32"/>
          <w:highlight w:val="none"/>
          <w14:textFill>
            <w14:solidFill>
              <w14:schemeClr w14:val="tx1"/>
            </w14:solidFill>
          </w14:textFill>
        </w:rPr>
        <w:t>三、授权委托书</w:t>
      </w:r>
      <w:bookmarkEnd w:id="62"/>
      <w:bookmarkEnd w:id="63"/>
      <w:bookmarkEnd w:id="64"/>
    </w:p>
    <w:p w14:paraId="6E617301">
      <w:pPr>
        <w:spacing w:line="360" w:lineRule="auto"/>
        <w:rPr>
          <w:color w:val="000000" w:themeColor="text1"/>
          <w:sz w:val="16"/>
          <w:szCs w:val="21"/>
          <w:highlight w:val="none"/>
          <w14:textFill>
            <w14:solidFill>
              <w14:schemeClr w14:val="tx1"/>
            </w14:solidFill>
          </w14:textFill>
        </w:rPr>
      </w:pPr>
    </w:p>
    <w:p w14:paraId="7CD1FE99">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spacing w:line="360" w:lineRule="auto"/>
        <w:ind w:firstLine="420" w:firstLineChars="200"/>
        <w:jc w:val="right"/>
        <w:rPr>
          <w:color w:val="000000" w:themeColor="text1"/>
          <w:szCs w:val="21"/>
          <w:highlight w:val="none"/>
          <w14:textFill>
            <w14:solidFill>
              <w14:schemeClr w14:val="tx1"/>
            </w14:solidFill>
          </w14:textFill>
        </w:rPr>
      </w:pPr>
    </w:p>
    <w:p w14:paraId="07BB4F69">
      <w:pPr>
        <w:wordWrap w:val="0"/>
        <w:spacing w:line="480" w:lineRule="auto"/>
        <w:ind w:firstLine="420" w:firstLineChars="2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65" w:name="_Toc402425838"/>
      <w:bookmarkStart w:id="66" w:name="_Toc449685253"/>
      <w:bookmarkStart w:id="67" w:name="_Toc511207284"/>
    </w:p>
    <w:p w14:paraId="55DEE12D">
      <w:pPr>
        <w:ind w:firstLine="420" w:firstLineChars="200"/>
        <w:jc w:val="center"/>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65"/>
      <w:bookmarkEnd w:id="66"/>
      <w:bookmarkEnd w:id="67"/>
      <w:r>
        <w:rPr>
          <w:rFonts w:hint="eastAsia"/>
          <w:b/>
          <w:color w:val="000000" w:themeColor="text1"/>
          <w:sz w:val="32"/>
          <w:szCs w:val="32"/>
          <w:highlight w:val="none"/>
          <w14:textFill>
            <w14:solidFill>
              <w14:schemeClr w14:val="tx1"/>
            </w14:solidFill>
          </w14:textFill>
        </w:rPr>
        <w:t>（首次）</w:t>
      </w:r>
    </w:p>
    <w:p w14:paraId="66853AE0">
      <w:pPr>
        <w:spacing w:line="480" w:lineRule="auto"/>
        <w:ind w:firstLine="643" w:firstLineChars="200"/>
        <w:jc w:val="center"/>
        <w:rPr>
          <w:b/>
          <w:color w:val="000000" w:themeColor="text1"/>
          <w:sz w:val="32"/>
          <w:szCs w:val="32"/>
          <w:highlight w:val="none"/>
          <w14:textFill>
            <w14:solidFill>
              <w14:schemeClr w14:val="tx1"/>
            </w14:solidFill>
          </w14:textFill>
        </w:rPr>
      </w:pPr>
    </w:p>
    <w:p w14:paraId="12292C95">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3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247"/>
        <w:gridCol w:w="1574"/>
        <w:gridCol w:w="1377"/>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60" w:type="dxa"/>
            <w:noWrap w:val="0"/>
            <w:vAlign w:val="center"/>
          </w:tcPr>
          <w:p w14:paraId="43F9B540">
            <w:pPr>
              <w:autoSpaceDE w:val="0"/>
              <w:autoSpaceDN w:val="0"/>
              <w:spacing w:line="400" w:lineRule="exact"/>
              <w:jc w:val="center"/>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2247" w:type="dxa"/>
            <w:noWrap w:val="0"/>
            <w:vAlign w:val="center"/>
          </w:tcPr>
          <w:p w14:paraId="4BC2B9E5">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C029F8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w:t>
            </w:r>
            <w:r>
              <w:rPr>
                <w:rFonts w:hint="eastAsia"/>
                <w:bCs/>
                <w:color w:val="000000" w:themeColor="text1"/>
                <w:szCs w:val="21"/>
                <w:highlight w:val="none"/>
                <w14:textFill>
                  <w14:solidFill>
                    <w14:schemeClr w14:val="tx1"/>
                  </w14:solidFill>
                </w14:textFill>
              </w:rPr>
              <w:t>万元</w:t>
            </w:r>
            <w:r>
              <w:rPr>
                <w:bCs/>
                <w:color w:val="000000" w:themeColor="text1"/>
                <w:szCs w:val="21"/>
                <w:highlight w:val="none"/>
                <w:lang w:val="zh-CN"/>
                <w14:textFill>
                  <w14:solidFill>
                    <w14:schemeClr w14:val="tx1"/>
                  </w14:solidFill>
                </w14:textFill>
              </w:rPr>
              <w:t>）</w:t>
            </w:r>
          </w:p>
        </w:tc>
        <w:tc>
          <w:tcPr>
            <w:tcW w:w="1574" w:type="dxa"/>
            <w:noWrap w:val="0"/>
            <w:vAlign w:val="center"/>
          </w:tcPr>
          <w:p w14:paraId="4E1EB1B3">
            <w:pPr>
              <w:autoSpaceDE w:val="0"/>
              <w:autoSpaceDN w:val="0"/>
              <w:spacing w:line="40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w:t>
            </w:r>
          </w:p>
        </w:tc>
        <w:tc>
          <w:tcPr>
            <w:tcW w:w="1377" w:type="dxa"/>
            <w:noWrap w:val="0"/>
            <w:vAlign w:val="center"/>
          </w:tcPr>
          <w:p w14:paraId="0D3528F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优惠</w:t>
            </w:r>
          </w:p>
          <w:p w14:paraId="44EF2CF2">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条件</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560" w:type="dxa"/>
            <w:noWrap w:val="0"/>
            <w:vAlign w:val="center"/>
          </w:tcPr>
          <w:p w14:paraId="5540FA4F">
            <w:pPr>
              <w:autoSpaceDE w:val="0"/>
              <w:autoSpaceDN w:val="0"/>
              <w:spacing w:line="400" w:lineRule="exact"/>
              <w:jc w:val="center"/>
              <w:rPr>
                <w:bCs/>
                <w:color w:val="000000" w:themeColor="text1"/>
                <w:szCs w:val="21"/>
                <w:highlight w:val="none"/>
                <w:lang w:val="zh-CN"/>
                <w14:textFill>
                  <w14:solidFill>
                    <w14:schemeClr w14:val="tx1"/>
                  </w14:solidFill>
                </w14:textFill>
              </w:rPr>
            </w:pPr>
          </w:p>
        </w:tc>
        <w:tc>
          <w:tcPr>
            <w:tcW w:w="2247" w:type="dxa"/>
            <w:noWrap w:val="0"/>
            <w:vAlign w:val="center"/>
          </w:tcPr>
          <w:p w14:paraId="5726B9A1">
            <w:pPr>
              <w:autoSpaceDE w:val="0"/>
              <w:autoSpaceDN w:val="0"/>
              <w:spacing w:line="400" w:lineRule="exact"/>
              <w:jc w:val="center"/>
              <w:rPr>
                <w:rFonts w:hint="eastAsia"/>
                <w:bCs/>
                <w:color w:val="000000" w:themeColor="text1"/>
                <w:szCs w:val="21"/>
                <w:highlight w:val="none"/>
                <w14:textFill>
                  <w14:solidFill>
                    <w14:schemeClr w14:val="tx1"/>
                  </w14:solidFill>
                </w14:textFill>
              </w:rPr>
            </w:pPr>
          </w:p>
        </w:tc>
        <w:tc>
          <w:tcPr>
            <w:tcW w:w="1574" w:type="dxa"/>
            <w:noWrap w:val="0"/>
            <w:vAlign w:val="center"/>
          </w:tcPr>
          <w:p w14:paraId="57AF8C12">
            <w:pPr>
              <w:autoSpaceDE w:val="0"/>
              <w:autoSpaceDN w:val="0"/>
              <w:spacing w:line="400" w:lineRule="exact"/>
              <w:jc w:val="center"/>
              <w:rPr>
                <w:color w:val="000000" w:themeColor="text1"/>
                <w:szCs w:val="21"/>
                <w:highlight w:val="none"/>
                <w14:textFill>
                  <w14:solidFill>
                    <w14:schemeClr w14:val="tx1"/>
                  </w14:solidFill>
                </w14:textFill>
              </w:rPr>
            </w:pPr>
          </w:p>
        </w:tc>
        <w:tc>
          <w:tcPr>
            <w:tcW w:w="1377" w:type="dxa"/>
            <w:noWrap w:val="0"/>
            <w:vAlign w:val="center"/>
          </w:tcPr>
          <w:p w14:paraId="70F6FA39">
            <w:pPr>
              <w:autoSpaceDE w:val="0"/>
              <w:autoSpaceDN w:val="0"/>
              <w:spacing w:line="400" w:lineRule="exact"/>
              <w:jc w:val="center"/>
              <w:rPr>
                <w:bCs/>
                <w:color w:val="000000" w:themeColor="text1"/>
                <w:szCs w:val="21"/>
                <w:highlight w:val="none"/>
                <w14:textFill>
                  <w14:solidFill>
                    <w14:schemeClr w14:val="tx1"/>
                  </w14:solidFill>
                </w14:textFill>
              </w:rPr>
            </w:pPr>
          </w:p>
        </w:tc>
      </w:tr>
    </w:tbl>
    <w:p w14:paraId="34EC1AB4">
      <w:pPr>
        <w:autoSpaceDE w:val="0"/>
        <w:autoSpaceDN w:val="0"/>
        <w:spacing w:line="480" w:lineRule="auto"/>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817F20C">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2、报价为采购范围所列全部项目的含税报价总和。优惠条件只填“有”或“无”，并在响应文件相应位置附具体内容。</w:t>
      </w:r>
    </w:p>
    <w:p w14:paraId="42A893F3">
      <w:pPr>
        <w:autoSpaceDE w:val="0"/>
        <w:autoSpaceDN w:val="0"/>
        <w:adjustRightInd w:val="0"/>
        <w:spacing w:line="480" w:lineRule="auto"/>
        <w:ind w:firstLine="420" w:firstLineChars="200"/>
        <w:textAlignment w:val="baseline"/>
        <w:rPr>
          <w:b/>
          <w:bCs/>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3</w:t>
      </w:r>
      <w:r>
        <w:rPr>
          <w:rFonts w:ascii="宋体" w:hAnsi="宋体" w:cs="宋体"/>
          <w:snapToGrid w:val="0"/>
          <w:color w:val="000000" w:themeColor="text1"/>
          <w:kern w:val="0"/>
          <w:szCs w:val="32"/>
          <w:highlight w:val="none"/>
          <w:lang w:val="zh-CN"/>
          <w14:textFill>
            <w14:solidFill>
              <w14:schemeClr w14:val="tx1"/>
            </w14:solidFill>
          </w14:textFill>
        </w:rPr>
        <w:t>、本表格须装订在</w:t>
      </w:r>
      <w:r>
        <w:rPr>
          <w:rFonts w:hint="eastAsia" w:ascii="宋体" w:hAnsi="宋体" w:cs="宋体"/>
          <w:snapToGrid w:val="0"/>
          <w:color w:val="000000" w:themeColor="text1"/>
          <w:kern w:val="0"/>
          <w:szCs w:val="32"/>
          <w:highlight w:val="none"/>
          <w14:textFill>
            <w14:solidFill>
              <w14:schemeClr w14:val="tx1"/>
            </w14:solidFill>
          </w14:textFill>
        </w:rPr>
        <w:t>响应</w:t>
      </w:r>
      <w:r>
        <w:rPr>
          <w:rFonts w:ascii="宋体" w:hAnsi="宋体" w:cs="宋体"/>
          <w:snapToGrid w:val="0"/>
          <w:color w:val="000000" w:themeColor="text1"/>
          <w:kern w:val="0"/>
          <w:szCs w:val="32"/>
          <w:highlight w:val="none"/>
          <w:lang w:val="zh-CN"/>
          <w14:textFill>
            <w14:solidFill>
              <w14:schemeClr w14:val="tx1"/>
            </w14:solidFill>
          </w14:textFill>
        </w:rPr>
        <w:t>文件内。然后再将此</w:t>
      </w:r>
      <w:r>
        <w:rPr>
          <w:rFonts w:hint="eastAsia" w:ascii="宋体" w:hAnsi="宋体" w:cs="宋体"/>
          <w:snapToGrid w:val="0"/>
          <w:color w:val="000000" w:themeColor="text1"/>
          <w:kern w:val="0"/>
          <w:szCs w:val="32"/>
          <w:highlight w:val="none"/>
          <w14:textFill>
            <w14:solidFill>
              <w14:schemeClr w14:val="tx1"/>
            </w14:solidFill>
          </w14:textFill>
        </w:rPr>
        <w:t>报价</w:t>
      </w:r>
      <w:r>
        <w:rPr>
          <w:rFonts w:ascii="宋体" w:hAnsi="宋体" w:cs="宋体"/>
          <w:snapToGrid w:val="0"/>
          <w:color w:val="000000" w:themeColor="text1"/>
          <w:kern w:val="0"/>
          <w:szCs w:val="32"/>
          <w:highlight w:val="none"/>
          <w:lang w:val="zh-CN"/>
          <w14:textFill>
            <w14:solidFill>
              <w14:schemeClr w14:val="tx1"/>
            </w14:solidFill>
          </w14:textFill>
        </w:rPr>
        <w:t>一览表单独打印一份签字和加盖印章后，单独密封在一个小信封内，随</w:t>
      </w:r>
      <w:r>
        <w:rPr>
          <w:rFonts w:hint="eastAsia" w:ascii="宋体" w:hAnsi="宋体" w:cs="宋体"/>
          <w:snapToGrid w:val="0"/>
          <w:color w:val="000000" w:themeColor="text1"/>
          <w:kern w:val="0"/>
          <w:szCs w:val="32"/>
          <w:highlight w:val="none"/>
          <w14:textFill>
            <w14:solidFill>
              <w14:schemeClr w14:val="tx1"/>
            </w14:solidFill>
          </w14:textFill>
        </w:rPr>
        <w:t>响应</w:t>
      </w:r>
      <w:r>
        <w:rPr>
          <w:bCs/>
          <w:color w:val="000000" w:themeColor="text1"/>
          <w:szCs w:val="21"/>
          <w:highlight w:val="none"/>
          <w:lang w:val="zh-CN"/>
          <w14:textFill>
            <w14:solidFill>
              <w14:schemeClr w14:val="tx1"/>
            </w14:solidFill>
          </w14:textFill>
        </w:rPr>
        <w:t>文件一同递交用。</w:t>
      </w:r>
    </w:p>
    <w:p w14:paraId="384615DB">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spacing w:line="300" w:lineRule="auto"/>
        <w:ind w:firstLine="420" w:firstLineChars="200"/>
        <w:rPr>
          <w:color w:val="000000" w:themeColor="text1"/>
          <w:highlight w:val="none"/>
          <w14:textFill>
            <w14:solidFill>
              <w14:schemeClr w14:val="tx1"/>
            </w14:solidFill>
          </w14:textFill>
        </w:rPr>
      </w:pPr>
    </w:p>
    <w:p w14:paraId="489A3B9F">
      <w:pPr>
        <w:autoSpaceDE w:val="0"/>
        <w:autoSpaceDN w:val="0"/>
        <w:jc w:val="center"/>
        <w:rPr>
          <w:rFonts w:hint="eastAsia"/>
          <w:b/>
          <w:color w:val="000000" w:themeColor="text1"/>
          <w:sz w:val="32"/>
          <w:szCs w:val="32"/>
          <w:highlight w:val="none"/>
          <w14:textFill>
            <w14:solidFill>
              <w14:schemeClr w14:val="tx1"/>
            </w14:solidFill>
          </w14:textFill>
        </w:rPr>
      </w:pPr>
      <w:bookmarkStart w:id="68" w:name="_Toc402425839"/>
      <w:r>
        <w:rPr>
          <w:b/>
          <w:color w:val="000000" w:themeColor="text1"/>
          <w:highlight w:val="none"/>
          <w14:textFill>
            <w14:solidFill>
              <w14:schemeClr w14:val="tx1"/>
            </w14:solidFill>
          </w14:textFill>
        </w:rPr>
        <w:br w:type="page"/>
      </w:r>
      <w:bookmarkEnd w:id="61"/>
      <w:bookmarkEnd w:id="68"/>
      <w:r>
        <w:rPr>
          <w:b/>
          <w:color w:val="000000" w:themeColor="text1"/>
          <w:sz w:val="32"/>
          <w:szCs w:val="32"/>
          <w:highlight w:val="none"/>
          <w14:textFill>
            <w14:solidFill>
              <w14:schemeClr w14:val="tx1"/>
            </w14:solidFill>
          </w14:textFill>
        </w:rPr>
        <w:t>五、报价</w:t>
      </w:r>
      <w:r>
        <w:rPr>
          <w:rFonts w:hint="eastAsia"/>
          <w:b/>
          <w:color w:val="000000" w:themeColor="text1"/>
          <w:sz w:val="32"/>
          <w:szCs w:val="32"/>
          <w:highlight w:val="none"/>
          <w14:textFill>
            <w14:solidFill>
              <w14:schemeClr w14:val="tx1"/>
            </w14:solidFill>
          </w14:textFill>
        </w:rPr>
        <w:t>明细</w:t>
      </w:r>
    </w:p>
    <w:p w14:paraId="6C4DCD1A">
      <w:pPr>
        <w:autoSpaceDE w:val="0"/>
        <w:autoSpaceDN w:val="0"/>
        <w:snapToGrid w:val="0"/>
        <w:rPr>
          <w:color w:val="000000" w:themeColor="text1"/>
          <w:spacing w:val="11"/>
          <w:szCs w:val="21"/>
          <w:highlight w:val="none"/>
          <w14:textFill>
            <w14:solidFill>
              <w14:schemeClr w14:val="tx1"/>
            </w14:solidFill>
          </w14:textFill>
        </w:rPr>
      </w:pPr>
    </w:p>
    <w:p w14:paraId="392DA8FB">
      <w:pPr>
        <w:autoSpaceDE w:val="0"/>
        <w:autoSpaceDN w:val="0"/>
        <w:snapToGrid w:val="0"/>
        <w:rPr>
          <w:color w:val="000000" w:themeColor="text1"/>
          <w:spacing w:val="11"/>
          <w:szCs w:val="21"/>
          <w:highlight w:val="none"/>
          <w14:textFill>
            <w14:solidFill>
              <w14:schemeClr w14:val="tx1"/>
            </w14:solidFill>
          </w14:textFill>
        </w:rPr>
      </w:pPr>
    </w:p>
    <w:p w14:paraId="2D660842">
      <w:pPr>
        <w:autoSpaceDE w:val="0"/>
        <w:autoSpaceDN w:val="0"/>
        <w:snapToGrid w:val="0"/>
        <w:rPr>
          <w:color w:val="000000" w:themeColor="text1"/>
          <w:spacing w:val="11"/>
          <w:szCs w:val="21"/>
          <w:highlight w:val="none"/>
          <w14:textFill>
            <w14:solidFill>
              <w14:schemeClr w14:val="tx1"/>
            </w14:solidFill>
          </w14:textFill>
        </w:rPr>
      </w:pPr>
      <w:r>
        <w:rPr>
          <w:rFonts w:hint="eastAsia"/>
          <w:color w:val="000000" w:themeColor="text1"/>
          <w:spacing w:val="11"/>
          <w:szCs w:val="21"/>
          <w:highlight w:val="none"/>
          <w14:textFill>
            <w14:solidFill>
              <w14:schemeClr w14:val="tx1"/>
            </w14:solidFill>
          </w14:textFill>
        </w:rPr>
        <w:t>内容由</w:t>
      </w:r>
      <w:r>
        <w:rPr>
          <w:rFonts w:hint="eastAsia"/>
          <w:color w:val="000000" w:themeColor="text1"/>
          <w:spacing w:val="11"/>
          <w:szCs w:val="21"/>
          <w:highlight w:val="none"/>
          <w:lang w:eastAsia="zh-CN"/>
          <w14:textFill>
            <w14:solidFill>
              <w14:schemeClr w14:val="tx1"/>
            </w14:solidFill>
          </w14:textFill>
        </w:rPr>
        <w:t>供应商</w:t>
      </w:r>
      <w:r>
        <w:rPr>
          <w:rFonts w:hint="eastAsia"/>
          <w:color w:val="000000" w:themeColor="text1"/>
          <w:spacing w:val="11"/>
          <w:szCs w:val="21"/>
          <w:highlight w:val="none"/>
          <w14:textFill>
            <w14:solidFill>
              <w14:schemeClr w14:val="tx1"/>
            </w14:solidFill>
          </w14:textFill>
        </w:rPr>
        <w:t>根据项目需要自行编制。</w:t>
      </w:r>
    </w:p>
    <w:p w14:paraId="4BCFB689">
      <w:pPr>
        <w:autoSpaceDE w:val="0"/>
        <w:autoSpaceDN w:val="0"/>
        <w:snapToGrid w:val="0"/>
        <w:rPr>
          <w:color w:val="000000" w:themeColor="text1"/>
          <w:spacing w:val="11"/>
          <w:szCs w:val="21"/>
          <w:highlight w:val="none"/>
          <w14:textFill>
            <w14:solidFill>
              <w14:schemeClr w14:val="tx1"/>
            </w14:solidFill>
          </w14:textFill>
        </w:rPr>
      </w:pPr>
    </w:p>
    <w:p w14:paraId="0DBCB4A5">
      <w:pPr>
        <w:autoSpaceDE w:val="0"/>
        <w:autoSpaceDN w:val="0"/>
        <w:snapToGrid w:val="0"/>
        <w:rPr>
          <w:color w:val="000000" w:themeColor="text1"/>
          <w:spacing w:val="11"/>
          <w:szCs w:val="21"/>
          <w:highlight w:val="none"/>
          <w14:textFill>
            <w14:solidFill>
              <w14:schemeClr w14:val="tx1"/>
            </w14:solidFill>
          </w14:textFill>
        </w:rPr>
      </w:pPr>
    </w:p>
    <w:p w14:paraId="6DA4F24C">
      <w:pPr>
        <w:autoSpaceDE w:val="0"/>
        <w:autoSpaceDN w:val="0"/>
        <w:snapToGrid w:val="0"/>
        <w:rPr>
          <w:color w:val="000000" w:themeColor="text1"/>
          <w:spacing w:val="11"/>
          <w:szCs w:val="21"/>
          <w:highlight w:val="none"/>
          <w14:textFill>
            <w14:solidFill>
              <w14:schemeClr w14:val="tx1"/>
            </w14:solidFill>
          </w14:textFill>
        </w:rPr>
      </w:pPr>
    </w:p>
    <w:p w14:paraId="66355913">
      <w:pPr>
        <w:autoSpaceDE w:val="0"/>
        <w:autoSpaceDN w:val="0"/>
        <w:snapToGrid w:val="0"/>
        <w:rPr>
          <w:color w:val="000000" w:themeColor="text1"/>
          <w:spacing w:val="11"/>
          <w:szCs w:val="21"/>
          <w:highlight w:val="none"/>
          <w14:textFill>
            <w14:solidFill>
              <w14:schemeClr w14:val="tx1"/>
            </w14:solidFill>
          </w14:textFill>
        </w:rPr>
      </w:pPr>
    </w:p>
    <w:p w14:paraId="7933E63D">
      <w:pPr>
        <w:autoSpaceDE w:val="0"/>
        <w:autoSpaceDN w:val="0"/>
        <w:snapToGrid w:val="0"/>
        <w:rPr>
          <w:color w:val="000000" w:themeColor="text1"/>
          <w:spacing w:val="11"/>
          <w:szCs w:val="21"/>
          <w:highlight w:val="none"/>
          <w14:textFill>
            <w14:solidFill>
              <w14:schemeClr w14:val="tx1"/>
            </w14:solidFill>
          </w14:textFill>
        </w:rPr>
      </w:pPr>
    </w:p>
    <w:p w14:paraId="5071439C">
      <w:pPr>
        <w:autoSpaceDE w:val="0"/>
        <w:autoSpaceDN w:val="0"/>
        <w:snapToGrid w:val="0"/>
        <w:rPr>
          <w:color w:val="000000" w:themeColor="text1"/>
          <w:spacing w:val="11"/>
          <w:szCs w:val="21"/>
          <w:highlight w:val="none"/>
          <w14:textFill>
            <w14:solidFill>
              <w14:schemeClr w14:val="tx1"/>
            </w14:solidFill>
          </w14:textFill>
        </w:rPr>
      </w:pPr>
    </w:p>
    <w:p w14:paraId="6306840C">
      <w:pPr>
        <w:autoSpaceDE w:val="0"/>
        <w:autoSpaceDN w:val="0"/>
        <w:snapToGrid w:val="0"/>
        <w:rPr>
          <w:color w:val="000000" w:themeColor="text1"/>
          <w:spacing w:val="11"/>
          <w:szCs w:val="21"/>
          <w:highlight w:val="none"/>
          <w14:textFill>
            <w14:solidFill>
              <w14:schemeClr w14:val="tx1"/>
            </w14:solidFill>
          </w14:textFill>
        </w:rPr>
      </w:pPr>
    </w:p>
    <w:p w14:paraId="2446981B">
      <w:pPr>
        <w:autoSpaceDE w:val="0"/>
        <w:autoSpaceDN w:val="0"/>
        <w:snapToGrid w:val="0"/>
        <w:rPr>
          <w:color w:val="000000" w:themeColor="text1"/>
          <w:spacing w:val="11"/>
          <w:szCs w:val="21"/>
          <w:highlight w:val="none"/>
          <w14:textFill>
            <w14:solidFill>
              <w14:schemeClr w14:val="tx1"/>
            </w14:solidFill>
          </w14:textFill>
        </w:rPr>
      </w:pPr>
    </w:p>
    <w:p w14:paraId="5E0D657D">
      <w:pPr>
        <w:autoSpaceDE w:val="0"/>
        <w:autoSpaceDN w:val="0"/>
        <w:snapToGrid w:val="0"/>
        <w:rPr>
          <w:color w:val="000000" w:themeColor="text1"/>
          <w:spacing w:val="11"/>
          <w:szCs w:val="21"/>
          <w:highlight w:val="none"/>
          <w14:textFill>
            <w14:solidFill>
              <w14:schemeClr w14:val="tx1"/>
            </w14:solidFill>
          </w14:textFill>
        </w:rPr>
      </w:pPr>
    </w:p>
    <w:p w14:paraId="006EB7C3">
      <w:pPr>
        <w:autoSpaceDE w:val="0"/>
        <w:autoSpaceDN w:val="0"/>
        <w:snapToGrid w:val="0"/>
        <w:rPr>
          <w:color w:val="000000" w:themeColor="text1"/>
          <w:spacing w:val="11"/>
          <w:szCs w:val="21"/>
          <w:highlight w:val="none"/>
          <w14:textFill>
            <w14:solidFill>
              <w14:schemeClr w14:val="tx1"/>
            </w14:solidFill>
          </w14:textFill>
        </w:rPr>
      </w:pPr>
    </w:p>
    <w:p w14:paraId="3866AEAD">
      <w:pPr>
        <w:autoSpaceDE w:val="0"/>
        <w:autoSpaceDN w:val="0"/>
        <w:snapToGrid w:val="0"/>
        <w:rPr>
          <w:color w:val="000000" w:themeColor="text1"/>
          <w:spacing w:val="11"/>
          <w:szCs w:val="21"/>
          <w:highlight w:val="none"/>
          <w14:textFill>
            <w14:solidFill>
              <w14:schemeClr w14:val="tx1"/>
            </w14:solidFill>
          </w14:textFill>
        </w:rPr>
      </w:pPr>
    </w:p>
    <w:p w14:paraId="3C206C54">
      <w:pPr>
        <w:autoSpaceDE w:val="0"/>
        <w:autoSpaceDN w:val="0"/>
        <w:snapToGrid w:val="0"/>
        <w:rPr>
          <w:color w:val="000000" w:themeColor="text1"/>
          <w:spacing w:val="11"/>
          <w:szCs w:val="21"/>
          <w:highlight w:val="none"/>
          <w14:textFill>
            <w14:solidFill>
              <w14:schemeClr w14:val="tx1"/>
            </w14:solidFill>
          </w14:textFill>
        </w:rPr>
      </w:pPr>
    </w:p>
    <w:p w14:paraId="54E4C91E">
      <w:pPr>
        <w:spacing w:line="480" w:lineRule="auto"/>
        <w:ind w:firstLine="420" w:firstLineChars="200"/>
        <w:jc w:val="right"/>
        <w:rPr>
          <w:color w:val="000000" w:themeColor="text1"/>
          <w:szCs w:val="21"/>
          <w:highlight w:val="none"/>
          <w14:textFill>
            <w14:solidFill>
              <w14:schemeClr w14:val="tx1"/>
            </w14:solidFill>
          </w14:textFill>
        </w:rPr>
      </w:pPr>
    </w:p>
    <w:p w14:paraId="0D7A9C68">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spacing w:line="440" w:lineRule="exact"/>
        <w:ind w:firstLine="1028"/>
        <w:jc w:val="right"/>
        <w:rPr>
          <w:color w:val="000000" w:themeColor="text1"/>
          <w:highlight w:val="none"/>
          <w:u w:val="single"/>
          <w14:textFill>
            <w14:solidFill>
              <w14:schemeClr w14:val="tx1"/>
            </w14:solidFill>
          </w14:textFill>
        </w:rPr>
      </w:pPr>
    </w:p>
    <w:p w14:paraId="3CC48A3D">
      <w:pPr>
        <w:spacing w:line="440" w:lineRule="exact"/>
        <w:ind w:firstLine="1028"/>
        <w:rPr>
          <w:color w:val="000000" w:themeColor="text1"/>
          <w:highlight w:val="none"/>
          <w14:textFill>
            <w14:solidFill>
              <w14:schemeClr w14:val="tx1"/>
            </w14:solidFill>
          </w14:textFill>
        </w:rPr>
      </w:pPr>
    </w:p>
    <w:p w14:paraId="4789E15D">
      <w:pPr>
        <w:pStyle w:val="16"/>
        <w:rPr>
          <w:color w:val="000000" w:themeColor="text1"/>
          <w:highlight w:val="none"/>
          <w14:textFill>
            <w14:solidFill>
              <w14:schemeClr w14:val="tx1"/>
            </w14:solidFill>
          </w14:textFill>
        </w:rPr>
      </w:pPr>
    </w:p>
    <w:p w14:paraId="71E569B3">
      <w:pPr>
        <w:rPr>
          <w:color w:val="000000" w:themeColor="text1"/>
          <w:highlight w:val="none"/>
          <w14:textFill>
            <w14:solidFill>
              <w14:schemeClr w14:val="tx1"/>
            </w14:solidFill>
          </w14:textFill>
        </w:rPr>
      </w:pPr>
    </w:p>
    <w:p w14:paraId="51BDBED5">
      <w:pPr>
        <w:pStyle w:val="16"/>
        <w:rPr>
          <w:color w:val="000000" w:themeColor="text1"/>
          <w:highlight w:val="none"/>
          <w14:textFill>
            <w14:solidFill>
              <w14:schemeClr w14:val="tx1"/>
            </w14:solidFill>
          </w14:textFill>
        </w:rPr>
      </w:pPr>
    </w:p>
    <w:p w14:paraId="304171C8">
      <w:pPr>
        <w:rPr>
          <w:color w:val="000000" w:themeColor="text1"/>
          <w:highlight w:val="none"/>
          <w14:textFill>
            <w14:solidFill>
              <w14:schemeClr w14:val="tx1"/>
            </w14:solidFill>
          </w14:textFill>
        </w:rPr>
      </w:pPr>
    </w:p>
    <w:p w14:paraId="330A09F2">
      <w:pPr>
        <w:pStyle w:val="16"/>
        <w:rPr>
          <w:color w:val="000000" w:themeColor="text1"/>
          <w:highlight w:val="none"/>
          <w14:textFill>
            <w14:solidFill>
              <w14:schemeClr w14:val="tx1"/>
            </w14:solidFill>
          </w14:textFill>
        </w:rPr>
      </w:pPr>
    </w:p>
    <w:p w14:paraId="6A00C969">
      <w:pPr>
        <w:rPr>
          <w:color w:val="000000" w:themeColor="text1"/>
          <w:highlight w:val="none"/>
          <w14:textFill>
            <w14:solidFill>
              <w14:schemeClr w14:val="tx1"/>
            </w14:solidFill>
          </w14:textFill>
        </w:rPr>
      </w:pPr>
    </w:p>
    <w:p w14:paraId="357BCF4A">
      <w:pPr>
        <w:pStyle w:val="16"/>
        <w:rPr>
          <w:color w:val="000000" w:themeColor="text1"/>
          <w:highlight w:val="none"/>
          <w14:textFill>
            <w14:solidFill>
              <w14:schemeClr w14:val="tx1"/>
            </w14:solidFill>
          </w14:textFill>
        </w:rPr>
      </w:pPr>
    </w:p>
    <w:p w14:paraId="2561F4E3">
      <w:pPr>
        <w:rPr>
          <w:color w:val="000000" w:themeColor="text1"/>
          <w:highlight w:val="none"/>
          <w14:textFill>
            <w14:solidFill>
              <w14:schemeClr w14:val="tx1"/>
            </w14:solidFill>
          </w14:textFill>
        </w:rPr>
      </w:pPr>
    </w:p>
    <w:p w14:paraId="55EADC61">
      <w:pPr>
        <w:pStyle w:val="16"/>
        <w:rPr>
          <w:color w:val="000000" w:themeColor="text1"/>
          <w:highlight w:val="none"/>
          <w14:textFill>
            <w14:solidFill>
              <w14:schemeClr w14:val="tx1"/>
            </w14:solidFill>
          </w14:textFill>
        </w:rPr>
      </w:pPr>
    </w:p>
    <w:p w14:paraId="7563F2B9">
      <w:pPr>
        <w:rPr>
          <w:color w:val="000000" w:themeColor="text1"/>
          <w:highlight w:val="none"/>
          <w14:textFill>
            <w14:solidFill>
              <w14:schemeClr w14:val="tx1"/>
            </w14:solidFill>
          </w14:textFill>
        </w:rPr>
      </w:pPr>
    </w:p>
    <w:p w14:paraId="28343AFF">
      <w:pPr>
        <w:pStyle w:val="16"/>
        <w:rPr>
          <w:color w:val="000000" w:themeColor="text1"/>
          <w:highlight w:val="none"/>
          <w14:textFill>
            <w14:solidFill>
              <w14:schemeClr w14:val="tx1"/>
            </w14:solidFill>
          </w14:textFill>
        </w:rPr>
      </w:pPr>
    </w:p>
    <w:p w14:paraId="6695072F">
      <w:pPr>
        <w:rPr>
          <w:color w:val="000000" w:themeColor="text1"/>
          <w:highlight w:val="none"/>
          <w14:textFill>
            <w14:solidFill>
              <w14:schemeClr w14:val="tx1"/>
            </w14:solidFill>
          </w14:textFill>
        </w:rPr>
      </w:pPr>
    </w:p>
    <w:p w14:paraId="6CF0B3A6">
      <w:pPr>
        <w:pStyle w:val="16"/>
        <w:rPr>
          <w:color w:val="000000" w:themeColor="text1"/>
          <w:highlight w:val="none"/>
          <w14:textFill>
            <w14:solidFill>
              <w14:schemeClr w14:val="tx1"/>
            </w14:solidFill>
          </w14:textFill>
        </w:rPr>
      </w:pPr>
    </w:p>
    <w:p w14:paraId="72511C1E">
      <w:pPr>
        <w:rPr>
          <w:color w:val="000000" w:themeColor="text1"/>
          <w:highlight w:val="none"/>
          <w14:textFill>
            <w14:solidFill>
              <w14:schemeClr w14:val="tx1"/>
            </w14:solidFill>
          </w14:textFill>
        </w:rPr>
      </w:pPr>
    </w:p>
    <w:p w14:paraId="0C54A2DD">
      <w:pPr>
        <w:pStyle w:val="16"/>
        <w:rPr>
          <w:color w:val="000000" w:themeColor="text1"/>
          <w:highlight w:val="none"/>
          <w14:textFill>
            <w14:solidFill>
              <w14:schemeClr w14:val="tx1"/>
            </w14:solidFill>
          </w14:textFill>
        </w:rPr>
      </w:pPr>
    </w:p>
    <w:p w14:paraId="1D79F0F8">
      <w:pPr>
        <w:rPr>
          <w:color w:val="000000" w:themeColor="text1"/>
          <w:highlight w:val="none"/>
          <w14:textFill>
            <w14:solidFill>
              <w14:schemeClr w14:val="tx1"/>
            </w14:solidFill>
          </w14:textFill>
        </w:rPr>
      </w:pPr>
    </w:p>
    <w:p w14:paraId="10B64D35">
      <w:pPr>
        <w:pStyle w:val="16"/>
        <w:rPr>
          <w:color w:val="000000" w:themeColor="text1"/>
          <w:highlight w:val="none"/>
          <w14:textFill>
            <w14:solidFill>
              <w14:schemeClr w14:val="tx1"/>
            </w14:solidFill>
          </w14:textFill>
        </w:rPr>
      </w:pPr>
    </w:p>
    <w:p w14:paraId="05B84EEC">
      <w:pPr>
        <w:rPr>
          <w:b/>
          <w:color w:val="000000" w:themeColor="text1"/>
          <w:sz w:val="32"/>
          <w:szCs w:val="32"/>
          <w:highlight w:val="none"/>
          <w14:textFill>
            <w14:solidFill>
              <w14:schemeClr w14:val="tx1"/>
            </w14:solidFill>
          </w14:textFill>
        </w:rPr>
      </w:pPr>
      <w:bookmarkStart w:id="69" w:name="_Toc361508760"/>
      <w:bookmarkStart w:id="70" w:name="_Toc65587252"/>
      <w:r>
        <w:rPr>
          <w:b/>
          <w:color w:val="000000" w:themeColor="text1"/>
          <w:sz w:val="32"/>
          <w:szCs w:val="32"/>
          <w:highlight w:val="none"/>
          <w14:textFill>
            <w14:solidFill>
              <w14:schemeClr w14:val="tx1"/>
            </w14:solidFill>
          </w14:textFill>
        </w:rPr>
        <w:br w:type="page"/>
      </w:r>
    </w:p>
    <w:p w14:paraId="1690CD3F">
      <w:pPr>
        <w:autoSpaceDE w:val="0"/>
        <w:autoSpaceDN w:val="0"/>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autoSpaceDE w:val="0"/>
        <w:autoSpaceDN w:val="0"/>
        <w:spacing w:line="360" w:lineRule="auto"/>
        <w:jc w:val="left"/>
        <w:rPr>
          <w:color w:val="000000" w:themeColor="text1"/>
          <w:szCs w:val="18"/>
          <w:highlight w:val="none"/>
          <w:u w:val="single"/>
          <w:lang w:val="zh-CN"/>
          <w14:textFill>
            <w14:solidFill>
              <w14:schemeClr w14:val="tx1"/>
            </w14:solidFill>
          </w14:textFill>
        </w:rPr>
      </w:pPr>
    </w:p>
    <w:p w14:paraId="08E7B6EF">
      <w:pPr>
        <w:ind w:right="108"/>
        <w:jc w:val="center"/>
        <w:rPr>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不收取</w:t>
      </w:r>
      <w:r>
        <w:rPr>
          <w:b/>
          <w:color w:val="000000" w:themeColor="text1"/>
          <w:sz w:val="32"/>
          <w:szCs w:val="32"/>
          <w:highlight w:val="none"/>
          <w14:textFill>
            <w14:solidFill>
              <w14:schemeClr w14:val="tx1"/>
            </w14:solidFill>
          </w14:textFill>
        </w:rPr>
        <w:br w:type="page"/>
      </w:r>
      <w:bookmarkEnd w:id="69"/>
      <w:bookmarkEnd w:id="70"/>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71" w:name="_Toc404237840"/>
      <w:bookmarkStart w:id="72" w:name="_Toc247085890"/>
      <w:bookmarkStart w:id="73" w:name="_Toc246997115"/>
      <w:bookmarkStart w:id="74" w:name="_Toc179632827"/>
      <w:bookmarkStart w:id="75" w:name="_Toc397416082"/>
      <w:bookmarkStart w:id="76" w:name="_Toc152045807"/>
      <w:bookmarkStart w:id="77" w:name="_Toc404237750"/>
      <w:bookmarkStart w:id="78" w:name="_Toc493241658"/>
      <w:bookmarkStart w:id="79" w:name="_Toc246996372"/>
      <w:bookmarkStart w:id="80" w:name="_Toc152042596"/>
      <w:bookmarkStart w:id="81" w:name="_Toc144974875"/>
      <w:r>
        <w:rPr>
          <w:b/>
          <w:bCs/>
          <w:color w:val="000000" w:themeColor="text1"/>
          <w:sz w:val="32"/>
          <w:szCs w:val="32"/>
          <w:highlight w:val="none"/>
          <w14:textFill>
            <w14:solidFill>
              <w14:schemeClr w14:val="tx1"/>
            </w14:solidFill>
          </w14:textFill>
        </w:rPr>
        <w:t>资格审查资料</w:t>
      </w:r>
      <w:bookmarkEnd w:id="71"/>
      <w:bookmarkEnd w:id="72"/>
      <w:bookmarkEnd w:id="73"/>
      <w:bookmarkEnd w:id="74"/>
      <w:bookmarkEnd w:id="75"/>
      <w:bookmarkEnd w:id="76"/>
      <w:bookmarkEnd w:id="77"/>
      <w:bookmarkEnd w:id="78"/>
      <w:bookmarkEnd w:id="79"/>
      <w:bookmarkEnd w:id="80"/>
      <w:bookmarkEnd w:id="81"/>
    </w:p>
    <w:p w14:paraId="3C99018B">
      <w:pPr>
        <w:rPr>
          <w:rFonts w:hint="eastAsia" w:ascii="宋体" w:hAnsi="宋体" w:cs="宋体"/>
          <w:color w:val="000000" w:themeColor="text1"/>
          <w:highlight w:val="none"/>
          <w14:textFill>
            <w14:solidFill>
              <w14:schemeClr w14:val="tx1"/>
            </w14:solidFill>
          </w14:textFill>
        </w:rPr>
      </w:pPr>
      <w:bookmarkStart w:id="82" w:name="_Toc266605566"/>
      <w:bookmarkStart w:id="83" w:name="_Toc201719206"/>
    </w:p>
    <w:p w14:paraId="6420A999">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5FDE8E6F">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33E6A41">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F2F40FD">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2C5D7C9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00AFDD8">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740D0BD">
      <w:pPr>
        <w:adjustRightInd w:val="0"/>
        <w:snapToGrid w:val="0"/>
        <w:spacing w:line="30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1B3768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CBE23C7">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E91561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8F2092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B11734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56B83AA5">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pStyle w:val="4"/>
        <w:spacing w:line="363" w:lineRule="exact"/>
        <w:ind w:left="217" w:right="175"/>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资格条件承诺函</w:t>
      </w:r>
    </w:p>
    <w:p w14:paraId="6CB34028">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pStyle w:val="4"/>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55D7C4B0">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1594641">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30879849">
      <w:pPr>
        <w:pStyle w:val="35"/>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82"/>
    <w:bookmarkEnd w:id="83"/>
    <w:p w14:paraId="06948283">
      <w:pPr>
        <w:adjustRightInd w:val="0"/>
        <w:snapToGrid w:val="0"/>
        <w:spacing w:line="300" w:lineRule="auto"/>
        <w:jc w:val="center"/>
        <w:rPr>
          <w:rFonts w:ascii="宋体" w:hAnsi="宋体" w:cs="宋体"/>
          <w:b/>
          <w:color w:val="000000" w:themeColor="text1"/>
          <w:sz w:val="28"/>
          <w:szCs w:val="28"/>
          <w:highlight w:val="none"/>
          <w14:textFill>
            <w14:solidFill>
              <w14:schemeClr w14:val="tx1"/>
            </w14:solidFill>
          </w14:textFill>
        </w:rPr>
      </w:pPr>
      <w:bookmarkStart w:id="84" w:name="_Toc404237845"/>
      <w:bookmarkStart w:id="85" w:name="_Toc144974878"/>
      <w:bookmarkStart w:id="86" w:name="_Toc152042599"/>
      <w:bookmarkStart w:id="87" w:name="_Toc247527850"/>
      <w:bookmarkStart w:id="88" w:name="_Toc404237755"/>
      <w:bookmarkStart w:id="89" w:name="_Toc397416087"/>
      <w:bookmarkStart w:id="90" w:name="_Toc247514302"/>
      <w:bookmarkStart w:id="91" w:name="_Toc152045810"/>
      <w:bookmarkStart w:id="92" w:name="_Toc265953296"/>
      <w:r>
        <w:rPr>
          <w:rFonts w:ascii="宋体" w:hAnsi="宋体" w:cs="宋体"/>
          <w:b/>
          <w:color w:val="000000" w:themeColor="text1"/>
          <w:sz w:val="28"/>
          <w:szCs w:val="28"/>
          <w:highlight w:val="none"/>
          <w14:textFill>
            <w14:solidFill>
              <w14:schemeClr w14:val="tx1"/>
            </w14:solidFill>
          </w14:textFill>
        </w:rPr>
        <w:t>近年完成的类似项目情况表</w:t>
      </w:r>
      <w:bookmarkEnd w:id="84"/>
      <w:bookmarkEnd w:id="85"/>
      <w:bookmarkEnd w:id="86"/>
      <w:bookmarkEnd w:id="87"/>
      <w:bookmarkEnd w:id="88"/>
      <w:bookmarkEnd w:id="89"/>
      <w:bookmarkEnd w:id="90"/>
      <w:bookmarkEnd w:id="91"/>
      <w:bookmarkEnd w:id="92"/>
    </w:p>
    <w:p w14:paraId="0DF1F4CC">
      <w:pPr>
        <w:pStyle w:val="12"/>
        <w:ind w:firstLine="640"/>
        <w:jc w:val="center"/>
        <w:rPr>
          <w:color w:val="000000" w:themeColor="text1"/>
          <w:kern w:val="0"/>
          <w:sz w:val="32"/>
          <w:szCs w:val="32"/>
          <w:highlight w:val="none"/>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color w:val="000000" w:themeColor="text1"/>
                <w:szCs w:val="21"/>
                <w:highlight w:val="none"/>
                <w14:textFill>
                  <w14:solidFill>
                    <w14:schemeClr w14:val="tx1"/>
                  </w14:solidFill>
                </w14:textFill>
              </w:rPr>
            </w:pPr>
          </w:p>
        </w:tc>
      </w:tr>
    </w:tbl>
    <w:p w14:paraId="5F1D0783">
      <w:pPr>
        <w:pStyle w:val="47"/>
        <w:spacing w:line="360" w:lineRule="auto"/>
        <w:ind w:right="-313" w:rightChars="-149" w:firstLine="420" w:firstLineChars="200"/>
        <w:jc w:val="both"/>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，所有复印件必须要清晰、字迹清楚，否则不得分。</w:t>
      </w:r>
    </w:p>
    <w:p w14:paraId="06DDAC5E">
      <w:pPr>
        <w:pStyle w:val="3"/>
        <w:spacing w:line="240" w:lineRule="auto"/>
        <w:rPr>
          <w:rFonts w:ascii="宋体" w:hAnsi="宋体" w:eastAsia="宋体"/>
          <w:b w:val="0"/>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val="0"/>
          <w:bCs w:val="0"/>
          <w:color w:val="000000" w:themeColor="text1"/>
          <w:sz w:val="32"/>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商务条款偏离表(格式)</w:t>
      </w:r>
    </w:p>
    <w:p w14:paraId="2EA0D87D">
      <w:pPr>
        <w:ind w:hanging="119"/>
        <w:rPr>
          <w:rFonts w:ascii="宋体" w:hAnsi="宋体"/>
          <w:color w:val="000000" w:themeColor="text1"/>
          <w:sz w:val="24"/>
          <w:highlight w:val="none"/>
          <w14:textFill>
            <w14:solidFill>
              <w14:schemeClr w14:val="tx1"/>
            </w14:solidFill>
          </w14:textFill>
        </w:rPr>
      </w:pPr>
    </w:p>
    <w:p w14:paraId="5B183C28">
      <w:pPr>
        <w:spacing w:after="240"/>
        <w:ind w:hanging="119"/>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980" w:type="dxa"/>
            <w:noWrap w:val="0"/>
            <w:vAlign w:val="top"/>
          </w:tcPr>
          <w:p w14:paraId="2BFDC88A">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1791" w:type="dxa"/>
            <w:noWrap w:val="0"/>
            <w:vAlign w:val="top"/>
          </w:tcPr>
          <w:p w14:paraId="06A860B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145" w:type="dxa"/>
            <w:noWrap w:val="0"/>
            <w:vAlign w:val="top"/>
          </w:tcPr>
          <w:p w14:paraId="762BF5C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815" w:type="dxa"/>
            <w:noWrap w:val="0"/>
            <w:vAlign w:val="top"/>
          </w:tcPr>
          <w:p w14:paraId="65378924">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0F70EA">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2C201A24">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26DCEB43">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0A258DDD">
            <w:pPr>
              <w:spacing w:before="240" w:after="240"/>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41684732">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4E175A7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4282260A">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FEA0B6C">
            <w:pPr>
              <w:spacing w:before="240" w:after="240"/>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645415C4">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05DE25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81CED1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2367E908">
            <w:pPr>
              <w:spacing w:before="240" w:after="240"/>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17CCB851">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7AA53CF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5AE6A736">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9A20D03">
            <w:pPr>
              <w:spacing w:before="240" w:after="240"/>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67289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1F6EA14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01051A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E85A76D">
            <w:pPr>
              <w:spacing w:before="240" w:after="240"/>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3B7DBEB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F2EA7A3">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09AC37CB">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F90567A">
            <w:pPr>
              <w:spacing w:before="240" w:after="240"/>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039EFAFE">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422547B">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EBBB1F1">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128D6115">
            <w:pPr>
              <w:spacing w:before="240" w:after="240"/>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598B94C9">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A66F8C5">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1FE8D5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4862E5C">
            <w:pPr>
              <w:spacing w:before="240" w:after="240"/>
              <w:rPr>
                <w:rFonts w:ascii="宋体" w:hAnsi="宋体"/>
                <w:color w:val="000000" w:themeColor="text1"/>
                <w:sz w:val="24"/>
                <w:highlight w:val="none"/>
                <w14:textFill>
                  <w14:solidFill>
                    <w14:schemeClr w14:val="tx1"/>
                  </w14:solidFill>
                </w14:textFill>
              </w:rPr>
            </w:pPr>
          </w:p>
        </w:tc>
      </w:tr>
    </w:tbl>
    <w:p w14:paraId="357873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autoSpaceDE w:val="0"/>
        <w:autoSpaceDN w:val="0"/>
        <w:adjustRightInd w:val="0"/>
        <w:rPr>
          <w:rFonts w:ascii="宋体" w:hAnsi="宋体"/>
          <w:color w:val="000000" w:themeColor="text1"/>
          <w:sz w:val="24"/>
          <w:highlight w:val="none"/>
          <w14:textFill>
            <w14:solidFill>
              <w14:schemeClr w14:val="tx1"/>
            </w14:solidFill>
          </w14:textFill>
        </w:rPr>
      </w:pPr>
    </w:p>
    <w:p w14:paraId="7CFA317E">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                    （公章）</w:t>
      </w:r>
    </w:p>
    <w:p w14:paraId="5529E718">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                （签字或盖章）</w:t>
      </w:r>
    </w:p>
    <w:p w14:paraId="774A45E6">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7"/>
        <w:ind w:left="0" w:leftChars="0" w:firstLine="0" w:firstLineChars="0"/>
        <w:rPr>
          <w:rFonts w:hint="eastAsia"/>
          <w:color w:val="000000" w:themeColor="text1"/>
          <w:highlight w:val="none"/>
          <w14:textFill>
            <w14:solidFill>
              <w14:schemeClr w14:val="tx1"/>
            </w14:solidFill>
          </w14:textFill>
        </w:rPr>
      </w:pPr>
    </w:p>
    <w:p w14:paraId="07D85991">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pStyle w:val="3"/>
        <w:widowControl/>
        <w:spacing w:before="400" w:after="120" w:line="360" w:lineRule="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技术偏离表(格式)</w:t>
      </w:r>
    </w:p>
    <w:p w14:paraId="6FECBD27">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709"/>
        <w:gridCol w:w="1482"/>
        <w:gridCol w:w="181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90" w:type="dxa"/>
            <w:gridSpan w:val="2"/>
            <w:noWrap w:val="0"/>
            <w:vAlign w:val="top"/>
          </w:tcPr>
          <w:p w14:paraId="6508A996">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292" w:type="dxa"/>
            <w:gridSpan w:val="2"/>
            <w:noWrap w:val="0"/>
            <w:vAlign w:val="top"/>
          </w:tcPr>
          <w:p w14:paraId="6E91D9C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485" w:type="dxa"/>
            <w:vMerge w:val="restart"/>
            <w:noWrap w:val="0"/>
            <w:vAlign w:val="center"/>
          </w:tcPr>
          <w:p w14:paraId="061D8CCF">
            <w:pPr>
              <w:spacing w:before="120"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color w:val="000000" w:themeColor="text1"/>
                <w:sz w:val="24"/>
                <w:highlight w:val="none"/>
                <w14:textFill>
                  <w14:solidFill>
                    <w14:schemeClr w14:val="tx1"/>
                  </w14:solidFill>
                </w14:textFill>
              </w:rPr>
            </w:pPr>
          </w:p>
        </w:tc>
        <w:tc>
          <w:tcPr>
            <w:tcW w:w="1181" w:type="dxa"/>
            <w:noWrap w:val="0"/>
            <w:vAlign w:val="top"/>
          </w:tcPr>
          <w:p w14:paraId="707FB74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09" w:type="dxa"/>
            <w:noWrap w:val="0"/>
            <w:vAlign w:val="top"/>
          </w:tcPr>
          <w:p w14:paraId="44B22FA8">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2" w:type="dxa"/>
            <w:noWrap w:val="0"/>
            <w:vAlign w:val="top"/>
          </w:tcPr>
          <w:p w14:paraId="32B9134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0" w:type="dxa"/>
            <w:noWrap w:val="0"/>
            <w:vAlign w:val="top"/>
          </w:tcPr>
          <w:p w14:paraId="7915518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5" w:type="dxa"/>
            <w:vMerge w:val="continue"/>
            <w:noWrap w:val="0"/>
            <w:vAlign w:val="top"/>
          </w:tcPr>
          <w:p w14:paraId="3E53C200">
            <w:pPr>
              <w:spacing w:line="360" w:lineRule="auto"/>
              <w:jc w:val="center"/>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1" w:type="dxa"/>
            <w:noWrap w:val="0"/>
            <w:vAlign w:val="center"/>
          </w:tcPr>
          <w:p w14:paraId="7B54F67E">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AC8C26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7DD7AE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55F6AB8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0E4E24A8">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1" w:type="dxa"/>
            <w:noWrap w:val="0"/>
            <w:vAlign w:val="center"/>
          </w:tcPr>
          <w:p w14:paraId="27ECC31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7FDC5DF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B87DEA1">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2A599B2D">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AD92F7E">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1" w:type="dxa"/>
            <w:noWrap w:val="0"/>
            <w:vAlign w:val="center"/>
          </w:tcPr>
          <w:p w14:paraId="5BBCF8D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0B9BD8D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399C97A">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C3761D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62B0E4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1" w:type="dxa"/>
            <w:noWrap w:val="0"/>
            <w:vAlign w:val="center"/>
          </w:tcPr>
          <w:p w14:paraId="0BDE8A85">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82935A3">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14469B3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19E44EEF">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3377507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181" w:type="dxa"/>
            <w:noWrap w:val="0"/>
            <w:vAlign w:val="center"/>
          </w:tcPr>
          <w:p w14:paraId="6B047D7A">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29B6EA8">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81200A0">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A95860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114A03FD">
            <w:pPr>
              <w:spacing w:before="120" w:after="120" w:line="360" w:lineRule="auto"/>
              <w:jc w:val="center"/>
              <w:rPr>
                <w:rFonts w:ascii="宋体" w:hAnsi="宋体"/>
                <w:color w:val="000000" w:themeColor="text1"/>
                <w:sz w:val="32"/>
                <w:highlight w:val="none"/>
                <w14:textFill>
                  <w14:solidFill>
                    <w14:schemeClr w14:val="tx1"/>
                  </w14:solidFill>
                </w14:textFill>
              </w:rPr>
            </w:pPr>
          </w:p>
        </w:tc>
      </w:tr>
    </w:tbl>
    <w:p w14:paraId="7BE551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                    （公章）</w:t>
      </w:r>
    </w:p>
    <w:p w14:paraId="44F70502">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                （签字或盖章）</w:t>
      </w:r>
    </w:p>
    <w:p w14:paraId="642E94FC">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spacing w:beforeLines="10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3C8B764F">
      <w:pPr>
        <w:widowControl/>
        <w:jc w:val="both"/>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spacing w:beforeLines="100"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spacing w:beforeLines="10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77159BE1">
      <w:pPr>
        <w:widowControl/>
        <w:jc w:val="both"/>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423194A6">
      <w:pPr>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6"/>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 从</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人员、营业收入、资产总额填报上一年度数据，无上一年度数据的新成立企业可</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kern w:val="0"/>
          <w:sz w:val="21"/>
          <w:szCs w:val="21"/>
          <w:highlight w:val="none"/>
          <w:u w:val="single"/>
          <w:lang w:val="en-US" w:eastAsia="zh-CN" w:bidi="ar-SA"/>
          <w14:textFill>
            <w14:solidFill>
              <w14:schemeClr w14:val="tx1"/>
            </w14:solidFill>
          </w14:textFill>
        </w:rPr>
        <w:t>工业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3603BD71">
      <w:pPr>
        <w:autoSpaceDE w:val="0"/>
        <w:autoSpaceDN w:val="0"/>
        <w:adjustRightInd w:val="0"/>
        <w:spacing w:line="600" w:lineRule="exact"/>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93" w:name="OLE_LINK14"/>
      <w:bookmarkStart w:id="94"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93"/>
    <w:bookmarkEnd w:id="94"/>
    <w:p w14:paraId="71D8944E">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59A79013">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95"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95"/>
    </w:p>
    <w:p w14:paraId="0DAD8BE9">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96"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96"/>
    </w:p>
    <w:p w14:paraId="5409A1AC">
      <w:pPr>
        <w:pStyle w:val="3"/>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pStyle w:val="3"/>
        <w:outlineLvl w:val="9"/>
        <w:rPr>
          <w:rFonts w:hint="eastAsia" w:ascii="宋体" w:hAnsi="宋体" w:eastAsia="宋体" w:cs="宋体"/>
          <w:color w:val="000000" w:themeColor="text1"/>
          <w:highlight w:val="none"/>
          <w14:textFill>
            <w14:solidFill>
              <w14:schemeClr w14:val="tx1"/>
            </w14:solidFill>
          </w14:textFill>
        </w:rPr>
      </w:pPr>
    </w:p>
    <w:p w14:paraId="71B2CD19">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3F59B6A1">
      <w:pPr>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1DE0638">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本项目需要落实的政府采购政策包括：</w:t>
      </w:r>
    </w:p>
    <w:p w14:paraId="177AEB7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一、促进中小企业发展政策</w:t>
      </w:r>
    </w:p>
    <w:p w14:paraId="6B809E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1753F88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工业和信息化部《政府采购促进中小企业发展管理办法》（财库﹝2020﹞46号）。</w:t>
      </w:r>
    </w:p>
    <w:p w14:paraId="6A651AA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（二）中小企业的认定</w:t>
      </w:r>
    </w:p>
    <w:p w14:paraId="7A130C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3B9B81B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2、符合中小企业划分标准的个体工商户，在政府采购活动中视同中小企业。</w:t>
      </w:r>
    </w:p>
    <w:p w14:paraId="32002F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4BA6116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（三）中小企业需提供的证明材料</w:t>
      </w:r>
    </w:p>
    <w:p w14:paraId="13C5834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03D9E01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（四）中小企业扶持政策享受情形</w:t>
      </w:r>
    </w:p>
    <w:p w14:paraId="07B9083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在政府采购活动中，供应商提供的货物、工程或者服务符合下列情形的，享受相关中小企业扶持政策：</w:t>
      </w:r>
    </w:p>
    <w:p w14:paraId="09C52BE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在货物采购项目中，货物由中小企业制造，即货物由中小企业生产且使用该中小企业商号或者注册商标；</w:t>
      </w:r>
    </w:p>
    <w:p w14:paraId="5AF330B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2、在工程采购项目中，工程由中小企业承建，即工程施工单位为中小企业；</w:t>
      </w:r>
    </w:p>
    <w:p w14:paraId="7F30209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2A03BD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在货物采购项目中，供应商提供的货物既有中小企业制造货物，也有大型企业制造货物的，不享受中小企业扶持政策。</w:t>
      </w:r>
    </w:p>
    <w:p w14:paraId="000F2BA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（五）中小企业扶持政策</w:t>
      </w:r>
    </w:p>
    <w:p w14:paraId="35055C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1、对于非专门面向中小企业采购的采购包，应当对符合本章规定的小微企业报价给予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%（工程项目为3%）的扣除，用扣除后的价格参加评审。适用招标投标法的政府采购工程建设项目，采用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但未采用低价优先法计算价格分的，评标时应当在采用原报价进行评分的基础上增加其价格得分的3%作为其价格分。</w:t>
      </w:r>
    </w:p>
    <w:p w14:paraId="7E86AAE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123AE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3、价格扣除比例或者价格分加分比例对小型企业和微型企业同等对待，不作区分。</w:t>
      </w:r>
    </w:p>
    <w:p w14:paraId="0020677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（六）合同分包要求</w:t>
      </w:r>
    </w:p>
    <w:p w14:paraId="7C62A0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1、享受扶持政策获得政府采购合同的，小微企业不得将合同分包给大中型企业，中型企业不得将合同分包给大型企业。</w:t>
      </w:r>
    </w:p>
    <w:p w14:paraId="166EA33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8DE1C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（七）法律责任</w:t>
      </w:r>
    </w:p>
    <w:p w14:paraId="0A3C59E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5D08180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275C5D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二、支持监狱企业发展政策</w:t>
      </w:r>
    </w:p>
    <w:p w14:paraId="7EB29DD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4AB228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司法部《关于政府采购支持监狱企业发展有关问题的通知》（财库〔2014〕68号）。</w:t>
      </w:r>
    </w:p>
    <w:p w14:paraId="29F66E7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（二）监狱企业的认定</w:t>
      </w:r>
    </w:p>
    <w:p w14:paraId="2E3759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3EBB7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（三）监狱企业需提供的证明材料</w:t>
      </w:r>
    </w:p>
    <w:p w14:paraId="7C185DF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802564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（四）监狱企业支持政策</w:t>
      </w:r>
    </w:p>
    <w:p w14:paraId="12734D9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1FCC023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7D0B7B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三、支持残疾人福利性单位发展政策</w:t>
      </w:r>
    </w:p>
    <w:p w14:paraId="49C8583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5061304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民政部 中国残疾人联合会《关于促进残疾人就业政府采购政策的通知》（财库[2017]141号）。</w:t>
      </w:r>
    </w:p>
    <w:p w14:paraId="5BAA34B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（二）残疾人福利性单位的认定</w:t>
      </w:r>
    </w:p>
    <w:p w14:paraId="0AEC5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享受政府采购支持政策的残疾人福利性单位应当同时满足以下条件：</w:t>
      </w:r>
    </w:p>
    <w:p w14:paraId="74F45F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1、安置的残疾人占本单位在职职工人数的比例不低于25%(含25%)，并且安置的残疾人人数不少于10人(含10人)；</w:t>
      </w:r>
    </w:p>
    <w:p w14:paraId="7E19733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2、依法与安置的每位残疾人签订了一年以上(含一年)的劳动合同或服务协议；</w:t>
      </w:r>
    </w:p>
    <w:p w14:paraId="4C888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3、为安置的每位残疾人按月足额缴纳了基本养老保险、基本医疗保险、失业保险、工伤保险和生育保险等社会保险费；</w:t>
      </w:r>
    </w:p>
    <w:p w14:paraId="2DF9EB6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4BEF8AF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A8D229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DD7A8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（三）残疾人福利性单位需提供的证明材料</w:t>
      </w:r>
    </w:p>
    <w:p w14:paraId="2DEE1B8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0CF0FEC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（四）残疾人福利性单位支持政策</w:t>
      </w:r>
    </w:p>
    <w:p w14:paraId="5A8445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165470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（五）法律责任</w:t>
      </w:r>
    </w:p>
    <w:p w14:paraId="056180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7AB3675D">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4A46CD26">
      <w:pPr>
        <w:keepLines w:val="0"/>
        <w:pageBreakBefore/>
        <w:spacing w:line="415" w:lineRule="auto"/>
        <w:jc w:val="left"/>
        <w:textAlignment w:val="baseline"/>
        <w:outlineLvl w:val="9"/>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97" w:name="_Toc11517"/>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附件</w:t>
      </w:r>
      <w:r>
        <w:rPr>
          <w:rStyle w:val="41"/>
          <w:rFonts w:hint="eastAsia" w:ascii="宋体" w:hAnsi="宋体" w:eastAsia="宋体" w:cs="宋体"/>
          <w:b/>
          <w:bCs w:val="0"/>
          <w:color w:val="000000" w:themeColor="text1"/>
          <w:spacing w:val="12"/>
          <w:sz w:val="24"/>
          <w:szCs w:val="24"/>
          <w:highlight w:val="none"/>
          <w:lang w:val="en-US" w:eastAsia="zh-CN"/>
          <w14:textFill>
            <w14:solidFill>
              <w14:schemeClr w14:val="tx1"/>
            </w14:solidFill>
          </w14:textFill>
        </w:rPr>
        <w:t>1</w:t>
      </w:r>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 xml:space="preserve"> 中小企业划型标准规定</w:t>
      </w:r>
      <w:bookmarkEnd w:id="97"/>
    </w:p>
    <w:p w14:paraId="4564D88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spacing w:before="452" w:after="150" w:line="560" w:lineRule="atLeast"/>
        <w:ind w:left="15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spacing w:before="452" w:after="150" w:line="560" w:lineRule="atLeast"/>
        <w:ind w:left="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spacing w:before="452" w:after="150" w:line="560" w:lineRule="atLeast"/>
        <w:ind w:left="1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jc w:val="center"/>
        <w:rPr>
          <w:rStyle w:val="41"/>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1"/>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31AC4526">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spacing w:line="34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spacing w:line="400" w:lineRule="exact"/>
        <w:ind w:firstLine="452"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spacing w:line="240" w:lineRule="exact"/>
              <w:jc w:val="center"/>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spacing w:line="240" w:lineRule="exact"/>
              <w:jc w:val="center"/>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jc w:val="center"/>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spacing w:line="2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spacing w:line="240" w:lineRule="exact"/>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7F53C1">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EEC7F52">
      <w:pPr>
        <w:pStyle w:val="3"/>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442DCA4">
      <w:pPr>
        <w:spacing w:before="120" w:beforeLines="50" w:after="120" w:afterLines="50"/>
        <w:jc w:val="center"/>
        <w:textAlignment w:val="baseline"/>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政府采购促进中小企业发展管理办法</w:t>
      </w:r>
    </w:p>
    <w:p w14:paraId="730949BF">
      <w:pPr>
        <w:spacing w:before="0" w:after="0"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财库〔2020〕46号</w:t>
      </w:r>
    </w:p>
    <w:p w14:paraId="69C4C23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224B0A4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4B7B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4436F39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第四条 在政府采购活动中，供应商提供的货物、工程或者服务符合下列情形的，享受本办法规定的中小企业扶持政策：</w:t>
      </w:r>
    </w:p>
    <w:p w14:paraId="457B2563">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14:paraId="0771586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（二）在工程采购项目中，工程由中小企业承建，即工程施工单位为中小企业；</w:t>
      </w:r>
    </w:p>
    <w:p w14:paraId="684D7C5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708B64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0619DBE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E96362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0DB7A8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E20B4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符合下列情形之一的，可不专门面向中小企业预留采购份额：</w:t>
      </w:r>
    </w:p>
    <w:p w14:paraId="6E65341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（一）法律法规和国家有关政策明确规定优先或者应当面向事业单位、社会组织等非企业主体采购的；</w:t>
      </w:r>
    </w:p>
    <w:p w14:paraId="5226B5A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1EF9F03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（三）按照本办法规定预留采购份额无法确保充分供应、充分竞争，或者存在可能影响政府采购目标实现的情形；</w:t>
      </w:r>
    </w:p>
    <w:p w14:paraId="69E12AD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（四）框架协议采购项目；</w:t>
      </w:r>
    </w:p>
    <w:p w14:paraId="606A0BBF">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（五）省级以上人民政府财政部门规定的其他情形。 除上述情形外，其他均为适宜由中小企业提供的情形。</w:t>
      </w:r>
    </w:p>
    <w:p w14:paraId="5A5DC873">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第七条 采购限额标准以上，200 万元以下的货物和服务采购项目、400 万元以下的工程采购项目，适宜由中小企业提供的，采购人应当专门面向中小企业采购。</w:t>
      </w:r>
    </w:p>
    <w:p w14:paraId="331739A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3DC9A4F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（一）将采购项目整体或者设置采购包专门面向中小企业采购；</w:t>
      </w:r>
    </w:p>
    <w:p w14:paraId="6DBCA9D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（二）要求供应商以联合体形式参加采购活动，且联合体中中小企业承担的部分达到一定比例；</w:t>
      </w:r>
    </w:p>
    <w:p w14:paraId="47F53B3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（三）要求获得采购合同的供应商将采购项目中的一定比例分包给一家或者多家中小企业。</w:t>
      </w:r>
    </w:p>
    <w:p w14:paraId="486F0F0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组成联合体或者接受分包合同的中小企业与联合体内 其他企业、分包企业之间不得存在直接控股、管理关系。</w:t>
      </w:r>
    </w:p>
    <w:p w14:paraId="2588C8E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3%—5%作为其价格分。</w:t>
      </w:r>
    </w:p>
    <w:p w14:paraId="6828BC2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8D32AB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32F827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AA4F1C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5B6EC69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第十二条 采购项目涉及中小企业采购的，采购文件应当明确以下内容：</w:t>
      </w:r>
    </w:p>
    <w:p w14:paraId="0510DEB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（一）预留份额的采购项目或者采购包，明确该项目或相关采购包专门面向中小企业采购，以及相关标的及预算金额；</w:t>
      </w:r>
    </w:p>
    <w:p w14:paraId="192B73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（二）要求以联合体形式参加或者合同分包的，明确联</w:t>
      </w:r>
    </w:p>
    <w:p w14:paraId="62915D1D">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合协议或者分包意向协议中中小企业合同金额应当达到的比例，并作为供应商资格条件；</w:t>
      </w:r>
    </w:p>
    <w:p w14:paraId="59C283F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（三）非预留份额的采购项目或者采购包，明确有关价格扣除比例或者价格分加分比例；</w:t>
      </w:r>
    </w:p>
    <w:p w14:paraId="2E6F8E7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7581A9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（五）采购人认为具备相关条件的，明确对中小企业在资金支付期限、预付款比例等方面的优惠措施；</w:t>
      </w:r>
    </w:p>
    <w:p w14:paraId="7C98990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（六）明确采购标的对应的中小企业划分标准所属行业；</w:t>
      </w:r>
    </w:p>
    <w:p w14:paraId="386459D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（七）法律法规和省级以上人民政府财政部门规定的其他事项。</w:t>
      </w:r>
    </w:p>
    <w:p w14:paraId="26358CD5">
      <w:pPr>
        <w:pStyle w:val="16"/>
        <w:tabs>
          <w:tab w:val="left" w:pos="2526"/>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7066802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适用招标投标法的政府采购工程建设项目，应当在公示中标候选人时公开中标候选人的《中小企业声明函》。</w:t>
      </w:r>
    </w:p>
    <w:p w14:paraId="5EF230B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FE008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069DBE1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2CBABA7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7593BA7D">
      <w:pPr>
        <w:pStyle w:val="16"/>
        <w:tabs>
          <w:tab w:val="left" w:pos="2459"/>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第十七条 各地区、各部门应当对涉及中小企业采购的 预算项目实施全过程绩效管理，合理设置绩效目标和指标，落实扶持中小企业有关政策要求，定期开展绩效监控和评价，强化绩效评价结果应用。</w:t>
      </w:r>
    </w:p>
    <w:p w14:paraId="2168DF61">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1D5616A0">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7BBB7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308AAEB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适用招标投标法的政府采购工程建设项目，投标人按照本办法规定提供声明函内容不实的，属于弄虚作假骗取中标，依照《中华人民共和国招标投标法》等国家有关规定追究相应责任。</w:t>
      </w:r>
    </w:p>
    <w:p w14:paraId="4FCA578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2DFF1F5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第二十二条 对外援助项目、国家相关资格或者资质管理制度另有规定的项目，不适用本办法。</w:t>
      </w:r>
    </w:p>
    <w:p w14:paraId="168B496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第二十三条 关于视同中小企业的其他主体的政府采购扶持政策，由财政部会同有关部门另行规定。</w:t>
      </w:r>
    </w:p>
    <w:p w14:paraId="026C1B7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第二十四条 省级财政部门可以会同中小企业主管部门根据本办法的规定制定具体实施办法。</w:t>
      </w:r>
    </w:p>
    <w:p w14:paraId="0C796DF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5FFC1DE3">
      <w:pPr>
        <w:spacing w:before="120" w:beforeLines="50" w:after="120" w:afterLines="5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252C7E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财政部关于进一步加大政府采购支持中小企业力度的通知</w:t>
      </w:r>
    </w:p>
    <w:p w14:paraId="23C64B5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（财库〔2022〕19号）</w:t>
      </w:r>
    </w:p>
    <w:p w14:paraId="2770DF7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各中央预算单位，各省、自治区、直辖市、计划单列市财政厅（局），新疆生产建设兵团财政局：</w:t>
      </w:r>
    </w:p>
    <w:p w14:paraId="3A920884">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DF222A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CCF3F0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6DD20A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702DF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4BE137B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本通知自2022年7月1日起执行。</w:t>
      </w:r>
    </w:p>
    <w:p w14:paraId="17AF5B9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w:t>
      </w:r>
    </w:p>
    <w:p w14:paraId="2346804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w:t>
      </w:r>
    </w:p>
    <w:p w14:paraId="6CA540D9">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2022年5月30日</w:t>
      </w:r>
    </w:p>
    <w:p w14:paraId="7F5AFB65">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财政部 司法部关于政府采购支持监狱企业发展有关问题的通知</w:t>
      </w:r>
    </w:p>
    <w:p w14:paraId="3D3998BD">
      <w:pPr>
        <w:keepNext w:val="0"/>
        <w:keepLines w:val="0"/>
        <w:spacing w:before="120" w:beforeLines="50" w:after="120" w:afterLines="50" w:line="240" w:lineRule="auto"/>
        <w:jc w:val="center"/>
        <w:textAlignment w:val="baseline"/>
        <w:outlineLvl w:val="9"/>
        <w:rPr>
          <w:rFonts w:hint="eastAsia" w:ascii="宋体" w:hAnsi="宋体" w:eastAsia="宋体" w:cs="宋体"/>
          <w:b/>
          <w:bCs w:val="0"/>
          <w:color w:val="000000" w:themeColor="text1"/>
          <w:sz w:val="24"/>
          <w:szCs w:val="24"/>
          <w:highlight w:val="none"/>
          <w14:textFill>
            <w14:solidFill>
              <w14:schemeClr w14:val="tx1"/>
            </w14:solidFill>
          </w14:textFill>
        </w:rPr>
      </w:pPr>
      <w:bookmarkStart w:id="98" w:name="_Toc21391"/>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财库〔2014〕68号</w:t>
      </w:r>
      <w:bookmarkEnd w:id="98"/>
    </w:p>
    <w:p w14:paraId="2F91717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FE4A7B9">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332A7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E79BC4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1BC6AC7D">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D9052B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53DB6DC7">
      <w:pPr>
        <w:pStyle w:val="34"/>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40B01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中华人民共和国财政部</w:t>
      </w:r>
    </w:p>
    <w:p w14:paraId="2E5508EF">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中华人民共和国司法部</w:t>
      </w:r>
    </w:p>
    <w:p w14:paraId="0106BCE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2014年6月10日</w:t>
      </w:r>
    </w:p>
    <w:p w14:paraId="4363FF8E">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关于促进残疾人就业政府采购政策的通知</w:t>
      </w:r>
    </w:p>
    <w:p w14:paraId="79BC8CE6">
      <w:pPr>
        <w:pStyle w:val="34"/>
        <w:spacing w:before="48" w:beforeLines="20" w:after="48" w:afterLines="20"/>
        <w:jc w:val="center"/>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Style w:val="41"/>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财库〔2017〕141号</w:t>
      </w:r>
    </w:p>
    <w:p w14:paraId="79BE6192">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9" w:name="toDeptId"/>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9"/>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48A41A8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6065137E">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一、享受政府采购支持政策的残疾人福利性单位应当同时满足以下条件：</w:t>
      </w:r>
    </w:p>
    <w:p w14:paraId="0734C53D">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158CFE25">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（二）依法与安置的每位残疾人签订了一年以上（含一年）的劳动合同或服务协议；</w:t>
      </w:r>
    </w:p>
    <w:p w14:paraId="56FE5444">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2E3EEFC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1E2EC496">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7FC849AC">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24C8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52511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11B9889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60954B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0AFDE5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E077C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D10684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8F2F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七、本通知自2017年10月1日起执行。</w:t>
      </w:r>
    </w:p>
    <w:p w14:paraId="7CC9F111">
      <w:pPr>
        <w:pStyle w:val="34"/>
        <w:spacing w:line="330" w:lineRule="exact"/>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财政部 民政部 中国残疾人联合会</w:t>
      </w:r>
    </w:p>
    <w:p w14:paraId="5C33D2C0">
      <w:pPr>
        <w:pStyle w:val="34"/>
        <w:spacing w:line="330" w:lineRule="exact"/>
        <w:jc w:val="right"/>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2017年8月22日</w:t>
      </w:r>
    </w:p>
    <w:p w14:paraId="52CB0175">
      <w:pPr>
        <w:spacing w:beforeLines="100" w:line="440" w:lineRule="exact"/>
        <w:ind w:firstLine="422" w:firstLineChars="200"/>
        <w:rPr>
          <w:rFonts w:ascii="宋体" w:hAnsi="宋体"/>
          <w:b/>
          <w:color w:val="000000" w:themeColor="text1"/>
          <w:szCs w:val="32"/>
          <w:highlight w:val="none"/>
          <w:lang w:val="zh-CN"/>
          <w14:textFill>
            <w14:solidFill>
              <w14:schemeClr w14:val="tx1"/>
            </w14:solidFill>
          </w14:textFill>
        </w:rPr>
      </w:pPr>
    </w:p>
    <w:bookmarkEnd w:id="100"/>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B36BBA-50EA-43E2-BC5C-54A8058909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2" w:fontKey="{23B4CB2A-33B1-4D81-8701-CA68F6BC6204}"/>
  </w:font>
  <w:font w:name="方正小标宋简体">
    <w:panose1 w:val="02000000000000000000"/>
    <w:charset w:val="86"/>
    <w:family w:val="auto"/>
    <w:pitch w:val="default"/>
    <w:sig w:usb0="00000001" w:usb1="08000000" w:usb2="00000000" w:usb3="00000000" w:csb0="00040000" w:csb1="00000000"/>
    <w:embedRegular r:id="rId3" w:fontKey="{B7D476CE-A4CC-4113-86DF-D257856324B6}"/>
  </w:font>
  <w:font w:name="Wingdings 2">
    <w:panose1 w:val="05020102010507070707"/>
    <w:charset w:val="02"/>
    <w:family w:val="auto"/>
    <w:pitch w:val="default"/>
    <w:sig w:usb0="00000000" w:usb1="00000000" w:usb2="00000000" w:usb3="00000000" w:csb0="80000000" w:csb1="00000000"/>
    <w:embedRegular r:id="rId4" w:fontKey="{61A4D919-BAAC-43E8-AE5A-58DCF6A85C66}"/>
  </w:font>
  <w:font w:name="仿宋">
    <w:panose1 w:val="02010609060101010101"/>
    <w:charset w:val="86"/>
    <w:family w:val="auto"/>
    <w:pitch w:val="default"/>
    <w:sig w:usb0="800002BF" w:usb1="38CF7CFA" w:usb2="00000016" w:usb3="00000000" w:csb0="00040001" w:csb1="00000000"/>
    <w:embedRegular r:id="rId5" w:fontKey="{387EA6D4-DB5A-4DDF-B8CA-A10B8228F84B}"/>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A62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73A62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349D8517"/>
    <w:multiLevelType w:val="singleLevel"/>
    <w:tmpl w:val="349D8517"/>
    <w:lvl w:ilvl="0" w:tentative="0">
      <w:start w:val="1"/>
      <w:numFmt w:val="decimal"/>
      <w:suff w:val="nothing"/>
      <w:lvlText w:val="%1、"/>
      <w:lvlJc w:val="left"/>
    </w:lvl>
  </w:abstractNum>
  <w:abstractNum w:abstractNumId="3">
    <w:nsid w:val="4EEB5ED9"/>
    <w:multiLevelType w:val="singleLevel"/>
    <w:tmpl w:val="4EEB5ED9"/>
    <w:lvl w:ilvl="0" w:tentative="0">
      <w:start w:val="1"/>
      <w:numFmt w:val="decimal"/>
      <w:lvlText w:val="%1."/>
      <w:lvlJc w:val="left"/>
      <w:pPr>
        <w:tabs>
          <w:tab w:val="left" w:pos="312"/>
        </w:tabs>
      </w:pPr>
    </w:lvl>
  </w:abstractNum>
  <w:abstractNum w:abstractNumId="4">
    <w:nsid w:val="7A55EF4A"/>
    <w:multiLevelType w:val="singleLevel"/>
    <w:tmpl w:val="7A55EF4A"/>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EC2FA7"/>
    <w:rsid w:val="02230955"/>
    <w:rsid w:val="02317214"/>
    <w:rsid w:val="027C37A3"/>
    <w:rsid w:val="02A1024F"/>
    <w:rsid w:val="02B349AE"/>
    <w:rsid w:val="02B96468"/>
    <w:rsid w:val="02DC3F04"/>
    <w:rsid w:val="03232A32"/>
    <w:rsid w:val="03340C72"/>
    <w:rsid w:val="03D60954"/>
    <w:rsid w:val="03E034D9"/>
    <w:rsid w:val="042E0790"/>
    <w:rsid w:val="04455E19"/>
    <w:rsid w:val="04B35E34"/>
    <w:rsid w:val="04BB40EE"/>
    <w:rsid w:val="04D01847"/>
    <w:rsid w:val="06466CB5"/>
    <w:rsid w:val="06693CB2"/>
    <w:rsid w:val="06A9757C"/>
    <w:rsid w:val="06C32529"/>
    <w:rsid w:val="07C40FCD"/>
    <w:rsid w:val="08006F3A"/>
    <w:rsid w:val="081027DD"/>
    <w:rsid w:val="081D62BA"/>
    <w:rsid w:val="081F6F62"/>
    <w:rsid w:val="084762C4"/>
    <w:rsid w:val="08E104C7"/>
    <w:rsid w:val="08E853C6"/>
    <w:rsid w:val="097048DB"/>
    <w:rsid w:val="09774712"/>
    <w:rsid w:val="09872E32"/>
    <w:rsid w:val="09EE0493"/>
    <w:rsid w:val="09F63D7D"/>
    <w:rsid w:val="0AAF7417"/>
    <w:rsid w:val="0B6B051B"/>
    <w:rsid w:val="0BE739A0"/>
    <w:rsid w:val="0BF16C73"/>
    <w:rsid w:val="0C087B18"/>
    <w:rsid w:val="0C3703FE"/>
    <w:rsid w:val="0CEB1914"/>
    <w:rsid w:val="0CFD33F5"/>
    <w:rsid w:val="0D15610F"/>
    <w:rsid w:val="0D162709"/>
    <w:rsid w:val="0D9A52C8"/>
    <w:rsid w:val="0E007979"/>
    <w:rsid w:val="0E1704E7"/>
    <w:rsid w:val="0E76520D"/>
    <w:rsid w:val="0F2B249C"/>
    <w:rsid w:val="0F5B0B5D"/>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C0EF8"/>
    <w:rsid w:val="132311FD"/>
    <w:rsid w:val="13491142"/>
    <w:rsid w:val="14424A3B"/>
    <w:rsid w:val="14964FC5"/>
    <w:rsid w:val="14FA6062"/>
    <w:rsid w:val="15706BFC"/>
    <w:rsid w:val="163D4862"/>
    <w:rsid w:val="168E3310"/>
    <w:rsid w:val="16930926"/>
    <w:rsid w:val="16DC051F"/>
    <w:rsid w:val="17145D71"/>
    <w:rsid w:val="17543053"/>
    <w:rsid w:val="177B7447"/>
    <w:rsid w:val="17985ABB"/>
    <w:rsid w:val="17C2750F"/>
    <w:rsid w:val="18047D2E"/>
    <w:rsid w:val="18890233"/>
    <w:rsid w:val="18A46E1B"/>
    <w:rsid w:val="18A60DE5"/>
    <w:rsid w:val="18E70E8B"/>
    <w:rsid w:val="191E2903"/>
    <w:rsid w:val="195A6DE8"/>
    <w:rsid w:val="197A466A"/>
    <w:rsid w:val="1ACA4C0E"/>
    <w:rsid w:val="1B6B3DF4"/>
    <w:rsid w:val="1B7C0790"/>
    <w:rsid w:val="1BE0460E"/>
    <w:rsid w:val="1C4104FA"/>
    <w:rsid w:val="1C827801"/>
    <w:rsid w:val="1D15529F"/>
    <w:rsid w:val="1D1912A7"/>
    <w:rsid w:val="1D3E0E44"/>
    <w:rsid w:val="1D77736C"/>
    <w:rsid w:val="1E416B22"/>
    <w:rsid w:val="1E6F19BB"/>
    <w:rsid w:val="20512D78"/>
    <w:rsid w:val="20606345"/>
    <w:rsid w:val="207440D1"/>
    <w:rsid w:val="2075087F"/>
    <w:rsid w:val="20DA7945"/>
    <w:rsid w:val="20E17A31"/>
    <w:rsid w:val="21456E7D"/>
    <w:rsid w:val="214B077B"/>
    <w:rsid w:val="214E74AD"/>
    <w:rsid w:val="218E2416"/>
    <w:rsid w:val="21A77C5D"/>
    <w:rsid w:val="2252529B"/>
    <w:rsid w:val="22773AF3"/>
    <w:rsid w:val="232A707C"/>
    <w:rsid w:val="23AE0B4E"/>
    <w:rsid w:val="24BE6141"/>
    <w:rsid w:val="25446DA5"/>
    <w:rsid w:val="25A02777"/>
    <w:rsid w:val="25D0124F"/>
    <w:rsid w:val="266D3002"/>
    <w:rsid w:val="26F5369A"/>
    <w:rsid w:val="277850CE"/>
    <w:rsid w:val="277946F4"/>
    <w:rsid w:val="2785329C"/>
    <w:rsid w:val="281F6A91"/>
    <w:rsid w:val="28A6668A"/>
    <w:rsid w:val="28ED298C"/>
    <w:rsid w:val="28FC49FE"/>
    <w:rsid w:val="294619D0"/>
    <w:rsid w:val="2A570191"/>
    <w:rsid w:val="2A8F792B"/>
    <w:rsid w:val="2B1020EE"/>
    <w:rsid w:val="2B157704"/>
    <w:rsid w:val="2B22254D"/>
    <w:rsid w:val="2B900466"/>
    <w:rsid w:val="2BC2153F"/>
    <w:rsid w:val="2BF85DDD"/>
    <w:rsid w:val="2C4A2A9F"/>
    <w:rsid w:val="2CEE4744"/>
    <w:rsid w:val="2D8C63A3"/>
    <w:rsid w:val="2DCC2C44"/>
    <w:rsid w:val="2FAA0AFC"/>
    <w:rsid w:val="302F0099"/>
    <w:rsid w:val="30E94F09"/>
    <w:rsid w:val="3116629E"/>
    <w:rsid w:val="31894E52"/>
    <w:rsid w:val="31CE10C4"/>
    <w:rsid w:val="324167FF"/>
    <w:rsid w:val="32D6426E"/>
    <w:rsid w:val="32EB00CB"/>
    <w:rsid w:val="33BF2903"/>
    <w:rsid w:val="343B642D"/>
    <w:rsid w:val="345D2848"/>
    <w:rsid w:val="349B585B"/>
    <w:rsid w:val="34E40873"/>
    <w:rsid w:val="35025F25"/>
    <w:rsid w:val="35397B62"/>
    <w:rsid w:val="35DB18E9"/>
    <w:rsid w:val="3664227A"/>
    <w:rsid w:val="36993EA6"/>
    <w:rsid w:val="37023232"/>
    <w:rsid w:val="37197DF1"/>
    <w:rsid w:val="376261CE"/>
    <w:rsid w:val="38172653"/>
    <w:rsid w:val="38467A93"/>
    <w:rsid w:val="389D76B7"/>
    <w:rsid w:val="389E280E"/>
    <w:rsid w:val="38A30A45"/>
    <w:rsid w:val="38BD5DB1"/>
    <w:rsid w:val="38FC32A6"/>
    <w:rsid w:val="39315375"/>
    <w:rsid w:val="395064D7"/>
    <w:rsid w:val="39916502"/>
    <w:rsid w:val="39CE564E"/>
    <w:rsid w:val="3A5848E7"/>
    <w:rsid w:val="3A716474"/>
    <w:rsid w:val="3A9B5E78"/>
    <w:rsid w:val="3AA80595"/>
    <w:rsid w:val="3AAE2D52"/>
    <w:rsid w:val="3AFD61EB"/>
    <w:rsid w:val="3B605EC0"/>
    <w:rsid w:val="3B946BCC"/>
    <w:rsid w:val="3BD1628B"/>
    <w:rsid w:val="3C235D62"/>
    <w:rsid w:val="3C574020"/>
    <w:rsid w:val="3D123B38"/>
    <w:rsid w:val="3D477F05"/>
    <w:rsid w:val="3E0B6E71"/>
    <w:rsid w:val="3E55633E"/>
    <w:rsid w:val="3E671575"/>
    <w:rsid w:val="3EF70367"/>
    <w:rsid w:val="3F3763DE"/>
    <w:rsid w:val="3F5B1501"/>
    <w:rsid w:val="3F8B693A"/>
    <w:rsid w:val="3FFA17C6"/>
    <w:rsid w:val="40247A79"/>
    <w:rsid w:val="402856D7"/>
    <w:rsid w:val="403F1053"/>
    <w:rsid w:val="40907B01"/>
    <w:rsid w:val="41344930"/>
    <w:rsid w:val="41E40104"/>
    <w:rsid w:val="42497F67"/>
    <w:rsid w:val="425828A0"/>
    <w:rsid w:val="43236A0A"/>
    <w:rsid w:val="434B7979"/>
    <w:rsid w:val="43543068"/>
    <w:rsid w:val="435B4AD2"/>
    <w:rsid w:val="43A74F98"/>
    <w:rsid w:val="44006D4C"/>
    <w:rsid w:val="44352E99"/>
    <w:rsid w:val="44A97FB6"/>
    <w:rsid w:val="45102FBE"/>
    <w:rsid w:val="45175EB5"/>
    <w:rsid w:val="45686D7A"/>
    <w:rsid w:val="462642D9"/>
    <w:rsid w:val="46EC04F8"/>
    <w:rsid w:val="46F60F4A"/>
    <w:rsid w:val="476A23A3"/>
    <w:rsid w:val="484667E8"/>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B9218D"/>
    <w:rsid w:val="4CC72AFC"/>
    <w:rsid w:val="4D2F0520"/>
    <w:rsid w:val="4D98140C"/>
    <w:rsid w:val="4DC360A2"/>
    <w:rsid w:val="4DE85206"/>
    <w:rsid w:val="4E524648"/>
    <w:rsid w:val="4EC56BC8"/>
    <w:rsid w:val="4EDD2163"/>
    <w:rsid w:val="4F5622C7"/>
    <w:rsid w:val="4F7769ED"/>
    <w:rsid w:val="4F7A20A8"/>
    <w:rsid w:val="4F8F72F9"/>
    <w:rsid w:val="4FBE4498"/>
    <w:rsid w:val="4FF26A8A"/>
    <w:rsid w:val="4FFD3683"/>
    <w:rsid w:val="50260035"/>
    <w:rsid w:val="50436AA2"/>
    <w:rsid w:val="50B746F8"/>
    <w:rsid w:val="51045B07"/>
    <w:rsid w:val="51CB46D7"/>
    <w:rsid w:val="51CC4711"/>
    <w:rsid w:val="51EE4E78"/>
    <w:rsid w:val="5237602E"/>
    <w:rsid w:val="52495D62"/>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FC63A8"/>
    <w:rsid w:val="56262642"/>
    <w:rsid w:val="56571A99"/>
    <w:rsid w:val="566C7823"/>
    <w:rsid w:val="56A47A0A"/>
    <w:rsid w:val="57816951"/>
    <w:rsid w:val="57BA2E30"/>
    <w:rsid w:val="5806097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D30277E"/>
    <w:rsid w:val="5D5B0A0B"/>
    <w:rsid w:val="5D9805B3"/>
    <w:rsid w:val="5DD348AC"/>
    <w:rsid w:val="5DFB1693"/>
    <w:rsid w:val="5E891EF8"/>
    <w:rsid w:val="5F0D47A6"/>
    <w:rsid w:val="5F1F5556"/>
    <w:rsid w:val="5F51305B"/>
    <w:rsid w:val="5F607404"/>
    <w:rsid w:val="5F9674A7"/>
    <w:rsid w:val="6022031E"/>
    <w:rsid w:val="602D0A71"/>
    <w:rsid w:val="6042451C"/>
    <w:rsid w:val="609E0422"/>
    <w:rsid w:val="61C84EF5"/>
    <w:rsid w:val="62B15989"/>
    <w:rsid w:val="62E25B42"/>
    <w:rsid w:val="62F67840"/>
    <w:rsid w:val="62FB2F72"/>
    <w:rsid w:val="633C08FC"/>
    <w:rsid w:val="63597017"/>
    <w:rsid w:val="63C67212"/>
    <w:rsid w:val="63F44A83"/>
    <w:rsid w:val="64012005"/>
    <w:rsid w:val="64155AA4"/>
    <w:rsid w:val="642826DF"/>
    <w:rsid w:val="64577284"/>
    <w:rsid w:val="64B74DAD"/>
    <w:rsid w:val="650E70C3"/>
    <w:rsid w:val="653528A1"/>
    <w:rsid w:val="659832B3"/>
    <w:rsid w:val="65CE5344"/>
    <w:rsid w:val="65DA0385"/>
    <w:rsid w:val="66275276"/>
    <w:rsid w:val="6638413B"/>
    <w:rsid w:val="6674153C"/>
    <w:rsid w:val="66BE0674"/>
    <w:rsid w:val="66E31E89"/>
    <w:rsid w:val="671007F1"/>
    <w:rsid w:val="673320BA"/>
    <w:rsid w:val="675C73F2"/>
    <w:rsid w:val="676F0F89"/>
    <w:rsid w:val="67C718D1"/>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75365C"/>
    <w:rsid w:val="6B7B5D96"/>
    <w:rsid w:val="6BDD77EF"/>
    <w:rsid w:val="6BDF4B7D"/>
    <w:rsid w:val="6BE20233"/>
    <w:rsid w:val="6C2B48B6"/>
    <w:rsid w:val="6C376686"/>
    <w:rsid w:val="6C5D740D"/>
    <w:rsid w:val="6C7A646F"/>
    <w:rsid w:val="6C7F3CDD"/>
    <w:rsid w:val="6CEC03EE"/>
    <w:rsid w:val="6CED5810"/>
    <w:rsid w:val="6D033285"/>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132790"/>
    <w:rsid w:val="7053087D"/>
    <w:rsid w:val="70641996"/>
    <w:rsid w:val="70E60810"/>
    <w:rsid w:val="71182072"/>
    <w:rsid w:val="71C50B09"/>
    <w:rsid w:val="72A02D9E"/>
    <w:rsid w:val="72A66B8C"/>
    <w:rsid w:val="73243F55"/>
    <w:rsid w:val="7329156C"/>
    <w:rsid w:val="735859AD"/>
    <w:rsid w:val="737E1F98"/>
    <w:rsid w:val="738B5D82"/>
    <w:rsid w:val="743C45B0"/>
    <w:rsid w:val="74EA7D17"/>
    <w:rsid w:val="754104C0"/>
    <w:rsid w:val="755F2C22"/>
    <w:rsid w:val="759F04BE"/>
    <w:rsid w:val="75A634FC"/>
    <w:rsid w:val="75BB607F"/>
    <w:rsid w:val="75E11C91"/>
    <w:rsid w:val="76C26ECB"/>
    <w:rsid w:val="76FD2F00"/>
    <w:rsid w:val="7727446A"/>
    <w:rsid w:val="77383246"/>
    <w:rsid w:val="780768A2"/>
    <w:rsid w:val="78DD1E86"/>
    <w:rsid w:val="79144124"/>
    <w:rsid w:val="79707849"/>
    <w:rsid w:val="797A07C3"/>
    <w:rsid w:val="799E680F"/>
    <w:rsid w:val="79BC4EE7"/>
    <w:rsid w:val="79F3642F"/>
    <w:rsid w:val="7A0635C0"/>
    <w:rsid w:val="7A0D74F1"/>
    <w:rsid w:val="7A1C6AC0"/>
    <w:rsid w:val="7A2715CF"/>
    <w:rsid w:val="7B2F4F94"/>
    <w:rsid w:val="7B33614A"/>
    <w:rsid w:val="7B5971BC"/>
    <w:rsid w:val="7C5E3E59"/>
    <w:rsid w:val="7C852194"/>
    <w:rsid w:val="7CA26617"/>
    <w:rsid w:val="7CC75E49"/>
    <w:rsid w:val="7CF76237"/>
    <w:rsid w:val="7D2E7EC7"/>
    <w:rsid w:val="7D7004C3"/>
    <w:rsid w:val="7D83519D"/>
    <w:rsid w:val="7D987C19"/>
    <w:rsid w:val="7DCD2671"/>
    <w:rsid w:val="7DEA4DB5"/>
    <w:rsid w:val="7E375583"/>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43976</Words>
  <Characters>47457</Characters>
  <Lines>286</Lines>
  <Paragraphs>80</Paragraphs>
  <TotalTime>0</TotalTime>
  <ScaleCrop>false</ScaleCrop>
  <LinksUpToDate>false</LinksUpToDate>
  <CharactersWithSpaces>49909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聂蕾</cp:lastModifiedBy>
  <cp:lastPrinted>2024-09-29T06:34:00Z</cp:lastPrinted>
  <dcterms:modified xsi:type="dcterms:W3CDTF">2024-11-21T04:16:11Z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144EDD394A9749A5956BFC16C02387AC_13</vt:lpwstr>
  </property>
</Properties>
</file>