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1"/>
        <w:jc w:val="center"/>
        <w:rPr>
          <w:rFonts w:hAnsi="宋体"/>
          <w:b/>
          <w:bCs/>
          <w:color w:val="auto"/>
          <w:sz w:val="72"/>
          <w:szCs w:val="72"/>
          <w:highlight w:val="none"/>
        </w:rPr>
      </w:pPr>
      <w:bookmarkStart w:id="0" w:name="_Toc12144"/>
      <w:bookmarkStart w:id="1" w:name="_Toc14534"/>
      <w:bookmarkStart w:id="2" w:name="_Toc17774"/>
      <w:bookmarkStart w:id="3" w:name="_Toc22604"/>
    </w:p>
    <w:p>
      <w:pPr>
        <w:pStyle w:val="141"/>
        <w:jc w:val="center"/>
        <w:rPr>
          <w:rFonts w:hint="eastAsia" w:hAnsi="宋体"/>
          <w:b/>
          <w:bCs/>
          <w:color w:val="auto"/>
          <w:sz w:val="52"/>
          <w:szCs w:val="52"/>
          <w:highlight w:val="none"/>
          <w:lang w:val="en-US" w:eastAsia="zh-CN"/>
        </w:rPr>
      </w:pPr>
      <w:r>
        <w:rPr>
          <w:rFonts w:hint="eastAsia" w:hAnsi="宋体"/>
          <w:b/>
          <w:bCs/>
          <w:color w:val="auto"/>
          <w:sz w:val="52"/>
          <w:szCs w:val="52"/>
          <w:highlight w:val="none"/>
          <w:lang w:val="en-US" w:eastAsia="zh-CN"/>
        </w:rPr>
        <w:t>“畅游中国 美好旅程”2024年“中国旅游日”长春分会场主题活动项目</w:t>
      </w:r>
    </w:p>
    <w:p>
      <w:pPr>
        <w:pStyle w:val="141"/>
        <w:jc w:val="center"/>
        <w:rPr>
          <w:rFonts w:hint="default" w:hAnsi="宋体" w:eastAsia="宋体"/>
          <w:b/>
          <w:bCs/>
          <w:color w:val="auto"/>
          <w:sz w:val="72"/>
          <w:szCs w:val="72"/>
          <w:highlight w:val="none"/>
          <w:lang w:val="en-US" w:eastAsia="zh-CN"/>
        </w:rPr>
      </w:pPr>
      <w:r>
        <w:rPr>
          <w:rFonts w:hint="eastAsia" w:hAnsi="宋体"/>
          <w:b/>
          <w:bCs/>
          <w:color w:val="auto"/>
          <w:sz w:val="52"/>
          <w:szCs w:val="52"/>
          <w:highlight w:val="none"/>
          <w:lang w:val="en-US" w:eastAsia="zh-CN"/>
        </w:rPr>
        <w:t xml:space="preserve">    </w:t>
      </w:r>
    </w:p>
    <w:p>
      <w:pPr>
        <w:pStyle w:val="141"/>
        <w:jc w:val="center"/>
        <w:rPr>
          <w:rFonts w:hAnsi="宋体"/>
          <w:color w:val="auto"/>
          <w:highlight w:val="none"/>
        </w:rPr>
      </w:pPr>
    </w:p>
    <w:p>
      <w:pPr>
        <w:pStyle w:val="141"/>
        <w:jc w:val="both"/>
        <w:rPr>
          <w:rFonts w:hAnsi="宋体"/>
          <w:color w:val="auto"/>
          <w:highlight w:val="none"/>
        </w:rPr>
      </w:pPr>
    </w:p>
    <w:p>
      <w:pPr>
        <w:pStyle w:val="141"/>
        <w:jc w:val="center"/>
        <w:rPr>
          <w:rFonts w:hAnsi="宋体"/>
          <w:color w:val="auto"/>
          <w:highlight w:val="none"/>
        </w:rPr>
      </w:pPr>
    </w:p>
    <w:p>
      <w:pPr>
        <w:pStyle w:val="141"/>
        <w:jc w:val="center"/>
        <w:rPr>
          <w:rFonts w:hAnsi="宋体"/>
          <w:b/>
          <w:bCs/>
          <w:color w:val="auto"/>
          <w:sz w:val="72"/>
          <w:szCs w:val="72"/>
          <w:highlight w:val="none"/>
        </w:rPr>
      </w:pPr>
    </w:p>
    <w:p>
      <w:pPr>
        <w:pStyle w:val="141"/>
        <w:jc w:val="center"/>
        <w:rPr>
          <w:rFonts w:hAnsi="宋体"/>
          <w:b/>
          <w:bCs/>
          <w:color w:val="auto"/>
          <w:sz w:val="72"/>
          <w:szCs w:val="72"/>
          <w:highlight w:val="none"/>
        </w:rPr>
      </w:pPr>
    </w:p>
    <w:p>
      <w:pPr>
        <w:pStyle w:val="141"/>
        <w:jc w:val="center"/>
        <w:rPr>
          <w:rFonts w:hAnsi="宋体"/>
          <w:b/>
          <w:bCs/>
          <w:color w:val="auto"/>
          <w:sz w:val="96"/>
          <w:szCs w:val="96"/>
          <w:highlight w:val="none"/>
        </w:rPr>
      </w:pPr>
      <w:r>
        <w:rPr>
          <w:rFonts w:hint="eastAsia" w:hAnsi="宋体"/>
          <w:b/>
          <w:bCs/>
          <w:color w:val="auto"/>
          <w:sz w:val="72"/>
          <w:szCs w:val="72"/>
          <w:highlight w:val="none"/>
        </w:rPr>
        <w:t>竞争性磋商文件</w:t>
      </w:r>
    </w:p>
    <w:p>
      <w:pPr>
        <w:pStyle w:val="141"/>
        <w:jc w:val="both"/>
        <w:rPr>
          <w:rFonts w:hAnsi="宋体"/>
          <w:color w:val="auto"/>
          <w:sz w:val="18"/>
          <w:szCs w:val="18"/>
          <w:highlight w:val="none"/>
        </w:rPr>
      </w:pPr>
    </w:p>
    <w:p>
      <w:pPr>
        <w:pStyle w:val="141"/>
        <w:jc w:val="center"/>
        <w:rPr>
          <w:rFonts w:hAnsi="宋体"/>
          <w:color w:val="auto"/>
          <w:sz w:val="40"/>
          <w:szCs w:val="40"/>
          <w:highlight w:val="none"/>
        </w:rPr>
      </w:pPr>
    </w:p>
    <w:p>
      <w:pPr>
        <w:pStyle w:val="141"/>
        <w:jc w:val="center"/>
        <w:rPr>
          <w:rFonts w:hint="default" w:hAnsi="宋体"/>
          <w:color w:val="auto"/>
          <w:sz w:val="18"/>
          <w:szCs w:val="22"/>
          <w:highlight w:val="none"/>
          <w:lang w:val="en-US"/>
        </w:rPr>
      </w:pPr>
      <w:r>
        <w:rPr>
          <w:rFonts w:hint="eastAsia" w:ascii="宋体" w:hAnsi="宋体" w:eastAsia="宋体" w:cs="宋体"/>
          <w:b/>
          <w:bCs/>
          <w:color w:val="auto"/>
          <w:sz w:val="28"/>
          <w:szCs w:val="28"/>
          <w:highlight w:val="none"/>
          <w:lang w:val="en-US" w:eastAsia="zh-CN"/>
        </w:rPr>
        <w:t>采购</w:t>
      </w:r>
      <w:r>
        <w:rPr>
          <w:rFonts w:hint="eastAsia" w:ascii="宋体" w:hAnsi="宋体" w:eastAsia="宋体" w:cs="宋体"/>
          <w:b/>
          <w:bCs/>
          <w:color w:val="auto"/>
          <w:sz w:val="28"/>
          <w:szCs w:val="28"/>
          <w:highlight w:val="none"/>
          <w:lang w:val="zh-CN" w:eastAsia="zh-CN"/>
        </w:rPr>
        <w:t>项目编号</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lang w:val="zh-CN" w:eastAsia="zh-CN"/>
        </w:rPr>
        <w:t>JM-2024-04-00442</w:t>
      </w:r>
      <w:r>
        <w:rPr>
          <w:rFonts w:hint="eastAsia" w:hAnsi="宋体" w:cs="宋体"/>
          <w:b/>
          <w:bCs/>
          <w:color w:val="auto"/>
          <w:sz w:val="28"/>
          <w:szCs w:val="28"/>
          <w:highlight w:val="none"/>
          <w:lang w:val="zh-CN" w:eastAsia="zh-CN"/>
        </w:rPr>
        <w:t>（CCZH2024-001）</w:t>
      </w:r>
    </w:p>
    <w:p>
      <w:pPr>
        <w:pStyle w:val="141"/>
        <w:jc w:val="center"/>
        <w:rPr>
          <w:rFonts w:hAnsi="宋体"/>
          <w:color w:val="auto"/>
          <w:sz w:val="20"/>
          <w:highlight w:val="none"/>
        </w:rPr>
      </w:pPr>
    </w:p>
    <w:p>
      <w:pPr>
        <w:pStyle w:val="141"/>
        <w:jc w:val="center"/>
        <w:rPr>
          <w:rFonts w:hAnsi="宋体"/>
          <w:color w:val="auto"/>
          <w:sz w:val="20"/>
          <w:highlight w:val="none"/>
        </w:rPr>
      </w:pPr>
    </w:p>
    <w:p>
      <w:pPr>
        <w:pStyle w:val="141"/>
        <w:jc w:val="center"/>
        <w:rPr>
          <w:rFonts w:hAnsi="宋体"/>
          <w:color w:val="auto"/>
          <w:sz w:val="20"/>
          <w:highlight w:val="none"/>
        </w:rPr>
      </w:pPr>
    </w:p>
    <w:p>
      <w:pPr>
        <w:pStyle w:val="141"/>
        <w:jc w:val="center"/>
        <w:rPr>
          <w:rFonts w:hAnsi="宋体"/>
          <w:color w:val="auto"/>
          <w:sz w:val="20"/>
          <w:highlight w:val="none"/>
        </w:rPr>
      </w:pPr>
    </w:p>
    <w:p>
      <w:pPr>
        <w:pStyle w:val="141"/>
        <w:jc w:val="center"/>
        <w:rPr>
          <w:rFonts w:hAnsi="宋体"/>
          <w:color w:val="auto"/>
          <w:sz w:val="20"/>
          <w:highlight w:val="none"/>
        </w:rPr>
      </w:pPr>
    </w:p>
    <w:p>
      <w:pPr>
        <w:pStyle w:val="141"/>
        <w:jc w:val="both"/>
        <w:rPr>
          <w:rFonts w:hAnsi="宋体"/>
          <w:color w:val="auto"/>
          <w:sz w:val="20"/>
          <w:highlight w:val="none"/>
        </w:rPr>
      </w:pPr>
    </w:p>
    <w:p>
      <w:pPr>
        <w:pStyle w:val="141"/>
        <w:jc w:val="center"/>
        <w:rPr>
          <w:rFonts w:hAnsi="宋体"/>
          <w:color w:val="auto"/>
          <w:sz w:val="20"/>
          <w:highlight w:val="none"/>
        </w:rPr>
      </w:pPr>
    </w:p>
    <w:p>
      <w:pPr>
        <w:pStyle w:val="141"/>
        <w:jc w:val="center"/>
        <w:rPr>
          <w:rFonts w:hAnsi="宋体"/>
          <w:color w:val="auto"/>
          <w:sz w:val="20"/>
          <w:highlight w:val="none"/>
        </w:rPr>
      </w:pPr>
    </w:p>
    <w:p>
      <w:pPr>
        <w:pStyle w:val="141"/>
        <w:jc w:val="center"/>
        <w:rPr>
          <w:rFonts w:hAnsi="宋体"/>
          <w:color w:val="auto"/>
          <w:sz w:val="20"/>
          <w:highlight w:val="none"/>
        </w:rPr>
      </w:pPr>
    </w:p>
    <w:p>
      <w:pPr>
        <w:pStyle w:val="141"/>
        <w:jc w:val="both"/>
        <w:rPr>
          <w:rFonts w:hAnsi="宋体"/>
          <w:color w:val="auto"/>
          <w:sz w:val="20"/>
          <w:highlight w:val="none"/>
        </w:rPr>
      </w:pPr>
    </w:p>
    <w:p>
      <w:pPr>
        <w:pStyle w:val="141"/>
        <w:jc w:val="center"/>
        <w:rPr>
          <w:rFonts w:hAnsi="宋体"/>
          <w:color w:val="auto"/>
          <w:sz w:val="20"/>
          <w:highlight w:val="none"/>
        </w:rPr>
      </w:pPr>
    </w:p>
    <w:p>
      <w:pPr>
        <w:pStyle w:val="141"/>
        <w:jc w:val="both"/>
        <w:rPr>
          <w:rFonts w:hAnsi="宋体"/>
          <w:color w:val="auto"/>
          <w:sz w:val="20"/>
          <w:highlight w:val="none"/>
        </w:rPr>
      </w:pPr>
    </w:p>
    <w:p>
      <w:pPr>
        <w:pStyle w:val="141"/>
        <w:jc w:val="center"/>
        <w:rPr>
          <w:rFonts w:hAnsi="宋体"/>
          <w:color w:val="auto"/>
          <w:sz w:val="20"/>
          <w:highlight w:val="none"/>
        </w:rPr>
      </w:pPr>
    </w:p>
    <w:p>
      <w:pPr>
        <w:pStyle w:val="141"/>
        <w:ind w:firstLine="904" w:firstLineChars="300"/>
        <w:jc w:val="both"/>
        <w:rPr>
          <w:rFonts w:hint="eastAsia" w:hAnsi="宋体" w:eastAsia="宋体"/>
          <w:b/>
          <w:color w:val="auto"/>
          <w:sz w:val="30"/>
          <w:szCs w:val="30"/>
          <w:highlight w:val="none"/>
          <w:lang w:eastAsia="zh-CN"/>
        </w:rPr>
      </w:pPr>
      <w:r>
        <w:rPr>
          <w:rFonts w:hint="eastAsia" w:hAnsi="宋体"/>
          <w:b/>
          <w:color w:val="auto"/>
          <w:sz w:val="30"/>
          <w:szCs w:val="30"/>
          <w:highlight w:val="none"/>
        </w:rPr>
        <w:t>采    购   人：</w:t>
      </w:r>
      <w:r>
        <w:rPr>
          <w:rFonts w:hint="eastAsia" w:hAnsi="宋体"/>
          <w:b/>
          <w:color w:val="auto"/>
          <w:sz w:val="30"/>
          <w:szCs w:val="30"/>
          <w:highlight w:val="none"/>
          <w:lang w:eastAsia="zh-CN"/>
        </w:rPr>
        <w:t>长春市文化广播电视和旅游局（长春市文物局）</w:t>
      </w:r>
    </w:p>
    <w:p>
      <w:pPr>
        <w:pStyle w:val="141"/>
        <w:jc w:val="center"/>
        <w:rPr>
          <w:rFonts w:hAnsi="宋体"/>
          <w:b/>
          <w:bCs/>
          <w:color w:val="auto"/>
          <w:sz w:val="32"/>
          <w:szCs w:val="44"/>
          <w:highlight w:val="none"/>
        </w:rPr>
      </w:pPr>
    </w:p>
    <w:p>
      <w:pPr>
        <w:pStyle w:val="141"/>
        <w:ind w:firstLine="964" w:firstLineChars="300"/>
        <w:jc w:val="both"/>
        <w:rPr>
          <w:rFonts w:hAnsi="宋体"/>
          <w:b/>
          <w:bCs/>
          <w:color w:val="auto"/>
          <w:sz w:val="32"/>
          <w:szCs w:val="44"/>
          <w:highlight w:val="none"/>
        </w:rPr>
      </w:pPr>
      <w:r>
        <w:rPr>
          <w:rFonts w:hint="eastAsia" w:hAnsi="宋体"/>
          <w:b/>
          <w:bCs/>
          <w:color w:val="auto"/>
          <w:sz w:val="32"/>
          <w:szCs w:val="44"/>
          <w:highlight w:val="none"/>
        </w:rPr>
        <w:t>采购代理机构：</w:t>
      </w:r>
      <w:r>
        <w:rPr>
          <w:rFonts w:hint="eastAsia" w:hAnsi="宋体"/>
          <w:b/>
          <w:bCs/>
          <w:color w:val="auto"/>
          <w:sz w:val="32"/>
          <w:szCs w:val="44"/>
          <w:highlight w:val="none"/>
          <w:lang w:val="en-US" w:eastAsia="zh-CN"/>
        </w:rPr>
        <w:t>长春中泓项目管理咨询有限公司</w:t>
      </w:r>
    </w:p>
    <w:p>
      <w:pPr>
        <w:pStyle w:val="141"/>
        <w:jc w:val="center"/>
        <w:rPr>
          <w:rFonts w:hAnsi="宋体"/>
          <w:b/>
          <w:bCs/>
          <w:color w:val="auto"/>
          <w:sz w:val="32"/>
          <w:szCs w:val="44"/>
          <w:highlight w:val="none"/>
        </w:rPr>
      </w:pPr>
    </w:p>
    <w:p>
      <w:pPr>
        <w:pStyle w:val="141"/>
        <w:jc w:val="center"/>
        <w:rPr>
          <w:rFonts w:hAnsi="宋体"/>
          <w:b/>
          <w:bCs/>
          <w:color w:val="auto"/>
          <w:sz w:val="32"/>
          <w:szCs w:val="44"/>
          <w:highlight w:val="none"/>
        </w:rPr>
      </w:pPr>
      <w:r>
        <w:rPr>
          <w:rFonts w:hint="eastAsia" w:hAnsi="宋体"/>
          <w:b/>
          <w:bCs/>
          <w:color w:val="auto"/>
          <w:spacing w:val="40"/>
          <w:sz w:val="32"/>
          <w:szCs w:val="44"/>
          <w:highlight w:val="none"/>
        </w:rPr>
        <w:t>202</w:t>
      </w:r>
      <w:r>
        <w:rPr>
          <w:rFonts w:hint="eastAsia" w:hAnsi="宋体"/>
          <w:b/>
          <w:bCs/>
          <w:color w:val="auto"/>
          <w:spacing w:val="40"/>
          <w:sz w:val="32"/>
          <w:szCs w:val="44"/>
          <w:highlight w:val="none"/>
          <w:lang w:val="en-US" w:eastAsia="zh-CN"/>
        </w:rPr>
        <w:t>4</w:t>
      </w:r>
      <w:r>
        <w:rPr>
          <w:rFonts w:hint="eastAsia" w:hAnsi="宋体"/>
          <w:b/>
          <w:bCs/>
          <w:color w:val="auto"/>
          <w:spacing w:val="40"/>
          <w:sz w:val="32"/>
          <w:szCs w:val="44"/>
          <w:highlight w:val="none"/>
        </w:rPr>
        <w:t>年</w:t>
      </w:r>
      <w:r>
        <w:rPr>
          <w:rFonts w:hint="eastAsia" w:hAnsi="宋体"/>
          <w:b/>
          <w:bCs/>
          <w:color w:val="auto"/>
          <w:spacing w:val="40"/>
          <w:sz w:val="32"/>
          <w:szCs w:val="44"/>
          <w:highlight w:val="none"/>
          <w:lang w:val="en-US" w:eastAsia="zh-CN"/>
        </w:rPr>
        <w:t>05</w:t>
      </w:r>
      <w:r>
        <w:rPr>
          <w:rFonts w:hint="eastAsia" w:hAnsi="宋体"/>
          <w:b/>
          <w:bCs/>
          <w:color w:val="auto"/>
          <w:spacing w:val="40"/>
          <w:sz w:val="32"/>
          <w:szCs w:val="44"/>
          <w:highlight w:val="none"/>
        </w:rPr>
        <w:t>月</w:t>
      </w:r>
    </w:p>
    <w:p>
      <w:pPr>
        <w:pStyle w:val="141"/>
        <w:jc w:val="both"/>
        <w:rPr>
          <w:rFonts w:hAnsi="宋体"/>
          <w:color w:val="auto"/>
          <w:highlight w:val="none"/>
        </w:rPr>
      </w:pPr>
    </w:p>
    <w:p>
      <w:pPr>
        <w:spacing w:line="480" w:lineRule="auto"/>
        <w:rPr>
          <w:rFonts w:ascii="宋体" w:hAnsi="宋体" w:cs="宋体"/>
          <w:b/>
          <w:bCs/>
          <w:color w:val="auto"/>
          <w:sz w:val="32"/>
          <w:szCs w:val="32"/>
          <w:highlight w:val="none"/>
        </w:rPr>
        <w:sectPr>
          <w:footerReference r:id="rId5" w:type="first"/>
          <w:headerReference r:id="rId3" w:type="default"/>
          <w:footerReference r:id="rId4" w:type="default"/>
          <w:pgSz w:w="11905" w:h="16838"/>
          <w:pgMar w:top="1417" w:right="1417" w:bottom="1417" w:left="1417" w:header="850" w:footer="737" w:gutter="0"/>
          <w:pgNumType w:start="1"/>
          <w:cols w:space="720" w:num="1"/>
          <w:docGrid w:linePitch="490" w:charSpace="0"/>
        </w:sectPr>
      </w:pPr>
    </w:p>
    <w:p>
      <w:pPr>
        <w:spacing w:line="48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目录</w:t>
      </w:r>
    </w:p>
    <w:p>
      <w:pPr>
        <w:pStyle w:val="163"/>
        <w:tabs>
          <w:tab w:val="right" w:leader="dot" w:pos="9071"/>
        </w:tabs>
        <w:spacing w:line="480" w:lineRule="auto"/>
        <w:rPr>
          <w:rFonts w:ascii="宋体" w:hAnsi="宋体" w:cs="宋体"/>
          <w:b/>
          <w:bCs/>
          <w:color w:val="auto"/>
          <w:sz w:val="32"/>
          <w:szCs w:val="32"/>
          <w:highlight w:val="none"/>
        </w:rPr>
      </w:pPr>
    </w:p>
    <w:p>
      <w:pPr>
        <w:pStyle w:val="163"/>
        <w:tabs>
          <w:tab w:val="right" w:leader="dot" w:pos="9071"/>
        </w:tabs>
        <w:spacing w:line="48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"_Toc29475" </w:instrText>
      </w:r>
      <w:r>
        <w:rPr>
          <w:color w:val="auto"/>
          <w:highlight w:val="none"/>
        </w:rPr>
        <w:fldChar w:fldCharType="separate"/>
      </w:r>
      <w:r>
        <w:rPr>
          <w:rFonts w:hint="eastAsia" w:ascii="宋体" w:hAnsi="宋体" w:cs="宋体"/>
          <w:b/>
          <w:bCs/>
          <w:color w:val="auto"/>
          <w:sz w:val="32"/>
          <w:szCs w:val="32"/>
          <w:highlight w:val="none"/>
        </w:rPr>
        <w:t>第一章 竞争性磋商公告</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_Toc29475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2</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pPr>
        <w:pStyle w:val="163"/>
        <w:tabs>
          <w:tab w:val="right" w:leader="dot" w:pos="9071"/>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"_Toc27273" </w:instrText>
      </w:r>
      <w:r>
        <w:rPr>
          <w:color w:val="auto"/>
          <w:highlight w:val="none"/>
        </w:rPr>
        <w:fldChar w:fldCharType="separate"/>
      </w:r>
      <w:r>
        <w:rPr>
          <w:rFonts w:hint="eastAsia" w:ascii="宋体" w:hAnsi="宋体" w:cs="宋体"/>
          <w:b/>
          <w:bCs/>
          <w:color w:val="auto"/>
          <w:sz w:val="32"/>
          <w:szCs w:val="32"/>
          <w:highlight w:val="none"/>
          <w:lang w:val="zh-CN"/>
        </w:rPr>
        <w:t>第二章 供应商须知</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t>5</w:t>
      </w:r>
      <w:r>
        <w:rPr>
          <w:rFonts w:hint="eastAsia" w:ascii="宋体" w:hAnsi="宋体" w:cs="宋体"/>
          <w:b/>
          <w:bCs/>
          <w:color w:val="auto"/>
          <w:sz w:val="32"/>
          <w:szCs w:val="32"/>
          <w:highlight w:val="none"/>
        </w:rPr>
        <w:fldChar w:fldCharType="end"/>
      </w:r>
    </w:p>
    <w:p>
      <w:pPr>
        <w:pStyle w:val="163"/>
        <w:tabs>
          <w:tab w:val="right" w:leader="dot" w:pos="9071"/>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"_Toc4512" </w:instrText>
      </w:r>
      <w:r>
        <w:rPr>
          <w:color w:val="auto"/>
          <w:highlight w:val="none"/>
        </w:rPr>
        <w:fldChar w:fldCharType="separate"/>
      </w:r>
      <w:r>
        <w:rPr>
          <w:rFonts w:hint="eastAsia" w:ascii="宋体" w:hAnsi="宋体" w:cs="宋体"/>
          <w:b/>
          <w:bCs/>
          <w:color w:val="auto"/>
          <w:sz w:val="32"/>
          <w:szCs w:val="32"/>
          <w:highlight w:val="none"/>
          <w:lang w:val="zh-CN"/>
        </w:rPr>
        <w:t>第三章 评审办法</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t>1</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t>6</w:t>
      </w:r>
    </w:p>
    <w:p>
      <w:pPr>
        <w:pStyle w:val="163"/>
        <w:tabs>
          <w:tab w:val="right" w:leader="dot" w:pos="9071"/>
        </w:tabs>
        <w:spacing w:line="480" w:lineRule="auto"/>
        <w:rPr>
          <w:rFonts w:hint="eastAsia" w:ascii="宋体" w:hAnsi="宋体" w:eastAsia="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"_Toc28830" </w:instrText>
      </w:r>
      <w:r>
        <w:rPr>
          <w:color w:val="auto"/>
          <w:highlight w:val="none"/>
        </w:rPr>
        <w:fldChar w:fldCharType="separate"/>
      </w:r>
      <w:r>
        <w:rPr>
          <w:rFonts w:hint="eastAsia" w:ascii="宋体" w:hAnsi="宋体" w:cs="宋体"/>
          <w:b/>
          <w:bCs/>
          <w:color w:val="auto"/>
          <w:sz w:val="32"/>
          <w:szCs w:val="32"/>
          <w:highlight w:val="none"/>
          <w:lang w:val="zh-CN"/>
        </w:rPr>
        <w:t>第四章</w:t>
      </w:r>
      <w:r>
        <w:rPr>
          <w:rFonts w:hint="eastAsia" w:ascii="宋体" w:hAnsi="宋体" w:cs="宋体"/>
          <w:b/>
          <w:bCs/>
          <w:color w:val="auto"/>
          <w:sz w:val="32"/>
          <w:szCs w:val="32"/>
          <w:highlight w:val="none"/>
        </w:rPr>
        <w:t xml:space="preserve"> 合同</w:t>
      </w:r>
      <w:r>
        <w:rPr>
          <w:rFonts w:hint="eastAsia" w:ascii="宋体" w:hAnsi="宋体" w:cs="宋体"/>
          <w:b/>
          <w:bCs/>
          <w:color w:val="auto"/>
          <w:sz w:val="32"/>
          <w:szCs w:val="32"/>
          <w:highlight w:val="none"/>
          <w:lang w:val="zh-CN"/>
        </w:rPr>
        <w:t>格式</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t>2</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lang w:val="en-US" w:eastAsia="zh-CN"/>
        </w:rPr>
        <w:t>1</w:t>
      </w:r>
    </w:p>
    <w:p>
      <w:pPr>
        <w:pStyle w:val="163"/>
        <w:tabs>
          <w:tab w:val="right" w:leader="dot" w:pos="9071"/>
        </w:tabs>
        <w:spacing w:line="480" w:lineRule="auto"/>
        <w:rPr>
          <w:rFonts w:hint="eastAsia" w:ascii="宋体" w:hAnsi="宋体" w:eastAsia="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"_Toc14912" </w:instrText>
      </w:r>
      <w:r>
        <w:rPr>
          <w:color w:val="auto"/>
          <w:highlight w:val="none"/>
        </w:rPr>
        <w:fldChar w:fldCharType="separate"/>
      </w:r>
      <w:r>
        <w:rPr>
          <w:rFonts w:hint="eastAsia" w:ascii="宋体" w:hAnsi="宋体" w:cs="宋体"/>
          <w:b/>
          <w:bCs/>
          <w:color w:val="auto"/>
          <w:sz w:val="32"/>
          <w:szCs w:val="32"/>
          <w:highlight w:val="none"/>
          <w:lang w:val="zh-CN"/>
        </w:rPr>
        <w:t>第五章</w:t>
      </w:r>
      <w:r>
        <w:rPr>
          <w:rFonts w:hint="eastAsia" w:ascii="宋体" w:hAnsi="宋体" w:cs="宋体"/>
          <w:b/>
          <w:bCs/>
          <w:color w:val="auto"/>
          <w:sz w:val="32"/>
          <w:szCs w:val="32"/>
          <w:highlight w:val="none"/>
        </w:rPr>
        <w:t xml:space="preserve"> </w:t>
      </w:r>
      <w:r>
        <w:rPr>
          <w:rFonts w:hint="eastAsia" w:ascii="宋体" w:hAnsi="宋体" w:cs="宋体"/>
          <w:b/>
          <w:bCs/>
          <w:color w:val="auto"/>
          <w:sz w:val="32"/>
          <w:szCs w:val="32"/>
          <w:highlight w:val="none"/>
          <w:lang w:val="zh-CN"/>
        </w:rPr>
        <w:t>技术标准及服务需求</w:t>
      </w:r>
      <w:r>
        <w:rPr>
          <w:rFonts w:hint="eastAsia" w:ascii="宋体" w:hAnsi="宋体" w:cs="宋体"/>
          <w:b/>
          <w:bCs/>
          <w:color w:val="auto"/>
          <w:sz w:val="32"/>
          <w:szCs w:val="32"/>
          <w:highlight w:val="none"/>
        </w:rPr>
        <w:t xml:space="preserve"> </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t>2</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lang w:val="en-US" w:eastAsia="zh-CN"/>
        </w:rPr>
        <w:t>2</w:t>
      </w:r>
    </w:p>
    <w:p>
      <w:pPr>
        <w:pStyle w:val="163"/>
        <w:tabs>
          <w:tab w:val="right" w:leader="dot" w:pos="9071"/>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"_Toc7033" </w:instrText>
      </w:r>
      <w:r>
        <w:rPr>
          <w:color w:val="auto"/>
          <w:highlight w:val="none"/>
        </w:rPr>
        <w:fldChar w:fldCharType="separate"/>
      </w:r>
      <w:r>
        <w:rPr>
          <w:rFonts w:hint="eastAsia" w:ascii="宋体" w:hAnsi="宋体" w:cs="宋体"/>
          <w:b/>
          <w:bCs/>
          <w:color w:val="auto"/>
          <w:sz w:val="32"/>
          <w:szCs w:val="32"/>
          <w:highlight w:val="none"/>
          <w:lang w:val="en-GB"/>
        </w:rPr>
        <w:t xml:space="preserve">第六章 </w:t>
      </w:r>
      <w:r>
        <w:rPr>
          <w:rFonts w:hint="eastAsia" w:ascii="宋体" w:hAnsi="宋体" w:cs="宋体"/>
          <w:b/>
          <w:bCs/>
          <w:color w:val="auto"/>
          <w:sz w:val="32"/>
          <w:szCs w:val="32"/>
          <w:highlight w:val="none"/>
          <w:lang w:val="zh-CN"/>
        </w:rPr>
        <w:t>响应文件构成、要求及格式</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t>2</w:t>
      </w:r>
      <w:r>
        <w:rPr>
          <w:rFonts w:hint="eastAsia" w:ascii="宋体" w:hAnsi="宋体" w:cs="宋体"/>
          <w:b/>
          <w:bCs/>
          <w:color w:val="auto"/>
          <w:sz w:val="32"/>
          <w:szCs w:val="32"/>
          <w:highlight w:val="none"/>
          <w:lang w:val="en-US" w:eastAsia="zh-CN"/>
        </w:rPr>
        <w:t>7</w:t>
      </w:r>
      <w:r>
        <w:rPr>
          <w:rFonts w:hint="eastAsia" w:ascii="宋体" w:hAnsi="宋体" w:cs="宋体"/>
          <w:b/>
          <w:bCs/>
          <w:color w:val="auto"/>
          <w:sz w:val="32"/>
          <w:szCs w:val="32"/>
          <w:highlight w:val="none"/>
        </w:rPr>
        <w:fldChar w:fldCharType="end"/>
      </w:r>
    </w:p>
    <w:p>
      <w:pPr>
        <w:pStyle w:val="141"/>
        <w:spacing w:line="480" w:lineRule="auto"/>
        <w:jc w:val="both"/>
        <w:rPr>
          <w:rFonts w:hAnsi="宋体"/>
          <w:color w:val="auto"/>
          <w:highlight w:val="none"/>
        </w:rPr>
      </w:pPr>
      <w:r>
        <w:rPr>
          <w:rFonts w:hint="eastAsia" w:hAnsi="宋体"/>
          <w:b/>
          <w:bCs/>
          <w:color w:val="auto"/>
          <w:sz w:val="32"/>
          <w:szCs w:val="32"/>
          <w:highlight w:val="none"/>
        </w:rPr>
        <w:fldChar w:fldCharType="end"/>
      </w:r>
    </w:p>
    <w:p>
      <w:pPr>
        <w:pStyle w:val="141"/>
        <w:jc w:val="both"/>
        <w:rPr>
          <w:rFonts w:hAnsi="宋体"/>
          <w:color w:val="auto"/>
          <w:highlight w:val="none"/>
        </w:rPr>
      </w:pPr>
    </w:p>
    <w:p>
      <w:pPr>
        <w:pStyle w:val="141"/>
        <w:jc w:val="center"/>
        <w:rPr>
          <w:rFonts w:hAnsi="宋体"/>
          <w:color w:val="auto"/>
          <w:highlight w:val="none"/>
        </w:rPr>
      </w:pPr>
    </w:p>
    <w:p>
      <w:pPr>
        <w:pStyle w:val="141"/>
        <w:jc w:val="center"/>
        <w:rPr>
          <w:rFonts w:hAnsi="宋体"/>
          <w:color w:val="auto"/>
          <w:highlight w:val="none"/>
        </w:rPr>
      </w:pPr>
    </w:p>
    <w:p>
      <w:pPr>
        <w:rPr>
          <w:rFonts w:ascii="宋体" w:hAnsi="宋体" w:cs="宋体"/>
          <w:color w:val="auto"/>
          <w:sz w:val="36"/>
          <w:szCs w:val="36"/>
          <w:highlight w:val="none"/>
        </w:rPr>
      </w:pPr>
    </w:p>
    <w:p>
      <w:pPr>
        <w:pStyle w:val="163"/>
        <w:tabs>
          <w:tab w:val="right" w:leader="dot" w:pos="9071"/>
        </w:tabs>
        <w:spacing w:line="720" w:lineRule="auto"/>
        <w:rPr>
          <w:rFonts w:ascii="宋体" w:hAnsi="宋体" w:cs="宋体"/>
          <w:color w:val="auto"/>
          <w:sz w:val="30"/>
          <w:szCs w:val="30"/>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TOC \o "1-1" \h \u </w:instrText>
      </w:r>
      <w:r>
        <w:rPr>
          <w:rFonts w:hint="eastAsia" w:ascii="宋体" w:hAnsi="宋体" w:cs="宋体"/>
          <w:color w:val="auto"/>
          <w:highlight w:val="none"/>
        </w:rPr>
        <w:fldChar w:fldCharType="separate"/>
      </w:r>
    </w:p>
    <w:p>
      <w:pPr>
        <w:pStyle w:val="163"/>
        <w:tabs>
          <w:tab w:val="right" w:leader="dot" w:pos="9071"/>
        </w:tabs>
        <w:spacing w:line="720" w:lineRule="auto"/>
        <w:rPr>
          <w:rFonts w:ascii="宋体" w:hAnsi="宋体" w:cs="宋体"/>
          <w:color w:val="auto"/>
          <w:sz w:val="30"/>
          <w:szCs w:val="30"/>
          <w:highlight w:val="none"/>
        </w:rPr>
      </w:pPr>
    </w:p>
    <w:p>
      <w:pPr>
        <w:pStyle w:val="163"/>
        <w:tabs>
          <w:tab w:val="right" w:leader="dot" w:pos="9071"/>
        </w:tabs>
        <w:rPr>
          <w:rFonts w:ascii="宋体" w:hAnsi="宋体" w:cs="宋体"/>
          <w:color w:val="auto"/>
          <w:highlight w:val="none"/>
        </w:rPr>
      </w:pPr>
    </w:p>
    <w:p>
      <w:pPr>
        <w:pStyle w:val="163"/>
        <w:tabs>
          <w:tab w:val="right" w:leader="dot" w:pos="9071"/>
        </w:tabs>
        <w:rPr>
          <w:rFonts w:ascii="宋体" w:hAnsi="宋体" w:cs="宋体"/>
          <w:color w:val="auto"/>
          <w:highlight w:val="none"/>
        </w:rPr>
      </w:pPr>
    </w:p>
    <w:p>
      <w:pPr>
        <w:pStyle w:val="141"/>
        <w:rPr>
          <w:rFonts w:hAnsi="宋体"/>
          <w:color w:val="auto"/>
          <w:highlight w:val="none"/>
        </w:rPr>
      </w:pPr>
      <w:r>
        <w:rPr>
          <w:rFonts w:hint="eastAsia" w:hAnsi="宋体"/>
          <w:color w:val="auto"/>
          <w:highlight w:val="none"/>
        </w:rPr>
        <w:fldChar w:fldCharType="end"/>
      </w:r>
    </w:p>
    <w:p>
      <w:pPr>
        <w:pStyle w:val="2"/>
        <w:spacing w:after="120" w:line="500" w:lineRule="exact"/>
        <w:rPr>
          <w:rFonts w:ascii="宋体" w:hAnsi="宋体" w:cs="宋体"/>
          <w:color w:val="auto"/>
          <w:highlight w:val="none"/>
        </w:rPr>
        <w:sectPr>
          <w:footerReference r:id="rId6" w:type="default"/>
          <w:pgSz w:w="11905" w:h="16838"/>
          <w:pgMar w:top="1417" w:right="1417" w:bottom="1417" w:left="1417" w:header="850" w:footer="737" w:gutter="0"/>
          <w:pgNumType w:start="1"/>
          <w:cols w:space="720" w:num="1"/>
          <w:docGrid w:linePitch="490" w:charSpace="0"/>
        </w:sectPr>
      </w:pPr>
      <w:bookmarkStart w:id="4" w:name="_Toc29744"/>
    </w:p>
    <w:p>
      <w:pPr>
        <w:pStyle w:val="2"/>
        <w:snapToGrid w:val="0"/>
        <w:spacing w:before="0" w:after="0" w:line="360" w:lineRule="auto"/>
        <w:ind w:firstLine="420"/>
        <w:rPr>
          <w:rFonts w:hint="eastAsia" w:hAnsi="宋体"/>
          <w:color w:val="auto"/>
          <w:kern w:val="2"/>
          <w:highlight w:val="none"/>
          <w:lang w:val="en-US" w:eastAsia="zh-CN"/>
        </w:rPr>
      </w:pPr>
      <w:r>
        <w:rPr>
          <w:rFonts w:hint="eastAsia" w:ascii="宋体" w:hAnsi="宋体" w:cs="宋体"/>
          <w:color w:val="auto"/>
          <w:sz w:val="40"/>
          <w:szCs w:val="40"/>
          <w:highlight w:val="none"/>
        </w:rPr>
        <w:t xml:space="preserve">第一章 </w:t>
      </w:r>
      <w:bookmarkStart w:id="5" w:name="_Toc13391"/>
      <w:bookmarkStart w:id="6" w:name="_Toc29475"/>
      <w:bookmarkStart w:id="7" w:name="_Toc18919"/>
      <w:r>
        <w:rPr>
          <w:rFonts w:hint="eastAsia" w:ascii="宋体" w:hAnsi="宋体" w:cs="宋体"/>
          <w:color w:val="auto"/>
          <w:sz w:val="40"/>
          <w:szCs w:val="40"/>
          <w:highlight w:val="none"/>
        </w:rPr>
        <w:t>竞争性磋商公告</w:t>
      </w:r>
      <w:bookmarkEnd w:id="0"/>
      <w:bookmarkEnd w:id="1"/>
      <w:bookmarkEnd w:id="2"/>
      <w:bookmarkEnd w:id="3"/>
      <w:bookmarkEnd w:id="4"/>
      <w:bookmarkEnd w:id="5"/>
      <w:bookmarkEnd w:id="6"/>
      <w:bookmarkEnd w:id="7"/>
      <w:r>
        <w:rPr>
          <w:rFonts w:hint="eastAsia" w:hAnsi="宋体"/>
          <w:color w:val="auto"/>
          <w:kern w:val="2"/>
          <w:highlight w:val="none"/>
          <w:lang w:val="en-US" w:eastAsia="zh-CN"/>
        </w:rPr>
        <w:t xml:space="preserve">                                     </w:t>
      </w:r>
    </w:p>
    <w:p>
      <w:pPr>
        <w:spacing w:line="360" w:lineRule="auto"/>
        <w:ind w:firstLine="220" w:firstLineChars="1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项目概况</w:t>
      </w:r>
    </w:p>
    <w:p>
      <w:pPr>
        <w:spacing w:line="360" w:lineRule="auto"/>
        <w:ind w:firstLine="660" w:firstLineChars="300"/>
        <w:rPr>
          <w:rFonts w:hAnsi="宋体"/>
          <w:color w:val="auto"/>
          <w:kern w:val="2"/>
          <w:sz w:val="22"/>
          <w:szCs w:val="22"/>
          <w:highlight w:val="none"/>
          <w:lang w:val="en-US"/>
        </w:rPr>
      </w:pPr>
      <w:r>
        <w:rPr>
          <w:rFonts w:hint="eastAsia" w:ascii="宋体" w:hAnsi="宋体" w:cs="宋体"/>
          <w:color w:val="auto"/>
          <w:sz w:val="22"/>
          <w:szCs w:val="22"/>
          <w:highlight w:val="none"/>
          <w:lang w:eastAsia="zh-CN"/>
        </w:rPr>
        <w:t>“畅游中国 美好旅程”2024年“中国旅游日”长春分会场主题活动项目</w:t>
      </w:r>
      <w:r>
        <w:rPr>
          <w:rFonts w:hint="eastAsia" w:ascii="宋体" w:hAnsi="宋体" w:cs="宋体"/>
          <w:color w:val="auto"/>
          <w:sz w:val="22"/>
          <w:szCs w:val="22"/>
          <w:highlight w:val="none"/>
        </w:rPr>
        <w:t>的潜在供应商应自行登录政府采购云平台（网址：https://www.zcygov.cn/）网上注册并下载竞争性磋商文件</w:t>
      </w:r>
      <w:r>
        <w:rPr>
          <w:rFonts w:hint="eastAsia" w:ascii="宋体" w:hAnsi="宋体" w:eastAsia="宋体" w:cs="宋体"/>
          <w:color w:val="auto"/>
          <w:sz w:val="22"/>
          <w:szCs w:val="22"/>
          <w:highlight w:val="none"/>
          <w:lang w:val="en-US" w:eastAsia="zh-CN"/>
        </w:rPr>
        <w:t>，并于</w:t>
      </w:r>
      <w:r>
        <w:rPr>
          <w:rFonts w:hint="eastAsia" w:ascii="宋体" w:hAnsi="宋体" w:cs="宋体"/>
          <w:color w:val="auto"/>
          <w:sz w:val="22"/>
          <w:szCs w:val="22"/>
          <w:highlight w:val="none"/>
          <w:lang w:val="en-US" w:eastAsia="zh-CN"/>
        </w:rPr>
        <w:t>2024年05月17日13时00分</w:t>
      </w:r>
      <w:r>
        <w:rPr>
          <w:rFonts w:hint="eastAsia" w:ascii="宋体" w:hAnsi="宋体" w:eastAsia="宋体" w:cs="宋体"/>
          <w:color w:val="auto"/>
          <w:sz w:val="22"/>
          <w:szCs w:val="22"/>
          <w:highlight w:val="none"/>
          <w:lang w:val="en-US" w:eastAsia="zh-CN"/>
        </w:rPr>
        <w:t>（北京时间）前提交响应文件。</w:t>
      </w:r>
    </w:p>
    <w:p>
      <w:pPr>
        <w:pStyle w:val="141"/>
        <w:spacing w:line="400" w:lineRule="exact"/>
        <w:ind w:firstLine="442" w:firstLineChars="200"/>
        <w:rPr>
          <w:rFonts w:hAnsi="宋体"/>
          <w:b/>
          <w:bCs/>
          <w:color w:val="auto"/>
          <w:kern w:val="2"/>
          <w:sz w:val="22"/>
          <w:szCs w:val="22"/>
          <w:highlight w:val="none"/>
          <w:lang w:val="en-US"/>
        </w:rPr>
      </w:pPr>
      <w:r>
        <w:rPr>
          <w:rFonts w:hint="eastAsia" w:hAnsi="宋体"/>
          <w:b/>
          <w:bCs/>
          <w:color w:val="auto"/>
          <w:kern w:val="2"/>
          <w:sz w:val="22"/>
          <w:szCs w:val="22"/>
          <w:highlight w:val="none"/>
          <w:lang w:eastAsia="zh-CN"/>
        </w:rPr>
        <w:t xml:space="preserve">一、采购项目基本信息 </w:t>
      </w:r>
    </w:p>
    <w:p>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1.采购项目编号：</w:t>
      </w:r>
      <w:r>
        <w:rPr>
          <w:rFonts w:hint="eastAsia" w:hAnsi="宋体" w:cs="宋体"/>
          <w:color w:val="auto"/>
          <w:kern w:val="2"/>
          <w:sz w:val="21"/>
          <w:szCs w:val="21"/>
          <w:highlight w:val="none"/>
          <w:lang w:val="en-US" w:eastAsia="zh-CN"/>
        </w:rPr>
        <w:t>JM-2024-04-00442（CCZH2024-001）</w:t>
      </w:r>
    </w:p>
    <w:p>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2.采购项目名称：</w:t>
      </w:r>
      <w:r>
        <w:rPr>
          <w:rFonts w:hint="eastAsia" w:hAnsi="宋体" w:cs="宋体"/>
          <w:color w:val="auto"/>
          <w:kern w:val="2"/>
          <w:sz w:val="22"/>
          <w:szCs w:val="22"/>
          <w:highlight w:val="none"/>
          <w:lang w:val="en-US" w:eastAsia="zh-CN" w:bidi="ar-SA"/>
        </w:rPr>
        <w:t>“畅游中国 美好旅程”2024年“中国旅游日”长春分会场主题活动项目</w:t>
      </w:r>
      <w:r>
        <w:rPr>
          <w:rFonts w:hint="eastAsia" w:ascii="宋体" w:hAnsi="宋体" w:eastAsia="宋体" w:cs="宋体"/>
          <w:color w:val="auto"/>
          <w:kern w:val="2"/>
          <w:sz w:val="22"/>
          <w:szCs w:val="22"/>
          <w:highlight w:val="none"/>
          <w:lang w:val="en-US" w:eastAsia="zh-CN" w:bidi="ar-SA"/>
        </w:rPr>
        <w:t xml:space="preserve"> </w:t>
      </w:r>
    </w:p>
    <w:p>
      <w:pPr>
        <w:pStyle w:val="141"/>
        <w:spacing w:line="400" w:lineRule="exact"/>
        <w:ind w:firstLine="440" w:firstLineChars="200"/>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3.项目预算及最高限价：</w:t>
      </w:r>
      <w:r>
        <w:rPr>
          <w:rFonts w:hint="eastAsia" w:hAnsi="宋体" w:cs="宋体"/>
          <w:color w:val="auto"/>
          <w:kern w:val="2"/>
          <w:sz w:val="22"/>
          <w:szCs w:val="22"/>
          <w:highlight w:val="none"/>
          <w:lang w:val="en-US" w:eastAsia="zh-CN" w:bidi="ar-SA"/>
        </w:rPr>
        <w:t>30万</w:t>
      </w:r>
    </w:p>
    <w:p>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4.采购方式：竞争性磋商</w:t>
      </w:r>
    </w:p>
    <w:p>
      <w:pPr>
        <w:pStyle w:val="141"/>
        <w:spacing w:line="400" w:lineRule="exact"/>
        <w:ind w:firstLine="440" w:firstLineChars="200"/>
        <w:rPr>
          <w:rFonts w:hint="eastAsia" w:ascii="宋体" w:hAnsi="宋体" w:eastAsia="宋体" w:cs="宋体"/>
          <w:color w:val="auto"/>
          <w:kern w:val="2"/>
          <w:sz w:val="22"/>
          <w:szCs w:val="22"/>
          <w:highlight w:val="none"/>
          <w:lang w:val="zh-CN" w:eastAsia="zh-CN"/>
        </w:rPr>
      </w:pP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.合同履行期限：</w:t>
      </w:r>
      <w:r>
        <w:rPr>
          <w:rFonts w:hint="eastAsia" w:hAnsi="宋体" w:cs="宋体"/>
          <w:color w:val="auto"/>
          <w:kern w:val="2"/>
          <w:sz w:val="22"/>
          <w:szCs w:val="22"/>
          <w:highlight w:val="none"/>
          <w:lang w:val="zh-CN" w:eastAsia="zh-CN"/>
        </w:rPr>
        <w:t>按照合同约定期限执行</w:t>
      </w:r>
    </w:p>
    <w:p>
      <w:pPr>
        <w:pStyle w:val="141"/>
        <w:spacing w:line="400" w:lineRule="exact"/>
        <w:ind w:firstLine="440" w:firstLineChars="200"/>
        <w:rPr>
          <w:rFonts w:hint="eastAsia" w:ascii="宋体" w:hAnsi="宋体" w:eastAsia="宋体" w:cs="宋体"/>
          <w:b/>
          <w:bCs/>
          <w:color w:val="auto"/>
          <w:sz w:val="22"/>
          <w:szCs w:val="22"/>
          <w:highlight w:val="none"/>
          <w:lang w:val="en-US" w:eastAsia="zh-CN"/>
        </w:rPr>
      </w:pPr>
      <w:r>
        <w:rPr>
          <w:rFonts w:hint="eastAsia" w:hAnsi="宋体"/>
          <w:color w:val="auto"/>
          <w:kern w:val="2"/>
          <w:sz w:val="22"/>
          <w:szCs w:val="22"/>
          <w:highlight w:val="none"/>
          <w:lang w:val="en-US" w:eastAsia="zh-CN"/>
        </w:rPr>
        <w:t>6.采购需求</w:t>
      </w:r>
      <w:r>
        <w:rPr>
          <w:rFonts w:hint="eastAsia" w:ascii="宋体" w:hAnsi="宋体" w:eastAsia="宋体" w:cs="宋体"/>
          <w:color w:val="auto"/>
          <w:kern w:val="2"/>
          <w:sz w:val="22"/>
          <w:szCs w:val="22"/>
          <w:highlight w:val="none"/>
          <w:lang w:val="en-US" w:eastAsia="zh-CN" w:bidi="ar-SA"/>
        </w:rPr>
        <w:t>：</w:t>
      </w:r>
      <w:r>
        <w:rPr>
          <w:rFonts w:hint="eastAsia" w:hAnsi="宋体" w:cs="宋体"/>
          <w:color w:val="auto"/>
          <w:kern w:val="2"/>
          <w:sz w:val="22"/>
          <w:szCs w:val="22"/>
          <w:highlight w:val="none"/>
          <w:lang w:val="en-US" w:eastAsia="zh-CN" w:bidi="ar-SA"/>
        </w:rPr>
        <w:t>供应商负责活动的策划设计、舞台搭建、环境布置、节目演出、视频制作、场地协调、组织执行、活动保障等各项工作。</w:t>
      </w:r>
      <w:r>
        <w:rPr>
          <w:rFonts w:hint="eastAsia" w:ascii="宋体" w:hAnsi="宋体" w:eastAsia="宋体" w:cs="宋体"/>
          <w:color w:val="auto"/>
          <w:kern w:val="2"/>
          <w:sz w:val="22"/>
          <w:szCs w:val="22"/>
          <w:highlight w:val="none"/>
          <w:lang w:val="en-US" w:eastAsia="zh-CN" w:bidi="ar-SA"/>
        </w:rPr>
        <w:t>（</w:t>
      </w:r>
      <w:r>
        <w:rPr>
          <w:rFonts w:hint="eastAsia" w:hAnsi="宋体" w:cs="宋体"/>
          <w:color w:val="auto"/>
          <w:kern w:val="2"/>
          <w:sz w:val="22"/>
          <w:szCs w:val="22"/>
          <w:highlight w:val="none"/>
          <w:lang w:val="en-US" w:eastAsia="zh-CN" w:bidi="ar-SA"/>
        </w:rPr>
        <w:t>具体详见“技术标准及服务需求”</w:t>
      </w:r>
      <w:r>
        <w:rPr>
          <w:rFonts w:hint="eastAsia" w:ascii="宋体" w:hAnsi="宋体" w:eastAsia="宋体" w:cs="宋体"/>
          <w:color w:val="auto"/>
          <w:kern w:val="2"/>
          <w:sz w:val="22"/>
          <w:szCs w:val="22"/>
          <w:highlight w:val="none"/>
          <w:lang w:val="en-US" w:eastAsia="zh-CN" w:bidi="ar-SA"/>
        </w:rPr>
        <w:t xml:space="preserve">） </w:t>
      </w:r>
    </w:p>
    <w:p>
      <w:pPr>
        <w:pStyle w:val="141"/>
        <w:spacing w:line="400" w:lineRule="exact"/>
        <w:ind w:firstLine="442" w:firstLineChars="200"/>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二、申请人的资格要求</w:t>
      </w:r>
    </w:p>
    <w:p>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1.满足《中华人民共和国政府采购法》第二十二条规定。</w:t>
      </w:r>
    </w:p>
    <w:p>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2.落实政府采购政策需满足的资格要求：本项目为专门面向中小企业采购项目。</w:t>
      </w:r>
    </w:p>
    <w:p>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政府采购强制、优先采购节能产品政策；政府采购优先采购环保产品政策；政府采购促进中小企业发展（监狱企业、残疾人福利性单位视同小微企业）政策。 </w:t>
      </w:r>
    </w:p>
    <w:p>
      <w:pPr>
        <w:pStyle w:val="141"/>
        <w:spacing w:line="400" w:lineRule="exact"/>
        <w:ind w:firstLine="442" w:firstLineChars="200"/>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3.本项目的特定资格要求：</w:t>
      </w:r>
    </w:p>
    <w:p>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（1）投标人应在中华人民共和国注册具有独立法人资格或其他组织，具有有效的营业执照且具有独立承担民事责任和履行合同所必需的设备和专业技术能力。</w:t>
      </w:r>
    </w:p>
    <w:p>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r>
        <w:rPr>
          <w:rFonts w:hint="eastAsia"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w:t>
      </w:r>
      <w:r>
        <w:rPr>
          <w:rFonts w:hint="eastAsia" w:hAnsi="宋体" w:cs="宋体"/>
          <w:color w:val="auto"/>
          <w:sz w:val="22"/>
          <w:szCs w:val="22"/>
          <w:highlight w:val="none"/>
          <w:lang w:val="en-US" w:eastAsia="zh-CN"/>
        </w:rPr>
        <w:t>具有良好的商业信誉和健全的财务会计制度，依法缴纳税收和社会保障资金的良好记录，根据[长财采购[2022]2066号文件]关于加强政府采购信用体系建设简化供应商资格条件有关事项的通知提供资格条件承诺函</w:t>
      </w:r>
      <w:r>
        <w:rPr>
          <w:rFonts w:hint="eastAsia" w:ascii="宋体" w:hAnsi="宋体" w:eastAsia="宋体" w:cs="宋体"/>
          <w:color w:val="auto"/>
          <w:sz w:val="22"/>
          <w:szCs w:val="22"/>
          <w:highlight w:val="none"/>
          <w:lang w:val="en-US" w:eastAsia="zh-CN"/>
        </w:rPr>
        <w:t>(长财采购[2022]2066号)文件要求执行，</w:t>
      </w:r>
      <w:r>
        <w:rPr>
          <w:rFonts w:hint="eastAsia" w:ascii="宋体" w:hAnsi="宋体" w:eastAsia="宋体" w:cs="宋体"/>
          <w:color w:val="auto"/>
          <w:sz w:val="22"/>
          <w:szCs w:val="22"/>
          <w:highlight w:val="none"/>
        </w:rPr>
        <w:t>提供资格条件承诺函</w:t>
      </w:r>
      <w:r>
        <w:rPr>
          <w:rFonts w:hint="eastAsia" w:ascii="宋体" w:hAnsi="宋体" w:eastAsia="宋体" w:cs="宋体"/>
          <w:color w:val="auto"/>
          <w:sz w:val="22"/>
          <w:szCs w:val="22"/>
          <w:highlight w:val="none"/>
          <w:lang w:val="en-US" w:eastAsia="zh-CN"/>
        </w:rPr>
        <w:t>。</w:t>
      </w:r>
    </w:p>
    <w:p>
      <w:pPr>
        <w:pStyle w:val="141"/>
        <w:spacing w:line="400" w:lineRule="exact"/>
        <w:ind w:firstLine="440" w:firstLineChars="200"/>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r>
        <w:rPr>
          <w:rFonts w:hint="eastAsia"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sz w:val="22"/>
          <w:szCs w:val="22"/>
          <w:highlight w:val="none"/>
        </w:rPr>
        <w:t>信誉要求：</w:t>
      </w:r>
      <w:r>
        <w:rPr>
          <w:rFonts w:hint="eastAsia" w:hAnsi="宋体" w:cs="宋体"/>
          <w:color w:val="auto"/>
          <w:sz w:val="22"/>
          <w:szCs w:val="22"/>
          <w:highlight w:val="none"/>
          <w:lang w:eastAsia="zh-CN"/>
        </w:rPr>
        <w:t>2021年1月1日</w:t>
      </w:r>
      <w:r>
        <w:rPr>
          <w:rFonts w:hint="eastAsia" w:ascii="宋体" w:hAnsi="宋体" w:cs="宋体"/>
          <w:color w:val="auto"/>
          <w:sz w:val="22"/>
          <w:szCs w:val="22"/>
          <w:highlight w:val="none"/>
        </w:rPr>
        <w:t>至今无行贿犯罪及不良行为记录；“中国裁判文书网”网站（https://wenshu.court.gov.cn/）上无行贿犯罪记录；“信用中国”网站（www.creditchina.gov.cn）未列入①失信被执行人及②重大税收违法失信主体名单；国家企业信用信息公示系统（http://www.gsxt.gov.cn/index.html）未列入严重违法失信企业名单及中国政府采购网（http://www.ccgp.gov.cn/search/cr/）未列入政府采购严重违法失信行为记录名单</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以上均须提供截图。</w:t>
      </w:r>
    </w:p>
    <w:p>
      <w:pPr>
        <w:pStyle w:val="141"/>
        <w:spacing w:line="400" w:lineRule="exact"/>
        <w:ind w:firstLine="440" w:firstLineChars="200"/>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r>
        <w:rPr>
          <w:rFonts w:hint="eastAsia" w:hAnsi="宋体" w:cs="宋体"/>
          <w:color w:val="auto"/>
          <w:kern w:val="2"/>
          <w:sz w:val="22"/>
          <w:szCs w:val="22"/>
          <w:highlight w:val="none"/>
          <w:lang w:val="en-US" w:eastAsia="zh-CN" w:bidi="ar-SA"/>
        </w:rPr>
        <w:t>4</w:t>
      </w: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sz w:val="22"/>
          <w:szCs w:val="22"/>
          <w:highlight w:val="none"/>
        </w:rPr>
        <w:t>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w:t>
      </w:r>
      <w:r>
        <w:rPr>
          <w:rFonts w:hint="eastAsia" w:hAnsi="宋体" w:cs="宋体"/>
          <w:color w:val="auto"/>
          <w:sz w:val="22"/>
          <w:szCs w:val="22"/>
          <w:highlight w:val="none"/>
          <w:lang w:val="en-US" w:eastAsia="zh-CN"/>
        </w:rPr>
        <w:t>提供企业承诺书。</w:t>
      </w:r>
    </w:p>
    <w:p>
      <w:pPr>
        <w:pStyle w:val="141"/>
        <w:spacing w:line="400" w:lineRule="exact"/>
        <w:ind w:firstLine="440" w:firstLineChars="200"/>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r>
        <w:rPr>
          <w:rFonts w:hint="eastAsia"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）本项目不接受联合体。</w:t>
      </w:r>
    </w:p>
    <w:p>
      <w:p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三、获取磋商文件</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时间：</w:t>
      </w:r>
      <w:r>
        <w:rPr>
          <w:rFonts w:hint="eastAsia" w:ascii="宋体" w:hAnsi="宋体" w:eastAsia="宋体" w:cs="宋体"/>
          <w:color w:val="auto"/>
          <w:sz w:val="22"/>
          <w:szCs w:val="22"/>
          <w:highlight w:val="none"/>
          <w:lang w:val="en-US" w:eastAsia="zh-CN"/>
        </w:rPr>
        <w:t>202</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年</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月</w:t>
      </w:r>
      <w:r>
        <w:rPr>
          <w:rFonts w:hint="eastAsia" w:ascii="宋体" w:hAnsi="宋体" w:cs="宋体"/>
          <w:color w:val="auto"/>
          <w:sz w:val="22"/>
          <w:szCs w:val="22"/>
          <w:highlight w:val="none"/>
          <w:lang w:val="en-US" w:eastAsia="zh-CN"/>
        </w:rPr>
        <w:t>07</w:t>
      </w:r>
      <w:r>
        <w:rPr>
          <w:rFonts w:hint="eastAsia" w:ascii="宋体" w:hAnsi="宋体" w:eastAsia="宋体" w:cs="宋体"/>
          <w:color w:val="auto"/>
          <w:sz w:val="22"/>
          <w:szCs w:val="22"/>
          <w:highlight w:val="none"/>
          <w:lang w:val="en-US" w:eastAsia="zh-CN"/>
        </w:rPr>
        <w:t>日上午8：30起至202</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年</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月</w:t>
      </w:r>
      <w:r>
        <w:rPr>
          <w:rFonts w:hint="eastAsia" w:ascii="宋体" w:hAnsi="宋体" w:cs="宋体"/>
          <w:color w:val="auto"/>
          <w:sz w:val="22"/>
          <w:szCs w:val="22"/>
          <w:highlight w:val="none"/>
          <w:lang w:val="en-US" w:eastAsia="zh-CN"/>
        </w:rPr>
        <w:t>13</w:t>
      </w:r>
      <w:r>
        <w:rPr>
          <w:rFonts w:hint="eastAsia" w:ascii="宋体" w:hAnsi="宋体" w:eastAsia="宋体" w:cs="宋体"/>
          <w:color w:val="auto"/>
          <w:sz w:val="22"/>
          <w:szCs w:val="22"/>
          <w:highlight w:val="none"/>
          <w:lang w:val="en-US" w:eastAsia="zh-CN"/>
        </w:rPr>
        <w:t>日下午16：00止</w:t>
      </w:r>
      <w:r>
        <w:rPr>
          <w:rFonts w:hint="eastAsia" w:ascii="宋体" w:hAnsi="宋体" w:eastAsia="宋体" w:cs="宋体"/>
          <w:color w:val="auto"/>
          <w:sz w:val="22"/>
          <w:szCs w:val="22"/>
          <w:highlight w:val="none"/>
        </w:rPr>
        <w:t>。</w:t>
      </w:r>
    </w:p>
    <w:p>
      <w:pPr>
        <w:spacing w:line="360" w:lineRule="auto"/>
        <w:ind w:firstLine="440" w:firstLineChars="200"/>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t>2.方式：</w:t>
      </w:r>
      <w:r>
        <w:rPr>
          <w:rFonts w:hint="eastAsia" w:ascii="宋体" w:hAnsi="宋体" w:cs="宋体"/>
          <w:color w:val="auto"/>
          <w:sz w:val="22"/>
          <w:szCs w:val="22"/>
          <w:highlight w:val="none"/>
        </w:rPr>
        <w:t>政采云平台线上获取。供应商自行登录政府采购云平台（网址：http://www.zcygov.cn）注册（https://middle.zcygov.cn/v-settle-front/registry）并下载竞争性磋商文件，其他途径获取的竞争性磋商文件开标时一律按无效投标处理。</w:t>
      </w:r>
    </w:p>
    <w:p>
      <w:pPr>
        <w:spacing w:line="360" w:lineRule="auto"/>
        <w:ind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线上获取</w:t>
      </w:r>
      <w:r>
        <w:rPr>
          <w:rFonts w:hint="eastAsia" w:ascii="宋体" w:hAnsi="宋体" w:cs="宋体"/>
          <w:color w:val="auto"/>
          <w:sz w:val="22"/>
          <w:szCs w:val="22"/>
          <w:highlight w:val="none"/>
          <w:lang w:val="en-US" w:eastAsia="zh-CN"/>
        </w:rPr>
        <w:t>须将以下材料扫描PDF上传至</w:t>
      </w:r>
      <w:r>
        <w:rPr>
          <w:rFonts w:hint="eastAsia" w:ascii="宋体" w:hAnsi="宋体" w:cs="宋体"/>
          <w:color w:val="auto"/>
          <w:sz w:val="22"/>
          <w:szCs w:val="22"/>
          <w:highlight w:val="none"/>
        </w:rPr>
        <w:t>政采云平台</w:t>
      </w:r>
      <w:r>
        <w:rPr>
          <w:rFonts w:hint="eastAsia" w:ascii="宋体" w:hAnsi="宋体" w:cs="宋体"/>
          <w:color w:val="auto"/>
          <w:sz w:val="22"/>
          <w:szCs w:val="22"/>
          <w:highlight w:val="none"/>
          <w:lang w:val="en-US" w:eastAsia="zh-CN"/>
        </w:rPr>
        <w:t>审核：</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（1）企业营业执照副本原件及复印件加盖公章；</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（2）法人授权委托书原件加盖公章（附法人及被授权人身份证）；</w:t>
      </w:r>
    </w:p>
    <w:p>
      <w:pPr>
        <w:spacing w:line="360" w:lineRule="auto"/>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（3）提供本公告</w:t>
      </w:r>
      <w:r>
        <w:rPr>
          <w:rFonts w:hint="eastAsia" w:ascii="宋体" w:hAnsi="宋体" w:eastAsia="宋体" w:cs="宋体"/>
          <w:b/>
          <w:bCs/>
          <w:color w:val="auto"/>
          <w:sz w:val="22"/>
          <w:szCs w:val="22"/>
          <w:highlight w:val="none"/>
          <w:lang w:val="en-US" w:eastAsia="zh-CN"/>
        </w:rPr>
        <w:t>3.本项目的特定资格要求：</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）证明材料并加盖公章。</w:t>
      </w:r>
    </w:p>
    <w:p>
      <w:p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四、响应文件的递交</w:t>
      </w:r>
    </w:p>
    <w:p>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1.截止时间：</w:t>
      </w:r>
      <w:r>
        <w:rPr>
          <w:rFonts w:hint="eastAsia" w:ascii="宋体" w:hAnsi="宋体" w:cs="宋体"/>
          <w:color w:val="auto"/>
          <w:kern w:val="2"/>
          <w:sz w:val="22"/>
          <w:szCs w:val="22"/>
          <w:highlight w:val="none"/>
          <w:lang w:val="en-US" w:eastAsia="zh-CN" w:bidi="ar-SA"/>
        </w:rPr>
        <w:t>2024年05月17日13时00分</w:t>
      </w:r>
      <w:r>
        <w:rPr>
          <w:rFonts w:hint="eastAsia" w:ascii="宋体" w:hAnsi="宋体" w:eastAsia="宋体" w:cs="宋体"/>
          <w:color w:val="auto"/>
          <w:kern w:val="2"/>
          <w:sz w:val="22"/>
          <w:szCs w:val="22"/>
          <w:highlight w:val="none"/>
          <w:lang w:val="en-US" w:eastAsia="zh-CN" w:bidi="ar-SA"/>
        </w:rPr>
        <w:t>（北京时间）</w:t>
      </w:r>
    </w:p>
    <w:p>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2.地点：长春市二道区洋浦大街6999号凯利中心AB栋</w:t>
      </w:r>
      <w:r>
        <w:rPr>
          <w:rFonts w:hint="eastAsia" w:ascii="宋体" w:hAnsi="宋体" w:cs="宋体"/>
          <w:color w:val="auto"/>
          <w:kern w:val="2"/>
          <w:sz w:val="22"/>
          <w:szCs w:val="22"/>
          <w:highlight w:val="none"/>
          <w:lang w:val="en-US" w:eastAsia="zh-CN" w:bidi="ar-SA"/>
        </w:rPr>
        <w:t>开标四室</w:t>
      </w:r>
    </w:p>
    <w:p>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3.响应文件提交方式：本项目为全流程电子化项目，通过“政采云”平台</w:t>
      </w:r>
    </w:p>
    <w:p>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4.电子响应文件解密期限及方式：开启时间后30分钟内，由供应商持制作该电子响应文件的同一数字证书（CA锁）及电脑自行进行远程解密。</w:t>
      </w:r>
    </w:p>
    <w:p>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5..CA锁办理网址：请供应商自行办理CA锁，网址链接http://www.anxinca.com/kehu/zcy/kh-zcy-zsshenqing.html；办理联系方式：95763。</w:t>
      </w:r>
    </w:p>
    <w:p>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    6.收到 CA锁以后在“政采云”登陆界面，点击 CA 登录-CA 驱动下载-下载并安装政采云投标客户端和安信CA驱动，账号绑定CA后才能进行报价文件制作。</w:t>
      </w:r>
    </w:p>
    <w:p>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    7.未进行网上注册并办理 CA 认证的响应人将无法参与本次采购活动。数字证书办理时限为3-5个工作日，响应人须自行考虑办理时间，由于响应人自身原因在开启前无法完成办理，后果自负。</w:t>
      </w:r>
    </w:p>
    <w:p>
      <w:p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五、开启</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1.时间：</w:t>
      </w:r>
      <w:r>
        <w:rPr>
          <w:rFonts w:hint="eastAsia" w:ascii="宋体" w:hAnsi="宋体" w:cs="宋体"/>
          <w:color w:val="auto"/>
          <w:sz w:val="22"/>
          <w:szCs w:val="22"/>
          <w:highlight w:val="none"/>
          <w:lang w:val="en-US" w:eastAsia="zh-CN"/>
        </w:rPr>
        <w:t>2024年05月17日13时00分</w:t>
      </w:r>
      <w:r>
        <w:rPr>
          <w:rFonts w:hint="eastAsia" w:ascii="宋体" w:hAnsi="宋体" w:eastAsia="宋体" w:cs="宋体"/>
          <w:color w:val="auto"/>
          <w:sz w:val="22"/>
          <w:szCs w:val="22"/>
          <w:highlight w:val="none"/>
          <w:lang w:val="en-US" w:eastAsia="zh-CN"/>
        </w:rPr>
        <w:t>（北京时间）</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kern w:val="2"/>
          <w:sz w:val="22"/>
          <w:szCs w:val="22"/>
          <w:highlight w:val="none"/>
          <w:lang w:val="en-US" w:eastAsia="zh-CN" w:bidi="ar-SA"/>
        </w:rPr>
        <w:t>地点：</w:t>
      </w:r>
      <w:r>
        <w:rPr>
          <w:rFonts w:hint="eastAsia" w:ascii="宋体" w:hAnsi="宋体" w:cs="宋体"/>
          <w:color w:val="auto"/>
          <w:kern w:val="2"/>
          <w:sz w:val="22"/>
          <w:szCs w:val="22"/>
          <w:highlight w:val="none"/>
          <w:lang w:val="en-US" w:eastAsia="zh-CN" w:bidi="ar-SA"/>
        </w:rPr>
        <w:t>长春市二道区洋浦大街6999号凯利中心AB栋开标四室</w:t>
      </w:r>
      <w:r>
        <w:rPr>
          <w:rFonts w:hint="eastAsia" w:ascii="宋体" w:hAnsi="宋体" w:eastAsia="宋体" w:cs="宋体"/>
          <w:color w:val="auto"/>
          <w:sz w:val="22"/>
          <w:szCs w:val="22"/>
          <w:highlight w:val="none"/>
          <w:lang w:val="en-US" w:eastAsia="zh-CN"/>
        </w:rPr>
        <w:t>。</w:t>
      </w:r>
    </w:p>
    <w:p>
      <w:p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六、公告期限</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自本公告发布之日起5个工作日。</w:t>
      </w:r>
    </w:p>
    <w:p>
      <w:pPr>
        <w:spacing w:line="360" w:lineRule="auto"/>
        <w:ind w:firstLine="442"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七、其他补充事宜</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本次招标公告同时在长春市公共资源交易网、</w:t>
      </w:r>
      <w:r>
        <w:rPr>
          <w:rFonts w:hint="eastAsia" w:ascii="宋体" w:hAnsi="宋体" w:cs="宋体"/>
          <w:color w:val="auto"/>
          <w:sz w:val="22"/>
          <w:szCs w:val="22"/>
          <w:highlight w:val="none"/>
          <w:lang w:val="en-US" w:eastAsia="zh-CN"/>
        </w:rPr>
        <w:t>中国</w:t>
      </w:r>
      <w:r>
        <w:rPr>
          <w:rFonts w:hint="eastAsia" w:ascii="宋体" w:hAnsi="宋体" w:eastAsia="宋体" w:cs="宋体"/>
          <w:color w:val="auto"/>
          <w:sz w:val="22"/>
          <w:szCs w:val="22"/>
          <w:highlight w:val="none"/>
          <w:lang w:val="en-US" w:eastAsia="zh-CN"/>
        </w:rPr>
        <w:t>政府采购网上发布</w:t>
      </w:r>
    </w:p>
    <w:p>
      <w:p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八、凡对本次采购提出询问，请按以下方式联系。</w:t>
      </w:r>
    </w:p>
    <w:p>
      <w:pPr>
        <w:pStyle w:val="141"/>
        <w:spacing w:line="400" w:lineRule="exact"/>
        <w:ind w:firstLine="440" w:firstLineChars="200"/>
        <w:rPr>
          <w:rFonts w:hint="eastAsia" w:hAnsi="宋体"/>
          <w:color w:val="auto"/>
          <w:kern w:val="2"/>
          <w:sz w:val="22"/>
          <w:szCs w:val="22"/>
          <w:highlight w:val="none"/>
          <w:lang w:val="en-US"/>
        </w:rPr>
      </w:pPr>
      <w:r>
        <w:rPr>
          <w:rFonts w:hint="eastAsia" w:hAnsi="宋体"/>
          <w:color w:val="auto"/>
          <w:kern w:val="2"/>
          <w:sz w:val="22"/>
          <w:szCs w:val="22"/>
          <w:highlight w:val="none"/>
          <w:lang w:val="en-US"/>
        </w:rPr>
        <w:t>1.</w:t>
      </w:r>
      <w:r>
        <w:rPr>
          <w:rFonts w:hint="eastAsia" w:hAnsi="宋体"/>
          <w:color w:val="auto"/>
          <w:kern w:val="2"/>
          <w:sz w:val="22"/>
          <w:szCs w:val="22"/>
          <w:highlight w:val="none"/>
          <w:lang w:eastAsia="zh-CN"/>
        </w:rPr>
        <w:t xml:space="preserve">采购人：长春市文化广播电视和旅游局（长春市文物局） </w:t>
      </w:r>
    </w:p>
    <w:p>
      <w:pPr>
        <w:pStyle w:val="141"/>
        <w:spacing w:line="400" w:lineRule="exact"/>
        <w:ind w:firstLine="440" w:firstLineChars="200"/>
        <w:rPr>
          <w:rFonts w:hint="eastAsia" w:hAnsi="宋体" w:eastAsia="宋体"/>
          <w:color w:val="auto"/>
          <w:kern w:val="2"/>
          <w:sz w:val="22"/>
          <w:szCs w:val="22"/>
          <w:highlight w:val="none"/>
          <w:lang w:val="en-US" w:eastAsia="zh-CN"/>
        </w:rPr>
      </w:pPr>
      <w:r>
        <w:rPr>
          <w:rFonts w:hint="eastAsia" w:hAnsi="宋体"/>
          <w:color w:val="auto"/>
          <w:kern w:val="2"/>
          <w:sz w:val="22"/>
          <w:szCs w:val="22"/>
          <w:highlight w:val="none"/>
          <w:lang w:eastAsia="zh-CN"/>
        </w:rPr>
        <w:t>统一</w:t>
      </w:r>
      <w:r>
        <w:rPr>
          <w:rFonts w:hint="eastAsia" w:hAnsi="宋体"/>
          <w:color w:val="auto"/>
          <w:kern w:val="2"/>
          <w:sz w:val="22"/>
          <w:szCs w:val="22"/>
          <w:highlight w:val="none"/>
          <w:lang w:val="en-US" w:eastAsia="zh-CN"/>
        </w:rPr>
        <w:t>社会信用</w:t>
      </w:r>
      <w:r>
        <w:rPr>
          <w:rFonts w:hint="eastAsia" w:hAnsi="宋体"/>
          <w:color w:val="auto"/>
          <w:kern w:val="2"/>
          <w:sz w:val="22"/>
          <w:szCs w:val="22"/>
          <w:highlight w:val="none"/>
          <w:lang w:eastAsia="zh-CN"/>
        </w:rPr>
        <w:t>代码：</w:t>
      </w:r>
      <w:r>
        <w:rPr>
          <w:rFonts w:hint="eastAsia" w:hAnsi="宋体"/>
          <w:color w:val="auto"/>
          <w:kern w:val="2"/>
          <w:sz w:val="22"/>
          <w:szCs w:val="22"/>
          <w:highlight w:val="none"/>
          <w:lang w:val="en-US" w:eastAsia="zh-CN"/>
        </w:rPr>
        <w:t>11220100MB1975969Q</w:t>
      </w:r>
    </w:p>
    <w:p>
      <w:pPr>
        <w:pStyle w:val="141"/>
        <w:spacing w:line="400" w:lineRule="exact"/>
        <w:ind w:firstLine="440" w:firstLineChars="200"/>
        <w:rPr>
          <w:rFonts w:hint="eastAsia" w:hAnsi="宋体"/>
          <w:color w:val="auto"/>
          <w:kern w:val="2"/>
          <w:sz w:val="22"/>
          <w:szCs w:val="22"/>
          <w:highlight w:val="none"/>
          <w:lang w:eastAsia="zh-CN"/>
        </w:rPr>
      </w:pPr>
      <w:r>
        <w:rPr>
          <w:rFonts w:hint="eastAsia" w:hAnsi="宋体"/>
          <w:color w:val="auto"/>
          <w:kern w:val="2"/>
          <w:sz w:val="22"/>
          <w:szCs w:val="22"/>
          <w:highlight w:val="none"/>
          <w:lang w:eastAsia="zh-CN"/>
        </w:rPr>
        <w:t>联系人：</w:t>
      </w:r>
      <w:r>
        <w:rPr>
          <w:rFonts w:hint="eastAsia" w:hAnsi="宋体"/>
          <w:color w:val="auto"/>
          <w:kern w:val="2"/>
          <w:sz w:val="22"/>
          <w:szCs w:val="22"/>
          <w:highlight w:val="none"/>
          <w:lang w:val="en-US" w:eastAsia="zh-CN"/>
        </w:rPr>
        <w:t>孙宏宇</w:t>
      </w:r>
    </w:p>
    <w:p>
      <w:pPr>
        <w:pStyle w:val="141"/>
        <w:spacing w:line="400" w:lineRule="exact"/>
        <w:ind w:firstLine="440" w:firstLineChars="200"/>
        <w:rPr>
          <w:rFonts w:hint="default" w:hAnsi="宋体"/>
          <w:color w:val="auto"/>
          <w:kern w:val="2"/>
          <w:sz w:val="22"/>
          <w:szCs w:val="22"/>
          <w:highlight w:val="none"/>
          <w:lang w:val="en-US" w:eastAsia="zh-CN"/>
        </w:rPr>
      </w:pPr>
      <w:r>
        <w:rPr>
          <w:rFonts w:hint="eastAsia" w:hAnsi="宋体"/>
          <w:color w:val="auto"/>
          <w:kern w:val="2"/>
          <w:sz w:val="22"/>
          <w:szCs w:val="22"/>
          <w:highlight w:val="none"/>
          <w:lang w:eastAsia="zh-CN"/>
        </w:rPr>
        <w:t>联系方式：</w:t>
      </w:r>
      <w:r>
        <w:rPr>
          <w:rFonts w:hint="eastAsia" w:hAnsi="宋体"/>
          <w:color w:val="auto"/>
          <w:kern w:val="2"/>
          <w:sz w:val="22"/>
          <w:szCs w:val="22"/>
          <w:highlight w:val="none"/>
          <w:lang w:val="en-US" w:eastAsia="zh-CN"/>
        </w:rPr>
        <w:t>13943077127</w:t>
      </w:r>
    </w:p>
    <w:p>
      <w:pPr>
        <w:pStyle w:val="141"/>
        <w:spacing w:line="400" w:lineRule="exact"/>
        <w:ind w:firstLine="440" w:firstLineChars="200"/>
        <w:rPr>
          <w:rFonts w:hint="eastAsia" w:hAnsi="宋体"/>
          <w:color w:val="auto"/>
          <w:kern w:val="2"/>
          <w:sz w:val="22"/>
          <w:szCs w:val="22"/>
          <w:highlight w:val="none"/>
          <w:lang w:val="en-US" w:eastAsia="zh-CN"/>
        </w:rPr>
      </w:pPr>
      <w:r>
        <w:rPr>
          <w:rFonts w:hint="eastAsia" w:hAnsi="宋体"/>
          <w:color w:val="auto"/>
          <w:kern w:val="2"/>
          <w:sz w:val="22"/>
          <w:szCs w:val="22"/>
          <w:highlight w:val="none"/>
          <w:lang w:eastAsia="zh-CN"/>
        </w:rPr>
        <w:t>地址：</w:t>
      </w:r>
      <w:r>
        <w:rPr>
          <w:rFonts w:hint="eastAsia" w:hAnsi="宋体"/>
          <w:color w:val="auto"/>
          <w:kern w:val="2"/>
          <w:sz w:val="22"/>
          <w:szCs w:val="22"/>
          <w:highlight w:val="none"/>
          <w:lang w:val="en-US" w:eastAsia="zh-CN"/>
        </w:rPr>
        <w:t>长春市</w:t>
      </w:r>
      <w:r>
        <w:rPr>
          <w:rFonts w:hint="eastAsia" w:hAnsi="宋体"/>
          <w:color w:val="auto"/>
          <w:kern w:val="2"/>
          <w:sz w:val="22"/>
          <w:szCs w:val="22"/>
          <w:highlight w:val="none"/>
          <w:lang w:eastAsia="zh-CN"/>
        </w:rPr>
        <w:t>南关区谊民路</w:t>
      </w:r>
      <w:r>
        <w:rPr>
          <w:rFonts w:hint="eastAsia" w:hAnsi="宋体"/>
          <w:color w:val="auto"/>
          <w:kern w:val="2"/>
          <w:sz w:val="22"/>
          <w:szCs w:val="22"/>
          <w:highlight w:val="none"/>
          <w:lang w:val="en-US" w:eastAsia="zh-CN"/>
        </w:rPr>
        <w:t>966</w:t>
      </w:r>
      <w:r>
        <w:rPr>
          <w:rFonts w:hint="eastAsia" w:hAnsi="宋体"/>
          <w:color w:val="auto"/>
          <w:kern w:val="2"/>
          <w:sz w:val="22"/>
          <w:szCs w:val="22"/>
          <w:highlight w:val="none"/>
          <w:lang w:eastAsia="zh-CN"/>
        </w:rPr>
        <w:t>号</w:t>
      </w:r>
    </w:p>
    <w:p>
      <w:pPr>
        <w:pStyle w:val="141"/>
        <w:spacing w:line="400" w:lineRule="exact"/>
        <w:ind w:firstLine="440" w:firstLineChars="200"/>
        <w:rPr>
          <w:rFonts w:hint="eastAsia" w:hAnsi="宋体"/>
          <w:color w:val="auto"/>
          <w:kern w:val="2"/>
          <w:sz w:val="22"/>
          <w:szCs w:val="22"/>
          <w:highlight w:val="none"/>
          <w:lang w:val="en-US" w:eastAsia="zh-CN"/>
        </w:rPr>
      </w:pPr>
      <w:r>
        <w:rPr>
          <w:rFonts w:hint="eastAsia" w:hAnsi="宋体"/>
          <w:color w:val="auto"/>
          <w:kern w:val="2"/>
          <w:sz w:val="22"/>
          <w:szCs w:val="22"/>
          <w:highlight w:val="none"/>
          <w:lang w:val="en-US" w:eastAsia="zh-CN"/>
        </w:rPr>
        <w:t>2.采购</w:t>
      </w:r>
      <w:r>
        <w:rPr>
          <w:rFonts w:hint="eastAsia" w:hAnsi="宋体"/>
          <w:color w:val="auto"/>
          <w:kern w:val="2"/>
          <w:sz w:val="22"/>
          <w:szCs w:val="22"/>
          <w:highlight w:val="none"/>
          <w:lang w:eastAsia="zh-CN"/>
        </w:rPr>
        <w:t xml:space="preserve">代理机构：长春中泓项目管理咨询有限公司 </w:t>
      </w:r>
    </w:p>
    <w:p>
      <w:pPr>
        <w:pStyle w:val="141"/>
        <w:spacing w:line="400" w:lineRule="exact"/>
        <w:ind w:firstLine="440" w:firstLineChars="200"/>
        <w:rPr>
          <w:rFonts w:hint="eastAsia" w:ascii="宋体" w:hAnsi="宋体" w:eastAsia="宋体" w:cs="宋体"/>
          <w:color w:val="auto"/>
          <w:kern w:val="2"/>
          <w:sz w:val="22"/>
          <w:szCs w:val="22"/>
          <w:highlight w:val="none"/>
          <w:lang w:val="en-US" w:eastAsia="zh-CN"/>
        </w:rPr>
      </w:pPr>
      <w:r>
        <w:rPr>
          <w:rFonts w:hint="eastAsia" w:hAnsi="宋体"/>
          <w:color w:val="auto"/>
          <w:kern w:val="2"/>
          <w:sz w:val="22"/>
          <w:szCs w:val="22"/>
          <w:highlight w:val="none"/>
          <w:lang w:eastAsia="zh-CN"/>
        </w:rPr>
        <w:t>统一</w:t>
      </w:r>
      <w:r>
        <w:rPr>
          <w:rFonts w:hint="eastAsia" w:hAnsi="宋体"/>
          <w:color w:val="auto"/>
          <w:kern w:val="2"/>
          <w:sz w:val="22"/>
          <w:szCs w:val="22"/>
          <w:highlight w:val="none"/>
          <w:lang w:val="en-US" w:eastAsia="zh-CN"/>
        </w:rPr>
        <w:t>社会信用</w:t>
      </w:r>
      <w:r>
        <w:rPr>
          <w:rFonts w:hint="eastAsia" w:hAnsi="宋体"/>
          <w:color w:val="auto"/>
          <w:kern w:val="2"/>
          <w:sz w:val="22"/>
          <w:szCs w:val="22"/>
          <w:highlight w:val="none"/>
          <w:lang w:eastAsia="zh-CN"/>
        </w:rPr>
        <w:t>代码：91220103MA17JLCD9E</w:t>
      </w:r>
    </w:p>
    <w:p>
      <w:pPr>
        <w:pStyle w:val="141"/>
        <w:spacing w:line="400" w:lineRule="exact"/>
        <w:ind w:firstLine="440" w:firstLineChars="200"/>
        <w:rPr>
          <w:rFonts w:hint="eastAsia" w:hAnsi="宋体"/>
          <w:color w:val="auto"/>
          <w:kern w:val="2"/>
          <w:sz w:val="22"/>
          <w:szCs w:val="22"/>
          <w:highlight w:val="none"/>
          <w:lang w:val="en-US"/>
        </w:rPr>
      </w:pPr>
      <w:r>
        <w:rPr>
          <w:rFonts w:hint="eastAsia" w:hAnsi="宋体"/>
          <w:color w:val="auto"/>
          <w:kern w:val="2"/>
          <w:sz w:val="22"/>
          <w:szCs w:val="22"/>
          <w:highlight w:val="none"/>
          <w:lang w:eastAsia="zh-CN"/>
        </w:rPr>
        <w:t>地 址：吉林省长春市吾悦广场</w:t>
      </w:r>
      <w:r>
        <w:rPr>
          <w:rFonts w:hint="eastAsia" w:hAnsi="宋体"/>
          <w:color w:val="auto"/>
          <w:kern w:val="2"/>
          <w:sz w:val="22"/>
          <w:szCs w:val="22"/>
          <w:highlight w:val="none"/>
          <w:lang w:val="en-US"/>
        </w:rPr>
        <w:t>B</w:t>
      </w:r>
      <w:r>
        <w:rPr>
          <w:rFonts w:hint="eastAsia" w:hAnsi="宋体"/>
          <w:color w:val="auto"/>
          <w:kern w:val="2"/>
          <w:sz w:val="22"/>
          <w:szCs w:val="22"/>
          <w:highlight w:val="none"/>
          <w:lang w:eastAsia="zh-CN"/>
        </w:rPr>
        <w:t>座</w:t>
      </w:r>
      <w:r>
        <w:rPr>
          <w:rFonts w:hint="eastAsia" w:hAnsi="宋体"/>
          <w:color w:val="auto"/>
          <w:kern w:val="2"/>
          <w:sz w:val="22"/>
          <w:szCs w:val="22"/>
          <w:highlight w:val="none"/>
          <w:lang w:val="en-US"/>
        </w:rPr>
        <w:t>15</w:t>
      </w:r>
      <w:r>
        <w:rPr>
          <w:rFonts w:hint="eastAsia" w:hAnsi="宋体"/>
          <w:color w:val="auto"/>
          <w:kern w:val="2"/>
          <w:sz w:val="22"/>
          <w:szCs w:val="22"/>
          <w:highlight w:val="none"/>
          <w:lang w:eastAsia="zh-CN"/>
        </w:rPr>
        <w:t>楼</w:t>
      </w:r>
    </w:p>
    <w:p>
      <w:pPr>
        <w:pStyle w:val="141"/>
        <w:spacing w:line="400" w:lineRule="exact"/>
        <w:ind w:firstLine="440" w:firstLineChars="200"/>
        <w:rPr>
          <w:rFonts w:hint="default"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联系人：</w:t>
      </w:r>
      <w:r>
        <w:rPr>
          <w:rFonts w:hint="eastAsia" w:hAnsi="宋体" w:cs="宋体"/>
          <w:color w:val="auto"/>
          <w:kern w:val="2"/>
          <w:sz w:val="22"/>
          <w:szCs w:val="22"/>
          <w:highlight w:val="none"/>
          <w:lang w:val="en-US" w:eastAsia="zh-CN"/>
        </w:rPr>
        <w:t>丁玉</w:t>
      </w:r>
    </w:p>
    <w:p>
      <w:pPr>
        <w:pStyle w:val="141"/>
        <w:spacing w:line="400" w:lineRule="exact"/>
        <w:ind w:firstLine="440" w:firstLineChars="200"/>
        <w:rPr>
          <w:rFonts w:hint="default" w:ascii="宋体" w:hAnsi="宋体" w:eastAsia="宋体" w:cs="宋体"/>
          <w:color w:val="auto"/>
          <w:kern w:val="2"/>
          <w:sz w:val="22"/>
          <w:szCs w:val="22"/>
          <w:highlight w:val="none"/>
          <w:lang w:val="en-US" w:eastAsia="zh-CN"/>
        </w:rPr>
      </w:pPr>
      <w:r>
        <w:rPr>
          <w:rFonts w:hint="eastAsia" w:hAnsi="宋体"/>
          <w:color w:val="auto"/>
          <w:kern w:val="2"/>
          <w:sz w:val="22"/>
          <w:szCs w:val="22"/>
          <w:highlight w:val="none"/>
          <w:lang w:eastAsia="zh-CN"/>
        </w:rPr>
        <w:t>联系方式</w:t>
      </w:r>
      <w:r>
        <w:rPr>
          <w:rFonts w:hint="eastAsia" w:ascii="宋体" w:hAnsi="宋体" w:eastAsia="宋体" w:cs="宋体"/>
          <w:color w:val="auto"/>
          <w:kern w:val="2"/>
          <w:sz w:val="22"/>
          <w:szCs w:val="22"/>
          <w:highlight w:val="none"/>
          <w:lang w:val="en-US" w:eastAsia="zh-CN"/>
        </w:rPr>
        <w:t>：</w:t>
      </w:r>
      <w:r>
        <w:rPr>
          <w:rFonts w:hint="eastAsia" w:hAnsi="宋体" w:cs="宋体"/>
          <w:color w:val="auto"/>
          <w:kern w:val="2"/>
          <w:sz w:val="22"/>
          <w:szCs w:val="22"/>
          <w:highlight w:val="none"/>
          <w:lang w:val="en-US" w:eastAsia="zh-CN"/>
        </w:rPr>
        <w:t>18943921779</w:t>
      </w:r>
    </w:p>
    <w:p>
      <w:pPr>
        <w:pStyle w:val="141"/>
        <w:spacing w:line="400" w:lineRule="exact"/>
        <w:ind w:firstLine="440" w:firstLineChars="200"/>
        <w:rPr>
          <w:rFonts w:hint="eastAsia" w:hAnsi="宋体"/>
          <w:color w:val="auto"/>
          <w:kern w:val="2"/>
          <w:sz w:val="22"/>
          <w:szCs w:val="22"/>
          <w:highlight w:val="none"/>
          <w:lang w:val="en-US"/>
        </w:rPr>
      </w:pPr>
      <w:r>
        <w:rPr>
          <w:rFonts w:hint="eastAsia" w:hAnsi="宋体"/>
          <w:color w:val="auto"/>
          <w:kern w:val="2"/>
          <w:sz w:val="22"/>
          <w:szCs w:val="22"/>
          <w:highlight w:val="none"/>
          <w:lang w:val="en-US"/>
        </w:rPr>
        <w:t>3.</w:t>
      </w:r>
      <w:r>
        <w:rPr>
          <w:rFonts w:hint="eastAsia" w:hAnsi="宋体"/>
          <w:color w:val="auto"/>
          <w:kern w:val="2"/>
          <w:sz w:val="22"/>
          <w:szCs w:val="22"/>
          <w:highlight w:val="none"/>
          <w:lang w:eastAsia="zh-CN"/>
        </w:rPr>
        <w:t>监督部门：长春市财政局政府采购管理工作办公室</w:t>
      </w:r>
    </w:p>
    <w:p>
      <w:pPr>
        <w:pStyle w:val="141"/>
        <w:spacing w:line="400" w:lineRule="exact"/>
        <w:ind w:firstLine="440" w:firstLineChars="200"/>
        <w:rPr>
          <w:rFonts w:hint="eastAsia" w:hAnsi="宋体"/>
          <w:color w:val="auto"/>
          <w:kern w:val="2"/>
          <w:sz w:val="22"/>
          <w:szCs w:val="22"/>
          <w:highlight w:val="none"/>
          <w:lang w:val="en-US"/>
        </w:rPr>
      </w:pPr>
      <w:r>
        <w:rPr>
          <w:rFonts w:hint="eastAsia" w:hAnsi="宋体"/>
          <w:color w:val="auto"/>
          <w:kern w:val="2"/>
          <w:sz w:val="22"/>
          <w:szCs w:val="22"/>
          <w:highlight w:val="none"/>
          <w:lang w:eastAsia="zh-CN"/>
        </w:rPr>
        <w:t>联系方式</w:t>
      </w:r>
      <w:r>
        <w:rPr>
          <w:rFonts w:hint="eastAsia" w:hAnsi="宋体"/>
          <w:color w:val="auto"/>
          <w:kern w:val="2"/>
          <w:sz w:val="22"/>
          <w:szCs w:val="22"/>
          <w:highlight w:val="none"/>
          <w:lang w:val="en-US"/>
        </w:rPr>
        <w:t>:0431-89865653</w:t>
      </w:r>
    </w:p>
    <w:p>
      <w:pPr>
        <w:pStyle w:val="141"/>
        <w:spacing w:line="400" w:lineRule="exact"/>
        <w:ind w:firstLine="440" w:firstLineChars="200"/>
        <w:rPr>
          <w:rFonts w:hAnsi="宋体"/>
          <w:color w:val="auto"/>
          <w:kern w:val="2"/>
          <w:sz w:val="22"/>
          <w:szCs w:val="22"/>
          <w:highlight w:val="none"/>
          <w:lang w:val="en-US"/>
        </w:rPr>
      </w:pPr>
      <w:r>
        <w:rPr>
          <w:rFonts w:hint="eastAsia" w:hAnsi="宋体"/>
          <w:color w:val="auto"/>
          <w:kern w:val="2"/>
          <w:sz w:val="22"/>
          <w:szCs w:val="22"/>
          <w:highlight w:val="none"/>
          <w:lang w:val="en-US"/>
        </w:rPr>
        <w:t xml:space="preserve"> </w:t>
      </w:r>
    </w:p>
    <w:p>
      <w:pPr>
        <w:pStyle w:val="141"/>
        <w:spacing w:line="400" w:lineRule="exact"/>
        <w:ind w:firstLine="440" w:firstLineChars="200"/>
        <w:rPr>
          <w:rFonts w:hAnsi="宋体"/>
          <w:color w:val="auto"/>
          <w:kern w:val="2"/>
          <w:sz w:val="22"/>
          <w:szCs w:val="22"/>
          <w:highlight w:val="none"/>
          <w:lang w:val="en-US"/>
        </w:rPr>
      </w:pPr>
      <w:r>
        <w:rPr>
          <w:rFonts w:hint="eastAsia" w:hAnsi="宋体"/>
          <w:color w:val="auto"/>
          <w:kern w:val="2"/>
          <w:sz w:val="22"/>
          <w:szCs w:val="22"/>
          <w:highlight w:val="none"/>
          <w:lang w:val="en-US" w:eastAsia="zh-CN"/>
        </w:rPr>
        <w:t>注： 本招标公告内容有不一致之处，以最新发布的招标公告内容为准；本招标公告与招标文件内容有不一致之处，以招标文件内容为准。</w:t>
      </w:r>
    </w:p>
    <w:p>
      <w:pPr>
        <w:pStyle w:val="141"/>
        <w:spacing w:line="400" w:lineRule="exact"/>
        <w:rPr>
          <w:rFonts w:hAnsi="宋体"/>
          <w:color w:val="auto"/>
          <w:kern w:val="2"/>
          <w:highlight w:val="none"/>
        </w:rPr>
      </w:pPr>
    </w:p>
    <w:p>
      <w:pPr>
        <w:spacing w:line="500" w:lineRule="exact"/>
        <w:jc w:val="center"/>
        <w:rPr>
          <w:rFonts w:ascii="宋体" w:hAnsi="宋体" w:cs="宋体"/>
          <w:color w:val="auto"/>
          <w:sz w:val="32"/>
          <w:szCs w:val="32"/>
          <w:highlight w:val="none"/>
          <w:lang w:val="zh-CN"/>
        </w:rPr>
      </w:pPr>
      <w:r>
        <w:rPr>
          <w:rFonts w:hint="eastAsia" w:ascii="宋体" w:hAnsi="宋体" w:cs="宋体"/>
          <w:color w:val="auto"/>
          <w:sz w:val="24"/>
          <w:szCs w:val="24"/>
          <w:highlight w:val="none"/>
        </w:rPr>
        <w:br w:type="page"/>
      </w:r>
      <w:bookmarkStart w:id="8" w:name="_Toc24053"/>
      <w:bookmarkStart w:id="9" w:name="_Toc30030"/>
      <w:bookmarkStart w:id="10" w:name="_Toc31541"/>
      <w:bookmarkStart w:id="11" w:name="_Toc28622"/>
      <w:bookmarkStart w:id="12" w:name="_Toc24146"/>
      <w:bookmarkStart w:id="13" w:name="_Toc27273"/>
      <w:bookmarkStart w:id="14" w:name="_Toc9075"/>
      <w:bookmarkStart w:id="15" w:name="_Toc32250"/>
      <w:r>
        <w:rPr>
          <w:rStyle w:val="97"/>
          <w:rFonts w:hint="eastAsia" w:ascii="宋体" w:hAnsi="宋体" w:cs="宋体"/>
          <w:color w:val="auto"/>
          <w:highlight w:val="none"/>
          <w:lang w:val="zh-CN"/>
        </w:rPr>
        <w:t>第二章  供应商须知</w:t>
      </w:r>
      <w:bookmarkEnd w:id="8"/>
      <w:bookmarkEnd w:id="9"/>
      <w:bookmarkEnd w:id="10"/>
      <w:bookmarkEnd w:id="11"/>
      <w:bookmarkEnd w:id="12"/>
      <w:bookmarkEnd w:id="13"/>
      <w:bookmarkEnd w:id="14"/>
      <w:bookmarkEnd w:id="15"/>
    </w:p>
    <w:p>
      <w:pPr>
        <w:autoSpaceDE w:val="0"/>
        <w:autoSpaceDN w:val="0"/>
        <w:adjustRightInd w:val="0"/>
        <w:spacing w:line="500" w:lineRule="exact"/>
        <w:jc w:val="center"/>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供应商须知前附表</w:t>
      </w:r>
    </w:p>
    <w:tbl>
      <w:tblPr>
        <w:tblStyle w:val="46"/>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895"/>
        <w:gridCol w:w="6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序号</w:t>
            </w:r>
          </w:p>
        </w:tc>
        <w:tc>
          <w:tcPr>
            <w:tcW w:w="2895"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名称</w:t>
            </w:r>
          </w:p>
        </w:tc>
        <w:tc>
          <w:tcPr>
            <w:tcW w:w="6281"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val="zh-CN"/>
              </w:rPr>
              <w:t>采购人</w:t>
            </w:r>
          </w:p>
        </w:tc>
        <w:tc>
          <w:tcPr>
            <w:tcW w:w="6281" w:type="dxa"/>
          </w:tcPr>
          <w:p>
            <w:pPr>
              <w:pStyle w:val="141"/>
              <w:keepNext w:val="0"/>
              <w:keepLines w:val="0"/>
              <w:suppressLineNumbers w:val="0"/>
              <w:spacing w:before="0" w:beforeAutospacing="0" w:after="0" w:afterAutospacing="0" w:line="440" w:lineRule="exact"/>
              <w:ind w:left="0" w:right="0"/>
              <w:rPr>
                <w:rFonts w:hint="default" w:hAnsi="宋体" w:cs="宋体"/>
                <w:color w:val="auto"/>
                <w:kern w:val="2"/>
                <w:sz w:val="21"/>
                <w:szCs w:val="21"/>
                <w:highlight w:val="none"/>
                <w:lang w:val="zh-CN" w:eastAsia="zh-CN"/>
              </w:rPr>
            </w:pPr>
            <w:r>
              <w:rPr>
                <w:rFonts w:hint="eastAsia" w:hAnsi="宋体" w:cs="宋体"/>
                <w:color w:val="auto"/>
                <w:kern w:val="2"/>
                <w:sz w:val="21"/>
                <w:szCs w:val="21"/>
                <w:highlight w:val="none"/>
                <w:lang w:val="zh-CN" w:eastAsia="zh-CN"/>
              </w:rPr>
              <w:t>名    称：长春市文化广播电视和旅游局（长春市文物局）　　　　　　　　　　　</w:t>
            </w:r>
          </w:p>
          <w:p>
            <w:pPr>
              <w:pStyle w:val="141"/>
              <w:keepNext w:val="0"/>
              <w:keepLines w:val="0"/>
              <w:suppressLineNumbers w:val="0"/>
              <w:spacing w:before="0" w:beforeAutospacing="0" w:after="0" w:afterAutospacing="0" w:line="440" w:lineRule="exact"/>
              <w:ind w:left="0" w:right="0"/>
              <w:rPr>
                <w:rFonts w:hint="default" w:hAnsi="宋体" w:cs="宋体"/>
                <w:color w:val="auto"/>
                <w:kern w:val="2"/>
                <w:sz w:val="21"/>
                <w:szCs w:val="21"/>
                <w:highlight w:val="none"/>
                <w:lang w:val="zh-CN" w:eastAsia="zh-CN"/>
              </w:rPr>
            </w:pPr>
            <w:r>
              <w:rPr>
                <w:rFonts w:hint="eastAsia" w:hAnsi="宋体" w:cs="宋体"/>
                <w:color w:val="auto"/>
                <w:kern w:val="2"/>
                <w:sz w:val="21"/>
                <w:szCs w:val="21"/>
                <w:highlight w:val="none"/>
                <w:lang w:val="zh-CN" w:eastAsia="zh-CN"/>
              </w:rPr>
              <w:t>地    址：长春市南关区谊民路966号　　　　　　　　　　　　</w:t>
            </w:r>
          </w:p>
          <w:p>
            <w:pPr>
              <w:pStyle w:val="141"/>
              <w:keepNext w:val="0"/>
              <w:keepLines w:val="0"/>
              <w:suppressLineNumbers w:val="0"/>
              <w:spacing w:before="0" w:beforeAutospacing="0" w:after="0" w:afterAutospacing="0" w:line="440" w:lineRule="exact"/>
              <w:ind w:left="0" w:right="0"/>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联 系 人：孙宏宇</w:t>
            </w:r>
          </w:p>
          <w:p>
            <w:pPr>
              <w:pStyle w:val="141"/>
              <w:keepNext w:val="0"/>
              <w:keepLines w:val="0"/>
              <w:suppressLineNumbers w:val="0"/>
              <w:spacing w:before="0" w:beforeAutospacing="0" w:after="0" w:afterAutospacing="0" w:line="440" w:lineRule="exact"/>
              <w:ind w:left="0" w:right="0"/>
              <w:rPr>
                <w:rFonts w:hint="default"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联系方式：13943077127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采购代理机构</w:t>
            </w:r>
          </w:p>
        </w:tc>
        <w:tc>
          <w:tcPr>
            <w:tcW w:w="6281" w:type="dxa"/>
          </w:tcPr>
          <w:p>
            <w:pPr>
              <w:pStyle w:val="141"/>
              <w:keepNext w:val="0"/>
              <w:keepLines w:val="0"/>
              <w:suppressLineNumbers w:val="0"/>
              <w:spacing w:before="0" w:beforeAutospacing="0" w:after="0" w:afterAutospacing="0" w:line="440" w:lineRule="exact"/>
              <w:ind w:left="0" w:right="0"/>
              <w:rPr>
                <w:rFonts w:hint="default" w:hAnsi="宋体" w:cs="宋体"/>
                <w:color w:val="auto"/>
                <w:kern w:val="2"/>
                <w:sz w:val="21"/>
                <w:szCs w:val="21"/>
                <w:highlight w:val="none"/>
                <w:lang w:val="zh-CN" w:eastAsia="zh-CN"/>
              </w:rPr>
            </w:pPr>
            <w:r>
              <w:rPr>
                <w:rFonts w:hint="eastAsia" w:hAnsi="宋体" w:cs="宋体"/>
                <w:color w:val="auto"/>
                <w:kern w:val="2"/>
                <w:sz w:val="21"/>
                <w:szCs w:val="21"/>
                <w:highlight w:val="none"/>
                <w:lang w:val="zh-CN" w:eastAsia="zh-CN"/>
              </w:rPr>
              <w:t>名    称：长春中泓项目管理咨询有限公司　　　　　　　　　　　　</w:t>
            </w:r>
          </w:p>
          <w:p>
            <w:pPr>
              <w:pStyle w:val="141"/>
              <w:keepNext w:val="0"/>
              <w:keepLines w:val="0"/>
              <w:suppressLineNumbers w:val="0"/>
              <w:spacing w:before="0" w:beforeAutospacing="0" w:after="0" w:afterAutospacing="0" w:line="440" w:lineRule="exact"/>
              <w:ind w:left="0" w:right="0"/>
              <w:rPr>
                <w:rFonts w:hint="default" w:hAnsi="宋体" w:cs="宋体"/>
                <w:color w:val="auto"/>
                <w:kern w:val="2"/>
                <w:sz w:val="21"/>
                <w:szCs w:val="21"/>
                <w:highlight w:val="none"/>
                <w:lang w:val="zh-CN" w:eastAsia="zh-CN"/>
              </w:rPr>
            </w:pPr>
            <w:r>
              <w:rPr>
                <w:rFonts w:hint="eastAsia" w:hAnsi="宋体" w:cs="宋体"/>
                <w:color w:val="auto"/>
                <w:kern w:val="2"/>
                <w:sz w:val="21"/>
                <w:szCs w:val="21"/>
                <w:highlight w:val="none"/>
                <w:lang w:val="zh-CN" w:eastAsia="zh-CN"/>
              </w:rPr>
              <w:t>地　　址：吉林省长春市吾悦广场B座15楼　　　　　　　　　　　　</w:t>
            </w:r>
          </w:p>
          <w:p>
            <w:pPr>
              <w:pStyle w:val="141"/>
              <w:keepNext w:val="0"/>
              <w:keepLines w:val="0"/>
              <w:suppressLineNumbers w:val="0"/>
              <w:spacing w:before="0" w:beforeAutospacing="0" w:after="0" w:afterAutospacing="0" w:line="440" w:lineRule="exact"/>
              <w:ind w:left="0" w:right="0"/>
              <w:rPr>
                <w:rFonts w:hint="default"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联 系 人：丁玉</w:t>
            </w:r>
          </w:p>
          <w:p>
            <w:pPr>
              <w:pStyle w:val="141"/>
              <w:keepNext w:val="0"/>
              <w:keepLines w:val="0"/>
              <w:suppressLineNumbers w:val="0"/>
              <w:spacing w:before="0" w:beforeAutospacing="0" w:after="0" w:afterAutospacing="0" w:line="440" w:lineRule="exact"/>
              <w:ind w:left="0" w:right="0"/>
              <w:rPr>
                <w:rFonts w:hint="default"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联系方式：18943921779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642" w:type="dxa"/>
            <w:vMerge w:val="restart"/>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lang w:val="zh-CN"/>
              </w:rPr>
            </w:pPr>
          </w:p>
        </w:tc>
        <w:tc>
          <w:tcPr>
            <w:tcW w:w="2895" w:type="dxa"/>
            <w:vAlign w:val="center"/>
          </w:tcPr>
          <w:p>
            <w:pPr>
              <w:pStyle w:val="141"/>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项目名称</w:t>
            </w:r>
          </w:p>
        </w:tc>
        <w:tc>
          <w:tcPr>
            <w:tcW w:w="6281" w:type="dxa"/>
          </w:tcPr>
          <w:p>
            <w:pPr>
              <w:pStyle w:val="141"/>
              <w:keepNext w:val="0"/>
              <w:keepLines w:val="0"/>
              <w:suppressLineNumbers w:val="0"/>
              <w:spacing w:before="0" w:beforeAutospacing="0" w:after="0" w:afterAutospacing="0" w:line="440" w:lineRule="exact"/>
              <w:ind w:left="0" w:right="0"/>
              <w:rPr>
                <w:rFonts w:hint="default"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“畅游中国 美好旅程”2024年“中国旅游日”长春分会场主题活动项目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42" w:type="dxa"/>
            <w:vMerge w:val="continue"/>
            <w:vAlign w:val="center"/>
          </w:tcPr>
          <w:p>
            <w:pPr>
              <w:keepNext w:val="0"/>
              <w:keepLines w:val="0"/>
              <w:suppressLineNumbers w:val="0"/>
              <w:autoSpaceDE w:val="0"/>
              <w:autoSpaceDN w:val="0"/>
              <w:adjustRightInd w:val="0"/>
              <w:spacing w:before="0" w:beforeAutospacing="0" w:after="0" w:afterAutospacing="0" w:line="360" w:lineRule="exact"/>
              <w:ind w:left="0" w:right="0" w:firstLineChars="0"/>
              <w:jc w:val="center"/>
              <w:rPr>
                <w:rFonts w:hint="default" w:ascii="宋体" w:hAnsi="宋体" w:cs="宋体"/>
                <w:bCs/>
                <w:color w:val="auto"/>
                <w:sz w:val="21"/>
                <w:szCs w:val="21"/>
                <w:highlight w:val="none"/>
                <w:lang w:val="zh-CN"/>
              </w:rPr>
            </w:pPr>
          </w:p>
        </w:tc>
        <w:tc>
          <w:tcPr>
            <w:tcW w:w="2895" w:type="dxa"/>
            <w:vAlign w:val="center"/>
          </w:tcPr>
          <w:p>
            <w:pPr>
              <w:pStyle w:val="141"/>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eastAsia="zh-CN"/>
              </w:rPr>
              <w:t>项目编号</w:t>
            </w:r>
          </w:p>
        </w:tc>
        <w:tc>
          <w:tcPr>
            <w:tcW w:w="6281" w:type="dxa"/>
          </w:tcPr>
          <w:p>
            <w:pPr>
              <w:pStyle w:val="141"/>
              <w:keepNext w:val="0"/>
              <w:keepLines w:val="0"/>
              <w:suppressLineNumbers w:val="0"/>
              <w:spacing w:before="0" w:beforeAutospacing="0" w:after="0" w:afterAutospacing="0" w:line="440" w:lineRule="exact"/>
              <w:ind w:left="0" w:right="0"/>
              <w:rPr>
                <w:rFonts w:hint="default"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JM-2024-04-00442（CCZH2024-001）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lang w:val="zh-CN"/>
              </w:rPr>
            </w:pPr>
          </w:p>
        </w:tc>
        <w:tc>
          <w:tcPr>
            <w:tcW w:w="2895" w:type="dxa"/>
            <w:vAlign w:val="center"/>
          </w:tcPr>
          <w:p>
            <w:pPr>
              <w:pStyle w:val="141"/>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服务地点</w:t>
            </w:r>
          </w:p>
        </w:tc>
        <w:tc>
          <w:tcPr>
            <w:tcW w:w="6281" w:type="dxa"/>
          </w:tcPr>
          <w:p>
            <w:pPr>
              <w:pStyle w:val="141"/>
              <w:keepNext w:val="0"/>
              <w:keepLines w:val="0"/>
              <w:suppressLineNumbers w:val="0"/>
              <w:spacing w:before="0" w:beforeAutospacing="0" w:after="0" w:afterAutospacing="0" w:line="440" w:lineRule="exact"/>
              <w:ind w:left="0" w:right="0"/>
              <w:rPr>
                <w:rFonts w:hint="default"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由采购方选取确定，供应方负责场地协调并满足活动所需的要求，达到预期目标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lang w:val="zh-CN"/>
              </w:rPr>
            </w:pPr>
          </w:p>
        </w:tc>
        <w:tc>
          <w:tcPr>
            <w:tcW w:w="2895" w:type="dxa"/>
            <w:vAlign w:val="center"/>
          </w:tcPr>
          <w:p>
            <w:pPr>
              <w:pStyle w:val="141"/>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资金来源</w:t>
            </w:r>
          </w:p>
        </w:tc>
        <w:tc>
          <w:tcPr>
            <w:tcW w:w="6281" w:type="dxa"/>
          </w:tcPr>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lang w:val="zh-CN"/>
              </w:rPr>
            </w:pPr>
          </w:p>
        </w:tc>
        <w:tc>
          <w:tcPr>
            <w:tcW w:w="2895" w:type="dxa"/>
            <w:vAlign w:val="center"/>
          </w:tcPr>
          <w:p>
            <w:pPr>
              <w:pStyle w:val="141"/>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资金落实情况</w:t>
            </w:r>
          </w:p>
        </w:tc>
        <w:tc>
          <w:tcPr>
            <w:tcW w:w="6281" w:type="dxa"/>
          </w:tcPr>
          <w:p>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lang w:val="zh-CN"/>
              </w:rPr>
            </w:pPr>
          </w:p>
        </w:tc>
        <w:tc>
          <w:tcPr>
            <w:tcW w:w="2895"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服务内容</w:t>
            </w:r>
          </w:p>
        </w:tc>
        <w:tc>
          <w:tcPr>
            <w:tcW w:w="6281" w:type="dxa"/>
          </w:tcPr>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 xml:space="preserve">供应商负责活动的策划设计、舞台搭建、环境布置、节目演出、视频制作、场地协调、组织执行、活动保障等各项工作。 </w:t>
            </w:r>
            <w:r>
              <w:rPr>
                <w:rFonts w:hint="eastAsia" w:ascii="宋体" w:hAnsi="宋体" w:eastAsia="宋体" w:cs="宋体"/>
                <w:color w:val="auto"/>
                <w:kern w:val="2"/>
                <w:sz w:val="21"/>
                <w:szCs w:val="21"/>
                <w:highlight w:val="none"/>
                <w:lang w:val="en-US" w:eastAsia="zh-CN"/>
              </w:rPr>
              <w:t>（具体详见“技术标准及服务需求”）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zh-CN" w:eastAsia="zh-CN"/>
              </w:rPr>
              <w:t>磋商报价</w:t>
            </w:r>
          </w:p>
        </w:tc>
        <w:tc>
          <w:tcPr>
            <w:tcW w:w="6281" w:type="dxa"/>
          </w:tcPr>
          <w:p>
            <w:pPr>
              <w:pStyle w:val="141"/>
              <w:keepNext w:val="0"/>
              <w:keepLines w:val="0"/>
              <w:suppressLineNumbers w:val="0"/>
              <w:spacing w:before="0" w:beforeAutospacing="0" w:after="0" w:afterAutospacing="0" w:line="440" w:lineRule="exact"/>
              <w:ind w:left="0" w:right="0"/>
              <w:rPr>
                <w:rFonts w:hint="default" w:ascii="宋体" w:hAnsi="宋体" w:eastAsia="宋体" w:cs="宋体"/>
                <w:b/>
                <w:bCs/>
                <w:color w:val="auto"/>
                <w:kern w:val="2"/>
                <w:sz w:val="21"/>
                <w:szCs w:val="21"/>
                <w:highlight w:val="none"/>
                <w:lang w:val="zh-CN" w:eastAsia="zh-CN"/>
              </w:rPr>
            </w:pPr>
            <w:r>
              <w:rPr>
                <w:rFonts w:hint="eastAsia" w:ascii="宋体" w:hAnsi="宋体" w:eastAsia="宋体" w:cs="宋体"/>
                <w:b/>
                <w:bCs/>
                <w:color w:val="auto"/>
                <w:kern w:val="2"/>
                <w:sz w:val="21"/>
                <w:szCs w:val="21"/>
                <w:highlight w:val="none"/>
                <w:lang w:val="zh-CN" w:eastAsia="zh-CN"/>
              </w:rPr>
              <w:t>本项目最高限价为：</w:t>
            </w:r>
            <w:r>
              <w:rPr>
                <w:rFonts w:hint="eastAsia" w:hAnsi="宋体" w:cs="宋体"/>
                <w:b/>
                <w:bCs/>
                <w:color w:val="auto"/>
                <w:kern w:val="2"/>
                <w:sz w:val="21"/>
                <w:szCs w:val="21"/>
                <w:highlight w:val="none"/>
                <w:lang w:val="en-US" w:eastAsia="zh-CN"/>
              </w:rPr>
              <w:t>30万</w:t>
            </w:r>
            <w:r>
              <w:rPr>
                <w:rFonts w:hint="eastAsia" w:ascii="宋体" w:hAnsi="宋体" w:eastAsia="宋体" w:cs="宋体"/>
                <w:b/>
                <w:bCs/>
                <w:color w:val="auto"/>
                <w:kern w:val="2"/>
                <w:sz w:val="21"/>
                <w:szCs w:val="21"/>
                <w:highlight w:val="none"/>
                <w:lang w:val="zh-CN" w:eastAsia="zh-CN"/>
              </w:rPr>
              <w:t>；</w:t>
            </w:r>
          </w:p>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eastAsia="zh-CN"/>
              </w:rPr>
            </w:pPr>
            <w:r>
              <w:rPr>
                <w:rFonts w:hint="eastAsia" w:ascii="宋体" w:hAnsi="宋体" w:eastAsia="宋体" w:cs="宋体"/>
                <w:b/>
                <w:bCs/>
                <w:color w:val="auto"/>
                <w:kern w:val="2"/>
                <w:sz w:val="21"/>
                <w:szCs w:val="21"/>
                <w:highlight w:val="none"/>
                <w:lang w:val="zh-CN" w:eastAsia="zh-CN"/>
              </w:rPr>
              <w:t>超过预算</w:t>
            </w:r>
            <w:r>
              <w:rPr>
                <w:rFonts w:hint="eastAsia" w:ascii="宋体" w:hAnsi="宋体" w:eastAsia="宋体" w:cs="宋体"/>
                <w:b/>
                <w:bCs/>
                <w:color w:val="auto"/>
                <w:kern w:val="2"/>
                <w:sz w:val="21"/>
                <w:szCs w:val="21"/>
                <w:highlight w:val="none"/>
                <w:lang w:val="en-US" w:eastAsia="zh-CN"/>
              </w:rPr>
              <w:t>金额</w:t>
            </w:r>
            <w:r>
              <w:rPr>
                <w:rFonts w:hint="eastAsia" w:ascii="宋体" w:hAnsi="宋体" w:eastAsia="宋体" w:cs="宋体"/>
                <w:b/>
                <w:bCs/>
                <w:color w:val="auto"/>
                <w:kern w:val="2"/>
                <w:sz w:val="21"/>
                <w:szCs w:val="21"/>
                <w:highlight w:val="none"/>
                <w:lang w:val="zh-CN" w:eastAsia="zh-CN"/>
              </w:rPr>
              <w:t>的文件其报价无效处理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cs="宋体"/>
                <w:bCs/>
                <w:color w:val="auto"/>
                <w:sz w:val="21"/>
                <w:szCs w:val="21"/>
                <w:highlight w:val="none"/>
                <w:lang w:val="zh-CN" w:eastAsia="zh-CN"/>
              </w:rPr>
            </w:pPr>
            <w:r>
              <w:rPr>
                <w:rFonts w:hint="eastAsia" w:ascii="宋体" w:hAnsi="宋体" w:cs="宋体"/>
                <w:bCs/>
                <w:color w:val="auto"/>
                <w:sz w:val="21"/>
                <w:szCs w:val="21"/>
                <w:highlight w:val="none"/>
                <w:lang w:val="zh-CN"/>
              </w:rPr>
              <w:t>报价要求</w:t>
            </w:r>
          </w:p>
        </w:tc>
        <w:tc>
          <w:tcPr>
            <w:tcW w:w="6281" w:type="dxa"/>
            <w:vAlign w:val="center"/>
          </w:tcPr>
          <w:p>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Times New Roman" w:eastAsia="宋体" w:cs="宋体"/>
                <w:color w:val="auto"/>
                <w:sz w:val="21"/>
                <w:szCs w:val="21"/>
                <w:highlight w:val="none"/>
                <w:lang w:val="zh-CN" w:eastAsia="zh-CN"/>
              </w:rPr>
              <w:t>供应</w:t>
            </w:r>
            <w:r>
              <w:rPr>
                <w:rFonts w:hint="eastAsia" w:ascii="宋体" w:hAnsi="Times New Roman" w:eastAsia="宋体" w:cs="宋体"/>
                <w:color w:val="auto"/>
                <w:sz w:val="21"/>
                <w:szCs w:val="21"/>
                <w:highlight w:val="none"/>
                <w:lang w:val="en-US" w:eastAsia="zh-CN"/>
              </w:rPr>
              <w:t>方</w:t>
            </w:r>
            <w:r>
              <w:rPr>
                <w:rFonts w:hint="eastAsia" w:ascii="宋体" w:hAnsi="Times New Roman" w:eastAsia="宋体" w:cs="宋体"/>
                <w:color w:val="auto"/>
                <w:sz w:val="21"/>
                <w:szCs w:val="21"/>
                <w:highlight w:val="none"/>
                <w:lang w:val="zh-CN" w:eastAsia="zh-CN"/>
              </w:rPr>
              <w:t>的报价应当包含为完成本项目方案设计、场地布置、人员、设备租赁、现场执行等全部工作所需的一切费用，包括成本、利润、税金等。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lang w:val="zh-CN"/>
              </w:rPr>
            </w:pPr>
          </w:p>
        </w:tc>
        <w:tc>
          <w:tcPr>
            <w:tcW w:w="2895"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合同履行期限</w:t>
            </w:r>
          </w:p>
        </w:tc>
        <w:tc>
          <w:tcPr>
            <w:tcW w:w="6281" w:type="dxa"/>
            <w:vAlign w:val="center"/>
          </w:tcPr>
          <w:p>
            <w:pPr>
              <w:pStyle w:val="141"/>
              <w:keepNext w:val="0"/>
              <w:keepLines w:val="0"/>
              <w:suppressLineNumbers w:val="0"/>
              <w:spacing w:before="0" w:beforeAutospacing="0" w:after="0" w:afterAutospacing="0" w:line="440" w:lineRule="exact"/>
              <w:ind w:left="0" w:right="0"/>
              <w:rPr>
                <w:rFonts w:hint="default" w:ascii="宋体" w:hAnsi="Times New Roman" w:eastAsia="宋体" w:cs="宋体"/>
                <w:color w:val="auto"/>
                <w:sz w:val="21"/>
                <w:szCs w:val="21"/>
                <w:highlight w:val="none"/>
                <w:lang w:val="zh-CN" w:eastAsia="zh-CN"/>
              </w:rPr>
            </w:pPr>
            <w:r>
              <w:rPr>
                <w:rFonts w:hint="eastAsia" w:cs="宋体"/>
                <w:color w:val="auto"/>
                <w:sz w:val="21"/>
                <w:szCs w:val="21"/>
                <w:highlight w:val="none"/>
                <w:lang w:val="zh-CN" w:eastAsia="zh-CN"/>
              </w:rPr>
              <w:t>按照合同约定期限执行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lang w:val="zh-CN"/>
              </w:rPr>
            </w:pPr>
          </w:p>
        </w:tc>
        <w:tc>
          <w:tcPr>
            <w:tcW w:w="2895"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证明材料</w:t>
            </w:r>
          </w:p>
        </w:tc>
        <w:tc>
          <w:tcPr>
            <w:tcW w:w="6281" w:type="dxa"/>
            <w:vAlign w:val="center"/>
          </w:tcPr>
          <w:p>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zh-CN" w:eastAsia="zh-CN"/>
              </w:rPr>
            </w:pPr>
            <w:r>
              <w:rPr>
                <w:rFonts w:hint="eastAsia" w:ascii="宋体" w:hAnsi="Times New Roman" w:eastAsia="宋体" w:cs="宋体"/>
                <w:color w:val="auto"/>
                <w:sz w:val="21"/>
                <w:szCs w:val="21"/>
                <w:highlight w:val="none"/>
                <w:lang w:val="zh-CN" w:eastAsia="zh-CN"/>
              </w:rPr>
              <w:t>在中华人民共和国注册的、具有独立承担民事责任能力的法人企业（提供营业执照副本复印件、税务登记证复印件、组织机构代码证复印件或三证合一营业执照复印件加盖公章）；提供参加本项目采购活动前三年内，在经营活动中没有重大违法记录的声明函</w:t>
            </w:r>
            <w:bookmarkStart w:id="76" w:name="_GoBack"/>
            <w:bookmarkEnd w:id="76"/>
            <w:r>
              <w:rPr>
                <w:rFonts w:hint="eastAsia" w:ascii="宋体" w:hAnsi="Times New Roman" w:eastAsia="宋体" w:cs="宋体"/>
                <w:color w:val="auto"/>
                <w:sz w:val="21"/>
                <w:szCs w:val="21"/>
                <w:highlight w:val="none"/>
                <w:lang w:val="en-US" w:eastAsia="zh-CN"/>
              </w:rPr>
              <w:t>；</w:t>
            </w:r>
            <w:r>
              <w:rPr>
                <w:rFonts w:hint="eastAsia" w:ascii="宋体" w:hAnsi="Times New Roman" w:eastAsia="宋体" w:cs="宋体"/>
                <w:color w:val="auto"/>
                <w:sz w:val="21"/>
                <w:szCs w:val="21"/>
                <w:highlight w:val="none"/>
                <w:lang w:val="zh-CN" w:eastAsia="zh-CN"/>
              </w:rPr>
              <w:t>未被列入失信被执行人、重大税收违法案件当事人名单。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lang w:val="zh-CN"/>
              </w:rPr>
            </w:pPr>
          </w:p>
        </w:tc>
        <w:tc>
          <w:tcPr>
            <w:tcW w:w="2895"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强制采购产品认证</w:t>
            </w:r>
          </w:p>
        </w:tc>
        <w:tc>
          <w:tcPr>
            <w:tcW w:w="6281" w:type="dxa"/>
            <w:vAlign w:val="center"/>
          </w:tcPr>
          <w:p>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zh-CN" w:eastAsia="zh-CN"/>
              </w:rPr>
            </w:pPr>
            <w:r>
              <w:rPr>
                <w:rFonts w:hint="eastAsia" w:ascii="宋体" w:hAnsi="Times New Roman" w:eastAsia="宋体" w:cs="宋体"/>
                <w:color w:val="auto"/>
                <w:sz w:val="21"/>
                <w:szCs w:val="21"/>
                <w:highlight w:val="none"/>
                <w:lang w:val="en-US" w:eastAsia="zh-CN"/>
              </w:rPr>
              <w:t>供应商需提供下述节能环保产品强制采购认证证书：无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服务标准</w:t>
            </w:r>
          </w:p>
        </w:tc>
        <w:tc>
          <w:tcPr>
            <w:tcW w:w="6281" w:type="dxa"/>
          </w:tcPr>
          <w:p>
            <w:pPr>
              <w:pStyle w:val="141"/>
              <w:keepNext w:val="0"/>
              <w:keepLines w:val="0"/>
              <w:suppressLineNumbers w:val="0"/>
              <w:spacing w:before="0" w:beforeAutospacing="0" w:after="0" w:afterAutospacing="0" w:line="440" w:lineRule="exact"/>
              <w:ind w:left="0" w:right="0"/>
              <w:rPr>
                <w:rFonts w:hint="default" w:ascii="宋体" w:hAnsi="Times New Roman" w:eastAsia="宋体" w:cs="宋体"/>
                <w:color w:val="auto"/>
                <w:sz w:val="21"/>
                <w:szCs w:val="21"/>
                <w:highlight w:val="none"/>
                <w:lang w:val="zh-CN" w:eastAsia="zh-CN"/>
              </w:rPr>
            </w:pPr>
            <w:r>
              <w:rPr>
                <w:rFonts w:hint="eastAsia" w:ascii="宋体" w:hAnsi="Times New Roman" w:eastAsia="宋体" w:cs="宋体"/>
                <w:color w:val="auto"/>
                <w:sz w:val="21"/>
                <w:szCs w:val="21"/>
                <w:highlight w:val="none"/>
                <w:lang w:val="zh-CN" w:eastAsia="zh-CN"/>
              </w:rPr>
              <w:t>符合国家及行业规定的合格标准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供应商资质条件、能力和信誉</w:t>
            </w:r>
          </w:p>
        </w:tc>
        <w:tc>
          <w:tcPr>
            <w:tcW w:w="6281" w:type="dxa"/>
          </w:tcPr>
          <w:p>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1.满足《中华人民共和国政府采购法》第二十二条规定。</w:t>
            </w:r>
          </w:p>
          <w:p>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2.落实政府采购政策需满足的资格要求：本项目为专门面向中小企业采购项目。</w:t>
            </w:r>
          </w:p>
          <w:p>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 xml:space="preserve">政府采购强制、优先采购节能产品政策；政府采购优先采购环保产品政策；政府采购促进中小企业发展（监狱企业、残疾人福利性单位视同小微企业）政策。 </w:t>
            </w:r>
          </w:p>
          <w:p>
            <w:pPr>
              <w:pStyle w:val="141"/>
              <w:keepNext w:val="0"/>
              <w:keepLines w:val="0"/>
              <w:suppressLineNumbers w:val="0"/>
              <w:spacing w:before="0" w:beforeAutospacing="0" w:after="0" w:afterAutospacing="0" w:line="440" w:lineRule="exact"/>
              <w:ind w:left="0" w:right="0"/>
              <w:rPr>
                <w:rFonts w:hint="default"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3.本项目的特定资格要求：</w:t>
            </w:r>
          </w:p>
          <w:p>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（1）投标人应在中华人民共和国注册具有独立法人资格或其他组织，具有有效的营业执照且具有独立承担民事责任和履行合同所必需的设备和专业技术能力。</w:t>
            </w:r>
          </w:p>
          <w:p>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2）具有良好的商业信誉和健全的财务会计制度，依法缴纳税收和社会保障资金的良好记录，根据[长财采购[2022]2066号文件]关于加强政府采购信用体系建设简化供应商资格条件有关事项的通知提供资格条件承诺函(长财采购[2022]2066号)文件要求执行，提供资格条件承诺函。</w:t>
            </w:r>
          </w:p>
          <w:p>
            <w:pPr>
              <w:pStyle w:val="141"/>
              <w:keepNext w:val="0"/>
              <w:keepLines w:val="0"/>
              <w:suppressLineNumbers w:val="0"/>
              <w:spacing w:before="0" w:beforeAutospacing="0" w:after="0" w:afterAutospacing="0" w:line="440" w:lineRule="exact"/>
              <w:ind w:left="0" w:right="0"/>
              <w:rPr>
                <w:rFonts w:hint="default"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3）信誉要求：2021年1月1日至今无行贿犯罪及不良行为记录；“中国裁判文书网”网站（https://wenshu.court.gov.cn/）上无行贿犯罪记录；“信用中国”网站（www.creditchina.gov.cn）未列入①失信被执行人及②重大税收违法失信主体名单；国家企业信用信息公示系统（http://www.gsxt.gov.cn/index.html）未列入严重违法失信企业名单及中国政府采购网（http://www.ccgp.gov.cn/search/cr/）未列入政府采购严重违法失信行为记录名单。以上均须提供截图。</w:t>
            </w:r>
          </w:p>
          <w:p>
            <w:pPr>
              <w:pStyle w:val="141"/>
              <w:keepNext w:val="0"/>
              <w:keepLines w:val="0"/>
              <w:suppressLineNumbers w:val="0"/>
              <w:spacing w:before="0" w:beforeAutospacing="0" w:after="0" w:afterAutospacing="0" w:line="440" w:lineRule="exact"/>
              <w:ind w:left="0" w:right="0"/>
              <w:rPr>
                <w:rFonts w:hint="default"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4）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提供企业承诺书。</w:t>
            </w:r>
          </w:p>
          <w:p>
            <w:pPr>
              <w:pStyle w:val="141"/>
              <w:keepNext w:val="0"/>
              <w:keepLines w:val="0"/>
              <w:suppressLineNumbers w:val="0"/>
              <w:spacing w:before="0" w:beforeAutospacing="0" w:after="0" w:afterAutospacing="0" w:line="440" w:lineRule="exact"/>
              <w:ind w:left="0" w:right="0"/>
              <w:rPr>
                <w:rFonts w:hint="default"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（5）本项目不接受联合体。</w:t>
            </w:r>
          </w:p>
          <w:p>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b/>
                <w:bCs/>
                <w:color w:val="auto"/>
                <w:sz w:val="21"/>
                <w:szCs w:val="21"/>
                <w:highlight w:val="none"/>
                <w:lang w:val="en-US" w:eastAsia="zh-CN"/>
              </w:rPr>
              <w:t>信誉要求：</w:t>
            </w:r>
          </w:p>
          <w:p>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（1）拒绝列入政府取消投标资格记录期间的企业投标；</w:t>
            </w:r>
          </w:p>
          <w:p>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（2）未被工商行政管理机关在全国企业信用信息公示系统（www.gsxt.gov.cn）中列入严重违法失信企业名单；</w:t>
            </w:r>
          </w:p>
          <w:p>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（3）不接受被列入失信被执行人名单、重大税收违法失信主体、政府采购严重违法失信行为记录名单的投标人参与投标，投标人在“信用中国”网站（www.creditchina.gov.cn）无任何不良信用记录；</w:t>
            </w:r>
          </w:p>
          <w:p>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（4）投标人或其法定代表人、拟委任的总监人员未在“中国裁判文书网”（wenshu.court.gov.cn）上有行贿犯罪行为。</w:t>
            </w:r>
          </w:p>
          <w:p>
            <w:pPr>
              <w:pStyle w:val="141"/>
              <w:keepNext w:val="0"/>
              <w:keepLines w:val="0"/>
              <w:suppressLineNumbers w:val="0"/>
              <w:spacing w:before="0" w:beforeAutospacing="0" w:after="0" w:afterAutospacing="0" w:line="440" w:lineRule="exact"/>
              <w:ind w:left="0" w:right="0"/>
              <w:rPr>
                <w:rFonts w:hint="eastAsia"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（5）与招标人存在利害关系可能影响招标公正性的法人、其他组织或者个人，不得参加投标</w:t>
            </w:r>
            <w:r>
              <w:rPr>
                <w:rFonts w:hint="eastAsia" w:cs="宋体"/>
                <w:color w:val="auto"/>
                <w:sz w:val="21"/>
                <w:szCs w:val="21"/>
                <w:highlight w:val="none"/>
                <w:lang w:val="en-US" w:eastAsia="zh-CN"/>
              </w:rPr>
              <w:t>。</w:t>
            </w:r>
          </w:p>
          <w:p>
            <w:pPr>
              <w:pStyle w:val="26"/>
              <w:keepNext w:val="0"/>
              <w:keepLines w:val="0"/>
              <w:suppressLineNumbers w:val="0"/>
              <w:spacing w:before="0" w:beforeAutospacing="0" w:after="0" w:afterAutospacing="0"/>
              <w:ind w:left="0" w:leftChars="0" w:right="0" w:firstLine="0" w:firstLineChars="0"/>
              <w:rPr>
                <w:rFonts w:hint="default"/>
                <w:color w:val="auto"/>
                <w:szCs w:val="20"/>
                <w:highlight w:val="none"/>
                <w:lang w:val="en-US" w:eastAsia="zh-CN"/>
              </w:rPr>
            </w:pPr>
            <w:r>
              <w:rPr>
                <w:rFonts w:hint="eastAsia" w:ascii="宋体" w:hAnsi="Times New Roman" w:eastAsia="宋体" w:cs="宋体"/>
                <w:b/>
                <w:bCs/>
                <w:color w:val="auto"/>
                <w:sz w:val="21"/>
                <w:szCs w:val="21"/>
                <w:highlight w:val="none"/>
                <w:lang w:val="en-US" w:eastAsia="zh-CN"/>
              </w:rPr>
              <w:t>以上须提供查询项的截图证明及承诺书。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答疑会</w:t>
            </w:r>
          </w:p>
        </w:tc>
        <w:tc>
          <w:tcPr>
            <w:tcW w:w="6281" w:type="dxa"/>
            <w:vAlign w:val="center"/>
          </w:tcPr>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本项目不召开答疑会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供应商提出问题的截止时间</w:t>
            </w:r>
          </w:p>
        </w:tc>
        <w:tc>
          <w:tcPr>
            <w:tcW w:w="6281" w:type="dxa"/>
          </w:tcPr>
          <w:p>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zh-CN" w:eastAsia="zh-CN"/>
              </w:rPr>
            </w:pPr>
            <w:r>
              <w:rPr>
                <w:rFonts w:hint="eastAsia" w:ascii="宋体" w:hAnsi="Times New Roman" w:eastAsia="宋体" w:cs="宋体"/>
                <w:color w:val="auto"/>
                <w:sz w:val="21"/>
                <w:szCs w:val="21"/>
                <w:highlight w:val="none"/>
                <w:lang w:val="zh-CN" w:eastAsia="zh-CN"/>
              </w:rPr>
              <w:t>投标供应商提出问题的截止时间：</w:t>
            </w:r>
          </w:p>
          <w:p>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zh-CN" w:eastAsia="zh-CN"/>
              </w:rPr>
            </w:pPr>
            <w:r>
              <w:rPr>
                <w:rFonts w:hint="eastAsia" w:ascii="宋体" w:hAnsi="Times New Roman" w:eastAsia="宋体" w:cs="宋体"/>
                <w:color w:val="auto"/>
                <w:sz w:val="21"/>
                <w:szCs w:val="21"/>
                <w:highlight w:val="none"/>
                <w:lang w:val="zh-CN" w:eastAsia="zh-CN"/>
              </w:rPr>
              <w:t>响应文件截止时间5日前</w:t>
            </w:r>
          </w:p>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Times New Roman" w:eastAsia="宋体" w:cs="宋体"/>
                <w:color w:val="auto"/>
                <w:sz w:val="21"/>
                <w:szCs w:val="21"/>
                <w:highlight w:val="none"/>
                <w:lang w:val="zh-CN" w:eastAsia="zh-CN"/>
              </w:rPr>
              <w:t>登录政采云平台https://www.zcygov.cn/在线申请提出问题，并电话通知代理机构。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采购人书面澄清的时间</w:t>
            </w:r>
          </w:p>
        </w:tc>
        <w:tc>
          <w:tcPr>
            <w:tcW w:w="6281" w:type="dxa"/>
            <w:vAlign w:val="center"/>
          </w:tcPr>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响应文件提交截止时间前</w:t>
            </w: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val="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分包</w:t>
            </w:r>
          </w:p>
        </w:tc>
        <w:tc>
          <w:tcPr>
            <w:tcW w:w="6281" w:type="dxa"/>
          </w:tcPr>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本项目</w:t>
            </w:r>
            <w:r>
              <w:rPr>
                <w:rFonts w:hint="eastAsia" w:ascii="宋体" w:hAnsi="宋体" w:eastAsia="宋体" w:cs="宋体"/>
                <w:color w:val="auto"/>
                <w:kern w:val="2"/>
                <w:sz w:val="21"/>
                <w:szCs w:val="21"/>
                <w:highlight w:val="none"/>
              </w:rPr>
              <w:t>不</w:t>
            </w:r>
            <w:r>
              <w:rPr>
                <w:rFonts w:hint="eastAsia" w:ascii="宋体" w:hAnsi="宋体" w:eastAsia="宋体" w:cs="宋体"/>
                <w:color w:val="auto"/>
                <w:kern w:val="2"/>
                <w:sz w:val="21"/>
                <w:szCs w:val="21"/>
                <w:highlight w:val="none"/>
                <w:lang w:val="zh-CN"/>
              </w:rPr>
              <w:t>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供应商要求澄清</w:t>
            </w:r>
          </w:p>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磋商文件的截止时间</w:t>
            </w:r>
          </w:p>
        </w:tc>
        <w:tc>
          <w:tcPr>
            <w:tcW w:w="6281" w:type="dxa"/>
            <w:vAlign w:val="center"/>
          </w:tcPr>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磋商截止时间前5</w:t>
            </w:r>
            <w:r>
              <w:rPr>
                <w:rFonts w:hint="eastAsia" w:ascii="宋体" w:hAnsi="宋体" w:eastAsia="宋体" w:cs="宋体"/>
                <w:color w:val="auto"/>
                <w:kern w:val="2"/>
                <w:sz w:val="21"/>
                <w:szCs w:val="21"/>
                <w:highlight w:val="none"/>
                <w:lang w:val="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rPr>
              <w:t>响应</w:t>
            </w:r>
            <w:r>
              <w:rPr>
                <w:rFonts w:hint="eastAsia" w:ascii="宋体" w:hAnsi="宋体" w:eastAsia="宋体" w:cs="宋体"/>
                <w:bCs/>
                <w:color w:val="auto"/>
                <w:kern w:val="15"/>
                <w:sz w:val="21"/>
                <w:szCs w:val="21"/>
                <w:highlight w:val="none"/>
                <w:lang w:val="zh-CN"/>
              </w:rPr>
              <w:t>文件递交截止时间</w:t>
            </w:r>
          </w:p>
        </w:tc>
        <w:tc>
          <w:tcPr>
            <w:tcW w:w="6281" w:type="dxa"/>
          </w:tcPr>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hAnsi="宋体" w:cs="宋体"/>
                <w:color w:val="auto"/>
                <w:kern w:val="2"/>
                <w:sz w:val="21"/>
                <w:szCs w:val="21"/>
                <w:highlight w:val="none"/>
                <w:lang w:val="zh-CN"/>
              </w:rPr>
              <w:t>2024年05月17日13时00分</w:t>
            </w:r>
            <w:r>
              <w:rPr>
                <w:rFonts w:hint="eastAsia" w:ascii="宋体" w:hAnsi="宋体" w:eastAsia="宋体" w:cs="宋体"/>
                <w:color w:val="auto"/>
                <w:kern w:val="2"/>
                <w:sz w:val="21"/>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供应商确认收到</w:t>
            </w:r>
          </w:p>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磋商文件澄清的时间</w:t>
            </w:r>
          </w:p>
        </w:tc>
        <w:tc>
          <w:tcPr>
            <w:tcW w:w="6281" w:type="dxa"/>
            <w:vAlign w:val="center"/>
          </w:tcPr>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24小时以内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供应商确认收到</w:t>
            </w:r>
          </w:p>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磋商文件修改的时间</w:t>
            </w:r>
          </w:p>
        </w:tc>
        <w:tc>
          <w:tcPr>
            <w:tcW w:w="6281" w:type="dxa"/>
            <w:vAlign w:val="center"/>
          </w:tcPr>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24小时以内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构成响应文件的其他材料</w:t>
            </w:r>
          </w:p>
        </w:tc>
        <w:tc>
          <w:tcPr>
            <w:tcW w:w="6281" w:type="dxa"/>
            <w:vAlign w:val="center"/>
          </w:tcPr>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eastAsia="zh-CN"/>
              </w:rPr>
            </w:pPr>
            <w:r>
              <w:rPr>
                <w:rFonts w:hint="eastAsia" w:hAnsi="宋体" w:cs="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磋商有效期</w:t>
            </w:r>
          </w:p>
        </w:tc>
        <w:tc>
          <w:tcPr>
            <w:tcW w:w="6281" w:type="dxa"/>
          </w:tcPr>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磋商截止之日后</w:t>
            </w:r>
            <w:r>
              <w:rPr>
                <w:rFonts w:hint="eastAsia" w:ascii="宋体" w:hAnsi="宋体" w:eastAsia="宋体" w:cs="宋体"/>
                <w:color w:val="auto"/>
                <w:kern w:val="2"/>
                <w:sz w:val="21"/>
                <w:szCs w:val="21"/>
                <w:highlight w:val="none"/>
                <w:lang w:val="zh-CN" w:eastAsia="zh-CN"/>
              </w:rPr>
              <w:t>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lang w:val="zh-CN"/>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磋商保证金</w:t>
            </w:r>
          </w:p>
        </w:tc>
        <w:tc>
          <w:tcPr>
            <w:tcW w:w="6281" w:type="dxa"/>
            <w:vAlign w:val="center"/>
          </w:tcPr>
          <w:p>
            <w:pPr>
              <w:keepNext w:val="0"/>
              <w:keepLines w:val="0"/>
              <w:suppressLineNumbers w:val="0"/>
              <w:adjustRightInd w:val="0"/>
              <w:snapToGrid w:val="0"/>
              <w:spacing w:before="36" w:beforeLines="15" w:beforeAutospacing="0" w:after="0" w:afterAutospacing="0" w:line="312" w:lineRule="auto"/>
              <w:ind w:left="105" w:leftChars="50" w:right="0"/>
              <w:rPr>
                <w:rFonts w:hint="default" w:ascii="宋体" w:hAnsi="宋体" w:cs="宋体"/>
                <w:b/>
                <w:bCs w:val="0"/>
                <w:color w:val="auto"/>
                <w:sz w:val="21"/>
                <w:szCs w:val="21"/>
                <w:highlight w:val="none"/>
                <w:lang w:val="en-US"/>
              </w:rPr>
            </w:pPr>
            <w:r>
              <w:rPr>
                <w:rFonts w:hint="eastAsia" w:cs="宋体"/>
                <w:b/>
                <w:bCs w:val="0"/>
                <w:color w:val="auto"/>
                <w:sz w:val="21"/>
                <w:szCs w:val="21"/>
                <w:highlight w:val="none"/>
                <w:lang w:val="en-US" w:eastAsia="zh-CN"/>
              </w:rPr>
              <w:t>1、对于</w:t>
            </w:r>
            <w:r>
              <w:rPr>
                <w:rFonts w:hint="eastAsia" w:ascii="宋体" w:hAnsi="宋体" w:cs="宋体"/>
                <w:b/>
                <w:bCs w:val="0"/>
                <w:color w:val="auto"/>
                <w:sz w:val="21"/>
                <w:szCs w:val="21"/>
                <w:highlight w:val="none"/>
              </w:rPr>
              <w:t>诚信纪录良好的供应商</w:t>
            </w:r>
            <w:r>
              <w:rPr>
                <w:rFonts w:hint="eastAsia" w:cs="宋体"/>
                <w:b/>
                <w:bCs w:val="0"/>
                <w:color w:val="auto"/>
                <w:sz w:val="21"/>
                <w:szCs w:val="21"/>
                <w:highlight w:val="none"/>
                <w:lang w:val="en-US" w:eastAsia="zh-CN"/>
              </w:rPr>
              <w:t>不</w:t>
            </w:r>
            <w:r>
              <w:rPr>
                <w:rFonts w:hint="eastAsia" w:ascii="宋体" w:hAnsi="宋体" w:cs="宋体"/>
                <w:b/>
                <w:bCs w:val="0"/>
                <w:color w:val="auto"/>
                <w:sz w:val="21"/>
                <w:szCs w:val="21"/>
                <w:highlight w:val="none"/>
              </w:rPr>
              <w:t>收取磋商保证金，但对于满足《中华人民共和国政府采购法》第二十二条有关规定，经信用中国网站查询存在行政处罚信息的供应商，采购人、采购代理机构可以按规定收取磋商保证金。</w:t>
            </w:r>
            <w:r>
              <w:rPr>
                <w:rFonts w:hint="eastAsia" w:ascii="宋体" w:hAnsi="宋体" w:eastAsia="宋体" w:cs="宋体"/>
                <w:b/>
                <w:bCs w:val="0"/>
                <w:color w:val="auto"/>
                <w:sz w:val="21"/>
                <w:szCs w:val="21"/>
                <w:highlight w:val="none"/>
                <w:lang w:val="en-US" w:eastAsia="zh-CN"/>
              </w:rPr>
              <w:t>符合要求的供应商可在响应文件中提供“信用中国” 网站查询无行政处罚信息的证明材料，并在截止时间前2日将截图发至采购代理机构。</w:t>
            </w:r>
          </w:p>
          <w:p>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
                <w:bCs/>
                <w:color w:val="auto"/>
                <w:sz w:val="21"/>
                <w:szCs w:val="21"/>
                <w:highlight w:val="none"/>
              </w:rPr>
            </w:pPr>
            <w:r>
              <w:rPr>
                <w:rFonts w:hint="eastAsia" w:cs="宋体"/>
                <w:bCs/>
                <w:color w:val="auto"/>
                <w:sz w:val="21"/>
                <w:szCs w:val="21"/>
                <w:highlight w:val="none"/>
                <w:lang w:val="en-US" w:eastAsia="zh-CN"/>
              </w:rPr>
              <w:t>2</w:t>
            </w:r>
            <w:r>
              <w:rPr>
                <w:rFonts w:hint="eastAsia" w:ascii="宋体" w:hAnsi="宋体" w:cs="宋体"/>
                <w:bCs/>
                <w:color w:val="auto"/>
                <w:sz w:val="21"/>
                <w:szCs w:val="21"/>
                <w:highlight w:val="none"/>
              </w:rPr>
              <w:t>、磋商保证金：</w:t>
            </w:r>
            <w:r>
              <w:rPr>
                <w:rFonts w:hint="eastAsia" w:cs="宋体"/>
                <w:bCs/>
                <w:color w:val="auto"/>
                <w:sz w:val="21"/>
                <w:szCs w:val="21"/>
                <w:highlight w:val="none"/>
                <w:lang w:val="en-US" w:eastAsia="zh-CN"/>
              </w:rPr>
              <w:t>6000元</w:t>
            </w:r>
            <w:r>
              <w:rPr>
                <w:rFonts w:hint="eastAsia" w:ascii="宋体" w:hAnsi="宋体" w:cs="宋体"/>
                <w:bCs/>
                <w:color w:val="auto"/>
                <w:sz w:val="21"/>
                <w:szCs w:val="21"/>
                <w:highlight w:val="none"/>
              </w:rPr>
              <w:t>。</w:t>
            </w:r>
          </w:p>
          <w:p>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
                <w:bCs/>
                <w:color w:val="auto"/>
                <w:sz w:val="21"/>
                <w:szCs w:val="21"/>
                <w:highlight w:val="none"/>
              </w:rPr>
            </w:pPr>
            <w:r>
              <w:rPr>
                <w:rFonts w:hint="eastAsia" w:cs="宋体"/>
                <w:bCs/>
                <w:color w:val="auto"/>
                <w:sz w:val="21"/>
                <w:szCs w:val="21"/>
                <w:highlight w:val="none"/>
                <w:lang w:val="en-US" w:eastAsia="zh-CN"/>
              </w:rPr>
              <w:t>3</w:t>
            </w:r>
            <w:r>
              <w:rPr>
                <w:rFonts w:hint="eastAsia" w:ascii="宋体" w:hAnsi="宋体" w:cs="宋体"/>
                <w:bCs/>
                <w:color w:val="auto"/>
                <w:sz w:val="21"/>
                <w:szCs w:val="21"/>
                <w:highlight w:val="none"/>
              </w:rPr>
              <w:t>、递交形式：供应商自主选择支票、汇票、本票、转账、电汇等形式；</w:t>
            </w:r>
          </w:p>
          <w:p>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
                <w:b/>
                <w:bCs w:val="0"/>
                <w:color w:val="auto"/>
                <w:sz w:val="21"/>
                <w:szCs w:val="21"/>
                <w:highlight w:val="none"/>
                <w:lang w:val="zh-CN" w:eastAsia="zh-CN"/>
              </w:rPr>
            </w:pPr>
            <w:r>
              <w:rPr>
                <w:rFonts w:hint="eastAsia" w:ascii="宋体" w:hAnsi="宋体" w:cs="宋体"/>
                <w:b/>
                <w:bCs w:val="0"/>
                <w:color w:val="auto"/>
                <w:sz w:val="21"/>
                <w:szCs w:val="21"/>
                <w:highlight w:val="none"/>
                <w:lang w:val="zh-CN" w:eastAsia="zh-CN"/>
              </w:rPr>
              <w:t>收款单位：长春中泓项目管理咨询有限公司；</w:t>
            </w:r>
          </w:p>
          <w:p>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开户银行：吉林九台农村商业银行股份有限公司长春分行</w:t>
            </w:r>
          </w:p>
          <w:p>
            <w:pPr>
              <w:keepNext w:val="0"/>
              <w:keepLines w:val="0"/>
              <w:suppressLineNumbers w:val="0"/>
              <w:adjustRightInd w:val="0"/>
              <w:snapToGrid w:val="0"/>
              <w:spacing w:before="36" w:beforeLines="15" w:beforeAutospacing="0" w:after="0" w:afterAutospacing="0" w:line="312" w:lineRule="auto"/>
              <w:ind w:left="105" w:leftChars="50" w:right="0"/>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账    号：0710 4490 1101 5200 0362 21</w:t>
            </w:r>
          </w:p>
          <w:p>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
                <w:bCs/>
                <w:color w:val="auto"/>
                <w:sz w:val="21"/>
                <w:szCs w:val="21"/>
                <w:highlight w:val="none"/>
              </w:rPr>
            </w:pPr>
            <w:r>
              <w:rPr>
                <w:rFonts w:hint="eastAsia" w:cs="宋体"/>
                <w:bCs/>
                <w:color w:val="auto"/>
                <w:sz w:val="21"/>
                <w:szCs w:val="21"/>
                <w:highlight w:val="none"/>
                <w:lang w:val="en-US" w:eastAsia="zh-CN"/>
              </w:rPr>
              <w:t>4</w:t>
            </w:r>
            <w:r>
              <w:rPr>
                <w:rFonts w:hint="eastAsia" w:ascii="宋体" w:hAnsi="宋体" w:cs="宋体"/>
                <w:bCs/>
                <w:color w:val="auto"/>
                <w:sz w:val="21"/>
                <w:szCs w:val="21"/>
                <w:highlight w:val="none"/>
              </w:rPr>
              <w:t>、递交时间：供应商应于递交响应文件截止时间前递交，以到账为准。</w:t>
            </w:r>
          </w:p>
          <w:p>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
                <w:bCs/>
                <w:color w:val="auto"/>
                <w:sz w:val="21"/>
                <w:szCs w:val="21"/>
                <w:highlight w:val="none"/>
              </w:rPr>
            </w:pPr>
            <w:r>
              <w:rPr>
                <w:rFonts w:hint="eastAsia" w:ascii="宋体" w:hAnsi="宋体" w:cs="宋体"/>
                <w:bCs/>
                <w:color w:val="auto"/>
                <w:sz w:val="21"/>
                <w:szCs w:val="21"/>
                <w:highlight w:val="none"/>
              </w:rPr>
              <w:t>采用银行保函形式提交的，供应商应当在提交响应文件截止时间前向采购代理机构递交保函原件。</w:t>
            </w:r>
          </w:p>
          <w:p>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
                <w:bCs/>
                <w:color w:val="auto"/>
                <w:sz w:val="21"/>
                <w:szCs w:val="21"/>
                <w:highlight w:val="none"/>
              </w:rPr>
            </w:pPr>
            <w:r>
              <w:rPr>
                <w:rFonts w:hint="eastAsia" w:cs="宋体"/>
                <w:bCs/>
                <w:color w:val="auto"/>
                <w:sz w:val="21"/>
                <w:szCs w:val="21"/>
                <w:highlight w:val="none"/>
                <w:lang w:val="en-US" w:eastAsia="zh-CN"/>
              </w:rPr>
              <w:t>5</w:t>
            </w:r>
            <w:r>
              <w:rPr>
                <w:rFonts w:hint="eastAsia" w:ascii="宋体" w:hAnsi="宋体" w:cs="宋体"/>
                <w:bCs/>
                <w:color w:val="auto"/>
                <w:sz w:val="21"/>
                <w:szCs w:val="21"/>
                <w:highlight w:val="none"/>
              </w:rPr>
              <w:t>、未按竞争性磋商文件要求提交磋商保证金，或提交磋商保证金的账户名称与供应商名称不一致，按照无效投标处理。</w:t>
            </w:r>
          </w:p>
          <w:p>
            <w:pPr>
              <w:keepNext w:val="0"/>
              <w:keepLines w:val="0"/>
              <w:suppressLineNumbers w:val="0"/>
              <w:spacing w:before="0" w:beforeAutospacing="0" w:after="0" w:afterAutospacing="0" w:line="360" w:lineRule="exact"/>
              <w:ind w:left="0" w:right="0" w:firstLine="420" w:firstLineChars="200"/>
              <w:jc w:val="left"/>
              <w:rPr>
                <w:rFonts w:hint="default" w:ascii="宋体" w:hAnsi="宋体" w:eastAsia="宋体" w:cs="宋体"/>
                <w:color w:val="auto"/>
                <w:kern w:val="2"/>
                <w:sz w:val="21"/>
                <w:szCs w:val="21"/>
                <w:highlight w:val="none"/>
                <w:lang w:val="zh-CN" w:eastAsia="zh-CN"/>
              </w:rPr>
            </w:pPr>
            <w:r>
              <w:rPr>
                <w:rFonts w:hint="eastAsia" w:ascii="宋体" w:hAnsi="宋体" w:cs="宋体"/>
                <w:bCs/>
                <w:color w:val="auto"/>
                <w:sz w:val="21"/>
                <w:szCs w:val="21"/>
                <w:highlight w:val="none"/>
              </w:rPr>
              <w:t>注：供应商应在电汇或转账凭证上明确用途、项目名称及标段。</w:t>
            </w:r>
            <w:r>
              <w:rPr>
                <w:rFonts w:hint="eastAsia" w:ascii="宋体" w:hAnsi="宋体" w:eastAsia="宋体" w:cs="宋体"/>
                <w:color w:val="auto"/>
                <w:sz w:val="21"/>
                <w:szCs w:val="21"/>
                <w:highlight w:val="none"/>
                <w:lang w:val="zh-CN"/>
              </w:rPr>
              <w:t>递交完毕将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lang w:val="zh-CN"/>
              </w:rPr>
              <w:t>保证金递交凭证发送到</w:t>
            </w:r>
            <w:r>
              <w:rPr>
                <w:rFonts w:hint="eastAsia" w:ascii="宋体" w:hAnsi="宋体" w:cs="宋体"/>
                <w:b/>
                <w:bCs/>
                <w:color w:val="auto"/>
                <w:sz w:val="21"/>
                <w:szCs w:val="21"/>
                <w:highlight w:val="none"/>
                <w:lang w:val="en-US" w:eastAsia="zh-CN"/>
              </w:rPr>
              <w:t>997958144</w:t>
            </w:r>
            <w:r>
              <w:rPr>
                <w:rFonts w:hint="eastAsia" w:ascii="宋体" w:hAnsi="宋体" w:eastAsia="宋体" w:cs="宋体"/>
                <w:b/>
                <w:bCs/>
                <w:color w:val="auto"/>
                <w:sz w:val="21"/>
                <w:szCs w:val="21"/>
                <w:highlight w:val="none"/>
                <w:lang w:val="zh-CN"/>
              </w:rPr>
              <w:t>@qq.com</w:t>
            </w:r>
            <w:r>
              <w:rPr>
                <w:rFonts w:hint="eastAsia" w:ascii="宋体" w:hAnsi="宋体" w:eastAsia="宋体" w:cs="宋体"/>
                <w:color w:val="auto"/>
                <w:sz w:val="21"/>
                <w:szCs w:val="21"/>
                <w:highlight w:val="none"/>
                <w:lang w:val="zh-CN"/>
              </w:rPr>
              <w:t>邮箱内，联系项目负责人及时查账。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eastAsia="zh-CN"/>
              </w:rPr>
            </w:pPr>
            <w:r>
              <w:rPr>
                <w:rFonts w:hint="eastAsia" w:ascii="宋体" w:hAnsi="宋体" w:eastAsia="宋体" w:cs="宋体"/>
                <w:bCs/>
                <w:color w:val="auto"/>
                <w:kern w:val="15"/>
                <w:sz w:val="21"/>
                <w:szCs w:val="21"/>
                <w:highlight w:val="none"/>
                <w:lang w:val="zh-CN" w:eastAsia="zh-CN"/>
              </w:rPr>
              <w:t>近年财务状况的年份要求</w:t>
            </w:r>
          </w:p>
        </w:tc>
        <w:tc>
          <w:tcPr>
            <w:tcW w:w="6281" w:type="dxa"/>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18030"/>
                <w:color w:val="auto"/>
                <w:kern w:val="0"/>
                <w:szCs w:val="21"/>
                <w:highlight w:val="none"/>
              </w:rPr>
              <w:t>具有良好的商业信誉和健全的财务会计制度，依法缴纳税收和社会保障资金的良好记录，根据[长财采购[2022]2066号文件]关于加强政府采购信用体系建设简化供应商资格条件有关事项的通知</w:t>
            </w:r>
            <w:r>
              <w:rPr>
                <w:rFonts w:hint="eastAsia" w:ascii="宋体" w:hAnsi="宋体" w:eastAsia="宋体" w:cs="宋体-1803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eastAsia="zh-CN"/>
              </w:rPr>
            </w:pPr>
            <w:r>
              <w:rPr>
                <w:rFonts w:hint="eastAsia" w:ascii="宋体" w:hAnsi="宋体" w:eastAsia="宋体" w:cs="宋体"/>
                <w:bCs/>
                <w:color w:val="auto"/>
                <w:kern w:val="15"/>
                <w:sz w:val="21"/>
                <w:szCs w:val="21"/>
                <w:highlight w:val="none"/>
                <w:lang w:val="zh-CN" w:eastAsia="zh-CN"/>
              </w:rPr>
              <w:t>近年完成的类似项目的年份要求</w:t>
            </w:r>
          </w:p>
        </w:tc>
        <w:tc>
          <w:tcPr>
            <w:tcW w:w="6281" w:type="dxa"/>
            <w:vAlign w:val="center"/>
          </w:tcPr>
          <w:p>
            <w:pPr>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近三年（</w:t>
            </w:r>
            <w:r>
              <w:rPr>
                <w:rFonts w:hint="eastAsia" w:ascii="宋体" w:hAnsi="宋体" w:cs="宋体"/>
                <w:color w:val="auto"/>
                <w:kern w:val="2"/>
                <w:sz w:val="21"/>
                <w:szCs w:val="21"/>
                <w:highlight w:val="none"/>
                <w:lang w:val="en-US" w:eastAsia="zh-CN"/>
              </w:rPr>
              <w:t>2021年1月1日</w:t>
            </w:r>
            <w:r>
              <w:rPr>
                <w:rFonts w:hint="eastAsia" w:ascii="宋体" w:hAnsi="宋体" w:eastAsia="宋体" w:cs="宋体"/>
                <w:color w:val="auto"/>
                <w:kern w:val="2"/>
                <w:sz w:val="21"/>
                <w:szCs w:val="21"/>
                <w:highlight w:val="none"/>
                <w:lang w:val="en-US" w:eastAsia="zh-CN"/>
              </w:rPr>
              <w:t>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近年发生的诉讼及仲裁情况的年份要求</w:t>
            </w:r>
          </w:p>
        </w:tc>
        <w:tc>
          <w:tcPr>
            <w:tcW w:w="6281" w:type="dxa"/>
            <w:vAlign w:val="center"/>
          </w:tcPr>
          <w:p>
            <w:pPr>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近三年（</w:t>
            </w:r>
            <w:r>
              <w:rPr>
                <w:rFonts w:hint="eastAsia" w:ascii="宋体" w:hAnsi="宋体" w:cs="宋体"/>
                <w:color w:val="auto"/>
                <w:kern w:val="2"/>
                <w:sz w:val="21"/>
                <w:szCs w:val="21"/>
                <w:highlight w:val="none"/>
                <w:lang w:val="en-US" w:eastAsia="zh-CN"/>
              </w:rPr>
              <w:t>2021年1月1日</w:t>
            </w:r>
            <w:r>
              <w:rPr>
                <w:rFonts w:hint="eastAsia" w:ascii="宋体" w:hAnsi="宋体" w:eastAsia="宋体" w:cs="宋体"/>
                <w:color w:val="auto"/>
                <w:kern w:val="2"/>
                <w:sz w:val="21"/>
                <w:szCs w:val="21"/>
                <w:highlight w:val="none"/>
                <w:lang w:val="en-US" w:eastAsia="zh-CN"/>
              </w:rPr>
              <w:t>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是否允许递交备选</w:t>
            </w:r>
            <w:r>
              <w:rPr>
                <w:rFonts w:hint="eastAsia" w:ascii="宋体" w:hAnsi="宋体" w:eastAsia="宋体" w:cs="宋体"/>
                <w:bCs/>
                <w:color w:val="auto"/>
                <w:kern w:val="15"/>
                <w:sz w:val="21"/>
                <w:szCs w:val="21"/>
                <w:highlight w:val="none"/>
              </w:rPr>
              <w:t>响应</w:t>
            </w:r>
            <w:r>
              <w:rPr>
                <w:rFonts w:hint="eastAsia" w:ascii="宋体" w:hAnsi="宋体" w:eastAsia="宋体" w:cs="宋体"/>
                <w:bCs/>
                <w:color w:val="auto"/>
                <w:kern w:val="15"/>
                <w:sz w:val="21"/>
                <w:szCs w:val="21"/>
                <w:highlight w:val="none"/>
                <w:lang w:val="zh-CN"/>
              </w:rPr>
              <w:t>方案</w:t>
            </w:r>
          </w:p>
        </w:tc>
        <w:tc>
          <w:tcPr>
            <w:tcW w:w="6281" w:type="dxa"/>
            <w:vAlign w:val="center"/>
          </w:tcPr>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不允许递交备选</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签字或盖章要求</w:t>
            </w:r>
          </w:p>
        </w:tc>
        <w:tc>
          <w:tcPr>
            <w:tcW w:w="6281" w:type="dxa"/>
          </w:tcPr>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响应文件封面、报价函均应加盖供应商印章并经法定代表人或其委托代理人签字或盖章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响应文件副本份数</w:t>
            </w:r>
          </w:p>
        </w:tc>
        <w:tc>
          <w:tcPr>
            <w:tcW w:w="6281" w:type="dxa"/>
            <w:vAlign w:val="center"/>
          </w:tcPr>
          <w:p>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供应商在“政采云”平台（http：//www.zcygov.cn）上制作响应文件一份（此响应文件须上传至“政采云”平台）。 </w:t>
            </w:r>
          </w:p>
          <w:p>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纸质版</w:t>
            </w:r>
            <w:r>
              <w:rPr>
                <w:rFonts w:hint="eastAsia" w:hAnsi="宋体" w:cs="宋体"/>
                <w:color w:val="auto"/>
                <w:kern w:val="2"/>
                <w:sz w:val="21"/>
                <w:szCs w:val="21"/>
                <w:highlight w:val="none"/>
                <w:lang w:val="en-US" w:eastAsia="zh-CN"/>
              </w:rPr>
              <w:t>递交</w:t>
            </w:r>
            <w:r>
              <w:rPr>
                <w:rFonts w:hint="eastAsia" w:ascii="宋体" w:hAnsi="宋体" w:eastAsia="宋体" w:cs="宋体"/>
                <w:color w:val="auto"/>
                <w:kern w:val="2"/>
                <w:sz w:val="21"/>
                <w:szCs w:val="21"/>
                <w:highlight w:val="none"/>
                <w:lang w:val="en-US" w:eastAsia="zh-CN"/>
              </w:rPr>
              <w:t>响应文件份数要求：</w:t>
            </w:r>
            <w:r>
              <w:rPr>
                <w:rFonts w:hint="eastAsia" w:ascii="宋体" w:hAnsi="宋体" w:eastAsia="宋体" w:cs="宋体"/>
                <w:color w:val="auto"/>
                <w:kern w:val="2"/>
                <w:sz w:val="21"/>
                <w:szCs w:val="21"/>
                <w:highlight w:val="none"/>
              </w:rPr>
              <w:t>正本</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份，副本</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份，电子版</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份（U盘）</w:t>
            </w:r>
            <w:r>
              <w:rPr>
                <w:rFonts w:hint="eastAsia" w:ascii="宋体" w:hAnsi="宋体" w:eastAsia="宋体" w:cs="宋体"/>
                <w:color w:val="auto"/>
                <w:kern w:val="2"/>
                <w:sz w:val="21"/>
                <w:szCs w:val="21"/>
                <w:highlight w:val="none"/>
                <w:lang w:val="en-US" w:eastAsia="zh-CN"/>
              </w:rPr>
              <w:t xml:space="preserve"> </w:t>
            </w:r>
          </w:p>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注：</w:t>
            </w:r>
            <w:r>
              <w:rPr>
                <w:rFonts w:hint="eastAsia" w:ascii="宋体" w:hAnsi="宋体" w:eastAsia="宋体" w:cs="宋体"/>
                <w:b/>
                <w:bCs/>
                <w:color w:val="auto"/>
                <w:kern w:val="2"/>
                <w:sz w:val="21"/>
                <w:szCs w:val="21"/>
                <w:highlight w:val="none"/>
                <w:lang w:val="zh-CN" w:eastAsia="zh-CN"/>
              </w:rPr>
              <w:t>（</w:t>
            </w:r>
            <w:r>
              <w:rPr>
                <w:rFonts w:hint="eastAsia" w:ascii="宋体" w:hAnsi="宋体" w:eastAsia="宋体" w:cs="宋体"/>
                <w:b/>
                <w:bCs/>
                <w:color w:val="auto"/>
                <w:kern w:val="2"/>
                <w:sz w:val="21"/>
                <w:szCs w:val="21"/>
                <w:highlight w:val="none"/>
                <w:lang w:val="en-US" w:eastAsia="zh-CN"/>
              </w:rPr>
              <w:t>纸质版响应文件逾期未送达，按未响应磋商文件处理</w:t>
            </w:r>
            <w:r>
              <w:rPr>
                <w:rFonts w:hint="eastAsia" w:ascii="宋体" w:hAnsi="宋体" w:eastAsia="宋体" w:cs="宋体"/>
                <w:b/>
                <w:bCs/>
                <w:color w:val="auto"/>
                <w:kern w:val="2"/>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装订要求</w:t>
            </w:r>
          </w:p>
        </w:tc>
        <w:tc>
          <w:tcPr>
            <w:tcW w:w="6281" w:type="dxa"/>
          </w:tcPr>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响应文件</w:t>
            </w:r>
            <w:r>
              <w:rPr>
                <w:rFonts w:hint="eastAsia" w:ascii="宋体" w:hAnsi="宋体" w:eastAsia="宋体" w:cs="宋体"/>
                <w:color w:val="auto"/>
                <w:kern w:val="2"/>
                <w:sz w:val="21"/>
                <w:szCs w:val="21"/>
                <w:highlight w:val="none"/>
                <w:lang w:val="en-US" w:eastAsia="zh-CN"/>
              </w:rPr>
              <w:t>正、副本一同合包密封，要求</w:t>
            </w:r>
            <w:r>
              <w:rPr>
                <w:rFonts w:hint="eastAsia" w:ascii="宋体" w:hAnsi="宋体" w:eastAsia="宋体" w:cs="宋体"/>
                <w:color w:val="auto"/>
                <w:kern w:val="2"/>
                <w:sz w:val="21"/>
                <w:szCs w:val="21"/>
                <w:highlight w:val="none"/>
              </w:rPr>
              <w:t>装订要整齐、牢固，编制目录，便于保管和利用，不能采用活页装订方式。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eastAsia="宋体" w:cs="宋体"/>
                <w:bCs/>
                <w:color w:val="auto"/>
                <w:sz w:val="21"/>
                <w:szCs w:val="21"/>
                <w:highlight w:val="none"/>
                <w:lang w:val="en-US" w:eastAsia="zh-CN"/>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Cs/>
                <w:color w:val="auto"/>
                <w:kern w:val="15"/>
                <w:sz w:val="21"/>
                <w:szCs w:val="21"/>
                <w:highlight w:val="none"/>
                <w:lang w:val="zh-CN"/>
              </w:rPr>
            </w:pPr>
            <w:r>
              <w:rPr>
                <w:rFonts w:hint="eastAsia" w:ascii="宋体" w:hAnsi="宋体" w:cs="宋体"/>
                <w:color w:val="auto"/>
                <w:szCs w:val="21"/>
                <w:highlight w:val="none"/>
              </w:rPr>
              <w:t>封套上写明</w:t>
            </w:r>
          </w:p>
        </w:tc>
        <w:tc>
          <w:tcPr>
            <w:tcW w:w="6281" w:type="dxa"/>
          </w:tcPr>
          <w:p>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18030"/>
                <w:color w:val="auto"/>
                <w:kern w:val="0"/>
                <w:szCs w:val="21"/>
                <w:highlight w:val="none"/>
                <w:lang w:val="zh-CN"/>
              </w:rPr>
            </w:pPr>
            <w:r>
              <w:rPr>
                <w:rFonts w:hint="eastAsia" w:ascii="宋体" w:hAnsi="宋体" w:cs="宋体-18030"/>
                <w:color w:val="auto"/>
                <w:kern w:val="0"/>
                <w:szCs w:val="21"/>
                <w:highlight w:val="none"/>
                <w:lang w:val="zh-CN"/>
              </w:rPr>
              <w:t xml:space="preserve">采购人名称： </w:t>
            </w:r>
          </w:p>
          <w:p>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18030"/>
                <w:color w:val="auto"/>
                <w:kern w:val="0"/>
                <w:szCs w:val="21"/>
                <w:highlight w:val="none"/>
                <w:lang w:val="zh-CN"/>
              </w:rPr>
            </w:pPr>
            <w:r>
              <w:rPr>
                <w:rFonts w:hint="eastAsia" w:ascii="宋体" w:hAnsi="宋体" w:cs="宋体-18030"/>
                <w:color w:val="auto"/>
                <w:kern w:val="0"/>
                <w:szCs w:val="21"/>
                <w:highlight w:val="none"/>
                <w:lang w:val="zh-CN"/>
              </w:rPr>
              <w:t xml:space="preserve">采购人地址： </w:t>
            </w:r>
          </w:p>
          <w:p>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eastAsia="宋体" w:cs="宋体-18030"/>
                <w:color w:val="auto"/>
                <w:kern w:val="0"/>
                <w:szCs w:val="21"/>
                <w:highlight w:val="none"/>
                <w:lang w:val="en-US" w:eastAsia="zh-CN"/>
              </w:rPr>
            </w:pPr>
            <w:r>
              <w:rPr>
                <w:rFonts w:hint="eastAsia" w:ascii="宋体" w:hAnsi="宋体" w:cs="宋体"/>
                <w:color w:val="auto"/>
                <w:szCs w:val="21"/>
                <w:highlight w:val="none"/>
              </w:rPr>
              <w:t>供应商</w:t>
            </w:r>
            <w:r>
              <w:rPr>
                <w:rFonts w:hint="eastAsia" w:ascii="宋体" w:hAnsi="宋体" w:cs="宋体-18030"/>
                <w:color w:val="auto"/>
                <w:kern w:val="0"/>
                <w:szCs w:val="21"/>
                <w:highlight w:val="none"/>
                <w:lang w:val="zh-CN"/>
              </w:rPr>
              <w:t>地址：</w:t>
            </w:r>
            <w:r>
              <w:rPr>
                <w:rFonts w:hint="eastAsia" w:ascii="宋体" w:hAnsi="宋体" w:cs="宋体-18030"/>
                <w:color w:val="auto"/>
                <w:kern w:val="0"/>
                <w:szCs w:val="21"/>
                <w:highlight w:val="none"/>
                <w:lang w:val="en-US" w:eastAsia="zh-CN"/>
              </w:rPr>
              <w:t xml:space="preserve"> </w:t>
            </w:r>
          </w:p>
          <w:p>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18030"/>
                <w:color w:val="auto"/>
                <w:kern w:val="0"/>
                <w:szCs w:val="21"/>
                <w:highlight w:val="none"/>
                <w:lang w:val="zh-CN"/>
              </w:rPr>
            </w:pPr>
            <w:r>
              <w:rPr>
                <w:rFonts w:hint="eastAsia" w:ascii="宋体" w:hAnsi="宋体" w:cs="宋体"/>
                <w:color w:val="auto"/>
                <w:szCs w:val="21"/>
                <w:highlight w:val="none"/>
              </w:rPr>
              <w:t>供应商</w:t>
            </w:r>
            <w:r>
              <w:rPr>
                <w:rFonts w:hint="eastAsia" w:ascii="宋体" w:hAnsi="宋体" w:cs="宋体-18030"/>
                <w:color w:val="auto"/>
                <w:kern w:val="0"/>
                <w:szCs w:val="21"/>
                <w:highlight w:val="none"/>
                <w:lang w:val="zh-CN"/>
              </w:rPr>
              <w:t xml:space="preserve">名称： </w:t>
            </w:r>
          </w:p>
          <w:p>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rPr>
            </w:pPr>
            <w:r>
              <w:rPr>
                <w:rFonts w:hint="eastAsia" w:ascii="宋体" w:hAnsi="宋体" w:eastAsia="宋体" w:cs="宋体-18030"/>
                <w:color w:val="auto"/>
                <w:kern w:val="0"/>
                <w:sz w:val="21"/>
                <w:szCs w:val="21"/>
                <w:highlight w:val="none"/>
                <w:lang w:val="zh-CN" w:eastAsia="zh-CN" w:bidi="ar-SA"/>
              </w:rPr>
              <w:t>(项目名称)   响应文件在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递交响应文件地点</w:t>
            </w:r>
          </w:p>
        </w:tc>
        <w:tc>
          <w:tcPr>
            <w:tcW w:w="6281" w:type="dxa"/>
          </w:tcPr>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时间：</w:t>
            </w:r>
            <w:r>
              <w:rPr>
                <w:rFonts w:hint="eastAsia" w:hAnsi="宋体" w:cs="宋体"/>
                <w:color w:val="auto"/>
                <w:kern w:val="2"/>
                <w:sz w:val="21"/>
                <w:szCs w:val="21"/>
                <w:highlight w:val="none"/>
                <w:lang w:val="zh-CN"/>
              </w:rPr>
              <w:t>2024年05月17日13时00分</w:t>
            </w:r>
            <w:r>
              <w:rPr>
                <w:rFonts w:hint="eastAsia" w:ascii="宋体" w:hAnsi="宋体" w:eastAsia="宋体" w:cs="宋体"/>
                <w:color w:val="auto"/>
                <w:kern w:val="2"/>
                <w:sz w:val="21"/>
                <w:szCs w:val="21"/>
                <w:highlight w:val="none"/>
                <w:lang w:val="zh-CN"/>
              </w:rPr>
              <w:t>（北京时间）</w:t>
            </w:r>
          </w:p>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en-US" w:eastAsia="zh-CN"/>
              </w:rPr>
              <w:t>地点：长春市二道区洋浦大街6999号凯利中心AB栋</w:t>
            </w:r>
            <w:r>
              <w:rPr>
                <w:rFonts w:hint="eastAsia" w:hAnsi="宋体" w:cs="宋体"/>
                <w:color w:val="auto"/>
                <w:kern w:val="2"/>
                <w:sz w:val="21"/>
                <w:szCs w:val="21"/>
                <w:highlight w:val="none"/>
                <w:lang w:val="zh-CN" w:eastAsia="zh-CN"/>
              </w:rPr>
              <w:t>开标四室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是否退还响应文件</w:t>
            </w:r>
          </w:p>
        </w:tc>
        <w:tc>
          <w:tcPr>
            <w:tcW w:w="6281" w:type="dxa"/>
            <w:vAlign w:val="center"/>
          </w:tcPr>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磋商时间和地点</w:t>
            </w:r>
          </w:p>
        </w:tc>
        <w:tc>
          <w:tcPr>
            <w:tcW w:w="6281" w:type="dxa"/>
          </w:tcPr>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时间：同响应文件递交截止时间</w:t>
            </w:r>
          </w:p>
          <w:p>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rPr>
              <w:t>地点：</w:t>
            </w:r>
            <w:r>
              <w:rPr>
                <w:rFonts w:hint="eastAsia" w:ascii="宋体" w:hAnsi="宋体" w:eastAsia="宋体" w:cs="宋体"/>
                <w:color w:val="auto"/>
                <w:sz w:val="21"/>
                <w:szCs w:val="21"/>
                <w:highlight w:val="none"/>
                <w:lang w:val="en-US" w:eastAsia="zh-CN"/>
              </w:rPr>
              <w:t>长春市二道区洋浦大街6999号凯利中心AB栋</w:t>
            </w:r>
            <w:r>
              <w:rPr>
                <w:rFonts w:hint="eastAsia" w:hAnsi="宋体" w:cs="宋体"/>
                <w:color w:val="auto"/>
                <w:kern w:val="2"/>
                <w:sz w:val="21"/>
                <w:szCs w:val="21"/>
                <w:highlight w:val="none"/>
                <w:lang w:val="zh-CN" w:eastAsia="zh-CN"/>
              </w:rPr>
              <w:t>开标四室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磋商程序</w:t>
            </w:r>
          </w:p>
        </w:tc>
        <w:tc>
          <w:tcPr>
            <w:tcW w:w="6281" w:type="dxa"/>
          </w:tcPr>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二次报价顺序：按</w:t>
            </w:r>
            <w:r>
              <w:rPr>
                <w:rFonts w:hint="eastAsia" w:ascii="宋体" w:hAnsi="宋体" w:eastAsia="宋体" w:cs="宋体"/>
                <w:color w:val="auto"/>
                <w:kern w:val="2"/>
                <w:sz w:val="21"/>
                <w:szCs w:val="21"/>
                <w:highlight w:val="none"/>
                <w:lang w:val="zh-CN" w:eastAsia="zh-CN"/>
              </w:rPr>
              <w:t>政府采购云平台电子标默认的顺序</w:t>
            </w:r>
            <w:r>
              <w:rPr>
                <w:rFonts w:hint="eastAsia" w:ascii="宋体" w:hAnsi="宋体" w:eastAsia="宋体" w:cs="宋体"/>
                <w:color w:val="auto"/>
                <w:kern w:val="2"/>
                <w:sz w:val="21"/>
                <w:szCs w:val="21"/>
                <w:highlight w:val="none"/>
                <w:lang w:val="en-US" w:eastAsia="zh-CN"/>
              </w:rPr>
              <w:t>或由磋商小组确定的其它方式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评审委员会的组成</w:t>
            </w:r>
          </w:p>
        </w:tc>
        <w:tc>
          <w:tcPr>
            <w:tcW w:w="6281" w:type="dxa"/>
          </w:tcPr>
          <w:p>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磋商小组构成：采购人代表0人、专家3人，共3人组成</w:t>
            </w:r>
          </w:p>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评审专家确定方式：专家从</w:t>
            </w:r>
            <w:r>
              <w:rPr>
                <w:rFonts w:hint="eastAsia" w:ascii="宋体" w:hAnsi="宋体" w:eastAsia="宋体" w:cs="宋体"/>
                <w:color w:val="auto"/>
                <w:kern w:val="2"/>
                <w:sz w:val="21"/>
                <w:szCs w:val="21"/>
                <w:highlight w:val="none"/>
                <w:lang w:val="en-US" w:eastAsia="zh-CN"/>
              </w:rPr>
              <w:t>政采云</w:t>
            </w:r>
            <w:r>
              <w:rPr>
                <w:rFonts w:hint="eastAsia" w:ascii="宋体" w:hAnsi="宋体" w:eastAsia="宋体" w:cs="宋体"/>
                <w:color w:val="auto"/>
                <w:kern w:val="2"/>
                <w:sz w:val="21"/>
                <w:szCs w:val="21"/>
                <w:highlight w:val="none"/>
                <w:lang w:val="zh-CN"/>
              </w:rPr>
              <w:t>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是否授权评审小组确定成交供应商</w:t>
            </w:r>
          </w:p>
        </w:tc>
        <w:tc>
          <w:tcPr>
            <w:tcW w:w="6281" w:type="dxa"/>
            <w:vAlign w:val="center"/>
          </w:tcPr>
          <w:p>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rPr>
              <w:t>否，推荐的成交候选人数：</w:t>
            </w:r>
            <w:r>
              <w:rPr>
                <w:rFonts w:hint="eastAsia" w:hAnsi="宋体" w:cs="宋体"/>
                <w:color w:val="auto"/>
                <w:kern w:val="2"/>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42" w:type="dxa"/>
            <w:vAlign w:val="center"/>
          </w:tcPr>
          <w:p>
            <w:pPr>
              <w:keepNext w:val="0"/>
              <w:keepLines w:val="0"/>
              <w:numPr>
                <w:ilvl w:val="0"/>
                <w:numId w:val="3"/>
              </w:numPr>
              <w:suppressLineNumbers w:val="0"/>
              <w:autoSpaceDE w:val="0"/>
              <w:autoSpaceDN w:val="0"/>
              <w:adjustRightInd w:val="0"/>
              <w:snapToGrid w:val="0"/>
              <w:spacing w:before="36" w:beforeLines="15" w:beforeAutospacing="0" w:after="0" w:afterAutospacing="0" w:line="312" w:lineRule="auto"/>
              <w:ind w:left="454" w:leftChars="0" w:right="0" w:hanging="248" w:firstLineChars="0"/>
              <w:jc w:val="center"/>
              <w:rPr>
                <w:rFonts w:hint="default" w:ascii="宋体" w:hAnsi="宋体" w:eastAsia="宋体" w:cs="宋体"/>
                <w:bCs/>
                <w:color w:val="auto"/>
                <w:sz w:val="21"/>
                <w:szCs w:val="21"/>
                <w:highlight w:val="none"/>
                <w:lang w:val="en-US" w:eastAsia="zh-CN"/>
              </w:rPr>
            </w:pPr>
          </w:p>
        </w:tc>
        <w:tc>
          <w:tcPr>
            <w:tcW w:w="2895" w:type="dxa"/>
            <w:vAlign w:val="center"/>
          </w:tcPr>
          <w:p>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rPr>
              <w:t>成交结果公告媒介及期限</w:t>
            </w:r>
          </w:p>
        </w:tc>
        <w:tc>
          <w:tcPr>
            <w:tcW w:w="6281" w:type="dxa"/>
            <w:vAlign w:val="center"/>
          </w:tcPr>
          <w:p>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中国政府采购网、长春市公共资源交易网</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公示期限：</w:t>
            </w:r>
            <w:r>
              <w:rPr>
                <w:rFonts w:hint="eastAsia" w:ascii="宋体" w:hAnsi="宋体" w:cs="宋体"/>
                <w:color w:val="auto"/>
                <w:sz w:val="21"/>
                <w:szCs w:val="21"/>
                <w:highlight w:val="none"/>
                <w:lang w:eastAsia="zh-CN"/>
              </w:rPr>
              <w:t>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1"/>
                <w:szCs w:val="21"/>
                <w:highlight w:val="none"/>
                <w:lang w:val="en-US" w:eastAsia="zh-CN"/>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评审办法</w:t>
            </w:r>
          </w:p>
        </w:tc>
        <w:tc>
          <w:tcPr>
            <w:tcW w:w="6281" w:type="dxa"/>
            <w:vAlign w:val="center"/>
          </w:tcPr>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综合评分法</w:t>
            </w:r>
            <w:r>
              <w:rPr>
                <w:rFonts w:hint="eastAsia" w:ascii="宋体" w:hAnsi="宋体" w:eastAsia="宋体" w:cs="宋体"/>
                <w:color w:val="auto"/>
                <w:kern w:val="2"/>
                <w:sz w:val="21"/>
                <w:szCs w:val="21"/>
                <w:highlight w:val="none"/>
                <w:lang w:val="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1"/>
                <w:szCs w:val="21"/>
                <w:highlight w:val="none"/>
                <w:lang w:val="en-US" w:eastAsia="zh-CN"/>
              </w:rPr>
            </w:pPr>
          </w:p>
        </w:tc>
        <w:tc>
          <w:tcPr>
            <w:tcW w:w="2895" w:type="dxa"/>
            <w:vMerge w:val="restart"/>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付款条件与比例</w:t>
            </w:r>
          </w:p>
        </w:tc>
        <w:tc>
          <w:tcPr>
            <w:tcW w:w="6281" w:type="dxa"/>
            <w:vAlign w:val="center"/>
          </w:tcPr>
          <w:p>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中小企业中标（成交）的：活动结束并经采购人验收合格后，支付全部合同价款。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continue"/>
            <w:vAlign w:val="center"/>
          </w:tcPr>
          <w:p>
            <w:pPr>
              <w:keepNext w:val="0"/>
              <w:keepLines w:val="0"/>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1"/>
                <w:szCs w:val="21"/>
                <w:highlight w:val="none"/>
                <w:lang w:val="en-US" w:eastAsia="zh-CN"/>
              </w:rPr>
            </w:pPr>
          </w:p>
        </w:tc>
        <w:tc>
          <w:tcPr>
            <w:tcW w:w="2895" w:type="dxa"/>
            <w:vMerge w:val="continue"/>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Cs/>
                <w:color w:val="auto"/>
                <w:kern w:val="15"/>
                <w:sz w:val="21"/>
                <w:szCs w:val="21"/>
                <w:highlight w:val="none"/>
                <w:lang w:val="zh-CN"/>
              </w:rPr>
            </w:pPr>
          </w:p>
        </w:tc>
        <w:tc>
          <w:tcPr>
            <w:tcW w:w="6281" w:type="dxa"/>
            <w:vAlign w:val="center"/>
          </w:tcPr>
          <w:p>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非中小企业中标（成交）的：活动结束并经采购人验收合格后，支付全部合同价款。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1"/>
                <w:szCs w:val="21"/>
                <w:highlight w:val="none"/>
                <w:lang w:val="en-US" w:eastAsia="zh-CN"/>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支付方式</w:t>
            </w:r>
          </w:p>
        </w:tc>
        <w:tc>
          <w:tcPr>
            <w:tcW w:w="6281" w:type="dxa"/>
            <w:vAlign w:val="center"/>
          </w:tcPr>
          <w:p>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本项目合同款通过国库集中支付，采购人按约定的付款时间向长春市财政局提出资金支付申请，则视同采购人已履行了合同付款义务。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2" w:type="dxa"/>
            <w:vMerge w:val="restart"/>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eastAsia="宋体" w:cs="宋体"/>
                <w:bCs/>
                <w:color w:val="auto"/>
                <w:sz w:val="21"/>
                <w:szCs w:val="21"/>
                <w:highlight w:val="none"/>
                <w:lang w:val="en-US" w:eastAsia="zh-CN"/>
              </w:rPr>
            </w:pPr>
          </w:p>
        </w:tc>
        <w:tc>
          <w:tcPr>
            <w:tcW w:w="2895" w:type="dxa"/>
            <w:vMerge w:val="restart"/>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en-US" w:eastAsia="zh-CN"/>
              </w:rPr>
            </w:pPr>
            <w:r>
              <w:rPr>
                <w:rFonts w:hint="eastAsia" w:ascii="宋体" w:hAnsi="宋体" w:eastAsia="宋体" w:cs="宋体"/>
                <w:bCs/>
                <w:color w:val="auto"/>
                <w:kern w:val="15"/>
                <w:sz w:val="21"/>
                <w:szCs w:val="21"/>
                <w:highlight w:val="none"/>
                <w:lang w:val="zh-CN"/>
              </w:rPr>
              <w:t>履约保证金数额</w:t>
            </w:r>
          </w:p>
        </w:tc>
        <w:tc>
          <w:tcPr>
            <w:tcW w:w="6281" w:type="dxa"/>
            <w:vAlign w:val="center"/>
          </w:tcPr>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中小企业中标（成交）的：中标（成交）金额的2%。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2" w:type="dxa"/>
            <w:vMerge w:val="continue"/>
            <w:vAlign w:val="center"/>
          </w:tcPr>
          <w:p>
            <w:pPr>
              <w:keepNext w:val="0"/>
              <w:keepLines w:val="0"/>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eastAsia="宋体" w:cs="宋体"/>
                <w:bCs/>
                <w:color w:val="auto"/>
                <w:sz w:val="21"/>
                <w:szCs w:val="21"/>
                <w:highlight w:val="none"/>
                <w:lang w:val="en-US" w:eastAsia="zh-CN"/>
              </w:rPr>
            </w:pPr>
          </w:p>
        </w:tc>
        <w:tc>
          <w:tcPr>
            <w:tcW w:w="2895" w:type="dxa"/>
            <w:vMerge w:val="continue"/>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Cs/>
                <w:color w:val="auto"/>
                <w:kern w:val="15"/>
                <w:sz w:val="21"/>
                <w:szCs w:val="21"/>
                <w:highlight w:val="none"/>
                <w:lang w:val="en-US" w:eastAsia="zh-CN"/>
              </w:rPr>
            </w:pPr>
          </w:p>
        </w:tc>
        <w:tc>
          <w:tcPr>
            <w:tcW w:w="6281" w:type="dxa"/>
            <w:vAlign w:val="center"/>
          </w:tcPr>
          <w:p>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非中小企业中标（成交）的：中标（成交）金额的5%。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1"/>
                <w:szCs w:val="21"/>
                <w:highlight w:val="none"/>
                <w:lang w:val="en-US" w:eastAsia="zh-CN"/>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履约管理与违约责任</w:t>
            </w:r>
          </w:p>
        </w:tc>
        <w:tc>
          <w:tcPr>
            <w:tcW w:w="6281" w:type="dxa"/>
            <w:vAlign w:val="center"/>
          </w:tcPr>
          <w:p>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1.供应商未能按照采购需求履约，采购人有权责令供应商按采购需求进行限期整改，如供应商拒不整改，影响活动正常开展的，采购人有权立即解除合同。</w:t>
            </w:r>
          </w:p>
          <w:p>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2.由于供应商的原因造成财产损失或人员伤害的，由供应商承担全部责任。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1"/>
                <w:szCs w:val="21"/>
                <w:highlight w:val="none"/>
                <w:lang w:val="en-US" w:eastAsia="zh-CN"/>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验收标准及要求</w:t>
            </w:r>
          </w:p>
        </w:tc>
        <w:tc>
          <w:tcPr>
            <w:tcW w:w="6281" w:type="dxa"/>
            <w:vAlign w:val="center"/>
          </w:tcPr>
          <w:p>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根据采购需求验收，供应商应在活动结束后向采购人提供履约验收材料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1"/>
                <w:szCs w:val="21"/>
                <w:highlight w:val="none"/>
                <w:lang w:val="en-US" w:eastAsia="zh-CN"/>
              </w:rPr>
            </w:pPr>
          </w:p>
        </w:tc>
        <w:tc>
          <w:tcPr>
            <w:tcW w:w="289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采购代理服务费</w:t>
            </w:r>
          </w:p>
        </w:tc>
        <w:tc>
          <w:tcPr>
            <w:tcW w:w="6281" w:type="dxa"/>
          </w:tcPr>
          <w:p>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执行发改价格[2015]299号文件收取招标代理服务费,由中标单位支付</w:t>
            </w:r>
          </w:p>
        </w:tc>
      </w:tr>
    </w:tbl>
    <w:p>
      <w:pPr>
        <w:spacing w:line="400" w:lineRule="exact"/>
        <w:jc w:val="center"/>
        <w:rPr>
          <w:rStyle w:val="97"/>
          <w:rFonts w:ascii="宋体" w:hAnsi="宋体" w:cs="宋体"/>
          <w:color w:val="auto"/>
          <w:highlight w:val="none"/>
        </w:rPr>
      </w:pPr>
      <w:bookmarkStart w:id="16" w:name="_Toc17194"/>
      <w:bookmarkStart w:id="17" w:name="_Toc19175"/>
      <w:r>
        <w:rPr>
          <w:rStyle w:val="97"/>
          <w:rFonts w:hint="eastAsia" w:ascii="宋体" w:hAnsi="宋体" w:cs="宋体"/>
          <w:color w:val="auto"/>
          <w:sz w:val="36"/>
          <w:highlight w:val="none"/>
        </w:rPr>
        <w:br w:type="page"/>
      </w:r>
      <w:bookmarkStart w:id="18" w:name="_Toc30584"/>
      <w:bookmarkStart w:id="19" w:name="_Toc7489"/>
      <w:bookmarkStart w:id="20" w:name="_Toc18368"/>
      <w:bookmarkStart w:id="21" w:name="_Toc14443"/>
      <w:bookmarkStart w:id="22" w:name="_Toc17759"/>
      <w:bookmarkStart w:id="23" w:name="_Toc22669"/>
      <w:bookmarkStart w:id="24" w:name="_Toc10249"/>
      <w:bookmarkStart w:id="25" w:name="_Toc15556"/>
      <w:bookmarkStart w:id="26" w:name="_Toc3286"/>
      <w:bookmarkStart w:id="27" w:name="_Toc29454"/>
      <w:bookmarkStart w:id="28" w:name="_Toc7225"/>
      <w:bookmarkStart w:id="29" w:name="_Toc20165"/>
      <w:r>
        <w:rPr>
          <w:rStyle w:val="97"/>
          <w:rFonts w:hint="eastAsia" w:ascii="宋体" w:hAnsi="宋体" w:cs="宋体"/>
          <w:color w:val="auto"/>
          <w:sz w:val="36"/>
          <w:highlight w:val="none"/>
        </w:rPr>
        <w:t>供应商须知</w:t>
      </w:r>
    </w:p>
    <w:bookmarkEnd w:id="16"/>
    <w:bookmarkEnd w:id="17"/>
    <w:bookmarkEnd w:id="18"/>
    <w:bookmarkEnd w:id="19"/>
    <w:bookmarkEnd w:id="20"/>
    <w:bookmarkEnd w:id="21"/>
    <w:bookmarkEnd w:id="22"/>
    <w:bookmarkEnd w:id="23"/>
    <w:bookmarkEnd w:id="24"/>
    <w:bookmarkEnd w:id="25"/>
    <w:bookmarkEnd w:id="26"/>
    <w:bookmarkEnd w:id="27"/>
    <w:bookmarkEnd w:id="28"/>
    <w:bookmarkEnd w:id="29"/>
    <w:p>
      <w:pPr>
        <w:adjustRightInd w:val="0"/>
        <w:snapToGrid w:val="0"/>
        <w:spacing w:line="500" w:lineRule="exact"/>
        <w:jc w:val="center"/>
        <w:rPr>
          <w:rFonts w:ascii="宋体" w:hAnsi="宋体" w:cs="宋体"/>
          <w:b/>
          <w:bCs/>
          <w:color w:val="auto"/>
          <w:kern w:val="44"/>
          <w:sz w:val="21"/>
          <w:szCs w:val="21"/>
          <w:highlight w:val="none"/>
        </w:rPr>
      </w:pPr>
      <w:r>
        <w:rPr>
          <w:rFonts w:hint="eastAsia" w:ascii="宋体" w:hAnsi="宋体" w:cs="宋体"/>
          <w:b/>
          <w:bCs/>
          <w:color w:val="auto"/>
          <w:kern w:val="44"/>
          <w:sz w:val="21"/>
          <w:szCs w:val="21"/>
          <w:highlight w:val="none"/>
        </w:rPr>
        <w:t>一、  总   则</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宋体" w:hAnsi="宋体" w:cs="宋体"/>
          <w:color w:val="auto"/>
          <w:sz w:val="21"/>
          <w:szCs w:val="21"/>
          <w:highlight w:val="none"/>
          <w:lang w:val="zh-CN"/>
        </w:rPr>
      </w:pPr>
      <w:r>
        <w:rPr>
          <w:rFonts w:hint="eastAsia" w:ascii="宋体" w:hAnsi="宋体" w:cs="宋体"/>
          <w:b/>
          <w:color w:val="auto"/>
          <w:sz w:val="21"/>
          <w:szCs w:val="21"/>
          <w:highlight w:val="none"/>
          <w:lang w:val="zh-CN"/>
        </w:rPr>
        <w:t>1．适用法律：</w:t>
      </w:r>
      <w:r>
        <w:rPr>
          <w:rFonts w:hint="eastAsia" w:ascii="宋体" w:hAnsi="宋体" w:cs="宋体"/>
          <w:color w:val="auto"/>
          <w:sz w:val="21"/>
          <w:szCs w:val="21"/>
          <w:highlight w:val="none"/>
          <w:lang w:val="zh-CN"/>
        </w:rPr>
        <w:t>本次项目适用法律法规为《中华人民共和国招投标法》、《中华人民共和国政府采购法》及其它相关法规。</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2．定义：</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采购人</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指长春市文化广播电视和旅游局（长春市文物局），负责项目的整体规划、需求设计和可行性论证，作为合同的需方，承担质疑答复，合同履行、验收、评价等义务。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采购代理机构</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指长春中泓项目管理咨询有限公司，负责活动的组织工作。</w:t>
      </w:r>
    </w:p>
    <w:p>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7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2.3</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内容</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以项目需求为实际依据。</w:t>
      </w:r>
    </w:p>
    <w:p>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7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2.4</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潜在供应商</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指确认参加磋商的供应商</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响应人。</w:t>
      </w:r>
    </w:p>
    <w:p>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7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2.5</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供应商</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指响应本磋商文件参加磋商的供应商</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响应人。</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宋体" w:hAnsi="宋体" w:cs="宋体"/>
          <w:color w:val="auto"/>
          <w:kern w:val="0"/>
          <w:sz w:val="21"/>
          <w:szCs w:val="21"/>
          <w:highlight w:val="none"/>
          <w:lang w:val="zh-CN"/>
        </w:rPr>
      </w:pPr>
      <w:r>
        <w:rPr>
          <w:rFonts w:hint="eastAsia" w:ascii="宋体" w:hAnsi="宋体" w:cs="宋体"/>
          <w:b/>
          <w:color w:val="auto"/>
          <w:sz w:val="21"/>
          <w:szCs w:val="21"/>
          <w:highlight w:val="none"/>
          <w:lang w:val="zh-CN"/>
        </w:rPr>
        <w:t>3</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zh-CN"/>
        </w:rPr>
        <w:t>合格供应商资格条件要求：见供应商须知前附表</w:t>
      </w:r>
    </w:p>
    <w:p>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textAlignment w:val="auto"/>
        <w:rPr>
          <w:rFonts w:ascii="宋体" w:hAnsi="宋体" w:cs="宋体"/>
          <w:b/>
          <w:color w:val="auto"/>
          <w:kern w:val="0"/>
          <w:sz w:val="21"/>
          <w:szCs w:val="21"/>
          <w:highlight w:val="none"/>
          <w:lang w:val="zh-CN"/>
        </w:rPr>
      </w:pPr>
      <w:r>
        <w:rPr>
          <w:rFonts w:hint="eastAsia" w:ascii="宋体" w:hAnsi="宋体" w:cs="宋体"/>
          <w:b/>
          <w:color w:val="auto"/>
          <w:sz w:val="21"/>
          <w:szCs w:val="21"/>
          <w:highlight w:val="none"/>
          <w:lang w:val="zh-CN"/>
        </w:rPr>
        <w:t>4.项目答疑会：见供应商须知前附表</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宋体" w:hAnsi="宋体" w:cs="宋体"/>
          <w:color w:val="auto"/>
          <w:sz w:val="21"/>
          <w:szCs w:val="21"/>
          <w:highlight w:val="none"/>
          <w:lang w:val="zh-CN"/>
        </w:rPr>
      </w:pPr>
      <w:r>
        <w:rPr>
          <w:rFonts w:hint="eastAsia" w:ascii="宋体" w:hAnsi="宋体" w:cs="宋体"/>
          <w:b/>
          <w:color w:val="auto"/>
          <w:sz w:val="21"/>
          <w:szCs w:val="21"/>
          <w:highlight w:val="none"/>
          <w:lang w:val="zh-CN"/>
        </w:rPr>
        <w:t>5．磋商费用：</w:t>
      </w:r>
      <w:r>
        <w:rPr>
          <w:rFonts w:hint="eastAsia" w:ascii="宋体" w:hAnsi="宋体" w:cs="宋体"/>
          <w:color w:val="auto"/>
          <w:sz w:val="21"/>
          <w:szCs w:val="21"/>
          <w:highlight w:val="none"/>
          <w:lang w:val="zh-CN"/>
        </w:rPr>
        <w:t>供应商应自行承担所有与编写和提交响应文件有关的费用，无论磋商的结果如何，采购人和采购代理机构在任何情况下均无义务和责任承担这些费用。</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6. 竞争性磋商文件：</w:t>
      </w:r>
    </w:p>
    <w:p>
      <w:pPr>
        <w:keepNext w:val="0"/>
        <w:keepLines w:val="0"/>
        <w:pageBreakBefore w:val="0"/>
        <w:widowControl w:val="0"/>
        <w:tabs>
          <w:tab w:val="left" w:pos="1418"/>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6.1 磋商文件的构成：</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第一章   竞争性磋商公告</w:t>
      </w:r>
      <w:r>
        <w:rPr>
          <w:rFonts w:hint="eastAsia" w:ascii="宋体" w:hAnsi="宋体" w:cs="宋体"/>
          <w:color w:val="auto"/>
          <w:sz w:val="21"/>
          <w:szCs w:val="21"/>
          <w:highlight w:val="none"/>
          <w:lang w:val="zh-CN"/>
        </w:rPr>
        <w:tab/>
      </w:r>
    </w:p>
    <w:p>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第二章   供应商须知</w:t>
      </w:r>
      <w:r>
        <w:rPr>
          <w:rFonts w:hint="eastAsia" w:ascii="宋体" w:hAnsi="宋体" w:cs="宋体"/>
          <w:color w:val="auto"/>
          <w:sz w:val="21"/>
          <w:szCs w:val="21"/>
          <w:highlight w:val="none"/>
          <w:lang w:val="zh-CN"/>
        </w:rPr>
        <w:tab/>
      </w:r>
    </w:p>
    <w:p>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第三章   综合评审办法</w:t>
      </w:r>
      <w:r>
        <w:rPr>
          <w:rFonts w:hint="eastAsia" w:ascii="宋体" w:hAnsi="宋体" w:cs="宋体"/>
          <w:color w:val="auto"/>
          <w:sz w:val="21"/>
          <w:szCs w:val="21"/>
          <w:highlight w:val="none"/>
          <w:lang w:val="zh-CN"/>
        </w:rPr>
        <w:tab/>
      </w:r>
    </w:p>
    <w:p>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第四章</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zh-CN"/>
        </w:rPr>
        <w:t>合同格式</w:t>
      </w:r>
      <w:r>
        <w:rPr>
          <w:rFonts w:hint="eastAsia" w:ascii="宋体" w:hAnsi="宋体" w:cs="宋体"/>
          <w:color w:val="auto"/>
          <w:sz w:val="21"/>
          <w:szCs w:val="21"/>
          <w:highlight w:val="none"/>
          <w:lang w:val="zh-CN"/>
        </w:rPr>
        <w:tab/>
      </w:r>
    </w:p>
    <w:p>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第五章  </w:t>
      </w:r>
      <w:r>
        <w:rPr>
          <w:rFonts w:hint="eastAsia" w:ascii="宋体" w:hAnsi="宋体" w:cs="宋体"/>
          <w:color w:val="auto"/>
          <w:sz w:val="21"/>
          <w:szCs w:val="21"/>
          <w:highlight w:val="none"/>
        </w:rPr>
        <w:t xml:space="preserve">技术标准及服务需求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zh-CN"/>
        </w:rPr>
        <w:t>第六章</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zh-CN"/>
        </w:rPr>
        <w:t>响应文件构成、要求及格式</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b/>
          <w:color w:val="auto"/>
          <w:sz w:val="21"/>
          <w:szCs w:val="21"/>
          <w:highlight w:val="none"/>
          <w:lang w:val="zh-CN"/>
        </w:rPr>
      </w:pPr>
      <w:r>
        <w:rPr>
          <w:rFonts w:hint="eastAsia" w:ascii="宋体" w:hAnsi="宋体" w:cs="宋体"/>
          <w:color w:val="auto"/>
          <w:sz w:val="21"/>
          <w:szCs w:val="21"/>
          <w:highlight w:val="none"/>
          <w:lang w:val="zh-CN"/>
        </w:rPr>
        <w:t>6.2 供应商应认真阅读磋商文件中所有事项、格式、条款和规范等要求。如果供应商没有按照磋商文件要求提交全部文件资料或响应文件没有对磋商文件在各方面都做出实质性响应，是供应商的风险。</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7. 磋商文件的澄清和修改</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7.1 </w:t>
      </w:r>
      <w:r>
        <w:rPr>
          <w:rFonts w:hint="eastAsia" w:ascii="宋体" w:hAnsi="宋体" w:cs="宋体"/>
          <w:color w:val="auto"/>
          <w:sz w:val="21"/>
          <w:szCs w:val="21"/>
          <w:highlight w:val="none"/>
        </w:rPr>
        <w:t>任何要求对磋商文件进行澄清的供应商，均应在响应文件提交截止期5天前以书面形式通知</w:t>
      </w:r>
      <w:r>
        <w:rPr>
          <w:rFonts w:hint="eastAsia" w:ascii="宋体" w:hAnsi="宋体" w:cs="宋体"/>
          <w:color w:val="auto"/>
          <w:sz w:val="21"/>
          <w:szCs w:val="21"/>
          <w:highlight w:val="none"/>
          <w:lang w:val="zh-CN"/>
        </w:rPr>
        <w:t>采购</w:t>
      </w:r>
      <w:r>
        <w:rPr>
          <w:rFonts w:hint="eastAsia" w:ascii="宋体" w:hAnsi="宋体" w:cs="宋体"/>
          <w:color w:val="auto"/>
          <w:sz w:val="21"/>
          <w:szCs w:val="21"/>
          <w:highlight w:val="none"/>
        </w:rPr>
        <w:t>方，</w:t>
      </w:r>
      <w:r>
        <w:rPr>
          <w:rFonts w:hint="eastAsia" w:ascii="宋体" w:hAnsi="宋体" w:cs="宋体"/>
          <w:color w:val="auto"/>
          <w:sz w:val="21"/>
          <w:szCs w:val="21"/>
          <w:highlight w:val="none"/>
          <w:lang w:val="zh-CN"/>
        </w:rPr>
        <w:t>采购</w:t>
      </w:r>
      <w:r>
        <w:rPr>
          <w:rFonts w:hint="eastAsia" w:ascii="宋体" w:hAnsi="宋体" w:cs="宋体"/>
          <w:color w:val="auto"/>
          <w:sz w:val="21"/>
          <w:szCs w:val="21"/>
          <w:highlight w:val="none"/>
        </w:rPr>
        <w:t>方对收到的澄清要求将视所提问题具体情况以书面形式予以答复</w:t>
      </w:r>
      <w:r>
        <w:rPr>
          <w:rFonts w:hint="eastAsia" w:ascii="宋体" w:hAnsi="宋体" w:cs="宋体"/>
          <w:color w:val="auto"/>
          <w:sz w:val="21"/>
          <w:szCs w:val="21"/>
          <w:highlight w:val="none"/>
          <w:lang w:val="zh-CN"/>
        </w:rPr>
        <w:t>澄清</w:t>
      </w:r>
      <w:r>
        <w:rPr>
          <w:rFonts w:hint="eastAsia" w:ascii="宋体" w:hAnsi="宋体" w:cs="宋体"/>
          <w:color w:val="auto"/>
          <w:sz w:val="21"/>
          <w:szCs w:val="21"/>
          <w:highlight w:val="none"/>
        </w:rPr>
        <w:t>，同时寄给每个获取磋商文件的供应商或由供应商直接到</w:t>
      </w:r>
      <w:r>
        <w:rPr>
          <w:rFonts w:hint="eastAsia" w:ascii="宋体" w:hAnsi="宋体" w:cs="宋体"/>
          <w:color w:val="auto"/>
          <w:sz w:val="21"/>
          <w:szCs w:val="21"/>
          <w:highlight w:val="none"/>
          <w:lang w:val="zh-CN"/>
        </w:rPr>
        <w:t>采购</w:t>
      </w:r>
      <w:r>
        <w:rPr>
          <w:rFonts w:hint="eastAsia" w:ascii="宋体" w:hAnsi="宋体" w:cs="宋体"/>
          <w:color w:val="auto"/>
          <w:sz w:val="21"/>
          <w:szCs w:val="21"/>
          <w:highlight w:val="none"/>
        </w:rPr>
        <w:t>代理机构领取。供应商应立即以书面形式确认已收到的答复文件。答复中包括所提的问题，但不包括问题的来源。</w:t>
      </w:r>
      <w:r>
        <w:rPr>
          <w:rFonts w:hint="eastAsia" w:ascii="宋体" w:hAnsi="宋体" w:cs="宋体"/>
          <w:color w:val="auto"/>
          <w:sz w:val="21"/>
          <w:szCs w:val="21"/>
          <w:highlight w:val="none"/>
          <w:lang w:val="zh-CN"/>
        </w:rPr>
        <w:t>采购代理机构对收到的供应商书面质疑，将按照政府采购法律规章的规定处理。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7.2 采购人可在响应文件提交截止时间</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日前（含）对磋商文件进行修改、补充。磋商文件的修改、补充文件将以当面交接、传真或电子邮件的方式向潜在供应商发出，并在发布竞争性磋商公告的媒体上公告。</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7.3 磋商文件的澄清、修改、补充文件均是磋商文件的组成部分，对所有供应商具有约束力，而无论其是否已经实际收到该澄清、修改、补充文件（包括答疑会纪要）。供应商若收到该澄清、修改、补充文件，则应立即以书面形式回复确认已收到。</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7.4 为使供应商有充分的时间对磋商文件的澄清、修改、补充部分进行研究，采购代理机构可在响应文件提交截止时间</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日前（含）自行决定酌情延长</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val="zh-CN"/>
        </w:rPr>
        <w:t>截止时间，延长响应文件提交截止时间的公告将在发布竞争性磋商公告的媒体上发告，并以当面交接、传真或电子邮件的方式向所有潜在供应商发出。在这种情况下，采购人和供应商受响应文件提交截止时间制约的所有权利和义务均相应延长至新的响应文件提交截止时间。</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8. 响应文件构成</w:t>
      </w:r>
    </w:p>
    <w:p>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8.1 响应文件分为商务部分和技术部分。商务部分是供应商提交的证明其具有合格的磋商资格和成交后有能力履行合同的文件。技术部分是能够证明供应商所提供货物和服务的合格性和符合磋商文件规定的文件。</w:t>
      </w:r>
    </w:p>
    <w:p>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8.2 供应商应提交本磋商文件第</w:t>
      </w:r>
      <w:r>
        <w:rPr>
          <w:rFonts w:hint="eastAsia" w:ascii="宋体" w:hAnsi="宋体" w:cs="宋体"/>
          <w:color w:val="auto"/>
          <w:kern w:val="0"/>
          <w:sz w:val="21"/>
          <w:szCs w:val="21"/>
          <w:highlight w:val="none"/>
        </w:rPr>
        <w:t>六</w:t>
      </w:r>
      <w:r>
        <w:rPr>
          <w:rFonts w:hint="eastAsia" w:ascii="宋体" w:hAnsi="宋体" w:cs="宋体"/>
          <w:color w:val="auto"/>
          <w:kern w:val="0"/>
          <w:sz w:val="21"/>
          <w:szCs w:val="21"/>
          <w:highlight w:val="none"/>
          <w:lang w:val="zh-CN"/>
        </w:rPr>
        <w:t>章</w:t>
      </w:r>
      <w:r>
        <w:rPr>
          <w:rFonts w:hint="eastAsia" w:ascii="宋体" w:hAnsi="宋体" w:cs="宋体"/>
          <w:color w:val="auto"/>
          <w:sz w:val="21"/>
          <w:szCs w:val="21"/>
          <w:highlight w:val="none"/>
          <w:lang w:val="zh-CN"/>
        </w:rPr>
        <w:t>《响应文件构成、要求及格式》</w:t>
      </w:r>
      <w:r>
        <w:rPr>
          <w:rFonts w:hint="eastAsia" w:ascii="宋体" w:hAnsi="宋体" w:cs="宋体"/>
          <w:color w:val="auto"/>
          <w:kern w:val="0"/>
          <w:sz w:val="21"/>
          <w:szCs w:val="21"/>
          <w:highlight w:val="none"/>
          <w:lang w:val="zh-CN"/>
        </w:rPr>
        <w:t>规定的全部商务文件和技术文件，若有缺失、无效或者不符合磋商文件要求，将导致其被拒绝。</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9. 响应文件的编制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9.1 语言：响应文件以及供应商与采购代理机构就有关投磋商的来往函电均使用中文。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9.2 计量单位：中华人民共和国法定计量单位。</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9.3 响应文件规格应采用A4幅面打印，按照文件规定的顺序，统一编目编码装订。为便于评审，技术文件中的各项表格应按照磋商文件第六章规定的格式制作。</w:t>
      </w:r>
    </w:p>
    <w:p>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9.4 供应商在响应文件以及在合同签订、履行过程中所签署的相关文件中所加盖的公章，均须按照磋商文件的规定加盖与供应商名称全称相一致的标准公章。</w:t>
      </w:r>
    </w:p>
    <w:p>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9.5 </w:t>
      </w:r>
      <w:r>
        <w:rPr>
          <w:rFonts w:hint="eastAsia" w:ascii="宋体" w:hAnsi="宋体" w:cs="宋体"/>
          <w:color w:val="auto"/>
          <w:sz w:val="21"/>
          <w:szCs w:val="21"/>
          <w:highlight w:val="none"/>
          <w:lang w:val="zh-CN"/>
        </w:rPr>
        <w:t>采购</w:t>
      </w:r>
      <w:r>
        <w:rPr>
          <w:rFonts w:hint="eastAsia" w:ascii="宋体" w:hAnsi="宋体" w:cs="宋体"/>
          <w:color w:val="auto"/>
          <w:kern w:val="0"/>
          <w:sz w:val="21"/>
          <w:szCs w:val="21"/>
          <w:highlight w:val="none"/>
          <w:lang w:val="zh-CN"/>
        </w:rPr>
        <w:t>代理机构不接受采用传真方式提交的响应文件。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10. 磋商报价</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10.1 供应商的磋商报价应在磋商预算范围内，超出此范围的磋商报价为</w:t>
      </w:r>
      <w:r>
        <w:rPr>
          <w:rFonts w:hint="eastAsia" w:ascii="宋体" w:hAnsi="宋体" w:cs="宋体"/>
          <w:color w:val="auto"/>
          <w:sz w:val="21"/>
          <w:szCs w:val="21"/>
          <w:highlight w:val="none"/>
        </w:rPr>
        <w:t>无效</w:t>
      </w:r>
      <w:r>
        <w:rPr>
          <w:rFonts w:hint="eastAsia" w:ascii="宋体" w:hAnsi="宋体" w:cs="宋体"/>
          <w:color w:val="auto"/>
          <w:sz w:val="21"/>
          <w:szCs w:val="21"/>
          <w:highlight w:val="none"/>
          <w:lang w:val="zh-CN"/>
        </w:rPr>
        <w:t>响应。</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10.</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供应商所报的价格在合同执行过程中是固定不变的，不得以任何理由予以变更。以可调整的价格提交的响应文件将作为非响应性磋商予以拒绝。</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jc w:val="left"/>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zh-CN"/>
        </w:rPr>
        <w:t>. 磋商有效期</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jc w:val="lef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.1 磋商有效期为</w:t>
      </w:r>
      <w:r>
        <w:rPr>
          <w:rFonts w:hint="eastAsia" w:ascii="宋体" w:hAnsi="宋体" w:cs="宋体"/>
          <w:bCs/>
          <w:color w:val="auto"/>
          <w:kern w:val="15"/>
          <w:sz w:val="21"/>
          <w:szCs w:val="21"/>
          <w:highlight w:val="none"/>
        </w:rPr>
        <w:t>磋商截止之日后</w:t>
      </w:r>
      <w:r>
        <w:rPr>
          <w:rFonts w:hint="eastAsia" w:ascii="宋体" w:hAnsi="宋体" w:cs="宋体"/>
          <w:bCs/>
          <w:color w:val="auto"/>
          <w:sz w:val="21"/>
          <w:szCs w:val="21"/>
          <w:highlight w:val="none"/>
          <w:lang w:val="zh-CN"/>
        </w:rPr>
        <w:t>90天（日历天）</w:t>
      </w:r>
      <w:r>
        <w:rPr>
          <w:rFonts w:hint="eastAsia" w:ascii="宋体" w:hAnsi="宋体" w:cs="宋体"/>
          <w:color w:val="auto"/>
          <w:sz w:val="21"/>
          <w:szCs w:val="21"/>
          <w:highlight w:val="none"/>
          <w:lang w:val="zh-CN"/>
        </w:rPr>
        <w:t>。响应文件在这个规定期限内应保持有效。</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jc w:val="lef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.2 在特殊情况下，采购人可与供应商协商延长磋商有效期。这种要求和答复都应以书面形式进行。供应商可以拒绝接受延期要求而不会被没收磋商保证金。同意延长磋商有效期的供应商除按照采购人要求修改响应文件的有效期外，不能修改响应文件的其他内容。</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jc w:val="left"/>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zh-CN"/>
        </w:rPr>
        <w:t>. 响应文件的式样和签署</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jc w:val="lef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.1 响应文件需打印或用不褪色墨水书写。第六章《响应文件构成、要求及格式》中凡要求签署和/或加盖公章的，均须由供应商的法定代表人或授权代表手书签字和/或加盖供应商公章。响应文件由法定代表人签署的，须与其企业法人营业执照相符；（按第六章规定的格式提交）。</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jc w:val="lef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.2 响应文件中如有修改错漏处，应在修改处加盖供应商公章。</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3</w:t>
      </w:r>
      <w:r>
        <w:rPr>
          <w:rFonts w:hint="eastAsia" w:ascii="宋体" w:hAnsi="宋体" w:cs="宋体"/>
          <w:b/>
          <w:color w:val="auto"/>
          <w:sz w:val="21"/>
          <w:szCs w:val="21"/>
          <w:highlight w:val="none"/>
          <w:lang w:val="zh-CN"/>
        </w:rPr>
        <w:t>. 响应文件的修改和撤回</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.1 供应商在递交响应文件后，可以修改或撤回其响应文件，但采购代理机构必须在规定的响应文件提交截止时间之前收到供应商的修改或撤回的书面通知。</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.2 供应商的修改或撤回通知书应按对响应文件的规定一样进行编制、密封、标记和递交，并标明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修改</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或</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撤回</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字样。</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.3 在响应文件提交截止时间（磋商时间）之后，供应商不得对其响应文件做任何修改（包括磋商一览表的内容）。</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4</w:t>
      </w:r>
      <w:r>
        <w:rPr>
          <w:rFonts w:hint="eastAsia" w:ascii="宋体" w:hAnsi="宋体" w:cs="宋体"/>
          <w:b/>
          <w:color w:val="auto"/>
          <w:sz w:val="21"/>
          <w:szCs w:val="21"/>
          <w:highlight w:val="none"/>
          <w:lang w:val="zh-CN"/>
        </w:rPr>
        <w:t>. 响应文件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.1 供应商应将响应文件装订成册、密封，在信封上标明项目名称、</w:t>
      </w:r>
      <w:r>
        <w:rPr>
          <w:rFonts w:hint="eastAsia" w:ascii="宋体" w:hAnsi="宋体" w:cs="宋体"/>
          <w:color w:val="auto"/>
          <w:sz w:val="21"/>
          <w:szCs w:val="21"/>
          <w:highlight w:val="none"/>
        </w:rPr>
        <w:t>招标</w:t>
      </w:r>
      <w:r>
        <w:rPr>
          <w:rFonts w:hint="eastAsia" w:ascii="宋体" w:hAnsi="宋体" w:cs="宋体"/>
          <w:color w:val="auto"/>
          <w:sz w:val="21"/>
          <w:szCs w:val="21"/>
          <w:highlight w:val="none"/>
          <w:lang w:val="zh-CN"/>
        </w:rPr>
        <w:t>编号、供应商名称、地址，并在封口处加盖供应商公章，在规定的地点和响应文件提交截止时间前递交给采购代理机构。如果供应商没有按照要求密封、标记，采购代理机构对于供应商的</w:t>
      </w:r>
      <w:r>
        <w:rPr>
          <w:rFonts w:hint="eastAsia" w:ascii="宋体" w:hAnsi="宋体" w:cs="宋体"/>
          <w:color w:val="auto"/>
          <w:sz w:val="21"/>
          <w:szCs w:val="21"/>
          <w:highlight w:val="none"/>
        </w:rPr>
        <w:t>错误响应</w:t>
      </w:r>
      <w:r>
        <w:rPr>
          <w:rFonts w:hint="eastAsia" w:ascii="宋体" w:hAnsi="宋体" w:cs="宋体"/>
          <w:color w:val="auto"/>
          <w:sz w:val="21"/>
          <w:szCs w:val="21"/>
          <w:highlight w:val="none"/>
          <w:lang w:val="zh-CN"/>
        </w:rPr>
        <w:t>以及提前拆封概不负责。</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.2 响应文件份数：供应商应提交响应文件正本1份、副本</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val="zh-CN"/>
        </w:rPr>
        <w:t>份，电子版</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val="zh-CN"/>
        </w:rPr>
        <w:t>份（单独密封），并标明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正本</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副本</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字样，</w:t>
      </w:r>
      <w:r>
        <w:rPr>
          <w:rFonts w:hint="eastAsia" w:ascii="宋体" w:hAnsi="宋体" w:cs="宋体"/>
          <w:color w:val="auto"/>
          <w:sz w:val="21"/>
          <w:szCs w:val="21"/>
          <w:highlight w:val="none"/>
          <w:lang w:val="en-US" w:eastAsia="zh-CN"/>
        </w:rPr>
        <w:t>副本可以是正本的复印件，但必须加盖骑缝章。</w:t>
      </w:r>
      <w:r>
        <w:rPr>
          <w:rFonts w:hint="eastAsia" w:ascii="宋体" w:hAnsi="宋体" w:cs="宋体"/>
          <w:color w:val="auto"/>
          <w:sz w:val="21"/>
          <w:szCs w:val="21"/>
          <w:highlight w:val="none"/>
          <w:lang w:val="zh-CN"/>
        </w:rPr>
        <w:t>当正本与副本内容不一致时，以正本为准。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.3 供应商应按第</w:t>
      </w:r>
      <w:r>
        <w:rPr>
          <w:rFonts w:hint="eastAsia" w:ascii="宋体" w:hAnsi="宋体" w:cs="宋体"/>
          <w:color w:val="auto"/>
          <w:sz w:val="21"/>
          <w:szCs w:val="21"/>
          <w:highlight w:val="none"/>
        </w:rPr>
        <w:t>六</w:t>
      </w:r>
      <w:r>
        <w:rPr>
          <w:rFonts w:hint="eastAsia" w:ascii="宋体" w:hAnsi="宋体" w:cs="宋体"/>
          <w:color w:val="auto"/>
          <w:sz w:val="21"/>
          <w:szCs w:val="21"/>
          <w:highlight w:val="none"/>
          <w:lang w:val="zh-CN"/>
        </w:rPr>
        <w:t>章《响应文件构成、要求及格式》中的格式和要求单独编制一份《磋商一览表》，按照对响应文件同样的要求单独密封和标记，与响应文件同时递交。</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.4 采购代理机构将拒绝接受并原封退回在规定的响应文件提交截止时间以后递交的响应文件。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5</w:t>
      </w:r>
      <w:r>
        <w:rPr>
          <w:rFonts w:hint="eastAsia" w:ascii="宋体" w:hAnsi="宋体" w:cs="宋体"/>
          <w:b/>
          <w:color w:val="auto"/>
          <w:sz w:val="21"/>
          <w:szCs w:val="21"/>
          <w:highlight w:val="none"/>
          <w:lang w:val="zh-CN"/>
        </w:rPr>
        <w:t>. 磋商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.1采购代理机构将在竞争性磋商公告规定的时间和地点组织磋商活动。供应商法定代表人或其授权代理人应参加并签名报到以证明其出席。</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.2 磋商会议由采购代理机构组织并主持。开启文件前，</w:t>
      </w:r>
      <w:r>
        <w:rPr>
          <w:rFonts w:hint="eastAsia" w:ascii="宋体" w:hAnsi="宋体" w:cs="宋体"/>
          <w:color w:val="auto"/>
          <w:kern w:val="0"/>
          <w:sz w:val="21"/>
          <w:szCs w:val="21"/>
          <w:highlight w:val="none"/>
          <w:lang w:val="zh-CN"/>
        </w:rPr>
        <w:t>由监督人员或者供应商代表检查响应文件的密封情况并当场宣布检查情况。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按照供应商须知第14条的规定，提交了可接受的</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撤回</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通知的响应文件将不予开封。撤回的响应文件将原封退回供应商。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Cs/>
          <w:color w:val="auto"/>
          <w:sz w:val="21"/>
          <w:szCs w:val="21"/>
          <w:highlight w:val="none"/>
        </w:rPr>
        <w:t>15.4</w:t>
      </w:r>
      <w:r>
        <w:rPr>
          <w:rFonts w:hint="eastAsia" w:ascii="宋体" w:hAnsi="宋体" w:cs="宋体"/>
          <w:b/>
          <w:color w:val="auto"/>
          <w:sz w:val="21"/>
          <w:szCs w:val="21"/>
          <w:highlight w:val="none"/>
          <w:lang w:val="zh-CN"/>
        </w:rPr>
        <w:t>磋商会议时有下列情形之一的为无效磋商：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（1）响应文件在规定的响应文件提交截止时间以后送达的；</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）响应文件未按磋商文件规定密封的；</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）未提交单独密封的磋商一览表或者磋商一览表未按规定加盖公章和/或有效签署的；</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）磋商文件规定磋商时属于无效磋商的其他情形。</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Cs/>
          <w:color w:val="auto"/>
          <w:sz w:val="21"/>
          <w:szCs w:val="21"/>
          <w:highlight w:val="none"/>
        </w:rPr>
        <w:t>15.5</w:t>
      </w:r>
      <w:r>
        <w:rPr>
          <w:rFonts w:hint="eastAsia" w:ascii="宋体" w:hAnsi="宋体" w:cs="宋体"/>
          <w:bCs/>
          <w:color w:val="auto"/>
          <w:sz w:val="21"/>
          <w:szCs w:val="21"/>
          <w:highlight w:val="none"/>
          <w:lang w:val="zh-CN"/>
        </w:rPr>
        <w:t xml:space="preserve"> </w:t>
      </w:r>
      <w:r>
        <w:rPr>
          <w:rFonts w:hint="eastAsia" w:ascii="宋体" w:hAnsi="宋体" w:cs="宋体"/>
          <w:b/>
          <w:color w:val="auto"/>
          <w:sz w:val="21"/>
          <w:szCs w:val="21"/>
          <w:highlight w:val="none"/>
          <w:lang w:val="zh-CN"/>
        </w:rPr>
        <w:t>磋商会议时有下列情形之一的，采购代理机构有权宣布本项目</w:t>
      </w:r>
      <w:r>
        <w:rPr>
          <w:rFonts w:hint="eastAsia" w:ascii="宋体" w:hAnsi="宋体" w:cs="宋体"/>
          <w:b/>
          <w:color w:val="auto"/>
          <w:sz w:val="21"/>
          <w:szCs w:val="21"/>
          <w:highlight w:val="none"/>
        </w:rPr>
        <w:t>为无效</w:t>
      </w:r>
      <w:r>
        <w:rPr>
          <w:rFonts w:hint="eastAsia" w:ascii="宋体" w:hAnsi="宋体" w:cs="宋体"/>
          <w:b/>
          <w:color w:val="auto"/>
          <w:sz w:val="21"/>
          <w:szCs w:val="21"/>
          <w:highlight w:val="none"/>
          <w:lang w:val="zh-CN"/>
        </w:rPr>
        <w:t>磋商：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（1）响应文件提交截止时间符合磋商文件要求的供应商不足</w:t>
      </w:r>
      <w:r>
        <w:rPr>
          <w:rFonts w:hint="eastAsia" w:ascii="宋体" w:hAnsi="宋体" w:cs="宋体"/>
          <w:color w:val="auto"/>
          <w:sz w:val="21"/>
          <w:szCs w:val="21"/>
          <w:highlight w:val="none"/>
        </w:rPr>
        <w:t>三</w:t>
      </w:r>
      <w:r>
        <w:rPr>
          <w:rFonts w:hint="eastAsia" w:ascii="宋体" w:hAnsi="宋体" w:cs="宋体"/>
          <w:color w:val="auto"/>
          <w:sz w:val="21"/>
          <w:szCs w:val="21"/>
          <w:highlight w:val="none"/>
          <w:lang w:val="zh-CN"/>
        </w:rPr>
        <w:t>家的；</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b/>
          <w:color w:val="auto"/>
          <w:sz w:val="21"/>
          <w:szCs w:val="21"/>
          <w:highlight w:val="none"/>
          <w:lang w:val="zh-CN"/>
        </w:rPr>
      </w:pPr>
      <w:r>
        <w:rPr>
          <w:rFonts w:hint="eastAsia" w:ascii="宋体" w:hAnsi="宋体" w:cs="宋体"/>
          <w:color w:val="auto"/>
          <w:sz w:val="21"/>
          <w:szCs w:val="21"/>
          <w:highlight w:val="none"/>
          <w:lang w:val="zh-CN"/>
        </w:rPr>
        <w:t>（2）所有供应商的报价均超过项目预算，采购人不能支付的。</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6</w:t>
      </w:r>
      <w:r>
        <w:rPr>
          <w:rFonts w:hint="eastAsia" w:ascii="宋体" w:hAnsi="宋体" w:cs="宋体"/>
          <w:b/>
          <w:color w:val="auto"/>
          <w:sz w:val="21"/>
          <w:szCs w:val="21"/>
          <w:highlight w:val="none"/>
          <w:lang w:val="zh-CN"/>
        </w:rPr>
        <w:t>. 评审过程的保密性：</w:t>
      </w:r>
      <w:r>
        <w:rPr>
          <w:rFonts w:hint="eastAsia" w:ascii="宋体" w:hAnsi="宋体" w:cs="宋体"/>
          <w:color w:val="auto"/>
          <w:sz w:val="21"/>
          <w:szCs w:val="21"/>
          <w:highlight w:val="none"/>
          <w:lang w:val="zh-CN"/>
        </w:rPr>
        <w:t>磋商会议开始后，直至向成交供应商授予合同时止，除按磋商文件规定予以公开的评审结果外，凡与审查、澄清、评价的资料等，均不得向供应商及与评审无关的其他人透露。</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rPr>
        <w:t>17</w:t>
      </w:r>
      <w:r>
        <w:rPr>
          <w:rFonts w:hint="eastAsia" w:ascii="宋体" w:hAnsi="宋体" w:cs="宋体"/>
          <w:b/>
          <w:color w:val="auto"/>
          <w:sz w:val="21"/>
          <w:szCs w:val="21"/>
          <w:highlight w:val="none"/>
          <w:lang w:val="zh-CN"/>
        </w:rPr>
        <w:t>. 评审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w:t>
      </w:r>
      <w:r>
        <w:rPr>
          <w:rFonts w:hint="eastAsia" w:ascii="宋体" w:hAnsi="宋体" w:cs="宋体"/>
          <w:bCs/>
          <w:color w:val="auto"/>
          <w:sz w:val="21"/>
          <w:szCs w:val="21"/>
          <w:highlight w:val="none"/>
          <w:lang w:val="zh-CN"/>
        </w:rPr>
        <w:t>.1</w:t>
      </w:r>
      <w:r>
        <w:rPr>
          <w:rFonts w:hint="eastAsia" w:ascii="宋体" w:hAnsi="宋体" w:cs="宋体"/>
          <w:b/>
          <w:color w:val="auto"/>
          <w:sz w:val="21"/>
          <w:szCs w:val="21"/>
          <w:highlight w:val="none"/>
          <w:lang w:val="zh-CN"/>
        </w:rPr>
        <w:t xml:space="preserve"> 评审工作由采购代理机构负责组织，具体工作由依法组建的磋商小组负责。</w:t>
      </w:r>
      <w:r>
        <w:rPr>
          <w:rFonts w:hint="eastAsia" w:ascii="宋体" w:hAnsi="宋体" w:cs="宋体"/>
          <w:color w:val="auto"/>
          <w:sz w:val="21"/>
          <w:szCs w:val="21"/>
          <w:highlight w:val="none"/>
          <w:lang w:val="zh-CN"/>
        </w:rPr>
        <w:t>磋商小组由有关的技术、经济方面的专家组成。磋商小组的专家成员由专家库中随机抽取产生。需要设立磋商小组主任的，磋商小组主任由专家担任，由磋商小组成员选举产生，负责主持具体评审工作。磋商小组根据有关法律法规和磋商文件规定的方法和标准独立评审，负责完成评审的全过程直至评定成交候选供应商。采购代理机构只负责评审组织工作，不参加评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w:t>
      </w:r>
      <w:r>
        <w:rPr>
          <w:rFonts w:hint="eastAsia" w:ascii="宋体" w:hAnsi="宋体" w:cs="宋体"/>
          <w:bCs/>
          <w:color w:val="auto"/>
          <w:sz w:val="21"/>
          <w:szCs w:val="21"/>
          <w:highlight w:val="none"/>
          <w:lang w:val="zh-CN"/>
        </w:rPr>
        <w:t>.2</w:t>
      </w:r>
      <w:r>
        <w:rPr>
          <w:rFonts w:hint="eastAsia" w:ascii="宋体" w:hAnsi="宋体" w:cs="宋体"/>
          <w:b/>
          <w:color w:val="auto"/>
          <w:sz w:val="21"/>
          <w:szCs w:val="21"/>
          <w:highlight w:val="none"/>
          <w:lang w:val="zh-CN"/>
        </w:rPr>
        <w:t xml:space="preserve"> 审查是否所有供应商的报价均超过预算：</w:t>
      </w:r>
      <w:r>
        <w:rPr>
          <w:rFonts w:hint="eastAsia" w:ascii="宋体" w:hAnsi="宋体" w:cs="宋体"/>
          <w:color w:val="auto"/>
          <w:sz w:val="21"/>
          <w:szCs w:val="21"/>
          <w:highlight w:val="none"/>
          <w:lang w:val="zh-CN"/>
        </w:rPr>
        <w:t>根据《中华人民共和国政府</w:t>
      </w:r>
      <w:r>
        <w:rPr>
          <w:rFonts w:hint="eastAsia" w:ascii="宋体" w:hAnsi="宋体" w:cs="宋体"/>
          <w:bCs/>
          <w:color w:val="auto"/>
          <w:sz w:val="21"/>
          <w:szCs w:val="21"/>
          <w:highlight w:val="none"/>
          <w:lang w:val="zh-CN"/>
        </w:rPr>
        <w:t>采购法》的规定，所有供应商的报价均超过预算，采购人不能支付的，</w:t>
      </w:r>
      <w:r>
        <w:rPr>
          <w:rFonts w:hint="eastAsia" w:ascii="宋体" w:hAnsi="宋体" w:cs="宋体"/>
          <w:bCs/>
          <w:color w:val="auto"/>
          <w:sz w:val="21"/>
          <w:szCs w:val="21"/>
          <w:highlight w:val="none"/>
        </w:rPr>
        <w:t>本项目为无</w:t>
      </w:r>
      <w:r>
        <w:rPr>
          <w:rFonts w:hint="eastAsia" w:ascii="宋体" w:hAnsi="宋体" w:cs="宋体"/>
          <w:color w:val="auto"/>
          <w:sz w:val="21"/>
          <w:szCs w:val="21"/>
          <w:highlight w:val="none"/>
        </w:rPr>
        <w:t>效磋商</w:t>
      </w:r>
      <w:r>
        <w:rPr>
          <w:rFonts w:hint="eastAsia" w:ascii="宋体" w:hAnsi="宋体" w:cs="宋体"/>
          <w:color w:val="auto"/>
          <w:sz w:val="21"/>
          <w:szCs w:val="21"/>
          <w:highlight w:val="none"/>
          <w:lang w:val="zh-CN"/>
        </w:rPr>
        <w:t>。</w:t>
      </w:r>
    </w:p>
    <w:p>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bCs/>
          <w:color w:val="auto"/>
          <w:sz w:val="21"/>
          <w:szCs w:val="21"/>
          <w:highlight w:val="none"/>
          <w:lang w:val="zh-CN"/>
        </w:rPr>
        <w:t>1</w:t>
      </w:r>
      <w:r>
        <w:rPr>
          <w:rFonts w:hint="eastAsia" w:ascii="宋体" w:hAnsi="宋体" w:cs="宋体"/>
          <w:bCs/>
          <w:color w:val="auto"/>
          <w:sz w:val="21"/>
          <w:szCs w:val="21"/>
          <w:highlight w:val="none"/>
        </w:rPr>
        <w:t>7</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rPr>
        <w:t>3</w:t>
      </w:r>
      <w:r>
        <w:rPr>
          <w:rFonts w:hint="eastAsia" w:ascii="宋体" w:hAnsi="宋体" w:cs="宋体"/>
          <w:bCs/>
          <w:color w:val="auto"/>
          <w:sz w:val="21"/>
          <w:szCs w:val="21"/>
          <w:highlight w:val="none"/>
          <w:lang w:val="zh-CN"/>
        </w:rPr>
        <w:t xml:space="preserve"> </w:t>
      </w:r>
      <w:r>
        <w:rPr>
          <w:rFonts w:hint="eastAsia" w:ascii="宋体" w:hAnsi="宋体" w:cs="宋体"/>
          <w:b/>
          <w:color w:val="auto"/>
          <w:sz w:val="21"/>
          <w:szCs w:val="21"/>
          <w:highlight w:val="none"/>
          <w:lang w:val="zh-CN"/>
        </w:rPr>
        <w:t>对响应文件商务部分（供应商资格）进行审查：</w:t>
      </w:r>
      <w:r>
        <w:rPr>
          <w:rFonts w:hint="eastAsia" w:ascii="宋体" w:hAnsi="宋体" w:cs="宋体"/>
          <w:color w:val="auto"/>
          <w:sz w:val="21"/>
          <w:szCs w:val="21"/>
          <w:highlight w:val="none"/>
        </w:rPr>
        <w:t>初步评审。</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小组依据有关法律法规和综合</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文件的规定，对响应性文件中资质证明、磋商保证金等进行审查，审查每个供应商提交的资质证明材料是否齐全、完整、合法、有效。在评审过程中，</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小组可以要求供应商提供磋商文件要求的“原件备查”进行核查，供应商应在</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小组规定的时限内提供。供应商拒不提供的，或者不能在规定时限内提供的，视为其不具备该资格条件，其响应性文件将被作为无效处理。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rPr>
        <w:t>4</w:t>
      </w:r>
      <w:r>
        <w:rPr>
          <w:rFonts w:hint="eastAsia" w:ascii="宋体" w:hAnsi="宋体" w:cs="宋体"/>
          <w:b/>
          <w:color w:val="auto"/>
          <w:sz w:val="21"/>
          <w:szCs w:val="21"/>
          <w:highlight w:val="none"/>
          <w:lang w:val="zh-CN"/>
        </w:rPr>
        <w:t>对响应文件进行详细审查：</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lang w:val="zh-CN"/>
        </w:rPr>
        <w:t>1</w:t>
      </w:r>
      <w:r>
        <w:rPr>
          <w:rFonts w:hint="eastAsia" w:ascii="宋体" w:hAnsi="宋体" w:cs="宋体"/>
          <w:bCs/>
          <w:color w:val="auto"/>
          <w:sz w:val="21"/>
          <w:szCs w:val="21"/>
          <w:highlight w:val="none"/>
        </w:rPr>
        <w:t>7</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rPr>
        <w:t>4</w:t>
      </w:r>
      <w:r>
        <w:rPr>
          <w:rFonts w:hint="eastAsia" w:ascii="宋体" w:hAnsi="宋体" w:cs="宋体"/>
          <w:bCs/>
          <w:color w:val="auto"/>
          <w:sz w:val="21"/>
          <w:szCs w:val="21"/>
          <w:highlight w:val="none"/>
          <w:lang w:val="zh-CN"/>
        </w:rPr>
        <w:t>.1</w:t>
      </w:r>
      <w:r>
        <w:rPr>
          <w:rFonts w:hint="eastAsia" w:ascii="宋体" w:hAnsi="宋体" w:cs="宋体"/>
          <w:b/>
          <w:color w:val="auto"/>
          <w:sz w:val="21"/>
          <w:szCs w:val="21"/>
          <w:highlight w:val="none"/>
          <w:lang w:val="zh-CN"/>
        </w:rPr>
        <w:t xml:space="preserve"> </w:t>
      </w:r>
      <w:r>
        <w:rPr>
          <w:rFonts w:hint="eastAsia" w:ascii="宋体" w:hAnsi="宋体" w:cs="宋体"/>
          <w:color w:val="auto"/>
          <w:sz w:val="21"/>
          <w:szCs w:val="21"/>
          <w:highlight w:val="none"/>
          <w:lang w:val="zh-CN"/>
        </w:rPr>
        <w:t>对于商务审查合格的供应商，磋商小组将审查其响应文件技术部分是否对磋商文件规定的事项、格式、条款和技术规格等要求都做出了实质性响应。</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Cs/>
          <w:color w:val="auto"/>
          <w:sz w:val="21"/>
          <w:szCs w:val="21"/>
          <w:highlight w:val="none"/>
          <w:lang w:val="zh-CN"/>
        </w:rPr>
        <w:t>1</w:t>
      </w:r>
      <w:r>
        <w:rPr>
          <w:rFonts w:hint="eastAsia" w:ascii="宋体" w:hAnsi="宋体" w:cs="宋体"/>
          <w:bCs/>
          <w:color w:val="auto"/>
          <w:sz w:val="21"/>
          <w:szCs w:val="21"/>
          <w:highlight w:val="none"/>
        </w:rPr>
        <w:t>7</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rPr>
        <w:t>4</w:t>
      </w:r>
      <w:r>
        <w:rPr>
          <w:rFonts w:hint="eastAsia" w:ascii="宋体" w:hAnsi="宋体" w:cs="宋体"/>
          <w:bCs/>
          <w:color w:val="auto"/>
          <w:sz w:val="21"/>
          <w:szCs w:val="21"/>
          <w:highlight w:val="none"/>
          <w:lang w:val="zh-CN"/>
        </w:rPr>
        <w:t xml:space="preserve">.2 </w:t>
      </w:r>
      <w:r>
        <w:rPr>
          <w:rFonts w:hint="eastAsia" w:ascii="宋体" w:hAnsi="宋体" w:cs="宋体"/>
          <w:color w:val="auto"/>
          <w:sz w:val="21"/>
          <w:szCs w:val="21"/>
          <w:highlight w:val="none"/>
          <w:lang w:val="zh-CN"/>
        </w:rPr>
        <w:t>实质性响应的磋商是指与磋商文件规定的事项、条款、条件和技术规格相符，没有重大偏离和保留。没有实质性响应磋商文件要求的将被拒绝。</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lang w:val="zh-CN"/>
        </w:rPr>
        <w:t>1</w:t>
      </w:r>
      <w:r>
        <w:rPr>
          <w:rFonts w:hint="eastAsia" w:ascii="宋体" w:hAnsi="宋体" w:cs="宋体"/>
          <w:bCs/>
          <w:color w:val="auto"/>
          <w:sz w:val="21"/>
          <w:szCs w:val="21"/>
          <w:highlight w:val="none"/>
        </w:rPr>
        <w:t>7</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rPr>
        <w:t>5</w:t>
      </w:r>
      <w:r>
        <w:rPr>
          <w:rFonts w:hint="eastAsia" w:ascii="宋体" w:hAnsi="宋体" w:cs="宋体"/>
          <w:b/>
          <w:color w:val="auto"/>
          <w:sz w:val="21"/>
          <w:szCs w:val="21"/>
          <w:highlight w:val="none"/>
          <w:lang w:val="zh-CN"/>
        </w:rPr>
        <w:t xml:space="preserve"> </w:t>
      </w:r>
      <w:r>
        <w:rPr>
          <w:rFonts w:hint="eastAsia" w:ascii="宋体" w:hAnsi="宋体" w:cs="宋体"/>
          <w:color w:val="auto"/>
          <w:sz w:val="21"/>
          <w:szCs w:val="21"/>
          <w:highlight w:val="none"/>
          <w:lang w:val="zh-CN"/>
        </w:rPr>
        <w:t>重大偏离和保留是指实质上影响合同的磋商范围、质量和性能，或者实质上限制了合同中采购人的权利或供应商的义务。响应文件有下列情形之一的属于重大偏离和保留，将作</w:t>
      </w:r>
      <w:r>
        <w:rPr>
          <w:rFonts w:hint="eastAsia" w:ascii="宋体" w:hAnsi="宋体" w:cs="宋体"/>
          <w:color w:val="auto"/>
          <w:sz w:val="21"/>
          <w:szCs w:val="21"/>
          <w:highlight w:val="none"/>
        </w:rPr>
        <w:t>无效</w:t>
      </w:r>
      <w:r>
        <w:rPr>
          <w:rFonts w:hint="eastAsia" w:ascii="宋体" w:hAnsi="宋体" w:cs="宋体"/>
          <w:color w:val="auto"/>
          <w:sz w:val="21"/>
          <w:szCs w:val="21"/>
          <w:highlight w:val="none"/>
          <w:lang w:val="zh-CN"/>
        </w:rPr>
        <w:t>处理：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（1）供应商未按磋商文件规定提交所要求提交的全部文件或者提交的文件无效或者不符合磋商文件的规定；</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（2）响应文件未按磋商文件的规定有效签署和/或加盖公章；</w:t>
      </w:r>
    </w:p>
    <w:p>
      <w:pPr>
        <w:keepNext w:val="0"/>
        <w:keepLines w:val="0"/>
        <w:pageBreakBefore w:val="0"/>
        <w:widowControl w:val="0"/>
        <w:tabs>
          <w:tab w:val="left" w:pos="1920"/>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（3）响应文件载明的项目完成期限超过磋商文件规定的期限；</w:t>
      </w:r>
    </w:p>
    <w:p>
      <w:pPr>
        <w:keepNext w:val="0"/>
        <w:keepLines w:val="0"/>
        <w:pageBreakBefore w:val="0"/>
        <w:widowControl w:val="0"/>
        <w:tabs>
          <w:tab w:val="left" w:pos="1920"/>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（4）响应文件明显不符合磋商文件规定的技术规格、技术标准要求；</w:t>
      </w:r>
    </w:p>
    <w:p>
      <w:pPr>
        <w:keepNext w:val="0"/>
        <w:keepLines w:val="0"/>
        <w:pageBreakBefore w:val="0"/>
        <w:widowControl w:val="0"/>
        <w:tabs>
          <w:tab w:val="left" w:pos="1920"/>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）响应文件附有采购人不能接受的条件；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6</w:t>
      </w:r>
      <w:r>
        <w:rPr>
          <w:rFonts w:hint="eastAsia" w:ascii="宋体" w:hAnsi="宋体" w:cs="宋体"/>
          <w:color w:val="auto"/>
          <w:sz w:val="21"/>
          <w:szCs w:val="21"/>
          <w:highlight w:val="none"/>
          <w:lang w:val="zh-CN"/>
        </w:rPr>
        <w:t>）不符合磋商文件规定的其他实质性要求。</w:t>
      </w:r>
    </w:p>
    <w:p>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17.6</w:t>
      </w:r>
      <w:r>
        <w:rPr>
          <w:rFonts w:hint="eastAsia" w:ascii="宋体" w:hAnsi="宋体" w:cs="宋体"/>
          <w:bCs/>
          <w:color w:val="auto"/>
          <w:sz w:val="21"/>
          <w:szCs w:val="21"/>
          <w:highlight w:val="none"/>
          <w:lang w:val="zh-CN"/>
        </w:rPr>
        <w:t xml:space="preserve"> </w:t>
      </w:r>
      <w:r>
        <w:rPr>
          <w:rFonts w:hint="eastAsia" w:ascii="宋体" w:hAnsi="宋体" w:cs="宋体"/>
          <w:color w:val="auto"/>
          <w:sz w:val="21"/>
          <w:szCs w:val="21"/>
          <w:highlight w:val="none"/>
          <w:lang w:val="zh-CN"/>
        </w:rPr>
        <w:t>磋商小组将允许修正响应文件中不构成重大偏离的细微偏离，但这些修正应不会对实质上响应磋商文件要求的供应商的竞争地位（相互排序）产生不公正的影响。</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b/>
          <w:color w:val="auto"/>
          <w:sz w:val="21"/>
          <w:szCs w:val="21"/>
          <w:highlight w:val="none"/>
          <w:lang w:val="zh-CN"/>
        </w:rPr>
      </w:pPr>
      <w:r>
        <w:rPr>
          <w:rFonts w:hint="eastAsia" w:ascii="宋体" w:hAnsi="宋体" w:cs="宋体"/>
          <w:bCs/>
          <w:color w:val="auto"/>
          <w:sz w:val="21"/>
          <w:szCs w:val="21"/>
          <w:highlight w:val="none"/>
        </w:rPr>
        <w:t>17.7</w:t>
      </w:r>
      <w:r>
        <w:rPr>
          <w:rFonts w:hint="eastAsia" w:ascii="宋体" w:hAnsi="宋体" w:cs="宋体"/>
          <w:b/>
          <w:color w:val="auto"/>
          <w:sz w:val="21"/>
          <w:szCs w:val="21"/>
          <w:highlight w:val="none"/>
          <w:lang w:val="zh-CN"/>
        </w:rPr>
        <w:t xml:space="preserve"> 磋商小组对响应文件的判定，只依据响应文件内容本身，不依据任何外来证明。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17.8</w:t>
      </w:r>
      <w:r>
        <w:rPr>
          <w:rFonts w:hint="eastAsia" w:ascii="宋体" w:hAnsi="宋体" w:cs="宋体"/>
          <w:bCs/>
          <w:color w:val="auto"/>
          <w:sz w:val="21"/>
          <w:szCs w:val="21"/>
          <w:highlight w:val="none"/>
          <w:lang w:val="zh-CN"/>
        </w:rPr>
        <w:t xml:space="preserve"> </w:t>
      </w:r>
      <w:r>
        <w:rPr>
          <w:rFonts w:hint="eastAsia" w:ascii="宋体" w:hAnsi="宋体" w:cs="宋体"/>
          <w:b/>
          <w:color w:val="auto"/>
          <w:sz w:val="21"/>
          <w:szCs w:val="21"/>
          <w:highlight w:val="none"/>
          <w:lang w:val="zh-CN"/>
        </w:rPr>
        <w:t>磋商报价的审查：</w:t>
      </w:r>
      <w:r>
        <w:rPr>
          <w:rFonts w:hint="eastAsia" w:ascii="宋体" w:hAnsi="宋体" w:cs="宋体"/>
          <w:color w:val="auto"/>
          <w:sz w:val="21"/>
          <w:szCs w:val="21"/>
          <w:highlight w:val="none"/>
          <w:lang w:val="zh-CN"/>
        </w:rPr>
        <w:t>磋商小组将对商务审查、技术审查合格的响应文件的报价进行审核，看其是否有计算和累加上的错误。修正错误的原则如下：磋商报价以《报价函》的报价为准，《报价函》的报价与《磋商一览表》的报价不一致的，供应商应按《报价函》的报价相应修改《磋商一览表》的报价。按上述原则调整后的价格为评审价，经供应商法定代表人或授权代理人签字确认后对供应商具有约束力。如果供应商不按照上述原则修正其磋商报价及分项报价，则其磋商将被拒绝。</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17.9</w:t>
      </w:r>
      <w:r>
        <w:rPr>
          <w:rFonts w:hint="eastAsia" w:ascii="宋体" w:hAnsi="宋体" w:cs="宋体"/>
          <w:bCs/>
          <w:color w:val="auto"/>
          <w:sz w:val="21"/>
          <w:szCs w:val="21"/>
          <w:highlight w:val="none"/>
          <w:lang w:val="zh-CN"/>
        </w:rPr>
        <w:t xml:space="preserve"> </w:t>
      </w:r>
      <w:r>
        <w:rPr>
          <w:rFonts w:hint="eastAsia" w:ascii="宋体" w:hAnsi="宋体" w:cs="宋体"/>
          <w:b/>
          <w:color w:val="auto"/>
          <w:sz w:val="21"/>
          <w:szCs w:val="21"/>
          <w:highlight w:val="none"/>
          <w:lang w:val="zh-CN"/>
        </w:rPr>
        <w:t>澄清：</w:t>
      </w:r>
      <w:r>
        <w:rPr>
          <w:rFonts w:hint="eastAsia" w:ascii="宋体" w:hAnsi="宋体" w:cs="宋体"/>
          <w:color w:val="auto"/>
          <w:sz w:val="21"/>
          <w:szCs w:val="21"/>
          <w:highlight w:val="none"/>
          <w:lang w:val="zh-CN"/>
        </w:rPr>
        <w:t>磋商小组对于响应文件实质性响应了磋商文件要求，但在个别地方提供了不完整的技术信息和数据，以及同类问题表述不一致或者有明显文字和计算错误等细微偏离问题，将以书面形式（澄清细微偏离由磋商小组依据磋商文件集体决定并由磋商小组专家签字）要求供应商在规定的时限内（在评审结束前）作出必要的澄清、说明或者补正。供应商的澄清、说明或者补正应当采用书面形式，由供应商法定代表人或其授权代理人签字（须提交签字人身份证件并与响应文件签字人一致），并不得超出响应文件的范围或者改变响应文件的实质性内容。供应商拒不进行澄清、说明、补正的，或者不能在规定时间内作出书面澄清、说明、补正的，磋商小组将拒绝其磋商。</w:t>
      </w:r>
    </w:p>
    <w:p>
      <w:pPr>
        <w:keepNext w:val="0"/>
        <w:keepLines w:val="0"/>
        <w:pageBreakBefore w:val="0"/>
        <w:widowControl w:val="0"/>
        <w:kinsoku/>
        <w:wordWrap/>
        <w:overflowPunct/>
        <w:topLinePunct w:val="0"/>
        <w:bidi w:val="0"/>
        <w:snapToGrid/>
        <w:spacing w:line="460" w:lineRule="exact"/>
        <w:textAlignment w:val="auto"/>
        <w:rPr>
          <w:rFonts w:ascii="宋体" w:hAnsi="宋体" w:cs="宋体"/>
          <w:color w:val="auto"/>
          <w:sz w:val="21"/>
          <w:szCs w:val="21"/>
          <w:highlight w:val="none"/>
          <w:lang w:val="zh-CN"/>
        </w:rPr>
      </w:pPr>
      <w:r>
        <w:rPr>
          <w:rFonts w:hint="eastAsia" w:ascii="宋体" w:hAnsi="宋体" w:cs="宋体"/>
          <w:b/>
          <w:color w:val="auto"/>
          <w:sz w:val="21"/>
          <w:szCs w:val="21"/>
          <w:highlight w:val="none"/>
        </w:rPr>
        <w:t xml:space="preserve">  </w:t>
      </w:r>
      <w:r>
        <w:rPr>
          <w:rFonts w:hint="eastAsia" w:ascii="宋体" w:hAnsi="宋体" w:cs="宋体"/>
          <w:color w:val="auto"/>
          <w:sz w:val="21"/>
          <w:szCs w:val="21"/>
          <w:highlight w:val="none"/>
        </w:rPr>
        <w:t xml:space="preserve">  接受细微偏离有利于</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成功，不应因细微偏离而作为无效磋商。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rPr>
        <w:t>18</w:t>
      </w:r>
      <w:r>
        <w:rPr>
          <w:rFonts w:hint="eastAsia" w:ascii="宋体" w:hAnsi="宋体" w:cs="宋体"/>
          <w:b/>
          <w:color w:val="auto"/>
          <w:sz w:val="21"/>
          <w:szCs w:val="21"/>
          <w:highlight w:val="none"/>
          <w:lang w:val="zh-CN"/>
        </w:rPr>
        <w:t>. 评审方法和标准</w:t>
      </w:r>
    </w:p>
    <w:p>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18.1经</w:t>
      </w:r>
      <w:r>
        <w:rPr>
          <w:rFonts w:hint="eastAsia" w:ascii="宋体" w:hAnsi="宋体" w:cs="宋体"/>
          <w:bCs/>
          <w:color w:val="auto"/>
          <w:sz w:val="21"/>
          <w:szCs w:val="21"/>
          <w:highlight w:val="none"/>
          <w:lang w:val="zh-CN"/>
        </w:rPr>
        <w:t>磋商</w:t>
      </w:r>
      <w:r>
        <w:rPr>
          <w:rFonts w:hint="eastAsia" w:ascii="宋体" w:hAnsi="宋体" w:cs="宋体"/>
          <w:bCs/>
          <w:color w:val="auto"/>
          <w:sz w:val="21"/>
          <w:szCs w:val="21"/>
          <w:highlight w:val="none"/>
        </w:rPr>
        <w:t>确定最终</w:t>
      </w:r>
      <w:r>
        <w:rPr>
          <w:rFonts w:hint="eastAsia" w:ascii="宋体" w:hAnsi="宋体" w:cs="宋体"/>
          <w:bCs/>
          <w:color w:val="auto"/>
          <w:sz w:val="21"/>
          <w:szCs w:val="21"/>
          <w:highlight w:val="none"/>
          <w:lang w:val="zh-CN"/>
        </w:rPr>
        <w:t>磋商</w:t>
      </w:r>
      <w:r>
        <w:rPr>
          <w:rFonts w:hint="eastAsia" w:ascii="宋体" w:hAnsi="宋体" w:cs="宋体"/>
          <w:bCs/>
          <w:color w:val="auto"/>
          <w:sz w:val="21"/>
          <w:szCs w:val="21"/>
          <w:highlight w:val="none"/>
        </w:rPr>
        <w:t>需求和提交最后</w:t>
      </w:r>
      <w:r>
        <w:rPr>
          <w:rFonts w:hint="eastAsia" w:ascii="宋体" w:hAnsi="宋体" w:cs="宋体"/>
          <w:color w:val="auto"/>
          <w:sz w:val="21"/>
          <w:szCs w:val="21"/>
          <w:highlight w:val="none"/>
        </w:rPr>
        <w:t>报价</w:t>
      </w:r>
      <w:r>
        <w:rPr>
          <w:rFonts w:hint="eastAsia" w:ascii="宋体" w:hAnsi="宋体" w:cs="宋体"/>
          <w:bCs/>
          <w:color w:val="auto"/>
          <w:sz w:val="21"/>
          <w:szCs w:val="21"/>
          <w:highlight w:val="none"/>
        </w:rPr>
        <w:t>的供应商后，</w:t>
      </w:r>
      <w:r>
        <w:rPr>
          <w:rFonts w:hint="eastAsia" w:ascii="宋体" w:hAnsi="宋体" w:cs="宋体"/>
          <w:color w:val="auto"/>
          <w:sz w:val="21"/>
          <w:szCs w:val="21"/>
          <w:highlight w:val="none"/>
          <w:lang w:val="zh-CN"/>
        </w:rPr>
        <w:t>磋商</w:t>
      </w:r>
      <w:r>
        <w:rPr>
          <w:rFonts w:hint="eastAsia" w:ascii="宋体" w:hAnsi="宋体" w:cs="宋体"/>
          <w:bCs/>
          <w:color w:val="auto"/>
          <w:sz w:val="21"/>
          <w:szCs w:val="21"/>
          <w:highlight w:val="none"/>
        </w:rPr>
        <w:t>小组采用</w:t>
      </w:r>
      <w:r>
        <w:rPr>
          <w:rFonts w:hint="eastAsia" w:ascii="宋体" w:hAnsi="宋体" w:cs="宋体"/>
          <w:b/>
          <w:color w:val="auto"/>
          <w:sz w:val="21"/>
          <w:szCs w:val="21"/>
          <w:highlight w:val="none"/>
        </w:rPr>
        <w:t>综合评分法</w:t>
      </w:r>
      <w:r>
        <w:rPr>
          <w:rFonts w:hint="eastAsia" w:ascii="宋体" w:hAnsi="宋体" w:cs="宋体"/>
          <w:bCs/>
          <w:color w:val="auto"/>
          <w:sz w:val="21"/>
          <w:szCs w:val="21"/>
          <w:highlight w:val="none"/>
        </w:rPr>
        <w:t>对提交最后报价的供应商的响应文件和最后</w:t>
      </w:r>
      <w:r>
        <w:rPr>
          <w:rFonts w:hint="eastAsia" w:ascii="宋体" w:hAnsi="宋体" w:cs="宋体"/>
          <w:color w:val="auto"/>
          <w:sz w:val="21"/>
          <w:szCs w:val="21"/>
          <w:highlight w:val="none"/>
        </w:rPr>
        <w:t>报价</w:t>
      </w:r>
      <w:r>
        <w:rPr>
          <w:rFonts w:hint="eastAsia" w:ascii="宋体" w:hAnsi="宋体" w:cs="宋体"/>
          <w:bCs/>
          <w:color w:val="auto"/>
          <w:sz w:val="21"/>
          <w:szCs w:val="21"/>
          <w:highlight w:val="none"/>
        </w:rPr>
        <w:t>进行综合评分。</w:t>
      </w:r>
    </w:p>
    <w:p>
      <w:pPr>
        <w:pStyle w:val="27"/>
        <w:keepNext w:val="0"/>
        <w:keepLines w:val="0"/>
        <w:pageBreakBefore w:val="0"/>
        <w:widowControl w:val="0"/>
        <w:kinsoku/>
        <w:wordWrap/>
        <w:overflowPunct/>
        <w:topLinePunct w:val="0"/>
        <w:bidi w:val="0"/>
        <w:snapToGrid/>
        <w:spacing w:after="0" w:line="46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bCs/>
          <w:color w:val="auto"/>
          <w:sz w:val="21"/>
          <w:szCs w:val="21"/>
          <w:highlight w:val="none"/>
        </w:rPr>
        <w:t>18.2对通过初步审查的响应文件，</w:t>
      </w:r>
      <w:r>
        <w:rPr>
          <w:rFonts w:hint="eastAsia" w:ascii="宋体" w:hAnsi="宋体" w:cs="宋体"/>
          <w:color w:val="auto"/>
          <w:sz w:val="21"/>
          <w:szCs w:val="21"/>
          <w:highlight w:val="none"/>
        </w:rPr>
        <w:t>综合总得分最高者为第一成交候选供应商，详细评审内容详见附表。</w:t>
      </w:r>
    </w:p>
    <w:p>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18.3 </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小组根据综合评分情况，按照评审得分由高到低顺序推荐</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家成交候选供应商，并编写评审报告。</w:t>
      </w:r>
    </w:p>
    <w:p>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18.4 采购人应当从评审报告提出的成交候选供应商中，按照排序由高到低的原则确定成交供应商，也可以书面授权</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小组直接确定成交供应商。采购人逾期未确定成交供应商且不提出异议的，视为确定评审报告提出的排序第一的供应商为成交供应商。</w:t>
      </w:r>
    </w:p>
    <w:p>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18.5若供应商的最后报价</w:t>
      </w:r>
      <w:r>
        <w:rPr>
          <w:rFonts w:hint="eastAsia" w:ascii="宋体" w:hAnsi="宋体" w:cs="宋体"/>
          <w:color w:val="auto"/>
          <w:sz w:val="21"/>
          <w:szCs w:val="21"/>
          <w:highlight w:val="none"/>
          <w:lang w:val="zh-CN"/>
        </w:rPr>
        <w:t>超过</w:t>
      </w:r>
      <w:r>
        <w:rPr>
          <w:rFonts w:hint="eastAsia" w:ascii="宋体" w:hAnsi="宋体" w:cs="宋体"/>
          <w:color w:val="auto"/>
          <w:sz w:val="21"/>
          <w:szCs w:val="21"/>
          <w:highlight w:val="none"/>
        </w:rPr>
        <w:t>各分项单价</w:t>
      </w:r>
      <w:r>
        <w:rPr>
          <w:rFonts w:hint="eastAsia" w:ascii="宋体" w:hAnsi="宋体" w:cs="宋体"/>
          <w:color w:val="auto"/>
          <w:sz w:val="21"/>
          <w:szCs w:val="21"/>
          <w:highlight w:val="none"/>
          <w:lang w:val="zh-CN"/>
        </w:rPr>
        <w:t>将被否决</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小组有权根据采购人意见及其实际情况，拒绝该报价。</w:t>
      </w:r>
    </w:p>
    <w:p>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18.6 为保证成交结果的公正性，评审期间直至授予供应商合同时，</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小组成员不得与供应商私下交换意见。在评审结束后，凡与评审情况有接触的任何人不得将评审情况扩散出</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小组成员之外。</w:t>
      </w:r>
    </w:p>
    <w:p>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18.7 在评审期间，供应商不得向</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小组成员询问其它供应商评审情况，不得影响成交结果的活动。</w:t>
      </w:r>
    </w:p>
    <w:p>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18.8 在评审期间，采购代理机构将有专门人员与供应商进行联络。</w:t>
      </w:r>
    </w:p>
    <w:p>
      <w:pPr>
        <w:keepNext w:val="0"/>
        <w:keepLines w:val="0"/>
        <w:pageBreakBefore w:val="0"/>
        <w:widowControl w:val="0"/>
        <w:tabs>
          <w:tab w:val="left" w:pos="1800"/>
        </w:tabs>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bCs/>
          <w:color w:val="auto"/>
          <w:sz w:val="21"/>
          <w:szCs w:val="21"/>
          <w:highlight w:val="none"/>
        </w:rPr>
        <w:t>18.9</w:t>
      </w:r>
      <w:r>
        <w:rPr>
          <w:rFonts w:hint="eastAsia" w:ascii="宋体" w:hAnsi="宋体" w:cs="宋体"/>
          <w:b/>
          <w:color w:val="auto"/>
          <w:sz w:val="21"/>
          <w:szCs w:val="21"/>
          <w:highlight w:val="none"/>
          <w:lang w:val="zh-CN"/>
        </w:rPr>
        <w:t xml:space="preserve"> </w:t>
      </w:r>
      <w:r>
        <w:rPr>
          <w:rFonts w:hint="eastAsia" w:ascii="宋体" w:hAnsi="宋体" w:cs="宋体"/>
          <w:color w:val="auto"/>
          <w:sz w:val="21"/>
          <w:szCs w:val="21"/>
          <w:highlight w:val="none"/>
        </w:rPr>
        <w:t>确定成交供应商后,采购代理机构将在指定网站上发布成交公告，同时向成交供应商发出成交通知书，成交通知书将作为签订合同的依据。</w:t>
      </w:r>
    </w:p>
    <w:p>
      <w:pPr>
        <w:keepNext w:val="0"/>
        <w:keepLines w:val="0"/>
        <w:pageBreakBefore w:val="0"/>
        <w:widowControl w:val="0"/>
        <w:tabs>
          <w:tab w:val="left" w:pos="1800"/>
        </w:tabs>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18.10成交通知书对采购单位和成交供应商具有同等法律效力。成交通知书发出后，采购单位改变成交结果，或者成交供应商放弃成交项目，应当承担相应的法律责任。</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rPr>
        <w:t>19</w:t>
      </w:r>
      <w:r>
        <w:rPr>
          <w:rFonts w:hint="eastAsia" w:ascii="宋体" w:hAnsi="宋体" w:cs="宋体"/>
          <w:b/>
          <w:color w:val="auto"/>
          <w:sz w:val="21"/>
          <w:szCs w:val="21"/>
          <w:highlight w:val="none"/>
          <w:lang w:val="zh-CN"/>
        </w:rPr>
        <w:t>. 签订合同</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zh-CN"/>
        </w:rPr>
        <w:t>.1 采购代理机构将在磋商有效期期满之前向成交供应商发出《成交通知书》。成交通知书是合同的组成部分，对采购人和成交供应商均具有法律约束力。</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zh-CN"/>
        </w:rPr>
        <w:t>.2 成交通知书发出后，采购人改变成交结果的，或者成交供应商放弃成交项目的，应当依法承担法律责任。</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zh-CN"/>
        </w:rPr>
        <w:t>.3 成交供应商应按成交通知书规定的时间与采购人签订合同。如果成交供应商不在规定的时间内签署合同，视为自动放弃成交资格。供应商在被磋商小组评定为成交候选供应商（成交供应商）之后、成交通知书发出之前放弃成交的，按本条规定处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zh-CN"/>
        </w:rPr>
        <w:t>.4 成交结果将在发布竞争性公告的媒体上公告，不再以书面方式通知未成交供应商。</w:t>
      </w:r>
    </w:p>
    <w:p>
      <w:pPr>
        <w:keepNext w:val="0"/>
        <w:keepLines w:val="0"/>
        <w:pageBreakBefore w:val="0"/>
        <w:widowControl w:val="0"/>
        <w:tabs>
          <w:tab w:val="left" w:pos="709"/>
          <w:tab w:val="left" w:pos="927"/>
        </w:tabs>
        <w:kinsoku/>
        <w:wordWrap/>
        <w:overflowPunct/>
        <w:topLinePunct w:val="0"/>
        <w:autoSpaceDE w:val="0"/>
        <w:autoSpaceDN w:val="0"/>
        <w:bidi w:val="0"/>
        <w:adjustRightInd w:val="0"/>
        <w:snapToGrid/>
        <w:spacing w:line="460" w:lineRule="exact"/>
        <w:ind w:firstLine="472"/>
        <w:textAlignment w:val="auto"/>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rPr>
        <w:t>21</w:t>
      </w:r>
      <w:r>
        <w:rPr>
          <w:rFonts w:hint="eastAsia" w:ascii="宋体" w:hAnsi="宋体" w:cs="宋体"/>
          <w:b/>
          <w:color w:val="auto"/>
          <w:kern w:val="0"/>
          <w:sz w:val="21"/>
          <w:szCs w:val="21"/>
          <w:highlight w:val="none"/>
          <w:lang w:val="zh-CN"/>
        </w:rPr>
        <w:t>.保密和披露</w:t>
      </w:r>
    </w:p>
    <w:p>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rPr>
        <w:t>21</w:t>
      </w:r>
      <w:r>
        <w:rPr>
          <w:rFonts w:hint="eastAsia" w:ascii="宋体" w:hAnsi="宋体" w:cs="宋体"/>
          <w:color w:val="auto"/>
          <w:kern w:val="0"/>
          <w:sz w:val="21"/>
          <w:szCs w:val="21"/>
          <w:highlight w:val="none"/>
          <w:lang w:val="zh-CN"/>
        </w:rPr>
        <w:t xml:space="preserve">.1 </w:t>
      </w:r>
      <w:r>
        <w:rPr>
          <w:rFonts w:hint="eastAsia" w:ascii="宋体" w:hAnsi="宋体" w:cs="宋体"/>
          <w:color w:val="auto"/>
          <w:sz w:val="21"/>
          <w:szCs w:val="21"/>
          <w:highlight w:val="none"/>
          <w:lang w:val="zh-CN"/>
        </w:rPr>
        <w:t>采购代理机构有权将供应商提供的所有资料向其他政府部门或有关的非政府机构负责评审</w:t>
      </w:r>
      <w:r>
        <w:rPr>
          <w:rFonts w:hint="eastAsia" w:ascii="宋体" w:hAnsi="宋体" w:cs="宋体"/>
          <w:color w:val="auto"/>
          <w:sz w:val="21"/>
          <w:szCs w:val="21"/>
          <w:highlight w:val="none"/>
        </w:rPr>
        <w:t>磋商文件</w:t>
      </w:r>
      <w:r>
        <w:rPr>
          <w:rFonts w:hint="eastAsia" w:ascii="宋体" w:hAnsi="宋体" w:cs="宋体"/>
          <w:color w:val="auto"/>
          <w:sz w:val="21"/>
          <w:szCs w:val="21"/>
          <w:highlight w:val="none"/>
          <w:lang w:val="zh-CN"/>
        </w:rPr>
        <w:t>的人员或与评审有关的人员披露。</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76"/>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21</w:t>
      </w:r>
      <w:r>
        <w:rPr>
          <w:rFonts w:hint="eastAsia" w:ascii="宋体" w:hAnsi="宋体" w:cs="宋体"/>
          <w:color w:val="auto"/>
          <w:sz w:val="21"/>
          <w:szCs w:val="21"/>
          <w:highlight w:val="none"/>
          <w:lang w:val="zh-CN"/>
        </w:rPr>
        <w:t>.2 在下列情形下：当发布成交结果公告和其它公告时，当国家机关调查、审查、审计时，以及在其他符合法律规定的情形下，</w:t>
      </w:r>
      <w:r>
        <w:rPr>
          <w:rFonts w:hint="eastAsia" w:ascii="宋体" w:hAnsi="宋体" w:cs="宋体"/>
          <w:color w:val="auto"/>
          <w:sz w:val="21"/>
          <w:szCs w:val="21"/>
          <w:highlight w:val="none"/>
        </w:rPr>
        <w:t>采购</w:t>
      </w:r>
      <w:r>
        <w:rPr>
          <w:rFonts w:hint="eastAsia" w:ascii="宋体" w:hAnsi="宋体" w:cs="宋体"/>
          <w:color w:val="auto"/>
          <w:sz w:val="21"/>
          <w:szCs w:val="21"/>
          <w:highlight w:val="none"/>
          <w:lang w:val="zh-CN"/>
        </w:rPr>
        <w:t>代理机构无须事先征求供应商/成交供应商同意而可以披露关于评审过程、响应文件、合同文本、合同签署情况的资料、供应商/成交供应商的名称及地址、磋商内容的有关信息以及补充条款等，并且对任何已经公布过的内容或与之内容相同的资料无须再承担保密责任。</w:t>
      </w:r>
    </w:p>
    <w:p>
      <w:pPr>
        <w:autoSpaceDE w:val="0"/>
        <w:autoSpaceDN w:val="0"/>
        <w:adjustRightInd w:val="0"/>
        <w:spacing w:line="500" w:lineRule="exact"/>
        <w:ind w:firstLine="476"/>
        <w:rPr>
          <w:rFonts w:ascii="宋体" w:hAnsi="宋体" w:cs="宋体"/>
          <w:color w:val="auto"/>
          <w:sz w:val="24"/>
          <w:szCs w:val="24"/>
          <w:highlight w:val="none"/>
          <w:lang w:val="zh-CN"/>
        </w:rPr>
      </w:pPr>
    </w:p>
    <w:p>
      <w:pPr>
        <w:autoSpaceDE w:val="0"/>
        <w:autoSpaceDN w:val="0"/>
        <w:adjustRightInd w:val="0"/>
        <w:spacing w:line="500" w:lineRule="exact"/>
        <w:ind w:firstLine="476"/>
        <w:rPr>
          <w:rFonts w:ascii="宋体" w:hAnsi="宋体" w:cs="宋体"/>
          <w:color w:val="auto"/>
          <w:sz w:val="24"/>
          <w:szCs w:val="24"/>
          <w:highlight w:val="none"/>
          <w:lang w:val="zh-CN"/>
        </w:rPr>
      </w:pPr>
    </w:p>
    <w:p>
      <w:pPr>
        <w:autoSpaceDE w:val="0"/>
        <w:autoSpaceDN w:val="0"/>
        <w:adjustRightInd w:val="0"/>
        <w:spacing w:line="500" w:lineRule="exact"/>
        <w:rPr>
          <w:rFonts w:ascii="宋体" w:hAnsi="宋体" w:cs="宋体"/>
          <w:color w:val="auto"/>
          <w:sz w:val="24"/>
          <w:szCs w:val="24"/>
          <w:highlight w:val="none"/>
          <w:lang w:val="zh-CN"/>
        </w:rPr>
      </w:pPr>
    </w:p>
    <w:p>
      <w:pPr>
        <w:autoSpaceDE w:val="0"/>
        <w:autoSpaceDN w:val="0"/>
        <w:adjustRightInd w:val="0"/>
        <w:spacing w:line="500" w:lineRule="exact"/>
        <w:rPr>
          <w:rFonts w:ascii="宋体" w:hAnsi="宋体" w:cs="宋体"/>
          <w:color w:val="auto"/>
          <w:sz w:val="24"/>
          <w:szCs w:val="24"/>
          <w:highlight w:val="none"/>
          <w:lang w:val="zh-CN"/>
        </w:rPr>
      </w:pPr>
    </w:p>
    <w:p>
      <w:pPr>
        <w:autoSpaceDE w:val="0"/>
        <w:autoSpaceDN w:val="0"/>
        <w:adjustRightInd w:val="0"/>
        <w:spacing w:line="500" w:lineRule="exact"/>
        <w:rPr>
          <w:rFonts w:ascii="宋体" w:hAnsi="宋体" w:cs="宋体"/>
          <w:color w:val="auto"/>
          <w:sz w:val="24"/>
          <w:szCs w:val="24"/>
          <w:highlight w:val="none"/>
          <w:lang w:val="zh-CN"/>
        </w:rPr>
      </w:pPr>
    </w:p>
    <w:p>
      <w:pPr>
        <w:autoSpaceDE w:val="0"/>
        <w:autoSpaceDN w:val="0"/>
        <w:adjustRightInd w:val="0"/>
        <w:spacing w:line="500" w:lineRule="exact"/>
        <w:rPr>
          <w:rFonts w:ascii="宋体" w:hAnsi="宋体" w:cs="宋体"/>
          <w:color w:val="auto"/>
          <w:sz w:val="24"/>
          <w:szCs w:val="24"/>
          <w:highlight w:val="none"/>
          <w:lang w:val="zh-CN"/>
        </w:rPr>
      </w:pPr>
    </w:p>
    <w:p>
      <w:pPr>
        <w:autoSpaceDE w:val="0"/>
        <w:autoSpaceDN w:val="0"/>
        <w:adjustRightInd w:val="0"/>
        <w:spacing w:line="500" w:lineRule="exact"/>
        <w:jc w:val="center"/>
        <w:outlineLvl w:val="0"/>
        <w:rPr>
          <w:rFonts w:ascii="宋体" w:hAnsi="宋体" w:cs="宋体"/>
          <w:color w:val="auto"/>
          <w:sz w:val="32"/>
          <w:szCs w:val="32"/>
          <w:highlight w:val="none"/>
          <w:lang w:val="zh-CN"/>
        </w:rPr>
      </w:pPr>
      <w:r>
        <w:rPr>
          <w:rFonts w:hint="eastAsia" w:ascii="宋体" w:hAnsi="宋体" w:cs="宋体"/>
          <w:color w:val="auto"/>
          <w:sz w:val="24"/>
          <w:szCs w:val="24"/>
          <w:highlight w:val="none"/>
          <w:lang w:val="zh-CN"/>
        </w:rPr>
        <w:br w:type="page"/>
      </w:r>
      <w:bookmarkStart w:id="30" w:name="_Toc1536"/>
      <w:bookmarkStart w:id="31" w:name="_Toc4512"/>
      <w:bookmarkStart w:id="32" w:name="_Toc6942"/>
      <w:bookmarkStart w:id="33" w:name="_Toc13953"/>
      <w:bookmarkStart w:id="34" w:name="_Toc5370"/>
      <w:bookmarkStart w:id="35" w:name="_Toc242"/>
      <w:bookmarkStart w:id="36" w:name="_Toc27373"/>
      <w:bookmarkStart w:id="37" w:name="_Toc29511"/>
      <w:r>
        <w:rPr>
          <w:rStyle w:val="97"/>
          <w:rFonts w:hint="eastAsia" w:ascii="宋体" w:hAnsi="宋体" w:cs="宋体"/>
          <w:color w:val="auto"/>
          <w:highlight w:val="none"/>
          <w:lang w:val="zh-CN"/>
        </w:rPr>
        <w:t xml:space="preserve">第三章 </w:t>
      </w:r>
      <w:r>
        <w:rPr>
          <w:rStyle w:val="97"/>
          <w:rFonts w:hint="eastAsia" w:ascii="宋体" w:hAnsi="宋体" w:cs="宋体"/>
          <w:color w:val="auto"/>
          <w:highlight w:val="none"/>
        </w:rPr>
        <w:t xml:space="preserve"> </w:t>
      </w:r>
      <w:r>
        <w:rPr>
          <w:rStyle w:val="97"/>
          <w:rFonts w:hint="eastAsia" w:ascii="宋体" w:hAnsi="宋体" w:cs="宋体"/>
          <w:color w:val="auto"/>
          <w:highlight w:val="none"/>
          <w:lang w:val="zh-CN"/>
        </w:rPr>
        <w:t>评审办法</w:t>
      </w:r>
      <w:bookmarkEnd w:id="30"/>
      <w:bookmarkEnd w:id="31"/>
      <w:bookmarkEnd w:id="32"/>
      <w:bookmarkEnd w:id="33"/>
      <w:bookmarkEnd w:id="34"/>
      <w:bookmarkEnd w:id="35"/>
      <w:bookmarkEnd w:id="36"/>
      <w:bookmarkEnd w:id="37"/>
    </w:p>
    <w:p>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1、综合评审</w:t>
      </w:r>
    </w:p>
    <w:p>
      <w:pPr>
        <w:tabs>
          <w:tab w:val="left" w:pos="540"/>
        </w:tabs>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w:t>
      </w:r>
      <w:r>
        <w:rPr>
          <w:rFonts w:hint="eastAsia" w:ascii="宋体" w:hAnsi="宋体" w:cs="宋体"/>
          <w:color w:val="auto"/>
          <w:sz w:val="21"/>
          <w:szCs w:val="21"/>
          <w:highlight w:val="none"/>
          <w:lang w:val="zh-CN"/>
        </w:rPr>
        <w:t>代理机构</w:t>
      </w:r>
      <w:r>
        <w:rPr>
          <w:rFonts w:hint="eastAsia" w:ascii="宋体" w:hAnsi="宋体" w:cs="宋体"/>
          <w:color w:val="auto"/>
          <w:sz w:val="21"/>
          <w:szCs w:val="21"/>
          <w:highlight w:val="none"/>
        </w:rPr>
        <w:t>在磋商文件规定的时间和地点组织磋商，供应商须派代表参加。磋商前，采购</w:t>
      </w:r>
      <w:r>
        <w:rPr>
          <w:rFonts w:hint="eastAsia" w:ascii="宋体" w:hAnsi="宋体" w:cs="宋体"/>
          <w:color w:val="auto"/>
          <w:sz w:val="21"/>
          <w:szCs w:val="21"/>
          <w:highlight w:val="none"/>
          <w:lang w:val="zh-CN"/>
        </w:rPr>
        <w:t>代理机构</w:t>
      </w:r>
      <w:r>
        <w:rPr>
          <w:rFonts w:hint="eastAsia" w:ascii="宋体" w:hAnsi="宋体" w:cs="宋体"/>
          <w:color w:val="auto"/>
          <w:sz w:val="21"/>
          <w:szCs w:val="21"/>
          <w:highlight w:val="none"/>
        </w:rPr>
        <w:t xml:space="preserve">将查验响应文件密封情况，确认无误后拆封该响应文件。 </w:t>
      </w:r>
    </w:p>
    <w:p>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2、磋商小组</w:t>
      </w:r>
    </w:p>
    <w:p>
      <w:pPr>
        <w:tabs>
          <w:tab w:val="left" w:pos="540"/>
        </w:tabs>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磋商小组由三名专家组成，</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小组对响应文件进行审查、质疑、评估和比较。磋商期间，响应方法人代表或法人授权委托人必须在场，负责解答有关事宜。</w:t>
      </w:r>
    </w:p>
    <w:p>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3、响应方</w:t>
      </w:r>
    </w:p>
    <w:p>
      <w:pPr>
        <w:tabs>
          <w:tab w:val="left" w:pos="540"/>
        </w:tabs>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磋商期间，响应方法人代表或法人授权委托人必须在场，负责解答有关事宜，根据有关事宜作出书面回复澄清，其书面回复作为签订合同的依据，具有同等法律效力。</w:t>
      </w:r>
    </w:p>
    <w:p>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4、对响应文件的审查和响应性的确定</w:t>
      </w:r>
    </w:p>
    <w:p>
      <w:pPr>
        <w:tabs>
          <w:tab w:val="left" w:pos="540"/>
        </w:tabs>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w:t>
      </w:r>
      <w:r>
        <w:rPr>
          <w:rFonts w:hint="eastAsia" w:ascii="宋体" w:hAnsi="宋体" w:cs="宋体"/>
          <w:color w:val="auto"/>
          <w:sz w:val="21"/>
          <w:szCs w:val="21"/>
          <w:highlight w:val="none"/>
          <w:lang w:val="zh-CN"/>
        </w:rPr>
        <w:t>代理机构</w:t>
      </w:r>
      <w:r>
        <w:rPr>
          <w:rFonts w:hint="eastAsia" w:ascii="宋体" w:hAnsi="宋体" w:cs="宋体"/>
          <w:color w:val="auto"/>
          <w:sz w:val="21"/>
          <w:szCs w:val="21"/>
          <w:highlight w:val="none"/>
        </w:rPr>
        <w:t>将组织审查响应文件是否完整，是否有计算错误，文件是否恰当地签署。《</w:t>
      </w:r>
      <w:r>
        <w:rPr>
          <w:rFonts w:hint="eastAsia" w:ascii="宋体" w:hAnsi="宋体" w:cs="宋体"/>
          <w:color w:val="auto"/>
          <w:sz w:val="21"/>
          <w:szCs w:val="21"/>
          <w:highlight w:val="none"/>
          <w:lang w:val="zh-CN"/>
        </w:rPr>
        <w:t>磋商一览表</w:t>
      </w:r>
      <w:r>
        <w:rPr>
          <w:rFonts w:hint="eastAsia" w:ascii="宋体" w:hAnsi="宋体" w:cs="宋体"/>
          <w:color w:val="auto"/>
          <w:sz w:val="21"/>
          <w:szCs w:val="21"/>
          <w:highlight w:val="none"/>
        </w:rPr>
        <w:t>》上写明的大写和小写如有出入，以大写为准。如果确定响应方无资格履行合同，将取消其</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资格。</w:t>
      </w:r>
    </w:p>
    <w:p>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5、综合评审原则和方法</w:t>
      </w:r>
    </w:p>
    <w:p>
      <w:pPr>
        <w:tabs>
          <w:tab w:val="left" w:pos="540"/>
        </w:tabs>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将遵循公开、公平、公正的原则，对综合响应方的技术性能、合同履行期限、质量标准、售后服务、资信情况、履约能力和报价（报价可以一次或多次进行，以最终报价为准。每轮报价不得高于上一轮磋商报价，否则将视为无效报价。）等进行综合分析评审，由</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小组以综合评分法，推荐成交候选人。</w:t>
      </w:r>
    </w:p>
    <w:p>
      <w:pPr>
        <w:tabs>
          <w:tab w:val="left" w:pos="540"/>
        </w:tabs>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    客观﹑公正的对待所有响应方，对所有评价，均采用相同的程序和标准。在磋商期间，响应方不得向</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小组成员询问磋商情况，不得影响评审结果的活动。否则将废除其参加资格。</w:t>
      </w:r>
    </w:p>
    <w:p>
      <w:pPr>
        <w:tabs>
          <w:tab w:val="left" w:pos="540"/>
        </w:tabs>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在评审过程中，</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小组成员不得与响应方私下交换意见。在评审直至授予合同的整个时间内，任何评审人员和工作人员不得对外公布评审的一切内容，若确有需要则需经</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小组组长批准，统一对外。</w:t>
      </w:r>
    </w:p>
    <w:p>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6、成交通知</w:t>
      </w:r>
    </w:p>
    <w:p>
      <w:pPr>
        <w:tabs>
          <w:tab w:val="left" w:pos="540"/>
        </w:tabs>
        <w:spacing w:line="50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评审结束后，</w:t>
      </w:r>
      <w:r>
        <w:rPr>
          <w:rFonts w:hint="eastAsia" w:ascii="宋体" w:hAnsi="宋体" w:cs="宋体"/>
          <w:color w:val="auto"/>
          <w:sz w:val="21"/>
          <w:szCs w:val="21"/>
          <w:highlight w:val="none"/>
          <w:lang w:val="zh-CN"/>
        </w:rPr>
        <w:t>采购代理机构</w:t>
      </w:r>
      <w:r>
        <w:rPr>
          <w:rFonts w:hint="eastAsia" w:ascii="宋体" w:hAnsi="宋体" w:cs="宋体"/>
          <w:color w:val="auto"/>
          <w:sz w:val="21"/>
          <w:szCs w:val="21"/>
          <w:highlight w:val="none"/>
        </w:rPr>
        <w:t>将预成交结果公示</w:t>
      </w:r>
      <w:r>
        <w:rPr>
          <w:rFonts w:hint="eastAsia" w:ascii="宋体" w:hAnsi="宋体" w:cs="宋体"/>
          <w:color w:val="auto"/>
          <w:sz w:val="21"/>
          <w:szCs w:val="21"/>
          <w:highlight w:val="none"/>
          <w:lang w:eastAsia="zh-CN"/>
        </w:rPr>
        <w:t>1日</w:t>
      </w:r>
      <w:r>
        <w:rPr>
          <w:rFonts w:hint="eastAsia" w:ascii="宋体" w:hAnsi="宋体" w:cs="宋体"/>
          <w:color w:val="auto"/>
          <w:sz w:val="21"/>
          <w:szCs w:val="21"/>
          <w:highlight w:val="none"/>
        </w:rPr>
        <w:t>，公示期结束且并无异议提出后，正式发出成交通知。</w:t>
      </w:r>
    </w:p>
    <w:p>
      <w:pPr>
        <w:pStyle w:val="45"/>
        <w:rPr>
          <w:color w:val="auto"/>
          <w:highlight w:val="none"/>
        </w:rPr>
      </w:pPr>
    </w:p>
    <w:p>
      <w:pPr>
        <w:pStyle w:val="2"/>
        <w:spacing w:before="0" w:after="0"/>
        <w:rPr>
          <w:rFonts w:hint="eastAsia" w:ascii="宋体" w:hAnsi="宋体" w:cs="宋体"/>
          <w:bCs/>
          <w:color w:val="auto"/>
          <w:kern w:val="0"/>
          <w:sz w:val="32"/>
          <w:szCs w:val="32"/>
          <w:highlight w:val="none"/>
        </w:rPr>
      </w:pPr>
      <w:bookmarkStart w:id="38" w:name="OLE_LINK1"/>
      <w:r>
        <w:rPr>
          <w:rFonts w:hint="eastAsia" w:ascii="宋体" w:hAnsi="宋体" w:cs="宋体"/>
          <w:bCs/>
          <w:color w:val="auto"/>
          <w:kern w:val="0"/>
          <w:sz w:val="32"/>
          <w:szCs w:val="32"/>
          <w:highlight w:val="none"/>
        </w:rPr>
        <w:t>评审办法</w:t>
      </w:r>
    </w:p>
    <w:p>
      <w:pPr>
        <w:jc w:val="center"/>
        <w:rPr>
          <w:rFonts w:hint="default" w:ascii="宋体" w:hAnsi="宋体" w:eastAsia="宋体"/>
          <w:b/>
          <w:color w:val="auto"/>
          <w:kern w:val="0"/>
          <w:sz w:val="24"/>
          <w:szCs w:val="24"/>
          <w:highlight w:val="none"/>
          <w:lang w:val="en-US" w:eastAsia="zh-CN"/>
        </w:rPr>
      </w:pPr>
      <w:r>
        <w:rPr>
          <w:rFonts w:hint="eastAsia" w:ascii="宋体" w:hAnsi="宋体"/>
          <w:b/>
          <w:color w:val="auto"/>
          <w:kern w:val="0"/>
          <w:sz w:val="24"/>
          <w:szCs w:val="24"/>
          <w:highlight w:val="none"/>
          <w:lang w:val="en-US" w:eastAsia="zh-CN"/>
        </w:rPr>
        <w:t>资格性审查表、符合性审查表</w:t>
      </w:r>
    </w:p>
    <w:tbl>
      <w:tblPr>
        <w:tblStyle w:val="46"/>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853"/>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037" w:type="dxa"/>
            <w:vMerge w:val="restart"/>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bookmarkStart w:id="39" w:name="_Toc7116"/>
            <w:r>
              <w:rPr>
                <w:rFonts w:hint="eastAsia" w:ascii="宋体" w:hAnsi="宋体" w:eastAsia="宋体" w:cs="宋体"/>
                <w:color w:val="auto"/>
                <w:szCs w:val="20"/>
                <w:highlight w:val="none"/>
                <w:lang w:val="en-US" w:eastAsia="zh-CN"/>
              </w:rPr>
              <w:t>资格性审查表</w:t>
            </w:r>
            <w:bookmarkEnd w:id="39"/>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具有独立承担民事责任的能力</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cs="宋体"/>
                <w:i w:val="0"/>
                <w:iCs w:val="0"/>
                <w:color w:val="auto"/>
                <w:sz w:val="21"/>
                <w:szCs w:val="21"/>
                <w:highlight w:val="none"/>
                <w:u w:val="none"/>
                <w:lang w:val="zh-CN" w:eastAsia="zh-CN"/>
              </w:rPr>
            </w:pPr>
            <w:r>
              <w:rPr>
                <w:rFonts w:hint="eastAsia" w:ascii="宋体" w:hAnsi="宋体" w:eastAsia="宋体" w:cs="宋体"/>
                <w:i w:val="0"/>
                <w:iCs w:val="0"/>
                <w:color w:val="auto"/>
                <w:sz w:val="21"/>
                <w:szCs w:val="21"/>
                <w:highlight w:val="none"/>
                <w:u w:val="none"/>
                <w:lang w:val="zh-CN" w:eastAsia="zh-CN"/>
              </w:rPr>
              <w:t>投标人为企业（包括合伙企业）的，应提供有效的“营业执照”；</w:t>
            </w:r>
          </w:p>
          <w:p>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cs="宋体"/>
                <w:i w:val="0"/>
                <w:iCs w:val="0"/>
                <w:color w:val="auto"/>
                <w:sz w:val="21"/>
                <w:szCs w:val="21"/>
                <w:highlight w:val="none"/>
                <w:u w:val="none"/>
                <w:lang w:val="zh-CN" w:eastAsia="zh-CN"/>
              </w:rPr>
            </w:pPr>
            <w:r>
              <w:rPr>
                <w:rFonts w:hint="eastAsia" w:ascii="宋体" w:hAnsi="宋体" w:eastAsia="宋体" w:cs="宋体"/>
                <w:i w:val="0"/>
                <w:iCs w:val="0"/>
                <w:color w:val="auto"/>
                <w:sz w:val="21"/>
                <w:szCs w:val="21"/>
                <w:highlight w:val="none"/>
                <w:u w:val="none"/>
                <w:lang w:val="zh-CN" w:eastAsia="zh-CN"/>
              </w:rPr>
              <w:t>投标人为事业单位的，应提供有效的“事业单位法人证书”；</w:t>
            </w:r>
          </w:p>
          <w:p>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cs="宋体"/>
                <w:i w:val="0"/>
                <w:iCs w:val="0"/>
                <w:color w:val="auto"/>
                <w:sz w:val="21"/>
                <w:szCs w:val="21"/>
                <w:highlight w:val="none"/>
                <w:u w:val="none"/>
                <w:lang w:val="zh-CN" w:eastAsia="zh-CN"/>
              </w:rPr>
            </w:pPr>
            <w:r>
              <w:rPr>
                <w:rFonts w:hint="eastAsia" w:ascii="宋体" w:hAnsi="宋体" w:eastAsia="宋体" w:cs="宋体"/>
                <w:i w:val="0"/>
                <w:iCs w:val="0"/>
                <w:color w:val="auto"/>
                <w:sz w:val="21"/>
                <w:szCs w:val="21"/>
                <w:highlight w:val="none"/>
                <w:u w:val="none"/>
                <w:lang w:val="zh-CN" w:eastAsia="zh-CN"/>
              </w:rPr>
              <w:t>投标人是非企业机构的，应提供有效的“执业许可证”、“登记证书”等证明文件；</w:t>
            </w:r>
          </w:p>
          <w:p>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cs="宋体"/>
                <w:i w:val="0"/>
                <w:iCs w:val="0"/>
                <w:color w:val="auto"/>
                <w:sz w:val="21"/>
                <w:szCs w:val="21"/>
                <w:highlight w:val="none"/>
                <w:u w:val="none"/>
                <w:lang w:val="zh-CN" w:eastAsia="zh-CN"/>
              </w:rPr>
            </w:pPr>
            <w:r>
              <w:rPr>
                <w:rFonts w:hint="eastAsia" w:ascii="宋体" w:hAnsi="宋体" w:eastAsia="宋体" w:cs="宋体"/>
                <w:i w:val="0"/>
                <w:iCs w:val="0"/>
                <w:color w:val="auto"/>
                <w:sz w:val="21"/>
                <w:szCs w:val="21"/>
                <w:highlight w:val="none"/>
                <w:u w:val="none"/>
                <w:lang w:val="zh-CN" w:eastAsia="zh-CN"/>
              </w:rPr>
              <w:t>投标人是个体工商户的，应提供有效的“个体工商户营业执照”；</w:t>
            </w:r>
          </w:p>
          <w:p>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cs="宋体"/>
                <w:color w:val="auto"/>
                <w:szCs w:val="21"/>
                <w:highlight w:val="none"/>
                <w:lang w:val="zh-CN"/>
              </w:rPr>
            </w:pPr>
            <w:r>
              <w:rPr>
                <w:rFonts w:hint="eastAsia" w:ascii="宋体" w:hAnsi="宋体" w:eastAsia="宋体" w:cs="宋体"/>
                <w:i w:val="0"/>
                <w:iCs w:val="0"/>
                <w:color w:val="auto"/>
                <w:sz w:val="21"/>
                <w:szCs w:val="21"/>
                <w:highlight w:val="none"/>
                <w:u w:val="none"/>
                <w:lang w:val="zh-CN" w:eastAsia="zh-CN"/>
              </w:rPr>
              <w:t>投标人是自然人的，应提供有效的自然人身份证明。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037" w:type="dxa"/>
            <w:vMerge w:val="continue"/>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财务状况</w:t>
            </w:r>
            <w:r>
              <w:rPr>
                <w:rFonts w:hint="eastAsia" w:ascii="宋体" w:hAnsi="宋体" w:cs="宋体"/>
                <w:color w:val="auto"/>
                <w:szCs w:val="21"/>
                <w:highlight w:val="none"/>
                <w:lang w:eastAsia="zh-CN"/>
              </w:rPr>
              <w:t>、</w:t>
            </w:r>
            <w:r>
              <w:rPr>
                <w:rFonts w:hint="eastAsia" w:ascii="宋体" w:hAnsi="宋体" w:cs="宋体"/>
                <w:color w:val="auto"/>
                <w:szCs w:val="21"/>
                <w:highlight w:val="none"/>
                <w:lang w:val="zh-CN"/>
              </w:rPr>
              <w:t>依法缴纳税收和社会保障资金</w:t>
            </w:r>
          </w:p>
        </w:tc>
        <w:tc>
          <w:tcPr>
            <w:tcW w:w="7304" w:type="dxa"/>
            <w:noWrap w:val="0"/>
            <w:vAlign w:val="top"/>
          </w:tcPr>
          <w:p>
            <w:pPr>
              <w:keepNext w:val="0"/>
              <w:keepLines w:val="0"/>
              <w:suppressLineNumbers w:val="0"/>
              <w:adjustRightInd w:val="0"/>
              <w:snapToGrid w:val="0"/>
              <w:spacing w:before="0" w:beforeAutospacing="0" w:after="0" w:afterAutospacing="0" w:line="300" w:lineRule="exact"/>
              <w:ind w:left="0" w:right="0"/>
              <w:rPr>
                <w:rFonts w:hint="eastAsia" w:ascii="宋体" w:hAnsi="宋体" w:cs="宋体"/>
                <w:color w:val="auto"/>
                <w:szCs w:val="21"/>
                <w:highlight w:val="none"/>
              </w:rPr>
            </w:pPr>
            <w:r>
              <w:rPr>
                <w:rFonts w:hint="eastAsia" w:ascii="宋体" w:hAnsi="宋体" w:eastAsia="宋体" w:cs="宋体"/>
                <w:i w:val="0"/>
                <w:iCs w:val="0"/>
                <w:color w:val="auto"/>
                <w:sz w:val="21"/>
                <w:szCs w:val="21"/>
                <w:highlight w:val="none"/>
                <w:u w:val="none"/>
                <w:lang w:val="zh-CN" w:eastAsia="zh-CN"/>
              </w:rPr>
              <w:t>供应商应按照《长春市财政局关于加强政府采购信用体系建设简化投标人资格条件有关事项的通知》（长财采购[2022]2066号）文件要求在</w:t>
            </w:r>
            <w:r>
              <w:rPr>
                <w:rFonts w:hint="eastAsia" w:ascii="宋体" w:hAnsi="宋体" w:eastAsia="宋体" w:cs="宋体"/>
                <w:i w:val="0"/>
                <w:iCs w:val="0"/>
                <w:color w:val="auto"/>
                <w:sz w:val="21"/>
                <w:szCs w:val="21"/>
                <w:highlight w:val="none"/>
                <w:u w:val="none"/>
                <w:lang w:val="en-US" w:eastAsia="zh-CN"/>
              </w:rPr>
              <w:t>投标文件</w:t>
            </w:r>
            <w:r>
              <w:rPr>
                <w:rFonts w:hint="eastAsia" w:ascii="宋体" w:hAnsi="宋体" w:eastAsia="宋体" w:cs="宋体"/>
                <w:i w:val="0"/>
                <w:iCs w:val="0"/>
                <w:color w:val="auto"/>
                <w:sz w:val="21"/>
                <w:szCs w:val="21"/>
                <w:highlight w:val="none"/>
                <w:u w:val="none"/>
                <w:lang w:val="zh-CN" w:eastAsia="zh-CN"/>
              </w:rPr>
              <w:t>中提交反映其财务状况、依法缴纳税收和社</w:t>
            </w:r>
            <w:r>
              <w:rPr>
                <w:rFonts w:hint="eastAsia" w:ascii="宋体" w:hAnsi="宋体" w:eastAsia="宋体" w:cs="宋体"/>
                <w:i w:val="0"/>
                <w:iCs w:val="0"/>
                <w:color w:val="auto"/>
                <w:sz w:val="21"/>
                <w:szCs w:val="21"/>
                <w:highlight w:val="none"/>
                <w:u w:val="none"/>
                <w:lang w:val="en-US" w:eastAsia="zh-CN"/>
              </w:rPr>
              <w:t>会</w:t>
            </w:r>
            <w:r>
              <w:rPr>
                <w:rFonts w:hint="eastAsia" w:ascii="宋体" w:hAnsi="宋体" w:eastAsia="宋体" w:cs="宋体"/>
                <w:i w:val="0"/>
                <w:iCs w:val="0"/>
                <w:color w:val="auto"/>
                <w:sz w:val="21"/>
                <w:szCs w:val="21"/>
                <w:highlight w:val="none"/>
                <w:u w:val="none"/>
                <w:lang w:val="zh-CN" w:eastAsia="zh-CN"/>
              </w:rPr>
              <w:t>保障资金情况的资格条件承诺函，并对资格条件承诺函有关内容的真实性、有效性、合法性负责</w:t>
            </w:r>
            <w:r>
              <w:rPr>
                <w:rFonts w:hint="eastAsia" w:ascii="宋体" w:hAnsi="宋体" w:eastAsia="宋体" w:cs="宋体"/>
                <w:color w:val="auto"/>
                <w:szCs w:val="20"/>
                <w:highlight w:val="none"/>
                <w:lang w:val="en-US" w:eastAsia="zh-CN"/>
              </w:rPr>
              <w:t>，</w:t>
            </w:r>
            <w:r>
              <w:rPr>
                <w:rFonts w:hint="eastAsia" w:ascii="宋体" w:hAnsi="宋体" w:eastAsia="宋体" w:cs="宋体"/>
                <w:b/>
                <w:bCs/>
                <w:color w:val="auto"/>
                <w:szCs w:val="20"/>
                <w:highlight w:val="none"/>
                <w:lang w:val="en-US" w:eastAsia="zh-CN"/>
              </w:rPr>
              <w:t>标书内提供资格条件承诺函盖章原件</w:t>
            </w:r>
            <w:r>
              <w:rPr>
                <w:rFonts w:hint="eastAsia" w:ascii="宋体" w:hAnsi="宋体" w:eastAsia="宋体" w:cs="宋体"/>
                <w:color w:val="auto"/>
                <w:szCs w:val="20"/>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037" w:type="dxa"/>
            <w:vMerge w:val="continue"/>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信誉</w:t>
            </w:r>
          </w:p>
        </w:tc>
        <w:tc>
          <w:tcPr>
            <w:tcW w:w="7304"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eastAsia="zh-CN"/>
              </w:rPr>
              <w:t>参加政府采购活动前三年内，在经营活动中没有重大违法记录；拒绝列入政府取消投标资格记录期间的企业或个人投标；对在“信用中国”网站(www.creditchina.gov.cn)存在失信被执行人、重大税收违法失信主体、政府采购严重违法失信行为记录名单，被中国政府采购网(www.ccgp.gov.cn)列入政府采购严重违法失信行为记录名单，被工商行政管理机关在国家企业信用信息公示系统（http://www.gsxt.gov.cn/index.html）中列入经营异常名录或严重违法失信企业名单及其他不符合《中华人民共和国政府采购法》第二十二条规定条件的供应商，不得参与政府采购活动（查询截止时点：本项目采购公告发布之日起到响应文件提交截止时间期间）；</w:t>
            </w:r>
          </w:p>
          <w:p>
            <w:pPr>
              <w:keepNext w:val="0"/>
              <w:keepLines w:val="0"/>
              <w:suppressLineNumbers w:val="0"/>
              <w:adjustRightInd w:val="0"/>
              <w:snapToGrid w:val="0"/>
              <w:spacing w:before="0" w:beforeAutospacing="0" w:after="0" w:afterAutospacing="0" w:line="300" w:lineRule="exact"/>
              <w:ind w:left="0" w:right="0"/>
              <w:rPr>
                <w:rFonts w:hint="eastAsia" w:ascii="宋体" w:hAnsi="宋体" w:cs="宋体"/>
                <w:color w:val="auto"/>
                <w:szCs w:val="21"/>
                <w:highlight w:val="none"/>
              </w:rPr>
            </w:pPr>
            <w:r>
              <w:rPr>
                <w:rFonts w:hint="eastAsia" w:ascii="宋体" w:hAnsi="宋体" w:eastAsia="宋体" w:cs="宋体"/>
                <w:b/>
                <w:bCs w:val="0"/>
                <w:color w:val="auto"/>
                <w:sz w:val="21"/>
                <w:szCs w:val="21"/>
                <w:highlight w:val="none"/>
                <w:lang w:val="zh-CN" w:eastAsia="zh-CN"/>
              </w:rPr>
              <w:t>提供信誉良好承诺书（格式自拟）并加盖供应商公章。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37" w:type="dxa"/>
            <w:vMerge w:val="continue"/>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不接受联合体投标</w:t>
            </w:r>
          </w:p>
        </w:tc>
        <w:tc>
          <w:tcPr>
            <w:tcW w:w="7304" w:type="dxa"/>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eastAsia="zh-CN"/>
              </w:rPr>
              <w:t>非联合体投标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37" w:type="dxa"/>
            <w:vMerge w:val="continue"/>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按招标文件中的要求提交了投标保证金，保证金金额和形式符合招标文件要求</w:t>
            </w:r>
          </w:p>
        </w:tc>
        <w:tc>
          <w:tcPr>
            <w:tcW w:w="7304" w:type="dxa"/>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en-US" w:eastAsia="zh-CN"/>
              </w:rPr>
              <w:t>注：依据长财采购【2021】695号文件的规定，对于满足《中华人民共和国政府采购法》第二十二条有关规定，经“信用中国”网站查询不存在行政处罚信息的、诚信记录良好的投标人，无需交纳投标保证金。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vMerge w:val="restart"/>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r>
              <w:rPr>
                <w:rFonts w:hint="eastAsia" w:ascii="宋体" w:hAnsi="宋体" w:eastAsia="宋体" w:cs="宋体"/>
                <w:color w:val="auto"/>
                <w:szCs w:val="20"/>
                <w:highlight w:val="none"/>
                <w:lang w:val="en-US" w:eastAsia="zh-CN"/>
              </w:rPr>
              <w:t>符合性审查表</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供应商名称</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vMerge w:val="continue"/>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报价函签字盖章</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vMerge w:val="continue"/>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响应文件格式</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vMerge w:val="continue"/>
            <w:noWrap w:val="0"/>
            <w:vAlign w:val="top"/>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报价唯一</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vMerge w:val="continue"/>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投标内容</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符合第二章“供应商须知”规定，响应文件主要内容字迹清晰、无不可辨认内容。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vMerge w:val="continue"/>
            <w:noWrap w:val="0"/>
            <w:vAlign w:val="center"/>
          </w:tcPr>
          <w:p>
            <w:pPr>
              <w:keepNext w:val="0"/>
              <w:keepLines w:val="0"/>
              <w:widowControl/>
              <w:suppressLineNumbers w:val="0"/>
              <w:adjustRightInd w:val="0"/>
              <w:snapToGrid w:val="0"/>
              <w:spacing w:before="0" w:beforeAutospacing="0" w:after="0" w:afterAutospacing="0" w:line="300" w:lineRule="exact"/>
              <w:ind w:left="0" w:right="0"/>
              <w:jc w:val="left"/>
              <w:rPr>
                <w:rFonts w:hint="eastAsia" w:ascii="宋体" w:hAnsi="宋体" w:cs="宋体"/>
                <w:color w:val="auto"/>
                <w:szCs w:val="20"/>
                <w:highlight w:val="none"/>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合同履行期限</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jc w:val="left"/>
              <w:rPr>
                <w:rFonts w:hint="eastAsia" w:ascii="宋体" w:hAnsi="宋体" w:cs="宋体"/>
                <w:color w:val="auto"/>
                <w:szCs w:val="21"/>
                <w:highlight w:val="none"/>
              </w:rPr>
            </w:pPr>
            <w:r>
              <w:rPr>
                <w:rFonts w:hint="eastAsia" w:ascii="宋体" w:hAnsi="宋体" w:cs="宋体"/>
                <w:color w:val="auto"/>
                <w:kern w:val="2"/>
                <w:szCs w:val="20"/>
                <w:highlight w:val="none"/>
                <w:lang w:val="zh-CN" w:eastAsia="zh-CN"/>
              </w:rPr>
              <w:t>按照合同约定期限执行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vMerge w:val="continue"/>
            <w:noWrap w:val="0"/>
            <w:vAlign w:val="center"/>
          </w:tcPr>
          <w:p>
            <w:pPr>
              <w:keepNext w:val="0"/>
              <w:keepLines w:val="0"/>
              <w:widowControl/>
              <w:suppressLineNumbers w:val="0"/>
              <w:adjustRightInd w:val="0"/>
              <w:snapToGrid w:val="0"/>
              <w:spacing w:before="0" w:beforeAutospacing="0" w:after="0" w:afterAutospacing="0" w:line="300" w:lineRule="exact"/>
              <w:ind w:left="0" w:right="0"/>
              <w:jc w:val="left"/>
              <w:rPr>
                <w:rFonts w:hint="eastAsia" w:ascii="宋体" w:hAnsi="宋体" w:cs="宋体"/>
                <w:color w:val="auto"/>
                <w:szCs w:val="20"/>
                <w:highlight w:val="none"/>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eastAsia="zh-CN"/>
              </w:rPr>
            </w:pPr>
            <w:r>
              <w:rPr>
                <w:rFonts w:hint="eastAsia" w:ascii="宋体" w:hAnsi="宋体" w:cs="宋体"/>
                <w:color w:val="auto"/>
                <w:szCs w:val="20"/>
                <w:highlight w:val="none"/>
                <w:lang w:eastAsia="zh-CN"/>
              </w:rPr>
              <w:t>服务标准</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kern w:val="2"/>
                <w:szCs w:val="20"/>
                <w:highlight w:val="none"/>
                <w:lang w:val="zh-CN" w:eastAsia="zh-CN"/>
              </w:rPr>
              <w:t>符合国家及行业规定的合格标准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vMerge w:val="continue"/>
            <w:noWrap w:val="0"/>
            <w:vAlign w:val="center"/>
          </w:tcPr>
          <w:p>
            <w:pPr>
              <w:keepNext w:val="0"/>
              <w:keepLines w:val="0"/>
              <w:widowControl/>
              <w:suppressLineNumbers w:val="0"/>
              <w:adjustRightInd w:val="0"/>
              <w:snapToGrid w:val="0"/>
              <w:spacing w:before="0" w:beforeAutospacing="0" w:after="0" w:afterAutospacing="0" w:line="300" w:lineRule="exact"/>
              <w:ind w:left="0" w:right="0"/>
              <w:jc w:val="left"/>
              <w:rPr>
                <w:rFonts w:hint="eastAsia" w:ascii="宋体" w:hAnsi="宋体" w:cs="宋体"/>
                <w:color w:val="auto"/>
                <w:szCs w:val="20"/>
                <w:highlight w:val="none"/>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磋商</w:t>
            </w:r>
            <w:r>
              <w:rPr>
                <w:rFonts w:hint="eastAsia" w:ascii="宋体" w:hAnsi="宋体" w:cs="宋体"/>
                <w:color w:val="auto"/>
                <w:szCs w:val="21"/>
                <w:highlight w:val="none"/>
              </w:rPr>
              <w:t>有效期</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提交响应文件截止时间后90天（日历日）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vMerge w:val="continue"/>
            <w:noWrap w:val="0"/>
            <w:vAlign w:val="center"/>
          </w:tcPr>
          <w:p>
            <w:pPr>
              <w:keepNext w:val="0"/>
              <w:keepLines w:val="0"/>
              <w:widowControl/>
              <w:suppressLineNumbers w:val="0"/>
              <w:adjustRightInd w:val="0"/>
              <w:snapToGrid w:val="0"/>
              <w:spacing w:before="0" w:beforeAutospacing="0" w:after="0" w:afterAutospacing="0" w:line="300" w:lineRule="exact"/>
              <w:ind w:left="0" w:right="0"/>
              <w:jc w:val="left"/>
              <w:rPr>
                <w:rFonts w:hint="eastAsia" w:ascii="宋体" w:hAnsi="宋体" w:cs="宋体"/>
                <w:color w:val="auto"/>
                <w:szCs w:val="20"/>
                <w:highlight w:val="none"/>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权利义务</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符合第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vMerge w:val="continue"/>
            <w:noWrap w:val="0"/>
            <w:vAlign w:val="center"/>
          </w:tcPr>
          <w:p>
            <w:pPr>
              <w:keepNext w:val="0"/>
              <w:keepLines w:val="0"/>
              <w:widowControl/>
              <w:suppressLineNumbers w:val="0"/>
              <w:adjustRightInd w:val="0"/>
              <w:snapToGrid w:val="0"/>
              <w:spacing w:before="0" w:beforeAutospacing="0" w:after="0" w:afterAutospacing="0" w:line="300" w:lineRule="exact"/>
              <w:ind w:left="0" w:right="0"/>
              <w:jc w:val="left"/>
              <w:rPr>
                <w:rFonts w:hint="eastAsia" w:ascii="宋体" w:hAnsi="宋体" w:cs="宋体"/>
                <w:color w:val="auto"/>
                <w:szCs w:val="20"/>
                <w:highlight w:val="none"/>
              </w:rPr>
            </w:pPr>
          </w:p>
        </w:tc>
        <w:tc>
          <w:tcPr>
            <w:tcW w:w="1853"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cs="宋体"/>
                <w:color w:val="auto"/>
                <w:szCs w:val="20"/>
                <w:highlight w:val="none"/>
              </w:rPr>
            </w:pPr>
            <w:r>
              <w:rPr>
                <w:rFonts w:hint="eastAsia" w:ascii="宋体" w:hAnsi="宋体" w:cs="宋体"/>
                <w:color w:val="auto"/>
                <w:szCs w:val="21"/>
                <w:highlight w:val="none"/>
              </w:rPr>
              <w:t>技术标准和要求</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jc w:val="left"/>
              <w:rPr>
                <w:rFonts w:hint="eastAsia" w:ascii="Times New Roman" w:hAnsi="Times New Roman" w:eastAsia="宋体" w:cs="Times New Roman"/>
                <w:color w:val="auto"/>
                <w:szCs w:val="20"/>
                <w:highlight w:val="none"/>
                <w:lang w:eastAsia="zh-CN"/>
              </w:rPr>
            </w:pPr>
            <w:r>
              <w:rPr>
                <w:rFonts w:hint="eastAsia" w:ascii="Times New Roman" w:hAnsi="Times New Roman" w:eastAsia="宋体" w:cs="Times New Roman"/>
                <w:color w:val="auto"/>
                <w:szCs w:val="20"/>
                <w:highlight w:val="none"/>
                <w:lang w:val="en-US" w:eastAsia="zh-CN"/>
              </w:rPr>
              <w:t>符合</w:t>
            </w:r>
            <w:r>
              <w:rPr>
                <w:rFonts w:hint="eastAsia" w:ascii="Times New Roman" w:hAnsi="Times New Roman" w:eastAsia="宋体" w:cs="Times New Roman"/>
                <w:color w:val="auto"/>
                <w:szCs w:val="20"/>
                <w:highlight w:val="none"/>
                <w:lang w:eastAsia="zh-CN"/>
              </w:rPr>
              <w:t>第</w:t>
            </w:r>
            <w:r>
              <w:rPr>
                <w:rFonts w:hint="eastAsia" w:ascii="Times New Roman" w:hAnsi="Times New Roman" w:eastAsia="宋体" w:cs="Times New Roman"/>
                <w:color w:val="auto"/>
                <w:szCs w:val="20"/>
                <w:highlight w:val="none"/>
                <w:lang w:val="en-US" w:eastAsia="zh-CN"/>
              </w:rPr>
              <w:t>五</w:t>
            </w:r>
            <w:r>
              <w:rPr>
                <w:rFonts w:hint="eastAsia" w:ascii="Times New Roman" w:hAnsi="Times New Roman" w:eastAsia="宋体" w:cs="Times New Roman"/>
                <w:color w:val="auto"/>
                <w:szCs w:val="20"/>
                <w:highlight w:val="none"/>
                <w:lang w:eastAsia="zh-CN"/>
              </w:rPr>
              <w:t>章“</w:t>
            </w:r>
            <w:r>
              <w:rPr>
                <w:rFonts w:hint="eastAsia" w:ascii="Times New Roman" w:hAnsi="Times New Roman" w:eastAsia="宋体" w:cs="Times New Roman"/>
                <w:color w:val="auto"/>
                <w:szCs w:val="20"/>
                <w:highlight w:val="none"/>
                <w:lang w:val="en-US" w:eastAsia="zh-CN"/>
              </w:rPr>
              <w:t>技术标准及服务需求”</w:t>
            </w:r>
            <w:r>
              <w:rPr>
                <w:rFonts w:hint="eastAsia" w:ascii="Times New Roman" w:hAnsi="Times New Roman" w:eastAsia="宋体" w:cs="Times New Roman"/>
                <w:color w:val="auto"/>
                <w:szCs w:val="20"/>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37" w:type="dxa"/>
            <w:vMerge w:val="continue"/>
            <w:noWrap w:val="0"/>
            <w:vAlign w:val="center"/>
          </w:tcPr>
          <w:p>
            <w:pPr>
              <w:keepNext w:val="0"/>
              <w:keepLines w:val="0"/>
              <w:widowControl/>
              <w:suppressLineNumbers w:val="0"/>
              <w:adjustRightInd w:val="0"/>
              <w:snapToGrid w:val="0"/>
              <w:spacing w:before="0" w:beforeAutospacing="0" w:after="0" w:afterAutospacing="0" w:line="300" w:lineRule="exact"/>
              <w:ind w:left="0" w:right="0"/>
              <w:jc w:val="left"/>
              <w:rPr>
                <w:rFonts w:hint="eastAsia" w:ascii="宋体" w:hAnsi="宋体" w:cs="宋体"/>
                <w:color w:val="auto"/>
                <w:szCs w:val="20"/>
                <w:highlight w:val="none"/>
              </w:rPr>
            </w:pPr>
          </w:p>
        </w:tc>
        <w:tc>
          <w:tcPr>
            <w:tcW w:w="1853" w:type="dxa"/>
            <w:noWrap w:val="0"/>
            <w:vAlign w:val="center"/>
          </w:tcPr>
          <w:p>
            <w:pPr>
              <w:pStyle w:val="30"/>
              <w:keepNext w:val="0"/>
              <w:keepLines w:val="0"/>
              <w:suppressLineNumbers w:val="0"/>
              <w:tabs>
                <w:tab w:val="clear" w:pos="4153"/>
                <w:tab w:val="clear" w:pos="8306"/>
              </w:tabs>
              <w:autoSpaceDE w:val="0"/>
              <w:autoSpaceDN w:val="0"/>
              <w:adjustRightInd w:val="0"/>
              <w:spacing w:before="0" w:beforeAutospacing="0" w:after="0" w:afterAutospacing="0" w:line="300" w:lineRule="exact"/>
              <w:ind w:left="0" w:right="0" w:firstLine="189" w:firstLineChars="90"/>
              <w:jc w:val="center"/>
              <w:outlineLvl w:val="1"/>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最终报价</w:t>
            </w:r>
          </w:p>
        </w:tc>
        <w:tc>
          <w:tcPr>
            <w:tcW w:w="7304" w:type="dxa"/>
            <w:noWrap w:val="0"/>
            <w:vAlign w:val="center"/>
          </w:tcPr>
          <w:p>
            <w:pPr>
              <w:keepNext w:val="0"/>
              <w:keepLines w:val="0"/>
              <w:suppressLineNumbers w:val="0"/>
              <w:adjustRightInd w:val="0"/>
              <w:snapToGrid w:val="0"/>
              <w:spacing w:before="0" w:beforeAutospacing="0" w:after="0" w:afterAutospacing="0" w:line="300" w:lineRule="exact"/>
              <w:ind w:left="0" w:right="0"/>
              <w:jc w:val="left"/>
              <w:rPr>
                <w:rFonts w:hint="default" w:ascii="Times New Roman" w:hAnsi="Times New Roman" w:eastAsia="宋体" w:cs="Times New Roman"/>
                <w:color w:val="auto"/>
                <w:szCs w:val="20"/>
                <w:highlight w:val="none"/>
                <w:lang w:val="zh-CN" w:eastAsia="zh-CN"/>
              </w:rPr>
            </w:pPr>
            <w:r>
              <w:rPr>
                <w:rFonts w:hint="eastAsia" w:ascii="Times New Roman" w:hAnsi="Times New Roman" w:eastAsia="宋体" w:cs="Times New Roman"/>
                <w:color w:val="auto"/>
                <w:szCs w:val="20"/>
                <w:highlight w:val="none"/>
                <w:lang w:val="zh-CN" w:eastAsia="zh-CN"/>
              </w:rPr>
              <w:t>本项目最高限价为：</w:t>
            </w:r>
            <w:r>
              <w:rPr>
                <w:rFonts w:hint="eastAsia" w:cs="Times New Roman"/>
                <w:color w:val="auto"/>
                <w:szCs w:val="20"/>
                <w:highlight w:val="none"/>
                <w:lang w:val="en-US" w:eastAsia="zh-CN"/>
              </w:rPr>
              <w:t>30万</w:t>
            </w:r>
            <w:r>
              <w:rPr>
                <w:rFonts w:hint="eastAsia" w:ascii="Times New Roman" w:hAnsi="Times New Roman" w:eastAsia="宋体" w:cs="Times New Roman"/>
                <w:color w:val="auto"/>
                <w:szCs w:val="20"/>
                <w:highlight w:val="none"/>
                <w:lang w:val="zh-CN" w:eastAsia="zh-CN"/>
              </w:rPr>
              <w:t>；</w:t>
            </w:r>
          </w:p>
          <w:p>
            <w:pPr>
              <w:keepNext w:val="0"/>
              <w:keepLines w:val="0"/>
              <w:suppressLineNumbers w:val="0"/>
              <w:adjustRightInd w:val="0"/>
              <w:snapToGrid w:val="0"/>
              <w:spacing w:before="0" w:beforeAutospacing="0" w:after="0" w:afterAutospacing="0" w:line="300" w:lineRule="exact"/>
              <w:ind w:left="0" w:right="0"/>
              <w:jc w:val="left"/>
              <w:rPr>
                <w:rFonts w:hint="eastAsia" w:ascii="Times New Roman" w:hAnsi="Times New Roman" w:eastAsia="宋体" w:cs="Times New Roman"/>
                <w:color w:val="auto"/>
                <w:szCs w:val="20"/>
                <w:highlight w:val="none"/>
                <w:lang w:eastAsia="zh-CN"/>
              </w:rPr>
            </w:pPr>
            <w:r>
              <w:rPr>
                <w:rFonts w:hint="eastAsia" w:ascii="Times New Roman" w:hAnsi="Times New Roman" w:eastAsia="宋体" w:cs="Times New Roman"/>
                <w:b/>
                <w:bCs/>
                <w:color w:val="auto"/>
                <w:szCs w:val="20"/>
                <w:highlight w:val="none"/>
                <w:lang w:val="zh-CN" w:eastAsia="zh-CN"/>
              </w:rPr>
              <w:t>（超过预算</w:t>
            </w:r>
            <w:r>
              <w:rPr>
                <w:rFonts w:hint="eastAsia" w:ascii="Times New Roman" w:hAnsi="Times New Roman" w:eastAsia="宋体" w:cs="Times New Roman"/>
                <w:b/>
                <w:bCs/>
                <w:color w:val="auto"/>
                <w:szCs w:val="20"/>
                <w:highlight w:val="none"/>
                <w:lang w:eastAsia="zh-CN"/>
              </w:rPr>
              <w:t>金额</w:t>
            </w:r>
            <w:r>
              <w:rPr>
                <w:rFonts w:hint="eastAsia" w:ascii="Times New Roman" w:hAnsi="Times New Roman" w:eastAsia="宋体" w:cs="Times New Roman"/>
                <w:b/>
                <w:bCs/>
                <w:color w:val="auto"/>
                <w:szCs w:val="20"/>
                <w:highlight w:val="none"/>
                <w:lang w:val="zh-CN" w:eastAsia="zh-CN"/>
              </w:rPr>
              <w:t>的文件其报价无效处理）</w:t>
            </w:r>
          </w:p>
        </w:tc>
      </w:tr>
    </w:tbl>
    <w:p>
      <w:pPr>
        <w:rPr>
          <w:rFonts w:hint="eastAsia" w:ascii="宋体" w:hAnsi="宋体" w:eastAsia="宋体" w:cs="Times New Roman"/>
          <w:b/>
          <w:bCs/>
          <w:color w:val="auto"/>
          <w:kern w:val="0"/>
          <w:sz w:val="22"/>
          <w:highlight w:val="none"/>
        </w:rPr>
      </w:pPr>
    </w:p>
    <w:p>
      <w:pPr>
        <w:ind w:firstLine="442" w:firstLineChars="200"/>
        <w:rPr>
          <w:rFonts w:hint="eastAsia" w:ascii="宋体" w:hAnsi="宋体" w:eastAsia="宋体" w:cs="Times New Roman"/>
          <w:b/>
          <w:bCs/>
          <w:color w:val="auto"/>
          <w:kern w:val="0"/>
          <w:sz w:val="22"/>
          <w:highlight w:val="none"/>
        </w:rPr>
      </w:pPr>
      <w:r>
        <w:rPr>
          <w:rFonts w:hint="eastAsia" w:ascii="宋体" w:hAnsi="宋体" w:eastAsia="宋体" w:cs="Times New Roman"/>
          <w:b/>
          <w:bCs/>
          <w:color w:val="auto"/>
          <w:kern w:val="0"/>
          <w:sz w:val="22"/>
          <w:highlight w:val="none"/>
        </w:rPr>
        <w:t>1、供应商审查有一项不合格则视为不符合审查标准，将不再进入后续评审。</w:t>
      </w:r>
    </w:p>
    <w:p>
      <w:pPr>
        <w:ind w:firstLine="442" w:firstLineChars="200"/>
        <w:rPr>
          <w:rFonts w:hint="eastAsia" w:ascii="宋体" w:hAnsi="宋体" w:eastAsia="宋体" w:cs="Times New Roman"/>
          <w:b/>
          <w:bCs/>
          <w:color w:val="auto"/>
          <w:kern w:val="0"/>
          <w:sz w:val="22"/>
          <w:highlight w:val="none"/>
        </w:rPr>
      </w:pPr>
      <w:r>
        <w:rPr>
          <w:rFonts w:hint="eastAsia" w:ascii="宋体" w:hAnsi="宋体" w:eastAsia="宋体" w:cs="Times New Roman"/>
          <w:b/>
          <w:bCs/>
          <w:color w:val="auto"/>
          <w:kern w:val="0"/>
          <w:sz w:val="22"/>
          <w:highlight w:val="none"/>
        </w:rPr>
        <w:t>2、本表由全体评委在共同商议基础上给出结论，意见不一致时，按照少数服从多数的原则确定。</w:t>
      </w:r>
    </w:p>
    <w:p>
      <w:pPr>
        <w:ind w:firstLine="442" w:firstLineChars="200"/>
        <w:rPr>
          <w:rFonts w:hint="eastAsia" w:ascii="宋体" w:hAnsi="宋体" w:eastAsia="宋体" w:cs="Times New Roman"/>
          <w:b/>
          <w:bCs/>
          <w:color w:val="auto"/>
          <w:kern w:val="0"/>
          <w:sz w:val="22"/>
          <w:highlight w:val="none"/>
        </w:rPr>
      </w:pPr>
      <w:r>
        <w:rPr>
          <w:rFonts w:hint="eastAsia" w:ascii="宋体" w:hAnsi="宋体" w:eastAsia="宋体" w:cs="Times New Roman"/>
          <w:b/>
          <w:bCs/>
          <w:color w:val="auto"/>
          <w:kern w:val="0"/>
          <w:sz w:val="22"/>
          <w:highlight w:val="none"/>
        </w:rPr>
        <w:t>3、不存在打√，存在打×，结论为合格或不合格。</w:t>
      </w:r>
    </w:p>
    <w:p>
      <w:pPr>
        <w:spacing w:line="360" w:lineRule="auto"/>
        <w:ind w:firstLine="482" w:firstLineChars="200"/>
        <w:rPr>
          <w:rFonts w:ascii="宋体" w:hAnsi="宋体" w:cs="宋体"/>
          <w:b/>
          <w:color w:val="auto"/>
          <w:sz w:val="24"/>
          <w:szCs w:val="24"/>
          <w:highlight w:val="none"/>
          <w:u w:val="single"/>
        </w:rPr>
      </w:pPr>
    </w:p>
    <w:p>
      <w:pPr>
        <w:ind w:firstLine="442" w:firstLineChars="200"/>
        <w:rPr>
          <w:rFonts w:hint="eastAsia" w:ascii="宋体" w:hAnsi="宋体" w:eastAsia="宋体" w:cs="Times New Roman"/>
          <w:b/>
          <w:bCs/>
          <w:color w:val="auto"/>
          <w:kern w:val="0"/>
          <w:sz w:val="22"/>
          <w:highlight w:val="none"/>
        </w:rPr>
      </w:pPr>
      <w:r>
        <w:rPr>
          <w:rFonts w:hint="eastAsia" w:ascii="宋体" w:hAnsi="宋体" w:eastAsia="宋体" w:cs="Times New Roman"/>
          <w:b/>
          <w:bCs/>
          <w:color w:val="auto"/>
          <w:kern w:val="0"/>
          <w:sz w:val="22"/>
          <w:highlight w:val="none"/>
        </w:rPr>
        <w:t>注：（1）以上形式</w:t>
      </w:r>
      <w:r>
        <w:rPr>
          <w:rFonts w:hint="eastAsia" w:ascii="宋体" w:hAnsi="宋体" w:eastAsia="宋体" w:cs="Times New Roman"/>
          <w:b/>
          <w:bCs/>
          <w:color w:val="auto"/>
          <w:kern w:val="0"/>
          <w:sz w:val="22"/>
          <w:highlight w:val="none"/>
          <w:lang w:val="en-US" w:eastAsia="zh-CN"/>
        </w:rPr>
        <w:t>性</w:t>
      </w:r>
      <w:r>
        <w:rPr>
          <w:rFonts w:hint="eastAsia" w:ascii="宋体" w:hAnsi="宋体" w:eastAsia="宋体" w:cs="Times New Roman"/>
          <w:b/>
          <w:bCs/>
          <w:color w:val="auto"/>
          <w:kern w:val="0"/>
          <w:sz w:val="22"/>
          <w:highlight w:val="none"/>
        </w:rPr>
        <w:t>评</w:t>
      </w:r>
      <w:r>
        <w:rPr>
          <w:rFonts w:hint="eastAsia" w:ascii="宋体" w:hAnsi="宋体" w:eastAsia="宋体" w:cs="Times New Roman"/>
          <w:b/>
          <w:bCs/>
          <w:color w:val="auto"/>
          <w:kern w:val="0"/>
          <w:sz w:val="22"/>
          <w:highlight w:val="none"/>
          <w:lang w:val="en-US" w:eastAsia="zh-CN"/>
        </w:rPr>
        <w:t>磋商、</w:t>
      </w:r>
      <w:r>
        <w:rPr>
          <w:rFonts w:hint="eastAsia" w:ascii="宋体" w:hAnsi="宋体" w:eastAsia="宋体" w:cs="Times New Roman"/>
          <w:b/>
          <w:bCs/>
          <w:color w:val="auto"/>
          <w:kern w:val="0"/>
          <w:sz w:val="22"/>
          <w:highlight w:val="none"/>
        </w:rPr>
        <w:t>资格性磋商</w:t>
      </w:r>
      <w:r>
        <w:rPr>
          <w:rFonts w:hint="eastAsia" w:ascii="宋体" w:hAnsi="宋体" w:eastAsia="宋体" w:cs="Times New Roman"/>
          <w:b/>
          <w:bCs/>
          <w:color w:val="auto"/>
          <w:kern w:val="0"/>
          <w:sz w:val="22"/>
          <w:highlight w:val="none"/>
          <w:lang w:eastAsia="zh-CN"/>
        </w:rPr>
        <w:t>、</w:t>
      </w:r>
      <w:r>
        <w:rPr>
          <w:rFonts w:hint="eastAsia" w:ascii="宋体" w:hAnsi="宋体" w:eastAsia="宋体" w:cs="Times New Roman"/>
          <w:b/>
          <w:bCs/>
          <w:color w:val="auto"/>
          <w:kern w:val="0"/>
          <w:sz w:val="22"/>
          <w:highlight w:val="none"/>
          <w:lang w:val="en-US" w:eastAsia="zh-CN"/>
        </w:rPr>
        <w:t>响应</w:t>
      </w:r>
      <w:r>
        <w:rPr>
          <w:rFonts w:hint="eastAsia" w:ascii="宋体" w:hAnsi="宋体" w:eastAsia="宋体" w:cs="Times New Roman"/>
          <w:b/>
          <w:bCs/>
          <w:color w:val="auto"/>
          <w:kern w:val="0"/>
          <w:sz w:val="22"/>
          <w:highlight w:val="none"/>
        </w:rPr>
        <w:t>性磋商中内容只要有一条不满足，则响应文件无效。</w:t>
      </w:r>
    </w:p>
    <w:p>
      <w:pPr>
        <w:ind w:firstLine="883" w:firstLineChars="400"/>
        <w:rPr>
          <w:rFonts w:hint="eastAsia" w:ascii="宋体" w:hAnsi="宋体" w:eastAsia="宋体" w:cs="Times New Roman"/>
          <w:b/>
          <w:bCs/>
          <w:color w:val="auto"/>
          <w:kern w:val="0"/>
          <w:sz w:val="22"/>
          <w:highlight w:val="none"/>
        </w:rPr>
      </w:pPr>
      <w:r>
        <w:rPr>
          <w:rFonts w:hint="eastAsia" w:ascii="宋体" w:hAnsi="宋体" w:eastAsia="宋体" w:cs="Times New Roman"/>
          <w:b/>
          <w:bCs/>
          <w:color w:val="auto"/>
          <w:kern w:val="0"/>
          <w:sz w:val="22"/>
          <w:highlight w:val="none"/>
        </w:rPr>
        <w:t>（2）磋商结束后，磋商小组将要求所有供应商在规定时间内确定并提交最终报价（第二次报价）。</w:t>
      </w:r>
    </w:p>
    <w:p>
      <w:pPr>
        <w:ind w:firstLine="883" w:firstLineChars="400"/>
        <w:rPr>
          <w:rFonts w:hint="eastAsia" w:ascii="宋体" w:hAnsi="宋体" w:eastAsia="宋体" w:cs="Times New Roman"/>
          <w:b/>
          <w:bCs/>
          <w:color w:val="auto"/>
          <w:kern w:val="0"/>
          <w:sz w:val="22"/>
          <w:highlight w:val="none"/>
        </w:rPr>
        <w:sectPr>
          <w:pgSz w:w="11907" w:h="16840"/>
          <w:pgMar w:top="1134" w:right="1418" w:bottom="1134" w:left="1418" w:header="567" w:footer="567" w:gutter="0"/>
          <w:cols w:space="720" w:num="1"/>
          <w:titlePg/>
          <w:docGrid w:linePitch="312" w:charSpace="0"/>
        </w:sectPr>
      </w:pPr>
      <w:r>
        <w:rPr>
          <w:rFonts w:hint="eastAsia" w:ascii="宋体" w:hAnsi="宋体" w:eastAsia="宋体" w:cs="Times New Roman"/>
          <w:b/>
          <w:bCs/>
          <w:color w:val="auto"/>
          <w:kern w:val="0"/>
          <w:sz w:val="22"/>
          <w:highlight w:val="none"/>
        </w:rPr>
        <w:t>（3）根据各单位最终报价和合格磋商单位的响应文件进行综合打分，按照汇总得分由高到低的顺序推荐候选人。</w:t>
      </w:r>
    </w:p>
    <w:p>
      <w:pPr>
        <w:spacing w:line="500" w:lineRule="exact"/>
        <w:jc w:val="center"/>
        <w:rPr>
          <w:rFonts w:ascii="宋体" w:hAnsi="宋体"/>
          <w:b/>
          <w:color w:val="auto"/>
          <w:kern w:val="0"/>
          <w:sz w:val="24"/>
          <w:szCs w:val="24"/>
          <w:highlight w:val="none"/>
        </w:rPr>
      </w:pPr>
      <w:r>
        <w:rPr>
          <w:rFonts w:hint="eastAsia" w:ascii="宋体" w:hAnsi="宋体" w:cs="宋体"/>
          <w:b/>
          <w:color w:val="auto"/>
          <w:sz w:val="24"/>
          <w:szCs w:val="24"/>
          <w:highlight w:val="none"/>
        </w:rPr>
        <w:t>详细评审表</w:t>
      </w:r>
      <w:bookmarkEnd w:id="38"/>
      <w:bookmarkStart w:id="40" w:name="_Toc3466"/>
      <w:bookmarkStart w:id="41" w:name="_Toc5400"/>
      <w:bookmarkStart w:id="42" w:name="_Toc11746"/>
      <w:bookmarkStart w:id="43" w:name="_Toc25215"/>
      <w:bookmarkStart w:id="44" w:name="_Toc23059"/>
      <w:bookmarkStart w:id="45" w:name="_Toc12837"/>
    </w:p>
    <w:p>
      <w:pPr>
        <w:autoSpaceDE w:val="0"/>
        <w:autoSpaceDN w:val="0"/>
        <w:adjustRightInd w:val="0"/>
        <w:spacing w:line="360" w:lineRule="auto"/>
        <w:rPr>
          <w:color w:val="auto"/>
          <w:highlight w:val="none"/>
          <w:lang w:val="zh-CN"/>
        </w:rPr>
      </w:pPr>
      <w:r>
        <w:rPr>
          <w:rFonts w:hint="eastAsia" w:ascii="宋体" w:hAnsi="宋体"/>
          <w:b/>
          <w:color w:val="auto"/>
          <w:kern w:val="0"/>
          <w:sz w:val="24"/>
          <w:szCs w:val="24"/>
          <w:highlight w:val="none"/>
          <w:lang w:val="zh-CN"/>
        </w:rPr>
        <w:t>评审方法和标准</w:t>
      </w:r>
    </w:p>
    <w:tbl>
      <w:tblPr>
        <w:tblStyle w:val="46"/>
        <w:tblpPr w:leftFromText="180" w:rightFromText="180" w:vertAnchor="text" w:horzAnchor="page" w:tblpXSpec="center" w:tblpY="33"/>
        <w:tblOverlap w:val="never"/>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717"/>
        <w:gridCol w:w="5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5" w:hRule="atLeast"/>
          <w:jc w:val="center"/>
        </w:trPr>
        <w:tc>
          <w:tcPr>
            <w:tcW w:w="3717"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lang w:val="zh-CN"/>
              </w:rPr>
            </w:pPr>
            <w:r>
              <w:rPr>
                <w:rFonts w:hint="eastAsia" w:ascii="宋体" w:hAnsi="宋体" w:eastAsia="宋体" w:cs="宋体"/>
                <w:b/>
                <w:bCs/>
                <w:color w:val="auto"/>
                <w:kern w:val="22"/>
                <w:sz w:val="21"/>
                <w:szCs w:val="21"/>
                <w:highlight w:val="none"/>
              </w:rPr>
              <w:t>评审因素</w:t>
            </w:r>
          </w:p>
        </w:tc>
        <w:tc>
          <w:tcPr>
            <w:tcW w:w="5965"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lang w:val="zh-CN"/>
              </w:rPr>
            </w:pPr>
            <w:r>
              <w:rPr>
                <w:rFonts w:hint="eastAsia" w:ascii="宋体" w:hAnsi="宋体" w:eastAsia="宋体" w:cs="宋体"/>
                <w:b/>
                <w:bCs/>
                <w:color w:val="auto"/>
                <w:kern w:val="22"/>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371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2"/>
                <w:sz w:val="21"/>
                <w:szCs w:val="21"/>
                <w:highlight w:val="none"/>
              </w:rPr>
            </w:pPr>
            <w:r>
              <w:rPr>
                <w:rFonts w:hint="eastAsia" w:ascii="宋体" w:hAnsi="宋体" w:eastAsia="宋体" w:cs="宋体"/>
                <w:color w:val="auto"/>
                <w:kern w:val="22"/>
                <w:sz w:val="21"/>
                <w:szCs w:val="21"/>
                <w:highlight w:val="none"/>
              </w:rPr>
              <w:t>分值构成</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lang w:val="zh-CN"/>
              </w:rPr>
            </w:pPr>
            <w:r>
              <w:rPr>
                <w:rFonts w:hint="eastAsia" w:ascii="宋体" w:hAnsi="宋体" w:eastAsia="宋体" w:cs="宋体"/>
                <w:color w:val="auto"/>
                <w:kern w:val="22"/>
                <w:sz w:val="21"/>
                <w:szCs w:val="21"/>
                <w:highlight w:val="none"/>
              </w:rPr>
              <w:t>(总分100分)</w:t>
            </w:r>
          </w:p>
        </w:tc>
        <w:tc>
          <w:tcPr>
            <w:tcW w:w="5965" w:type="dxa"/>
            <w:vAlign w:val="top"/>
          </w:tcPr>
          <w:p>
            <w:pPr>
              <w:keepNext w:val="0"/>
              <w:keepLines w:val="0"/>
              <w:suppressLineNumbers w:val="0"/>
              <w:spacing w:before="0" w:beforeAutospacing="0" w:after="0" w:afterAutospacing="0"/>
              <w:ind w:left="0" w:right="0"/>
              <w:rPr>
                <w:rFonts w:hint="eastAsia" w:ascii="宋体" w:hAnsi="宋体" w:eastAsia="宋体" w:cs="宋体"/>
                <w:color w:val="auto"/>
                <w:kern w:val="22"/>
                <w:sz w:val="21"/>
                <w:szCs w:val="21"/>
                <w:highlight w:val="none"/>
              </w:rPr>
            </w:pPr>
            <w:r>
              <w:rPr>
                <w:rFonts w:hint="eastAsia" w:ascii="宋体" w:hAnsi="宋体" w:eastAsia="宋体" w:cs="宋体"/>
                <w:color w:val="auto"/>
                <w:kern w:val="22"/>
                <w:sz w:val="21"/>
                <w:szCs w:val="21"/>
                <w:highlight w:val="none"/>
              </w:rPr>
              <w:t>技术部分：60分</w:t>
            </w:r>
          </w:p>
          <w:p>
            <w:pPr>
              <w:keepNext w:val="0"/>
              <w:keepLines w:val="0"/>
              <w:suppressLineNumbers w:val="0"/>
              <w:spacing w:before="0" w:beforeAutospacing="0" w:after="0" w:afterAutospacing="0"/>
              <w:ind w:left="0" w:right="0"/>
              <w:rPr>
                <w:rFonts w:hint="eastAsia" w:ascii="宋体" w:hAnsi="宋体" w:eastAsia="宋体" w:cs="宋体"/>
                <w:color w:val="auto"/>
                <w:kern w:val="22"/>
                <w:sz w:val="21"/>
                <w:szCs w:val="21"/>
                <w:highlight w:val="none"/>
              </w:rPr>
            </w:pPr>
            <w:r>
              <w:rPr>
                <w:rFonts w:hint="eastAsia" w:ascii="宋体" w:hAnsi="宋体" w:eastAsia="宋体" w:cs="宋体"/>
                <w:color w:val="auto"/>
                <w:kern w:val="22"/>
                <w:sz w:val="21"/>
                <w:szCs w:val="21"/>
                <w:highlight w:val="none"/>
              </w:rPr>
              <w:t>商务部分：</w:t>
            </w:r>
            <w:r>
              <w:rPr>
                <w:rFonts w:hint="eastAsia" w:ascii="宋体" w:hAnsi="宋体" w:eastAsia="宋体" w:cs="宋体"/>
                <w:color w:val="auto"/>
                <w:kern w:val="22"/>
                <w:sz w:val="21"/>
                <w:szCs w:val="21"/>
                <w:highlight w:val="none"/>
                <w:lang w:val="en-US" w:eastAsia="zh-CN"/>
              </w:rPr>
              <w:t>22</w:t>
            </w:r>
            <w:r>
              <w:rPr>
                <w:rFonts w:hint="eastAsia" w:ascii="宋体" w:hAnsi="宋体" w:eastAsia="宋体" w:cs="宋体"/>
                <w:color w:val="auto"/>
                <w:kern w:val="22"/>
                <w:sz w:val="21"/>
                <w:szCs w:val="21"/>
                <w:highlight w:val="none"/>
              </w:rPr>
              <w:t>分</w:t>
            </w:r>
          </w:p>
          <w:p>
            <w:pPr>
              <w:keepNext w:val="0"/>
              <w:keepLines w:val="0"/>
              <w:suppressLineNumbers w:val="0"/>
              <w:spacing w:before="0" w:beforeAutospacing="0" w:after="0" w:afterAutospacing="0"/>
              <w:ind w:left="0" w:right="0"/>
              <w:rPr>
                <w:rFonts w:hint="eastAsia" w:ascii="宋体" w:hAnsi="宋体" w:eastAsia="宋体" w:cs="宋体"/>
                <w:color w:val="auto"/>
                <w:kern w:val="22"/>
                <w:sz w:val="21"/>
                <w:szCs w:val="21"/>
                <w:highlight w:val="none"/>
              </w:rPr>
            </w:pPr>
            <w:r>
              <w:rPr>
                <w:rFonts w:hint="eastAsia" w:ascii="宋体" w:hAnsi="宋体" w:eastAsia="宋体" w:cs="宋体"/>
                <w:color w:val="auto"/>
                <w:kern w:val="22"/>
                <w:sz w:val="21"/>
                <w:szCs w:val="21"/>
                <w:highlight w:val="none"/>
              </w:rPr>
              <w:t>价格部分：10分</w:t>
            </w:r>
          </w:p>
          <w:p>
            <w:pPr>
              <w:keepNext w:val="0"/>
              <w:keepLines w:val="0"/>
              <w:suppressLineNumbers w:val="0"/>
              <w:spacing w:before="0" w:beforeAutospacing="0" w:after="0" w:afterAutospacing="0"/>
              <w:ind w:left="0" w:right="0"/>
              <w:rPr>
                <w:rFonts w:hint="default" w:eastAsia="宋体"/>
                <w:color w:val="auto"/>
                <w:szCs w:val="20"/>
                <w:highlight w:val="none"/>
                <w:lang w:val="en-US" w:eastAsia="zh-CN"/>
              </w:rPr>
            </w:pPr>
            <w:r>
              <w:rPr>
                <w:rFonts w:hint="eastAsia" w:ascii="宋体" w:hAnsi="宋体" w:eastAsia="宋体" w:cs="宋体"/>
                <w:color w:val="auto"/>
                <w:kern w:val="22"/>
                <w:sz w:val="21"/>
                <w:szCs w:val="21"/>
                <w:highlight w:val="none"/>
                <w:lang w:val="en-US" w:eastAsia="zh-CN"/>
              </w:rPr>
              <w:t>其他因素：8分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5" w:hRule="atLeast"/>
          <w:jc w:val="center"/>
        </w:trPr>
        <w:tc>
          <w:tcPr>
            <w:tcW w:w="371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2"/>
                <w:sz w:val="21"/>
                <w:szCs w:val="21"/>
                <w:highlight w:val="none"/>
                <w:lang w:val="en-US" w:eastAsia="zh-CN"/>
              </w:rPr>
            </w:pPr>
            <w:r>
              <w:rPr>
                <w:rFonts w:hint="eastAsia" w:ascii="宋体" w:hAnsi="宋体" w:eastAsia="宋体" w:cs="宋体"/>
                <w:color w:val="auto"/>
                <w:kern w:val="22"/>
                <w:sz w:val="21"/>
                <w:szCs w:val="21"/>
                <w:highlight w:val="none"/>
                <w:lang w:val="en-US" w:eastAsia="zh-CN"/>
              </w:rPr>
              <w:t>价格部分</w:t>
            </w:r>
          </w:p>
          <w:p>
            <w:pPr>
              <w:keepNext w:val="0"/>
              <w:keepLines w:val="0"/>
              <w:suppressLineNumbers w:val="0"/>
              <w:spacing w:before="0" w:beforeAutospacing="0" w:after="0" w:afterAutospacing="0"/>
              <w:ind w:left="0" w:right="0"/>
              <w:jc w:val="center"/>
              <w:rPr>
                <w:rFonts w:hint="eastAsia" w:ascii="宋体" w:hAnsi="宋体" w:eastAsia="宋体" w:cs="宋体"/>
                <w:color w:val="auto"/>
                <w:kern w:val="22"/>
                <w:sz w:val="21"/>
                <w:szCs w:val="21"/>
                <w:highlight w:val="none"/>
                <w:lang w:eastAsia="zh-CN"/>
              </w:rPr>
            </w:pPr>
            <w:r>
              <w:rPr>
                <w:rFonts w:hint="eastAsia" w:ascii="宋体" w:hAnsi="宋体" w:eastAsia="宋体" w:cs="宋体"/>
                <w:color w:val="auto"/>
                <w:kern w:val="22"/>
                <w:sz w:val="21"/>
                <w:szCs w:val="21"/>
                <w:highlight w:val="none"/>
                <w:lang w:eastAsia="zh-CN"/>
              </w:rPr>
              <w:t>（</w:t>
            </w:r>
            <w:r>
              <w:rPr>
                <w:rFonts w:hint="eastAsia" w:ascii="宋体" w:hAnsi="宋体" w:eastAsia="宋体" w:cs="宋体"/>
                <w:color w:val="auto"/>
                <w:kern w:val="22"/>
                <w:sz w:val="21"/>
                <w:szCs w:val="21"/>
                <w:highlight w:val="none"/>
                <w:lang w:val="en-US" w:eastAsia="zh-CN"/>
              </w:rPr>
              <w:t>10分</w:t>
            </w:r>
            <w:r>
              <w:rPr>
                <w:rFonts w:hint="eastAsia" w:ascii="宋体" w:hAnsi="宋体" w:eastAsia="宋体" w:cs="宋体"/>
                <w:color w:val="auto"/>
                <w:kern w:val="22"/>
                <w:sz w:val="21"/>
                <w:szCs w:val="21"/>
                <w:highlight w:val="none"/>
                <w:lang w:eastAsia="zh-CN"/>
              </w:rPr>
              <w:t>）</w:t>
            </w:r>
          </w:p>
        </w:tc>
        <w:tc>
          <w:tcPr>
            <w:tcW w:w="5965"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22"/>
                <w:sz w:val="21"/>
                <w:szCs w:val="21"/>
                <w:highlight w:val="none"/>
              </w:rPr>
            </w:pPr>
            <w:r>
              <w:rPr>
                <w:rFonts w:hint="eastAsia" w:ascii="宋体" w:hAnsi="宋体" w:eastAsia="宋体" w:cs="宋体"/>
                <w:color w:val="auto"/>
                <w:kern w:val="22"/>
                <w:sz w:val="21"/>
                <w:szCs w:val="21"/>
                <w:highlight w:val="none"/>
              </w:rPr>
              <w:t>采用低价优先法计算，即满足磋商文件要求且最后报价最低的供应商的价格为磋商基准价，其价格分为满分。其他供应商的价格分统一按照下列公式计算：</w:t>
            </w:r>
          </w:p>
          <w:p>
            <w:pPr>
              <w:keepNext w:val="0"/>
              <w:keepLines w:val="0"/>
              <w:suppressLineNumbers w:val="0"/>
              <w:spacing w:before="0" w:beforeAutospacing="0" w:after="0" w:afterAutospacing="0"/>
              <w:ind w:left="0" w:right="0"/>
              <w:rPr>
                <w:rFonts w:hint="eastAsia" w:ascii="宋体" w:hAnsi="宋体" w:eastAsia="宋体" w:cs="宋体"/>
                <w:color w:val="auto"/>
                <w:kern w:val="22"/>
                <w:sz w:val="21"/>
                <w:szCs w:val="21"/>
                <w:highlight w:val="none"/>
              </w:rPr>
            </w:pPr>
            <w:r>
              <w:rPr>
                <w:rFonts w:hint="eastAsia" w:ascii="宋体" w:hAnsi="宋体" w:eastAsia="宋体" w:cs="宋体"/>
                <w:color w:val="auto"/>
                <w:kern w:val="22"/>
                <w:sz w:val="21"/>
                <w:szCs w:val="21"/>
                <w:highlight w:val="none"/>
              </w:rPr>
              <w:t>磋商报价得分=(评审基准价／投标报价)×价格权值(10%)×100。</w:t>
            </w:r>
          </w:p>
        </w:tc>
      </w:tr>
    </w:tbl>
    <w:p>
      <w:pPr>
        <w:rPr>
          <w:color w:val="auto"/>
          <w:highlight w:val="none"/>
        </w:rPr>
      </w:pPr>
    </w:p>
    <w:p>
      <w:pPr>
        <w:pStyle w:val="45"/>
        <w:keepNext w:val="0"/>
        <w:keepLines w:val="0"/>
        <w:suppressLineNumbers w:val="0"/>
        <w:spacing w:before="0" w:beforeAutospacing="0" w:after="0" w:afterAutospacing="0" w:line="240" w:lineRule="exact"/>
        <w:ind w:left="0" w:leftChars="0" w:right="0" w:firstLine="0" w:firstLineChars="0"/>
        <w:jc w:val="left"/>
        <w:rPr>
          <w:rFonts w:hint="default" w:ascii="宋体" w:hAnsi="宋体" w:cs="宋体"/>
          <w:b/>
          <w:bCs/>
          <w:color w:val="auto"/>
          <w:szCs w:val="21"/>
          <w:highlight w:val="none"/>
          <w:lang w:val="zh-CN"/>
        </w:rPr>
      </w:pPr>
      <w:r>
        <w:rPr>
          <w:rFonts w:hint="eastAsia" w:ascii="宋体" w:hAnsi="宋体" w:cs="宋体"/>
          <w:b/>
          <w:bCs/>
          <w:color w:val="auto"/>
          <w:szCs w:val="21"/>
          <w:highlight w:val="none"/>
          <w:lang w:val="zh-CN"/>
        </w:rPr>
        <w:t>技术部分</w:t>
      </w:r>
    </w:p>
    <w:p>
      <w:pPr>
        <w:pStyle w:val="45"/>
        <w:rPr>
          <w:color w:val="auto"/>
          <w:highlight w:val="none"/>
        </w:rPr>
      </w:pPr>
    </w:p>
    <w:tbl>
      <w:tblPr>
        <w:tblStyle w:val="46"/>
        <w:tblpPr w:leftFromText="180" w:rightFromText="180" w:vertAnchor="text" w:horzAnchor="page" w:tblpXSpec="center" w:tblpY="1"/>
        <w:tblOverlap w:val="never"/>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2"/>
        <w:gridCol w:w="2108"/>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542" w:type="dxa"/>
            <w:vMerge w:val="restart"/>
            <w:vAlign w:val="center"/>
          </w:tcPr>
          <w:p>
            <w:pPr>
              <w:pStyle w:val="45"/>
              <w:keepNext w:val="0"/>
              <w:keepLines w:val="0"/>
              <w:suppressLineNumbers w:val="0"/>
              <w:spacing w:before="0" w:beforeAutospacing="0" w:after="0" w:afterAutospacing="0" w:line="240" w:lineRule="exact"/>
              <w:ind w:left="0" w:leftChars="0" w:right="0" w:firstLine="0" w:firstLineChars="0"/>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技术部分</w:t>
            </w:r>
          </w:p>
          <w:p>
            <w:pPr>
              <w:pStyle w:val="45"/>
              <w:keepNext w:val="0"/>
              <w:keepLines w:val="0"/>
              <w:suppressLineNumbers w:val="0"/>
              <w:spacing w:before="0" w:beforeAutospacing="0" w:after="0" w:afterAutospacing="0" w:line="240" w:lineRule="exact"/>
              <w:ind w:left="0" w:leftChars="0" w:right="0" w:firstLine="0" w:firstLineChars="0"/>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w:t>
            </w:r>
            <w:r>
              <w:rPr>
                <w:rFonts w:hint="eastAsia" w:ascii="宋体" w:hAnsi="宋体" w:cs="宋体"/>
                <w:color w:val="auto"/>
                <w:szCs w:val="21"/>
                <w:highlight w:val="none"/>
                <w:lang w:val="zh-CN"/>
              </w:rPr>
              <w:t>分）</w:t>
            </w:r>
          </w:p>
        </w:tc>
        <w:tc>
          <w:tcPr>
            <w:tcW w:w="21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总体布局方案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20分</w:t>
            </w:r>
            <w:r>
              <w:rPr>
                <w:rFonts w:hint="eastAsia" w:ascii="宋体" w:hAnsi="宋体" w:eastAsia="宋体" w:cs="宋体"/>
                <w:color w:val="auto"/>
                <w:szCs w:val="21"/>
                <w:highlight w:val="none"/>
                <w:lang w:eastAsia="zh-CN"/>
              </w:rPr>
              <w:t>）</w:t>
            </w:r>
          </w:p>
        </w:tc>
        <w:tc>
          <w:tcPr>
            <w:tcW w:w="603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根据供应商提供的总体布局方案及对应的效果图给出得分：方案科学、全面、合理、有针对性，符合实际情况，可执行性强，得</w:t>
            </w:r>
            <w:r>
              <w:rPr>
                <w:rFonts w:hint="eastAsia" w:ascii="宋体" w:hAnsi="宋体" w:eastAsia="宋体" w:cs="宋体"/>
                <w:color w:val="auto"/>
                <w:szCs w:val="21"/>
                <w:highlight w:val="none"/>
                <w:lang w:val="en-US" w:eastAsia="zh-CN"/>
              </w:rPr>
              <w:t>20-13</w:t>
            </w:r>
            <w:r>
              <w:rPr>
                <w:rFonts w:hint="eastAsia" w:ascii="宋体" w:hAnsi="宋体" w:eastAsia="宋体" w:cs="宋体"/>
                <w:color w:val="auto"/>
                <w:szCs w:val="21"/>
                <w:highlight w:val="none"/>
              </w:rPr>
              <w:t>分；方案比较科学、全面、合理、有针对性，比较符合实际情况,比较可执行，得</w:t>
            </w:r>
            <w:r>
              <w:rPr>
                <w:rFonts w:hint="eastAsia" w:ascii="宋体" w:hAnsi="宋体" w:eastAsia="宋体" w:cs="宋体"/>
                <w:color w:val="auto"/>
                <w:szCs w:val="21"/>
                <w:highlight w:val="none"/>
                <w:lang w:val="en-US" w:eastAsia="zh-CN"/>
              </w:rPr>
              <w:t>12-6</w:t>
            </w:r>
            <w:r>
              <w:rPr>
                <w:rFonts w:hint="eastAsia" w:ascii="宋体" w:hAnsi="宋体" w:eastAsia="宋体" w:cs="宋体"/>
                <w:color w:val="auto"/>
                <w:szCs w:val="21"/>
                <w:highlight w:val="none"/>
              </w:rPr>
              <w:t>分；方案</w:t>
            </w:r>
            <w:r>
              <w:rPr>
                <w:rFonts w:hint="eastAsia" w:ascii="宋体" w:hAnsi="宋体" w:eastAsia="宋体" w:cs="宋体"/>
                <w:color w:val="auto"/>
                <w:szCs w:val="21"/>
                <w:highlight w:val="none"/>
                <w:lang w:val="en-US" w:eastAsia="zh-CN"/>
              </w:rPr>
              <w:t>一般</w:t>
            </w:r>
            <w:r>
              <w:rPr>
                <w:rFonts w:hint="eastAsia" w:ascii="宋体" w:hAnsi="宋体" w:eastAsia="宋体" w:cs="宋体"/>
                <w:color w:val="auto"/>
                <w:szCs w:val="21"/>
                <w:highlight w:val="none"/>
              </w:rPr>
              <w:t>科学、全面、合理、有针对性，得</w:t>
            </w:r>
            <w:r>
              <w:rPr>
                <w:rFonts w:hint="eastAsia" w:ascii="宋体" w:hAnsi="宋体" w:eastAsia="宋体" w:cs="宋体"/>
                <w:color w:val="auto"/>
                <w:szCs w:val="21"/>
                <w:highlight w:val="none"/>
                <w:lang w:val="en-US" w:eastAsia="zh-CN"/>
              </w:rPr>
              <w:t>15-1</w:t>
            </w:r>
            <w:r>
              <w:rPr>
                <w:rFonts w:hint="eastAsia" w:ascii="宋体" w:hAnsi="宋体" w:eastAsia="宋体" w:cs="宋体"/>
                <w:color w:val="auto"/>
                <w:szCs w:val="21"/>
                <w:highlight w:val="none"/>
              </w:rPr>
              <w:t>分；方案严重不合理、严重缺项或无此项内容得0分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jc w:val="center"/>
        </w:trPr>
        <w:tc>
          <w:tcPr>
            <w:tcW w:w="1542" w:type="dxa"/>
            <w:vMerge w:val="continue"/>
            <w:vAlign w:val="center"/>
          </w:tcPr>
          <w:p>
            <w:pPr>
              <w:pStyle w:val="45"/>
              <w:keepNext w:val="0"/>
              <w:keepLines w:val="0"/>
              <w:suppressLineNumbers w:val="0"/>
              <w:spacing w:before="0" w:beforeAutospacing="0" w:after="0" w:afterAutospacing="0" w:line="240" w:lineRule="exact"/>
              <w:ind w:left="0" w:leftChars="0" w:right="0" w:firstLine="0" w:firstLineChars="0"/>
              <w:jc w:val="center"/>
              <w:rPr>
                <w:rFonts w:hint="default" w:ascii="宋体" w:hAnsi="宋体" w:cs="宋体"/>
                <w:color w:val="auto"/>
                <w:szCs w:val="21"/>
                <w:highlight w:val="none"/>
                <w:lang w:val="zh-CN"/>
              </w:rPr>
            </w:pPr>
          </w:p>
        </w:tc>
        <w:tc>
          <w:tcPr>
            <w:tcW w:w="21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 w:val="21"/>
                <w:szCs w:val="16"/>
                <w:highlight w:val="none"/>
              </w:rPr>
              <w:t>活动整体氛围包装方案</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p>
        </w:tc>
        <w:tc>
          <w:tcPr>
            <w:tcW w:w="603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宋体" w:hAnsi="宋体" w:cs="宋体"/>
                <w:color w:val="auto"/>
                <w:szCs w:val="21"/>
                <w:highlight w:val="none"/>
                <w:lang w:val="zh-CN"/>
              </w:rPr>
            </w:pPr>
            <w:r>
              <w:rPr>
                <w:rFonts w:hint="eastAsia" w:ascii="宋体" w:hAnsi="宋体" w:eastAsia="宋体" w:cs="宋体"/>
                <w:color w:val="auto"/>
                <w:szCs w:val="21"/>
                <w:highlight w:val="none"/>
              </w:rPr>
              <w:t>根据供应商提供的</w:t>
            </w:r>
            <w:r>
              <w:rPr>
                <w:rFonts w:hint="eastAsia" w:ascii="宋体" w:hAnsi="宋体" w:eastAsia="宋体" w:cs="宋体"/>
                <w:color w:val="auto"/>
                <w:sz w:val="21"/>
                <w:szCs w:val="16"/>
                <w:highlight w:val="none"/>
              </w:rPr>
              <w:t>活动整体氛围包装方案</w:t>
            </w:r>
            <w:r>
              <w:rPr>
                <w:rFonts w:hint="eastAsia" w:ascii="宋体" w:hAnsi="宋体" w:eastAsia="宋体" w:cs="宋体"/>
                <w:color w:val="auto"/>
                <w:szCs w:val="21"/>
                <w:highlight w:val="none"/>
              </w:rPr>
              <w:t>及对应的效果图给出得分：方案科学、全面、合理、有针对性，符合实际情况，可执行性强，得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分；方案比较科学、全面、合理、有针对性，比较符合实际情况,比较可执行，得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分；方案</w:t>
            </w:r>
            <w:r>
              <w:rPr>
                <w:rFonts w:hint="eastAsia" w:ascii="宋体" w:hAnsi="宋体" w:eastAsia="宋体" w:cs="宋体"/>
                <w:color w:val="auto"/>
                <w:szCs w:val="21"/>
                <w:highlight w:val="none"/>
                <w:lang w:val="en-US" w:eastAsia="zh-CN"/>
              </w:rPr>
              <w:t>一般</w:t>
            </w:r>
            <w:r>
              <w:rPr>
                <w:rFonts w:hint="eastAsia" w:ascii="宋体" w:hAnsi="宋体" w:eastAsia="宋体" w:cs="宋体"/>
                <w:color w:val="auto"/>
                <w:szCs w:val="21"/>
                <w:highlight w:val="none"/>
              </w:rPr>
              <w:t>科学、全面、合理、有针对性，得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分；方案严重不合理、严重缺项或无此项内容得0分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6" w:hRule="atLeast"/>
          <w:jc w:val="center"/>
        </w:trPr>
        <w:tc>
          <w:tcPr>
            <w:tcW w:w="1542" w:type="dxa"/>
            <w:vMerge w:val="continue"/>
            <w:vAlign w:val="center"/>
          </w:tcPr>
          <w:p>
            <w:pPr>
              <w:pStyle w:val="45"/>
              <w:keepNext w:val="0"/>
              <w:keepLines w:val="0"/>
              <w:suppressLineNumbers w:val="0"/>
              <w:spacing w:before="0" w:beforeAutospacing="0" w:after="0" w:afterAutospacing="0" w:line="240" w:lineRule="exact"/>
              <w:ind w:left="0" w:leftChars="0" w:right="0" w:firstLine="0" w:firstLineChars="0"/>
              <w:jc w:val="center"/>
              <w:rPr>
                <w:rFonts w:hint="default" w:ascii="宋体" w:hAnsi="宋体" w:cs="宋体"/>
                <w:color w:val="auto"/>
                <w:szCs w:val="21"/>
                <w:highlight w:val="none"/>
                <w:lang w:val="zh-CN"/>
              </w:rPr>
            </w:pPr>
          </w:p>
        </w:tc>
        <w:tc>
          <w:tcPr>
            <w:tcW w:w="21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Cs w:val="21"/>
                <w:highlight w:val="none"/>
                <w:lang w:val="zh-CN"/>
              </w:rPr>
            </w:pPr>
            <w:r>
              <w:rPr>
                <w:rFonts w:hint="eastAsia" w:ascii="宋体" w:hAnsi="宋体" w:eastAsia="宋体" w:cs="宋体"/>
                <w:color w:val="auto"/>
                <w:kern w:val="0"/>
                <w:sz w:val="21"/>
                <w:szCs w:val="16"/>
                <w:highlight w:val="none"/>
              </w:rPr>
              <w:t>活动亮点策划</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p>
        </w:tc>
        <w:tc>
          <w:tcPr>
            <w:tcW w:w="603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宋体" w:hAnsi="宋体" w:cs="宋体"/>
                <w:color w:val="auto"/>
                <w:szCs w:val="21"/>
                <w:highlight w:val="none"/>
                <w:lang w:val="zh-CN"/>
              </w:rPr>
            </w:pPr>
            <w:r>
              <w:rPr>
                <w:rFonts w:hint="eastAsia" w:ascii="宋体" w:hAnsi="宋体" w:eastAsia="宋体" w:cs="宋体"/>
                <w:color w:val="auto"/>
                <w:szCs w:val="21"/>
                <w:highlight w:val="none"/>
              </w:rPr>
              <w:t>根据供应商提供的</w:t>
            </w:r>
            <w:r>
              <w:rPr>
                <w:rFonts w:hint="eastAsia" w:ascii="宋体" w:hAnsi="宋体" w:eastAsia="宋体" w:cs="宋体"/>
                <w:color w:val="auto"/>
                <w:kern w:val="0"/>
                <w:sz w:val="21"/>
                <w:szCs w:val="16"/>
                <w:highlight w:val="none"/>
              </w:rPr>
              <w:t>活动亮点策划</w:t>
            </w:r>
            <w:r>
              <w:rPr>
                <w:rFonts w:hint="eastAsia" w:ascii="宋体" w:hAnsi="宋体" w:eastAsia="宋体" w:cs="宋体"/>
                <w:color w:val="auto"/>
                <w:szCs w:val="21"/>
                <w:highlight w:val="none"/>
              </w:rPr>
              <w:t>及对应的效果图给出得分：方案科学、全面、合理、有针对性，符合实际情况，可执行性强，得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分；方案比较科学、全面、合理、有针对性，比较符合实际情况,比较可执行，得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分；方案</w:t>
            </w:r>
            <w:r>
              <w:rPr>
                <w:rFonts w:hint="eastAsia" w:ascii="宋体" w:hAnsi="宋体" w:eastAsia="宋体" w:cs="宋体"/>
                <w:color w:val="auto"/>
                <w:szCs w:val="21"/>
                <w:highlight w:val="none"/>
                <w:lang w:val="en-US" w:eastAsia="zh-CN"/>
              </w:rPr>
              <w:t>一般</w:t>
            </w:r>
            <w:r>
              <w:rPr>
                <w:rFonts w:hint="eastAsia" w:ascii="宋体" w:hAnsi="宋体" w:eastAsia="宋体" w:cs="宋体"/>
                <w:color w:val="auto"/>
                <w:szCs w:val="21"/>
                <w:highlight w:val="none"/>
              </w:rPr>
              <w:t>科学、全面、合理、有针对性，得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分；方案严重不合理、严重缺项或无此项内容得0分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4" w:hRule="atLeast"/>
          <w:jc w:val="center"/>
        </w:trPr>
        <w:tc>
          <w:tcPr>
            <w:tcW w:w="1542" w:type="dxa"/>
            <w:vMerge w:val="continue"/>
            <w:vAlign w:val="center"/>
          </w:tcPr>
          <w:p>
            <w:pPr>
              <w:pStyle w:val="45"/>
              <w:keepNext w:val="0"/>
              <w:keepLines w:val="0"/>
              <w:suppressLineNumbers w:val="0"/>
              <w:spacing w:before="0" w:beforeAutospacing="0" w:after="0" w:afterAutospacing="0" w:line="240" w:lineRule="exact"/>
              <w:ind w:left="0" w:leftChars="0" w:right="0" w:firstLine="0" w:firstLineChars="0"/>
              <w:jc w:val="center"/>
              <w:rPr>
                <w:rFonts w:hint="default" w:ascii="宋体" w:hAnsi="宋体" w:cs="宋体"/>
                <w:color w:val="auto"/>
                <w:szCs w:val="21"/>
                <w:highlight w:val="none"/>
                <w:lang w:val="zh-CN"/>
              </w:rPr>
            </w:pPr>
          </w:p>
        </w:tc>
        <w:tc>
          <w:tcPr>
            <w:tcW w:w="21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舞台搭建方案</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p>
        </w:tc>
        <w:tc>
          <w:tcPr>
            <w:tcW w:w="60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宋体" w:hAnsi="宋体" w:cs="宋体"/>
                <w:color w:val="auto"/>
                <w:kern w:val="0"/>
                <w:szCs w:val="21"/>
                <w:highlight w:val="none"/>
              </w:rPr>
            </w:pPr>
            <w:r>
              <w:rPr>
                <w:rFonts w:hint="eastAsia" w:ascii="宋体" w:hAnsi="宋体" w:eastAsia="宋体" w:cs="宋体"/>
                <w:color w:val="auto"/>
                <w:szCs w:val="21"/>
                <w:highlight w:val="none"/>
              </w:rPr>
              <w:t>根据供应商提供的舞台搭建方案及对应的效果图给出得分：方案科学、全面、合理、有针对性，符合实际情况，可执行性强，得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分；方案比较科学、全面、合理、有针对性，比较符合实际情况,比较可执行，得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分；方案</w:t>
            </w:r>
            <w:r>
              <w:rPr>
                <w:rFonts w:hint="eastAsia" w:ascii="宋体" w:hAnsi="宋体" w:eastAsia="宋体" w:cs="宋体"/>
                <w:color w:val="auto"/>
                <w:szCs w:val="21"/>
                <w:highlight w:val="none"/>
                <w:lang w:val="en-US" w:eastAsia="zh-CN"/>
              </w:rPr>
              <w:t>一般</w:t>
            </w:r>
            <w:r>
              <w:rPr>
                <w:rFonts w:hint="eastAsia" w:ascii="宋体" w:hAnsi="宋体" w:eastAsia="宋体" w:cs="宋体"/>
                <w:color w:val="auto"/>
                <w:szCs w:val="21"/>
                <w:highlight w:val="none"/>
              </w:rPr>
              <w:t>科学、全面、合理、有针对性，得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分；方案严重不合理、严重缺项或无此项内容得0分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jc w:val="center"/>
        </w:trPr>
        <w:tc>
          <w:tcPr>
            <w:tcW w:w="1542" w:type="dxa"/>
            <w:vMerge w:val="continue"/>
            <w:vAlign w:val="center"/>
          </w:tcPr>
          <w:p>
            <w:pPr>
              <w:pStyle w:val="45"/>
              <w:keepNext w:val="0"/>
              <w:keepLines w:val="0"/>
              <w:suppressLineNumbers w:val="0"/>
              <w:spacing w:before="0" w:beforeAutospacing="0" w:after="0" w:afterAutospacing="0" w:line="240" w:lineRule="exact"/>
              <w:ind w:left="0" w:leftChars="0" w:right="0" w:firstLine="0" w:firstLineChars="0"/>
              <w:jc w:val="center"/>
              <w:rPr>
                <w:rFonts w:hint="default" w:ascii="宋体" w:hAnsi="宋体" w:cs="宋体"/>
                <w:color w:val="auto"/>
                <w:szCs w:val="21"/>
                <w:highlight w:val="none"/>
                <w:lang w:val="zh-CN"/>
              </w:rPr>
            </w:pPr>
          </w:p>
        </w:tc>
        <w:tc>
          <w:tcPr>
            <w:tcW w:w="21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活动</w:t>
            </w:r>
            <w:r>
              <w:rPr>
                <w:rFonts w:hint="eastAsia" w:ascii="宋体" w:hAnsi="宋体" w:eastAsia="宋体" w:cs="宋体"/>
                <w:color w:val="auto"/>
                <w:szCs w:val="21"/>
                <w:highlight w:val="none"/>
              </w:rPr>
              <w:t>保障方案</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p>
        </w:tc>
        <w:tc>
          <w:tcPr>
            <w:tcW w:w="603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宋体" w:hAnsi="宋体" w:cs="宋体"/>
                <w:color w:val="auto"/>
                <w:szCs w:val="21"/>
                <w:highlight w:val="none"/>
                <w:lang w:val="zh-CN"/>
              </w:rPr>
            </w:pPr>
            <w:r>
              <w:rPr>
                <w:rFonts w:hint="eastAsia" w:ascii="宋体" w:hAnsi="宋体" w:eastAsia="宋体" w:cs="宋体"/>
                <w:color w:val="auto"/>
                <w:szCs w:val="21"/>
                <w:highlight w:val="none"/>
              </w:rPr>
              <w:t>根据供应商提供的</w:t>
            </w:r>
            <w:r>
              <w:rPr>
                <w:rFonts w:hint="eastAsia" w:ascii="宋体" w:hAnsi="宋体" w:cs="宋体"/>
                <w:color w:val="auto"/>
                <w:szCs w:val="21"/>
                <w:highlight w:val="none"/>
                <w:lang w:val="en-US" w:eastAsia="zh-CN"/>
              </w:rPr>
              <w:t>活动</w:t>
            </w:r>
            <w:r>
              <w:rPr>
                <w:rFonts w:hint="eastAsia" w:ascii="宋体" w:hAnsi="宋体" w:eastAsia="宋体" w:cs="宋体"/>
                <w:color w:val="auto"/>
                <w:szCs w:val="21"/>
                <w:highlight w:val="none"/>
              </w:rPr>
              <w:t>保障方案给出得分：方案科学、全面、合理、有针对性，符合实际情况，可执行性强，得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分；方案比较科学、全面、合理、有针对性，比较符合实际情况,比较可执行，得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分；方案</w:t>
            </w:r>
            <w:r>
              <w:rPr>
                <w:rFonts w:hint="eastAsia" w:ascii="宋体" w:hAnsi="宋体" w:eastAsia="宋体" w:cs="宋体"/>
                <w:color w:val="auto"/>
                <w:szCs w:val="21"/>
                <w:highlight w:val="none"/>
                <w:lang w:val="en-US" w:eastAsia="zh-CN"/>
              </w:rPr>
              <w:t>一般</w:t>
            </w:r>
            <w:r>
              <w:rPr>
                <w:rFonts w:hint="eastAsia" w:ascii="宋体" w:hAnsi="宋体" w:eastAsia="宋体" w:cs="宋体"/>
                <w:color w:val="auto"/>
                <w:szCs w:val="21"/>
                <w:highlight w:val="none"/>
              </w:rPr>
              <w:t>科学、全面、合理、有针对性，得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分；方案严重不合理、严重缺项或无此项内容得0分</w:t>
            </w:r>
          </w:p>
        </w:tc>
      </w:tr>
    </w:tbl>
    <w:p>
      <w:pPr>
        <w:rPr>
          <w:color w:val="auto"/>
          <w:highlight w:val="none"/>
        </w:rPr>
      </w:pPr>
    </w:p>
    <w:p>
      <w:pPr>
        <w:pStyle w:val="45"/>
        <w:rPr>
          <w:color w:val="auto"/>
          <w:highlight w:val="none"/>
        </w:rPr>
      </w:pPr>
    </w:p>
    <w:p>
      <w:pPr>
        <w:pStyle w:val="45"/>
        <w:keepNext w:val="0"/>
        <w:keepLines w:val="0"/>
        <w:suppressLineNumbers w:val="0"/>
        <w:spacing w:before="0" w:beforeAutospacing="0" w:after="0" w:afterAutospacing="0" w:line="240" w:lineRule="exact"/>
        <w:ind w:left="0" w:leftChars="0" w:right="0" w:firstLine="0" w:firstLineChars="0"/>
        <w:jc w:val="left"/>
        <w:rPr>
          <w:rFonts w:hint="eastAsia" w:ascii="宋体" w:hAnsi="宋体" w:cs="宋体"/>
          <w:b/>
          <w:bCs/>
          <w:color w:val="auto"/>
          <w:sz w:val="22"/>
          <w:szCs w:val="22"/>
          <w:highlight w:val="none"/>
          <w:lang w:val="zh-CN"/>
        </w:rPr>
      </w:pPr>
    </w:p>
    <w:p>
      <w:pPr>
        <w:rPr>
          <w:rFonts w:hint="eastAsia" w:ascii="宋体" w:hAnsi="宋体" w:cs="宋体"/>
          <w:b/>
          <w:bCs/>
          <w:color w:val="auto"/>
          <w:sz w:val="22"/>
          <w:szCs w:val="22"/>
          <w:highlight w:val="none"/>
          <w:lang w:val="zh-CN"/>
        </w:rPr>
      </w:pPr>
    </w:p>
    <w:p>
      <w:pPr>
        <w:rPr>
          <w:rFonts w:hint="eastAsia" w:ascii="宋体" w:hAnsi="宋体" w:cs="宋体"/>
          <w:b/>
          <w:bCs/>
          <w:color w:val="auto"/>
          <w:sz w:val="22"/>
          <w:szCs w:val="22"/>
          <w:highlight w:val="none"/>
          <w:lang w:val="zh-CN"/>
        </w:rPr>
      </w:pPr>
    </w:p>
    <w:p>
      <w:pPr>
        <w:rPr>
          <w:rFonts w:hint="eastAsia" w:ascii="宋体" w:hAnsi="宋体" w:cs="宋体"/>
          <w:b/>
          <w:bCs/>
          <w:color w:val="auto"/>
          <w:sz w:val="22"/>
          <w:szCs w:val="22"/>
          <w:highlight w:val="none"/>
          <w:lang w:val="zh-CN"/>
        </w:rPr>
      </w:pPr>
    </w:p>
    <w:p>
      <w:pPr>
        <w:pStyle w:val="45"/>
        <w:keepNext w:val="0"/>
        <w:keepLines w:val="0"/>
        <w:suppressLineNumbers w:val="0"/>
        <w:spacing w:before="0" w:beforeAutospacing="0" w:after="0" w:afterAutospacing="0" w:line="240" w:lineRule="exact"/>
        <w:ind w:left="0" w:leftChars="0" w:right="0" w:firstLine="0" w:firstLineChars="0"/>
        <w:jc w:val="left"/>
        <w:rPr>
          <w:rFonts w:hint="default"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商务部分</w:t>
      </w:r>
    </w:p>
    <w:p>
      <w:pPr>
        <w:rPr>
          <w:color w:val="auto"/>
          <w:highlight w:val="none"/>
        </w:rPr>
      </w:pPr>
    </w:p>
    <w:tbl>
      <w:tblPr>
        <w:tblStyle w:val="46"/>
        <w:tblpPr w:leftFromText="180" w:rightFromText="180" w:vertAnchor="text" w:horzAnchor="page" w:tblpXSpec="center" w:tblpY="1"/>
        <w:tblOverlap w:val="never"/>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2"/>
        <w:gridCol w:w="2175"/>
        <w:gridCol w:w="5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2" w:hRule="atLeast"/>
          <w:jc w:val="center"/>
        </w:trPr>
        <w:tc>
          <w:tcPr>
            <w:tcW w:w="1542" w:type="dxa"/>
            <w:vMerge w:val="restart"/>
            <w:vAlign w:val="center"/>
          </w:tcPr>
          <w:p>
            <w:pPr>
              <w:pStyle w:val="45"/>
              <w:keepNext w:val="0"/>
              <w:keepLines w:val="0"/>
              <w:suppressLineNumbers w:val="0"/>
              <w:spacing w:before="0" w:beforeAutospacing="0" w:after="0" w:afterAutospacing="0" w:line="240" w:lineRule="exact"/>
              <w:ind w:left="0" w:leftChars="0" w:right="0" w:firstLine="0" w:firstLineChars="0"/>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商务部分</w:t>
            </w:r>
          </w:p>
          <w:p>
            <w:pPr>
              <w:pStyle w:val="45"/>
              <w:keepNext w:val="0"/>
              <w:keepLines w:val="0"/>
              <w:suppressLineNumbers w:val="0"/>
              <w:spacing w:before="0" w:beforeAutospacing="0" w:after="0" w:afterAutospacing="0" w:line="240" w:lineRule="exact"/>
              <w:ind w:left="0" w:leftChars="0" w:right="0" w:firstLine="0" w:firstLineChars="0"/>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lang w:val="zh-CN"/>
              </w:rPr>
              <w:t>分）</w:t>
            </w:r>
          </w:p>
        </w:tc>
        <w:tc>
          <w:tcPr>
            <w:tcW w:w="2175" w:type="dxa"/>
            <w:vAlign w:val="center"/>
          </w:tcPr>
          <w:p>
            <w:pPr>
              <w:pStyle w:val="45"/>
              <w:keepNext w:val="0"/>
              <w:keepLines w:val="0"/>
              <w:suppressLineNumbers w:val="0"/>
              <w:spacing w:before="0" w:beforeAutospacing="0" w:after="0" w:afterAutospacing="0" w:line="240" w:lineRule="exact"/>
              <w:ind w:left="0" w:leftChars="0" w:right="0" w:firstLine="0" w:firstLineChars="0"/>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企业业绩（</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r>
              <w:rPr>
                <w:rFonts w:hint="eastAsia" w:ascii="宋体" w:hAnsi="宋体" w:cs="宋体"/>
                <w:color w:val="auto"/>
                <w:szCs w:val="21"/>
                <w:highlight w:val="none"/>
                <w:lang w:val="zh-CN"/>
              </w:rPr>
              <w:t>）</w:t>
            </w:r>
          </w:p>
        </w:tc>
        <w:tc>
          <w:tcPr>
            <w:tcW w:w="5965" w:type="dxa"/>
            <w:vAlign w:val="center"/>
          </w:tcPr>
          <w:p>
            <w:pPr>
              <w:keepNext w:val="0"/>
              <w:keepLines w:val="0"/>
              <w:suppressLineNumbers w:val="0"/>
              <w:kinsoku/>
              <w:overflowPunct/>
              <w:topLinePunct w:val="0"/>
              <w:bidi w:val="0"/>
              <w:spacing w:before="0" w:beforeAutospacing="0" w:after="0" w:afterAutospacing="0" w:line="240" w:lineRule="auto"/>
              <w:ind w:left="0" w:leftChars="0" w:right="0" w:rightChars="0"/>
              <w:jc w:val="left"/>
              <w:textAlignment w:val="auto"/>
              <w:rPr>
                <w:rFonts w:hint="default" w:ascii="宋体" w:hAnsi="宋体" w:eastAsia="宋体" w:cs="宋体"/>
                <w:b/>
                <w:bCs/>
                <w:color w:val="auto"/>
                <w:sz w:val="21"/>
                <w:szCs w:val="16"/>
                <w:lang w:val="zh-CN"/>
              </w:rPr>
            </w:pPr>
            <w:r>
              <w:rPr>
                <w:rFonts w:hint="eastAsia" w:ascii="宋体" w:hAnsi="宋体" w:eastAsia="宋体" w:cs="宋体"/>
                <w:b w:val="0"/>
                <w:bCs w:val="0"/>
                <w:color w:val="auto"/>
                <w:sz w:val="21"/>
                <w:szCs w:val="16"/>
                <w:lang w:val="en-US" w:eastAsia="zh-CN"/>
              </w:rPr>
              <w:t>2021</w:t>
            </w:r>
            <w:r>
              <w:rPr>
                <w:rFonts w:hint="eastAsia" w:ascii="宋体" w:hAnsi="宋体" w:eastAsia="宋体" w:cs="宋体"/>
                <w:b w:val="0"/>
                <w:bCs w:val="0"/>
                <w:color w:val="auto"/>
                <w:sz w:val="21"/>
                <w:szCs w:val="16"/>
              </w:rPr>
              <w:t>年</w:t>
            </w:r>
            <w:r>
              <w:rPr>
                <w:rFonts w:hint="eastAsia" w:ascii="宋体" w:hAnsi="宋体" w:eastAsia="宋体" w:cs="宋体"/>
                <w:b w:val="0"/>
                <w:bCs w:val="0"/>
                <w:color w:val="auto"/>
                <w:sz w:val="21"/>
                <w:szCs w:val="16"/>
                <w:lang w:eastAsia="zh-CN"/>
              </w:rPr>
              <w:t>至今</w:t>
            </w:r>
            <w:r>
              <w:rPr>
                <w:rFonts w:hint="eastAsia" w:ascii="宋体" w:hAnsi="宋体" w:eastAsia="宋体" w:cs="宋体"/>
                <w:b w:val="0"/>
                <w:bCs w:val="0"/>
                <w:color w:val="auto"/>
                <w:sz w:val="21"/>
                <w:szCs w:val="16"/>
              </w:rPr>
              <w:t>完成的类似项目业绩，每提供一项得2分，最高得</w:t>
            </w:r>
            <w:r>
              <w:rPr>
                <w:rFonts w:hint="eastAsia" w:ascii="宋体" w:hAnsi="宋体" w:eastAsia="宋体" w:cs="宋体"/>
                <w:b w:val="0"/>
                <w:bCs w:val="0"/>
                <w:color w:val="auto"/>
                <w:sz w:val="21"/>
                <w:szCs w:val="16"/>
                <w:lang w:val="en-US" w:eastAsia="zh-CN"/>
              </w:rPr>
              <w:t>6</w:t>
            </w:r>
            <w:r>
              <w:rPr>
                <w:rFonts w:hint="eastAsia" w:ascii="宋体" w:hAnsi="宋体" w:eastAsia="宋体" w:cs="宋体"/>
                <w:b w:val="0"/>
                <w:bCs w:val="0"/>
                <w:color w:val="auto"/>
                <w:sz w:val="21"/>
                <w:szCs w:val="16"/>
              </w:rPr>
              <w:t>分。</w:t>
            </w:r>
            <w:r>
              <w:rPr>
                <w:rFonts w:hint="eastAsia" w:ascii="宋体" w:hAnsi="宋体" w:eastAsia="宋体" w:cs="宋体"/>
                <w:b/>
                <w:bCs/>
                <w:color w:val="auto"/>
                <w:sz w:val="21"/>
                <w:szCs w:val="16"/>
              </w:rPr>
              <w:t>（以响应文件中加盖供应商公章的合同复印件或中标通知书为评分依据）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2" w:hRule="atLeast"/>
          <w:jc w:val="center"/>
        </w:trPr>
        <w:tc>
          <w:tcPr>
            <w:tcW w:w="1542" w:type="dxa"/>
            <w:vMerge w:val="continue"/>
            <w:vAlign w:val="center"/>
          </w:tcPr>
          <w:p>
            <w:pPr>
              <w:pStyle w:val="45"/>
              <w:keepNext w:val="0"/>
              <w:keepLines w:val="0"/>
              <w:suppressLineNumbers w:val="0"/>
              <w:spacing w:before="0" w:beforeAutospacing="0" w:after="0" w:afterAutospacing="0" w:line="240" w:lineRule="exact"/>
              <w:ind w:left="0" w:leftChars="0" w:right="0" w:firstLine="0" w:firstLineChars="0"/>
              <w:jc w:val="center"/>
              <w:rPr>
                <w:rFonts w:hint="eastAsia" w:ascii="宋体" w:hAnsi="宋体" w:cs="宋体"/>
                <w:color w:val="auto"/>
                <w:szCs w:val="21"/>
                <w:highlight w:val="none"/>
                <w:lang w:val="zh-CN"/>
              </w:rPr>
            </w:pPr>
          </w:p>
        </w:tc>
        <w:tc>
          <w:tcPr>
            <w:tcW w:w="2175" w:type="dxa"/>
            <w:vAlign w:val="center"/>
          </w:tcPr>
          <w:p>
            <w:pPr>
              <w:pStyle w:val="45"/>
              <w:keepNext w:val="0"/>
              <w:keepLines w:val="0"/>
              <w:suppressLineNumbers w:val="0"/>
              <w:spacing w:before="0" w:beforeAutospacing="0" w:after="0" w:afterAutospacing="0" w:line="240" w:lineRule="exact"/>
              <w:ind w:left="0" w:leftChars="0" w:right="0" w:firstLine="0" w:firstLine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项目负责人业绩</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r>
              <w:rPr>
                <w:rFonts w:hint="eastAsia" w:ascii="宋体" w:hAnsi="宋体" w:cs="宋体"/>
                <w:color w:val="auto"/>
                <w:szCs w:val="21"/>
                <w:highlight w:val="none"/>
                <w:lang w:val="zh-CN"/>
              </w:rPr>
              <w:t>）</w:t>
            </w:r>
          </w:p>
        </w:tc>
        <w:tc>
          <w:tcPr>
            <w:tcW w:w="5965" w:type="dxa"/>
            <w:vAlign w:val="center"/>
          </w:tcPr>
          <w:p>
            <w:pPr>
              <w:keepNext w:val="0"/>
              <w:keepLines w:val="0"/>
              <w:suppressLineNumbers w:val="0"/>
              <w:kinsoku/>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sz w:val="21"/>
                <w:szCs w:val="16"/>
                <w:lang w:val="zh-CN"/>
              </w:rPr>
            </w:pPr>
            <w:r>
              <w:rPr>
                <w:rFonts w:hint="eastAsia" w:ascii="宋体" w:hAnsi="宋体" w:eastAsia="宋体" w:cs="宋体"/>
                <w:b w:val="0"/>
                <w:bCs w:val="0"/>
                <w:color w:val="auto"/>
                <w:sz w:val="21"/>
                <w:szCs w:val="16"/>
                <w:lang w:val="en-US" w:eastAsia="zh-CN"/>
              </w:rPr>
              <w:t>2021</w:t>
            </w:r>
            <w:r>
              <w:rPr>
                <w:rFonts w:hint="eastAsia" w:ascii="宋体" w:hAnsi="宋体" w:eastAsia="宋体" w:cs="宋体"/>
                <w:b w:val="0"/>
                <w:bCs w:val="0"/>
                <w:color w:val="auto"/>
                <w:sz w:val="21"/>
                <w:szCs w:val="16"/>
              </w:rPr>
              <w:t>年</w:t>
            </w:r>
            <w:r>
              <w:rPr>
                <w:rFonts w:hint="eastAsia" w:ascii="宋体" w:hAnsi="宋体" w:eastAsia="宋体" w:cs="宋体"/>
                <w:b w:val="0"/>
                <w:bCs w:val="0"/>
                <w:color w:val="auto"/>
                <w:sz w:val="21"/>
                <w:szCs w:val="16"/>
                <w:lang w:eastAsia="zh-CN"/>
              </w:rPr>
              <w:t>至今</w:t>
            </w:r>
            <w:r>
              <w:rPr>
                <w:rFonts w:hint="eastAsia" w:ascii="宋体" w:hAnsi="宋体" w:eastAsia="宋体" w:cs="宋体"/>
                <w:b w:val="0"/>
                <w:bCs w:val="0"/>
                <w:color w:val="auto"/>
                <w:sz w:val="21"/>
                <w:szCs w:val="16"/>
              </w:rPr>
              <w:t>担任过类似项目负责人的，每提供一项业绩得2分，最高得</w:t>
            </w:r>
            <w:r>
              <w:rPr>
                <w:rFonts w:hint="eastAsia" w:ascii="宋体" w:hAnsi="宋体" w:eastAsia="宋体" w:cs="宋体"/>
                <w:b w:val="0"/>
                <w:bCs w:val="0"/>
                <w:color w:val="auto"/>
                <w:sz w:val="21"/>
                <w:szCs w:val="16"/>
                <w:lang w:val="en-US" w:eastAsia="zh-CN"/>
              </w:rPr>
              <w:t>6</w:t>
            </w:r>
            <w:r>
              <w:rPr>
                <w:rFonts w:hint="eastAsia" w:ascii="宋体" w:hAnsi="宋体" w:eastAsia="宋体" w:cs="宋体"/>
                <w:b w:val="0"/>
                <w:bCs w:val="0"/>
                <w:color w:val="auto"/>
                <w:sz w:val="21"/>
                <w:szCs w:val="16"/>
              </w:rPr>
              <w:t>分</w:t>
            </w:r>
            <w:r>
              <w:rPr>
                <w:rFonts w:hint="eastAsia" w:ascii="宋体" w:hAnsi="宋体" w:eastAsia="宋体" w:cs="宋体"/>
                <w:b w:val="0"/>
                <w:bCs w:val="0"/>
                <w:color w:val="auto"/>
                <w:sz w:val="21"/>
                <w:szCs w:val="16"/>
                <w:lang w:eastAsia="zh-CN"/>
              </w:rPr>
              <w:t>。</w:t>
            </w:r>
            <w:r>
              <w:rPr>
                <w:rFonts w:hint="eastAsia" w:ascii="宋体" w:hAnsi="宋体" w:eastAsia="宋体" w:cs="宋体"/>
                <w:b/>
                <w:bCs/>
                <w:color w:val="auto"/>
                <w:sz w:val="21"/>
                <w:szCs w:val="16"/>
              </w:rPr>
              <w:t>（以响应文件中加盖供应商公章的合同复印件为评分依据）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jc w:val="center"/>
        </w:trPr>
        <w:tc>
          <w:tcPr>
            <w:tcW w:w="1542" w:type="dxa"/>
            <w:vMerge w:val="continue"/>
            <w:vAlign w:val="center"/>
          </w:tcPr>
          <w:p>
            <w:pPr>
              <w:pStyle w:val="45"/>
              <w:keepNext w:val="0"/>
              <w:keepLines w:val="0"/>
              <w:suppressLineNumbers w:val="0"/>
              <w:spacing w:before="0" w:beforeAutospacing="0" w:after="0" w:afterAutospacing="0" w:line="240" w:lineRule="exact"/>
              <w:ind w:left="0" w:leftChars="0" w:right="0" w:firstLine="0" w:firstLineChars="0"/>
              <w:jc w:val="center"/>
              <w:rPr>
                <w:rFonts w:hint="default" w:ascii="宋体" w:hAnsi="宋体" w:cs="宋体"/>
                <w:color w:val="auto"/>
                <w:szCs w:val="21"/>
                <w:highlight w:val="none"/>
                <w:lang w:val="zh-CN"/>
              </w:rPr>
            </w:pPr>
          </w:p>
        </w:tc>
        <w:tc>
          <w:tcPr>
            <w:tcW w:w="2175" w:type="dxa"/>
            <w:vAlign w:val="center"/>
          </w:tcPr>
          <w:p>
            <w:pPr>
              <w:keepNext w:val="0"/>
              <w:keepLines w:val="0"/>
              <w:suppressLineNumbers w:val="0"/>
              <w:kinsoku/>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0"/>
                <w:sz w:val="21"/>
                <w:szCs w:val="16"/>
              </w:rPr>
              <w:t>项目团队人员配备</w:t>
            </w:r>
            <w:r>
              <w:rPr>
                <w:rFonts w:hint="eastAsia" w:ascii="宋体" w:hAnsi="宋体" w:eastAsia="宋体" w:cs="宋体"/>
                <w:color w:val="auto"/>
                <w:kern w:val="0"/>
                <w:sz w:val="21"/>
                <w:szCs w:val="16"/>
                <w:lang w:eastAsia="zh-CN"/>
              </w:rPr>
              <w:t>（</w:t>
            </w:r>
            <w:r>
              <w:rPr>
                <w:rFonts w:hint="eastAsia" w:ascii="宋体" w:hAnsi="宋体" w:eastAsia="宋体" w:cs="宋体"/>
                <w:color w:val="auto"/>
                <w:kern w:val="0"/>
                <w:sz w:val="21"/>
                <w:szCs w:val="16"/>
                <w:lang w:val="en-US" w:eastAsia="zh-CN"/>
              </w:rPr>
              <w:t>10</w:t>
            </w:r>
            <w:r>
              <w:rPr>
                <w:rFonts w:hint="eastAsia" w:ascii="宋体" w:hAnsi="宋体" w:eastAsia="宋体" w:cs="宋体"/>
                <w:color w:val="auto"/>
                <w:kern w:val="0"/>
                <w:sz w:val="21"/>
                <w:szCs w:val="16"/>
                <w:lang w:eastAsia="zh-CN"/>
              </w:rPr>
              <w:t>）</w:t>
            </w:r>
          </w:p>
        </w:tc>
        <w:tc>
          <w:tcPr>
            <w:tcW w:w="5965" w:type="dxa"/>
            <w:vAlign w:val="center"/>
          </w:tcPr>
          <w:p>
            <w:pPr>
              <w:keepNext w:val="0"/>
              <w:keepLines w:val="0"/>
              <w:suppressLineNumbers w:val="0"/>
              <w:kinsoku/>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1"/>
                <w:szCs w:val="16"/>
              </w:rPr>
            </w:pPr>
            <w:r>
              <w:rPr>
                <w:rFonts w:hint="eastAsia" w:ascii="宋体" w:hAnsi="宋体" w:eastAsia="宋体" w:cs="宋体"/>
                <w:color w:val="auto"/>
                <w:sz w:val="21"/>
                <w:szCs w:val="16"/>
              </w:rPr>
              <w:t>根据项目团队组织架构、人员配备、技术能力等情况，给出得分：</w:t>
            </w:r>
          </w:p>
          <w:p>
            <w:pPr>
              <w:keepNext w:val="0"/>
              <w:keepLines w:val="0"/>
              <w:suppressLineNumbers w:val="0"/>
              <w:kinsoku/>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1"/>
                <w:szCs w:val="18"/>
              </w:rPr>
            </w:pPr>
            <w:r>
              <w:rPr>
                <w:rFonts w:hint="eastAsia" w:ascii="宋体" w:hAnsi="宋体" w:eastAsia="宋体" w:cs="宋体"/>
                <w:color w:val="auto"/>
                <w:sz w:val="21"/>
                <w:szCs w:val="18"/>
              </w:rPr>
              <w:t>项目团队组织架构合理，人员配备齐全，专业技术能力强，完全满足项目需要的，得10-</w:t>
            </w:r>
            <w:r>
              <w:rPr>
                <w:rFonts w:hint="eastAsia" w:ascii="宋体" w:hAnsi="宋体" w:eastAsia="宋体" w:cs="宋体"/>
                <w:color w:val="auto"/>
                <w:sz w:val="21"/>
                <w:szCs w:val="18"/>
                <w:lang w:val="en-US" w:eastAsia="zh-CN"/>
              </w:rPr>
              <w:t>8</w:t>
            </w:r>
            <w:r>
              <w:rPr>
                <w:rFonts w:hint="eastAsia" w:ascii="宋体" w:hAnsi="宋体" w:eastAsia="宋体" w:cs="宋体"/>
                <w:color w:val="auto"/>
                <w:sz w:val="21"/>
                <w:szCs w:val="18"/>
              </w:rPr>
              <w:t>分；</w:t>
            </w:r>
          </w:p>
          <w:p>
            <w:pPr>
              <w:keepNext w:val="0"/>
              <w:keepLines w:val="0"/>
              <w:suppressLineNumbers w:val="0"/>
              <w:kinsoku/>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1"/>
                <w:szCs w:val="18"/>
              </w:rPr>
            </w:pPr>
            <w:r>
              <w:rPr>
                <w:rFonts w:hint="eastAsia" w:ascii="宋体" w:hAnsi="宋体" w:eastAsia="宋体" w:cs="宋体"/>
                <w:color w:val="auto"/>
                <w:sz w:val="21"/>
                <w:szCs w:val="18"/>
              </w:rPr>
              <w:t>项目团队组织架构比较合理，人员配备比较齐全，专业技术能力较强，比较能满足项目需要的，得7-</w:t>
            </w:r>
            <w:r>
              <w:rPr>
                <w:rFonts w:hint="eastAsia" w:ascii="宋体" w:hAnsi="宋体" w:eastAsia="宋体" w:cs="宋体"/>
                <w:color w:val="auto"/>
                <w:sz w:val="21"/>
                <w:szCs w:val="18"/>
                <w:lang w:val="en-US" w:eastAsia="zh-CN"/>
              </w:rPr>
              <w:t>5</w:t>
            </w:r>
            <w:r>
              <w:rPr>
                <w:rFonts w:hint="eastAsia" w:ascii="宋体" w:hAnsi="宋体" w:eastAsia="宋体" w:cs="宋体"/>
                <w:color w:val="auto"/>
                <w:sz w:val="21"/>
                <w:szCs w:val="18"/>
              </w:rPr>
              <w:t>分；</w:t>
            </w:r>
          </w:p>
          <w:p>
            <w:pPr>
              <w:keepNext w:val="0"/>
              <w:keepLines w:val="0"/>
              <w:suppressLineNumbers w:val="0"/>
              <w:kinsoku/>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1"/>
                <w:szCs w:val="18"/>
              </w:rPr>
            </w:pPr>
            <w:r>
              <w:rPr>
                <w:rFonts w:hint="eastAsia" w:ascii="宋体" w:hAnsi="宋体" w:eastAsia="宋体" w:cs="宋体"/>
                <w:color w:val="auto"/>
                <w:sz w:val="21"/>
                <w:szCs w:val="18"/>
              </w:rPr>
              <w:t>项目团队组织架构基本合理，人员配备基本齐全，专业技术能力一般，基本满足项目需要的，得</w:t>
            </w:r>
            <w:r>
              <w:rPr>
                <w:rFonts w:hint="eastAsia" w:ascii="宋体" w:hAnsi="宋体" w:eastAsia="宋体" w:cs="宋体"/>
                <w:color w:val="auto"/>
                <w:sz w:val="21"/>
                <w:szCs w:val="18"/>
                <w:lang w:val="en-US" w:eastAsia="zh-CN"/>
              </w:rPr>
              <w:t>4</w:t>
            </w:r>
            <w:r>
              <w:rPr>
                <w:rFonts w:hint="eastAsia" w:ascii="宋体" w:hAnsi="宋体" w:eastAsia="宋体" w:cs="宋体"/>
                <w:color w:val="auto"/>
                <w:sz w:val="21"/>
                <w:szCs w:val="18"/>
              </w:rPr>
              <w:t>-</w:t>
            </w:r>
            <w:r>
              <w:rPr>
                <w:rFonts w:hint="eastAsia" w:ascii="宋体" w:hAnsi="宋体" w:eastAsia="宋体" w:cs="宋体"/>
                <w:color w:val="auto"/>
                <w:sz w:val="21"/>
                <w:szCs w:val="18"/>
                <w:lang w:val="en-US" w:eastAsia="zh-CN"/>
              </w:rPr>
              <w:t>1</w:t>
            </w:r>
            <w:r>
              <w:rPr>
                <w:rFonts w:hint="eastAsia" w:ascii="宋体" w:hAnsi="宋体" w:eastAsia="宋体" w:cs="宋体"/>
                <w:color w:val="auto"/>
                <w:sz w:val="21"/>
                <w:szCs w:val="18"/>
              </w:rPr>
              <w:t>分；</w:t>
            </w:r>
          </w:p>
          <w:p>
            <w:pPr>
              <w:keepNext w:val="0"/>
              <w:keepLines w:val="0"/>
              <w:suppressLineNumbers w:val="0"/>
              <w:kinsoku/>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18"/>
              </w:rPr>
              <w:t>严重缺项或无此项内容得0分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2" w:hRule="atLeast"/>
          <w:jc w:val="center"/>
        </w:trPr>
        <w:tc>
          <w:tcPr>
            <w:tcW w:w="1542" w:type="dxa"/>
            <w:vMerge w:val="restart"/>
            <w:vAlign w:val="center"/>
          </w:tcPr>
          <w:p>
            <w:pPr>
              <w:pStyle w:val="45"/>
              <w:keepNext w:val="0"/>
              <w:keepLines w:val="0"/>
              <w:suppressLineNumbers w:val="0"/>
              <w:spacing w:before="0" w:beforeAutospacing="0" w:after="0" w:afterAutospacing="0" w:line="240" w:lineRule="exact"/>
              <w:ind w:left="0" w:leftChars="0" w:right="0" w:firstLine="0" w:firstLineChars="0"/>
              <w:jc w:val="center"/>
              <w:rPr>
                <w:rFonts w:hint="eastAsia" w:ascii="宋体" w:hAnsi="宋体" w:cs="宋体"/>
                <w:color w:val="auto"/>
                <w:szCs w:val="21"/>
                <w:highlight w:val="none"/>
                <w:lang w:val="en-US" w:eastAsia="zh-CN"/>
              </w:rPr>
            </w:pPr>
            <w:bookmarkStart w:id="46" w:name="_Toc373772561"/>
            <w:bookmarkStart w:id="47" w:name="_Toc444680791"/>
            <w:r>
              <w:rPr>
                <w:rFonts w:hint="eastAsia" w:ascii="宋体" w:hAnsi="宋体" w:cs="宋体"/>
                <w:color w:val="auto"/>
                <w:szCs w:val="21"/>
                <w:highlight w:val="none"/>
                <w:lang w:val="en-US" w:eastAsia="zh-CN"/>
              </w:rPr>
              <w:t>其他因素</w:t>
            </w:r>
          </w:p>
          <w:p>
            <w:pPr>
              <w:pStyle w:val="45"/>
              <w:keepNext w:val="0"/>
              <w:keepLines w:val="0"/>
              <w:suppressLineNumbers w:val="0"/>
              <w:spacing w:before="0" w:beforeAutospacing="0" w:after="0" w:afterAutospacing="0" w:line="240" w:lineRule="exact"/>
              <w:ind w:left="0" w:leftChars="0" w:right="0" w:firstLine="0" w:firstLineChars="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（8分）</w:t>
            </w:r>
          </w:p>
        </w:tc>
        <w:tc>
          <w:tcPr>
            <w:tcW w:w="2175" w:type="dxa"/>
            <w:vAlign w:val="center"/>
          </w:tcPr>
          <w:p>
            <w:pPr>
              <w:pStyle w:val="45"/>
              <w:keepNext w:val="0"/>
              <w:keepLines w:val="0"/>
              <w:suppressLineNumbers w:val="0"/>
              <w:spacing w:before="0" w:beforeAutospacing="0" w:after="0" w:afterAutospacing="0" w:line="240" w:lineRule="exact"/>
              <w:ind w:left="0" w:leftChars="0" w:right="0" w:rightChars="0" w:firstLine="0" w:firstLineChars="0"/>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优惠条件（</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r>
              <w:rPr>
                <w:rFonts w:hint="eastAsia" w:ascii="宋体" w:hAnsi="宋体" w:cs="宋体"/>
                <w:color w:val="auto"/>
                <w:szCs w:val="21"/>
                <w:highlight w:val="none"/>
                <w:lang w:val="zh-CN"/>
              </w:rPr>
              <w:t>）</w:t>
            </w:r>
          </w:p>
        </w:tc>
        <w:tc>
          <w:tcPr>
            <w:tcW w:w="5965" w:type="dxa"/>
            <w:vAlign w:val="center"/>
          </w:tcPr>
          <w:p>
            <w:pPr>
              <w:pStyle w:val="45"/>
              <w:keepNext w:val="0"/>
              <w:keepLines w:val="0"/>
              <w:suppressLineNumbers w:val="0"/>
              <w:spacing w:before="0" w:beforeAutospacing="0" w:after="0" w:afterAutospacing="0" w:line="240" w:lineRule="exact"/>
              <w:ind w:left="0" w:leftChars="0" w:right="0" w:rightChars="0" w:firstLine="0" w:firstLineChars="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根据项目实际情况，响应人针对本项目提出的实质性的优惠条件进行综合比较，优者得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w:t>
            </w:r>
            <w:r>
              <w:rPr>
                <w:rFonts w:hint="eastAsia" w:ascii="宋体" w:hAnsi="宋体" w:cs="宋体"/>
                <w:color w:val="auto"/>
                <w:szCs w:val="21"/>
                <w:highlight w:val="none"/>
                <w:lang w:val="zh-CN"/>
              </w:rPr>
              <w:t>分，一般得</w:t>
            </w:r>
            <w:r>
              <w:rPr>
                <w:rFonts w:hint="eastAsia" w:ascii="宋体" w:hAnsi="宋体" w:cs="宋体"/>
                <w:color w:val="auto"/>
                <w:szCs w:val="21"/>
                <w:highlight w:val="none"/>
              </w:rPr>
              <w:t>2-</w:t>
            </w:r>
            <w:r>
              <w:rPr>
                <w:rFonts w:hint="eastAsia" w:ascii="宋体" w:hAnsi="宋体" w:cs="宋体"/>
                <w:color w:val="auto"/>
                <w:szCs w:val="21"/>
                <w:highlight w:val="none"/>
                <w:lang w:val="zh-CN"/>
              </w:rPr>
              <w:t>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2" w:hRule="atLeast"/>
          <w:jc w:val="center"/>
        </w:trPr>
        <w:tc>
          <w:tcPr>
            <w:tcW w:w="1542" w:type="dxa"/>
            <w:vMerge w:val="continue"/>
            <w:vAlign w:val="center"/>
          </w:tcPr>
          <w:p>
            <w:pPr>
              <w:pStyle w:val="45"/>
              <w:keepNext w:val="0"/>
              <w:keepLines w:val="0"/>
              <w:suppressLineNumbers w:val="0"/>
              <w:spacing w:before="0" w:beforeAutospacing="0" w:after="0" w:afterAutospacing="0" w:line="240" w:lineRule="exact"/>
              <w:ind w:left="0" w:leftChars="0" w:right="0" w:firstLine="0" w:firstLineChars="0"/>
              <w:jc w:val="center"/>
              <w:rPr>
                <w:rFonts w:hint="default" w:ascii="宋体" w:hAnsi="宋体" w:cs="宋体"/>
                <w:color w:val="auto"/>
                <w:szCs w:val="21"/>
                <w:highlight w:val="none"/>
                <w:lang w:val="zh-CN"/>
              </w:rPr>
            </w:pPr>
          </w:p>
        </w:tc>
        <w:tc>
          <w:tcPr>
            <w:tcW w:w="2175" w:type="dxa"/>
            <w:vAlign w:val="center"/>
          </w:tcPr>
          <w:p>
            <w:pPr>
              <w:pStyle w:val="45"/>
              <w:keepNext w:val="0"/>
              <w:keepLines w:val="0"/>
              <w:suppressLineNumbers w:val="0"/>
              <w:spacing w:before="0" w:beforeAutospacing="0" w:after="0" w:afterAutospacing="0" w:line="240" w:lineRule="exact"/>
              <w:ind w:left="0" w:leftChars="0" w:right="0" w:rightChars="0" w:firstLine="0" w:firstLineChars="0"/>
              <w:jc w:val="both"/>
              <w:rPr>
                <w:rFonts w:hint="eastAsia" w:ascii="宋体" w:hAnsi="宋体" w:cs="宋体"/>
                <w:color w:val="auto"/>
                <w:szCs w:val="21"/>
                <w:highlight w:val="none"/>
                <w:lang w:val="zh-CN"/>
              </w:rPr>
            </w:pPr>
            <w:r>
              <w:rPr>
                <w:rFonts w:hint="eastAsia" w:ascii="宋体" w:hAnsi="宋体" w:cs="宋体"/>
                <w:color w:val="auto"/>
                <w:szCs w:val="21"/>
                <w:highlight w:val="none"/>
                <w:lang w:val="zh-CN"/>
              </w:rPr>
              <w:t>服务承诺</w:t>
            </w:r>
            <w:r>
              <w:rPr>
                <w:rFonts w:hint="eastAsia" w:ascii="宋体" w:hAnsi="宋体" w:cs="宋体"/>
                <w:color w:val="auto"/>
                <w:szCs w:val="21"/>
                <w:highlight w:val="none"/>
                <w:lang w:val="en-US" w:eastAsia="zh-CN"/>
              </w:rPr>
              <w:t>体系</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r>
              <w:rPr>
                <w:rFonts w:hint="eastAsia" w:ascii="宋体" w:hAnsi="宋体" w:cs="宋体"/>
                <w:color w:val="auto"/>
                <w:szCs w:val="21"/>
                <w:highlight w:val="none"/>
                <w:lang w:val="zh-CN"/>
              </w:rPr>
              <w:t>）</w:t>
            </w:r>
          </w:p>
        </w:tc>
        <w:tc>
          <w:tcPr>
            <w:tcW w:w="5965" w:type="dxa"/>
            <w:vAlign w:val="center"/>
          </w:tcPr>
          <w:p>
            <w:pPr>
              <w:pStyle w:val="45"/>
              <w:keepNext w:val="0"/>
              <w:keepLines w:val="0"/>
              <w:suppressLineNumbers w:val="0"/>
              <w:spacing w:before="0" w:beforeAutospacing="0" w:after="0" w:afterAutospacing="0" w:line="240" w:lineRule="exact"/>
              <w:ind w:left="0" w:leftChars="0" w:right="0" w:rightChars="0" w:firstLine="0" w:firstLineChars="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根据项目实际情况，响应人针对本项目提出的服务承诺</w:t>
            </w:r>
            <w:r>
              <w:rPr>
                <w:rFonts w:hint="eastAsia" w:ascii="宋体" w:hAnsi="宋体" w:cs="宋体"/>
                <w:color w:val="auto"/>
                <w:szCs w:val="21"/>
                <w:highlight w:val="none"/>
                <w:lang w:val="en-US" w:eastAsia="zh-CN"/>
              </w:rPr>
              <w:t>体系</w:t>
            </w:r>
            <w:r>
              <w:rPr>
                <w:rFonts w:hint="eastAsia" w:ascii="宋体" w:hAnsi="宋体" w:cs="宋体"/>
                <w:color w:val="auto"/>
                <w:szCs w:val="21"/>
                <w:highlight w:val="none"/>
                <w:lang w:val="zh-CN"/>
              </w:rPr>
              <w:t>进行综合比较，优者得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w:t>
            </w:r>
            <w:r>
              <w:rPr>
                <w:rFonts w:hint="eastAsia" w:ascii="宋体" w:hAnsi="宋体" w:cs="宋体"/>
                <w:color w:val="auto"/>
                <w:szCs w:val="21"/>
                <w:highlight w:val="none"/>
                <w:lang w:val="zh-CN"/>
              </w:rPr>
              <w:t>分，一般得</w:t>
            </w:r>
            <w:r>
              <w:rPr>
                <w:rFonts w:hint="eastAsia" w:ascii="宋体" w:hAnsi="宋体" w:cs="宋体"/>
                <w:color w:val="auto"/>
                <w:szCs w:val="21"/>
                <w:highlight w:val="none"/>
              </w:rPr>
              <w:t>2-</w:t>
            </w:r>
            <w:r>
              <w:rPr>
                <w:rFonts w:hint="eastAsia" w:ascii="宋体" w:hAnsi="宋体" w:cs="宋体"/>
                <w:color w:val="auto"/>
                <w:szCs w:val="21"/>
                <w:highlight w:val="none"/>
                <w:lang w:val="zh-CN"/>
              </w:rPr>
              <w:t>1分，没有不得分</w:t>
            </w:r>
          </w:p>
        </w:tc>
      </w:tr>
    </w:tbl>
    <w:p>
      <w:pPr>
        <w:rPr>
          <w:rFonts w:hint="eastAsia" w:ascii="宋体" w:hAnsi="宋体" w:cs="宋体"/>
          <w:color w:val="auto"/>
          <w:kern w:val="2"/>
          <w:sz w:val="36"/>
          <w:szCs w:val="36"/>
          <w:highlight w:val="none"/>
        </w:rPr>
      </w:pPr>
      <w:r>
        <w:rPr>
          <w:rFonts w:hint="eastAsia" w:ascii="宋体" w:hAnsi="宋体" w:cs="宋体"/>
          <w:color w:val="auto"/>
          <w:kern w:val="2"/>
          <w:sz w:val="36"/>
          <w:szCs w:val="36"/>
          <w:highlight w:val="none"/>
        </w:rPr>
        <w:br w:type="page"/>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本次评标采用综合评分法，评标委员会对满足招标文件实质性要求的投标文件，按照本章规定的评分标准进行打分，并按得分由高到低顺序推荐中标候选人， 但投标报价低于其成本的除外。综合评分相等时，以投标报价低的优先；投标报价也相等的，企业实力、其他因素逐项对比以各项分数高者优先。如各项分数都相等时，由采购人代表随机抽取确定。</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2.1初步评审标准</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2.1.1 形式评审标准：见评标办法前附表。</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投标单位有任何一项不满足形式评审标准，视为未通过形式评审，不再进入后续评标。</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2.1.2 资格评审标准：见评标办法前附表。</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投标单位有任何一项不满足 资格评审标准，视为未通过资格评审，不再进入后续评标。</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2.1.2 响应性评审标准：见评标办法前附表。</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投标单位有任何一项不满足响应性评审标准，视为未通过响应性评审，不再进入后续评标。</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2.2 分值构成与评分标准</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2.2.1 分值构成</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(1)技术部分：见评标办法前附表；</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(2)投标报价：见评标办法前附表；</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(3)其他评分因素：见评标办法前附表。</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2.2.2 评标基准价计算</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评标基准价计算方法：见评标办法前附表。</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2.2.3 评分标准</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(1)技术部分评分标准：见评标办法前附表；</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(2)商务投标报价评分标准：见评标办法前附表；</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(3)其他因素评分标准：见评标办法前附表。</w:t>
      </w:r>
    </w:p>
    <w:p>
      <w:pPr>
        <w:autoSpaceDE w:val="0"/>
        <w:autoSpaceDN w:val="0"/>
        <w:adjustRightInd w:val="0"/>
        <w:spacing w:line="4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2.2.4小型和微型企业产品价格扣除：</w:t>
      </w:r>
    </w:p>
    <w:p>
      <w:pPr>
        <w:autoSpaceDE w:val="0"/>
        <w:autoSpaceDN w:val="0"/>
        <w:adjustRightInd w:val="0"/>
        <w:spacing w:line="400" w:lineRule="exact"/>
        <w:ind w:left="630" w:leftChars="300" w:firstLine="210" w:firstLineChars="1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投标人为小型或微型企业（包括成员均为小型或微型企业的联合体）且投标产品/服务含小型或微型企业产品/服务时，报价给予K1的价格扣除（K1的取值为6%），即：评标价=核实后的投标价-小微企业产品核实价×K1；</w:t>
      </w:r>
    </w:p>
    <w:p>
      <w:pPr>
        <w:autoSpaceDE w:val="0"/>
        <w:autoSpaceDN w:val="0"/>
        <w:adjustRightInd w:val="0"/>
        <w:spacing w:line="400" w:lineRule="exact"/>
        <w:ind w:left="630" w:leftChars="300" w:firstLine="210" w:firstLineChars="1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投标人为大中型企业和其他自然人、法人或者其他组织与小型、微型企业组成是联合体，且联合体协议中约定小型、微型企业的协议合同金额（必须为本企业承担的服务）占到联合体协议合同总金额30%以上的，对联合体报价给予K2的价格扣除（K2的取值为2%），即：评标价=核实后的投标价-小微企业产品核实价×K2；</w:t>
      </w:r>
    </w:p>
    <w:p>
      <w:pPr>
        <w:autoSpaceDE w:val="0"/>
        <w:autoSpaceDN w:val="0"/>
        <w:adjustRightInd w:val="0"/>
        <w:spacing w:line="400" w:lineRule="exact"/>
        <w:ind w:left="630" w:leftChars="300" w:firstLine="210" w:firstLineChars="1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本条款所称小型或微型企业应当符合以下条件：符合《工业和信息化部、国家统计局、国家发展改革委员会、财政部关于印发中小企业划型标准规定的通知》（工信部联企业【2011】300号）规定的对小型或微型企业的划分标准，并且提供本企业承担的服务；</w:t>
      </w:r>
    </w:p>
    <w:p>
      <w:pPr>
        <w:autoSpaceDE w:val="0"/>
        <w:autoSpaceDN w:val="0"/>
        <w:adjustRightInd w:val="0"/>
        <w:spacing w:line="400" w:lineRule="exact"/>
        <w:ind w:firstLine="630" w:firstLineChars="3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（4）参加政府采购活动的中小微企业应当提供《中小微企业声明函》（见第</w:t>
      </w:r>
      <w:r>
        <w:rPr>
          <w:rFonts w:hint="eastAsia" w:ascii="宋体" w:hAnsi="宋体" w:cs="宋体"/>
          <w:color w:val="auto"/>
          <w:szCs w:val="21"/>
          <w:highlight w:val="none"/>
        </w:rPr>
        <w:t>六</w:t>
      </w:r>
      <w:r>
        <w:rPr>
          <w:rFonts w:hint="eastAsia" w:ascii="宋体" w:hAnsi="宋体" w:cs="宋体"/>
          <w:color w:val="auto"/>
          <w:szCs w:val="21"/>
          <w:highlight w:val="none"/>
          <w:lang w:val="zh-CN"/>
        </w:rPr>
        <w:t>章投标文件参考格式）。</w:t>
      </w:r>
    </w:p>
    <w:p>
      <w:pPr>
        <w:autoSpaceDE w:val="0"/>
        <w:autoSpaceDN w:val="0"/>
        <w:adjustRightInd w:val="0"/>
        <w:spacing w:line="400" w:lineRule="exact"/>
        <w:ind w:firstLine="630" w:firstLineChars="3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（5）组成联合体的大中型企业和其他自然人、法人或者其他组织，与联合体中的小型、微型企业之间不得存在投资关系；</w:t>
      </w:r>
    </w:p>
    <w:p>
      <w:pPr>
        <w:autoSpaceDE w:val="0"/>
        <w:autoSpaceDN w:val="0"/>
        <w:adjustRightInd w:val="0"/>
        <w:spacing w:line="400" w:lineRule="exact"/>
        <w:ind w:firstLine="630" w:firstLineChars="3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（6）本条款中（1）和（2）两种价格扣除规则不得同时适用。</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3.评标程序</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3.1初步评审</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3.1.1 评标委员会可以要求投标人提交第二章“投标人须知”规定的有关证明和证件，以便核验。评标委员会依据本章第2.1款规定的标准对投标文件进行初步评审。有一项不符合评审标准的，作投标被否决处理。</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3.1.2 投标人有以下情形之一的，其投标作否决处理：</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(1)第二章“投标人须知”中规定的任何一种情形的；</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(2)串通投标或弄虚作假或有其他违法行为的：</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(3)不按评标委员会要求澄清、说明或补正的。</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3.1.3 投标报价有算术错误的，评标委员会按以下原则对投标报价进行修正，修正的价格经投标人书面确认后具有约束力。投标人不接受修正价格的，其投标作否决处理。</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(1)投标文件中的大写金额与小写金额不一致的，以大写金额为准：</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(2)总价金额与依据单价计算出的结果不一致的，以单价金额为准修正总价，但单</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价金额小数点有明显错误的除外。</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3.2 详细评审</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3.2.1评标委员会按本章第2条款规定的量化因素和分值进行打分，并计算出综合打分得分。</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(1)按本章第2.2.4(1)目规定的评审因素和分值对技术部分计算出得分A；</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(2)按本章第2.2.4(2)目规定的评审因素和分值对商务部分计算出得分B；</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3.2.2 评分分值计算保留小数点后两位，小数点后第三位“四舍五入”。</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3.2.3 投标人得分=A+B。</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3.3 投标文件的澄清和补正</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3.3.2 澄清、说明和补正不得改变投标文件的实质性内容(算术性错误修正的除外)。投标人的书面澄清、说明和补正属于投标文件的组成部分。</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3.3.3 评标委员会对投标人提交的澄清、说明或补正有疑问的，可以要求投标人进一步澄清、说明或补正，直至满足评标委员会的要求。</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3.4 评标结果</w:t>
      </w:r>
    </w:p>
    <w:p>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3.4.1 除第二章“投标人须知”前附表授权直接确定中标人外，评标委员会按照得分由高到低的顺序推荐</w:t>
      </w:r>
      <w:r>
        <w:rPr>
          <w:rFonts w:hint="eastAsia" w:ascii="宋体" w:hAnsi="宋体" w:cs="宋体"/>
          <w:color w:val="auto"/>
          <w:szCs w:val="21"/>
          <w:highlight w:val="none"/>
        </w:rPr>
        <w:t>3家</w:t>
      </w:r>
      <w:r>
        <w:rPr>
          <w:rFonts w:hint="eastAsia" w:ascii="宋体" w:hAnsi="宋体" w:cs="宋体"/>
          <w:color w:val="auto"/>
          <w:szCs w:val="21"/>
          <w:highlight w:val="none"/>
          <w:lang w:val="zh-CN"/>
        </w:rPr>
        <w:t>中标候选人。</w:t>
      </w:r>
    </w:p>
    <w:p>
      <w:pPr>
        <w:autoSpaceDE w:val="0"/>
        <w:autoSpaceDN w:val="0"/>
        <w:adjustRightInd w:val="0"/>
        <w:spacing w:line="400" w:lineRule="exact"/>
        <w:jc w:val="left"/>
        <w:rPr>
          <w:b/>
          <w:bCs/>
          <w:color w:val="auto"/>
          <w:kern w:val="0"/>
          <w:szCs w:val="21"/>
          <w:highlight w:val="none"/>
        </w:rPr>
      </w:pPr>
      <w:r>
        <w:rPr>
          <w:rFonts w:hint="eastAsia" w:ascii="宋体" w:hAnsi="宋体" w:cs="宋体"/>
          <w:color w:val="auto"/>
          <w:szCs w:val="21"/>
          <w:highlight w:val="none"/>
          <w:lang w:val="zh-CN"/>
        </w:rPr>
        <w:t xml:space="preserve">    3.4.2 评标委员会完成评标后，应当向采购人提交书面评标报告。</w:t>
      </w:r>
      <w:r>
        <w:rPr>
          <w:rFonts w:hint="eastAsia"/>
          <w:b/>
          <w:bCs/>
          <w:color w:val="auto"/>
          <w:sz w:val="28"/>
          <w:szCs w:val="28"/>
          <w:highlight w:val="none"/>
        </w:rPr>
        <w:br w:type="page"/>
      </w:r>
      <w:r>
        <w:rPr>
          <w:rFonts w:hint="eastAsia"/>
          <w:b/>
          <w:bCs/>
          <w:color w:val="auto"/>
          <w:kern w:val="0"/>
          <w:szCs w:val="21"/>
          <w:highlight w:val="none"/>
        </w:rPr>
        <w:t>四</w:t>
      </w:r>
      <w:r>
        <w:rPr>
          <w:b/>
          <w:bCs/>
          <w:color w:val="auto"/>
          <w:kern w:val="0"/>
          <w:szCs w:val="21"/>
          <w:highlight w:val="none"/>
        </w:rPr>
        <w:t>、政府采购政策应用说明</w:t>
      </w:r>
    </w:p>
    <w:p>
      <w:pPr>
        <w:spacing w:before="120" w:line="320" w:lineRule="atLeast"/>
        <w:ind w:firstLine="420" w:firstLineChars="200"/>
        <w:rPr>
          <w:bCs/>
          <w:color w:val="auto"/>
          <w:szCs w:val="21"/>
          <w:highlight w:val="none"/>
        </w:rPr>
      </w:pPr>
      <w:r>
        <w:rPr>
          <w:color w:val="auto"/>
          <w:szCs w:val="21"/>
          <w:highlight w:val="none"/>
        </w:rPr>
        <w:t>（一）</w:t>
      </w:r>
      <w:r>
        <w:rPr>
          <w:bCs/>
          <w:color w:val="auto"/>
          <w:szCs w:val="21"/>
          <w:highlight w:val="none"/>
        </w:rPr>
        <w:t>政策性扣除计算方法</w:t>
      </w:r>
    </w:p>
    <w:p>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rPr>
        <w:t>供应商</w:t>
      </w:r>
      <w:r>
        <w:rPr>
          <w:color w:val="auto"/>
          <w:szCs w:val="21"/>
          <w:highlight w:val="none"/>
        </w:rPr>
        <w:t>符合小型、微型企业或监狱企业条件的，其投标价格将按相应比例进行扣除，用扣除后的价格参与评标（计算价格分）。</w:t>
      </w:r>
    </w:p>
    <w:p>
      <w:pPr>
        <w:spacing w:before="120" w:line="320" w:lineRule="atLeast"/>
        <w:ind w:firstLine="420" w:firstLineChars="200"/>
        <w:rPr>
          <w:color w:val="auto"/>
          <w:szCs w:val="21"/>
          <w:highlight w:val="none"/>
        </w:rPr>
      </w:pPr>
      <w:r>
        <w:rPr>
          <w:color w:val="auto"/>
          <w:szCs w:val="21"/>
          <w:highlight w:val="none"/>
        </w:rPr>
        <w:t>（1）依照《关于印发&lt;政府采购促进中小企业发展暂行办法&gt;的通知》（财库〔2011〕181号）之规定，小型、微型企业应当同时符合以下条件：</w:t>
      </w:r>
    </w:p>
    <w:p>
      <w:pPr>
        <w:spacing w:before="120" w:line="320" w:lineRule="atLeast"/>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本企业符合中小企业划分标准（中小企业划分标准是指国务院有关部门根据企业从业人员、营业收入、资产总额等指标制定的中小企业划型标准，详见《关于印发中小企业划型标准规定的通知》（工信部联企业〔2011〕300号））。</w:t>
      </w:r>
    </w:p>
    <w:p>
      <w:pPr>
        <w:spacing w:before="120" w:line="320" w:lineRule="atLeast"/>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提供本企业制造的货物、承担的工程或者服务，或者提供其他中小企业制造的货物，本项所称货物不包括提供或使用大型企业注册商标的货物。</w:t>
      </w:r>
    </w:p>
    <w:p>
      <w:pPr>
        <w:spacing w:before="120" w:line="320" w:lineRule="atLeast"/>
        <w:ind w:firstLine="420" w:firstLineChars="200"/>
        <w:rPr>
          <w:color w:val="auto"/>
          <w:szCs w:val="21"/>
          <w:highlight w:val="none"/>
        </w:rPr>
      </w:pPr>
      <w:r>
        <w:rPr>
          <w:color w:val="auto"/>
          <w:szCs w:val="21"/>
          <w:highlight w:val="none"/>
        </w:rPr>
        <w:t>注：小型、微型企业提供中型企业制造的货物的，视同为中型企业；小型、微型、中型企业提供大型企业制造的货物的，视同为大型企业，投标价格不予扣除。</w:t>
      </w:r>
    </w:p>
    <w:p>
      <w:pPr>
        <w:spacing w:before="120" w:line="320" w:lineRule="atLeast"/>
        <w:ind w:firstLine="420" w:firstLineChars="200"/>
        <w:rPr>
          <w:color w:val="auto"/>
          <w:szCs w:val="21"/>
          <w:highlight w:val="none"/>
        </w:rPr>
      </w:pPr>
      <w:r>
        <w:rPr>
          <w:color w:val="auto"/>
          <w:szCs w:val="21"/>
          <w:highlight w:val="none"/>
        </w:rPr>
        <w:t>（2）依照《财政部、司法部关于政府采购支持监狱企业发展有关问题的通知》（财库〔2014〕68号）之规定，监狱企业应当符合以下条件：</w:t>
      </w:r>
    </w:p>
    <w:p>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②监狱企业参加政府采购活动时，应当提供由省级以上监狱管理局、戒毒管理局（含新疆生产建设兵团）或财政部门出具的属于监狱企业的证明文件，视同小型、微型企业。</w:t>
      </w:r>
    </w:p>
    <w:p>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2、供应商为非联合体的情况下投标价格扣除方式：对小型、微型企业给予6%的扣除，以扣除后的投标价格参与评标（计算价格分）。</w:t>
      </w:r>
    </w:p>
    <w:p>
      <w:pPr>
        <w:spacing w:before="120" w:line="320" w:lineRule="atLeast"/>
        <w:ind w:firstLine="420" w:firstLineChars="200"/>
        <w:rPr>
          <w:rFonts w:ascii="宋体" w:hAnsi="宋体" w:cs="宋体"/>
          <w:color w:val="auto"/>
          <w:kern w:val="2"/>
          <w:sz w:val="36"/>
          <w:szCs w:val="36"/>
          <w:highlight w:val="none"/>
        </w:rPr>
      </w:pPr>
      <w:r>
        <w:rPr>
          <w:rFonts w:hint="eastAsia" w:ascii="宋体" w:hAnsi="宋体" w:eastAsia="宋体" w:cs="宋体"/>
          <w:color w:val="auto"/>
          <w:szCs w:val="21"/>
          <w:highlight w:val="none"/>
        </w:rPr>
        <w:t>供应商声明为中、小、微型企业或监狱企业的，应按磋商文件规定提供真实的、充分的证明材料供评标委员会审定（小微企业在响应文件中提供企业所在地的县级以上中小企业主管部门出具的证明文件，监狱企业在响应文件中提供上述部门出具的证明文件）。</w:t>
      </w:r>
      <w:r>
        <w:rPr>
          <w:rFonts w:hint="eastAsia" w:ascii="宋体" w:hAnsi="宋体" w:cs="宋体"/>
          <w:color w:val="auto"/>
          <w:kern w:val="2"/>
          <w:sz w:val="36"/>
          <w:szCs w:val="36"/>
          <w:highlight w:val="none"/>
        </w:rPr>
        <w:br w:type="page"/>
      </w:r>
    </w:p>
    <w:bookmarkEnd w:id="46"/>
    <w:bookmarkEnd w:id="47"/>
    <w:p>
      <w:pPr>
        <w:pStyle w:val="2"/>
        <w:numPr>
          <w:ilvl w:val="0"/>
          <w:numId w:val="4"/>
        </w:numPr>
        <w:rPr>
          <w:rFonts w:hint="eastAsia" w:ascii="宋体" w:hAnsi="宋体" w:cs="宋体"/>
          <w:color w:val="auto"/>
          <w:kern w:val="2"/>
          <w:sz w:val="36"/>
          <w:szCs w:val="36"/>
          <w:highlight w:val="none"/>
        </w:rPr>
      </w:pPr>
      <w:r>
        <w:rPr>
          <w:rFonts w:hint="eastAsia" w:ascii="宋体" w:hAnsi="宋体" w:cs="宋体"/>
          <w:color w:val="auto"/>
          <w:kern w:val="2"/>
          <w:sz w:val="36"/>
          <w:szCs w:val="36"/>
          <w:highlight w:val="none"/>
        </w:rPr>
        <w:t>合同条款及格式</w:t>
      </w:r>
    </w:p>
    <w:p>
      <w:pPr>
        <w:rPr>
          <w:rFonts w:ascii="宋体" w:hAnsi="宋体" w:cs="宋体"/>
          <w:color w:val="auto"/>
          <w:highlight w:val="none"/>
        </w:rPr>
      </w:pPr>
    </w:p>
    <w:p>
      <w:pPr>
        <w:pStyle w:val="141"/>
        <w:jc w:val="center"/>
        <w:rPr>
          <w:rFonts w:hAnsi="宋体"/>
          <w:color w:val="auto"/>
          <w:highlight w:val="none"/>
        </w:rPr>
      </w:pPr>
    </w:p>
    <w:p>
      <w:pPr>
        <w:pStyle w:val="141"/>
        <w:jc w:val="center"/>
        <w:rPr>
          <w:rFonts w:hAnsi="宋体"/>
          <w:color w:val="auto"/>
          <w:highlight w:val="none"/>
        </w:rPr>
      </w:pPr>
      <w:r>
        <w:rPr>
          <w:rFonts w:hint="eastAsia" w:hAnsi="宋体"/>
          <w:color w:val="auto"/>
          <w:highlight w:val="none"/>
          <w:lang w:val="zh-CN"/>
        </w:rPr>
        <w:t>（具体以甲乙双方实际签订为准）</w:t>
      </w:r>
    </w:p>
    <w:p>
      <w:pPr>
        <w:pStyle w:val="141"/>
        <w:rPr>
          <w:rFonts w:hAnsi="宋体"/>
          <w:color w:val="auto"/>
          <w:highlight w:val="none"/>
        </w:rPr>
      </w:pPr>
    </w:p>
    <w:tbl>
      <w:tblPr>
        <w:tblStyle w:val="46"/>
        <w:tblpPr w:leftFromText="180" w:rightFromText="180" w:vertAnchor="text" w:horzAnchor="page" w:tblpX="1345" w:tblpY="180"/>
        <w:tblOverlap w:val="never"/>
        <w:tblW w:w="94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701"/>
        <w:gridCol w:w="68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序号</w:t>
            </w:r>
          </w:p>
        </w:tc>
        <w:tc>
          <w:tcPr>
            <w:tcW w:w="1701"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内容</w:t>
            </w:r>
          </w:p>
        </w:tc>
        <w:tc>
          <w:tcPr>
            <w:tcW w:w="6882"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1</w:t>
            </w:r>
          </w:p>
        </w:tc>
        <w:tc>
          <w:tcPr>
            <w:tcW w:w="1701"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付款条件与比例</w:t>
            </w:r>
          </w:p>
        </w:tc>
        <w:tc>
          <w:tcPr>
            <w:tcW w:w="6882" w:type="dxa"/>
            <w:vAlign w:val="center"/>
          </w:tcPr>
          <w:p>
            <w:pPr>
              <w:keepNext w:val="0"/>
              <w:keepLines w:val="0"/>
              <w:suppressLineNumbers w:val="0"/>
              <w:spacing w:before="0" w:beforeAutospacing="0" w:after="0" w:afterAutospacing="0"/>
              <w:ind w:left="0" w:right="0"/>
              <w:rPr>
                <w:rFonts w:hint="default" w:ascii="仿宋" w:hAnsi="仿宋" w:eastAsia="仿宋"/>
                <w:color w:val="auto"/>
                <w:kern w:val="0"/>
                <w:sz w:val="24"/>
                <w:szCs w:val="20"/>
                <w:highlight w:val="none"/>
              </w:rPr>
            </w:pPr>
            <w:r>
              <w:rPr>
                <w:rFonts w:hint="eastAsia" w:ascii="仿宋" w:hAnsi="仿宋" w:eastAsia="仿宋"/>
                <w:color w:val="auto"/>
                <w:kern w:val="0"/>
                <w:sz w:val="24"/>
                <w:szCs w:val="20"/>
                <w:highlight w:val="none"/>
              </w:rPr>
              <w:t>中小企业中标（成交）的：活动结束并经采购人验收合格后，支付全</w:t>
            </w:r>
            <w:r>
              <w:rPr>
                <w:rFonts w:hint="default" w:ascii="仿宋" w:hAnsi="仿宋" w:eastAsia="仿宋"/>
                <w:color w:val="auto"/>
                <w:kern w:val="0"/>
                <w:sz w:val="24"/>
                <w:szCs w:val="20"/>
                <w:highlight w:val="none"/>
              </w:rPr>
              <w:t>部</w:t>
            </w:r>
            <w:r>
              <w:rPr>
                <w:rFonts w:hint="eastAsia" w:ascii="仿宋" w:hAnsi="仿宋" w:eastAsia="仿宋"/>
                <w:color w:val="auto"/>
                <w:kern w:val="0"/>
                <w:sz w:val="24"/>
                <w:szCs w:val="20"/>
                <w:highlight w:val="none"/>
              </w:rPr>
              <w:t>合同价款。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olor w:val="auto"/>
                <w:kern w:val="0"/>
                <w:sz w:val="24"/>
                <w:szCs w:val="20"/>
              </w:rPr>
            </w:pPr>
          </w:p>
        </w:tc>
        <w:tc>
          <w:tcPr>
            <w:tcW w:w="1701"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olor w:val="auto"/>
                <w:kern w:val="0"/>
                <w:sz w:val="24"/>
                <w:szCs w:val="20"/>
              </w:rPr>
            </w:pPr>
          </w:p>
        </w:tc>
        <w:tc>
          <w:tcPr>
            <w:tcW w:w="6882" w:type="dxa"/>
            <w:vAlign w:val="center"/>
          </w:tcPr>
          <w:p>
            <w:pPr>
              <w:keepNext w:val="0"/>
              <w:keepLines w:val="0"/>
              <w:suppressLineNumbers w:val="0"/>
              <w:spacing w:before="0" w:beforeAutospacing="0" w:after="0" w:afterAutospacing="0"/>
              <w:ind w:left="0" w:right="0"/>
              <w:rPr>
                <w:rFonts w:hint="default" w:ascii="仿宋" w:hAnsi="仿宋" w:eastAsia="仿宋"/>
                <w:color w:val="auto"/>
                <w:kern w:val="0"/>
                <w:sz w:val="24"/>
                <w:szCs w:val="20"/>
                <w:highlight w:val="none"/>
              </w:rPr>
            </w:pPr>
            <w:r>
              <w:rPr>
                <w:rFonts w:hint="eastAsia" w:ascii="仿宋" w:hAnsi="仿宋" w:eastAsia="仿宋"/>
                <w:color w:val="auto"/>
                <w:kern w:val="0"/>
                <w:sz w:val="24"/>
                <w:szCs w:val="20"/>
                <w:highlight w:val="none"/>
              </w:rPr>
              <w:t>非中小企业中标（成交）的：活动结束并经采购人验收合格后，支付全</w:t>
            </w:r>
            <w:r>
              <w:rPr>
                <w:rFonts w:hint="default" w:ascii="仿宋" w:hAnsi="仿宋" w:eastAsia="仿宋"/>
                <w:color w:val="auto"/>
                <w:kern w:val="0"/>
                <w:sz w:val="24"/>
                <w:szCs w:val="20"/>
                <w:highlight w:val="none"/>
              </w:rPr>
              <w:t>部</w:t>
            </w:r>
            <w:r>
              <w:rPr>
                <w:rFonts w:hint="eastAsia" w:ascii="仿宋" w:hAnsi="仿宋" w:eastAsia="仿宋"/>
                <w:color w:val="auto"/>
                <w:kern w:val="0"/>
                <w:sz w:val="24"/>
                <w:szCs w:val="20"/>
                <w:highlight w:val="none"/>
              </w:rPr>
              <w:t>合同价款。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2</w:t>
            </w:r>
          </w:p>
        </w:tc>
        <w:tc>
          <w:tcPr>
            <w:tcW w:w="170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支付方式</w:t>
            </w:r>
          </w:p>
        </w:tc>
        <w:tc>
          <w:tcPr>
            <w:tcW w:w="6882" w:type="dxa"/>
            <w:vAlign w:val="center"/>
          </w:tcPr>
          <w:p>
            <w:pPr>
              <w:keepNext w:val="0"/>
              <w:keepLines w:val="0"/>
              <w:suppressLineNumbers w:val="0"/>
              <w:spacing w:before="0" w:beforeAutospacing="0" w:after="0" w:afterAutospacing="0"/>
              <w:ind w:left="0" w:right="0"/>
              <w:rPr>
                <w:rFonts w:hint="default" w:ascii="仿宋" w:hAnsi="仿宋" w:eastAsia="仿宋"/>
                <w:b/>
                <w:color w:val="auto"/>
                <w:kern w:val="0"/>
                <w:sz w:val="24"/>
                <w:szCs w:val="21"/>
              </w:rPr>
            </w:pPr>
            <w:r>
              <w:rPr>
                <w:rFonts w:hint="eastAsia" w:ascii="仿宋" w:hAnsi="仿宋" w:eastAsia="仿宋"/>
                <w:color w:val="auto"/>
                <w:kern w:val="0"/>
                <w:sz w:val="24"/>
                <w:szCs w:val="21"/>
              </w:rPr>
              <w:t>本项目合同款通过国库集中支付，采购人按约定的付款时间向长春市财政局提出资金支付申请，履行合同付款义务。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Merge w:val="restart"/>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3</w:t>
            </w:r>
          </w:p>
        </w:tc>
        <w:tc>
          <w:tcPr>
            <w:tcW w:w="1701" w:type="dxa"/>
            <w:vMerge w:val="restart"/>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履约保证金数额</w:t>
            </w:r>
          </w:p>
        </w:tc>
        <w:tc>
          <w:tcPr>
            <w:tcW w:w="6882" w:type="dxa"/>
            <w:vAlign w:val="center"/>
          </w:tcPr>
          <w:p>
            <w:pPr>
              <w:keepNext w:val="0"/>
              <w:keepLines w:val="0"/>
              <w:suppressLineNumbers w:val="0"/>
              <w:snapToGrid w:val="0"/>
              <w:spacing w:before="0" w:beforeAutospacing="0" w:after="0" w:afterAutospacing="0"/>
              <w:ind w:left="0" w:right="0"/>
              <w:rPr>
                <w:rFonts w:hint="default" w:ascii="仿宋" w:hAnsi="仿宋" w:eastAsia="仿宋"/>
                <w:color w:val="auto"/>
                <w:kern w:val="0"/>
                <w:sz w:val="24"/>
                <w:szCs w:val="20"/>
              </w:rPr>
            </w:pPr>
            <w:r>
              <w:rPr>
                <w:rFonts w:hint="eastAsia" w:ascii="仿宋" w:hAnsi="仿宋" w:eastAsia="仿宋"/>
                <w:color w:val="auto"/>
                <w:kern w:val="0"/>
                <w:sz w:val="24"/>
                <w:szCs w:val="20"/>
              </w:rPr>
              <w:t>中小企业中标（成交）的：</w:t>
            </w:r>
            <w:r>
              <w:rPr>
                <w:rFonts w:hint="eastAsia" w:ascii="仿宋" w:hAnsi="仿宋" w:eastAsia="仿宋"/>
                <w:color w:val="auto"/>
                <w:kern w:val="0"/>
                <w:sz w:val="24"/>
                <w:szCs w:val="21"/>
              </w:rPr>
              <w:t>中标（成交）金额的2%。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Merge w:val="continue"/>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p>
        </w:tc>
        <w:tc>
          <w:tcPr>
            <w:tcW w:w="1701" w:type="dxa"/>
            <w:vMerge w:val="continue"/>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p>
        </w:tc>
        <w:tc>
          <w:tcPr>
            <w:tcW w:w="6882" w:type="dxa"/>
            <w:vAlign w:val="center"/>
          </w:tcPr>
          <w:p>
            <w:pPr>
              <w:keepNext w:val="0"/>
              <w:keepLines w:val="0"/>
              <w:suppressLineNumbers w:val="0"/>
              <w:snapToGrid w:val="0"/>
              <w:spacing w:before="0" w:beforeAutospacing="0" w:after="0" w:afterAutospacing="0"/>
              <w:ind w:left="0" w:right="0"/>
              <w:rPr>
                <w:rFonts w:hint="default" w:ascii="仿宋" w:hAnsi="仿宋" w:eastAsia="仿宋"/>
                <w:color w:val="auto"/>
                <w:kern w:val="0"/>
                <w:sz w:val="24"/>
                <w:szCs w:val="21"/>
              </w:rPr>
            </w:pPr>
            <w:r>
              <w:rPr>
                <w:rFonts w:hint="eastAsia" w:ascii="仿宋" w:hAnsi="仿宋" w:eastAsia="仿宋"/>
                <w:color w:val="auto"/>
                <w:kern w:val="0"/>
                <w:sz w:val="24"/>
                <w:szCs w:val="20"/>
              </w:rPr>
              <w:t>非中小企业中标（成交）的：</w:t>
            </w:r>
            <w:r>
              <w:rPr>
                <w:rFonts w:hint="eastAsia" w:ascii="仿宋" w:hAnsi="仿宋" w:eastAsia="仿宋"/>
                <w:color w:val="auto"/>
                <w:kern w:val="0"/>
                <w:sz w:val="24"/>
                <w:szCs w:val="21"/>
              </w:rPr>
              <w:t>中标（成交）金额的5%。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4</w:t>
            </w:r>
          </w:p>
        </w:tc>
        <w:tc>
          <w:tcPr>
            <w:tcW w:w="170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履约管理与违约责任</w:t>
            </w:r>
          </w:p>
        </w:tc>
        <w:tc>
          <w:tcPr>
            <w:tcW w:w="6882"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olor w:val="auto"/>
                <w:kern w:val="0"/>
                <w:sz w:val="24"/>
                <w:szCs w:val="20"/>
              </w:rPr>
            </w:pPr>
            <w:r>
              <w:rPr>
                <w:rFonts w:hint="default" w:ascii="仿宋" w:hAnsi="仿宋" w:eastAsia="仿宋"/>
                <w:color w:val="auto"/>
                <w:kern w:val="0"/>
                <w:sz w:val="24"/>
                <w:szCs w:val="20"/>
              </w:rPr>
              <w:t>1</w:t>
            </w:r>
            <w:r>
              <w:rPr>
                <w:rFonts w:hint="eastAsia" w:ascii="仿宋" w:hAnsi="仿宋" w:eastAsia="仿宋"/>
                <w:color w:val="auto"/>
                <w:kern w:val="0"/>
                <w:sz w:val="24"/>
                <w:szCs w:val="20"/>
              </w:rPr>
              <w:t>.供应商未能按照采购需求履约，采购人有权责令供应商按采购需求进行限期整改，如供应商拒不整改，影响活动正常开展的，采购人有权立即解除合同。</w:t>
            </w:r>
          </w:p>
          <w:p>
            <w:pPr>
              <w:keepNext w:val="0"/>
              <w:keepLines w:val="0"/>
              <w:suppressLineNumbers w:val="0"/>
              <w:snapToGrid w:val="0"/>
              <w:spacing w:before="0" w:beforeAutospacing="0" w:after="0" w:afterAutospacing="0"/>
              <w:ind w:left="0" w:right="0"/>
              <w:rPr>
                <w:rFonts w:hint="default" w:ascii="仿宋" w:hAnsi="仿宋" w:eastAsia="仿宋"/>
                <w:color w:val="auto"/>
                <w:kern w:val="0"/>
                <w:sz w:val="24"/>
                <w:szCs w:val="20"/>
              </w:rPr>
            </w:pPr>
            <w:r>
              <w:rPr>
                <w:rFonts w:hint="default" w:ascii="仿宋" w:hAnsi="仿宋" w:eastAsia="仿宋"/>
                <w:color w:val="auto"/>
                <w:kern w:val="0"/>
                <w:sz w:val="24"/>
                <w:szCs w:val="20"/>
              </w:rPr>
              <w:t>2</w:t>
            </w:r>
            <w:r>
              <w:rPr>
                <w:rFonts w:hint="eastAsia" w:ascii="仿宋" w:hAnsi="仿宋" w:eastAsia="仿宋"/>
                <w:color w:val="auto"/>
                <w:kern w:val="0"/>
                <w:sz w:val="24"/>
                <w:szCs w:val="20"/>
              </w:rPr>
              <w:t>.由于供应商的原因造成财产损失或人员伤害的，由供应商承担全部责任。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5</w:t>
            </w:r>
          </w:p>
        </w:tc>
        <w:tc>
          <w:tcPr>
            <w:tcW w:w="170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验收标准及要求</w:t>
            </w:r>
          </w:p>
        </w:tc>
        <w:tc>
          <w:tcPr>
            <w:tcW w:w="6882" w:type="dxa"/>
            <w:vAlign w:val="center"/>
          </w:tcPr>
          <w:p>
            <w:pPr>
              <w:keepNext w:val="0"/>
              <w:keepLines w:val="0"/>
              <w:suppressLineNumbers w:val="0"/>
              <w:snapToGrid w:val="0"/>
              <w:spacing w:before="0" w:beforeAutospacing="0" w:after="0" w:afterAutospacing="0"/>
              <w:ind w:left="0" w:right="0"/>
              <w:rPr>
                <w:rFonts w:hint="default" w:ascii="仿宋" w:hAnsi="仿宋" w:eastAsia="仿宋"/>
                <w:color w:val="auto"/>
                <w:kern w:val="0"/>
                <w:sz w:val="24"/>
                <w:szCs w:val="20"/>
              </w:rPr>
            </w:pPr>
            <w:r>
              <w:rPr>
                <w:rFonts w:hint="eastAsia" w:ascii="仿宋" w:hAnsi="仿宋" w:eastAsia="仿宋"/>
                <w:color w:val="auto"/>
                <w:kern w:val="0"/>
                <w:sz w:val="24"/>
                <w:szCs w:val="20"/>
              </w:rPr>
              <w:t>根据采购需求验收，供应商</w:t>
            </w:r>
            <w:r>
              <w:rPr>
                <w:rFonts w:hint="default" w:ascii="仿宋" w:hAnsi="仿宋" w:eastAsia="仿宋"/>
                <w:color w:val="auto"/>
                <w:kern w:val="0"/>
                <w:sz w:val="24"/>
                <w:szCs w:val="20"/>
              </w:rPr>
              <w:t>应</w:t>
            </w:r>
            <w:r>
              <w:rPr>
                <w:rFonts w:hint="eastAsia" w:ascii="仿宋" w:hAnsi="仿宋" w:eastAsia="仿宋"/>
                <w:color w:val="auto"/>
                <w:kern w:val="0"/>
                <w:sz w:val="24"/>
                <w:szCs w:val="20"/>
              </w:rPr>
              <w:t>在活动结束后向</w:t>
            </w:r>
            <w:r>
              <w:rPr>
                <w:rFonts w:hint="default" w:ascii="仿宋" w:hAnsi="仿宋" w:eastAsia="仿宋"/>
                <w:color w:val="auto"/>
                <w:kern w:val="0"/>
                <w:sz w:val="24"/>
                <w:szCs w:val="20"/>
              </w:rPr>
              <w:t>采购人</w:t>
            </w:r>
            <w:r>
              <w:rPr>
                <w:rFonts w:hint="eastAsia" w:ascii="仿宋" w:hAnsi="仿宋" w:eastAsia="仿宋"/>
                <w:color w:val="auto"/>
                <w:kern w:val="0"/>
                <w:sz w:val="24"/>
                <w:szCs w:val="20"/>
              </w:rPr>
              <w:t>提供</w:t>
            </w:r>
            <w:r>
              <w:rPr>
                <w:rFonts w:hint="default" w:ascii="仿宋" w:hAnsi="仿宋" w:eastAsia="仿宋"/>
                <w:color w:val="auto"/>
                <w:kern w:val="0"/>
                <w:sz w:val="24"/>
                <w:szCs w:val="20"/>
              </w:rPr>
              <w:t>履约</w:t>
            </w:r>
            <w:r>
              <w:rPr>
                <w:rFonts w:hint="eastAsia" w:ascii="仿宋" w:hAnsi="仿宋" w:eastAsia="仿宋"/>
                <w:color w:val="auto"/>
                <w:kern w:val="0"/>
                <w:sz w:val="24"/>
                <w:szCs w:val="20"/>
              </w:rPr>
              <w:t>验收</w:t>
            </w:r>
            <w:r>
              <w:rPr>
                <w:rFonts w:hint="default" w:ascii="仿宋" w:hAnsi="仿宋" w:eastAsia="仿宋"/>
                <w:color w:val="auto"/>
                <w:kern w:val="0"/>
                <w:sz w:val="24"/>
                <w:szCs w:val="20"/>
              </w:rPr>
              <w:t>材</w:t>
            </w:r>
            <w:r>
              <w:rPr>
                <w:rFonts w:hint="eastAsia" w:ascii="仿宋" w:hAnsi="仿宋" w:eastAsia="仿宋"/>
                <w:color w:val="auto"/>
                <w:kern w:val="0"/>
                <w:sz w:val="24"/>
                <w:szCs w:val="20"/>
              </w:rPr>
              <w:t>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r>
              <w:rPr>
                <w:rFonts w:hint="eastAsia" w:ascii="仿宋" w:hAnsi="仿宋" w:eastAsia="仿宋"/>
                <w:color w:val="auto"/>
                <w:kern w:val="0"/>
                <w:sz w:val="24"/>
                <w:szCs w:val="20"/>
              </w:rPr>
              <w:t>6</w:t>
            </w:r>
          </w:p>
        </w:tc>
        <w:tc>
          <w:tcPr>
            <w:tcW w:w="170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auto"/>
                <w:kern w:val="0"/>
                <w:sz w:val="24"/>
                <w:szCs w:val="20"/>
              </w:rPr>
            </w:pPr>
            <w:r>
              <w:rPr>
                <w:rFonts w:hint="default" w:ascii="仿宋" w:hAnsi="仿宋" w:eastAsia="仿宋"/>
                <w:color w:val="auto"/>
                <w:kern w:val="0"/>
                <w:sz w:val="24"/>
                <w:szCs w:val="20"/>
              </w:rPr>
              <w:t>…</w:t>
            </w:r>
          </w:p>
        </w:tc>
        <w:tc>
          <w:tcPr>
            <w:tcW w:w="6882" w:type="dxa"/>
            <w:vAlign w:val="center"/>
          </w:tcPr>
          <w:p>
            <w:pPr>
              <w:keepNext w:val="0"/>
              <w:keepLines w:val="0"/>
              <w:suppressLineNumbers w:val="0"/>
              <w:snapToGrid w:val="0"/>
              <w:spacing w:before="0" w:beforeAutospacing="0" w:after="0" w:afterAutospacing="0"/>
              <w:ind w:left="0" w:right="0"/>
              <w:rPr>
                <w:rFonts w:hint="default" w:ascii="仿宋" w:hAnsi="仿宋" w:eastAsia="仿宋"/>
                <w:color w:val="auto"/>
                <w:kern w:val="0"/>
                <w:sz w:val="24"/>
                <w:szCs w:val="20"/>
              </w:rPr>
            </w:pPr>
          </w:p>
        </w:tc>
      </w:tr>
    </w:tbl>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pStyle w:val="141"/>
        <w:rPr>
          <w:rFonts w:hAnsi="宋体"/>
          <w:color w:val="auto"/>
          <w:highlight w:val="none"/>
        </w:rPr>
      </w:pPr>
    </w:p>
    <w:p>
      <w:pPr>
        <w:rPr>
          <w:color w:val="auto"/>
          <w:highlight w:val="none"/>
        </w:rPr>
      </w:pPr>
      <w:r>
        <w:rPr>
          <w:rFonts w:hAnsi="宋体"/>
          <w:color w:val="auto"/>
          <w:highlight w:val="none"/>
        </w:rPr>
        <w:br w:type="page"/>
      </w:r>
    </w:p>
    <w:p>
      <w:pPr>
        <w:pStyle w:val="141"/>
        <w:rPr>
          <w:rFonts w:hAnsi="宋体"/>
          <w:color w:val="auto"/>
          <w:highlight w:val="none"/>
        </w:rPr>
      </w:pPr>
    </w:p>
    <w:p>
      <w:pPr>
        <w:pStyle w:val="2"/>
        <w:numPr>
          <w:ilvl w:val="0"/>
          <w:numId w:val="4"/>
        </w:numPr>
        <w:rPr>
          <w:rFonts w:ascii="宋体" w:hAnsi="宋体" w:cs="宋体"/>
          <w:color w:val="auto"/>
          <w:kern w:val="2"/>
          <w:sz w:val="36"/>
          <w:szCs w:val="36"/>
          <w:highlight w:val="none"/>
        </w:rPr>
      </w:pPr>
      <w:r>
        <w:rPr>
          <w:rFonts w:hint="eastAsia" w:ascii="宋体" w:hAnsi="宋体" w:cs="宋体"/>
          <w:color w:val="auto"/>
          <w:kern w:val="2"/>
          <w:sz w:val="36"/>
          <w:szCs w:val="36"/>
          <w:highlight w:val="none"/>
        </w:rPr>
        <w:t xml:space="preserve"> 技术标准及服务需求</w:t>
      </w:r>
    </w:p>
    <w:bookmarkEnd w:id="40"/>
    <w:bookmarkEnd w:id="41"/>
    <w:bookmarkEnd w:id="42"/>
    <w:bookmarkEnd w:id="43"/>
    <w:bookmarkEnd w:id="44"/>
    <w:bookmarkEnd w:id="45"/>
    <w:p>
      <w:pPr>
        <w:jc w:val="left"/>
        <w:rPr>
          <w:rFonts w:ascii="仿宋_GB2312" w:hAnsi="宋体" w:eastAsia="仿宋_GB2312"/>
          <w:color w:val="auto"/>
          <w:kern w:val="0"/>
          <w:sz w:val="24"/>
          <w:highlight w:val="none"/>
        </w:rPr>
      </w:pPr>
      <w:bookmarkStart w:id="48" w:name="_Toc28412"/>
      <w:bookmarkStart w:id="49" w:name="_Toc10173"/>
      <w:bookmarkStart w:id="50" w:name="_Toc7526"/>
      <w:bookmarkStart w:id="51" w:name="_Toc14912"/>
      <w:bookmarkStart w:id="52" w:name="_Toc13878"/>
      <w:bookmarkStart w:id="53" w:name="_Toc20642"/>
      <w:bookmarkStart w:id="54" w:name="_Toc10416"/>
    </w:p>
    <w:p>
      <w:pPr>
        <w:spacing w:line="360" w:lineRule="auto"/>
        <w:rPr>
          <w:rFonts w:hint="default" w:ascii="黑体" w:hAnsi="黑体" w:eastAsia="黑体" w:cs="黑体"/>
          <w:b/>
          <w:bCs/>
          <w:color w:val="000000" w:themeColor="text1"/>
          <w:sz w:val="24"/>
          <w:lang w:val="en-US" w:eastAsia="zh-CN"/>
          <w14:textFill>
            <w14:solidFill>
              <w14:schemeClr w14:val="tx1"/>
            </w14:solidFill>
          </w14:textFill>
        </w:rPr>
      </w:pPr>
      <w:r>
        <w:rPr>
          <w:rFonts w:hint="eastAsia" w:ascii="黑体" w:hAnsi="黑体" w:eastAsia="黑体" w:cs="黑体"/>
          <w:b/>
          <w:bCs/>
          <w:color w:val="000000" w:themeColor="text1"/>
          <w:sz w:val="24"/>
          <w14:textFill>
            <w14:solidFill>
              <w14:schemeClr w14:val="tx1"/>
            </w14:solidFill>
          </w14:textFill>
        </w:rPr>
        <w:t>一、项目概况</w:t>
      </w:r>
      <w:r>
        <w:rPr>
          <w:rFonts w:hint="eastAsia" w:ascii="黑体" w:hAnsi="黑体" w:eastAsia="黑体" w:cs="黑体"/>
          <w:b/>
          <w:bCs/>
          <w:color w:val="000000" w:themeColor="text1"/>
          <w:sz w:val="24"/>
          <w:lang w:val="en-US" w:eastAsia="zh-CN"/>
          <w14:textFill>
            <w14:solidFill>
              <w14:schemeClr w14:val="tx1"/>
            </w14:solidFill>
          </w14:textFill>
        </w:rPr>
        <w:t>及总体要求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按照国家文化和旅游部统一要求和部署，我局拟开展</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畅游中国 美好旅程</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2024年</w:t>
      </w:r>
      <w:r>
        <w:rPr>
          <w:rFonts w:hint="eastAsia" w:ascii="仿宋_GB2312" w:hAnsi="仿宋_GB2312" w:eastAsia="仿宋_GB2312" w:cs="仿宋_GB2312"/>
          <w:color w:val="000000" w:themeColor="text1"/>
          <w:kern w:val="0"/>
          <w:sz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5·19中国旅游日</w:t>
      </w:r>
      <w:r>
        <w:rPr>
          <w:rFonts w:hint="eastAsia" w:ascii="仿宋_GB2312" w:hAnsi="仿宋_GB2312" w:eastAsia="仿宋_GB2312" w:cs="仿宋_GB2312"/>
          <w:color w:val="000000" w:themeColor="text1"/>
          <w:kern w:val="0"/>
          <w:sz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长春市分会场活动</w:t>
      </w:r>
      <w:r>
        <w:rPr>
          <w:rFonts w:hint="eastAsia" w:ascii="仿宋" w:hAnsi="仿宋" w:eastAsia="仿宋" w:cs="仿宋"/>
          <w:color w:val="000000" w:themeColor="text1"/>
          <w:sz w:val="24"/>
          <w:highlight w:val="none"/>
          <w:lang w:val="en-US" w:eastAsia="zh-CN"/>
          <w14:textFill>
            <w14:solidFill>
              <w14:schemeClr w14:val="tx1"/>
            </w14:solidFill>
          </w14:textFill>
        </w:rPr>
        <w:t>，进一步推动旅游业高质量发展，深入发展绿色旅游，积极倡导文明旅游，推进文化和旅游深度融合,满足人民群众幸福生活需要。本次活动以“多彩露营 幸福生活”为亮点，通过中国旅游日主题活动，打造精品露营生活，为长春“清爽露营季”预热。以露营催生旅游新业态，让旅游走进生活、回归自然休闲，以此拉进与市民之间的距离，让旅游成为市民生活的一部分，以此推动长春市旅游业高质量发展，深入发展绿色旅游，积极倡导文明旅游，推进文化和旅游深度融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畅游中国 美好旅程</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2024年</w:t>
      </w:r>
      <w:r>
        <w:rPr>
          <w:rFonts w:hint="eastAsia" w:ascii="仿宋_GB2312" w:hAnsi="仿宋_GB2312" w:eastAsia="仿宋_GB2312" w:cs="仿宋_GB2312"/>
          <w:color w:val="000000" w:themeColor="text1"/>
          <w:kern w:val="0"/>
          <w:sz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5·19中国旅游日</w:t>
      </w:r>
      <w:r>
        <w:rPr>
          <w:rFonts w:hint="eastAsia" w:ascii="仿宋_GB2312" w:hAnsi="仿宋_GB2312" w:eastAsia="仿宋_GB2312" w:cs="仿宋_GB2312"/>
          <w:color w:val="000000" w:themeColor="text1"/>
          <w:kern w:val="0"/>
          <w:sz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长春市分会场活动</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拟定于2024年5月19日在长春市净月区青怡坊雲琅露营地举行，供应商负责活动的策划设计、舞台搭建、环境布置、节目演出、视频制作、场地协调、组织执行、活动保障等各项工作。  </w:t>
      </w:r>
    </w:p>
    <w:p>
      <w:pPr>
        <w:pStyle w:val="12"/>
        <w:rPr>
          <w:color w:val="000000" w:themeColor="text1"/>
          <w14:textFill>
            <w14:solidFill>
              <w14:schemeClr w14:val="tx1"/>
            </w14:solidFill>
          </w14:textFill>
        </w:rPr>
      </w:pPr>
    </w:p>
    <w:p>
      <w:pPr>
        <w:jc w:val="left"/>
        <w:rPr>
          <w:rFonts w:ascii="黑体" w:hAnsi="宋体" w:eastAsia="黑体"/>
          <w:b/>
          <w:color w:val="000000" w:themeColor="text1"/>
          <w:kern w:val="0"/>
          <w:sz w:val="24"/>
          <w14:textFill>
            <w14:solidFill>
              <w14:schemeClr w14:val="tx1"/>
            </w14:solidFill>
          </w14:textFill>
        </w:rPr>
      </w:pPr>
      <w:r>
        <w:rPr>
          <w:rFonts w:hint="eastAsia" w:ascii="黑体" w:hAnsi="宋体" w:eastAsia="黑体"/>
          <w:b/>
          <w:color w:val="000000" w:themeColor="text1"/>
          <w:kern w:val="0"/>
          <w:sz w:val="24"/>
          <w14:textFill>
            <w14:solidFill>
              <w14:schemeClr w14:val="tx1"/>
            </w14:solidFill>
          </w14:textFill>
        </w:rPr>
        <w:t>二、采购需求一览表</w:t>
      </w:r>
    </w:p>
    <w:tbl>
      <w:tblPr>
        <w:tblStyle w:val="46"/>
        <w:tblpPr w:leftFromText="180" w:rightFromText="180" w:vertAnchor="text" w:horzAnchor="page" w:tblpX="1345" w:tblpY="180"/>
        <w:tblOverlap w:val="never"/>
        <w:tblW w:w="94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3544"/>
        <w:gridCol w:w="709"/>
        <w:gridCol w:w="567"/>
        <w:gridCol w:w="38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817"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themeColor="text1"/>
                <w:kern w:val="0"/>
                <w:sz w:val="24"/>
                <w:szCs w:val="20"/>
                <w14:textFill>
                  <w14:solidFill>
                    <w14:schemeClr w14:val="tx1"/>
                  </w14:solidFill>
                </w14:textFill>
              </w:rPr>
            </w:pPr>
            <w:r>
              <w:rPr>
                <w:rFonts w:hint="eastAsia" w:ascii="仿宋" w:hAnsi="仿宋" w:eastAsia="仿宋"/>
                <w:color w:val="000000" w:themeColor="text1"/>
                <w:kern w:val="0"/>
                <w:sz w:val="24"/>
                <w:szCs w:val="20"/>
                <w14:textFill>
                  <w14:solidFill>
                    <w14:schemeClr w14:val="tx1"/>
                  </w14:solidFill>
                </w14:textFill>
              </w:rPr>
              <w:t>序号</w:t>
            </w:r>
          </w:p>
        </w:tc>
        <w:tc>
          <w:tcPr>
            <w:tcW w:w="3544"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themeColor="text1"/>
                <w:kern w:val="0"/>
                <w:sz w:val="24"/>
                <w:szCs w:val="20"/>
                <w14:textFill>
                  <w14:solidFill>
                    <w14:schemeClr w14:val="tx1"/>
                  </w14:solidFill>
                </w14:textFill>
              </w:rPr>
            </w:pPr>
            <w:r>
              <w:rPr>
                <w:rFonts w:hint="eastAsia" w:ascii="仿宋" w:hAnsi="仿宋" w:eastAsia="仿宋"/>
                <w:color w:val="000000" w:themeColor="text1"/>
                <w:kern w:val="0"/>
                <w:sz w:val="24"/>
                <w:szCs w:val="20"/>
                <w14:textFill>
                  <w14:solidFill>
                    <w14:schemeClr w14:val="tx1"/>
                  </w14:solidFill>
                </w14:textFill>
              </w:rPr>
              <w:t>服务内容</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themeColor="text1"/>
                <w:kern w:val="0"/>
                <w:sz w:val="24"/>
                <w:szCs w:val="20"/>
                <w14:textFill>
                  <w14:solidFill>
                    <w14:schemeClr w14:val="tx1"/>
                  </w14:solidFill>
                </w14:textFill>
              </w:rPr>
            </w:pPr>
            <w:r>
              <w:rPr>
                <w:rFonts w:hint="eastAsia" w:ascii="仿宋" w:hAnsi="仿宋" w:eastAsia="仿宋"/>
                <w:color w:val="000000" w:themeColor="text1"/>
                <w:kern w:val="0"/>
                <w:sz w:val="24"/>
                <w:szCs w:val="20"/>
                <w14:textFill>
                  <w14:solidFill>
                    <w14:schemeClr w14:val="tx1"/>
                  </w14:solidFill>
                </w14:textFill>
              </w:rPr>
              <w:t>数量</w:t>
            </w:r>
          </w:p>
        </w:tc>
        <w:tc>
          <w:tcPr>
            <w:tcW w:w="567"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themeColor="text1"/>
                <w:kern w:val="0"/>
                <w:sz w:val="24"/>
                <w:szCs w:val="20"/>
                <w14:textFill>
                  <w14:solidFill>
                    <w14:schemeClr w14:val="tx1"/>
                  </w14:solidFill>
                </w14:textFill>
              </w:rPr>
            </w:pPr>
            <w:r>
              <w:rPr>
                <w:rFonts w:hint="eastAsia" w:ascii="仿宋" w:hAnsi="仿宋" w:eastAsia="仿宋"/>
                <w:color w:val="000000" w:themeColor="text1"/>
                <w:kern w:val="0"/>
                <w:sz w:val="24"/>
                <w:szCs w:val="20"/>
                <w14:textFill>
                  <w14:solidFill>
                    <w14:schemeClr w14:val="tx1"/>
                  </w14:solidFill>
                </w14:textFill>
              </w:rPr>
              <w:t>单位</w:t>
            </w:r>
          </w:p>
        </w:tc>
        <w:tc>
          <w:tcPr>
            <w:tcW w:w="3827"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themeColor="text1"/>
                <w:kern w:val="0"/>
                <w:sz w:val="24"/>
                <w:szCs w:val="20"/>
                <w14:textFill>
                  <w14:solidFill>
                    <w14:schemeClr w14:val="tx1"/>
                  </w14:solidFill>
                </w14:textFill>
              </w:rPr>
            </w:pPr>
            <w:r>
              <w:rPr>
                <w:rFonts w:hint="eastAsia" w:ascii="仿宋" w:hAnsi="仿宋" w:eastAsia="仿宋"/>
                <w:color w:val="000000" w:themeColor="text1"/>
                <w:kern w:val="0"/>
                <w:sz w:val="24"/>
                <w:szCs w:val="20"/>
                <w14:textFill>
                  <w14:solidFill>
                    <w14:schemeClr w14:val="tx1"/>
                  </w14:solidFill>
                </w14:textFill>
              </w:rPr>
              <w:t>要求/备注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themeColor="text1"/>
                <w:kern w:val="0"/>
                <w:sz w:val="24"/>
                <w:szCs w:val="20"/>
                <w14:textFill>
                  <w14:solidFill>
                    <w14:schemeClr w14:val="tx1"/>
                  </w14:solidFill>
                </w14:textFill>
              </w:rPr>
            </w:pPr>
            <w:r>
              <w:rPr>
                <w:rFonts w:hint="eastAsia" w:ascii="仿宋" w:hAnsi="仿宋" w:eastAsia="仿宋"/>
                <w:color w:val="000000" w:themeColor="text1"/>
                <w:kern w:val="0"/>
                <w:sz w:val="24"/>
                <w:szCs w:val="20"/>
                <w14:textFill>
                  <w14:solidFill>
                    <w14:schemeClr w14:val="tx1"/>
                  </w14:solidFill>
                </w14:textFill>
              </w:rPr>
              <w:t>1</w:t>
            </w:r>
          </w:p>
        </w:tc>
        <w:tc>
          <w:tcPr>
            <w:tcW w:w="354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 w:hAnsi="仿宋" w:eastAsia="仿宋"/>
                <w:color w:val="000000" w:themeColor="text1"/>
                <w:kern w:val="0"/>
                <w:sz w:val="24"/>
                <w:szCs w:val="20"/>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畅游中国 美好旅程</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0"/>
                <w14:textFill>
                  <w14:solidFill>
                    <w14:schemeClr w14:val="tx1"/>
                  </w14:solidFill>
                </w14:textFill>
              </w:rPr>
              <w:t>2024年</w:t>
            </w:r>
            <w:r>
              <w:rPr>
                <w:rFonts w:hint="eastAsia" w:ascii="仿宋_GB2312" w:hAnsi="仿宋_GB2312" w:eastAsia="仿宋_GB2312" w:cs="仿宋_GB2312"/>
                <w:color w:val="000000" w:themeColor="text1"/>
                <w:kern w:val="0"/>
                <w:sz w:val="24"/>
                <w:szCs w:val="20"/>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0"/>
                <w14:textFill>
                  <w14:solidFill>
                    <w14:schemeClr w14:val="tx1"/>
                  </w14:solidFill>
                </w14:textFill>
              </w:rPr>
              <w:t>5·19中国旅游日</w:t>
            </w:r>
            <w:r>
              <w:rPr>
                <w:rFonts w:hint="eastAsia" w:ascii="仿宋_GB2312" w:hAnsi="仿宋_GB2312" w:eastAsia="仿宋_GB2312" w:cs="仿宋_GB2312"/>
                <w:color w:val="000000" w:themeColor="text1"/>
                <w:kern w:val="0"/>
                <w:sz w:val="24"/>
                <w:szCs w:val="20"/>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0"/>
                <w14:textFill>
                  <w14:solidFill>
                    <w14:schemeClr w14:val="tx1"/>
                  </w14:solidFill>
                </w14:textFill>
              </w:rPr>
              <w:t>长春市分会场活动</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themeColor="text1"/>
                <w:kern w:val="0"/>
                <w:sz w:val="24"/>
                <w:szCs w:val="20"/>
                <w14:textFill>
                  <w14:solidFill>
                    <w14:schemeClr w14:val="tx1"/>
                  </w14:solidFill>
                </w14:textFill>
              </w:rPr>
            </w:pPr>
            <w:r>
              <w:rPr>
                <w:rFonts w:hint="eastAsia" w:ascii="仿宋" w:hAnsi="仿宋" w:eastAsia="仿宋"/>
                <w:color w:val="000000" w:themeColor="text1"/>
                <w:kern w:val="0"/>
                <w:sz w:val="24"/>
                <w:szCs w:val="20"/>
                <w14:textFill>
                  <w14:solidFill>
                    <w14:schemeClr w14:val="tx1"/>
                  </w14:solidFill>
                </w14:textFill>
              </w:rPr>
              <w:t>1</w:t>
            </w:r>
          </w:p>
        </w:tc>
        <w:tc>
          <w:tcPr>
            <w:tcW w:w="567"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themeColor="text1"/>
                <w:kern w:val="0"/>
                <w:sz w:val="24"/>
                <w:szCs w:val="20"/>
                <w14:textFill>
                  <w14:solidFill>
                    <w14:schemeClr w14:val="tx1"/>
                  </w14:solidFill>
                </w14:textFill>
              </w:rPr>
            </w:pPr>
            <w:r>
              <w:rPr>
                <w:rFonts w:hint="eastAsia" w:ascii="仿宋" w:hAnsi="仿宋" w:eastAsia="仿宋"/>
                <w:color w:val="000000" w:themeColor="text1"/>
                <w:kern w:val="0"/>
                <w:sz w:val="24"/>
                <w:szCs w:val="20"/>
                <w14:textFill>
                  <w14:solidFill>
                    <w14:schemeClr w14:val="tx1"/>
                  </w14:solidFill>
                </w14:textFill>
              </w:rPr>
              <w:t>项</w:t>
            </w:r>
          </w:p>
        </w:tc>
        <w:tc>
          <w:tcPr>
            <w:tcW w:w="3827" w:type="dxa"/>
            <w:vAlign w:val="center"/>
          </w:tcPr>
          <w:p>
            <w:pPr>
              <w:keepNext w:val="0"/>
              <w:keepLines w:val="0"/>
              <w:suppressLineNumbers w:val="0"/>
              <w:spacing w:before="0" w:beforeAutospacing="0" w:after="0" w:afterAutospacing="0" w:line="360" w:lineRule="auto"/>
              <w:ind w:left="0" w:right="0" w:firstLine="420"/>
              <w:rPr>
                <w:rFonts w:hint="default" w:ascii="仿宋" w:hAnsi="仿宋" w:eastAsia="仿宋"/>
                <w:color w:val="000000" w:themeColor="text1"/>
                <w:kern w:val="0"/>
                <w:sz w:val="24"/>
                <w:szCs w:val="20"/>
                <w14:textFill>
                  <w14:solidFill>
                    <w14:schemeClr w14:val="tx1"/>
                  </w14:solidFill>
                </w14:textFill>
              </w:rPr>
            </w:pPr>
            <w:r>
              <w:rPr>
                <w:rFonts w:hint="eastAsia" w:ascii="仿宋_GB2312" w:hAnsi="仿宋" w:eastAsia="仿宋_GB2312"/>
                <w:color w:val="000000" w:themeColor="text1"/>
                <w:sz w:val="24"/>
                <w:szCs w:val="20"/>
                <w:highlight w:val="none"/>
                <w14:textFill>
                  <w14:solidFill>
                    <w14:schemeClr w14:val="tx1"/>
                  </w14:solidFill>
                </w14:textFill>
              </w:rPr>
              <w:t>供应商负责活动的策划设计、</w:t>
            </w:r>
            <w:r>
              <w:rPr>
                <w:rFonts w:hint="eastAsia" w:ascii="仿宋_GB2312" w:hAnsi="仿宋" w:eastAsia="仿宋_GB2312"/>
                <w:color w:val="000000" w:themeColor="text1"/>
                <w:sz w:val="24"/>
                <w:szCs w:val="20"/>
                <w:highlight w:val="none"/>
                <w:lang w:val="en-US" w:eastAsia="zh-CN"/>
                <w14:textFill>
                  <w14:solidFill>
                    <w14:schemeClr w14:val="tx1"/>
                  </w14:solidFill>
                </w14:textFill>
              </w:rPr>
              <w:t>舞台搭建、环境布置、节目演出、视频</w:t>
            </w:r>
            <w:r>
              <w:rPr>
                <w:rFonts w:hint="eastAsia" w:ascii="仿宋_GB2312" w:hAnsi="仿宋" w:eastAsia="仿宋_GB2312"/>
                <w:color w:val="000000" w:themeColor="text1"/>
                <w:sz w:val="24"/>
                <w:szCs w:val="20"/>
                <w:highlight w:val="none"/>
                <w14:textFill>
                  <w14:solidFill>
                    <w14:schemeClr w14:val="tx1"/>
                  </w14:solidFill>
                </w14:textFill>
              </w:rPr>
              <w:t>制作、</w:t>
            </w:r>
            <w:r>
              <w:rPr>
                <w:rFonts w:hint="eastAsia" w:ascii="仿宋_GB2312" w:hAnsi="仿宋" w:eastAsia="仿宋_GB2312"/>
                <w:color w:val="000000" w:themeColor="text1"/>
                <w:sz w:val="24"/>
                <w:szCs w:val="20"/>
                <w:highlight w:val="none"/>
                <w:lang w:val="en-US" w:eastAsia="zh-CN"/>
                <w14:textFill>
                  <w14:solidFill>
                    <w14:schemeClr w14:val="tx1"/>
                  </w14:solidFill>
                </w14:textFill>
              </w:rPr>
              <w:t>场地协调、组织</w:t>
            </w:r>
            <w:r>
              <w:rPr>
                <w:rFonts w:hint="eastAsia" w:ascii="仿宋_GB2312" w:hAnsi="仿宋" w:eastAsia="仿宋_GB2312"/>
                <w:color w:val="000000" w:themeColor="text1"/>
                <w:sz w:val="24"/>
                <w:szCs w:val="20"/>
                <w:highlight w:val="none"/>
                <w14:textFill>
                  <w14:solidFill>
                    <w14:schemeClr w14:val="tx1"/>
                  </w14:solidFill>
                </w14:textFill>
              </w:rPr>
              <w:t>执行</w:t>
            </w:r>
            <w:r>
              <w:rPr>
                <w:rFonts w:hint="eastAsia" w:ascii="仿宋_GB2312" w:hAnsi="仿宋" w:eastAsia="仿宋_GB2312"/>
                <w:color w:val="000000" w:themeColor="text1"/>
                <w:sz w:val="24"/>
                <w:szCs w:val="20"/>
                <w:highlight w:val="none"/>
                <w:lang w:eastAsia="zh-CN"/>
                <w14:textFill>
                  <w14:solidFill>
                    <w14:schemeClr w14:val="tx1"/>
                  </w14:solidFill>
                </w14:textFill>
              </w:rPr>
              <w:t>、</w:t>
            </w:r>
            <w:r>
              <w:rPr>
                <w:rFonts w:hint="eastAsia" w:ascii="仿宋_GB2312" w:hAnsi="仿宋" w:eastAsia="仿宋_GB2312"/>
                <w:color w:val="000000" w:themeColor="text1"/>
                <w:sz w:val="24"/>
                <w:szCs w:val="20"/>
                <w:highlight w:val="none"/>
                <w:lang w:val="en-US" w:eastAsia="zh-CN"/>
                <w14:textFill>
                  <w14:solidFill>
                    <w14:schemeClr w14:val="tx1"/>
                  </w14:solidFill>
                </w14:textFill>
              </w:rPr>
              <w:t>活动保障</w:t>
            </w:r>
            <w:r>
              <w:rPr>
                <w:rFonts w:hint="eastAsia" w:ascii="仿宋_GB2312" w:hAnsi="仿宋" w:eastAsia="仿宋_GB2312"/>
                <w:color w:val="000000" w:themeColor="text1"/>
                <w:sz w:val="24"/>
                <w:szCs w:val="20"/>
                <w:highlight w:val="none"/>
                <w14:textFill>
                  <w14:solidFill>
                    <w14:schemeClr w14:val="tx1"/>
                  </w14:solidFill>
                </w14:textFill>
              </w:rPr>
              <w:t>等各项工作。</w:t>
            </w:r>
            <w:r>
              <w:rPr>
                <w:rFonts w:hint="eastAsia" w:ascii="仿宋_GB2312" w:hAnsi="仿宋" w:eastAsia="仿宋_GB2312"/>
                <w:color w:val="000000" w:themeColor="text1"/>
                <w:sz w:val="24"/>
                <w:szCs w:val="20"/>
                <w:highlight w:val="none"/>
                <w:lang w:val="en-US" w:eastAsia="zh-CN"/>
                <w14:textFill>
                  <w14:solidFill>
                    <w14:schemeClr w14:val="tx1"/>
                  </w14:solidFill>
                </w14:textFill>
              </w:rPr>
              <w:t xml:space="preserve">  </w:t>
            </w:r>
          </w:p>
        </w:tc>
      </w:tr>
    </w:tbl>
    <w:p>
      <w:pPr>
        <w:jc w:val="left"/>
        <w:rPr>
          <w:rFonts w:ascii="仿宋_GB2312" w:hAnsi="宋体" w:eastAsia="仿宋_GB2312"/>
          <w:b/>
          <w:color w:val="000000" w:themeColor="text1"/>
          <w:kern w:val="0"/>
          <w:sz w:val="24"/>
          <w14:textFill>
            <w14:solidFill>
              <w14:schemeClr w14:val="tx1"/>
            </w14:solidFill>
          </w14:textFill>
        </w:rPr>
      </w:pPr>
    </w:p>
    <w:p>
      <w:pPr>
        <w:pStyle w:val="3"/>
        <w:keepNext w:val="0"/>
        <w:keepLines w:val="0"/>
        <w:spacing w:before="0" w:after="0" w:line="240" w:lineRule="auto"/>
        <w:jc w:val="left"/>
        <w:rPr>
          <w:rFonts w:ascii="宋体" w:hAnsi="宋体" w:eastAsia="黑体"/>
          <w:bCs w:val="0"/>
          <w:color w:val="000000" w:themeColor="text1"/>
          <w:sz w:val="24"/>
          <w:szCs w:val="30"/>
          <w14:textFill>
            <w14:solidFill>
              <w14:schemeClr w14:val="tx1"/>
            </w14:solidFill>
          </w14:textFill>
        </w:rPr>
      </w:pPr>
      <w:r>
        <w:rPr>
          <w:rFonts w:hint="eastAsia" w:ascii="宋体" w:hAnsi="宋体" w:eastAsia="黑体"/>
          <w:bCs w:val="0"/>
          <w:color w:val="000000" w:themeColor="text1"/>
          <w:sz w:val="24"/>
          <w:szCs w:val="30"/>
          <w14:textFill>
            <w14:solidFill>
              <w14:schemeClr w14:val="tx1"/>
            </w14:solidFill>
          </w14:textFill>
        </w:rPr>
        <w:t>三、采购标的需执行的强制标准、规范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lang w:val="zh-CN" w:eastAsia="zh-CN"/>
          <w14:textFill>
            <w14:solidFill>
              <w14:schemeClr w14:val="tx1"/>
            </w14:solidFill>
          </w14:textFill>
        </w:rPr>
        <w:t>符合国家及行业规定的合格标准</w:t>
      </w:r>
      <w:r>
        <w:rPr>
          <w:rFonts w:hint="eastAsia" w:ascii="仿宋_GB2312" w:hAnsi="仿宋" w:eastAsia="仿宋_GB2312"/>
          <w:color w:val="000000" w:themeColor="text1"/>
          <w:sz w:val="24"/>
          <w14:textFill>
            <w14:solidFill>
              <w14:schemeClr w14:val="tx1"/>
            </w14:solidFill>
          </w14:textFill>
        </w:rPr>
        <w:t>。</w:t>
      </w:r>
    </w:p>
    <w:p>
      <w:pPr>
        <w:pStyle w:val="133"/>
        <w:ind w:firstLine="0" w:firstLineChars="0"/>
        <w:rPr>
          <w:rFonts w:ascii="仿宋" w:hAnsi="宋体" w:eastAsia="仿宋" w:cs="宋体"/>
          <w:bCs/>
          <w:color w:val="000000" w:themeColor="text1"/>
          <w:sz w:val="24"/>
          <w:szCs w:val="24"/>
          <w14:textFill>
            <w14:solidFill>
              <w14:schemeClr w14:val="tx1"/>
            </w14:solidFill>
          </w14:textFill>
        </w:rPr>
      </w:pPr>
    </w:p>
    <w:p>
      <w:pPr>
        <w:pStyle w:val="3"/>
        <w:keepNext w:val="0"/>
        <w:keepLines w:val="0"/>
        <w:spacing w:before="0" w:after="0" w:line="240" w:lineRule="auto"/>
        <w:jc w:val="left"/>
        <w:rPr>
          <w:rFonts w:ascii="宋体" w:hAnsi="宋体" w:eastAsia="黑体"/>
          <w:bCs w:val="0"/>
          <w:color w:val="000000" w:themeColor="text1"/>
          <w:sz w:val="24"/>
          <w:szCs w:val="30"/>
          <w14:textFill>
            <w14:solidFill>
              <w14:schemeClr w14:val="tx1"/>
            </w14:solidFill>
          </w14:textFill>
        </w:rPr>
      </w:pPr>
      <w:bookmarkStart w:id="55" w:name="_Toc511894511"/>
      <w:bookmarkStart w:id="56" w:name="_Toc494561955"/>
      <w:bookmarkStart w:id="57" w:name="_Toc517859652"/>
      <w:bookmarkStart w:id="58" w:name="_Toc511889433"/>
      <w:r>
        <w:rPr>
          <w:rFonts w:hint="eastAsia" w:ascii="宋体" w:hAnsi="宋体" w:eastAsia="黑体"/>
          <w:bCs w:val="0"/>
          <w:color w:val="000000" w:themeColor="text1"/>
          <w:sz w:val="24"/>
          <w:szCs w:val="30"/>
          <w14:textFill>
            <w14:solidFill>
              <w14:schemeClr w14:val="tx1"/>
            </w14:solidFill>
          </w14:textFill>
        </w:rPr>
        <w:t>四、技术服务要求</w:t>
      </w:r>
      <w:bookmarkEnd w:id="55"/>
      <w:bookmarkEnd w:id="56"/>
      <w:bookmarkEnd w:id="57"/>
      <w:bookmarkEnd w:id="58"/>
    </w:p>
    <w:p>
      <w:pPr>
        <w:spacing w:line="360" w:lineRule="auto"/>
        <w:ind w:firstLine="482" w:firstLineChars="200"/>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lang w:eastAsia="zh-CN"/>
          <w14:textFill>
            <w14:solidFill>
              <w14:schemeClr w14:val="tx1"/>
            </w14:solidFill>
          </w14:textFill>
        </w:rPr>
        <w:t>（</w:t>
      </w:r>
      <w:r>
        <w:rPr>
          <w:rFonts w:hint="eastAsia" w:ascii="仿宋_GB2312" w:hAnsi="仿宋" w:eastAsia="仿宋_GB2312"/>
          <w:b/>
          <w:bCs/>
          <w:color w:val="000000" w:themeColor="text1"/>
          <w:sz w:val="24"/>
          <w:lang w:val="en-US" w:eastAsia="zh-CN"/>
          <w14:textFill>
            <w14:solidFill>
              <w14:schemeClr w14:val="tx1"/>
            </w14:solidFill>
          </w14:textFill>
        </w:rPr>
        <w:t>一</w:t>
      </w:r>
      <w:r>
        <w:rPr>
          <w:rFonts w:hint="eastAsia" w:ascii="仿宋_GB2312" w:hAnsi="仿宋" w:eastAsia="仿宋_GB2312"/>
          <w:b/>
          <w:bCs/>
          <w:color w:val="000000" w:themeColor="text1"/>
          <w:sz w:val="24"/>
          <w:lang w:eastAsia="zh-CN"/>
          <w14:textFill>
            <w14:solidFill>
              <w14:schemeClr w14:val="tx1"/>
            </w14:solidFill>
          </w14:textFill>
        </w:rPr>
        <w:t>）</w:t>
      </w:r>
      <w:r>
        <w:rPr>
          <w:rFonts w:hint="eastAsia" w:ascii="仿宋_GB2312" w:hAnsi="仿宋" w:eastAsia="仿宋_GB2312"/>
          <w:b/>
          <w:bCs/>
          <w:color w:val="000000" w:themeColor="text1"/>
          <w:sz w:val="24"/>
          <w14:textFill>
            <w14:solidFill>
              <w14:schemeClr w14:val="tx1"/>
            </w14:solidFill>
          </w14:textFill>
        </w:rPr>
        <w:t>活动策划与设计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w:t>
      </w:r>
      <w:r>
        <w:rPr>
          <w:rFonts w:hint="eastAsia" w:ascii="仿宋_GB2312" w:hAnsi="仿宋" w:eastAsia="仿宋_GB2312"/>
          <w:color w:val="000000" w:themeColor="text1"/>
          <w:sz w:val="24"/>
          <w14:textFill>
            <w14:solidFill>
              <w14:schemeClr w14:val="tx1"/>
            </w14:solidFill>
          </w14:textFill>
        </w:rPr>
        <w:t>供应商需形成完整的、具有可操作性的</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畅游中国 美好旅程</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2024年</w:t>
      </w:r>
      <w:r>
        <w:rPr>
          <w:rFonts w:hint="eastAsia" w:ascii="仿宋_GB2312" w:hAnsi="仿宋_GB2312" w:eastAsia="仿宋_GB2312" w:cs="仿宋_GB2312"/>
          <w:color w:val="000000" w:themeColor="text1"/>
          <w:kern w:val="0"/>
          <w:sz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5·19中国旅游日</w:t>
      </w:r>
      <w:r>
        <w:rPr>
          <w:rFonts w:hint="eastAsia" w:ascii="仿宋_GB2312" w:hAnsi="仿宋_GB2312" w:eastAsia="仿宋_GB2312" w:cs="仿宋_GB2312"/>
          <w:color w:val="000000" w:themeColor="text1"/>
          <w:kern w:val="0"/>
          <w:sz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长春市分会场活动</w:t>
      </w:r>
      <w:r>
        <w:rPr>
          <w:rFonts w:hint="eastAsia" w:ascii="CESI仿宋-GB2312" w:hAnsi="CESI仿宋-GB2312" w:eastAsia="CESI仿宋-GB2312" w:cs="CESI仿宋-GB2312"/>
          <w:color w:val="000000" w:themeColor="text1"/>
          <w:sz w:val="24"/>
          <w:szCs w:val="24"/>
          <w:lang w:val="en-US" w:eastAsia="zh-CN"/>
          <w14:textFill>
            <w14:solidFill>
              <w14:schemeClr w14:val="tx1"/>
            </w14:solidFill>
          </w14:textFill>
        </w:rPr>
        <w:t>总体</w:t>
      </w:r>
      <w:r>
        <w:rPr>
          <w:rFonts w:hint="eastAsia" w:ascii="仿宋_GB2312" w:hAnsi="仿宋" w:eastAsia="仿宋_GB2312"/>
          <w:color w:val="000000" w:themeColor="text1"/>
          <w:sz w:val="24"/>
          <w14:textFill>
            <w14:solidFill>
              <w14:schemeClr w14:val="tx1"/>
            </w14:solidFill>
          </w14:textFill>
        </w:rPr>
        <w:t>策划实施方案</w:t>
      </w:r>
      <w:r>
        <w:rPr>
          <w:rFonts w:hint="eastAsia" w:ascii="仿宋_GB2312" w:hAnsi="仿宋" w:eastAsia="仿宋_GB2312"/>
          <w:color w:val="000000" w:themeColor="text1"/>
          <w:sz w:val="24"/>
          <w:lang w:eastAsia="zh-CN"/>
          <w14:textFill>
            <w14:solidFill>
              <w14:schemeClr w14:val="tx1"/>
            </w14:solidFill>
          </w14:textFill>
        </w:rPr>
        <w:t>，</w:t>
      </w:r>
      <w:r>
        <w:rPr>
          <w:rFonts w:hint="eastAsia" w:ascii="仿宋_GB2312" w:hAnsi="仿宋" w:eastAsia="仿宋_GB2312"/>
          <w:color w:val="000000" w:themeColor="text1"/>
          <w:sz w:val="24"/>
          <w:lang w:val="en-US" w:eastAsia="zh-CN"/>
          <w14:textFill>
            <w14:solidFill>
              <w14:schemeClr w14:val="tx1"/>
            </w14:solidFill>
          </w14:textFill>
        </w:rPr>
        <w:t>包括但不限于舞台搭建方案、</w:t>
      </w:r>
      <w:r>
        <w:rPr>
          <w:rFonts w:hint="eastAsia" w:ascii="仿宋" w:hAnsi="仿宋" w:eastAsia="仿宋" w:cs="仿宋"/>
          <w:color w:val="000000" w:themeColor="text1"/>
          <w:sz w:val="24"/>
          <w:lang w:val="en-US" w:eastAsia="zh-CN"/>
          <w14:textFill>
            <w14:solidFill>
              <w14:schemeClr w14:val="tx1"/>
            </w14:solidFill>
          </w14:textFill>
        </w:rPr>
        <w:t>活动</w:t>
      </w:r>
      <w:r>
        <w:rPr>
          <w:rFonts w:hint="eastAsia" w:ascii="仿宋" w:hAnsi="仿宋" w:eastAsia="仿宋" w:cs="仿宋"/>
          <w:color w:val="000000" w:themeColor="text1"/>
          <w:sz w:val="24"/>
          <w:lang w:eastAsia="zh-CN"/>
          <w14:textFill>
            <w14:solidFill>
              <w14:schemeClr w14:val="tx1"/>
            </w14:solidFill>
          </w14:textFill>
        </w:rPr>
        <w:t>启动环节设计</w:t>
      </w:r>
      <w:r>
        <w:rPr>
          <w:rFonts w:hint="eastAsia" w:ascii="仿宋" w:hAnsi="仿宋" w:eastAsia="仿宋" w:cs="仿宋"/>
          <w:color w:val="000000" w:themeColor="text1"/>
          <w:sz w:val="24"/>
          <w:lang w:val="en-US" w:eastAsia="zh-CN"/>
          <w14:textFill>
            <w14:solidFill>
              <w14:schemeClr w14:val="tx1"/>
            </w14:solidFill>
          </w14:textFill>
        </w:rPr>
        <w:t>方案</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整体活动演出创意方案、</w:t>
      </w:r>
      <w:r>
        <w:rPr>
          <w:rFonts w:hint="eastAsia" w:ascii="仿宋_GB2312" w:hAnsi="仿宋" w:eastAsia="仿宋_GB2312"/>
          <w:color w:val="000000" w:themeColor="text1"/>
          <w:sz w:val="24"/>
          <w:lang w:val="en-US" w:eastAsia="zh-CN"/>
          <w14:textFill>
            <w14:solidFill>
              <w14:schemeClr w14:val="tx1"/>
            </w14:solidFill>
          </w14:textFill>
        </w:rPr>
        <w:t>互动娱乐方案</w:t>
      </w:r>
      <w:r>
        <w:rPr>
          <w:rFonts w:hint="eastAsia" w:ascii="仿宋_GB2312" w:hAnsi="仿宋" w:eastAsia="仿宋_GB2312"/>
          <w:color w:val="000000" w:themeColor="text1"/>
          <w:sz w:val="24"/>
          <w:lang w:eastAsia="zh-CN"/>
          <w14:textFill>
            <w14:solidFill>
              <w14:schemeClr w14:val="tx1"/>
            </w14:solidFill>
          </w14:textFill>
        </w:rPr>
        <w:t>、</w:t>
      </w:r>
      <w:r>
        <w:rPr>
          <w:rFonts w:hint="eastAsia" w:ascii="仿宋_GB2312" w:hAnsi="仿宋" w:eastAsia="仿宋_GB2312"/>
          <w:color w:val="000000" w:themeColor="text1"/>
          <w:sz w:val="24"/>
          <w:lang w:val="en-US" w:eastAsia="zh-CN"/>
          <w14:textFill>
            <w14:solidFill>
              <w14:schemeClr w14:val="tx1"/>
            </w14:solidFill>
          </w14:textFill>
        </w:rPr>
        <w:t>主视觉制作方案、人员配备方案、活动保障方案等</w:t>
      </w:r>
      <w:r>
        <w:rPr>
          <w:rFonts w:hint="eastAsia" w:ascii="仿宋_GB2312" w:hAnsi="仿宋" w:eastAsia="仿宋_GB2312"/>
          <w:color w:val="000000" w:themeColor="text1"/>
          <w:sz w:val="24"/>
          <w14:textFill>
            <w14:solidFill>
              <w14:schemeClr w14:val="tx1"/>
            </w14:solidFill>
          </w14:textFill>
        </w:rPr>
        <w:t>。</w:t>
      </w:r>
    </w:p>
    <w:p>
      <w:pPr>
        <w:spacing w:line="360" w:lineRule="auto"/>
        <w:ind w:firstLine="480" w:firstLineChars="200"/>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2.</w:t>
      </w:r>
      <w:r>
        <w:rPr>
          <w:rFonts w:hint="eastAsia" w:ascii="仿宋_GB2312" w:hAnsi="仿宋" w:eastAsia="仿宋_GB2312"/>
          <w:color w:val="000000" w:themeColor="text1"/>
          <w:sz w:val="24"/>
          <w14:textFill>
            <w14:solidFill>
              <w14:schemeClr w14:val="tx1"/>
            </w14:solidFill>
          </w14:textFill>
        </w:rPr>
        <w:t>供应商需为</w:t>
      </w:r>
      <w:r>
        <w:rPr>
          <w:rFonts w:hint="eastAsia" w:ascii="仿宋_GB2312" w:hAnsi="仿宋" w:eastAsia="仿宋_GB2312"/>
          <w:color w:val="000000" w:themeColor="text1"/>
          <w:sz w:val="24"/>
          <w:lang w:val="en-US" w:eastAsia="zh-CN"/>
          <w14:textFill>
            <w14:solidFill>
              <w14:schemeClr w14:val="tx1"/>
            </w14:solidFill>
          </w14:textFill>
        </w:rPr>
        <w:t>本次</w:t>
      </w:r>
      <w:r>
        <w:rPr>
          <w:rFonts w:hint="eastAsia" w:ascii="仿宋_GB2312" w:hAnsi="仿宋" w:eastAsia="仿宋_GB2312"/>
          <w:color w:val="000000" w:themeColor="text1"/>
          <w:sz w:val="24"/>
          <w14:textFill>
            <w14:solidFill>
              <w14:schemeClr w14:val="tx1"/>
            </w14:solidFill>
          </w14:textFill>
        </w:rPr>
        <w:t>活动提供专用主视觉设计</w:t>
      </w:r>
      <w:r>
        <w:rPr>
          <w:rFonts w:hint="eastAsia" w:ascii="仿宋_GB2312" w:hAnsi="仿宋" w:eastAsia="仿宋_GB2312"/>
          <w:color w:val="000000" w:themeColor="text1"/>
          <w:sz w:val="24"/>
          <w:lang w:val="en-US" w:eastAsia="zh-CN"/>
          <w14:textFill>
            <w14:solidFill>
              <w14:schemeClr w14:val="tx1"/>
            </w14:solidFill>
          </w14:textFill>
        </w:rPr>
        <w:t>及制作</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lang w:val="en-US" w:eastAsia="zh-CN"/>
          <w14:textFill>
            <w14:solidFill>
              <w14:schemeClr w14:val="tx1"/>
            </w14:solidFill>
          </w14:textFill>
        </w:rPr>
        <w:t>主视觉应涵盖中国旅游日、长春“露营季”等</w:t>
      </w:r>
      <w:r>
        <w:rPr>
          <w:rFonts w:hint="eastAsia" w:ascii="仿宋_GB2312" w:hAnsi="仿宋" w:eastAsia="仿宋_GB2312"/>
          <w:color w:val="000000" w:themeColor="text1"/>
          <w:sz w:val="24"/>
          <w14:textFill>
            <w14:solidFill>
              <w14:schemeClr w14:val="tx1"/>
            </w14:solidFill>
          </w14:textFill>
        </w:rPr>
        <w:t>元素。</w:t>
      </w:r>
    </w:p>
    <w:p>
      <w:pPr>
        <w:spacing w:line="360" w:lineRule="auto"/>
        <w:ind w:firstLine="480" w:firstLineChars="200"/>
        <w:rPr>
          <w:rFonts w:hint="eastAsia" w:ascii="仿宋_GB2312" w:hAnsi="仿宋" w:eastAsia="仿宋_GB2312" w:cs="Times New Roman"/>
          <w:color w:val="000000" w:themeColor="text1"/>
          <w:sz w:val="24"/>
          <w:lang w:val="en-US" w:eastAsia="zh-CN"/>
          <w14:textFill>
            <w14:solidFill>
              <w14:schemeClr w14:val="tx1"/>
            </w14:solidFill>
          </w14:textFill>
        </w:rPr>
      </w:pPr>
      <w:r>
        <w:rPr>
          <w:rFonts w:hint="eastAsia" w:ascii="仿宋_GB2312" w:hAnsi="仿宋" w:eastAsia="仿宋_GB2312" w:cs="Times New Roman"/>
          <w:color w:val="000000" w:themeColor="text1"/>
          <w:sz w:val="24"/>
          <w:lang w:val="en-US" w:eastAsia="zh-CN"/>
          <w14:textFill>
            <w14:solidFill>
              <w14:schemeClr w14:val="tx1"/>
            </w14:solidFill>
          </w14:textFill>
        </w:rPr>
        <w:t>3.供应商需提供启动仪式环节使用的道具不少于2种，供采购人选择。</w:t>
      </w:r>
    </w:p>
    <w:p>
      <w:pPr>
        <w:spacing w:line="360" w:lineRule="auto"/>
        <w:ind w:firstLine="480" w:firstLineChars="200"/>
        <w:rPr>
          <w:rFonts w:hint="eastAsia" w:ascii="仿宋_GB2312" w:hAnsi="仿宋" w:eastAsia="仿宋_GB2312" w:cs="Times New Roman"/>
          <w:color w:val="000000" w:themeColor="text1"/>
          <w:sz w:val="24"/>
          <w:lang w:val="en-US" w:eastAsia="zh-CN"/>
          <w14:textFill>
            <w14:solidFill>
              <w14:schemeClr w14:val="tx1"/>
            </w14:solidFill>
          </w14:textFill>
        </w:rPr>
      </w:pPr>
      <w:r>
        <w:rPr>
          <w:rFonts w:hint="eastAsia" w:ascii="仿宋_GB2312" w:hAnsi="仿宋" w:eastAsia="仿宋_GB2312" w:cs="Times New Roman"/>
          <w:color w:val="000000" w:themeColor="text1"/>
          <w:sz w:val="24"/>
          <w:lang w:val="en-US" w:eastAsia="zh-CN"/>
          <w14:textFill>
            <w14:solidFill>
              <w14:schemeClr w14:val="tx1"/>
            </w14:solidFill>
          </w14:textFill>
        </w:rPr>
        <w:t>4.供应商需提供开幕式流程方案包含但不限于领导致辞、启动环节、节目演出、互动娱乐和园区参观等内容。</w:t>
      </w:r>
    </w:p>
    <w:p>
      <w:pPr>
        <w:spacing w:line="360" w:lineRule="auto"/>
        <w:ind w:firstLine="480" w:firstLineChars="200"/>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供应商提供的活动策划设计方案需经采购人审核通过方可实施。</w:t>
      </w:r>
    </w:p>
    <w:p>
      <w:pPr>
        <w:numPr>
          <w:ilvl w:val="0"/>
          <w:numId w:val="0"/>
        </w:numPr>
        <w:spacing w:line="360" w:lineRule="auto"/>
        <w:ind w:firstLine="482" w:firstLineChars="200"/>
        <w:rPr>
          <w:rFonts w:hint="default"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（二）活动内容要求</w:t>
      </w:r>
    </w:p>
    <w:p>
      <w:pPr>
        <w:spacing w:line="360" w:lineRule="auto"/>
        <w:ind w:firstLine="480" w:firstLineChars="200"/>
        <w:rPr>
          <w:rFonts w:hint="default"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2024年5月19日供应商需在</w:t>
      </w:r>
      <w:r>
        <w:rPr>
          <w:rFonts w:hint="eastAsia" w:ascii="CESI仿宋-GB2312" w:hAnsi="CESI仿宋-GB2312" w:eastAsia="CESI仿宋-GB2312" w:cs="CESI仿宋-GB2312"/>
          <w:color w:val="000000" w:themeColor="text1"/>
          <w:sz w:val="24"/>
          <w:szCs w:val="24"/>
          <w:lang w:eastAsia="zh-CN"/>
          <w14:textFill>
            <w14:solidFill>
              <w14:schemeClr w14:val="tx1"/>
            </w14:solidFill>
          </w14:textFill>
        </w:rPr>
        <w:t>长春市</w:t>
      </w:r>
      <w:r>
        <w:rPr>
          <w:rFonts w:hint="eastAsia" w:ascii="CESI仿宋-GB2312" w:hAnsi="CESI仿宋-GB2312" w:eastAsia="CESI仿宋-GB2312" w:cs="CESI仿宋-GB2312"/>
          <w:color w:val="000000" w:themeColor="text1"/>
          <w:sz w:val="24"/>
          <w:szCs w:val="24"/>
          <w:lang w:val="en-US" w:eastAsia="zh-CN"/>
          <w14:textFill>
            <w14:solidFill>
              <w14:schemeClr w14:val="tx1"/>
            </w14:solidFill>
          </w14:textFill>
        </w:rPr>
        <w:t>净月区青怡坊雲琅露营地搭建舞台开展启动仪式及主体活动，</w:t>
      </w:r>
      <w:r>
        <w:rPr>
          <w:rFonts w:hint="eastAsia" w:ascii="仿宋_GB2312" w:hAnsi="仿宋" w:eastAsia="仿宋_GB2312" w:cs="Times New Roman"/>
          <w:color w:val="000000" w:themeColor="text1"/>
          <w:sz w:val="24"/>
          <w14:textFill>
            <w14:solidFill>
              <w14:schemeClr w14:val="tx1"/>
            </w14:solidFill>
          </w14:textFill>
        </w:rPr>
        <w:t>供应商需提供活动主要包含以下内容：</w:t>
      </w:r>
    </w:p>
    <w:p>
      <w:pPr>
        <w:numPr>
          <w:ilvl w:val="0"/>
          <w:numId w:val="5"/>
        </w:numPr>
        <w:spacing w:line="360" w:lineRule="auto"/>
        <w:ind w:firstLine="480" w:firstLineChars="200"/>
        <w:rPr>
          <w:rFonts w:hint="eastAsia" w:ascii="仿宋_GB2312" w:hAnsi="仿宋" w:eastAsia="仿宋_GB2312"/>
          <w:color w:val="000000" w:themeColor="text1"/>
          <w:sz w:val="24"/>
          <w:u w:val="none"/>
          <w:lang w:val="en-US" w:eastAsia="zh-CN"/>
          <w14:textFill>
            <w14:solidFill>
              <w14:schemeClr w14:val="tx1"/>
            </w14:solidFill>
          </w14:textFill>
        </w:rPr>
      </w:pPr>
      <w:r>
        <w:rPr>
          <w:rFonts w:hint="eastAsia" w:ascii="仿宋_GB2312" w:hAnsi="仿宋" w:eastAsia="仿宋_GB2312"/>
          <w:color w:val="000000" w:themeColor="text1"/>
          <w:sz w:val="24"/>
          <w:u w:val="none"/>
          <w:lang w:val="en-US" w:eastAsia="zh-CN"/>
          <w14:textFill>
            <w14:solidFill>
              <w14:schemeClr w14:val="tx1"/>
            </w14:solidFill>
          </w14:textFill>
        </w:rPr>
        <w:t>舞台搭建</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u w:val="none"/>
          <w:lang w:val="en-US" w:eastAsia="zh-CN"/>
          <w14:textFill>
            <w14:solidFill>
              <w14:schemeClr w14:val="tx1"/>
            </w14:solidFill>
          </w14:textFill>
        </w:rPr>
        <w:t>供应商需根据场地实际情况选择合适位置搭建活动主舞台，要求</w:t>
      </w:r>
      <w:r>
        <w:rPr>
          <w:rFonts w:hint="eastAsia" w:ascii="仿宋_GB2312" w:hAnsi="仿宋" w:eastAsia="仿宋_GB2312"/>
          <w:color w:val="000000" w:themeColor="text1"/>
          <w:sz w:val="24"/>
          <w:u w:val="none"/>
          <w14:textFill>
            <w14:solidFill>
              <w14:schemeClr w14:val="tx1"/>
            </w14:solidFill>
          </w14:textFill>
        </w:rPr>
        <w:t>铝制</w:t>
      </w:r>
      <w:r>
        <w:rPr>
          <w:rFonts w:hint="eastAsia" w:ascii="仿宋_GB2312" w:hAnsi="仿宋" w:eastAsia="仿宋_GB2312"/>
          <w:color w:val="000000" w:themeColor="text1"/>
          <w:sz w:val="24"/>
          <w14:textFill>
            <w14:solidFill>
              <w14:schemeClr w14:val="tx1"/>
            </w14:solidFill>
          </w14:textFill>
        </w:rPr>
        <w:t>舞台面积不小于</w:t>
      </w:r>
      <w:r>
        <w:rPr>
          <w:rFonts w:hint="eastAsia" w:ascii="仿宋_GB2312" w:hAnsi="仿宋" w:eastAsia="仿宋_GB2312"/>
          <w:color w:val="000000" w:themeColor="text1"/>
          <w:sz w:val="24"/>
          <w:lang w:val="en-US" w:eastAsia="zh-CN"/>
          <w14:textFill>
            <w14:solidFill>
              <w14:schemeClr w14:val="tx1"/>
            </w14:solidFill>
          </w14:textFill>
        </w:rPr>
        <w:t>80</w:t>
      </w:r>
      <w:r>
        <w:rPr>
          <w:rFonts w:hint="eastAsia" w:ascii="仿宋_GB2312" w:hAnsi="仿宋" w:eastAsia="仿宋_GB2312"/>
          <w:color w:val="000000" w:themeColor="text1"/>
          <w:sz w:val="24"/>
          <w14:textFill>
            <w14:solidFill>
              <w14:schemeClr w14:val="tx1"/>
            </w14:solidFill>
          </w14:textFill>
        </w:rPr>
        <w:t>平方米、LED显示屏不低于P3、满足活动需要的灯光设备、满足不少于</w:t>
      </w:r>
      <w:r>
        <w:rPr>
          <w:rFonts w:hint="eastAsia" w:ascii="仿宋_GB2312" w:hAnsi="仿宋" w:eastAsia="仿宋_GB2312"/>
          <w:color w:val="000000" w:themeColor="text1"/>
          <w:sz w:val="24"/>
          <w:lang w:val="en-US" w:eastAsia="zh-CN"/>
          <w14:textFill>
            <w14:solidFill>
              <w14:schemeClr w14:val="tx1"/>
            </w14:solidFill>
          </w14:textFill>
        </w:rPr>
        <w:t>200</w:t>
      </w:r>
      <w:r>
        <w:rPr>
          <w:rFonts w:hint="eastAsia" w:ascii="仿宋_GB2312" w:hAnsi="仿宋" w:eastAsia="仿宋_GB2312"/>
          <w:color w:val="000000" w:themeColor="text1"/>
          <w:sz w:val="24"/>
          <w14:textFill>
            <w14:solidFill>
              <w14:schemeClr w14:val="tx1"/>
            </w14:solidFill>
          </w14:textFill>
        </w:rPr>
        <w:t>人现场观众听觉要求的音响设备。</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灯光音响操作人员不少于4人，一主一备的原则,保证现场灯光和音响效果。</w:t>
      </w:r>
    </w:p>
    <w:p>
      <w:pPr>
        <w:spacing w:line="360" w:lineRule="auto"/>
        <w:ind w:firstLine="480" w:firstLineChars="200"/>
        <w:jc w:val="left"/>
        <w:rPr>
          <w:rFonts w:hint="eastAsia" w:ascii="仿宋_GB2312" w:hAnsi="仿宋" w:eastAsia="仿宋_GB2312" w:cs="Times New Roman"/>
          <w:color w:val="000000" w:themeColor="text1"/>
          <w:sz w:val="24"/>
          <w:lang w:val="en-US" w:eastAsia="zh-CN"/>
          <w14:textFill>
            <w14:solidFill>
              <w14:schemeClr w14:val="tx1"/>
            </w14:solidFill>
          </w14:textFill>
        </w:rPr>
      </w:pPr>
      <w:r>
        <w:rPr>
          <w:rFonts w:hint="eastAsia" w:ascii="仿宋_GB2312" w:hAnsi="仿宋" w:eastAsia="仿宋_GB2312" w:cs="Times New Roman"/>
          <w:color w:val="000000" w:themeColor="text1"/>
          <w:sz w:val="24"/>
          <w:lang w:val="en-US" w:eastAsia="zh-CN"/>
          <w14:textFill>
            <w14:solidFill>
              <w14:schemeClr w14:val="tx1"/>
            </w14:solidFill>
          </w14:textFill>
        </w:rPr>
        <w:t>2.启动仪式</w:t>
      </w:r>
    </w:p>
    <w:p>
      <w:pPr>
        <w:numPr>
          <w:ilvl w:val="0"/>
          <w:numId w:val="0"/>
        </w:numPr>
        <w:spacing w:line="360" w:lineRule="auto"/>
        <w:ind w:firstLine="480" w:firstLineChars="200"/>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供应商需提供活动启动仪式整体流程策划，需配备主持人并提供启动仪式环节所需道具，策划方案需经采购人同意方可实施。</w:t>
      </w:r>
    </w:p>
    <w:p>
      <w:pPr>
        <w:numPr>
          <w:ilvl w:val="0"/>
          <w:numId w:val="0"/>
        </w:numPr>
        <w:spacing w:line="360" w:lineRule="auto"/>
        <w:ind w:firstLine="480" w:firstLineChars="200"/>
        <w:rPr>
          <w:rFonts w:hint="default"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3.文艺演出活动</w:t>
      </w:r>
    </w:p>
    <w:p>
      <w:pPr>
        <w:spacing w:line="360" w:lineRule="auto"/>
        <w:ind w:firstLine="480" w:firstLineChars="200"/>
        <w:jc w:val="left"/>
        <w:rPr>
          <w:rFonts w:hint="eastAsia" w:ascii="仿宋_GB2312" w:hAnsi="仿宋" w:eastAsia="仿宋_GB2312" w:cs="Times New Roman"/>
          <w:color w:val="000000" w:themeColor="text1"/>
          <w:sz w:val="24"/>
          <w:u w:val="none"/>
          <w:lang w:val="en-US" w:eastAsia="zh-CN"/>
          <w14:textFill>
            <w14:solidFill>
              <w14:schemeClr w14:val="tx1"/>
            </w14:solidFill>
          </w14:textFill>
        </w:rPr>
      </w:pPr>
      <w:r>
        <w:rPr>
          <w:rFonts w:hint="eastAsia" w:ascii="仿宋_GB2312" w:hAnsi="仿宋" w:eastAsia="仿宋_GB2312"/>
          <w:color w:val="000000" w:themeColor="text1"/>
          <w:sz w:val="24"/>
          <w:u w:val="none"/>
          <w:lang w:val="en-US" w:eastAsia="zh-CN"/>
          <w14:textFill>
            <w14:solidFill>
              <w14:schemeClr w14:val="tx1"/>
            </w14:solidFill>
          </w14:textFill>
        </w:rPr>
        <w:t>供应商需在启动仪式开始前舞台上组织热场演出，</w:t>
      </w:r>
      <w:r>
        <w:rPr>
          <w:rFonts w:hint="eastAsia" w:ascii="仿宋_GB2312" w:hAnsi="仿宋" w:eastAsia="仿宋_GB2312"/>
          <w:color w:val="000000" w:themeColor="text1"/>
          <w:sz w:val="24"/>
          <w:u w:val="none"/>
          <w14:textFill>
            <w14:solidFill>
              <w14:schemeClr w14:val="tx1"/>
            </w14:solidFill>
          </w14:textFill>
        </w:rPr>
        <w:t>演出内容自行创意</w:t>
      </w:r>
      <w:r>
        <w:rPr>
          <w:rFonts w:hint="eastAsia" w:ascii="仿宋_GB2312" w:hAnsi="仿宋" w:eastAsia="仿宋_GB2312"/>
          <w:color w:val="000000" w:themeColor="text1"/>
          <w:sz w:val="24"/>
          <w:u w:val="none"/>
          <w:lang w:eastAsia="zh-CN"/>
          <w14:textFill>
            <w14:solidFill>
              <w14:schemeClr w14:val="tx1"/>
            </w14:solidFill>
          </w14:textFill>
        </w:rPr>
        <w:t>，</w:t>
      </w:r>
      <w:r>
        <w:rPr>
          <w:rFonts w:hint="eastAsia" w:ascii="仿宋_GB2312" w:hAnsi="仿宋" w:eastAsia="仿宋_GB2312" w:cs="Times New Roman"/>
          <w:color w:val="000000" w:themeColor="text1"/>
          <w:sz w:val="24"/>
          <w:u w:val="none"/>
          <w:lang w:val="en-US" w:eastAsia="zh-CN"/>
          <w14:textFill>
            <w14:solidFill>
              <w14:schemeClr w14:val="tx1"/>
            </w14:solidFill>
          </w14:textFill>
        </w:rPr>
        <w:t>节目类型包括但不限于</w:t>
      </w:r>
      <w:r>
        <w:rPr>
          <w:rFonts w:hint="eastAsia" w:ascii="仿宋" w:hAnsi="仿宋" w:eastAsia="仿宋"/>
          <w:color w:val="000000" w:themeColor="text1"/>
          <w:sz w:val="24"/>
          <w:u w:val="none"/>
          <w14:textFill>
            <w14:solidFill>
              <w14:schemeClr w14:val="tx1"/>
            </w14:solidFill>
          </w14:textFill>
        </w:rPr>
        <w:t>舞蹈、</w:t>
      </w:r>
      <w:r>
        <w:rPr>
          <w:rFonts w:hint="eastAsia" w:ascii="仿宋" w:hAnsi="仿宋" w:eastAsia="仿宋"/>
          <w:color w:val="000000" w:themeColor="text1"/>
          <w:sz w:val="24"/>
          <w:u w:val="none"/>
          <w:lang w:val="en-US" w:eastAsia="zh-CN"/>
          <w14:textFill>
            <w14:solidFill>
              <w14:schemeClr w14:val="tx1"/>
            </w14:solidFill>
          </w14:textFill>
        </w:rPr>
        <w:t>乐器演奏等，节目数量不少于2个，总体</w:t>
      </w:r>
      <w:r>
        <w:rPr>
          <w:rFonts w:hint="eastAsia" w:ascii="仿宋_GB2312" w:hAnsi="仿宋" w:eastAsia="仿宋_GB2312" w:cs="Times New Roman"/>
          <w:color w:val="000000" w:themeColor="text1"/>
          <w:sz w:val="24"/>
          <w:u w:val="none"/>
          <w:lang w:val="en-US" w:eastAsia="zh-CN"/>
          <w14:textFill>
            <w14:solidFill>
              <w14:schemeClr w14:val="tx1"/>
            </w14:solidFill>
          </w14:textFill>
        </w:rPr>
        <w:t>演出时长不少于10分钟。</w:t>
      </w:r>
    </w:p>
    <w:p>
      <w:pPr>
        <w:spacing w:line="360" w:lineRule="auto"/>
        <w:ind w:firstLine="480" w:firstLineChars="200"/>
        <w:jc w:val="left"/>
        <w:rPr>
          <w:rFonts w:hint="default" w:ascii="仿宋_GB2312" w:hAnsi="仿宋" w:eastAsia="仿宋_GB2312"/>
          <w:color w:val="000000" w:themeColor="text1"/>
          <w:sz w:val="24"/>
          <w:u w:val="none"/>
          <w:lang w:val="en-US" w:eastAsia="zh-CN"/>
          <w14:textFill>
            <w14:solidFill>
              <w14:schemeClr w14:val="tx1"/>
            </w14:solidFill>
          </w14:textFill>
        </w:rPr>
      </w:pPr>
      <w:r>
        <w:rPr>
          <w:rFonts w:hint="eastAsia" w:ascii="仿宋_GB2312" w:hAnsi="仿宋" w:eastAsia="仿宋_GB2312"/>
          <w:color w:val="000000" w:themeColor="text1"/>
          <w:sz w:val="24"/>
          <w:u w:val="none"/>
          <w:lang w:val="en-US" w:eastAsia="zh-CN"/>
          <w14:textFill>
            <w14:solidFill>
              <w14:schemeClr w14:val="tx1"/>
            </w14:solidFill>
          </w14:textFill>
        </w:rPr>
        <w:t>供应商需在场地范围内，设置快闪演出打卡点不少于3个，活动当天开展不少于5场音乐快闪演出，演出团队数量不少于2个，演出内容包含但不限于歌曲、舞蹈、乐器演奏等多种形式，每场演出时长不少于30分钟，节目不少于2个。</w:t>
      </w:r>
    </w:p>
    <w:p>
      <w:pPr>
        <w:spacing w:line="360" w:lineRule="auto"/>
        <w:ind w:firstLine="480" w:firstLineChars="200"/>
        <w:jc w:val="left"/>
        <w:rPr>
          <w:rFonts w:hint="eastAsia" w:ascii="仿宋_GB2312" w:hAnsi="仿宋" w:eastAsia="仿宋_GB2312"/>
          <w:color w:val="000000" w:themeColor="text1"/>
          <w:sz w:val="24"/>
          <w:u w:val="none"/>
          <w:lang w:val="en-US" w:eastAsia="zh-CN"/>
          <w14:textFill>
            <w14:solidFill>
              <w14:schemeClr w14:val="tx1"/>
            </w14:solidFill>
          </w14:textFill>
        </w:rPr>
      </w:pPr>
      <w:r>
        <w:rPr>
          <w:rFonts w:hint="eastAsia" w:ascii="仿宋_GB2312" w:hAnsi="仿宋" w:eastAsia="仿宋_GB2312"/>
          <w:color w:val="000000" w:themeColor="text1"/>
          <w:sz w:val="24"/>
          <w:u w:val="none"/>
          <w:lang w:val="en-US" w:eastAsia="zh-CN"/>
          <w14:textFill>
            <w14:solidFill>
              <w14:schemeClr w14:val="tx1"/>
            </w14:solidFill>
          </w14:textFill>
        </w:rPr>
        <w:t>供应商设计的演出方案需以书面形式报送采购人，经采购人审核通过后方可实施，供应商要需按照采购人提出的意见进行整改。</w:t>
      </w:r>
    </w:p>
    <w:p>
      <w:pPr>
        <w:spacing w:line="360" w:lineRule="auto"/>
        <w:ind w:firstLine="480" w:firstLineChars="200"/>
        <w:jc w:val="left"/>
        <w:rPr>
          <w:rFonts w:hint="default" w:ascii="仿宋_GB2312" w:hAnsi="仿宋" w:eastAsia="仿宋_GB2312"/>
          <w:color w:val="000000" w:themeColor="text1"/>
          <w:sz w:val="24"/>
          <w:u w:val="none"/>
          <w:lang w:val="en-US" w:eastAsia="zh-CN"/>
          <w14:textFill>
            <w14:solidFill>
              <w14:schemeClr w14:val="tx1"/>
            </w14:solidFill>
          </w14:textFill>
        </w:rPr>
      </w:pPr>
      <w:r>
        <w:rPr>
          <w:rFonts w:hint="eastAsia" w:ascii="仿宋_GB2312" w:hAnsi="仿宋" w:eastAsia="仿宋_GB2312"/>
          <w:color w:val="000000" w:themeColor="text1"/>
          <w:sz w:val="24"/>
          <w:u w:val="none"/>
          <w:lang w:val="en-US" w:eastAsia="zh-CN"/>
          <w14:textFill>
            <w14:solidFill>
              <w14:schemeClr w14:val="tx1"/>
            </w14:solidFill>
          </w14:textFill>
        </w:rPr>
        <w:t>4.文创市集活动</w:t>
      </w:r>
    </w:p>
    <w:p>
      <w:pPr>
        <w:spacing w:line="360" w:lineRule="auto"/>
        <w:ind w:firstLine="480" w:firstLineChars="200"/>
        <w:jc w:val="left"/>
        <w:rPr>
          <w:rFonts w:hint="eastAsia" w:ascii="仿宋_GB2312" w:hAnsi="仿宋" w:eastAsia="仿宋_GB2312"/>
          <w:color w:val="000000" w:themeColor="text1"/>
          <w:sz w:val="24"/>
          <w:u w:val="none"/>
          <w:lang w:val="en-US" w:eastAsia="zh-CN"/>
          <w14:textFill>
            <w14:solidFill>
              <w14:schemeClr w14:val="tx1"/>
            </w14:solidFill>
          </w14:textFill>
        </w:rPr>
      </w:pPr>
      <w:r>
        <w:rPr>
          <w:rFonts w:hint="eastAsia" w:ascii="仿宋_GB2312" w:hAnsi="仿宋" w:eastAsia="仿宋_GB2312"/>
          <w:color w:val="000000" w:themeColor="text1"/>
          <w:sz w:val="24"/>
          <w:u w:val="none"/>
          <w:lang w:val="en-US" w:eastAsia="zh-CN"/>
          <w14:textFill>
            <w14:solidFill>
              <w14:schemeClr w14:val="tx1"/>
            </w14:solidFill>
          </w14:textFill>
        </w:rPr>
        <w:t>活动当天，供应商需在场地合适区域设置市集不少于1个，市集展位不少于10个，市集必须进行与环境适配的装饰布置，每个展位的展商必须营业到夜间21点，市集必须拥有不少于2个露营装备展位，其他展位包含但不限于后备箱市集、地摊市集等。</w:t>
      </w:r>
    </w:p>
    <w:p>
      <w:pPr>
        <w:spacing w:line="360" w:lineRule="auto"/>
        <w:ind w:firstLine="480" w:firstLineChars="200"/>
        <w:jc w:val="left"/>
        <w:rPr>
          <w:rFonts w:hint="default" w:ascii="仿宋_GB2312" w:hAnsi="仿宋" w:eastAsia="仿宋_GB2312"/>
          <w:color w:val="000000" w:themeColor="text1"/>
          <w:sz w:val="24"/>
          <w:u w:val="none"/>
          <w:lang w:val="en-US" w:eastAsia="zh-CN"/>
          <w14:textFill>
            <w14:solidFill>
              <w14:schemeClr w14:val="tx1"/>
            </w14:solidFill>
          </w14:textFill>
        </w:rPr>
      </w:pPr>
      <w:r>
        <w:rPr>
          <w:rFonts w:hint="eastAsia" w:ascii="仿宋_GB2312" w:hAnsi="仿宋" w:eastAsia="仿宋_GB2312"/>
          <w:color w:val="000000" w:themeColor="text1"/>
          <w:sz w:val="24"/>
          <w:u w:val="none"/>
          <w:lang w:val="en-US" w:eastAsia="zh-CN"/>
          <w14:textFill>
            <w14:solidFill>
              <w14:schemeClr w14:val="tx1"/>
            </w14:solidFill>
          </w14:textFill>
        </w:rPr>
        <w:t>5.露营沙龙活动</w:t>
      </w:r>
    </w:p>
    <w:p>
      <w:pPr>
        <w:spacing w:line="360" w:lineRule="auto"/>
        <w:ind w:firstLine="480" w:firstLineChars="200"/>
        <w:jc w:val="left"/>
        <w:rPr>
          <w:rFonts w:hint="eastAsia" w:ascii="仿宋_GB2312" w:hAnsi="仿宋" w:eastAsia="仿宋_GB2312"/>
          <w:color w:val="000000" w:themeColor="text1"/>
          <w:sz w:val="24"/>
          <w:u w:val="none"/>
          <w:lang w:val="en-US" w:eastAsia="zh-CN"/>
          <w14:textFill>
            <w14:solidFill>
              <w14:schemeClr w14:val="tx1"/>
            </w14:solidFill>
          </w14:textFill>
        </w:rPr>
      </w:pPr>
      <w:r>
        <w:rPr>
          <w:rFonts w:hint="eastAsia" w:ascii="仿宋_GB2312" w:hAnsi="仿宋" w:eastAsia="仿宋_GB2312"/>
          <w:color w:val="000000" w:themeColor="text1"/>
          <w:sz w:val="24"/>
          <w:u w:val="none"/>
          <w:lang w:val="en-US" w:eastAsia="zh-CN"/>
          <w14:textFill>
            <w14:solidFill>
              <w14:schemeClr w14:val="tx1"/>
            </w14:solidFill>
          </w14:textFill>
        </w:rPr>
        <w:t>活动当天，供应商需邀请不少于3人的专业露营人士、露营发烧友在活动场地开展不少于1个小时的露营沙龙活动。露营沙龙内容包括但不限于：主题演讲、露营新装备使用讲解、分享露营经验、露营安全须知等，为露营爱好者</w:t>
      </w:r>
      <w:r>
        <w:rPr>
          <w:rFonts w:hint="default" w:ascii="仿宋_GB2312" w:hAnsi="仿宋" w:eastAsia="仿宋_GB2312"/>
          <w:color w:val="000000" w:themeColor="text1"/>
          <w:sz w:val="24"/>
          <w:u w:val="none"/>
          <w:lang w:val="en-US" w:eastAsia="zh-CN"/>
          <w14:textFill>
            <w14:solidFill>
              <w14:schemeClr w14:val="tx1"/>
            </w14:solidFill>
          </w14:textFill>
        </w:rPr>
        <w:t>提供一个</w:t>
      </w:r>
      <w:r>
        <w:rPr>
          <w:rFonts w:hint="eastAsia" w:ascii="仿宋_GB2312" w:hAnsi="仿宋" w:eastAsia="仿宋_GB2312"/>
          <w:color w:val="000000" w:themeColor="text1"/>
          <w:sz w:val="24"/>
          <w:u w:val="none"/>
          <w:lang w:val="en-US" w:eastAsia="zh-CN"/>
          <w14:textFill>
            <w14:solidFill>
              <w14:schemeClr w14:val="tx1"/>
            </w14:solidFill>
          </w14:textFill>
        </w:rPr>
        <w:t>露营</w:t>
      </w:r>
      <w:r>
        <w:rPr>
          <w:rFonts w:hint="default" w:ascii="仿宋_GB2312" w:hAnsi="仿宋" w:eastAsia="仿宋_GB2312"/>
          <w:color w:val="000000" w:themeColor="text1"/>
          <w:sz w:val="24"/>
          <w:u w:val="none"/>
          <w:lang w:val="en-US" w:eastAsia="zh-CN"/>
          <w14:textFill>
            <w14:solidFill>
              <w14:schemeClr w14:val="tx1"/>
            </w14:solidFill>
          </w14:textFill>
        </w:rPr>
        <w:t>互动交流的平台</w:t>
      </w:r>
      <w:r>
        <w:rPr>
          <w:rFonts w:hint="eastAsia" w:ascii="仿宋_GB2312" w:hAnsi="仿宋" w:eastAsia="仿宋_GB2312"/>
          <w:color w:val="000000" w:themeColor="text1"/>
          <w:sz w:val="24"/>
          <w:u w:val="none"/>
          <w:lang w:val="en-US" w:eastAsia="zh-CN"/>
          <w14:textFill>
            <w14:solidFill>
              <w14:schemeClr w14:val="tx1"/>
            </w14:solidFill>
          </w14:textFill>
        </w:rPr>
        <w:t>。</w:t>
      </w:r>
    </w:p>
    <w:p>
      <w:pPr>
        <w:spacing w:line="360" w:lineRule="auto"/>
        <w:ind w:firstLine="480" w:firstLineChars="200"/>
        <w:jc w:val="left"/>
        <w:rPr>
          <w:rFonts w:hint="default" w:ascii="仿宋_GB2312" w:hAnsi="仿宋" w:eastAsia="仿宋_GB2312"/>
          <w:color w:val="000000" w:themeColor="text1"/>
          <w:sz w:val="24"/>
          <w:u w:val="none"/>
          <w:lang w:val="en-US" w:eastAsia="zh-CN"/>
          <w14:textFill>
            <w14:solidFill>
              <w14:schemeClr w14:val="tx1"/>
            </w14:solidFill>
          </w14:textFill>
        </w:rPr>
      </w:pPr>
      <w:r>
        <w:rPr>
          <w:rFonts w:hint="eastAsia" w:ascii="仿宋_GB2312" w:hAnsi="仿宋" w:eastAsia="仿宋_GB2312"/>
          <w:color w:val="000000" w:themeColor="text1"/>
          <w:sz w:val="24"/>
          <w:u w:val="none"/>
          <w:lang w:val="en-US" w:eastAsia="zh-CN"/>
          <w14:textFill>
            <w14:solidFill>
              <w14:schemeClr w14:val="tx1"/>
            </w14:solidFill>
          </w14:textFill>
        </w:rPr>
        <w:t>6.露营户外体育活动</w:t>
      </w:r>
    </w:p>
    <w:p>
      <w:pPr>
        <w:spacing w:line="360" w:lineRule="auto"/>
        <w:ind w:firstLine="480" w:firstLineChars="200"/>
        <w:jc w:val="left"/>
        <w:rPr>
          <w:rFonts w:hint="eastAsia" w:ascii="仿宋_GB2312" w:hAnsi="仿宋" w:eastAsia="仿宋_GB2312"/>
          <w:color w:val="000000" w:themeColor="text1"/>
          <w:sz w:val="24"/>
          <w:u w:val="none"/>
          <w:lang w:val="en-US" w:eastAsia="zh-CN"/>
          <w14:textFill>
            <w14:solidFill>
              <w14:schemeClr w14:val="tx1"/>
            </w14:solidFill>
          </w14:textFill>
        </w:rPr>
      </w:pPr>
      <w:r>
        <w:rPr>
          <w:rFonts w:hint="eastAsia" w:ascii="仿宋_GB2312" w:hAnsi="仿宋" w:eastAsia="仿宋_GB2312"/>
          <w:color w:val="000000" w:themeColor="text1"/>
          <w:sz w:val="24"/>
          <w:u w:val="none"/>
          <w:lang w:val="en-US" w:eastAsia="zh-CN"/>
          <w14:textFill>
            <w14:solidFill>
              <w14:schemeClr w14:val="tx1"/>
            </w14:solidFill>
          </w14:textFill>
        </w:rPr>
        <w:t>活动当天，供应商需在雲琅露营地合适位置设置不少于3个户外体育活动区域，邀请专业人员指导现场露营者游玩体验。户外体育活动项目包括但不限于飞盘、投壶等。</w:t>
      </w:r>
    </w:p>
    <w:p>
      <w:pPr>
        <w:spacing w:line="360" w:lineRule="auto"/>
        <w:ind w:firstLine="480" w:firstLineChars="200"/>
        <w:jc w:val="left"/>
        <w:rPr>
          <w:rFonts w:hint="default" w:ascii="仿宋_GB2312" w:hAnsi="仿宋" w:eastAsia="仿宋_GB2312"/>
          <w:color w:val="000000" w:themeColor="text1"/>
          <w:sz w:val="24"/>
          <w:u w:val="none"/>
          <w:lang w:val="en-US" w:eastAsia="zh-CN"/>
          <w14:textFill>
            <w14:solidFill>
              <w14:schemeClr w14:val="tx1"/>
            </w14:solidFill>
          </w14:textFill>
        </w:rPr>
      </w:pPr>
      <w:r>
        <w:rPr>
          <w:rFonts w:hint="eastAsia" w:ascii="仿宋_GB2312" w:hAnsi="仿宋" w:eastAsia="仿宋_GB2312"/>
          <w:color w:val="000000" w:themeColor="text1"/>
          <w:sz w:val="24"/>
          <w:u w:val="none"/>
          <w:lang w:val="en-US" w:eastAsia="zh-CN"/>
          <w14:textFill>
            <w14:solidFill>
              <w14:schemeClr w14:val="tx1"/>
            </w14:solidFill>
          </w14:textFill>
        </w:rPr>
        <w:t>7.露天电影放映活动</w:t>
      </w:r>
    </w:p>
    <w:p>
      <w:pPr>
        <w:widowControl/>
        <w:spacing w:line="360" w:lineRule="auto"/>
        <w:ind w:firstLine="480" w:firstLineChars="200"/>
        <w:jc w:val="left"/>
        <w:rPr>
          <w:rFonts w:hint="default" w:ascii="仿宋_GB2312" w:hAnsi="仿宋" w:eastAsia="仿宋_GB2312"/>
          <w:color w:val="000000" w:themeColor="text1"/>
          <w:sz w:val="24"/>
          <w:u w:val="none"/>
          <w:lang w:val="en-US" w:eastAsia="zh-CN"/>
          <w14:textFill>
            <w14:solidFill>
              <w14:schemeClr w14:val="tx1"/>
            </w14:solidFill>
          </w14:textFill>
        </w:rPr>
      </w:pPr>
      <w:r>
        <w:rPr>
          <w:rFonts w:hint="eastAsia" w:ascii="仿宋_GB2312" w:hAnsi="仿宋" w:eastAsia="仿宋_GB2312"/>
          <w:color w:val="000000" w:themeColor="text1"/>
          <w:sz w:val="24"/>
          <w:u w:val="none"/>
          <w:lang w:val="en-US" w:eastAsia="zh-CN"/>
          <w14:textFill>
            <w14:solidFill>
              <w14:schemeClr w14:val="tx1"/>
            </w14:solidFill>
          </w14:textFill>
        </w:rPr>
        <w:t>活动当天，供应商需在18点至22点间，在雲琅露营地合适位置开展露天电影放映活动，场地布置要符合露营主题，满足不少于50人同时观看，供应商要负责电影版权等相关法律事项。</w:t>
      </w:r>
    </w:p>
    <w:p>
      <w:pPr>
        <w:widowControl/>
        <w:spacing w:line="360" w:lineRule="auto"/>
        <w:ind w:firstLine="480" w:firstLineChars="200"/>
        <w:jc w:val="left"/>
        <w:rPr>
          <w:rFonts w:hint="default" w:ascii="仿宋_GB2312" w:hAnsi="仿宋" w:eastAsia="仿宋_GB2312"/>
          <w:color w:val="000000" w:themeColor="text1"/>
          <w:sz w:val="24"/>
          <w:u w:val="none"/>
          <w:lang w:val="en-US" w:eastAsia="zh-CN"/>
          <w14:textFill>
            <w14:solidFill>
              <w14:schemeClr w14:val="tx1"/>
            </w14:solidFill>
          </w14:textFill>
        </w:rPr>
      </w:pPr>
      <w:r>
        <w:rPr>
          <w:rFonts w:hint="eastAsia" w:ascii="仿宋_GB2312" w:hAnsi="仿宋" w:eastAsia="仿宋_GB2312"/>
          <w:color w:val="000000" w:themeColor="text1"/>
          <w:sz w:val="24"/>
          <w:u w:val="none"/>
          <w:lang w:val="en-US" w:eastAsia="zh-CN"/>
          <w14:textFill>
            <w14:solidFill>
              <w14:schemeClr w14:val="tx1"/>
            </w14:solidFill>
          </w14:textFill>
        </w:rPr>
        <w:t>8.整体环境布置</w:t>
      </w:r>
    </w:p>
    <w:p>
      <w:pPr>
        <w:widowControl/>
        <w:spacing w:line="360" w:lineRule="auto"/>
        <w:ind w:firstLine="480" w:firstLineChars="200"/>
        <w:jc w:val="left"/>
        <w:rPr>
          <w:rFonts w:hint="default" w:ascii="仿宋_GB2312" w:hAnsi="仿宋" w:eastAsia="仿宋_GB2312"/>
          <w:color w:val="000000" w:themeColor="text1"/>
          <w:sz w:val="24"/>
          <w:u w:val="none"/>
          <w:lang w:val="en-US" w:eastAsia="zh-CN"/>
          <w14:textFill>
            <w14:solidFill>
              <w14:schemeClr w14:val="tx1"/>
            </w14:solidFill>
          </w14:textFill>
        </w:rPr>
      </w:pPr>
      <w:r>
        <w:rPr>
          <w:rFonts w:hint="eastAsia" w:ascii="仿宋_GB2312" w:hAnsi="仿宋" w:eastAsia="仿宋_GB2312"/>
          <w:color w:val="000000" w:themeColor="text1"/>
          <w:sz w:val="24"/>
          <w:u w:val="none"/>
          <w:lang w:val="en-US" w:eastAsia="zh-CN"/>
          <w14:textFill>
            <w14:solidFill>
              <w14:schemeClr w14:val="tx1"/>
            </w14:solidFill>
          </w14:textFill>
        </w:rPr>
        <w:t>供应商需运用主视觉元素对活动场地进行环境布置为活动进行氛围营造，</w:t>
      </w:r>
      <w:r>
        <w:rPr>
          <w:rFonts w:hint="eastAsia" w:ascii="仿宋_GB2312" w:hAnsi="仿宋" w:eastAsia="仿宋_GB2312" w:cs="Times New Roman"/>
          <w:color w:val="000000" w:themeColor="text1"/>
          <w:sz w:val="24"/>
          <w:u w:val="none"/>
          <w:lang w:val="en-US" w:eastAsia="zh-CN"/>
          <w14:textFill>
            <w14:solidFill>
              <w14:schemeClr w14:val="tx1"/>
            </w14:solidFill>
          </w14:textFill>
        </w:rPr>
        <w:t>包括但不限于A型展板、留言墙、网红斑马线、拍照打卡区、指示牌等。</w:t>
      </w:r>
    </w:p>
    <w:p>
      <w:pPr>
        <w:numPr>
          <w:ilvl w:val="0"/>
          <w:numId w:val="0"/>
        </w:numPr>
        <w:spacing w:line="360" w:lineRule="auto"/>
        <w:ind w:firstLine="480" w:firstLineChars="200"/>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9.其他活动要求</w:t>
      </w:r>
    </w:p>
    <w:p>
      <w:pPr>
        <w:numPr>
          <w:ilvl w:val="0"/>
          <w:numId w:val="0"/>
        </w:numPr>
        <w:spacing w:line="360" w:lineRule="auto"/>
        <w:ind w:firstLine="480" w:firstLineChars="200"/>
        <w:rPr>
          <w:rFonts w:hint="eastAsia" w:ascii="仿宋_GB2312" w:hAnsi="仿宋" w:eastAsia="仿宋_GB2312"/>
          <w:color w:val="000000" w:themeColor="text1"/>
          <w:sz w:val="24"/>
          <w:u w:val="none"/>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供应商需自行创意娱乐活动内容，并邀请现场露营者进行娱乐互动；供应商应提供不少于50份的纪念品，用于活动参与者的奖励，供应商提供纪念品分配原则，并按照采购方要求进行修改；</w:t>
      </w:r>
      <w:r>
        <w:rPr>
          <w:rFonts w:hint="eastAsia" w:ascii="仿宋_GB2312" w:hAnsi="仿宋" w:eastAsia="仿宋_GB2312"/>
          <w:color w:val="000000" w:themeColor="text1"/>
          <w:sz w:val="24"/>
          <w:u w:val="none"/>
          <w:lang w:val="en-US" w:eastAsia="zh-CN"/>
          <w14:textFill>
            <w14:solidFill>
              <w14:schemeClr w14:val="tx1"/>
            </w14:solidFill>
          </w14:textFill>
        </w:rPr>
        <w:t>供应商需提供互动娱乐方案以书面形式报送采购人，经采购人审核通过后方可实施，供应商要需按照采购人提出的意见进行修改。</w:t>
      </w:r>
    </w:p>
    <w:p>
      <w:pPr>
        <w:numPr>
          <w:ilvl w:val="0"/>
          <w:numId w:val="0"/>
        </w:numPr>
        <w:spacing w:line="360" w:lineRule="auto"/>
        <w:ind w:firstLine="480"/>
        <w:rPr>
          <w:rFonts w:hint="default"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（三）视频制作</w:t>
      </w:r>
    </w:p>
    <w:p>
      <w:pPr>
        <w:spacing w:line="360" w:lineRule="auto"/>
        <w:ind w:firstLine="480" w:firstLineChars="200"/>
        <w:jc w:val="left"/>
        <w:rPr>
          <w:rFonts w:hint="default" w:ascii="仿宋_GB2312" w:hAnsi="仿宋" w:eastAsia="仿宋_GB2312"/>
          <w:color w:val="000000" w:themeColor="text1"/>
          <w:sz w:val="24"/>
          <w:u w:val="none"/>
          <w:lang w:val="en-US" w:eastAsia="zh-CN"/>
          <w14:textFill>
            <w14:solidFill>
              <w14:schemeClr w14:val="tx1"/>
            </w14:solidFill>
          </w14:textFill>
        </w:rPr>
      </w:pPr>
      <w:r>
        <w:rPr>
          <w:rFonts w:hint="eastAsia" w:ascii="仿宋_GB2312" w:hAnsi="仿宋" w:eastAsia="仿宋_GB2312"/>
          <w:color w:val="000000" w:themeColor="text1"/>
          <w:sz w:val="24"/>
          <w:u w:val="none"/>
          <w:lang w:val="en-US" w:eastAsia="zh-CN"/>
          <w14:textFill>
            <w14:solidFill>
              <w14:schemeClr w14:val="tx1"/>
            </w14:solidFill>
          </w14:textFill>
        </w:rPr>
        <w:t>1.宣传片</w:t>
      </w:r>
    </w:p>
    <w:p>
      <w:pPr>
        <w:spacing w:line="360" w:lineRule="auto"/>
        <w:ind w:firstLine="480" w:firstLineChars="200"/>
        <w:jc w:val="left"/>
        <w:rPr>
          <w:rFonts w:hint="eastAsia" w:ascii="仿宋_GB2312" w:hAnsi="仿宋" w:eastAsia="仿宋_GB2312"/>
          <w:color w:val="000000" w:themeColor="text1"/>
          <w:sz w:val="24"/>
          <w:u w:val="none"/>
          <w:lang w:val="en-US" w:eastAsia="zh-CN"/>
          <w14:textFill>
            <w14:solidFill>
              <w14:schemeClr w14:val="tx1"/>
            </w14:solidFill>
          </w14:textFill>
        </w:rPr>
      </w:pPr>
      <w:r>
        <w:rPr>
          <w:rFonts w:hint="eastAsia" w:ascii="仿宋_GB2312" w:hAnsi="仿宋" w:eastAsia="仿宋_GB2312"/>
          <w:color w:val="000000" w:themeColor="text1"/>
          <w:sz w:val="24"/>
          <w:u w:val="none"/>
          <w:lang w:val="en-US" w:eastAsia="zh-CN"/>
          <w14:textFill>
            <w14:solidFill>
              <w14:schemeClr w14:val="tx1"/>
            </w14:solidFill>
          </w14:textFill>
        </w:rPr>
        <w:t>供应商需提供与主题相关的用于在各种载体上播放的活动前期宣传片不少于2个，每个宣传片时长不少于30秒;同时供应商需提供与主题相关的大屏动态素材制作和启动仪式时播放的视频,要求精美、创新、与主题相契合。</w:t>
      </w:r>
    </w:p>
    <w:p>
      <w:pPr>
        <w:spacing w:line="360" w:lineRule="auto"/>
        <w:ind w:firstLine="480" w:firstLineChars="200"/>
        <w:jc w:val="left"/>
        <w:rPr>
          <w:rFonts w:hint="default" w:ascii="仿宋_GB2312" w:hAnsi="仿宋" w:eastAsia="仿宋_GB2312"/>
          <w:color w:val="000000" w:themeColor="text1"/>
          <w:sz w:val="24"/>
          <w:u w:val="none"/>
          <w:lang w:val="en-US" w:eastAsia="zh-CN"/>
          <w14:textFill>
            <w14:solidFill>
              <w14:schemeClr w14:val="tx1"/>
            </w14:solidFill>
          </w14:textFill>
        </w:rPr>
      </w:pPr>
      <w:r>
        <w:rPr>
          <w:rFonts w:hint="eastAsia" w:ascii="仿宋_GB2312" w:hAnsi="仿宋" w:eastAsia="仿宋_GB2312"/>
          <w:color w:val="000000" w:themeColor="text1"/>
          <w:sz w:val="24"/>
          <w:u w:val="none"/>
          <w:lang w:val="en-US" w:eastAsia="zh-CN"/>
          <w14:textFill>
            <w14:solidFill>
              <w14:schemeClr w14:val="tx1"/>
            </w14:solidFill>
          </w14:textFill>
        </w:rPr>
        <w:t>2.活动视频</w:t>
      </w:r>
    </w:p>
    <w:p>
      <w:pPr>
        <w:spacing w:line="360" w:lineRule="auto"/>
        <w:ind w:firstLine="480" w:firstLineChars="200"/>
        <w:jc w:val="left"/>
        <w:rPr>
          <w:rFonts w:hint="eastAsia" w:ascii="仿宋_GB2312" w:hAnsi="仿宋" w:eastAsia="仿宋_GB2312"/>
          <w:color w:val="000000" w:themeColor="text1"/>
          <w:sz w:val="24"/>
          <w:u w:val="none"/>
          <w:lang w:val="en-US" w:eastAsia="zh-CN"/>
          <w14:textFill>
            <w14:solidFill>
              <w14:schemeClr w14:val="tx1"/>
            </w14:solidFill>
          </w14:textFill>
        </w:rPr>
      </w:pPr>
      <w:r>
        <w:rPr>
          <w:rFonts w:hint="eastAsia" w:ascii="仿宋_GB2312" w:hAnsi="仿宋" w:eastAsia="仿宋_GB2312"/>
          <w:color w:val="000000" w:themeColor="text1"/>
          <w:sz w:val="24"/>
          <w:u w:val="none"/>
          <w:lang w:val="en-US" w:eastAsia="zh-CN"/>
          <w14:textFill>
            <w14:solidFill>
              <w14:schemeClr w14:val="tx1"/>
            </w14:solidFill>
          </w14:textFill>
        </w:rPr>
        <w:t>供应商需为本次活动提供现场拍摄及多机位切换，相机参数不少于一千万像素以上全面幅单反相机，要求多机位、多角度、多场景拍摄，拍摄内容包含大、小场景、特写及花絮。</w:t>
      </w:r>
    </w:p>
    <w:p>
      <w:pPr>
        <w:numPr>
          <w:ilvl w:val="0"/>
          <w:numId w:val="0"/>
        </w:numPr>
        <w:spacing w:line="360" w:lineRule="auto"/>
        <w:ind w:firstLine="480"/>
        <w:rPr>
          <w:rFonts w:hint="default"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供应商需对整场活动拍摄的视频素材进行后期制作，按（多机位非线编辑，分辨率不低于1920X1080，码率不低于8M）标准来完成，提供不少于3个视频剪辑成片，提供整场活动的演出全程视频和精简视频，精简视频时长不少于180秒，以上视频版权归采购人所有。</w:t>
      </w:r>
    </w:p>
    <w:p>
      <w:pPr>
        <w:numPr>
          <w:ilvl w:val="0"/>
          <w:numId w:val="0"/>
        </w:numPr>
        <w:spacing w:line="360" w:lineRule="auto"/>
        <w:ind w:firstLine="480"/>
        <w:rPr>
          <w:rFonts w:hint="eastAsia"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（四）活动保障</w:t>
      </w:r>
    </w:p>
    <w:p>
      <w:pPr>
        <w:spacing w:line="360" w:lineRule="auto"/>
        <w:ind w:firstLine="480" w:firstLineChars="200"/>
        <w:rPr>
          <w:rFonts w:hint="eastAsia" w:ascii="仿宋_GB2312" w:hAnsi="仿宋" w:eastAsia="仿宋_GB2312" w:cs="Times New Roman"/>
          <w:color w:val="000000" w:themeColor="text1"/>
          <w:sz w:val="24"/>
          <w14:textFill>
            <w14:solidFill>
              <w14:schemeClr w14:val="tx1"/>
            </w14:solidFill>
          </w14:textFill>
        </w:rPr>
      </w:pPr>
      <w:r>
        <w:rPr>
          <w:rFonts w:hint="eastAsia" w:ascii="仿宋_GB2312" w:hAnsi="仿宋" w:eastAsia="仿宋_GB2312" w:cs="Times New Roman"/>
          <w:color w:val="000000" w:themeColor="text1"/>
          <w:sz w:val="24"/>
          <w14:textFill>
            <w14:solidFill>
              <w14:schemeClr w14:val="tx1"/>
            </w14:solidFill>
          </w14:textFill>
        </w:rPr>
        <w:t>供应商需邀请不少于</w:t>
      </w:r>
      <w:r>
        <w:rPr>
          <w:rFonts w:hint="eastAsia" w:ascii="仿宋_GB2312" w:hAnsi="仿宋" w:eastAsia="仿宋_GB2312" w:cs="Times New Roman"/>
          <w:color w:val="000000" w:themeColor="text1"/>
          <w:sz w:val="24"/>
          <w:lang w:val="en-US" w:eastAsia="zh-CN"/>
          <w14:textFill>
            <w14:solidFill>
              <w14:schemeClr w14:val="tx1"/>
            </w14:solidFill>
          </w14:textFill>
        </w:rPr>
        <w:t>1</w:t>
      </w:r>
      <w:r>
        <w:rPr>
          <w:rFonts w:hint="eastAsia" w:ascii="仿宋_GB2312" w:hAnsi="仿宋" w:eastAsia="仿宋_GB2312" w:cs="Times New Roman"/>
          <w:color w:val="000000" w:themeColor="text1"/>
          <w:sz w:val="24"/>
          <w14:textFill>
            <w14:solidFill>
              <w14:schemeClr w14:val="tx1"/>
            </w14:solidFill>
          </w14:textFill>
        </w:rPr>
        <w:t>名知名主持人，普通话一级甲等，</w:t>
      </w:r>
      <w:r>
        <w:rPr>
          <w:rFonts w:hint="eastAsia" w:ascii="仿宋_GB2312" w:hAnsi="仿宋" w:eastAsia="仿宋_GB2312" w:cs="Times New Roman"/>
          <w:color w:val="000000" w:themeColor="text1"/>
          <w:sz w:val="24"/>
          <w:lang w:eastAsia="zh-CN"/>
          <w14:textFill>
            <w14:solidFill>
              <w14:schemeClr w14:val="tx1"/>
            </w14:solidFill>
          </w14:textFill>
        </w:rPr>
        <w:t>有过省</w:t>
      </w:r>
      <w:r>
        <w:rPr>
          <w:rFonts w:hint="eastAsia" w:ascii="仿宋_GB2312" w:hAnsi="仿宋" w:eastAsia="仿宋_GB2312" w:cs="Times New Roman"/>
          <w:color w:val="000000" w:themeColor="text1"/>
          <w:sz w:val="24"/>
          <w14:textFill>
            <w14:solidFill>
              <w14:schemeClr w14:val="tx1"/>
            </w14:solidFill>
          </w14:textFill>
        </w:rPr>
        <w:t>、</w:t>
      </w:r>
      <w:r>
        <w:rPr>
          <w:rFonts w:hint="eastAsia" w:ascii="仿宋_GB2312" w:hAnsi="仿宋" w:eastAsia="仿宋_GB2312" w:cs="Times New Roman"/>
          <w:color w:val="000000" w:themeColor="text1"/>
          <w:sz w:val="24"/>
          <w:lang w:eastAsia="zh-CN"/>
          <w14:textFill>
            <w14:solidFill>
              <w14:schemeClr w14:val="tx1"/>
            </w14:solidFill>
          </w14:textFill>
        </w:rPr>
        <w:t>市广播电视台大型活动经验，</w:t>
      </w:r>
      <w:r>
        <w:rPr>
          <w:rFonts w:hint="eastAsia" w:ascii="仿宋_GB2312" w:hAnsi="仿宋" w:eastAsia="仿宋_GB2312" w:cs="Times New Roman"/>
          <w:color w:val="000000" w:themeColor="text1"/>
          <w:sz w:val="24"/>
          <w14:textFill>
            <w14:solidFill>
              <w14:schemeClr w14:val="tx1"/>
            </w14:solidFill>
          </w14:textFill>
        </w:rPr>
        <w:t>主持人人选需征得采购人同意。</w:t>
      </w:r>
    </w:p>
    <w:p>
      <w:pPr>
        <w:spacing w:line="360" w:lineRule="auto"/>
        <w:ind w:firstLine="480" w:firstLineChars="200"/>
        <w:rPr>
          <w:rFonts w:hint="default" w:ascii="仿宋_GB2312" w:hAnsi="仿宋" w:eastAsia="仿宋_GB2312" w:cs="Times New Roman"/>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供应商需对整场活动拍摄的视频素材进行后期制作，按</w:t>
      </w:r>
      <w:r>
        <w:rPr>
          <w:rFonts w:hint="eastAsia" w:ascii="仿宋_GB2312" w:hAnsi="仿宋" w:eastAsia="仿宋_GB2312"/>
          <w:color w:val="000000" w:themeColor="text1"/>
          <w:sz w:val="24"/>
          <w:lang w:val="en-US" w:eastAsia="zh-CN"/>
          <w14:textFill>
            <w14:solidFill>
              <w14:schemeClr w14:val="tx1"/>
            </w14:solidFill>
          </w14:textFill>
        </w:rPr>
        <w:t>相关行业</w:t>
      </w:r>
      <w:r>
        <w:rPr>
          <w:rFonts w:hint="eastAsia" w:ascii="仿宋_GB2312" w:hAnsi="仿宋" w:eastAsia="仿宋_GB2312"/>
          <w:color w:val="000000" w:themeColor="text1"/>
          <w:sz w:val="24"/>
          <w14:textFill>
            <w14:solidFill>
              <w14:schemeClr w14:val="tx1"/>
            </w14:solidFill>
          </w14:textFill>
        </w:rPr>
        <w:t>标准来完成，</w:t>
      </w:r>
      <w:r>
        <w:rPr>
          <w:rFonts w:hint="eastAsia" w:ascii="仿宋_GB2312" w:hAnsi="仿宋" w:eastAsia="仿宋_GB2312"/>
          <w:color w:val="000000" w:themeColor="text1"/>
          <w:sz w:val="24"/>
          <w:lang w:val="en-US" w:eastAsia="zh-CN"/>
          <w14:textFill>
            <w14:solidFill>
              <w14:schemeClr w14:val="tx1"/>
            </w14:solidFill>
          </w14:textFill>
        </w:rPr>
        <w:t>并</w:t>
      </w:r>
      <w:r>
        <w:rPr>
          <w:rFonts w:hint="eastAsia" w:ascii="仿宋_GB2312" w:hAnsi="仿宋" w:eastAsia="仿宋_GB2312"/>
          <w:color w:val="000000" w:themeColor="text1"/>
          <w:sz w:val="24"/>
          <w14:textFill>
            <w14:solidFill>
              <w14:schemeClr w14:val="tx1"/>
            </w14:solidFill>
          </w14:textFill>
        </w:rPr>
        <w:t>提供</w:t>
      </w:r>
      <w:r>
        <w:rPr>
          <w:rFonts w:hint="eastAsia" w:ascii="仿宋_GB2312" w:hAnsi="仿宋" w:eastAsia="仿宋_GB2312"/>
          <w:color w:val="000000" w:themeColor="text1"/>
          <w:sz w:val="24"/>
          <w:lang w:val="en-US" w:eastAsia="zh-CN"/>
          <w14:textFill>
            <w14:solidFill>
              <w14:schemeClr w14:val="tx1"/>
            </w14:solidFill>
          </w14:textFill>
        </w:rPr>
        <w:t>拍摄图片或</w:t>
      </w:r>
      <w:r>
        <w:rPr>
          <w:rFonts w:hint="eastAsia" w:ascii="仿宋_GB2312" w:hAnsi="仿宋" w:eastAsia="仿宋_GB2312"/>
          <w:color w:val="000000" w:themeColor="text1"/>
          <w:sz w:val="24"/>
          <w14:textFill>
            <w14:solidFill>
              <w14:schemeClr w14:val="tx1"/>
            </w14:solidFill>
          </w14:textFill>
        </w:rPr>
        <w:t>视频剪辑成片，提供整场活动的</w:t>
      </w:r>
      <w:r>
        <w:rPr>
          <w:rFonts w:hint="eastAsia" w:ascii="仿宋_GB2312" w:hAnsi="仿宋" w:eastAsia="仿宋_GB2312"/>
          <w:color w:val="000000" w:themeColor="text1"/>
          <w:sz w:val="24"/>
          <w:lang w:val="en-US" w:eastAsia="zh-CN"/>
          <w14:textFill>
            <w14:solidFill>
              <w14:schemeClr w14:val="tx1"/>
            </w14:solidFill>
          </w14:textFill>
        </w:rPr>
        <w:t>图片及</w:t>
      </w:r>
      <w:r>
        <w:rPr>
          <w:rFonts w:hint="eastAsia" w:ascii="仿宋_GB2312" w:hAnsi="仿宋" w:eastAsia="仿宋_GB2312"/>
          <w:color w:val="000000" w:themeColor="text1"/>
          <w:sz w:val="24"/>
          <w14:textFill>
            <w14:solidFill>
              <w14:schemeClr w14:val="tx1"/>
            </w14:solidFill>
          </w14:textFill>
        </w:rPr>
        <w:t>视频版权归采购人所有</w:t>
      </w:r>
      <w:r>
        <w:rPr>
          <w:rFonts w:hint="eastAsia" w:ascii="仿宋_GB2312" w:hAnsi="仿宋" w:eastAsia="仿宋_GB2312"/>
          <w:color w:val="000000" w:themeColor="text1"/>
          <w:sz w:val="24"/>
          <w:lang w:eastAsia="zh-CN"/>
          <w14:textFill>
            <w14:solidFill>
              <w14:schemeClr w14:val="tx1"/>
            </w14:solidFill>
          </w14:textFill>
        </w:rPr>
        <w:t>。</w:t>
      </w:r>
    </w:p>
    <w:p>
      <w:pPr>
        <w:widowControl/>
        <w:spacing w:line="360" w:lineRule="auto"/>
        <w:ind w:firstLine="480" w:firstLineChars="200"/>
        <w:jc w:val="left"/>
        <w:rPr>
          <w:rFonts w:hint="eastAsia" w:ascii="仿宋_GB2312" w:hAnsi="仿宋" w:eastAsia="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供应商保证活动场地在活动期间顺利使用，如涉及活动场地费用和为满足活动顺利进行的电力供应等相关的费用由供应商承担。</w:t>
      </w:r>
    </w:p>
    <w:p>
      <w:pPr>
        <w:spacing w:line="360" w:lineRule="auto"/>
        <w:ind w:firstLine="480" w:firstLineChars="200"/>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供应商</w:t>
      </w:r>
      <w:r>
        <w:rPr>
          <w:rFonts w:hint="eastAsia" w:ascii="仿宋_GB2312" w:hAnsi="仿宋" w:eastAsia="仿宋_GB2312"/>
          <w:color w:val="000000" w:themeColor="text1"/>
          <w:sz w:val="24"/>
          <w:lang w:val="en-US" w:eastAsia="zh-CN"/>
          <w14:textFill>
            <w14:solidFill>
              <w14:schemeClr w14:val="tx1"/>
            </w14:solidFill>
          </w14:textFill>
        </w:rPr>
        <w:t>应</w:t>
      </w:r>
      <w:r>
        <w:rPr>
          <w:rFonts w:hint="eastAsia" w:ascii="仿宋_GB2312" w:hAnsi="仿宋" w:eastAsia="仿宋_GB2312"/>
          <w:color w:val="000000" w:themeColor="text1"/>
          <w:sz w:val="24"/>
          <w14:textFill>
            <w14:solidFill>
              <w14:schemeClr w14:val="tx1"/>
            </w14:solidFill>
          </w14:textFill>
        </w:rPr>
        <w:t>保证活动场地在活动期间顺利使用，应采取有效措施保障</w:t>
      </w:r>
      <w:r>
        <w:rPr>
          <w:rFonts w:hint="eastAsia" w:ascii="仿宋_GB2312" w:hAnsi="仿宋" w:eastAsia="仿宋_GB2312"/>
          <w:color w:val="000000" w:themeColor="text1"/>
          <w:sz w:val="24"/>
          <w:lang w:val="en-US" w:eastAsia="zh-CN"/>
          <w14:textFill>
            <w14:solidFill>
              <w14:schemeClr w14:val="tx1"/>
            </w14:solidFill>
          </w14:textFill>
        </w:rPr>
        <w:t>嘉宾、邀约演员</w:t>
      </w:r>
      <w:r>
        <w:rPr>
          <w:rFonts w:hint="eastAsia" w:ascii="仿宋_GB2312" w:hAnsi="仿宋" w:eastAsia="仿宋_GB2312"/>
          <w:color w:val="000000" w:themeColor="text1"/>
          <w:sz w:val="24"/>
          <w14:textFill>
            <w14:solidFill>
              <w14:schemeClr w14:val="tx1"/>
            </w14:solidFill>
          </w14:textFill>
        </w:rPr>
        <w:t>及相关工作人员的人身财产安全，维护活动正常秩序，包括</w:t>
      </w:r>
      <w:r>
        <w:rPr>
          <w:rFonts w:hint="eastAsia" w:ascii="仿宋_GB2312" w:hAnsi="仿宋" w:eastAsia="仿宋_GB2312"/>
          <w:color w:val="000000" w:themeColor="text1"/>
          <w:sz w:val="24"/>
          <w:lang w:val="en-US" w:eastAsia="zh-CN"/>
          <w14:textFill>
            <w14:solidFill>
              <w14:schemeClr w14:val="tx1"/>
            </w14:solidFill>
          </w14:textFill>
        </w:rPr>
        <w:t>对现</w:t>
      </w:r>
      <w:r>
        <w:rPr>
          <w:rFonts w:hint="eastAsia" w:ascii="仿宋_GB2312" w:hAnsi="仿宋" w:eastAsia="仿宋_GB2312"/>
          <w:color w:val="000000" w:themeColor="text1"/>
          <w:sz w:val="24"/>
          <w14:textFill>
            <w14:solidFill>
              <w14:schemeClr w14:val="tx1"/>
            </w14:solidFill>
          </w14:textFill>
        </w:rPr>
        <w:t>场观众突发状况的应急处理。在活动期间由于供应商原因造成的一切人身伤亡、财产损失、经济纠纷均由供应商承担，采购人不承担任何责任。</w:t>
      </w:r>
    </w:p>
    <w:p>
      <w:pPr>
        <w:widowControl/>
        <w:spacing w:line="360" w:lineRule="auto"/>
        <w:ind w:firstLine="480" w:firstLineChars="200"/>
        <w:jc w:val="left"/>
        <w:rPr>
          <w:rFonts w:hint="eastAsia" w:ascii="仿宋_GB2312" w:hAnsi="仿宋" w:eastAsia="仿宋_GB2312"/>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供应商负责按计划保障活动的顺畅进行，包括到场观众的秩序及突发状况的应急处理。</w:t>
      </w:r>
    </w:p>
    <w:p>
      <w:pPr>
        <w:spacing w:line="360" w:lineRule="auto"/>
        <w:ind w:firstLine="480" w:firstLineChars="200"/>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供应商在活动中对采购人提出的整改意见应及时处理、改正，达到采购人对活动的要求。</w:t>
      </w:r>
    </w:p>
    <w:p>
      <w:pPr>
        <w:spacing w:line="360" w:lineRule="auto"/>
        <w:ind w:firstLine="482" w:firstLineChars="200"/>
        <w:rPr>
          <w:rFonts w:hint="eastAsia" w:ascii="仿宋_GB2312" w:hAnsi="仿宋" w:eastAsia="仿宋_GB2312" w:cs="Times New Roman"/>
          <w:b/>
          <w:bCs/>
          <w:color w:val="000000" w:themeColor="text1"/>
          <w:sz w:val="24"/>
          <w14:textFill>
            <w14:solidFill>
              <w14:schemeClr w14:val="tx1"/>
            </w14:solidFill>
          </w14:textFill>
        </w:rPr>
      </w:pPr>
      <w:r>
        <w:rPr>
          <w:rFonts w:hint="eastAsia" w:ascii="仿宋_GB2312" w:hAnsi="仿宋" w:eastAsia="仿宋_GB2312" w:cs="Times New Roman"/>
          <w:b/>
          <w:bCs/>
          <w:color w:val="000000" w:themeColor="text1"/>
          <w:sz w:val="24"/>
          <w14:textFill>
            <w14:solidFill>
              <w14:schemeClr w14:val="tx1"/>
            </w14:solidFill>
          </w14:textFill>
        </w:rPr>
        <w:t>（</w:t>
      </w:r>
      <w:r>
        <w:rPr>
          <w:rFonts w:hint="eastAsia" w:ascii="仿宋_GB2312" w:hAnsi="仿宋" w:eastAsia="仿宋_GB2312" w:cs="Times New Roman"/>
          <w:b/>
          <w:bCs/>
          <w:color w:val="000000" w:themeColor="text1"/>
          <w:sz w:val="24"/>
          <w:lang w:val="en-US" w:eastAsia="zh-CN"/>
          <w14:textFill>
            <w14:solidFill>
              <w14:schemeClr w14:val="tx1"/>
            </w14:solidFill>
          </w14:textFill>
        </w:rPr>
        <w:t>四</w:t>
      </w:r>
      <w:r>
        <w:rPr>
          <w:rFonts w:hint="eastAsia" w:ascii="仿宋_GB2312" w:hAnsi="仿宋" w:eastAsia="仿宋_GB2312" w:cs="Times New Roman"/>
          <w:b/>
          <w:bCs/>
          <w:color w:val="000000" w:themeColor="text1"/>
          <w:sz w:val="24"/>
          <w14:textFill>
            <w14:solidFill>
              <w14:schemeClr w14:val="tx1"/>
            </w14:solidFill>
          </w14:textFill>
        </w:rPr>
        <w:t>）工作进度</w:t>
      </w:r>
    </w:p>
    <w:p>
      <w:pPr>
        <w:spacing w:line="360" w:lineRule="auto"/>
        <w:ind w:firstLine="480" w:firstLineChars="200"/>
        <w:rPr>
          <w:rFonts w:hint="eastAsia" w:ascii="仿宋_GB2312" w:hAnsi="仿宋" w:eastAsia="仿宋_GB2312" w:cs="Times New Roman"/>
          <w:color w:val="000000" w:themeColor="text1"/>
          <w:sz w:val="24"/>
          <w14:textFill>
            <w14:solidFill>
              <w14:schemeClr w14:val="tx1"/>
            </w14:solidFill>
          </w14:textFill>
        </w:rPr>
      </w:pPr>
      <w:r>
        <w:rPr>
          <w:rFonts w:hint="eastAsia" w:ascii="仿宋_GB2312" w:hAnsi="仿宋" w:eastAsia="仿宋_GB2312" w:cs="Times New Roman"/>
          <w:color w:val="000000" w:themeColor="text1"/>
          <w:sz w:val="24"/>
          <w14:textFill>
            <w14:solidFill>
              <w14:schemeClr w14:val="tx1"/>
            </w14:solidFill>
          </w14:textFill>
        </w:rPr>
        <w:t>全部准备工作于活动开始前</w:t>
      </w:r>
      <w:r>
        <w:rPr>
          <w:rFonts w:hint="eastAsia" w:ascii="仿宋_GB2312" w:hAnsi="仿宋" w:eastAsia="仿宋_GB2312" w:cs="Times New Roman"/>
          <w:color w:val="000000" w:themeColor="text1"/>
          <w:sz w:val="24"/>
          <w:lang w:val="en-US" w:eastAsia="zh-CN"/>
          <w14:textFill>
            <w14:solidFill>
              <w14:schemeClr w14:val="tx1"/>
            </w14:solidFill>
          </w14:textFill>
        </w:rPr>
        <w:t>1</w:t>
      </w:r>
      <w:r>
        <w:rPr>
          <w:rFonts w:hint="eastAsia" w:ascii="仿宋_GB2312" w:hAnsi="仿宋" w:eastAsia="仿宋_GB2312" w:cs="Times New Roman"/>
          <w:color w:val="000000" w:themeColor="text1"/>
          <w:sz w:val="24"/>
          <w14:textFill>
            <w14:solidFill>
              <w14:schemeClr w14:val="tx1"/>
            </w14:solidFill>
          </w14:textFill>
        </w:rPr>
        <w:t>天完成，并通过采购人组织的验收</w:t>
      </w:r>
      <w:r>
        <w:rPr>
          <w:rFonts w:hint="eastAsia" w:ascii="仿宋_GB2312" w:hAnsi="仿宋" w:eastAsia="仿宋_GB2312" w:cs="Times New Roman"/>
          <w:color w:val="000000" w:themeColor="text1"/>
          <w:sz w:val="24"/>
          <w:lang w:eastAsia="zh-CN"/>
          <w14:textFill>
            <w14:solidFill>
              <w14:schemeClr w14:val="tx1"/>
            </w14:solidFill>
          </w14:textFill>
        </w:rPr>
        <w:t>，</w:t>
      </w:r>
      <w:r>
        <w:rPr>
          <w:rFonts w:hint="eastAsia" w:ascii="仿宋_GB2312" w:hAnsi="仿宋" w:eastAsia="仿宋_GB2312" w:cs="Times New Roman"/>
          <w:color w:val="000000" w:themeColor="text1"/>
          <w:sz w:val="24"/>
          <w14:textFill>
            <w14:solidFill>
              <w14:schemeClr w14:val="tx1"/>
            </w14:solidFill>
          </w14:textFill>
        </w:rPr>
        <w:t>供应商要</w:t>
      </w:r>
      <w:r>
        <w:rPr>
          <w:rFonts w:hint="eastAsia" w:ascii="仿宋_GB2312" w:hAnsi="仿宋" w:eastAsia="仿宋_GB2312" w:cs="Times New Roman"/>
          <w:color w:val="000000" w:themeColor="text1"/>
          <w:sz w:val="24"/>
          <w:lang w:val="en-US" w:eastAsia="zh-CN"/>
          <w14:textFill>
            <w14:solidFill>
              <w14:schemeClr w14:val="tx1"/>
            </w14:solidFill>
          </w14:textFill>
        </w:rPr>
        <w:t>需</w:t>
      </w:r>
      <w:r>
        <w:rPr>
          <w:rFonts w:hint="eastAsia" w:ascii="仿宋_GB2312" w:hAnsi="仿宋" w:eastAsia="仿宋_GB2312" w:cs="Times New Roman"/>
          <w:color w:val="000000" w:themeColor="text1"/>
          <w:sz w:val="24"/>
          <w14:textFill>
            <w14:solidFill>
              <w14:schemeClr w14:val="tx1"/>
            </w14:solidFill>
          </w14:textFill>
        </w:rPr>
        <w:t>按照采购人提出的合理意见进行整改。</w:t>
      </w:r>
    </w:p>
    <w:p>
      <w:pPr>
        <w:rPr>
          <w:rFonts w:hint="eastAsia" w:ascii="仿宋" w:hAnsi="仿宋" w:eastAsia="仿宋"/>
          <w:color w:val="auto"/>
          <w:sz w:val="24"/>
          <w:highlight w:val="none"/>
        </w:rPr>
      </w:pPr>
      <w:r>
        <w:rPr>
          <w:rFonts w:hint="eastAsia" w:ascii="仿宋" w:hAnsi="仿宋" w:eastAsia="仿宋"/>
          <w:color w:val="auto"/>
          <w:sz w:val="24"/>
          <w:highlight w:val="none"/>
        </w:rPr>
        <w:br w:type="page"/>
      </w:r>
    </w:p>
    <w:p>
      <w:pPr>
        <w:pStyle w:val="3"/>
        <w:rPr>
          <w:rFonts w:hint="eastAsia"/>
          <w:color w:val="auto"/>
          <w:highlight w:val="none"/>
          <w:lang w:val="zh-CN"/>
        </w:rPr>
      </w:pPr>
    </w:p>
    <w:p>
      <w:pPr>
        <w:pStyle w:val="2"/>
        <w:spacing w:before="0" w:after="0" w:line="500" w:lineRule="exact"/>
        <w:rPr>
          <w:rFonts w:ascii="宋体" w:hAnsi="宋体" w:cs="宋体"/>
          <w:color w:val="auto"/>
          <w:szCs w:val="22"/>
          <w:highlight w:val="none"/>
          <w:lang w:val="zh-CN"/>
        </w:rPr>
      </w:pPr>
      <w:r>
        <w:rPr>
          <w:rFonts w:hint="eastAsia" w:ascii="宋体" w:hAnsi="宋体" w:cs="宋体"/>
          <w:color w:val="auto"/>
          <w:szCs w:val="22"/>
          <w:highlight w:val="none"/>
          <w:lang w:val="zh-CN"/>
        </w:rPr>
        <w:t>第六章</w:t>
      </w:r>
      <w:r>
        <w:rPr>
          <w:rFonts w:hint="eastAsia" w:ascii="宋体" w:hAnsi="宋体" w:cs="宋体"/>
          <w:color w:val="auto"/>
          <w:szCs w:val="22"/>
          <w:highlight w:val="none"/>
        </w:rPr>
        <w:t xml:space="preserve"> </w:t>
      </w:r>
      <w:r>
        <w:rPr>
          <w:rFonts w:hint="eastAsia" w:ascii="宋体" w:hAnsi="宋体" w:cs="宋体"/>
          <w:color w:val="auto"/>
          <w:szCs w:val="22"/>
          <w:highlight w:val="none"/>
          <w:lang w:val="zh-CN"/>
        </w:rPr>
        <w:t>响应文件构成、要求及格式</w:t>
      </w:r>
      <w:bookmarkEnd w:id="48"/>
      <w:bookmarkEnd w:id="49"/>
      <w:bookmarkEnd w:id="50"/>
      <w:bookmarkEnd w:id="51"/>
      <w:bookmarkEnd w:id="52"/>
      <w:bookmarkEnd w:id="53"/>
      <w:bookmarkEnd w:id="54"/>
    </w:p>
    <w:p>
      <w:pPr>
        <w:pStyle w:val="2"/>
        <w:spacing w:before="0" w:after="0" w:line="500" w:lineRule="exact"/>
        <w:rPr>
          <w:rFonts w:ascii="宋体" w:hAnsi="宋体" w:cs="宋体"/>
          <w:color w:val="auto"/>
          <w:sz w:val="32"/>
          <w:szCs w:val="32"/>
          <w:highlight w:val="none"/>
          <w:lang w:val="zh-CN"/>
        </w:rPr>
      </w:pPr>
      <w:r>
        <w:rPr>
          <w:rFonts w:hint="eastAsia" w:ascii="宋体" w:hAnsi="宋体" w:cs="宋体"/>
          <w:color w:val="auto"/>
          <w:szCs w:val="22"/>
          <w:highlight w:val="none"/>
          <w:lang w:val="zh-CN"/>
        </w:rPr>
        <w:t>（此格式仅供参考）</w:t>
      </w:r>
    </w:p>
    <w:p>
      <w:pPr>
        <w:autoSpaceDE w:val="0"/>
        <w:autoSpaceDN w:val="0"/>
        <w:adjustRightInd w:val="0"/>
        <w:spacing w:line="500" w:lineRule="exact"/>
        <w:rPr>
          <w:rFonts w:ascii="宋体" w:hAnsi="宋体" w:cs="宋体"/>
          <w:b/>
          <w:color w:val="auto"/>
          <w:sz w:val="28"/>
          <w:highlight w:val="none"/>
          <w:lang w:val="zh-CN"/>
        </w:rPr>
      </w:pPr>
    </w:p>
    <w:p>
      <w:pPr>
        <w:rPr>
          <w:rFonts w:ascii="宋体" w:hAnsi="宋体" w:cs="宋体"/>
          <w:color w:val="auto"/>
          <w:highlight w:val="none"/>
        </w:rPr>
      </w:pPr>
      <w:r>
        <w:rPr>
          <w:rFonts w:ascii="宋体" w:hAnsi="宋体" w:cs="宋体"/>
          <w:color w:val="auto"/>
          <w:highlight w:val="none"/>
        </w:rPr>
        <w:br w:type="page"/>
      </w:r>
    </w:p>
    <w:p>
      <w:pPr>
        <w:autoSpaceDE w:val="0"/>
        <w:autoSpaceDN w:val="0"/>
        <w:adjustRightInd w:val="0"/>
        <w:spacing w:line="500" w:lineRule="exact"/>
        <w:jc w:val="center"/>
        <w:rPr>
          <w:rFonts w:ascii="宋体" w:hAnsi="宋体" w:cs="宋体"/>
          <w:b/>
          <w:color w:val="auto"/>
          <w:sz w:val="32"/>
          <w:highlight w:val="none"/>
          <w:lang w:val="zh-CN"/>
        </w:rPr>
      </w:pPr>
    </w:p>
    <w:p>
      <w:pPr>
        <w:autoSpaceDE w:val="0"/>
        <w:autoSpaceDN w:val="0"/>
        <w:adjustRightInd w:val="0"/>
        <w:spacing w:line="500" w:lineRule="exact"/>
        <w:rPr>
          <w:rFonts w:ascii="宋体" w:hAnsi="宋体" w:cs="宋体"/>
          <w:b/>
          <w:color w:val="auto"/>
          <w:sz w:val="32"/>
          <w:highlight w:val="none"/>
          <w:lang w:val="zh-CN"/>
        </w:rPr>
      </w:pPr>
    </w:p>
    <w:p>
      <w:pPr>
        <w:autoSpaceDE w:val="0"/>
        <w:autoSpaceDN w:val="0"/>
        <w:adjustRightInd w:val="0"/>
        <w:spacing w:line="500" w:lineRule="exact"/>
        <w:jc w:val="right"/>
        <w:rPr>
          <w:rFonts w:ascii="宋体" w:hAnsi="宋体" w:cs="宋体"/>
          <w:b/>
          <w:color w:val="auto"/>
          <w:sz w:val="32"/>
          <w:highlight w:val="none"/>
          <w:lang w:val="zh-CN"/>
        </w:rPr>
      </w:pPr>
      <w:r>
        <w:rPr>
          <w:rFonts w:hint="eastAsia" w:ascii="宋体" w:hAnsi="宋体" w:cs="宋体"/>
          <w:b/>
          <w:color w:val="auto"/>
          <w:sz w:val="32"/>
          <w:highlight w:val="none"/>
          <w:lang w:val="zh-CN"/>
        </w:rPr>
        <w:t>正</w:t>
      </w:r>
      <w:r>
        <w:rPr>
          <w:rFonts w:hint="eastAsia" w:ascii="宋体" w:hAnsi="宋体" w:cs="宋体"/>
          <w:b/>
          <w:color w:val="auto"/>
          <w:sz w:val="32"/>
          <w:highlight w:val="none"/>
        </w:rPr>
        <w:t>/</w:t>
      </w:r>
      <w:r>
        <w:rPr>
          <w:rFonts w:hint="eastAsia" w:ascii="宋体" w:hAnsi="宋体" w:cs="宋体"/>
          <w:b/>
          <w:color w:val="auto"/>
          <w:sz w:val="32"/>
          <w:highlight w:val="none"/>
          <w:lang w:val="zh-CN"/>
        </w:rPr>
        <w:t>副本</w:t>
      </w:r>
    </w:p>
    <w:p>
      <w:pPr>
        <w:autoSpaceDE w:val="0"/>
        <w:autoSpaceDN w:val="0"/>
        <w:adjustRightInd w:val="0"/>
        <w:spacing w:line="500" w:lineRule="exact"/>
        <w:jc w:val="center"/>
        <w:outlineLvl w:val="0"/>
        <w:rPr>
          <w:rFonts w:ascii="宋体" w:hAnsi="宋体" w:cs="宋体"/>
          <w:color w:val="auto"/>
          <w:sz w:val="36"/>
          <w:szCs w:val="18"/>
          <w:highlight w:val="none"/>
          <w:lang w:val="zh-CN"/>
        </w:rPr>
      </w:pPr>
      <w:bookmarkStart w:id="59" w:name="_Toc31415"/>
      <w:bookmarkStart w:id="60" w:name="_Toc12777"/>
      <w:bookmarkStart w:id="61" w:name="_Toc23926"/>
    </w:p>
    <w:p>
      <w:pPr>
        <w:autoSpaceDE w:val="0"/>
        <w:autoSpaceDN w:val="0"/>
        <w:adjustRightInd w:val="0"/>
        <w:spacing w:line="500" w:lineRule="exact"/>
        <w:jc w:val="center"/>
        <w:outlineLvl w:val="0"/>
        <w:rPr>
          <w:rFonts w:ascii="宋体" w:hAnsi="宋体" w:cs="宋体"/>
          <w:color w:val="auto"/>
          <w:sz w:val="36"/>
          <w:szCs w:val="18"/>
          <w:highlight w:val="none"/>
          <w:lang w:val="zh-CN"/>
        </w:rPr>
      </w:pPr>
      <w:r>
        <w:rPr>
          <w:rFonts w:hint="eastAsia" w:ascii="宋体" w:hAnsi="宋体" w:cs="宋体"/>
          <w:color w:val="auto"/>
          <w:sz w:val="36"/>
          <w:szCs w:val="18"/>
          <w:highlight w:val="none"/>
          <w:lang w:val="zh-CN"/>
        </w:rPr>
        <w:t>(项目名称)</w:t>
      </w:r>
      <w:bookmarkEnd w:id="59"/>
      <w:bookmarkEnd w:id="60"/>
      <w:bookmarkEnd w:id="61"/>
    </w:p>
    <w:p>
      <w:pPr>
        <w:autoSpaceDE w:val="0"/>
        <w:autoSpaceDN w:val="0"/>
        <w:adjustRightInd w:val="0"/>
        <w:spacing w:line="360" w:lineRule="auto"/>
        <w:jc w:val="center"/>
        <w:rPr>
          <w:rFonts w:ascii="宋体" w:hAnsi="宋体" w:cs="宋体"/>
          <w:color w:val="auto"/>
          <w:szCs w:val="18"/>
          <w:highlight w:val="none"/>
          <w:lang w:val="zh-CN"/>
        </w:rPr>
      </w:pPr>
    </w:p>
    <w:p>
      <w:pPr>
        <w:autoSpaceDE w:val="0"/>
        <w:autoSpaceDN w:val="0"/>
        <w:adjustRightInd w:val="0"/>
        <w:jc w:val="center"/>
        <w:rPr>
          <w:rFonts w:ascii="宋体" w:hAnsi="宋体" w:cs="宋体"/>
          <w:color w:val="auto"/>
          <w:sz w:val="52"/>
          <w:szCs w:val="18"/>
          <w:highlight w:val="none"/>
          <w:lang w:val="zh-CN"/>
        </w:rPr>
      </w:pPr>
    </w:p>
    <w:p>
      <w:pPr>
        <w:autoSpaceDE w:val="0"/>
        <w:autoSpaceDN w:val="0"/>
        <w:adjustRightInd w:val="0"/>
        <w:jc w:val="center"/>
        <w:rPr>
          <w:rFonts w:ascii="宋体" w:hAnsi="宋体" w:cs="宋体"/>
          <w:color w:val="auto"/>
          <w:sz w:val="52"/>
          <w:szCs w:val="18"/>
          <w:highlight w:val="none"/>
          <w:lang w:val="zh-CN"/>
        </w:rPr>
      </w:pPr>
    </w:p>
    <w:p>
      <w:pPr>
        <w:autoSpaceDE w:val="0"/>
        <w:autoSpaceDN w:val="0"/>
        <w:adjustRightInd w:val="0"/>
        <w:jc w:val="center"/>
        <w:rPr>
          <w:rFonts w:ascii="宋体" w:hAnsi="宋体" w:cs="宋体"/>
          <w:color w:val="auto"/>
          <w:sz w:val="52"/>
          <w:szCs w:val="18"/>
          <w:highlight w:val="none"/>
          <w:lang w:val="zh-CN"/>
        </w:rPr>
      </w:pPr>
    </w:p>
    <w:p>
      <w:pPr>
        <w:autoSpaceDE w:val="0"/>
        <w:autoSpaceDN w:val="0"/>
        <w:adjustRightInd w:val="0"/>
        <w:jc w:val="center"/>
        <w:outlineLvl w:val="0"/>
        <w:rPr>
          <w:rFonts w:ascii="宋体" w:hAnsi="宋体" w:cs="宋体"/>
          <w:color w:val="auto"/>
          <w:sz w:val="52"/>
          <w:szCs w:val="18"/>
          <w:highlight w:val="none"/>
          <w:lang w:val="zh-CN"/>
        </w:rPr>
      </w:pPr>
      <w:r>
        <w:rPr>
          <w:rFonts w:hint="eastAsia" w:ascii="宋体" w:hAnsi="宋体" w:cs="宋体"/>
          <w:color w:val="auto"/>
          <w:sz w:val="52"/>
          <w:szCs w:val="18"/>
          <w:highlight w:val="none"/>
          <w:lang w:val="zh-CN"/>
        </w:rPr>
        <w:t xml:space="preserve"> </w:t>
      </w:r>
      <w:bookmarkStart w:id="62" w:name="_Toc23457"/>
      <w:bookmarkStart w:id="63" w:name="_Toc6067"/>
      <w:bookmarkStart w:id="64" w:name="_Toc29348"/>
      <w:r>
        <w:rPr>
          <w:rFonts w:hint="eastAsia" w:ascii="宋体" w:hAnsi="宋体" w:cs="宋体"/>
          <w:b/>
          <w:bCs/>
          <w:color w:val="auto"/>
          <w:sz w:val="72"/>
          <w:szCs w:val="72"/>
          <w:highlight w:val="none"/>
          <w:lang w:val="zh-CN"/>
        </w:rPr>
        <w:t>响应文件</w:t>
      </w:r>
      <w:bookmarkEnd w:id="62"/>
      <w:bookmarkEnd w:id="63"/>
      <w:bookmarkEnd w:id="64"/>
    </w:p>
    <w:p>
      <w:pPr>
        <w:autoSpaceDE w:val="0"/>
        <w:autoSpaceDN w:val="0"/>
        <w:adjustRightInd w:val="0"/>
        <w:spacing w:line="500" w:lineRule="exact"/>
        <w:jc w:val="center"/>
        <w:rPr>
          <w:rFonts w:ascii="宋体" w:hAnsi="宋体" w:cs="宋体"/>
          <w:color w:val="auto"/>
          <w:szCs w:val="18"/>
          <w:highlight w:val="none"/>
          <w:lang w:val="zh-CN"/>
        </w:rPr>
      </w:pPr>
    </w:p>
    <w:p>
      <w:pPr>
        <w:autoSpaceDE w:val="0"/>
        <w:autoSpaceDN w:val="0"/>
        <w:adjustRightInd w:val="0"/>
        <w:spacing w:line="500" w:lineRule="exact"/>
        <w:jc w:val="center"/>
        <w:rPr>
          <w:rFonts w:ascii="宋体" w:hAnsi="宋体" w:cs="宋体"/>
          <w:color w:val="auto"/>
          <w:szCs w:val="18"/>
          <w:highlight w:val="none"/>
          <w:lang w:val="zh-CN"/>
        </w:rPr>
      </w:pPr>
    </w:p>
    <w:p>
      <w:pPr>
        <w:autoSpaceDE w:val="0"/>
        <w:autoSpaceDN w:val="0"/>
        <w:adjustRightInd w:val="0"/>
        <w:spacing w:line="500" w:lineRule="exact"/>
        <w:jc w:val="center"/>
        <w:rPr>
          <w:rFonts w:ascii="宋体" w:hAnsi="宋体" w:cs="宋体"/>
          <w:color w:val="auto"/>
          <w:szCs w:val="18"/>
          <w:highlight w:val="none"/>
          <w:lang w:val="zh-CN"/>
        </w:rPr>
      </w:pPr>
    </w:p>
    <w:p>
      <w:pPr>
        <w:pStyle w:val="17"/>
        <w:rPr>
          <w:rFonts w:ascii="宋体" w:hAnsi="宋体" w:eastAsia="宋体" w:cs="宋体"/>
          <w:color w:val="auto"/>
          <w:szCs w:val="18"/>
          <w:highlight w:val="none"/>
          <w:lang w:val="zh-CN"/>
        </w:rPr>
      </w:pPr>
    </w:p>
    <w:p>
      <w:pPr>
        <w:pStyle w:val="17"/>
        <w:rPr>
          <w:rFonts w:ascii="宋体" w:hAnsi="宋体" w:eastAsia="宋体" w:cs="宋体"/>
          <w:color w:val="auto"/>
          <w:szCs w:val="18"/>
          <w:highlight w:val="none"/>
          <w:lang w:val="zh-CN"/>
        </w:rPr>
      </w:pPr>
    </w:p>
    <w:p>
      <w:pPr>
        <w:pStyle w:val="17"/>
        <w:rPr>
          <w:rFonts w:ascii="宋体" w:hAnsi="宋体" w:eastAsia="宋体" w:cs="宋体"/>
          <w:color w:val="auto"/>
          <w:szCs w:val="18"/>
          <w:highlight w:val="none"/>
          <w:lang w:val="zh-CN"/>
        </w:rPr>
      </w:pPr>
    </w:p>
    <w:p>
      <w:pPr>
        <w:pStyle w:val="17"/>
        <w:rPr>
          <w:rFonts w:ascii="宋体" w:hAnsi="宋体" w:eastAsia="宋体" w:cs="宋体"/>
          <w:color w:val="auto"/>
          <w:szCs w:val="18"/>
          <w:highlight w:val="none"/>
          <w:lang w:val="zh-CN"/>
        </w:rPr>
      </w:pPr>
    </w:p>
    <w:p>
      <w:pPr>
        <w:pStyle w:val="17"/>
        <w:rPr>
          <w:rFonts w:ascii="宋体" w:hAnsi="宋体" w:eastAsia="宋体" w:cs="宋体"/>
          <w:color w:val="auto"/>
          <w:szCs w:val="18"/>
          <w:highlight w:val="none"/>
          <w:lang w:val="zh-CN"/>
        </w:rPr>
      </w:pPr>
    </w:p>
    <w:p>
      <w:pPr>
        <w:autoSpaceDE w:val="0"/>
        <w:autoSpaceDN w:val="0"/>
        <w:adjustRightInd w:val="0"/>
        <w:spacing w:line="500" w:lineRule="exact"/>
        <w:jc w:val="center"/>
        <w:rPr>
          <w:rFonts w:ascii="宋体" w:hAnsi="宋体" w:cs="宋体"/>
          <w:color w:val="auto"/>
          <w:szCs w:val="18"/>
          <w:highlight w:val="none"/>
          <w:lang w:val="zh-CN"/>
        </w:rPr>
      </w:pPr>
    </w:p>
    <w:p>
      <w:pPr>
        <w:autoSpaceDE w:val="0"/>
        <w:autoSpaceDN w:val="0"/>
        <w:adjustRightInd w:val="0"/>
        <w:spacing w:line="500" w:lineRule="exact"/>
        <w:jc w:val="center"/>
        <w:rPr>
          <w:rFonts w:ascii="宋体" w:hAnsi="宋体" w:cs="宋体"/>
          <w:color w:val="auto"/>
          <w:szCs w:val="18"/>
          <w:highlight w:val="none"/>
          <w:lang w:val="zh-CN"/>
        </w:rPr>
      </w:pPr>
    </w:p>
    <w:p>
      <w:pPr>
        <w:autoSpaceDE w:val="0"/>
        <w:autoSpaceDN w:val="0"/>
        <w:adjustRightInd w:val="0"/>
        <w:spacing w:line="500" w:lineRule="exact"/>
        <w:ind w:firstLine="560" w:firstLineChars="200"/>
        <w:jc w:val="center"/>
        <w:outlineLvl w:val="0"/>
        <w:rPr>
          <w:rFonts w:ascii="宋体" w:hAnsi="宋体" w:cs="宋体"/>
          <w:color w:val="auto"/>
          <w:sz w:val="28"/>
          <w:szCs w:val="18"/>
          <w:highlight w:val="none"/>
          <w:lang w:val="zh-CN"/>
        </w:rPr>
      </w:pPr>
      <w:bookmarkStart w:id="65" w:name="_Toc21356"/>
      <w:bookmarkStart w:id="66" w:name="_Toc14176"/>
      <w:bookmarkStart w:id="67" w:name="_Toc20690"/>
      <w:r>
        <w:rPr>
          <w:rFonts w:hint="eastAsia" w:ascii="宋体" w:hAnsi="宋体" w:cs="宋体"/>
          <w:color w:val="auto"/>
          <w:sz w:val="28"/>
          <w:szCs w:val="18"/>
          <w:highlight w:val="none"/>
          <w:lang w:val="zh-CN"/>
        </w:rPr>
        <w:t>供应商名称</w:t>
      </w:r>
      <w:r>
        <w:rPr>
          <w:rFonts w:hint="eastAsia" w:ascii="宋体" w:hAnsi="宋体" w:cs="宋体"/>
          <w:color w:val="auto"/>
          <w:sz w:val="28"/>
          <w:szCs w:val="18"/>
          <w:highlight w:val="none"/>
          <w:u w:val="single"/>
          <w:lang w:val="zh-CN"/>
        </w:rPr>
        <w:t>：                               (盖单位章)</w:t>
      </w:r>
      <w:bookmarkEnd w:id="65"/>
      <w:bookmarkEnd w:id="66"/>
      <w:bookmarkEnd w:id="67"/>
    </w:p>
    <w:p>
      <w:pPr>
        <w:autoSpaceDE w:val="0"/>
        <w:autoSpaceDN w:val="0"/>
        <w:adjustRightInd w:val="0"/>
        <w:spacing w:line="500" w:lineRule="exact"/>
        <w:jc w:val="center"/>
        <w:rPr>
          <w:rFonts w:ascii="宋体" w:hAnsi="宋体" w:cs="宋体"/>
          <w:color w:val="auto"/>
          <w:sz w:val="28"/>
          <w:szCs w:val="18"/>
          <w:highlight w:val="none"/>
          <w:lang w:val="zh-CN"/>
        </w:rPr>
      </w:pPr>
    </w:p>
    <w:p>
      <w:pPr>
        <w:autoSpaceDE w:val="0"/>
        <w:autoSpaceDN w:val="0"/>
        <w:adjustRightInd w:val="0"/>
        <w:spacing w:line="500" w:lineRule="exact"/>
        <w:ind w:firstLine="560" w:firstLineChars="200"/>
        <w:jc w:val="center"/>
        <w:outlineLvl w:val="0"/>
        <w:rPr>
          <w:rFonts w:ascii="宋体" w:hAnsi="宋体" w:cs="宋体"/>
          <w:color w:val="auto"/>
          <w:sz w:val="28"/>
          <w:szCs w:val="18"/>
          <w:highlight w:val="none"/>
          <w:lang w:val="zh-CN"/>
        </w:rPr>
      </w:pPr>
      <w:bookmarkStart w:id="68" w:name="_Toc13219"/>
      <w:bookmarkStart w:id="69" w:name="_Toc11992"/>
      <w:bookmarkStart w:id="70" w:name="_Toc18015"/>
      <w:r>
        <w:rPr>
          <w:rFonts w:hint="eastAsia" w:ascii="宋体" w:hAnsi="宋体" w:cs="宋体"/>
          <w:color w:val="auto"/>
          <w:sz w:val="28"/>
          <w:szCs w:val="18"/>
          <w:highlight w:val="none"/>
          <w:lang w:val="zh-CN"/>
        </w:rPr>
        <w:t>法定代表人或其委托代理人：</w:t>
      </w:r>
      <w:r>
        <w:rPr>
          <w:rFonts w:hint="eastAsia" w:ascii="宋体" w:hAnsi="宋体" w:cs="宋体"/>
          <w:color w:val="auto"/>
          <w:sz w:val="28"/>
          <w:szCs w:val="18"/>
          <w:highlight w:val="none"/>
          <w:u w:val="single"/>
          <w:lang w:val="zh-CN"/>
        </w:rPr>
        <w:t xml:space="preserve">    </w:t>
      </w:r>
      <w:r>
        <w:rPr>
          <w:rFonts w:hint="eastAsia" w:ascii="宋体" w:hAnsi="宋体" w:cs="宋体"/>
          <w:color w:val="auto"/>
          <w:sz w:val="28"/>
          <w:szCs w:val="18"/>
          <w:highlight w:val="none"/>
          <w:u w:val="single"/>
        </w:rPr>
        <w:t xml:space="preserve">     </w:t>
      </w:r>
      <w:r>
        <w:rPr>
          <w:rFonts w:hint="eastAsia" w:ascii="宋体" w:hAnsi="宋体" w:cs="宋体"/>
          <w:color w:val="auto"/>
          <w:sz w:val="28"/>
          <w:szCs w:val="18"/>
          <w:highlight w:val="none"/>
          <w:u w:val="single"/>
          <w:lang w:val="zh-CN"/>
        </w:rPr>
        <w:t xml:space="preserve">     (签字或盖章)</w:t>
      </w:r>
      <w:bookmarkEnd w:id="68"/>
      <w:bookmarkEnd w:id="69"/>
      <w:bookmarkEnd w:id="70"/>
    </w:p>
    <w:p>
      <w:pPr>
        <w:autoSpaceDE w:val="0"/>
        <w:autoSpaceDN w:val="0"/>
        <w:adjustRightInd w:val="0"/>
        <w:spacing w:line="500" w:lineRule="exact"/>
        <w:ind w:firstLine="280" w:firstLineChars="100"/>
        <w:jc w:val="center"/>
        <w:rPr>
          <w:rFonts w:ascii="宋体" w:hAnsi="宋体" w:cs="宋体"/>
          <w:color w:val="auto"/>
          <w:sz w:val="28"/>
          <w:szCs w:val="18"/>
          <w:highlight w:val="none"/>
          <w:lang w:val="zh-CN"/>
        </w:rPr>
      </w:pPr>
    </w:p>
    <w:p>
      <w:pPr>
        <w:autoSpaceDE w:val="0"/>
        <w:autoSpaceDN w:val="0"/>
        <w:adjustRightInd w:val="0"/>
        <w:spacing w:line="500" w:lineRule="exact"/>
        <w:jc w:val="center"/>
        <w:outlineLvl w:val="0"/>
        <w:rPr>
          <w:rFonts w:ascii="宋体" w:hAnsi="宋体" w:cs="宋体"/>
          <w:color w:val="auto"/>
          <w:sz w:val="28"/>
          <w:szCs w:val="18"/>
          <w:highlight w:val="none"/>
          <w:lang w:val="zh-CN"/>
        </w:rPr>
      </w:pPr>
      <w:r>
        <w:rPr>
          <w:rFonts w:hint="eastAsia" w:ascii="宋体" w:hAnsi="宋体" w:cs="宋体"/>
          <w:color w:val="auto"/>
          <w:sz w:val="28"/>
          <w:szCs w:val="18"/>
          <w:highlight w:val="none"/>
        </w:rPr>
        <w:t xml:space="preserve">     </w:t>
      </w:r>
      <w:bookmarkStart w:id="71" w:name="_Toc23803"/>
      <w:bookmarkStart w:id="72" w:name="_Toc20372"/>
      <w:bookmarkStart w:id="73" w:name="_Toc27614"/>
      <w:r>
        <w:rPr>
          <w:rFonts w:hint="eastAsia" w:ascii="宋体" w:hAnsi="宋体" w:cs="宋体"/>
          <w:color w:val="auto"/>
          <w:sz w:val="28"/>
          <w:szCs w:val="18"/>
          <w:highlight w:val="none"/>
          <w:lang w:val="zh-CN"/>
        </w:rPr>
        <w:t>年    月____日</w:t>
      </w:r>
      <w:bookmarkEnd w:id="71"/>
      <w:bookmarkEnd w:id="72"/>
      <w:bookmarkEnd w:id="73"/>
    </w:p>
    <w:p>
      <w:pPr>
        <w:spacing w:line="440" w:lineRule="exact"/>
        <w:jc w:val="center"/>
        <w:rPr>
          <w:rFonts w:ascii="宋体" w:hAnsi="宋体" w:cs="宋体"/>
          <w:b/>
          <w:color w:val="auto"/>
          <w:sz w:val="36"/>
          <w:szCs w:val="36"/>
          <w:highlight w:val="none"/>
        </w:rPr>
      </w:pPr>
      <w:r>
        <w:rPr>
          <w:rFonts w:hint="eastAsia" w:ascii="宋体" w:hAnsi="宋体" w:cs="宋体"/>
          <w:color w:val="auto"/>
          <w:sz w:val="28"/>
          <w:szCs w:val="18"/>
          <w:highlight w:val="none"/>
          <w:lang w:val="zh-CN"/>
        </w:rPr>
        <w:br w:type="page"/>
      </w:r>
      <w:r>
        <w:rPr>
          <w:rFonts w:hint="eastAsia" w:ascii="宋体" w:hAnsi="宋体" w:cs="宋体"/>
          <w:b/>
          <w:color w:val="auto"/>
          <w:sz w:val="36"/>
          <w:szCs w:val="36"/>
          <w:highlight w:val="none"/>
        </w:rPr>
        <w:t>目   录</w:t>
      </w:r>
    </w:p>
    <w:p>
      <w:pPr>
        <w:spacing w:line="200" w:lineRule="exact"/>
        <w:jc w:val="center"/>
        <w:rPr>
          <w:rFonts w:ascii="宋体" w:hAnsi="宋体" w:cs="宋体"/>
          <w:color w:val="auto"/>
          <w:szCs w:val="21"/>
          <w:highlight w:val="none"/>
        </w:rPr>
      </w:pPr>
    </w:p>
    <w:p>
      <w:pPr>
        <w:autoSpaceDE w:val="0"/>
        <w:autoSpaceDN w:val="0"/>
        <w:adjustRightInd w:val="0"/>
        <w:snapToGrid w:val="0"/>
        <w:spacing w:line="360" w:lineRule="auto"/>
        <w:rPr>
          <w:rFonts w:ascii="宋体" w:hAnsi="宋体" w:cs="宋体"/>
          <w:color w:val="auto"/>
          <w:kern w:val="0"/>
          <w:sz w:val="24"/>
          <w:highlight w:val="none"/>
        </w:rPr>
      </w:pPr>
    </w:p>
    <w:p>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一、报价函</w:t>
      </w:r>
    </w:p>
    <w:p>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二、法定代表人身份证明和授权委托书</w:t>
      </w:r>
    </w:p>
    <w:p>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三、</w:t>
      </w:r>
      <w:r>
        <w:rPr>
          <w:rFonts w:hint="eastAsia" w:ascii="宋体" w:hAnsi="宋体" w:cs="宋体"/>
          <w:bCs/>
          <w:color w:val="auto"/>
          <w:kern w:val="0"/>
          <w:sz w:val="24"/>
          <w:highlight w:val="none"/>
          <w:lang w:val="zh-CN"/>
        </w:rPr>
        <w:t>磋商一览表</w:t>
      </w:r>
    </w:p>
    <w:p>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四、磋商保证金</w:t>
      </w:r>
    </w:p>
    <w:p>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五、报价明细和说明</w:t>
      </w:r>
    </w:p>
    <w:p>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六、资格审查资料</w:t>
      </w:r>
    </w:p>
    <w:p>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七、</w:t>
      </w:r>
      <w:r>
        <w:rPr>
          <w:rFonts w:hint="eastAsia" w:ascii="宋体" w:hAnsi="宋体" w:cs="宋体"/>
          <w:bCs/>
          <w:color w:val="auto"/>
          <w:sz w:val="24"/>
          <w:highlight w:val="none"/>
        </w:rPr>
        <w:t>服务方案及各项制度</w:t>
      </w:r>
    </w:p>
    <w:p>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八、其他资料</w:t>
      </w:r>
    </w:p>
    <w:p>
      <w:pPr>
        <w:pStyle w:val="45"/>
        <w:ind w:left="0" w:leftChars="0" w:firstLine="480"/>
        <w:rPr>
          <w:bCs/>
          <w:color w:val="auto"/>
          <w:highlight w:val="none"/>
        </w:rPr>
      </w:pPr>
      <w:r>
        <w:rPr>
          <w:rFonts w:hint="eastAsia" w:ascii="宋体" w:hAnsi="宋体" w:cs="宋体"/>
          <w:bCs/>
          <w:color w:val="auto"/>
          <w:kern w:val="0"/>
          <w:sz w:val="24"/>
          <w:highlight w:val="none"/>
        </w:rPr>
        <w:t>九、中小企业声明函</w:t>
      </w:r>
    </w:p>
    <w:p>
      <w:pPr>
        <w:pStyle w:val="12"/>
        <w:spacing w:line="440" w:lineRule="exact"/>
        <w:rPr>
          <w:rFonts w:ascii="宋体" w:hAnsi="宋体" w:cs="宋体"/>
          <w:color w:val="auto"/>
          <w:sz w:val="21"/>
          <w:szCs w:val="21"/>
          <w:highlight w:val="none"/>
        </w:rPr>
      </w:pPr>
    </w:p>
    <w:p>
      <w:pPr>
        <w:pStyle w:val="12"/>
        <w:spacing w:line="440" w:lineRule="exact"/>
        <w:rPr>
          <w:rFonts w:ascii="宋体" w:hAnsi="宋体" w:cs="宋体"/>
          <w:color w:val="auto"/>
          <w:sz w:val="21"/>
          <w:szCs w:val="21"/>
          <w:highlight w:val="none"/>
        </w:rPr>
      </w:pPr>
    </w:p>
    <w:p>
      <w:pPr>
        <w:pStyle w:val="12"/>
        <w:spacing w:line="440" w:lineRule="exact"/>
        <w:rPr>
          <w:rFonts w:ascii="宋体" w:hAnsi="宋体" w:cs="宋体"/>
          <w:color w:val="auto"/>
          <w:sz w:val="21"/>
          <w:szCs w:val="21"/>
          <w:highlight w:val="none"/>
        </w:rPr>
      </w:pPr>
    </w:p>
    <w:p>
      <w:pPr>
        <w:pStyle w:val="12"/>
        <w:spacing w:line="440" w:lineRule="exact"/>
        <w:rPr>
          <w:rFonts w:ascii="宋体" w:hAnsi="宋体" w:cs="宋体"/>
          <w:color w:val="auto"/>
          <w:sz w:val="21"/>
          <w:szCs w:val="21"/>
          <w:highlight w:val="none"/>
        </w:rPr>
      </w:pPr>
    </w:p>
    <w:p>
      <w:pPr>
        <w:pStyle w:val="12"/>
        <w:spacing w:line="440" w:lineRule="exact"/>
        <w:rPr>
          <w:rFonts w:ascii="宋体" w:hAnsi="宋体" w:cs="宋体"/>
          <w:color w:val="auto"/>
          <w:sz w:val="21"/>
          <w:szCs w:val="21"/>
          <w:highlight w:val="none"/>
        </w:rPr>
      </w:pPr>
    </w:p>
    <w:p>
      <w:pPr>
        <w:pStyle w:val="12"/>
        <w:spacing w:line="440" w:lineRule="exact"/>
        <w:rPr>
          <w:rFonts w:ascii="宋体" w:hAnsi="宋体" w:cs="宋体"/>
          <w:color w:val="auto"/>
          <w:sz w:val="21"/>
          <w:szCs w:val="21"/>
          <w:highlight w:val="none"/>
        </w:rPr>
      </w:pPr>
    </w:p>
    <w:p>
      <w:pPr>
        <w:pStyle w:val="12"/>
        <w:spacing w:line="440" w:lineRule="exact"/>
        <w:rPr>
          <w:rFonts w:ascii="宋体" w:hAnsi="宋体" w:cs="宋体"/>
          <w:color w:val="auto"/>
          <w:sz w:val="21"/>
          <w:szCs w:val="21"/>
          <w:highlight w:val="none"/>
        </w:rPr>
      </w:pPr>
    </w:p>
    <w:p>
      <w:pPr>
        <w:pStyle w:val="12"/>
        <w:spacing w:line="440" w:lineRule="exact"/>
        <w:rPr>
          <w:rFonts w:ascii="宋体" w:hAnsi="宋体" w:cs="宋体"/>
          <w:color w:val="auto"/>
          <w:sz w:val="21"/>
          <w:szCs w:val="21"/>
          <w:highlight w:val="none"/>
        </w:rPr>
      </w:pPr>
    </w:p>
    <w:p>
      <w:pPr>
        <w:pStyle w:val="12"/>
        <w:spacing w:line="440" w:lineRule="exact"/>
        <w:rPr>
          <w:rFonts w:ascii="宋体" w:hAnsi="宋体" w:cs="宋体"/>
          <w:color w:val="auto"/>
          <w:sz w:val="21"/>
          <w:szCs w:val="21"/>
          <w:highlight w:val="none"/>
        </w:rPr>
      </w:pPr>
    </w:p>
    <w:p>
      <w:pPr>
        <w:pStyle w:val="12"/>
        <w:spacing w:line="440" w:lineRule="exact"/>
        <w:rPr>
          <w:rFonts w:ascii="宋体" w:hAnsi="宋体" w:cs="宋体"/>
          <w:color w:val="auto"/>
          <w:sz w:val="21"/>
          <w:szCs w:val="21"/>
          <w:highlight w:val="none"/>
        </w:rPr>
      </w:pPr>
    </w:p>
    <w:p>
      <w:pPr>
        <w:pStyle w:val="12"/>
        <w:spacing w:line="440" w:lineRule="exact"/>
        <w:rPr>
          <w:rFonts w:ascii="宋体" w:hAnsi="宋体" w:cs="宋体"/>
          <w:color w:val="auto"/>
          <w:sz w:val="21"/>
          <w:szCs w:val="21"/>
          <w:highlight w:val="none"/>
        </w:rPr>
      </w:pPr>
    </w:p>
    <w:p>
      <w:pPr>
        <w:autoSpaceDE w:val="0"/>
        <w:autoSpaceDN w:val="0"/>
        <w:adjustRightInd w:val="0"/>
        <w:spacing w:line="500" w:lineRule="exact"/>
        <w:jc w:val="center"/>
        <w:rPr>
          <w:rFonts w:ascii="宋体" w:hAnsi="宋体" w:cs="宋体"/>
          <w:b/>
          <w:color w:val="auto"/>
          <w:kern w:val="0"/>
          <w:sz w:val="36"/>
          <w:szCs w:val="36"/>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6"/>
          <w:szCs w:val="36"/>
          <w:highlight w:val="none"/>
        </w:rPr>
        <w:t>一、报价函</w:t>
      </w:r>
    </w:p>
    <w:p>
      <w:pPr>
        <w:autoSpaceDE w:val="0"/>
        <w:autoSpaceDN w:val="0"/>
        <w:adjustRightInd w:val="0"/>
        <w:spacing w:line="500" w:lineRule="exact"/>
        <w:jc w:val="left"/>
        <w:rPr>
          <w:rFonts w:ascii="宋体" w:hAnsi="宋体" w:cs="宋体"/>
          <w:color w:val="auto"/>
          <w:kern w:val="0"/>
          <w:szCs w:val="21"/>
          <w:highlight w:val="none"/>
          <w:u w:val="single"/>
        </w:rPr>
      </w:pPr>
    </w:p>
    <w:p>
      <w:pPr>
        <w:autoSpaceDE w:val="0"/>
        <w:autoSpaceDN w:val="0"/>
        <w:adjustRightInd w:val="0"/>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我方已经详细阅读 </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（采购项目名称、</w:t>
      </w:r>
      <w:r>
        <w:rPr>
          <w:rFonts w:hint="eastAsia" w:ascii="宋体" w:hAnsi="宋体" w:cs="宋体"/>
          <w:color w:val="auto"/>
          <w:kern w:val="0"/>
          <w:sz w:val="24"/>
          <w:szCs w:val="24"/>
          <w:highlight w:val="none"/>
          <w:lang w:val="en-US" w:eastAsia="zh-CN"/>
        </w:rPr>
        <w:t>标段、</w:t>
      </w:r>
      <w:r>
        <w:rPr>
          <w:rFonts w:hint="eastAsia" w:ascii="宋体" w:hAnsi="宋体" w:cs="宋体"/>
          <w:color w:val="auto"/>
          <w:kern w:val="0"/>
          <w:sz w:val="24"/>
          <w:szCs w:val="24"/>
          <w:highlight w:val="none"/>
        </w:rPr>
        <w:t>项目编号）的竞争性磋商文件，决定参加本项目采购活动，承诺如下：</w:t>
      </w:r>
    </w:p>
    <w:p>
      <w:pPr>
        <w:autoSpaceDE w:val="0"/>
        <w:autoSpaceDN w:val="0"/>
        <w:adjustRightInd w:val="0"/>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一、我方的响应文件在提交响应文件截止日后90天（日历天）内保持有效，如成交，有效期将延至本项目合同期满日为止。</w:t>
      </w:r>
    </w:p>
    <w:p>
      <w:pPr>
        <w:autoSpaceDE w:val="0"/>
        <w:autoSpaceDN w:val="0"/>
        <w:adjustRightInd w:val="0"/>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我方在参与采购活动前已仔细研究了竞争性磋商文件和所有相关资料，我方完全明白并认为此竞争性磋商文件没有倾向性，也没有存在排斥潜在供应商的内容，我方同意并接受竞争性磋商文件的全部条款，放弃对竞争性磋商文件提出误解和质疑的一切权利。</w:t>
      </w:r>
    </w:p>
    <w:p>
      <w:pPr>
        <w:autoSpaceDE w:val="0"/>
        <w:autoSpaceDN w:val="0"/>
        <w:adjustRightInd w:val="0"/>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三、我方声明响应文件及所提供的一切资料均真实无误及有效。由于我方提供资</w:t>
      </w:r>
    </w:p>
    <w:p>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料不实而造成的责任和后果由我方承担。我方同意按照贵方可能提出的要求，提供与采购活动有关的任何其它数据或信息。</w:t>
      </w:r>
    </w:p>
    <w:p>
      <w:pPr>
        <w:autoSpaceDE w:val="0"/>
        <w:autoSpaceDN w:val="0"/>
        <w:adjustRightInd w:val="0"/>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四、我方理解贵方不一定接受最低报价以及</w:t>
      </w:r>
      <w:r>
        <w:rPr>
          <w:rFonts w:hint="eastAsia" w:ascii="宋体" w:hAnsi="宋体" w:cs="宋体"/>
          <w:bCs/>
          <w:color w:val="auto"/>
          <w:sz w:val="24"/>
          <w:szCs w:val="24"/>
          <w:highlight w:val="none"/>
          <w:lang w:val="zh-CN"/>
        </w:rPr>
        <w:t>超过</w:t>
      </w:r>
      <w:r>
        <w:rPr>
          <w:rFonts w:hint="eastAsia" w:ascii="宋体" w:hAnsi="宋体" w:cs="宋体"/>
          <w:bCs/>
          <w:color w:val="auto"/>
          <w:sz w:val="24"/>
          <w:szCs w:val="24"/>
          <w:highlight w:val="none"/>
        </w:rPr>
        <w:t>预算金额</w:t>
      </w:r>
      <w:r>
        <w:rPr>
          <w:rFonts w:hint="eastAsia" w:ascii="宋体" w:hAnsi="宋体" w:cs="宋体"/>
          <w:bCs/>
          <w:color w:val="auto"/>
          <w:sz w:val="24"/>
          <w:szCs w:val="24"/>
          <w:highlight w:val="none"/>
          <w:lang w:val="zh-CN"/>
        </w:rPr>
        <w:t>将被否决</w:t>
      </w:r>
      <w:r>
        <w:rPr>
          <w:rFonts w:hint="eastAsia" w:ascii="宋体" w:hAnsi="宋体" w:cs="宋体"/>
          <w:color w:val="auto"/>
          <w:kern w:val="0"/>
          <w:sz w:val="24"/>
          <w:szCs w:val="24"/>
          <w:highlight w:val="none"/>
        </w:rPr>
        <w:t>时响应无效。</w:t>
      </w:r>
    </w:p>
    <w:p>
      <w:pPr>
        <w:autoSpaceDE w:val="0"/>
        <w:autoSpaceDN w:val="0"/>
        <w:adjustRightInd w:val="0"/>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五、我方接受竞争性磋商文件关于不予退还保证金的约定。</w:t>
      </w:r>
    </w:p>
    <w:p>
      <w:pPr>
        <w:autoSpaceDE w:val="0"/>
        <w:autoSpaceDN w:val="0"/>
        <w:adjustRightInd w:val="0"/>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六、我方按照竞争性磋商文件的约定履行合同责任和义务。</w:t>
      </w:r>
    </w:p>
    <w:p>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p>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与本采购活动有关的一切往来通讯请寄： </w:t>
      </w:r>
    </w:p>
    <w:p>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地址：</w:t>
      </w:r>
    </w:p>
    <w:p>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邮编： </w:t>
      </w:r>
    </w:p>
    <w:p>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p>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传真：</w:t>
      </w:r>
    </w:p>
    <w:p>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电子邮件地址：</w:t>
      </w:r>
    </w:p>
    <w:p>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供应商名称（签章）：</w:t>
      </w:r>
    </w:p>
    <w:p>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          </w:t>
      </w:r>
    </w:p>
    <w:p>
      <w:pPr>
        <w:autoSpaceDE w:val="0"/>
        <w:autoSpaceDN w:val="0"/>
        <w:adjustRightInd w:val="0"/>
        <w:spacing w:line="500" w:lineRule="exact"/>
        <w:jc w:val="center"/>
        <w:rPr>
          <w:rFonts w:ascii="宋体" w:hAnsi="宋体" w:cs="宋体"/>
          <w:b/>
          <w:color w:val="auto"/>
          <w:kern w:val="0"/>
          <w:sz w:val="36"/>
          <w:szCs w:val="36"/>
          <w:highlight w:val="none"/>
        </w:rPr>
      </w:pPr>
      <w:r>
        <w:rPr>
          <w:rFonts w:hint="eastAsia" w:ascii="宋体" w:hAnsi="宋体" w:cs="宋体"/>
          <w:color w:val="auto"/>
          <w:kern w:val="0"/>
          <w:sz w:val="24"/>
          <w:szCs w:val="24"/>
          <w:highlight w:val="none"/>
        </w:rPr>
        <w:t>日期:     年   月   日</w:t>
      </w:r>
      <w:r>
        <w:rPr>
          <w:rFonts w:hint="eastAsia" w:ascii="宋体" w:hAnsi="宋体" w:cs="宋体"/>
          <w:color w:val="auto"/>
          <w:kern w:val="0"/>
          <w:sz w:val="24"/>
          <w:szCs w:val="24"/>
          <w:highlight w:val="none"/>
        </w:rPr>
        <w:br w:type="page"/>
      </w:r>
      <w:r>
        <w:rPr>
          <w:rFonts w:hint="eastAsia" w:ascii="宋体" w:hAnsi="宋体" w:cs="宋体"/>
          <w:b/>
          <w:color w:val="auto"/>
          <w:kern w:val="0"/>
          <w:sz w:val="36"/>
          <w:szCs w:val="36"/>
          <w:highlight w:val="none"/>
        </w:rPr>
        <w:t>二、法定代表人身份证明和授权委托书</w:t>
      </w:r>
    </w:p>
    <w:p>
      <w:pPr>
        <w:autoSpaceDE w:val="0"/>
        <w:autoSpaceDN w:val="0"/>
        <w:adjustRightInd w:val="0"/>
        <w:spacing w:line="500" w:lineRule="exact"/>
        <w:jc w:val="center"/>
        <w:rPr>
          <w:rFonts w:ascii="宋体" w:hAnsi="宋体" w:cs="宋体"/>
          <w:color w:val="auto"/>
          <w:kern w:val="0"/>
          <w:szCs w:val="21"/>
          <w:highlight w:val="none"/>
        </w:rPr>
      </w:pPr>
    </w:p>
    <w:p>
      <w:pPr>
        <w:autoSpaceDE w:val="0"/>
        <w:autoSpaceDN w:val="0"/>
        <w:adjustRightInd w:val="0"/>
        <w:spacing w:line="50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 法定代表人身份证明</w:t>
      </w:r>
    </w:p>
    <w:p>
      <w:pPr>
        <w:autoSpaceDE w:val="0"/>
        <w:autoSpaceDN w:val="0"/>
        <w:adjustRightInd w:val="0"/>
        <w:spacing w:line="500" w:lineRule="exact"/>
        <w:ind w:left="718" w:leftChars="342"/>
        <w:jc w:val="left"/>
        <w:rPr>
          <w:rFonts w:ascii="宋体" w:hAnsi="宋体" w:cs="宋体"/>
          <w:color w:val="auto"/>
          <w:kern w:val="0"/>
          <w:szCs w:val="21"/>
          <w:highlight w:val="none"/>
        </w:rPr>
      </w:pPr>
    </w:p>
    <w:p>
      <w:pPr>
        <w:autoSpaceDE w:val="0"/>
        <w:autoSpaceDN w:val="0"/>
        <w:adjustRightInd w:val="0"/>
        <w:spacing w:line="600" w:lineRule="exact"/>
        <w:ind w:left="718" w:leftChars="342"/>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供应商名称：</w:t>
      </w:r>
    </w:p>
    <w:p>
      <w:pPr>
        <w:autoSpaceDE w:val="0"/>
        <w:autoSpaceDN w:val="0"/>
        <w:adjustRightInd w:val="0"/>
        <w:spacing w:line="600" w:lineRule="exact"/>
        <w:ind w:left="718" w:leftChars="342"/>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单位性质：</w:t>
      </w:r>
    </w:p>
    <w:p>
      <w:pPr>
        <w:autoSpaceDE w:val="0"/>
        <w:autoSpaceDN w:val="0"/>
        <w:adjustRightInd w:val="0"/>
        <w:spacing w:line="600" w:lineRule="exact"/>
        <w:ind w:left="718" w:leftChars="342"/>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地址：</w:t>
      </w:r>
    </w:p>
    <w:p>
      <w:pPr>
        <w:autoSpaceDE w:val="0"/>
        <w:autoSpaceDN w:val="0"/>
        <w:adjustRightInd w:val="0"/>
        <w:spacing w:line="600" w:lineRule="exact"/>
        <w:ind w:left="718" w:leftChars="34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成立时间：年    月    日</w:t>
      </w:r>
    </w:p>
    <w:p>
      <w:pPr>
        <w:autoSpaceDE w:val="0"/>
        <w:autoSpaceDN w:val="0"/>
        <w:adjustRightInd w:val="0"/>
        <w:spacing w:line="600" w:lineRule="exact"/>
        <w:ind w:left="718" w:leftChars="342"/>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经营期限： </w:t>
      </w:r>
    </w:p>
    <w:p>
      <w:pPr>
        <w:autoSpaceDE w:val="0"/>
        <w:autoSpaceDN w:val="0"/>
        <w:adjustRightInd w:val="0"/>
        <w:spacing w:line="600" w:lineRule="exact"/>
        <w:ind w:left="718" w:leftChars="342"/>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姓名：   性别：   年龄：   职务： </w:t>
      </w:r>
    </w:p>
    <w:p>
      <w:pPr>
        <w:autoSpaceDE w:val="0"/>
        <w:autoSpaceDN w:val="0"/>
        <w:adjustRightInd w:val="0"/>
        <w:spacing w:line="600" w:lineRule="exact"/>
        <w:ind w:left="718" w:leftChars="34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系</w:t>
      </w:r>
      <w:r>
        <w:rPr>
          <w:rFonts w:hint="eastAsia" w:ascii="宋体" w:hAnsi="宋体" w:cs="宋体"/>
          <w:color w:val="auto"/>
          <w:kern w:val="0"/>
          <w:sz w:val="24"/>
          <w:szCs w:val="24"/>
          <w:highlight w:val="none"/>
          <w:u w:val="single"/>
        </w:rPr>
        <w:t xml:space="preserve">       (供应商名称)       </w:t>
      </w:r>
      <w:r>
        <w:rPr>
          <w:rFonts w:hint="eastAsia" w:ascii="宋体" w:hAnsi="宋体" w:cs="宋体"/>
          <w:color w:val="auto"/>
          <w:kern w:val="0"/>
          <w:sz w:val="24"/>
          <w:szCs w:val="24"/>
          <w:highlight w:val="none"/>
        </w:rPr>
        <w:t>的法定代表人。</w:t>
      </w:r>
    </w:p>
    <w:p>
      <w:pPr>
        <w:autoSpaceDE w:val="0"/>
        <w:autoSpaceDN w:val="0"/>
        <w:adjustRightInd w:val="0"/>
        <w:spacing w:line="600" w:lineRule="exact"/>
        <w:ind w:left="718" w:leftChars="342"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特此证明。</w:t>
      </w:r>
    </w:p>
    <w:p>
      <w:pPr>
        <w:autoSpaceDE w:val="0"/>
        <w:autoSpaceDN w:val="0"/>
        <w:adjustRightInd w:val="0"/>
        <w:spacing w:line="600" w:lineRule="exact"/>
        <w:ind w:left="718" w:leftChars="342"/>
        <w:jc w:val="left"/>
        <w:rPr>
          <w:rFonts w:ascii="宋体" w:hAnsi="宋体" w:cs="宋体"/>
          <w:color w:val="auto"/>
          <w:kern w:val="0"/>
          <w:sz w:val="24"/>
          <w:szCs w:val="24"/>
          <w:highlight w:val="none"/>
        </w:rPr>
      </w:pPr>
    </w:p>
    <w:p>
      <w:pPr>
        <w:autoSpaceDE w:val="0"/>
        <w:autoSpaceDN w:val="0"/>
        <w:adjustRightInd w:val="0"/>
        <w:spacing w:line="600" w:lineRule="exact"/>
        <w:ind w:left="718" w:leftChars="342"/>
        <w:jc w:val="right"/>
        <w:rPr>
          <w:rFonts w:ascii="宋体" w:hAnsi="宋体" w:cs="宋体"/>
          <w:color w:val="auto"/>
          <w:kern w:val="0"/>
          <w:sz w:val="24"/>
          <w:szCs w:val="24"/>
          <w:highlight w:val="none"/>
        </w:rPr>
      </w:pPr>
    </w:p>
    <w:p>
      <w:pPr>
        <w:autoSpaceDE w:val="0"/>
        <w:autoSpaceDN w:val="0"/>
        <w:adjustRightInd w:val="0"/>
        <w:spacing w:line="600" w:lineRule="exact"/>
        <w:ind w:left="718" w:leftChars="342"/>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供应商：(盖单位章)</w:t>
      </w:r>
    </w:p>
    <w:p>
      <w:pPr>
        <w:spacing w:line="600" w:lineRule="exact"/>
        <w:ind w:firstLine="2880" w:firstLineChars="120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     月    日</w:t>
      </w:r>
    </w:p>
    <w:p>
      <w:pPr>
        <w:spacing w:line="500" w:lineRule="exact"/>
        <w:ind w:firstLine="2520" w:firstLineChars="1200"/>
        <w:jc w:val="right"/>
        <w:rPr>
          <w:rFonts w:ascii="宋体" w:hAnsi="宋体" w:cs="宋体"/>
          <w:color w:val="auto"/>
          <w:kern w:val="0"/>
          <w:szCs w:val="21"/>
          <w:highlight w:val="none"/>
        </w:rPr>
      </w:pPr>
    </w:p>
    <w:p>
      <w:pPr>
        <w:spacing w:line="500" w:lineRule="exact"/>
        <w:ind w:firstLine="2520" w:firstLineChars="1200"/>
        <w:jc w:val="right"/>
        <w:rPr>
          <w:rFonts w:ascii="宋体" w:hAnsi="宋体" w:cs="宋体"/>
          <w:color w:val="auto"/>
          <w:kern w:val="0"/>
          <w:szCs w:val="21"/>
          <w:highlight w:val="none"/>
        </w:rPr>
      </w:pPr>
    </w:p>
    <w:p>
      <w:pPr>
        <w:spacing w:line="500" w:lineRule="exact"/>
        <w:ind w:firstLine="2520" w:firstLineChars="1200"/>
        <w:jc w:val="right"/>
        <w:rPr>
          <w:rFonts w:ascii="宋体" w:hAnsi="宋体" w:cs="宋体"/>
          <w:color w:val="auto"/>
          <w:kern w:val="0"/>
          <w:szCs w:val="21"/>
          <w:highlight w:val="none"/>
        </w:rPr>
      </w:pPr>
    </w:p>
    <w:p>
      <w:pPr>
        <w:spacing w:line="500" w:lineRule="exact"/>
        <w:ind w:firstLine="2520" w:firstLineChars="1200"/>
        <w:jc w:val="right"/>
        <w:rPr>
          <w:rFonts w:ascii="宋体" w:hAnsi="宋体" w:cs="宋体"/>
          <w:color w:val="auto"/>
          <w:kern w:val="0"/>
          <w:szCs w:val="21"/>
          <w:highlight w:val="none"/>
        </w:rPr>
      </w:pPr>
    </w:p>
    <w:p>
      <w:pPr>
        <w:spacing w:line="500" w:lineRule="exact"/>
        <w:ind w:firstLine="2520" w:firstLineChars="1200"/>
        <w:jc w:val="right"/>
        <w:rPr>
          <w:rFonts w:ascii="宋体" w:hAnsi="宋体" w:cs="宋体"/>
          <w:color w:val="auto"/>
          <w:kern w:val="0"/>
          <w:szCs w:val="21"/>
          <w:highlight w:val="none"/>
        </w:rPr>
      </w:pPr>
    </w:p>
    <w:p>
      <w:pPr>
        <w:spacing w:line="500" w:lineRule="exact"/>
        <w:ind w:firstLine="2520" w:firstLineChars="1200"/>
        <w:jc w:val="right"/>
        <w:rPr>
          <w:rFonts w:ascii="宋体" w:hAnsi="宋体" w:cs="宋体"/>
          <w:color w:val="auto"/>
          <w:kern w:val="0"/>
          <w:szCs w:val="21"/>
          <w:highlight w:val="none"/>
        </w:rPr>
      </w:pPr>
    </w:p>
    <w:p>
      <w:pPr>
        <w:spacing w:line="500" w:lineRule="exact"/>
        <w:ind w:right="420"/>
        <w:rPr>
          <w:rFonts w:ascii="宋体" w:hAnsi="宋体" w:cs="宋体"/>
          <w:color w:val="auto"/>
          <w:kern w:val="0"/>
          <w:szCs w:val="21"/>
          <w:highlight w:val="none"/>
        </w:rPr>
      </w:pPr>
    </w:p>
    <w:p>
      <w:pPr>
        <w:spacing w:line="500" w:lineRule="exact"/>
        <w:ind w:right="420"/>
        <w:rPr>
          <w:rFonts w:ascii="宋体" w:hAnsi="宋体" w:cs="宋体"/>
          <w:color w:val="auto"/>
          <w:kern w:val="0"/>
          <w:szCs w:val="21"/>
          <w:highlight w:val="none"/>
        </w:rPr>
      </w:pPr>
    </w:p>
    <w:p>
      <w:pPr>
        <w:spacing w:line="500" w:lineRule="exact"/>
        <w:ind w:right="420"/>
        <w:rPr>
          <w:rFonts w:ascii="宋体" w:hAnsi="宋体" w:cs="宋体"/>
          <w:color w:val="auto"/>
          <w:kern w:val="0"/>
          <w:szCs w:val="21"/>
          <w:highlight w:val="none"/>
        </w:rPr>
      </w:pPr>
    </w:p>
    <w:p>
      <w:pPr>
        <w:autoSpaceDE w:val="0"/>
        <w:autoSpaceDN w:val="0"/>
        <w:adjustRightInd w:val="0"/>
        <w:spacing w:line="500" w:lineRule="exact"/>
        <w:jc w:val="center"/>
        <w:rPr>
          <w:rFonts w:ascii="宋体" w:hAnsi="宋体" w:cs="宋体"/>
          <w:color w:val="auto"/>
          <w:kern w:val="0"/>
          <w:szCs w:val="21"/>
          <w:highlight w:val="none"/>
        </w:rPr>
      </w:pPr>
    </w:p>
    <w:p>
      <w:pPr>
        <w:autoSpaceDE w:val="0"/>
        <w:autoSpaceDN w:val="0"/>
        <w:adjustRightInd w:val="0"/>
        <w:spacing w:line="50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(二)授权委托书</w:t>
      </w:r>
    </w:p>
    <w:p>
      <w:pPr>
        <w:autoSpaceDE w:val="0"/>
        <w:autoSpaceDN w:val="0"/>
        <w:adjustRightInd w:val="0"/>
        <w:spacing w:line="500" w:lineRule="exact"/>
        <w:jc w:val="left"/>
        <w:rPr>
          <w:rFonts w:ascii="宋体" w:hAnsi="宋体" w:cs="宋体"/>
          <w:color w:val="auto"/>
          <w:kern w:val="0"/>
          <w:szCs w:val="21"/>
          <w:highlight w:val="none"/>
        </w:rPr>
      </w:pPr>
    </w:p>
    <w:p>
      <w:pPr>
        <w:autoSpaceDE w:val="0"/>
        <w:autoSpaceDN w:val="0"/>
        <w:adjustRightInd w:val="0"/>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本人</w:t>
      </w:r>
      <w:r>
        <w:rPr>
          <w:rFonts w:hint="eastAsia" w:ascii="宋体" w:hAnsi="宋体" w:cs="宋体"/>
          <w:color w:val="auto"/>
          <w:kern w:val="0"/>
          <w:sz w:val="24"/>
          <w:szCs w:val="24"/>
          <w:highlight w:val="none"/>
          <w:u w:val="single"/>
        </w:rPr>
        <w:t xml:space="preserve">  (姓名)   </w:t>
      </w:r>
      <w:r>
        <w:rPr>
          <w:rFonts w:hint="eastAsia" w:ascii="宋体" w:hAnsi="宋体" w:cs="宋体"/>
          <w:color w:val="auto"/>
          <w:kern w:val="0"/>
          <w:sz w:val="24"/>
          <w:szCs w:val="24"/>
          <w:highlight w:val="none"/>
        </w:rPr>
        <w:t>系</w:t>
      </w:r>
      <w:r>
        <w:rPr>
          <w:rFonts w:hint="eastAsia" w:ascii="宋体" w:hAnsi="宋体" w:cs="宋体"/>
          <w:color w:val="auto"/>
          <w:kern w:val="0"/>
          <w:sz w:val="24"/>
          <w:szCs w:val="24"/>
          <w:highlight w:val="none"/>
          <w:u w:val="single"/>
        </w:rPr>
        <w:t xml:space="preserve">    (供应商名称)    </w:t>
      </w:r>
      <w:r>
        <w:rPr>
          <w:rFonts w:hint="eastAsia" w:ascii="宋体" w:hAnsi="宋体" w:cs="宋体"/>
          <w:color w:val="auto"/>
          <w:kern w:val="0"/>
          <w:sz w:val="24"/>
          <w:szCs w:val="24"/>
          <w:highlight w:val="none"/>
        </w:rPr>
        <w:t>的法定代表人，现委托</w:t>
      </w:r>
      <w:r>
        <w:rPr>
          <w:rFonts w:hint="eastAsia" w:ascii="宋体" w:hAnsi="宋体" w:cs="宋体"/>
          <w:color w:val="auto"/>
          <w:kern w:val="0"/>
          <w:sz w:val="24"/>
          <w:szCs w:val="24"/>
          <w:highlight w:val="none"/>
          <w:u w:val="single"/>
        </w:rPr>
        <w:t xml:space="preserve">   (姓名)  </w:t>
      </w:r>
      <w:r>
        <w:rPr>
          <w:rFonts w:hint="eastAsia" w:ascii="宋体" w:hAnsi="宋体" w:cs="宋体"/>
          <w:color w:val="auto"/>
          <w:kern w:val="0"/>
          <w:sz w:val="24"/>
          <w:szCs w:val="24"/>
          <w:highlight w:val="none"/>
        </w:rPr>
        <w:t>为我方代理人。代理人根据授权，以我方名义签署、澄清、说明、补正、递交、撤回、修改</w:t>
      </w:r>
      <w:r>
        <w:rPr>
          <w:rFonts w:hint="eastAsia" w:ascii="宋体" w:hAnsi="宋体" w:cs="宋体"/>
          <w:color w:val="auto"/>
          <w:kern w:val="0"/>
          <w:sz w:val="24"/>
          <w:szCs w:val="24"/>
          <w:highlight w:val="none"/>
          <w:u w:val="single"/>
        </w:rPr>
        <w:t xml:space="preserve">   (项目名称)</w:t>
      </w:r>
      <w:r>
        <w:rPr>
          <w:rFonts w:hint="eastAsia" w:ascii="宋体" w:hAnsi="宋体" w:cs="宋体"/>
          <w:color w:val="auto"/>
          <w:kern w:val="0"/>
          <w:sz w:val="24"/>
          <w:szCs w:val="24"/>
          <w:highlight w:val="none"/>
          <w:u w:val="single"/>
          <w:lang w:val="en-US" w:eastAsia="zh-CN"/>
        </w:rPr>
        <w:t>+（标段）</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响应文件、签订合同和处理有关事宜，其法律后果由我方承担。</w:t>
      </w:r>
    </w:p>
    <w:p>
      <w:pPr>
        <w:autoSpaceDE w:val="0"/>
        <w:autoSpaceDN w:val="0"/>
        <w:adjustRightInd w:val="0"/>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委托期限：</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代理人无转委托权。</w:t>
      </w:r>
    </w:p>
    <w:p>
      <w:pP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附：法定代表人身份证；被授权人身份证。</w:t>
      </w:r>
    </w:p>
    <w:p>
      <w:pPr>
        <w:autoSpaceDE w:val="0"/>
        <w:autoSpaceDN w:val="0"/>
        <w:adjustRightInd w:val="0"/>
        <w:spacing w:line="600" w:lineRule="exact"/>
        <w:ind w:left="540" w:leftChars="257"/>
        <w:jc w:val="left"/>
        <w:rPr>
          <w:rFonts w:ascii="宋体" w:hAnsi="宋体" w:cs="宋体"/>
          <w:color w:val="auto"/>
          <w:kern w:val="0"/>
          <w:sz w:val="24"/>
          <w:szCs w:val="24"/>
          <w:highlight w:val="none"/>
        </w:rPr>
      </w:pPr>
    </w:p>
    <w:p>
      <w:pPr>
        <w:autoSpaceDE w:val="0"/>
        <w:autoSpaceDN w:val="0"/>
        <w:adjustRightInd w:val="0"/>
        <w:spacing w:line="600" w:lineRule="exact"/>
        <w:ind w:left="540" w:leftChars="257"/>
        <w:jc w:val="left"/>
        <w:rPr>
          <w:rFonts w:ascii="宋体" w:hAnsi="宋体" w:cs="宋体"/>
          <w:color w:val="auto"/>
          <w:kern w:val="0"/>
          <w:sz w:val="24"/>
          <w:szCs w:val="24"/>
          <w:highlight w:val="none"/>
        </w:rPr>
      </w:pPr>
    </w:p>
    <w:p>
      <w:pPr>
        <w:autoSpaceDE w:val="0"/>
        <w:autoSpaceDN w:val="0"/>
        <w:adjustRightInd w:val="0"/>
        <w:spacing w:line="600" w:lineRule="exact"/>
        <w:ind w:left="540" w:leftChars="257"/>
        <w:jc w:val="left"/>
        <w:rPr>
          <w:rFonts w:ascii="宋体" w:hAnsi="宋体" w:cs="宋体"/>
          <w:color w:val="auto"/>
          <w:kern w:val="0"/>
          <w:sz w:val="24"/>
          <w:szCs w:val="24"/>
          <w:highlight w:val="none"/>
        </w:rPr>
      </w:pPr>
    </w:p>
    <w:p>
      <w:pPr>
        <w:autoSpaceDE w:val="0"/>
        <w:autoSpaceDN w:val="0"/>
        <w:adjustRightInd w:val="0"/>
        <w:spacing w:line="600" w:lineRule="exact"/>
        <w:ind w:left="540" w:leftChars="257"/>
        <w:jc w:val="left"/>
        <w:rPr>
          <w:rFonts w:ascii="宋体" w:hAnsi="宋体" w:cs="宋体"/>
          <w:color w:val="auto"/>
          <w:kern w:val="0"/>
          <w:sz w:val="24"/>
          <w:szCs w:val="24"/>
          <w:highlight w:val="none"/>
        </w:rPr>
      </w:pPr>
    </w:p>
    <w:p>
      <w:pPr>
        <w:autoSpaceDE w:val="0"/>
        <w:autoSpaceDN w:val="0"/>
        <w:adjustRightInd w:val="0"/>
        <w:spacing w:line="600" w:lineRule="exact"/>
        <w:ind w:left="540" w:leftChars="257"/>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 应 人：(盖单位章)</w:t>
      </w:r>
    </w:p>
    <w:p>
      <w:pPr>
        <w:autoSpaceDE w:val="0"/>
        <w:autoSpaceDN w:val="0"/>
        <w:adjustRightInd w:val="0"/>
        <w:spacing w:line="600" w:lineRule="exact"/>
        <w:ind w:left="540" w:leftChars="257"/>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w:t>
      </w:r>
    </w:p>
    <w:p>
      <w:pPr>
        <w:autoSpaceDE w:val="0"/>
        <w:autoSpaceDN w:val="0"/>
        <w:adjustRightInd w:val="0"/>
        <w:spacing w:line="600" w:lineRule="exact"/>
        <w:ind w:left="540" w:leftChars="257"/>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身份证号码：</w:t>
      </w:r>
    </w:p>
    <w:p>
      <w:pPr>
        <w:autoSpaceDE w:val="0"/>
        <w:autoSpaceDN w:val="0"/>
        <w:adjustRightInd w:val="0"/>
        <w:spacing w:line="600" w:lineRule="exact"/>
        <w:ind w:left="540" w:leftChars="257"/>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委托代理人：(签字)</w:t>
      </w:r>
    </w:p>
    <w:p>
      <w:pPr>
        <w:autoSpaceDE w:val="0"/>
        <w:autoSpaceDN w:val="0"/>
        <w:adjustRightInd w:val="0"/>
        <w:spacing w:line="600" w:lineRule="exact"/>
        <w:ind w:left="540" w:leftChars="257"/>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身份证号码：</w:t>
      </w:r>
    </w:p>
    <w:p>
      <w:pPr>
        <w:spacing w:line="600" w:lineRule="exact"/>
        <w:ind w:firstLine="2160" w:firstLineChars="900"/>
        <w:jc w:val="right"/>
        <w:rPr>
          <w:rFonts w:ascii="宋体" w:hAnsi="宋体" w:cs="宋体"/>
          <w:color w:val="auto"/>
          <w:kern w:val="0"/>
          <w:sz w:val="24"/>
          <w:szCs w:val="24"/>
          <w:highlight w:val="none"/>
          <w:u w:val="single"/>
        </w:rPr>
      </w:pPr>
    </w:p>
    <w:p>
      <w:pPr>
        <w:spacing w:line="600" w:lineRule="exact"/>
        <w:ind w:firstLine="2160" w:firstLineChars="9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     月      日</w:t>
      </w:r>
    </w:p>
    <w:p>
      <w:pPr>
        <w:spacing w:line="500" w:lineRule="exact"/>
        <w:ind w:left="540" w:leftChars="257" w:firstLine="1680" w:firstLineChars="800"/>
        <w:jc w:val="left"/>
        <w:rPr>
          <w:rFonts w:ascii="宋体" w:hAnsi="宋体" w:cs="宋体"/>
          <w:color w:val="auto"/>
          <w:kern w:val="0"/>
          <w:szCs w:val="21"/>
          <w:highlight w:val="none"/>
        </w:rPr>
      </w:pPr>
    </w:p>
    <w:p>
      <w:pPr>
        <w:spacing w:line="500" w:lineRule="exact"/>
        <w:ind w:left="540" w:leftChars="257" w:firstLine="1680" w:firstLineChars="800"/>
        <w:jc w:val="left"/>
        <w:rPr>
          <w:rFonts w:ascii="宋体" w:hAnsi="宋体" w:cs="宋体"/>
          <w:color w:val="auto"/>
          <w:kern w:val="0"/>
          <w:szCs w:val="21"/>
          <w:highlight w:val="none"/>
        </w:rPr>
      </w:pPr>
    </w:p>
    <w:p>
      <w:pPr>
        <w:autoSpaceDE w:val="0"/>
        <w:autoSpaceDN w:val="0"/>
        <w:adjustRightInd w:val="0"/>
        <w:spacing w:line="500" w:lineRule="exact"/>
        <w:jc w:val="center"/>
        <w:rPr>
          <w:rFonts w:ascii="宋体" w:hAnsi="宋体" w:cs="宋体"/>
          <w:color w:val="auto"/>
          <w:szCs w:val="21"/>
          <w:highlight w:val="none"/>
          <w:lang w:val="zh-CN"/>
        </w:rPr>
      </w:pPr>
    </w:p>
    <w:p>
      <w:pPr>
        <w:autoSpaceDE w:val="0"/>
        <w:autoSpaceDN w:val="0"/>
        <w:adjustRightInd w:val="0"/>
        <w:spacing w:line="500" w:lineRule="exact"/>
        <w:jc w:val="center"/>
        <w:rPr>
          <w:rFonts w:ascii="宋体" w:hAnsi="宋体" w:cs="宋体"/>
          <w:color w:val="auto"/>
          <w:szCs w:val="21"/>
          <w:highlight w:val="none"/>
          <w:lang w:val="zh-CN"/>
        </w:rPr>
      </w:pPr>
    </w:p>
    <w:p>
      <w:pPr>
        <w:autoSpaceDE w:val="0"/>
        <w:autoSpaceDN w:val="0"/>
        <w:adjustRightInd w:val="0"/>
        <w:spacing w:line="500" w:lineRule="exact"/>
        <w:jc w:val="center"/>
        <w:rPr>
          <w:rFonts w:ascii="宋体" w:hAnsi="宋体" w:cs="宋体"/>
          <w:color w:val="auto"/>
          <w:szCs w:val="21"/>
          <w:highlight w:val="none"/>
          <w:lang w:val="zh-CN"/>
        </w:rPr>
        <w:sectPr>
          <w:pgSz w:w="11907" w:h="16840"/>
          <w:pgMar w:top="1134" w:right="1418" w:bottom="1134" w:left="1418" w:header="567" w:footer="567" w:gutter="0"/>
          <w:cols w:space="720" w:num="1"/>
          <w:titlePg/>
          <w:docGrid w:linePitch="312" w:charSpace="0"/>
        </w:sectPr>
      </w:pPr>
    </w:p>
    <w:p>
      <w:pPr>
        <w:autoSpaceDE w:val="0"/>
        <w:autoSpaceDN w:val="0"/>
        <w:adjustRightInd w:val="0"/>
        <w:spacing w:line="500" w:lineRule="exact"/>
        <w:jc w:val="center"/>
        <w:rPr>
          <w:rFonts w:ascii="宋体" w:hAnsi="宋体" w:cs="宋体"/>
          <w:b/>
          <w:color w:val="auto"/>
          <w:sz w:val="36"/>
          <w:szCs w:val="36"/>
          <w:highlight w:val="none"/>
          <w:lang w:val="zh-CN"/>
        </w:rPr>
      </w:pPr>
      <w:r>
        <w:rPr>
          <w:rFonts w:hint="eastAsia" w:ascii="宋体" w:hAnsi="宋体" w:cs="宋体"/>
          <w:b/>
          <w:color w:val="auto"/>
          <w:sz w:val="36"/>
          <w:szCs w:val="36"/>
          <w:highlight w:val="none"/>
          <w:lang w:val="zh-CN"/>
        </w:rPr>
        <w:t>三、磋商一览表</w:t>
      </w:r>
    </w:p>
    <w:p>
      <w:pPr>
        <w:autoSpaceDE w:val="0"/>
        <w:autoSpaceDN w:val="0"/>
        <w:adjustRightInd w:val="0"/>
        <w:spacing w:line="400" w:lineRule="exact"/>
        <w:jc w:val="left"/>
        <w:rPr>
          <w:rFonts w:ascii="宋体" w:hAnsi="宋体" w:cs="宋体"/>
          <w:b/>
          <w:color w:val="auto"/>
          <w:kern w:val="0"/>
          <w:szCs w:val="21"/>
          <w:highlight w:val="none"/>
          <w:shd w:val="clear" w:color="auto" w:fill="FFFFFF"/>
        </w:rPr>
      </w:pPr>
    </w:p>
    <w:p>
      <w:pPr>
        <w:ind w:left="13" w:leftChars="-51" w:hanging="120" w:hangingChars="50"/>
        <w:rPr>
          <w:rFonts w:ascii="宋体" w:hAnsi="宋体" w:cs="宋体"/>
          <w:color w:val="auto"/>
          <w:sz w:val="24"/>
          <w:szCs w:val="24"/>
          <w:highlight w:val="none"/>
          <w:u w:val="single"/>
        </w:rPr>
      </w:pPr>
      <w:r>
        <w:rPr>
          <w:rFonts w:hint="eastAsia" w:ascii="宋体" w:hAnsi="宋体" w:cs="宋体"/>
          <w:color w:val="auto"/>
          <w:sz w:val="24"/>
          <w:szCs w:val="24"/>
          <w:highlight w:val="none"/>
        </w:rPr>
        <w:t>项 目 名 称 ：</w:t>
      </w:r>
    </w:p>
    <w:p>
      <w:pPr>
        <w:ind w:left="13" w:leftChars="-51" w:hanging="120" w:hangingChars="50"/>
        <w:rPr>
          <w:rFonts w:ascii="宋体" w:hAnsi="宋体" w:cs="宋体"/>
          <w:color w:val="auto"/>
          <w:sz w:val="24"/>
          <w:szCs w:val="24"/>
          <w:highlight w:val="none"/>
        </w:rPr>
      </w:pPr>
      <w:r>
        <w:rPr>
          <w:rFonts w:hint="eastAsia" w:ascii="宋体" w:hAnsi="宋体" w:cs="宋体"/>
          <w:color w:val="auto"/>
          <w:sz w:val="24"/>
          <w:szCs w:val="24"/>
          <w:highlight w:val="none"/>
        </w:rPr>
        <w:t>磋 商 编 号：</w:t>
      </w:r>
    </w:p>
    <w:tbl>
      <w:tblPr>
        <w:tblStyle w:val="46"/>
        <w:tblW w:w="91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4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供应商</w:t>
            </w:r>
          </w:p>
        </w:tc>
        <w:tc>
          <w:tcPr>
            <w:tcW w:w="74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磋商报价</w:t>
            </w:r>
          </w:p>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万</w:t>
            </w:r>
            <w:r>
              <w:rPr>
                <w:rFonts w:hint="eastAsia" w:ascii="宋体" w:hAnsi="宋体" w:cs="宋体"/>
                <w:color w:val="auto"/>
                <w:sz w:val="24"/>
                <w:szCs w:val="24"/>
                <w:highlight w:val="none"/>
              </w:rPr>
              <w:t>元）</w:t>
            </w:r>
          </w:p>
        </w:tc>
        <w:tc>
          <w:tcPr>
            <w:tcW w:w="74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合同履行期限</w:t>
            </w:r>
          </w:p>
        </w:tc>
        <w:tc>
          <w:tcPr>
            <w:tcW w:w="74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color w:val="auto"/>
                <w:szCs w:val="20"/>
                <w:highlight w:val="none"/>
                <w:lang w:eastAsia="zh-CN"/>
              </w:rPr>
            </w:pPr>
            <w:r>
              <w:rPr>
                <w:rFonts w:hint="eastAsia" w:ascii="宋体" w:hAnsi="宋体" w:cs="宋体"/>
                <w:color w:val="auto"/>
                <w:sz w:val="24"/>
                <w:szCs w:val="24"/>
                <w:highlight w:val="none"/>
                <w:lang w:eastAsia="zh-CN"/>
              </w:rPr>
              <w:t>按照合同约定期限执行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优惠条件</w:t>
            </w:r>
          </w:p>
        </w:tc>
        <w:tc>
          <w:tcPr>
            <w:tcW w:w="74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（有/无）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服务标准</w:t>
            </w:r>
          </w:p>
        </w:tc>
        <w:tc>
          <w:tcPr>
            <w:tcW w:w="74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zh-CN" w:eastAsia="zh-CN"/>
              </w:rPr>
              <w:t>符合国家及行业规定的合格标准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备注</w:t>
            </w:r>
          </w:p>
        </w:tc>
        <w:tc>
          <w:tcPr>
            <w:tcW w:w="7463" w:type="dxa"/>
            <w:tcBorders>
              <w:top w:val="single" w:color="auto" w:sz="4" w:space="0"/>
              <w:left w:val="single" w:color="auto" w:sz="4" w:space="0"/>
              <w:bottom w:val="single" w:color="auto" w:sz="4" w:space="0"/>
              <w:right w:val="single" w:color="auto" w:sz="4" w:space="0"/>
            </w:tcBorders>
          </w:tcPr>
          <w:p>
            <w:pPr>
              <w:keepNext w:val="0"/>
              <w:keepLines w:val="0"/>
              <w:numPr>
                <w:ilvl w:val="0"/>
                <w:numId w:val="0"/>
              </w:numPr>
              <w:suppressLineNumbers w:val="0"/>
              <w:spacing w:before="0" w:beforeAutospacing="0" w:after="0" w:afterAutospacing="0"/>
              <w:ind w:left="0" w:leftChars="0" w:right="0" w:rightChars="0"/>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本表只做磋商时使用，但本表的一切内容均具有法律效力，不得更改。</w:t>
            </w:r>
          </w:p>
          <w:p>
            <w:pPr>
              <w:keepNext w:val="0"/>
              <w:keepLines w:val="0"/>
              <w:numPr>
                <w:ilvl w:val="0"/>
                <w:numId w:val="0"/>
              </w:numPr>
              <w:suppressLineNumbers w:val="0"/>
              <w:spacing w:before="0" w:beforeAutospacing="0" w:after="0" w:afterAutospacing="0"/>
              <w:ind w:left="0" w:leftChars="0" w:right="0" w:rightChars="0"/>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填报的内容必须和响应文件及报价函中的内容一致。</w:t>
            </w:r>
          </w:p>
          <w:p>
            <w:pPr>
              <w:keepNext w:val="0"/>
              <w:keepLines w:val="0"/>
              <w:numPr>
                <w:ilvl w:val="0"/>
                <w:numId w:val="0"/>
              </w:numPr>
              <w:suppressLineNumbers w:val="0"/>
              <w:spacing w:before="0" w:beforeAutospacing="0" w:after="0" w:afterAutospacing="0"/>
              <w:ind w:left="0" w:leftChars="0" w:right="0" w:rightChars="0"/>
              <w:rPr>
                <w:rFonts w:hint="default" w:ascii="宋体" w:hAnsi="宋体" w:cs="宋体"/>
                <w:b/>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优惠条件详细内容必须在磋商文件中载明，本表只填写“有”“无”即可。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91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供应商：        （盖章）                 被授权人：          （签字或盖章）</w:t>
            </w:r>
          </w:p>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tc>
      </w:tr>
    </w:tbl>
    <w:p>
      <w:pPr>
        <w:autoSpaceDE w:val="0"/>
        <w:autoSpaceDN w:val="0"/>
        <w:adjustRightInd w:val="0"/>
        <w:spacing w:line="500" w:lineRule="exact"/>
        <w:rPr>
          <w:rFonts w:ascii="宋体" w:hAnsi="宋体" w:cs="宋体"/>
          <w:color w:val="auto"/>
          <w:sz w:val="24"/>
          <w:highlight w:val="none"/>
          <w:lang w:val="zh-CN"/>
        </w:rPr>
      </w:pPr>
    </w:p>
    <w:p>
      <w:pPr>
        <w:autoSpaceDE w:val="0"/>
        <w:autoSpaceDN w:val="0"/>
        <w:adjustRightInd w:val="0"/>
        <w:spacing w:line="500" w:lineRule="exact"/>
        <w:jc w:val="center"/>
        <w:rPr>
          <w:rFonts w:ascii="宋体" w:hAnsi="宋体" w:cs="宋体"/>
          <w:b/>
          <w:color w:val="auto"/>
          <w:sz w:val="36"/>
          <w:szCs w:val="36"/>
          <w:highlight w:val="none"/>
          <w:lang w:val="zh-CN"/>
        </w:rPr>
      </w:pPr>
    </w:p>
    <w:p>
      <w:pPr>
        <w:autoSpaceDE w:val="0"/>
        <w:autoSpaceDN w:val="0"/>
        <w:adjustRightInd w:val="0"/>
        <w:spacing w:line="500" w:lineRule="exact"/>
        <w:jc w:val="center"/>
        <w:rPr>
          <w:rFonts w:ascii="宋体" w:hAnsi="宋体" w:cs="宋体"/>
          <w:b/>
          <w:color w:val="auto"/>
          <w:sz w:val="36"/>
          <w:szCs w:val="36"/>
          <w:highlight w:val="none"/>
          <w:lang w:val="zh-CN"/>
        </w:rPr>
      </w:pPr>
    </w:p>
    <w:p>
      <w:pPr>
        <w:pStyle w:val="45"/>
        <w:ind w:firstLine="723"/>
        <w:rPr>
          <w:rFonts w:ascii="宋体" w:hAnsi="宋体" w:cs="宋体"/>
          <w:b/>
          <w:color w:val="auto"/>
          <w:sz w:val="36"/>
          <w:szCs w:val="36"/>
          <w:highlight w:val="none"/>
          <w:lang w:val="zh-CN"/>
        </w:rPr>
      </w:pPr>
    </w:p>
    <w:p>
      <w:pPr>
        <w:pStyle w:val="45"/>
        <w:ind w:firstLine="723"/>
        <w:rPr>
          <w:rFonts w:ascii="宋体" w:hAnsi="宋体" w:cs="宋体"/>
          <w:b/>
          <w:color w:val="auto"/>
          <w:sz w:val="36"/>
          <w:szCs w:val="36"/>
          <w:highlight w:val="none"/>
          <w:lang w:val="zh-CN"/>
        </w:rPr>
      </w:pPr>
    </w:p>
    <w:p>
      <w:pPr>
        <w:autoSpaceDE w:val="0"/>
        <w:autoSpaceDN w:val="0"/>
        <w:adjustRightInd w:val="0"/>
        <w:spacing w:line="500" w:lineRule="exact"/>
        <w:jc w:val="center"/>
        <w:rPr>
          <w:rFonts w:ascii="宋体" w:hAnsi="宋体" w:cs="宋体"/>
          <w:b/>
          <w:color w:val="auto"/>
          <w:sz w:val="36"/>
          <w:szCs w:val="36"/>
          <w:highlight w:val="none"/>
          <w:lang w:val="zh-CN"/>
        </w:rPr>
      </w:pPr>
    </w:p>
    <w:p>
      <w:pPr>
        <w:autoSpaceDE w:val="0"/>
        <w:autoSpaceDN w:val="0"/>
        <w:adjustRightInd w:val="0"/>
        <w:spacing w:line="500" w:lineRule="exact"/>
        <w:jc w:val="center"/>
        <w:rPr>
          <w:rFonts w:ascii="宋体" w:hAnsi="宋体" w:cs="宋体"/>
          <w:b/>
          <w:color w:val="auto"/>
          <w:sz w:val="36"/>
          <w:szCs w:val="36"/>
          <w:highlight w:val="none"/>
          <w:lang w:val="zh-CN"/>
        </w:rPr>
      </w:pPr>
      <w:r>
        <w:rPr>
          <w:rFonts w:hint="eastAsia" w:ascii="宋体" w:hAnsi="宋体" w:cs="宋体"/>
          <w:b/>
          <w:color w:val="auto"/>
          <w:sz w:val="36"/>
          <w:szCs w:val="36"/>
          <w:highlight w:val="none"/>
          <w:lang w:val="zh-CN"/>
        </w:rPr>
        <w:t>四、磋商保证金</w:t>
      </w:r>
    </w:p>
    <w:p>
      <w:pPr>
        <w:rPr>
          <w:rFonts w:ascii="宋体" w:hAnsi="宋体" w:cs="宋体"/>
          <w:b/>
          <w:bCs/>
          <w:color w:val="auto"/>
          <w:sz w:val="24"/>
          <w:szCs w:val="32"/>
          <w:highlight w:val="none"/>
        </w:rPr>
      </w:pPr>
    </w:p>
    <w:p>
      <w:pPr>
        <w:autoSpaceDE w:val="0"/>
        <w:autoSpaceDN w:val="0"/>
        <w:adjustRightInd w:val="0"/>
        <w:spacing w:line="360" w:lineRule="auto"/>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致（采购代理机构名称）：</w:t>
      </w:r>
    </w:p>
    <w:p>
      <w:pPr>
        <w:autoSpaceDE w:val="0"/>
        <w:autoSpaceDN w:val="0"/>
        <w:adjustRightInd w:val="0"/>
        <w:spacing w:line="360" w:lineRule="auto"/>
        <w:jc w:val="left"/>
        <w:rPr>
          <w:rFonts w:ascii="宋体" w:hAnsi="宋体" w:cs="宋体"/>
          <w:color w:val="auto"/>
          <w:kern w:val="0"/>
          <w:sz w:val="24"/>
          <w:szCs w:val="24"/>
          <w:highlight w:val="none"/>
          <w:lang w:val="zh-CN"/>
        </w:rPr>
      </w:pPr>
    </w:p>
    <w:p>
      <w:pPr>
        <w:autoSpaceDE w:val="0"/>
        <w:autoSpaceDN w:val="0"/>
        <w:adjustRightInd w:val="0"/>
        <w:spacing w:line="360" w:lineRule="auto"/>
        <w:ind w:firstLine="601"/>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[供应商名称]（以下称“供应商”）于</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日递交了[项目名称]的响应文件。并附有人民币</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lang w:val="zh-CN"/>
        </w:rPr>
        <w:t>元做为磋商保证金。</w:t>
      </w:r>
    </w:p>
    <w:p>
      <w:pPr>
        <w:autoSpaceDE w:val="0"/>
        <w:autoSpaceDN w:val="0"/>
        <w:adjustRightInd w:val="0"/>
        <w:spacing w:line="360" w:lineRule="auto"/>
        <w:ind w:firstLine="601"/>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我方同意磋商文件</w:t>
      </w:r>
      <w:r>
        <w:rPr>
          <w:rFonts w:hint="eastAsia" w:ascii="宋体" w:hAnsi="宋体" w:cs="宋体"/>
          <w:color w:val="auto"/>
          <w:sz w:val="24"/>
          <w:szCs w:val="24"/>
          <w:highlight w:val="none"/>
        </w:rPr>
        <w:t>第二章“供应商须知”</w:t>
      </w:r>
      <w:r>
        <w:rPr>
          <w:rFonts w:hint="eastAsia" w:ascii="宋体" w:hAnsi="宋体" w:cs="宋体"/>
          <w:color w:val="auto"/>
          <w:sz w:val="24"/>
          <w:szCs w:val="24"/>
          <w:highlight w:val="none"/>
          <w:lang w:val="en-US" w:eastAsia="zh-CN"/>
        </w:rPr>
        <w:t>有关</w:t>
      </w:r>
      <w:r>
        <w:rPr>
          <w:rFonts w:hint="eastAsia" w:ascii="宋体" w:hAnsi="宋体" w:cs="宋体"/>
          <w:color w:val="auto"/>
          <w:kern w:val="0"/>
          <w:sz w:val="24"/>
          <w:szCs w:val="24"/>
          <w:highlight w:val="none"/>
          <w:lang w:val="zh-CN"/>
        </w:rPr>
        <w:t>磋商保证金的规定，并对我方有约束力。</w:t>
      </w:r>
    </w:p>
    <w:p>
      <w:pPr>
        <w:autoSpaceDE w:val="0"/>
        <w:autoSpaceDN w:val="0"/>
        <w:adjustRightInd w:val="0"/>
        <w:spacing w:line="360" w:lineRule="auto"/>
        <w:ind w:firstLine="601"/>
        <w:jc w:val="left"/>
        <w:rPr>
          <w:rFonts w:ascii="宋体" w:hAnsi="宋体" w:cs="宋体"/>
          <w:color w:val="auto"/>
          <w:kern w:val="0"/>
          <w:sz w:val="24"/>
          <w:szCs w:val="24"/>
          <w:highlight w:val="none"/>
          <w:lang w:val="zh-CN"/>
        </w:rPr>
      </w:pPr>
    </w:p>
    <w:tbl>
      <w:tblPr>
        <w:tblStyle w:val="46"/>
        <w:tblW w:w="7513"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0" w:hRule="atLeast"/>
        </w:trPr>
        <w:tc>
          <w:tcPr>
            <w:tcW w:w="7513" w:type="dxa"/>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附：汇款凭证</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color w:val="auto"/>
                <w:kern w:val="0"/>
                <w:sz w:val="24"/>
                <w:szCs w:val="24"/>
                <w:highlight w:val="none"/>
                <w:lang w:val="zh-CN"/>
              </w:rPr>
            </w:pPr>
          </w:p>
        </w:tc>
      </w:tr>
    </w:tbl>
    <w:p>
      <w:pPr>
        <w:autoSpaceDE w:val="0"/>
        <w:autoSpaceDN w:val="0"/>
        <w:adjustRightInd w:val="0"/>
        <w:spacing w:line="360" w:lineRule="auto"/>
        <w:ind w:firstLine="570"/>
        <w:jc w:val="left"/>
        <w:rPr>
          <w:rFonts w:ascii="宋体" w:hAnsi="宋体" w:cs="宋体"/>
          <w:color w:val="auto"/>
          <w:kern w:val="0"/>
          <w:sz w:val="24"/>
          <w:szCs w:val="24"/>
          <w:highlight w:val="none"/>
          <w:lang w:val="zh-CN"/>
        </w:rPr>
      </w:pPr>
    </w:p>
    <w:p>
      <w:pPr>
        <w:autoSpaceDE w:val="0"/>
        <w:autoSpaceDN w:val="0"/>
        <w:adjustRightInd w:val="0"/>
        <w:spacing w:line="360" w:lineRule="auto"/>
        <w:ind w:firstLine="570"/>
        <w:jc w:val="left"/>
        <w:rPr>
          <w:rFonts w:ascii="宋体" w:hAnsi="宋体" w:cs="宋体"/>
          <w:color w:val="auto"/>
          <w:sz w:val="24"/>
          <w:szCs w:val="24"/>
          <w:highlight w:val="none"/>
        </w:rPr>
      </w:pPr>
    </w:p>
    <w:p>
      <w:pPr>
        <w:autoSpaceDE w:val="0"/>
        <w:autoSpaceDN w:val="0"/>
        <w:adjustRightInd w:val="0"/>
        <w:spacing w:line="360" w:lineRule="auto"/>
        <w:ind w:firstLine="570"/>
        <w:jc w:val="left"/>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供应商：</w:t>
      </w:r>
      <w:r>
        <w:rPr>
          <w:rFonts w:hint="eastAsia" w:ascii="宋体" w:hAnsi="宋体" w:cs="宋体"/>
          <w:b/>
          <w:color w:val="auto"/>
          <w:kern w:val="0"/>
          <w:sz w:val="24"/>
          <w:szCs w:val="24"/>
          <w:highlight w:val="none"/>
          <w:lang w:val="zh-CN"/>
        </w:rPr>
        <w:t>（公章）</w:t>
      </w:r>
    </w:p>
    <w:p>
      <w:pPr>
        <w:autoSpaceDE w:val="0"/>
        <w:autoSpaceDN w:val="0"/>
        <w:adjustRightInd w:val="0"/>
        <w:spacing w:line="360" w:lineRule="auto"/>
        <w:jc w:val="left"/>
        <w:rPr>
          <w:rFonts w:ascii="宋体" w:hAnsi="宋体" w:cs="宋体"/>
          <w:b/>
          <w:color w:val="auto"/>
          <w:kern w:val="0"/>
          <w:sz w:val="24"/>
          <w:szCs w:val="24"/>
          <w:highlight w:val="none"/>
          <w:lang w:val="zh-CN"/>
        </w:rPr>
      </w:pPr>
    </w:p>
    <w:p>
      <w:pPr>
        <w:autoSpaceDE w:val="0"/>
        <w:autoSpaceDN w:val="0"/>
        <w:adjustRightInd w:val="0"/>
        <w:spacing w:line="360" w:lineRule="auto"/>
        <w:jc w:val="left"/>
        <w:rPr>
          <w:rFonts w:ascii="宋体" w:hAnsi="宋体" w:cs="宋体"/>
          <w:b/>
          <w:color w:val="auto"/>
          <w:kern w:val="0"/>
          <w:sz w:val="24"/>
          <w:szCs w:val="24"/>
          <w:highlight w:val="none"/>
          <w:lang w:val="zh-CN"/>
        </w:rPr>
      </w:pPr>
    </w:p>
    <w:p>
      <w:pPr>
        <w:spacing w:line="360" w:lineRule="auto"/>
        <w:ind w:firstLine="600" w:firstLineChars="250"/>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法定代表人或被授权代表：</w:t>
      </w:r>
      <w:r>
        <w:rPr>
          <w:rFonts w:hint="eastAsia" w:ascii="宋体" w:hAnsi="宋体" w:cs="宋体"/>
          <w:b/>
          <w:color w:val="auto"/>
          <w:kern w:val="0"/>
          <w:sz w:val="24"/>
          <w:szCs w:val="24"/>
          <w:highlight w:val="none"/>
          <w:lang w:val="zh-CN"/>
        </w:rPr>
        <w:t xml:space="preserve"> （签字或盖章）</w:t>
      </w:r>
    </w:p>
    <w:p>
      <w:pPr>
        <w:spacing w:line="360" w:lineRule="auto"/>
        <w:ind w:firstLine="480"/>
        <w:rPr>
          <w:rFonts w:ascii="宋体" w:hAnsi="宋体" w:cs="宋体"/>
          <w:color w:val="auto"/>
          <w:kern w:val="0"/>
          <w:szCs w:val="21"/>
          <w:highlight w:val="none"/>
          <w:lang w:val="zh-CN"/>
        </w:rPr>
      </w:pPr>
    </w:p>
    <w:p>
      <w:pPr>
        <w:spacing w:line="360" w:lineRule="auto"/>
        <w:ind w:firstLine="480"/>
        <w:rPr>
          <w:rFonts w:ascii="宋体" w:hAnsi="宋体" w:cs="宋体"/>
          <w:color w:val="auto"/>
          <w:kern w:val="0"/>
          <w:szCs w:val="21"/>
          <w:highlight w:val="none"/>
          <w:lang w:val="zh-CN"/>
        </w:rPr>
      </w:pPr>
    </w:p>
    <w:p>
      <w:pPr>
        <w:spacing w:line="360" w:lineRule="auto"/>
        <w:rPr>
          <w:rFonts w:ascii="宋体" w:hAnsi="宋体" w:cs="宋体"/>
          <w:color w:val="auto"/>
          <w:kern w:val="0"/>
          <w:szCs w:val="21"/>
          <w:highlight w:val="none"/>
          <w:lang w:val="zh-CN"/>
        </w:rPr>
      </w:pPr>
    </w:p>
    <w:p>
      <w:pPr>
        <w:spacing w:line="360" w:lineRule="auto"/>
        <w:ind w:firstLine="480"/>
        <w:jc w:val="right"/>
        <w:rPr>
          <w:rFonts w:ascii="宋体" w:hAnsi="宋体" w:cs="宋体"/>
          <w:color w:val="auto"/>
          <w:kern w:val="0"/>
          <w:szCs w:val="21"/>
          <w:highlight w:val="none"/>
          <w:lang w:val="zh-CN"/>
        </w:rPr>
      </w:pPr>
    </w:p>
    <w:p>
      <w:pPr>
        <w:spacing w:line="600" w:lineRule="exact"/>
        <w:ind w:firstLine="2880" w:firstLineChars="1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日 期：   年   月   日</w:t>
      </w:r>
    </w:p>
    <w:p>
      <w:pPr>
        <w:autoSpaceDE w:val="0"/>
        <w:autoSpaceDN w:val="0"/>
        <w:adjustRightInd w:val="0"/>
        <w:spacing w:line="500" w:lineRule="exact"/>
        <w:jc w:val="center"/>
        <w:rPr>
          <w:rFonts w:ascii="宋体" w:hAnsi="宋体" w:cs="宋体"/>
          <w:color w:val="auto"/>
          <w:szCs w:val="21"/>
          <w:highlight w:val="none"/>
        </w:rPr>
      </w:pPr>
    </w:p>
    <w:p>
      <w:pPr>
        <w:autoSpaceDE w:val="0"/>
        <w:autoSpaceDN w:val="0"/>
        <w:adjustRightInd w:val="0"/>
        <w:spacing w:line="500" w:lineRule="exact"/>
        <w:jc w:val="center"/>
        <w:rPr>
          <w:rFonts w:ascii="宋体" w:hAnsi="宋体" w:cs="宋体"/>
          <w:color w:val="auto"/>
          <w:szCs w:val="21"/>
          <w:highlight w:val="none"/>
          <w:lang w:val="zh-CN"/>
        </w:rPr>
      </w:pPr>
    </w:p>
    <w:p>
      <w:pPr>
        <w:autoSpaceDE w:val="0"/>
        <w:autoSpaceDN w:val="0"/>
        <w:adjustRightInd w:val="0"/>
        <w:spacing w:line="500" w:lineRule="exact"/>
        <w:jc w:val="both"/>
        <w:rPr>
          <w:rFonts w:ascii="宋体" w:hAnsi="宋体" w:cs="宋体"/>
          <w:b/>
          <w:color w:val="auto"/>
          <w:sz w:val="36"/>
          <w:szCs w:val="36"/>
          <w:highlight w:val="none"/>
          <w:lang w:val="zh-CN"/>
        </w:rPr>
      </w:pPr>
      <w:r>
        <w:rPr>
          <w:rFonts w:hint="eastAsia" w:ascii="宋体" w:hAnsi="宋体" w:cs="宋体"/>
          <w:color w:val="auto"/>
          <w:sz w:val="24"/>
          <w:highlight w:val="none"/>
          <w:lang w:val="zh-CN"/>
        </w:rPr>
        <w:br w:type="page"/>
      </w:r>
      <w:r>
        <w:rPr>
          <w:rFonts w:hint="eastAsia" w:ascii="宋体" w:hAnsi="宋体" w:cs="宋体"/>
          <w:b/>
          <w:color w:val="auto"/>
          <w:sz w:val="36"/>
          <w:szCs w:val="36"/>
          <w:highlight w:val="none"/>
          <w:lang w:val="zh-CN"/>
        </w:rPr>
        <w:t>五、</w:t>
      </w:r>
      <w:r>
        <w:rPr>
          <w:rFonts w:hint="eastAsia" w:ascii="宋体" w:hAnsi="宋体" w:cs="宋体"/>
          <w:b/>
          <w:color w:val="auto"/>
          <w:sz w:val="36"/>
          <w:szCs w:val="36"/>
          <w:highlight w:val="none"/>
          <w:lang w:val="en-US" w:eastAsia="zh-CN"/>
        </w:rPr>
        <w:t>磋商报价</w:t>
      </w:r>
      <w:r>
        <w:rPr>
          <w:rFonts w:hint="eastAsia" w:ascii="宋体" w:hAnsi="宋体" w:cs="宋体"/>
          <w:b/>
          <w:color w:val="auto"/>
          <w:sz w:val="36"/>
          <w:szCs w:val="36"/>
          <w:highlight w:val="none"/>
          <w:lang w:val="zh-CN"/>
        </w:rPr>
        <w:t>明细及说明</w:t>
      </w:r>
    </w:p>
    <w:p>
      <w:pPr>
        <w:spacing w:line="360" w:lineRule="auto"/>
        <w:ind w:left="177" w:hanging="177" w:hangingChars="49"/>
        <w:rPr>
          <w:rFonts w:ascii="宋体" w:hAnsi="宋体" w:cs="宋体"/>
          <w:b/>
          <w:bCs/>
          <w:color w:val="auto"/>
          <w:sz w:val="36"/>
          <w:highlight w:val="none"/>
        </w:rPr>
      </w:pPr>
    </w:p>
    <w:p>
      <w:pPr>
        <w:spacing w:line="360" w:lineRule="auto"/>
        <w:rPr>
          <w:rFonts w:ascii="宋体" w:hAnsi="宋体" w:cs="宋体"/>
          <w:color w:val="auto"/>
          <w:szCs w:val="21"/>
          <w:highlight w:val="none"/>
        </w:rPr>
      </w:pPr>
    </w:p>
    <w:p>
      <w:pPr>
        <w:autoSpaceDE w:val="0"/>
        <w:autoSpaceDN w:val="0"/>
        <w:adjustRightInd w:val="0"/>
        <w:spacing w:line="500" w:lineRule="exact"/>
        <w:jc w:val="center"/>
        <w:rPr>
          <w:rFonts w:ascii="宋体" w:hAnsi="宋体" w:cs="宋体"/>
          <w:color w:val="auto"/>
          <w:szCs w:val="21"/>
          <w:highlight w:val="none"/>
        </w:rPr>
      </w:pPr>
    </w:p>
    <w:p>
      <w:pPr>
        <w:autoSpaceDE w:val="0"/>
        <w:autoSpaceDN w:val="0"/>
        <w:adjustRightInd w:val="0"/>
        <w:spacing w:line="500" w:lineRule="exact"/>
        <w:jc w:val="center"/>
        <w:rPr>
          <w:rFonts w:ascii="宋体" w:hAnsi="宋体" w:cs="宋体"/>
          <w:color w:val="auto"/>
          <w:szCs w:val="21"/>
          <w:highlight w:val="none"/>
          <w:lang w:val="zh-CN"/>
        </w:rPr>
      </w:pPr>
    </w:p>
    <w:p>
      <w:pPr>
        <w:autoSpaceDE w:val="0"/>
        <w:autoSpaceDN w:val="0"/>
        <w:adjustRightInd w:val="0"/>
        <w:spacing w:line="500" w:lineRule="exact"/>
        <w:jc w:val="center"/>
        <w:rPr>
          <w:rFonts w:ascii="宋体" w:hAnsi="宋体" w:cs="宋体"/>
          <w:color w:val="auto"/>
          <w:szCs w:val="21"/>
          <w:highlight w:val="none"/>
          <w:lang w:val="zh-CN"/>
        </w:rPr>
      </w:pPr>
    </w:p>
    <w:p>
      <w:pPr>
        <w:autoSpaceDE w:val="0"/>
        <w:autoSpaceDN w:val="0"/>
        <w:adjustRightInd w:val="0"/>
        <w:spacing w:line="500" w:lineRule="exact"/>
        <w:jc w:val="center"/>
        <w:rPr>
          <w:rFonts w:ascii="宋体" w:hAnsi="宋体" w:cs="宋体"/>
          <w:color w:val="auto"/>
          <w:szCs w:val="21"/>
          <w:highlight w:val="none"/>
          <w:lang w:val="zh-CN"/>
        </w:rPr>
      </w:pPr>
    </w:p>
    <w:p>
      <w:pPr>
        <w:autoSpaceDE w:val="0"/>
        <w:autoSpaceDN w:val="0"/>
        <w:adjustRightInd w:val="0"/>
        <w:spacing w:line="500" w:lineRule="exact"/>
        <w:jc w:val="center"/>
        <w:rPr>
          <w:rFonts w:ascii="宋体" w:hAnsi="宋体" w:cs="宋体"/>
          <w:color w:val="auto"/>
          <w:szCs w:val="21"/>
          <w:highlight w:val="none"/>
          <w:lang w:val="zh-CN"/>
        </w:rPr>
      </w:pPr>
    </w:p>
    <w:p>
      <w:pPr>
        <w:autoSpaceDE w:val="0"/>
        <w:autoSpaceDN w:val="0"/>
        <w:adjustRightInd w:val="0"/>
        <w:spacing w:line="500" w:lineRule="exact"/>
        <w:jc w:val="center"/>
        <w:rPr>
          <w:rFonts w:ascii="宋体" w:hAnsi="宋体" w:cs="宋体"/>
          <w:color w:val="auto"/>
          <w:szCs w:val="21"/>
          <w:highlight w:val="none"/>
          <w:lang w:val="zh-CN"/>
        </w:rPr>
      </w:pPr>
    </w:p>
    <w:p>
      <w:pPr>
        <w:autoSpaceDE w:val="0"/>
        <w:autoSpaceDN w:val="0"/>
        <w:adjustRightInd w:val="0"/>
        <w:spacing w:line="500" w:lineRule="exact"/>
        <w:jc w:val="center"/>
        <w:rPr>
          <w:rFonts w:ascii="宋体" w:hAnsi="宋体" w:cs="宋体"/>
          <w:color w:val="auto"/>
          <w:szCs w:val="21"/>
          <w:highlight w:val="none"/>
          <w:lang w:val="zh-CN"/>
        </w:rPr>
      </w:pPr>
    </w:p>
    <w:p>
      <w:pPr>
        <w:autoSpaceDE w:val="0"/>
        <w:autoSpaceDN w:val="0"/>
        <w:adjustRightInd w:val="0"/>
        <w:spacing w:line="500" w:lineRule="exact"/>
        <w:jc w:val="center"/>
        <w:rPr>
          <w:rFonts w:ascii="宋体" w:hAnsi="宋体" w:cs="宋体"/>
          <w:color w:val="auto"/>
          <w:szCs w:val="21"/>
          <w:highlight w:val="none"/>
          <w:lang w:val="zh-CN"/>
        </w:rPr>
      </w:pPr>
    </w:p>
    <w:p>
      <w:pPr>
        <w:autoSpaceDE w:val="0"/>
        <w:autoSpaceDN w:val="0"/>
        <w:adjustRightInd w:val="0"/>
        <w:spacing w:line="500" w:lineRule="exact"/>
        <w:jc w:val="center"/>
        <w:rPr>
          <w:rFonts w:ascii="宋体" w:hAnsi="宋体" w:cs="宋体"/>
          <w:color w:val="auto"/>
          <w:szCs w:val="21"/>
          <w:highlight w:val="none"/>
          <w:lang w:val="zh-CN"/>
        </w:rPr>
      </w:pPr>
    </w:p>
    <w:p>
      <w:pPr>
        <w:autoSpaceDE w:val="0"/>
        <w:autoSpaceDN w:val="0"/>
        <w:adjustRightInd w:val="0"/>
        <w:spacing w:line="500" w:lineRule="exact"/>
        <w:jc w:val="center"/>
        <w:rPr>
          <w:rFonts w:ascii="宋体" w:hAnsi="宋体" w:cs="宋体"/>
          <w:color w:val="auto"/>
          <w:sz w:val="24"/>
          <w:szCs w:val="24"/>
          <w:highlight w:val="none"/>
          <w:lang w:val="zh-CN"/>
        </w:rPr>
      </w:pPr>
    </w:p>
    <w:p>
      <w:pPr>
        <w:autoSpaceDE w:val="0"/>
        <w:autoSpaceDN w:val="0"/>
        <w:adjustRightInd w:val="0"/>
        <w:spacing w:line="500" w:lineRule="exact"/>
        <w:jc w:val="center"/>
        <w:rPr>
          <w:rFonts w:ascii="宋体" w:hAnsi="宋体" w:cs="宋体"/>
          <w:color w:val="auto"/>
          <w:sz w:val="24"/>
          <w:szCs w:val="24"/>
          <w:highlight w:val="none"/>
          <w:u w:val="single"/>
          <w:lang w:val="zh-CN"/>
        </w:rPr>
      </w:pPr>
      <w:r>
        <w:rPr>
          <w:rFonts w:hint="eastAsia" w:ascii="宋体" w:hAnsi="宋体" w:cs="宋体"/>
          <w:color w:val="auto"/>
          <w:sz w:val="24"/>
          <w:szCs w:val="24"/>
          <w:highlight w:val="none"/>
          <w:lang w:val="zh-CN"/>
        </w:rPr>
        <w:t xml:space="preserve">                               供应商：</w:t>
      </w:r>
      <w:r>
        <w:rPr>
          <w:rFonts w:hint="eastAsia" w:ascii="宋体" w:hAnsi="宋体" w:cs="宋体"/>
          <w:color w:val="auto"/>
          <w:sz w:val="24"/>
          <w:szCs w:val="24"/>
          <w:highlight w:val="none"/>
          <w:u w:val="single"/>
          <w:lang w:val="zh-CN"/>
        </w:rPr>
        <w:t xml:space="preserve">                  （盖公章）</w:t>
      </w:r>
    </w:p>
    <w:p>
      <w:pPr>
        <w:autoSpaceDE w:val="0"/>
        <w:autoSpaceDN w:val="0"/>
        <w:adjustRightInd w:val="0"/>
        <w:spacing w:line="500" w:lineRule="exact"/>
        <w:jc w:val="center"/>
        <w:rPr>
          <w:rFonts w:ascii="宋体" w:hAnsi="宋体" w:cs="宋体"/>
          <w:color w:val="auto"/>
          <w:sz w:val="32"/>
          <w:szCs w:val="22"/>
          <w:highlight w:val="none"/>
          <w:lang w:val="zh-CN"/>
        </w:rPr>
      </w:pPr>
    </w:p>
    <w:p>
      <w:pPr>
        <w:autoSpaceDE w:val="0"/>
        <w:autoSpaceDN w:val="0"/>
        <w:adjustRightInd w:val="0"/>
        <w:spacing w:line="500" w:lineRule="exact"/>
        <w:jc w:val="center"/>
        <w:rPr>
          <w:rFonts w:ascii="宋体" w:hAnsi="宋体" w:cs="宋体"/>
          <w:color w:val="auto"/>
          <w:sz w:val="32"/>
          <w:szCs w:val="22"/>
          <w:highlight w:val="none"/>
          <w:lang w:val="zh-CN"/>
        </w:rPr>
      </w:pPr>
    </w:p>
    <w:p>
      <w:pPr>
        <w:autoSpaceDE w:val="0"/>
        <w:autoSpaceDN w:val="0"/>
        <w:adjustRightInd w:val="0"/>
        <w:spacing w:line="500" w:lineRule="exact"/>
        <w:ind w:right="420"/>
        <w:jc w:val="righ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年  月  日</w:t>
      </w:r>
    </w:p>
    <w:p>
      <w:pPr>
        <w:autoSpaceDE w:val="0"/>
        <w:autoSpaceDN w:val="0"/>
        <w:adjustRightInd w:val="0"/>
        <w:spacing w:line="500" w:lineRule="exact"/>
        <w:jc w:val="center"/>
        <w:rPr>
          <w:rFonts w:ascii="宋体" w:hAnsi="宋体" w:cs="宋体"/>
          <w:color w:val="auto"/>
          <w:szCs w:val="21"/>
          <w:highlight w:val="none"/>
          <w:lang w:val="zh-CN"/>
        </w:rPr>
      </w:pPr>
    </w:p>
    <w:p>
      <w:pPr>
        <w:autoSpaceDE w:val="0"/>
        <w:autoSpaceDN w:val="0"/>
        <w:adjustRightInd w:val="0"/>
        <w:spacing w:line="500" w:lineRule="exact"/>
        <w:jc w:val="center"/>
        <w:rPr>
          <w:rFonts w:ascii="宋体" w:hAnsi="宋体" w:cs="宋体"/>
          <w:color w:val="auto"/>
          <w:szCs w:val="21"/>
          <w:highlight w:val="none"/>
          <w:lang w:val="zh-CN"/>
        </w:rPr>
      </w:pPr>
    </w:p>
    <w:p>
      <w:pPr>
        <w:autoSpaceDE w:val="0"/>
        <w:autoSpaceDN w:val="0"/>
        <w:adjustRightInd w:val="0"/>
        <w:spacing w:line="500" w:lineRule="exact"/>
        <w:rPr>
          <w:rFonts w:ascii="宋体" w:hAnsi="宋体" w:cs="宋体"/>
          <w:color w:val="auto"/>
          <w:szCs w:val="21"/>
          <w:highlight w:val="none"/>
          <w:lang w:val="zh-CN"/>
        </w:rPr>
      </w:pPr>
    </w:p>
    <w:p>
      <w:pPr>
        <w:spacing w:line="360" w:lineRule="auto"/>
        <w:jc w:val="center"/>
        <w:rPr>
          <w:rFonts w:ascii="宋体" w:hAnsi="宋体" w:cs="宋体"/>
          <w:color w:val="auto"/>
          <w:sz w:val="36"/>
          <w:szCs w:val="36"/>
          <w:highlight w:val="none"/>
        </w:rPr>
      </w:pPr>
      <w:r>
        <w:rPr>
          <w:rFonts w:hint="eastAsia" w:ascii="宋体" w:hAnsi="宋体" w:cs="宋体"/>
          <w:color w:val="auto"/>
          <w:highlight w:val="none"/>
          <w:lang w:val="zh-CN"/>
        </w:rPr>
        <w:br w:type="page"/>
      </w:r>
      <w:bookmarkStart w:id="74" w:name="_Toc373772564"/>
      <w:bookmarkStart w:id="75" w:name="_Toc372556120"/>
      <w:r>
        <w:rPr>
          <w:rFonts w:hint="eastAsia" w:ascii="宋体" w:hAnsi="宋体" w:cs="宋体"/>
          <w:color w:val="auto"/>
          <w:sz w:val="36"/>
          <w:szCs w:val="36"/>
          <w:highlight w:val="none"/>
        </w:rPr>
        <w:t>六、资格审查资料</w:t>
      </w:r>
      <w:bookmarkEnd w:id="74"/>
      <w:bookmarkEnd w:id="75"/>
    </w:p>
    <w:p>
      <w:pPr>
        <w:spacing w:line="360" w:lineRule="auto"/>
        <w:ind w:left="1120" w:hanging="1120" w:hangingChars="40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(一)供应商基本情况表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973"/>
        <w:gridCol w:w="1108"/>
        <w:gridCol w:w="1385"/>
        <w:gridCol w:w="212"/>
        <w:gridCol w:w="1352"/>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7618" w:type="dxa"/>
            <w:gridSpan w:val="6"/>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3678" w:type="dxa"/>
            <w:gridSpan w:val="4"/>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35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2588"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2"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973"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705"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35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电  话</w:t>
            </w:r>
          </w:p>
        </w:tc>
        <w:tc>
          <w:tcPr>
            <w:tcW w:w="2588"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2"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973"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传  真</w:t>
            </w:r>
          </w:p>
        </w:tc>
        <w:tc>
          <w:tcPr>
            <w:tcW w:w="2705"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35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网  址</w:t>
            </w:r>
          </w:p>
        </w:tc>
        <w:tc>
          <w:tcPr>
            <w:tcW w:w="2588"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组织结构</w:t>
            </w:r>
          </w:p>
        </w:tc>
        <w:tc>
          <w:tcPr>
            <w:tcW w:w="7618" w:type="dxa"/>
            <w:gridSpan w:val="6"/>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973"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1108"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38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电话</w:t>
            </w:r>
          </w:p>
        </w:tc>
        <w:tc>
          <w:tcPr>
            <w:tcW w:w="4152"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企业负责人</w:t>
            </w:r>
          </w:p>
        </w:tc>
        <w:tc>
          <w:tcPr>
            <w:tcW w:w="973"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1108"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38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电话</w:t>
            </w:r>
          </w:p>
        </w:tc>
        <w:tc>
          <w:tcPr>
            <w:tcW w:w="4152"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成立时间</w:t>
            </w:r>
          </w:p>
        </w:tc>
        <w:tc>
          <w:tcPr>
            <w:tcW w:w="2081"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5537" w:type="dxa"/>
            <w:gridSpan w:val="4"/>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从业人员总人数：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vAlign w:val="center"/>
          </w:tcPr>
          <w:p>
            <w:pPr>
              <w:keepNext w:val="0"/>
              <w:keepLines w:val="0"/>
              <w:suppressLineNumbers w:val="0"/>
              <w:spacing w:before="0" w:beforeAutospacing="0" w:after="0" w:afterAutospacing="0"/>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营业执照号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vAlign w:val="center"/>
          </w:tcPr>
          <w:p>
            <w:pPr>
              <w:keepNext w:val="0"/>
              <w:keepLines w:val="0"/>
              <w:suppressLineNumbers w:val="0"/>
              <w:spacing w:before="0" w:beforeAutospacing="0" w:after="0" w:afterAutospacing="0"/>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注册资金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vAlign w:val="center"/>
          </w:tcPr>
          <w:p>
            <w:pPr>
              <w:keepNext w:val="0"/>
              <w:keepLines w:val="0"/>
              <w:suppressLineNumbers w:val="0"/>
              <w:spacing w:before="0" w:beforeAutospacing="0" w:after="0" w:afterAutospacing="0"/>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vAlign w:val="center"/>
          </w:tcPr>
          <w:p>
            <w:pPr>
              <w:keepNext w:val="0"/>
              <w:keepLines w:val="0"/>
              <w:suppressLineNumbers w:val="0"/>
              <w:spacing w:before="0" w:beforeAutospacing="0" w:after="0" w:afterAutospacing="0"/>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1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经营范围</w:t>
            </w:r>
          </w:p>
        </w:tc>
        <w:tc>
          <w:tcPr>
            <w:tcW w:w="7618" w:type="dxa"/>
            <w:gridSpan w:val="6"/>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备注</w:t>
            </w:r>
          </w:p>
        </w:tc>
        <w:tc>
          <w:tcPr>
            <w:tcW w:w="7618" w:type="dxa"/>
            <w:gridSpan w:val="6"/>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bl>
    <w:p>
      <w:pPr>
        <w:spacing w:before="120" w:beforeLines="50" w:after="120" w:afterLines="5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注：在本表后应附供应商营业执照（副本）、开户许可证或银行开户证明等相关证件的复印件。</w:t>
      </w:r>
    </w:p>
    <w:p>
      <w:pPr>
        <w:spacing w:before="120" w:beforeLines="50" w:after="120" w:afterLines="50"/>
        <w:rPr>
          <w:rFonts w:ascii="宋体" w:hAnsi="宋体" w:cs="宋体"/>
          <w:color w:val="auto"/>
          <w:kern w:val="0"/>
          <w:sz w:val="24"/>
          <w:szCs w:val="24"/>
          <w:highlight w:val="none"/>
        </w:rPr>
      </w:pPr>
    </w:p>
    <w:p>
      <w:pPr>
        <w:spacing w:before="120" w:beforeLines="50" w:after="120" w:afterLines="50"/>
        <w:rPr>
          <w:rFonts w:ascii="宋体" w:hAnsi="宋体" w:cs="宋体"/>
          <w:color w:val="auto"/>
          <w:kern w:val="0"/>
          <w:szCs w:val="21"/>
          <w:highlight w:val="none"/>
        </w:rPr>
      </w:pPr>
    </w:p>
    <w:p>
      <w:pPr>
        <w:spacing w:before="120" w:beforeLines="50" w:after="120" w:afterLines="50"/>
        <w:rPr>
          <w:rFonts w:ascii="宋体" w:hAnsi="宋体" w:cs="宋体"/>
          <w:color w:val="auto"/>
          <w:kern w:val="0"/>
          <w:szCs w:val="21"/>
          <w:highlight w:val="none"/>
        </w:rPr>
      </w:pPr>
    </w:p>
    <w:p>
      <w:pPr>
        <w:spacing w:before="120" w:beforeLines="50" w:after="120" w:afterLines="50"/>
        <w:rPr>
          <w:rFonts w:ascii="宋体" w:hAnsi="宋体" w:cs="宋体"/>
          <w:color w:val="auto"/>
          <w:kern w:val="0"/>
          <w:szCs w:val="21"/>
          <w:highlight w:val="none"/>
        </w:rPr>
      </w:pPr>
    </w:p>
    <w:p>
      <w:pPr>
        <w:spacing w:before="120" w:beforeLines="50" w:after="120" w:afterLines="50"/>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(二)供应商已完成类似项目情况</w:t>
      </w:r>
    </w:p>
    <w:tbl>
      <w:tblPr>
        <w:tblStyle w:val="46"/>
        <w:tblW w:w="90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62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起止时间</w:t>
            </w:r>
          </w:p>
        </w:tc>
        <w:tc>
          <w:tcPr>
            <w:tcW w:w="24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项目概况</w:t>
            </w:r>
          </w:p>
        </w:tc>
        <w:tc>
          <w:tcPr>
            <w:tcW w:w="227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业主单位</w:t>
            </w: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完成情况</w:t>
            </w:r>
          </w:p>
        </w:tc>
        <w:tc>
          <w:tcPr>
            <w:tcW w:w="777"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bl>
    <w:p>
      <w:pPr>
        <w:spacing w:before="120" w:beforeLines="50" w:after="120" w:afterLine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注：1、供应商应将</w:t>
      </w:r>
      <w:r>
        <w:rPr>
          <w:rFonts w:hint="eastAsia" w:ascii="宋体" w:hAnsi="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rPr>
        <w:t>至今内已完成的类似项目情况填入本表中。</w:t>
      </w:r>
    </w:p>
    <w:p>
      <w:pPr>
        <w:spacing w:before="120" w:beforeLines="50" w:after="120" w:afterLines="50"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供应商应随本表出具所填项目的成交通知书或合同协议书的复印件，否则，采购人将不考虑供应商所填项目的业绩。合同文本应含有：甲、乙方单位名称，工作内容、工作时间，甲、乙方单位签约人签字及单位公章等内容。</w:t>
      </w:r>
    </w:p>
    <w:p>
      <w:pPr>
        <w:spacing w:line="360" w:lineRule="auto"/>
        <w:ind w:right="-418" w:rightChars="-199"/>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br w:type="page"/>
      </w:r>
      <w:r>
        <w:rPr>
          <w:rFonts w:hint="eastAsia" w:ascii="宋体" w:hAnsi="宋体" w:cs="宋体"/>
          <w:color w:val="auto"/>
          <w:kern w:val="0"/>
          <w:sz w:val="28"/>
          <w:szCs w:val="28"/>
          <w:highlight w:val="none"/>
        </w:rPr>
        <w:t>（三)拟投入人员基本情况表</w:t>
      </w:r>
    </w:p>
    <w:tbl>
      <w:tblPr>
        <w:tblStyle w:val="46"/>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1335"/>
        <w:gridCol w:w="1704"/>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2393"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在本项目中所担任的职务</w:t>
            </w:r>
          </w:p>
        </w:tc>
        <w:tc>
          <w:tcPr>
            <w:tcW w:w="133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17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性别</w:t>
            </w: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年龄</w:t>
            </w:r>
          </w:p>
        </w:tc>
        <w:tc>
          <w:tcPr>
            <w:tcW w:w="234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现任职务及职称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pPr>
              <w:keepNext w:val="0"/>
              <w:keepLines w:val="0"/>
              <w:suppressLineNumbers w:val="0"/>
              <w:spacing w:before="0" w:beforeAutospacing="0" w:after="0" w:afterAutospacing="0"/>
              <w:ind w:left="0" w:right="0"/>
              <w:rPr>
                <w:rFonts w:hint="default" w:ascii="宋体" w:hAnsi="宋体" w:cs="宋体"/>
                <w:color w:val="auto"/>
                <w:kern w:val="0"/>
                <w:sz w:val="24"/>
                <w:szCs w:val="24"/>
                <w:highlight w:val="none"/>
              </w:rPr>
            </w:pPr>
          </w:p>
        </w:tc>
        <w:tc>
          <w:tcPr>
            <w:tcW w:w="133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33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33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33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33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133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bl>
    <w:p>
      <w:pPr>
        <w:spacing w:before="120" w:beforeLines="50" w:after="120" w:afterLines="5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注：1、供应商应根据磋商文件要求和磋商项目的实际需要，列出拟配备的人员清单。</w:t>
      </w:r>
    </w:p>
    <w:p>
      <w:pPr>
        <w:spacing w:before="120" w:beforeLines="50" w:after="120" w:afterLines="50"/>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2、供应商应按表</w:t>
      </w:r>
      <w:r>
        <w:rPr>
          <w:rFonts w:hint="eastAsia" w:ascii="宋体" w:hAnsi="宋体" w:cs="宋体"/>
          <w:color w:val="auto"/>
          <w:kern w:val="0"/>
          <w:sz w:val="24"/>
          <w:szCs w:val="24"/>
          <w:highlight w:val="none"/>
          <w:lang w:val="en-US" w:eastAsia="zh-CN"/>
        </w:rPr>
        <w:t>四</w:t>
      </w:r>
      <w:r>
        <w:rPr>
          <w:rFonts w:hint="eastAsia" w:ascii="宋体" w:hAnsi="宋体" w:cs="宋体"/>
          <w:color w:val="auto"/>
          <w:kern w:val="0"/>
          <w:sz w:val="24"/>
          <w:szCs w:val="24"/>
          <w:highlight w:val="none"/>
        </w:rPr>
        <w:t>格式分别填写本表所列人员的资历。</w:t>
      </w:r>
    </w:p>
    <w:p>
      <w:pPr>
        <w:spacing w:before="120" w:beforeLines="50" w:after="120" w:afterLines="50"/>
        <w:rPr>
          <w:rFonts w:ascii="宋体" w:hAnsi="宋体" w:cs="宋体"/>
          <w:color w:val="auto"/>
          <w:kern w:val="0"/>
          <w:szCs w:val="21"/>
          <w:highlight w:val="none"/>
        </w:rPr>
      </w:pPr>
    </w:p>
    <w:p>
      <w:pPr>
        <w:spacing w:before="120" w:beforeLines="50" w:after="120" w:afterLines="50"/>
        <w:rPr>
          <w:rFonts w:ascii="宋体" w:hAnsi="宋体" w:cs="宋体"/>
          <w:color w:val="auto"/>
          <w:kern w:val="0"/>
          <w:szCs w:val="21"/>
          <w:highlight w:val="none"/>
        </w:rPr>
      </w:pPr>
    </w:p>
    <w:p>
      <w:pPr>
        <w:spacing w:before="120" w:beforeLines="50" w:after="120" w:afterLines="50"/>
        <w:rPr>
          <w:rFonts w:ascii="宋体" w:hAnsi="宋体" w:cs="宋体"/>
          <w:color w:val="auto"/>
          <w:kern w:val="0"/>
          <w:szCs w:val="21"/>
          <w:highlight w:val="none"/>
        </w:rPr>
      </w:pPr>
    </w:p>
    <w:p>
      <w:pPr>
        <w:spacing w:line="360" w:lineRule="auto"/>
        <w:ind w:right="-418" w:rightChars="-199"/>
        <w:jc w:val="center"/>
        <w:rPr>
          <w:rFonts w:ascii="宋体" w:hAnsi="宋体" w:cs="宋体"/>
          <w:color w:val="auto"/>
          <w:kern w:val="0"/>
          <w:sz w:val="28"/>
          <w:szCs w:val="28"/>
          <w:highlight w:val="none"/>
        </w:rPr>
      </w:pPr>
      <w:r>
        <w:rPr>
          <w:rFonts w:hint="eastAsia" w:ascii="宋体" w:hAnsi="宋体" w:cs="宋体"/>
          <w:color w:val="auto"/>
          <w:kern w:val="0"/>
          <w:szCs w:val="21"/>
          <w:highlight w:val="none"/>
        </w:rPr>
        <w:br w:type="page"/>
      </w:r>
      <w:r>
        <w:rPr>
          <w:rFonts w:hint="eastAsia" w:ascii="宋体" w:hAnsi="宋体" w:cs="宋体"/>
          <w:color w:val="auto"/>
          <w:kern w:val="0"/>
          <w:sz w:val="28"/>
          <w:szCs w:val="28"/>
          <w:highlight w:val="none"/>
        </w:rPr>
        <w:t>(四)主要人员资历表</w:t>
      </w:r>
    </w:p>
    <w:tbl>
      <w:tblPr>
        <w:tblStyle w:val="46"/>
        <w:tblW w:w="905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692"/>
        <w:gridCol w:w="1549"/>
        <w:gridCol w:w="1818"/>
        <w:gridCol w:w="14"/>
        <w:gridCol w:w="95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057" w:type="dxa"/>
            <w:gridSpan w:val="7"/>
            <w:vAlign w:val="center"/>
          </w:tcPr>
          <w:p>
            <w:pPr>
              <w:keepNext w:val="0"/>
              <w:keepLines w:val="0"/>
              <w:suppressLineNumbers w:val="0"/>
              <w:spacing w:before="0" w:beforeAutospacing="0" w:after="0" w:afterAutospacing="0"/>
              <w:ind w:left="0" w:right="0"/>
              <w:rPr>
                <w:rFonts w:hint="default" w:ascii="宋体" w:hAnsi="宋体" w:cs="宋体"/>
                <w:b/>
                <w:color w:val="auto"/>
                <w:sz w:val="24"/>
                <w:szCs w:val="24"/>
                <w:highlight w:val="none"/>
              </w:rPr>
            </w:pPr>
            <w:r>
              <w:rPr>
                <w:rFonts w:hint="eastAsia" w:ascii="宋体" w:hAnsi="宋体" w:cs="宋体"/>
                <w:b/>
                <w:color w:val="auto"/>
                <w:kern w:val="0"/>
                <w:sz w:val="24"/>
                <w:szCs w:val="24"/>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8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169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549"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性别</w:t>
            </w:r>
          </w:p>
        </w:tc>
        <w:tc>
          <w:tcPr>
            <w:tcW w:w="1832"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95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年龄</w:t>
            </w:r>
          </w:p>
        </w:tc>
        <w:tc>
          <w:tcPr>
            <w:tcW w:w="124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8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在本合同中</w:t>
            </w:r>
          </w:p>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拟任职</w:t>
            </w:r>
          </w:p>
        </w:tc>
        <w:tc>
          <w:tcPr>
            <w:tcW w:w="169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549"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身份证号码</w:t>
            </w:r>
          </w:p>
        </w:tc>
        <w:tc>
          <w:tcPr>
            <w:tcW w:w="4030" w:type="dxa"/>
            <w:gridSpan w:val="4"/>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057" w:type="dxa"/>
            <w:gridSpan w:val="7"/>
            <w:vAlign w:val="center"/>
          </w:tcPr>
          <w:p>
            <w:pPr>
              <w:keepNext w:val="0"/>
              <w:keepLines w:val="0"/>
              <w:suppressLineNumbers w:val="0"/>
              <w:spacing w:before="0" w:beforeAutospacing="0" w:after="0" w:afterAutospacing="0"/>
              <w:ind w:left="0" w:right="0"/>
              <w:rPr>
                <w:rFonts w:hint="default" w:ascii="宋体" w:hAnsi="宋体" w:cs="宋体"/>
                <w:b/>
                <w:color w:val="auto"/>
                <w:sz w:val="24"/>
                <w:szCs w:val="24"/>
                <w:highlight w:val="none"/>
              </w:rPr>
            </w:pPr>
            <w:r>
              <w:rPr>
                <w:rFonts w:hint="eastAsia" w:ascii="宋体" w:hAnsi="宋体" w:cs="宋体"/>
                <w:b/>
                <w:color w:val="auto"/>
                <w:kern w:val="0"/>
                <w:sz w:val="24"/>
                <w:szCs w:val="24"/>
                <w:highlight w:val="none"/>
              </w:rPr>
              <w:t>2．工作经历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8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时间</w:t>
            </w:r>
          </w:p>
        </w:tc>
        <w:tc>
          <w:tcPr>
            <w:tcW w:w="5059"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kern w:val="0"/>
                <w:sz w:val="24"/>
                <w:szCs w:val="24"/>
                <w:highlight w:val="none"/>
              </w:rPr>
              <w:t>参与过的项目</w:t>
            </w:r>
          </w:p>
        </w:tc>
        <w:tc>
          <w:tcPr>
            <w:tcW w:w="96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该项目中任职</w:t>
            </w:r>
          </w:p>
        </w:tc>
        <w:tc>
          <w:tcPr>
            <w:tcW w:w="124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8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5059"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96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24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8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5059"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96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24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057" w:type="dxa"/>
            <w:gridSpan w:val="7"/>
            <w:vAlign w:val="center"/>
          </w:tcPr>
          <w:p>
            <w:pPr>
              <w:keepNext w:val="0"/>
              <w:keepLines w:val="0"/>
              <w:suppressLineNumbers w:val="0"/>
              <w:spacing w:before="0" w:beforeAutospacing="0" w:after="0" w:afterAutospacing="0"/>
              <w:ind w:left="0" w:right="0"/>
              <w:rPr>
                <w:rFonts w:hint="default" w:ascii="宋体" w:hAnsi="宋体" w:cs="宋体"/>
                <w:b/>
                <w:color w:val="auto"/>
                <w:sz w:val="24"/>
                <w:szCs w:val="24"/>
                <w:highlight w:val="none"/>
              </w:rPr>
            </w:pPr>
            <w:r>
              <w:rPr>
                <w:rFonts w:hint="eastAsia" w:ascii="宋体" w:hAnsi="宋体" w:cs="宋体"/>
                <w:b/>
                <w:color w:val="auto"/>
                <w:kern w:val="0"/>
                <w:sz w:val="24"/>
                <w:szCs w:val="24"/>
                <w:highlight w:val="none"/>
              </w:rPr>
              <w:t>3．获奖情况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057" w:type="dxa"/>
            <w:gridSpan w:val="7"/>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57" w:type="dxa"/>
            <w:gridSpan w:val="7"/>
            <w:vAlign w:val="center"/>
          </w:tcPr>
          <w:p>
            <w:pPr>
              <w:keepNext w:val="0"/>
              <w:keepLines w:val="0"/>
              <w:suppressLineNumbers w:val="0"/>
              <w:spacing w:before="0" w:beforeAutospacing="0" w:after="0" w:afterAutospacing="0"/>
              <w:ind w:left="0" w:right="0"/>
              <w:rPr>
                <w:rFonts w:hint="default" w:ascii="宋体" w:hAnsi="宋体" w:cs="宋体"/>
                <w:b/>
                <w:color w:val="auto"/>
                <w:sz w:val="24"/>
                <w:szCs w:val="24"/>
                <w:highlight w:val="none"/>
              </w:rPr>
            </w:pPr>
            <w:r>
              <w:rPr>
                <w:rFonts w:hint="eastAsia" w:ascii="宋体" w:hAnsi="宋体" w:cs="宋体"/>
                <w:b/>
                <w:color w:val="auto"/>
                <w:kern w:val="0"/>
                <w:sz w:val="24"/>
                <w:szCs w:val="24"/>
                <w:highlight w:val="none"/>
              </w:rPr>
              <w:t>4．目前承担的任务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9057" w:type="dxa"/>
            <w:gridSpan w:val="7"/>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bl>
    <w:p>
      <w:pPr>
        <w:wordWrap w:val="0"/>
        <w:spacing w:before="120" w:beforeLines="50" w:after="120" w:afterLines="50"/>
        <w:ind w:right="420"/>
        <w:jc w:val="right"/>
        <w:rPr>
          <w:rFonts w:ascii="宋体" w:hAnsi="宋体" w:cs="宋体"/>
          <w:color w:val="auto"/>
          <w:kern w:val="0"/>
          <w:sz w:val="24"/>
          <w:szCs w:val="24"/>
          <w:highlight w:val="none"/>
          <w:u w:val="single"/>
        </w:rPr>
      </w:pPr>
    </w:p>
    <w:p>
      <w:pPr>
        <w:spacing w:before="120" w:beforeLines="50" w:after="120" w:afterLines="5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身份证复印件</w:t>
      </w:r>
      <w:r>
        <w:rPr>
          <w:rFonts w:hint="eastAsia" w:ascii="宋体" w:hAnsi="宋体" w:cs="宋体"/>
          <w:color w:val="auto"/>
          <w:kern w:val="0"/>
          <w:sz w:val="24"/>
          <w:szCs w:val="24"/>
          <w:highlight w:val="none"/>
          <w:lang w:val="en-US" w:eastAsia="zh-CN"/>
        </w:rPr>
        <w:t>及其他证明材料</w:t>
      </w:r>
      <w:r>
        <w:rPr>
          <w:rFonts w:hint="eastAsia" w:ascii="宋体" w:hAnsi="宋体" w:cs="宋体"/>
          <w:color w:val="auto"/>
          <w:kern w:val="0"/>
          <w:sz w:val="24"/>
          <w:szCs w:val="24"/>
          <w:highlight w:val="none"/>
        </w:rPr>
        <w:t>等</w:t>
      </w:r>
    </w:p>
    <w:p>
      <w:pPr>
        <w:spacing w:before="120" w:beforeLines="50" w:after="120" w:afterLines="50"/>
        <w:rPr>
          <w:rFonts w:ascii="宋体" w:hAnsi="宋体" w:cs="宋体"/>
          <w:color w:val="auto"/>
          <w:kern w:val="0"/>
          <w:sz w:val="24"/>
          <w:szCs w:val="24"/>
          <w:highlight w:val="none"/>
        </w:rPr>
      </w:pPr>
      <w:r>
        <w:rPr>
          <w:rFonts w:hint="eastAsia" w:ascii="宋体" w:hAnsi="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866775</wp:posOffset>
                </wp:positionH>
                <wp:positionV relativeFrom="paragraph">
                  <wp:posOffset>66040</wp:posOffset>
                </wp:positionV>
                <wp:extent cx="4391025" cy="1582420"/>
                <wp:effectExtent l="0" t="0" r="9525" b="0"/>
                <wp:wrapNone/>
                <wp:docPr id="7" name="矩形 2"/>
                <wp:cNvGraphicFramePr/>
                <a:graphic xmlns:a="http://schemas.openxmlformats.org/drawingml/2006/main">
                  <a:graphicData uri="http://schemas.microsoft.com/office/word/2010/wordprocessingShape">
                    <wps:wsp>
                      <wps:cNvSpPr/>
                      <wps:spPr bwMode="auto">
                        <a:xfrm>
                          <a:off x="0" y="0"/>
                          <a:ext cx="4391025" cy="158242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68.25pt;margin-top:5.2pt;height:124.6pt;width:345.75pt;z-index:251661312;mso-width-relative:page;mso-height-relative:page;" fillcolor="#FFFFFF" filled="t" stroked="t" coordsize="21600,21600" o:gfxdata="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5ru9rYAAAA&#10;CgEAAA8AAAAAAAAAAQAgAAAAIgAAAGRycy9kb3ducmV2LnhtbFBLAQIUABQAAAAIAIdO4kAMwV30&#10;HQIAAEsEAAAOAAAAAAAAAAEAIAAAACcBAABkcnMvZTJvRG9jLnhtbFBLBQYAAAAABgAGAFkBAAC2&#10;BQAAAAA=&#10;">
                <v:fill on="t" focussize="0,0"/>
                <v:stroke color="#000000" miterlimit="8" joinstyle="miter"/>
                <v:imagedata o:title=""/>
                <o:lock v:ext="edit" aspectratio="f"/>
                <v:textbox>
                  <w:txbxContent>
                    <w:p/>
                  </w:txbxContent>
                </v:textbox>
              </v:rect>
            </w:pict>
          </mc:Fallback>
        </mc:AlternateContent>
      </w:r>
    </w:p>
    <w:p>
      <w:pPr>
        <w:spacing w:before="120" w:beforeLines="50" w:after="120" w:afterLines="50"/>
        <w:rPr>
          <w:rFonts w:ascii="宋体" w:hAnsi="宋体" w:cs="宋体"/>
          <w:color w:val="auto"/>
          <w:kern w:val="0"/>
          <w:sz w:val="24"/>
          <w:szCs w:val="24"/>
          <w:highlight w:val="none"/>
        </w:rPr>
      </w:pPr>
    </w:p>
    <w:p>
      <w:pPr>
        <w:spacing w:before="120" w:beforeLines="50" w:after="120" w:afterLines="50"/>
        <w:rPr>
          <w:rFonts w:ascii="宋体" w:hAnsi="宋体" w:cs="宋体"/>
          <w:color w:val="auto"/>
          <w:kern w:val="0"/>
          <w:sz w:val="24"/>
          <w:szCs w:val="24"/>
          <w:highlight w:val="none"/>
        </w:rPr>
      </w:pPr>
    </w:p>
    <w:p>
      <w:pPr>
        <w:spacing w:before="120" w:beforeLines="50" w:after="120" w:afterLines="50"/>
        <w:rPr>
          <w:rFonts w:ascii="宋体" w:hAnsi="宋体" w:cs="宋体"/>
          <w:color w:val="auto"/>
          <w:kern w:val="0"/>
          <w:sz w:val="24"/>
          <w:szCs w:val="24"/>
          <w:highlight w:val="none"/>
        </w:rPr>
      </w:pPr>
    </w:p>
    <w:p>
      <w:pPr>
        <w:ind w:left="960" w:hanging="960" w:hangingChars="400"/>
        <w:rPr>
          <w:rFonts w:ascii="宋体" w:hAnsi="宋体" w:cs="宋体"/>
          <w:color w:val="auto"/>
          <w:sz w:val="24"/>
          <w:szCs w:val="24"/>
          <w:highlight w:val="none"/>
          <w:u w:val="single"/>
        </w:rPr>
      </w:pPr>
    </w:p>
    <w:p>
      <w:pPr>
        <w:ind w:left="960" w:hanging="960" w:hangingChars="400"/>
        <w:rPr>
          <w:rFonts w:ascii="宋体" w:hAnsi="宋体" w:cs="宋体"/>
          <w:color w:val="auto"/>
          <w:sz w:val="24"/>
          <w:szCs w:val="24"/>
          <w:highlight w:val="none"/>
          <w:u w:val="single"/>
        </w:rPr>
      </w:pPr>
    </w:p>
    <w:p>
      <w:pPr>
        <w:jc w:val="center"/>
        <w:rPr>
          <w:rFonts w:ascii="宋体" w:hAnsi="宋体" w:cs="宋体"/>
          <w:b/>
          <w:color w:val="auto"/>
          <w:kern w:val="0"/>
          <w:sz w:val="24"/>
          <w:szCs w:val="24"/>
          <w:highlight w:val="none"/>
        </w:rPr>
      </w:pPr>
    </w:p>
    <w:p>
      <w:pPr>
        <w:jc w:val="center"/>
        <w:rPr>
          <w:rFonts w:ascii="宋体" w:hAnsi="宋体" w:cs="宋体"/>
          <w:b/>
          <w:color w:val="auto"/>
          <w:kern w:val="0"/>
          <w:sz w:val="24"/>
          <w:szCs w:val="24"/>
          <w:highlight w:val="none"/>
        </w:rPr>
      </w:pPr>
    </w:p>
    <w:p>
      <w:pPr>
        <w:jc w:val="center"/>
        <w:rPr>
          <w:rFonts w:ascii="宋体" w:hAnsi="宋体" w:cs="宋体"/>
          <w:b/>
          <w:color w:val="auto"/>
          <w:kern w:val="0"/>
          <w:sz w:val="24"/>
          <w:szCs w:val="24"/>
          <w:highlight w:val="none"/>
        </w:rPr>
      </w:pPr>
    </w:p>
    <w:p>
      <w:pPr>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br w:type="page"/>
      </w:r>
      <w:r>
        <w:rPr>
          <w:rFonts w:hint="eastAsia" w:ascii="宋体" w:hAnsi="宋体" w:cs="宋体"/>
          <w:color w:val="auto"/>
          <w:kern w:val="0"/>
          <w:sz w:val="28"/>
          <w:szCs w:val="28"/>
          <w:highlight w:val="none"/>
        </w:rPr>
        <w:t xml:space="preserve"> (五)其他资料表</w:t>
      </w:r>
    </w:p>
    <w:p>
      <w:pPr>
        <w:spacing w:before="120" w:beforeLines="50" w:after="120" w:afterLines="50"/>
        <w:rPr>
          <w:rFonts w:hint="eastAsia" w:ascii="宋体" w:hAnsi="宋体" w:cs="宋体"/>
          <w:bCs/>
          <w:color w:val="auto"/>
          <w:sz w:val="24"/>
          <w:highlight w:val="none"/>
        </w:rPr>
      </w:pPr>
    </w:p>
    <w:p>
      <w:pPr>
        <w:spacing w:before="120" w:beforeLines="50" w:after="120" w:afterLines="50"/>
        <w:jc w:val="center"/>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技术标准及服务需求</w:t>
      </w:r>
      <w:r>
        <w:rPr>
          <w:rFonts w:hint="eastAsia" w:ascii="宋体" w:hAnsi="宋体" w:cs="宋体"/>
          <w:bCs/>
          <w:color w:val="auto"/>
          <w:sz w:val="24"/>
          <w:highlight w:val="none"/>
        </w:rPr>
        <w:t>偏离表</w:t>
      </w:r>
    </w:p>
    <w:tbl>
      <w:tblPr>
        <w:tblStyle w:val="46"/>
        <w:tblW w:w="10685" w:type="dxa"/>
        <w:jc w:val="center"/>
        <w:tblLayout w:type="fixed"/>
        <w:tblCellMar>
          <w:top w:w="0" w:type="dxa"/>
          <w:left w:w="108" w:type="dxa"/>
          <w:bottom w:w="0" w:type="dxa"/>
          <w:right w:w="108" w:type="dxa"/>
        </w:tblCellMar>
      </w:tblPr>
      <w:tblGrid>
        <w:gridCol w:w="3117"/>
        <w:gridCol w:w="3082"/>
        <w:gridCol w:w="1473"/>
        <w:gridCol w:w="3013"/>
      </w:tblGrid>
      <w:tr>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12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序号</w:t>
            </w:r>
          </w:p>
        </w:tc>
        <w:tc>
          <w:tcPr>
            <w:tcW w:w="3082"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12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zh-CN"/>
              </w:rPr>
              <w:t>招标文件要求</w:t>
            </w:r>
          </w:p>
        </w:tc>
        <w:tc>
          <w:tcPr>
            <w:tcW w:w="1473"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12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偏离情况</w:t>
            </w:r>
          </w:p>
        </w:tc>
        <w:tc>
          <w:tcPr>
            <w:tcW w:w="3013"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12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zh-CN"/>
              </w:rPr>
              <w:t>投标人的承诺或者说明</w:t>
            </w:r>
          </w:p>
        </w:tc>
      </w:tr>
      <w:tr>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082"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47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01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r>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082"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47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43" w:right="0"/>
              <w:rPr>
                <w:rFonts w:hint="default" w:ascii="宋体" w:hAnsi="宋体" w:cs="宋体"/>
                <w:color w:val="auto"/>
                <w:szCs w:val="20"/>
                <w:highlight w:val="none"/>
              </w:rPr>
            </w:pPr>
          </w:p>
        </w:tc>
        <w:tc>
          <w:tcPr>
            <w:tcW w:w="301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43" w:right="0"/>
              <w:rPr>
                <w:rFonts w:hint="default" w:ascii="宋体" w:hAnsi="宋体" w:cs="宋体"/>
                <w:color w:val="auto"/>
                <w:szCs w:val="20"/>
                <w:highlight w:val="none"/>
              </w:rPr>
            </w:pPr>
          </w:p>
        </w:tc>
      </w:tr>
      <w:tr>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082"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47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01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r>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082"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47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01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r>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082"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47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01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r>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082"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47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01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r>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082"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47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013" w:type="dxa"/>
            <w:tcBorders>
              <w:top w:val="single" w:color="auto" w:sz="6" w:space="0"/>
              <w:left w:val="single" w:color="auto" w:sz="6" w:space="0"/>
              <w:bottom w:val="single" w:color="auto" w:sz="6" w:space="0"/>
              <w:right w:val="single" w:color="auto" w:sz="6" w:space="0"/>
            </w:tcBorders>
            <w:noWrap/>
          </w:tcPr>
          <w:p>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bCs w:val="0"/>
          <w:color w:val="auto"/>
          <w:sz w:val="28"/>
          <w:szCs w:val="28"/>
          <w:highlight w:val="none"/>
          <w:lang w:val="en-US" w:eastAsia="zh-CN"/>
        </w:rPr>
        <w:t>根据</w:t>
      </w:r>
      <w:r>
        <w:rPr>
          <w:rFonts w:hint="eastAsia" w:ascii="宋体" w:hAnsi="宋体" w:cs="宋体"/>
          <w:b/>
          <w:bCs w:val="0"/>
          <w:color w:val="auto"/>
          <w:sz w:val="28"/>
          <w:szCs w:val="28"/>
          <w:highlight w:val="none"/>
          <w:lang w:val="en-US" w:eastAsia="zh-CN"/>
        </w:rPr>
        <w:t>“</w:t>
      </w:r>
      <w:r>
        <w:rPr>
          <w:rFonts w:hint="eastAsia" w:ascii="宋体" w:hAnsi="宋体" w:eastAsia="宋体" w:cs="宋体"/>
          <w:b/>
          <w:bCs w:val="0"/>
          <w:color w:val="auto"/>
          <w:sz w:val="28"/>
          <w:szCs w:val="28"/>
          <w:highlight w:val="none"/>
          <w:lang w:val="en-US" w:eastAsia="zh-CN"/>
        </w:rPr>
        <w:t>第五章 技术标准及服务需求</w:t>
      </w:r>
      <w:r>
        <w:rPr>
          <w:rFonts w:hint="eastAsia" w:ascii="宋体" w:hAnsi="宋体" w:cs="宋体"/>
          <w:b/>
          <w:bCs w:val="0"/>
          <w:color w:val="auto"/>
          <w:sz w:val="28"/>
          <w:szCs w:val="28"/>
          <w:highlight w:val="none"/>
          <w:lang w:val="en-US" w:eastAsia="zh-CN"/>
        </w:rPr>
        <w:t>”</w:t>
      </w:r>
      <w:r>
        <w:rPr>
          <w:rFonts w:hint="eastAsia" w:ascii="宋体" w:hAnsi="宋体" w:eastAsia="宋体" w:cs="宋体"/>
          <w:b/>
          <w:bCs w:val="0"/>
          <w:color w:val="auto"/>
          <w:sz w:val="28"/>
          <w:szCs w:val="28"/>
          <w:highlight w:val="none"/>
          <w:lang w:val="zh-CN"/>
        </w:rPr>
        <w:t>，供应商的响应必须完全满足或者正偏离</w:t>
      </w:r>
      <w:r>
        <w:rPr>
          <w:rFonts w:hint="eastAsia" w:ascii="宋体" w:hAnsi="宋体" w:cs="宋体"/>
          <w:b/>
          <w:bCs w:val="0"/>
          <w:color w:val="auto"/>
          <w:sz w:val="28"/>
          <w:szCs w:val="28"/>
          <w:highlight w:val="none"/>
          <w:lang w:val="zh-CN"/>
        </w:rPr>
        <w:t>，</w:t>
      </w:r>
      <w:r>
        <w:rPr>
          <w:rFonts w:hint="eastAsia" w:ascii="宋体" w:hAnsi="宋体" w:cs="宋体"/>
          <w:b/>
          <w:bCs w:val="0"/>
          <w:color w:val="auto"/>
          <w:sz w:val="28"/>
          <w:szCs w:val="28"/>
          <w:highlight w:val="none"/>
          <w:lang w:val="en-US" w:eastAsia="zh-CN"/>
        </w:rPr>
        <w:t>负偏离</w:t>
      </w:r>
      <w:r>
        <w:rPr>
          <w:rFonts w:hint="eastAsia" w:ascii="宋体" w:hAnsi="宋体" w:eastAsia="宋体" w:cs="宋体"/>
          <w:b/>
          <w:bCs w:val="0"/>
          <w:color w:val="auto"/>
          <w:sz w:val="28"/>
          <w:szCs w:val="28"/>
          <w:highlight w:val="none"/>
        </w:rPr>
        <w:t>则按照响应无效处理</w:t>
      </w:r>
      <w:r>
        <w:rPr>
          <w:rFonts w:hint="eastAsia" w:ascii="宋体" w:hAnsi="宋体" w:cs="宋体"/>
          <w:b/>
          <w:bCs w:val="0"/>
          <w:color w:val="auto"/>
          <w:sz w:val="28"/>
          <w:szCs w:val="28"/>
          <w:highlight w:val="none"/>
          <w:lang w:eastAsia="zh-CN"/>
        </w:rPr>
        <w:t>。</w:t>
      </w:r>
      <w:r>
        <w:rPr>
          <w:rFonts w:hint="eastAsia" w:ascii="宋体" w:hAnsi="宋体" w:cs="宋体"/>
          <w:b/>
          <w:bCs w:val="0"/>
          <w:color w:val="auto"/>
          <w:sz w:val="28"/>
          <w:szCs w:val="28"/>
          <w:highlight w:val="none"/>
          <w:lang w:val="en-US" w:eastAsia="zh-CN"/>
        </w:rPr>
        <w:t>如无偏离，则只需填写无偏离。</w:t>
      </w:r>
    </w:p>
    <w:p>
      <w:pP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br w:type="page"/>
      </w:r>
    </w:p>
    <w:p>
      <w:pPr>
        <w:spacing w:before="120" w:beforeLines="50" w:after="120" w:afterLines="50"/>
        <w:jc w:val="center"/>
        <w:rPr>
          <w:rFonts w:ascii="宋体" w:hAnsi="宋体" w:cs="宋体"/>
          <w:b/>
          <w:bCs/>
          <w:color w:val="auto"/>
          <w:sz w:val="36"/>
          <w:szCs w:val="36"/>
          <w:highlight w:val="none"/>
        </w:rPr>
      </w:pPr>
      <w:r>
        <w:rPr>
          <w:rFonts w:hint="eastAsia" w:ascii="宋体" w:hAnsi="宋体" w:cs="宋体"/>
          <w:b/>
          <w:color w:val="auto"/>
          <w:sz w:val="36"/>
          <w:szCs w:val="36"/>
          <w:highlight w:val="none"/>
          <w:lang w:val="zh-CN"/>
        </w:rPr>
        <w:t>七、</w:t>
      </w:r>
      <w:r>
        <w:rPr>
          <w:rFonts w:hint="eastAsia" w:ascii="宋体" w:hAnsi="宋体" w:cs="宋体"/>
          <w:b/>
          <w:bCs/>
          <w:color w:val="auto"/>
          <w:sz w:val="36"/>
          <w:szCs w:val="36"/>
          <w:highlight w:val="none"/>
        </w:rPr>
        <w:t>服务方案及各项制度</w:t>
      </w:r>
    </w:p>
    <w:p>
      <w:pPr>
        <w:spacing w:before="120" w:beforeLines="50" w:after="120" w:afterLines="50"/>
        <w:jc w:val="center"/>
        <w:rPr>
          <w:rFonts w:ascii="宋体" w:hAnsi="宋体" w:cs="宋体"/>
          <w:bCs/>
          <w:color w:val="auto"/>
          <w:sz w:val="24"/>
          <w:highlight w:val="none"/>
        </w:rPr>
      </w:pPr>
    </w:p>
    <w:p>
      <w:pPr>
        <w:spacing w:before="120" w:beforeLines="50" w:after="120" w:afterLines="50" w:line="360" w:lineRule="auto"/>
        <w:jc w:val="center"/>
        <w:rPr>
          <w:rFonts w:ascii="宋体" w:hAnsi="宋体" w:cs="宋体"/>
          <w:b/>
          <w:color w:val="auto"/>
          <w:sz w:val="36"/>
          <w:szCs w:val="36"/>
          <w:highlight w:val="none"/>
          <w:lang w:val="zh-CN"/>
        </w:rPr>
      </w:pPr>
      <w:r>
        <w:rPr>
          <w:rFonts w:hint="eastAsia" w:ascii="宋体" w:hAnsi="宋体" w:cs="宋体"/>
          <w:bCs/>
          <w:color w:val="auto"/>
          <w:sz w:val="24"/>
          <w:highlight w:val="none"/>
        </w:rPr>
        <w:br w:type="page"/>
      </w:r>
      <w:r>
        <w:rPr>
          <w:rFonts w:hint="eastAsia" w:ascii="宋体" w:hAnsi="宋体" w:cs="宋体"/>
          <w:b/>
          <w:color w:val="auto"/>
          <w:sz w:val="36"/>
          <w:szCs w:val="36"/>
          <w:highlight w:val="none"/>
          <w:lang w:val="zh-CN"/>
        </w:rPr>
        <w:t>八、其他资料</w:t>
      </w:r>
    </w:p>
    <w:p>
      <w:pPr>
        <w:spacing w:before="100" w:beforeAutospacing="1" w:after="100" w:afterAutospacing="1" w:line="360" w:lineRule="auto"/>
        <w:ind w:firstLine="3240" w:firstLineChars="1350"/>
        <w:rPr>
          <w:rFonts w:ascii="宋体" w:hAnsi="宋体" w:cs="宋体"/>
          <w:color w:val="auto"/>
          <w:kern w:val="0"/>
          <w:sz w:val="24"/>
          <w:highlight w:val="none"/>
        </w:rPr>
      </w:pPr>
    </w:p>
    <w:p>
      <w:pPr>
        <w:spacing w:before="100" w:beforeAutospacing="1" w:after="100" w:afterAutospacing="1" w:line="360" w:lineRule="auto"/>
        <w:rPr>
          <w:rFonts w:ascii="宋体" w:hAnsi="宋体" w:cs="宋体"/>
          <w:color w:val="auto"/>
          <w:kern w:val="0"/>
          <w:sz w:val="24"/>
          <w:highlight w:val="none"/>
        </w:rPr>
      </w:pPr>
      <w:r>
        <w:rPr>
          <w:rFonts w:hint="eastAsia" w:ascii="宋体" w:hAnsi="宋体" w:cs="宋体"/>
          <w:color w:val="auto"/>
          <w:kern w:val="0"/>
          <w:sz w:val="24"/>
          <w:highlight w:val="none"/>
        </w:rPr>
        <w:t>（1）优惠条件</w:t>
      </w:r>
    </w:p>
    <w:p>
      <w:pPr>
        <w:spacing w:before="100" w:beforeAutospacing="1" w:after="100" w:afterAutospacing="1"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（2）服务</w:t>
      </w:r>
      <w:r>
        <w:rPr>
          <w:rFonts w:hint="eastAsia" w:ascii="宋体" w:hAnsi="宋体" w:cs="宋体"/>
          <w:color w:val="auto"/>
          <w:kern w:val="0"/>
          <w:sz w:val="24"/>
          <w:highlight w:val="none"/>
          <w:lang w:val="en-US" w:eastAsia="zh-CN"/>
        </w:rPr>
        <w:t>承诺体系</w:t>
      </w:r>
    </w:p>
    <w:p>
      <w:pPr>
        <w:pStyle w:val="24"/>
        <w:spacing w:before="100" w:beforeAutospacing="1" w:after="100" w:afterAutospacing="1" w:line="360" w:lineRule="auto"/>
        <w:rPr>
          <w:rFonts w:hAnsi="宋体" w:cs="宋体"/>
          <w:bCs/>
          <w:color w:val="auto"/>
          <w:sz w:val="24"/>
          <w:szCs w:val="24"/>
          <w:highlight w:val="none"/>
          <w:lang w:val="zh-CN"/>
        </w:rPr>
      </w:pPr>
      <w:r>
        <w:rPr>
          <w:rFonts w:hint="eastAsia" w:hAnsi="宋体" w:cs="宋体"/>
          <w:bCs/>
          <w:color w:val="auto"/>
          <w:sz w:val="24"/>
          <w:szCs w:val="24"/>
          <w:highlight w:val="none"/>
          <w:lang w:val="zh-CN"/>
        </w:rPr>
        <w:t>（</w:t>
      </w:r>
      <w:r>
        <w:rPr>
          <w:rFonts w:hint="eastAsia" w:hAnsi="宋体" w:cs="宋体"/>
          <w:bCs/>
          <w:color w:val="auto"/>
          <w:sz w:val="24"/>
          <w:szCs w:val="24"/>
          <w:highlight w:val="none"/>
        </w:rPr>
        <w:t>3</w:t>
      </w:r>
      <w:r>
        <w:rPr>
          <w:rFonts w:hint="eastAsia" w:hAnsi="宋体" w:cs="宋体"/>
          <w:bCs/>
          <w:color w:val="auto"/>
          <w:sz w:val="24"/>
          <w:szCs w:val="24"/>
          <w:highlight w:val="none"/>
          <w:lang w:val="zh-CN"/>
        </w:rPr>
        <w:t>）供应商认为需要提供的其他资料</w:t>
      </w:r>
    </w:p>
    <w:p>
      <w:pPr>
        <w:pStyle w:val="3"/>
        <w:ind w:firstLine="1200" w:firstLineChars="500"/>
        <w:jc w:val="both"/>
        <w:rPr>
          <w:rFonts w:ascii="宋体" w:hAnsi="宋体" w:eastAsia="宋体" w:cs="宋体"/>
          <w:color w:val="auto"/>
          <w:sz w:val="24"/>
          <w:highlight w:val="none"/>
        </w:rPr>
      </w:pPr>
      <w:r>
        <w:rPr>
          <w:rFonts w:hint="eastAsia" w:ascii="宋体" w:hAnsi="宋体" w:eastAsia="宋体" w:cs="宋体"/>
          <w:bCs/>
          <w:color w:val="auto"/>
          <w:sz w:val="24"/>
          <w:szCs w:val="24"/>
          <w:highlight w:val="none"/>
          <w:lang w:val="zh-CN"/>
        </w:rPr>
        <w:br w:type="page"/>
      </w:r>
      <w:r>
        <w:rPr>
          <w:rFonts w:hint="eastAsia" w:ascii="宋体" w:hAnsi="宋体" w:eastAsia="宋体" w:cs="宋体"/>
          <w:b/>
          <w:color w:val="auto"/>
          <w:kern w:val="2"/>
          <w:sz w:val="36"/>
          <w:szCs w:val="36"/>
          <w:highlight w:val="none"/>
        </w:rPr>
        <w:t>九、</w:t>
      </w:r>
      <w:r>
        <w:rPr>
          <w:rFonts w:hint="eastAsia" w:ascii="宋体" w:hAnsi="宋体" w:eastAsia="宋体" w:cs="宋体"/>
          <w:b/>
          <w:color w:val="auto"/>
          <w:kern w:val="2"/>
          <w:sz w:val="36"/>
          <w:szCs w:val="36"/>
          <w:highlight w:val="none"/>
          <w:lang w:val="zh-CN"/>
        </w:rPr>
        <w:t>中小企业声明函（工程、服务）</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本公司(联合体)郑重声明，根据《政府采购促进中小企业发展管理办法》(财库(2020)46号)的规定，本公司(联合体</w:t>
      </w:r>
      <w:r>
        <w:rPr>
          <w:rFonts w:hint="eastAsia" w:ascii="宋体" w:hAnsi="宋体" w:cs="宋体"/>
          <w:color w:val="auto"/>
          <w:sz w:val="24"/>
          <w:szCs w:val="24"/>
          <w:highlight w:val="none"/>
          <w:u w:val="single"/>
        </w:rPr>
        <w:t>)参加   (单位名称)</w:t>
      </w:r>
      <w:r>
        <w:rPr>
          <w:rFonts w:hint="eastAsia" w:ascii="宋体" w:hAnsi="宋体" w:cs="宋体"/>
          <w:color w:val="auto"/>
          <w:sz w:val="24"/>
          <w:szCs w:val="24"/>
          <w:highlight w:val="none"/>
        </w:rPr>
        <w:t xml:space="preserve">的 </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采购活动，工程的施工单位全部为由符合政策要求的中小企业（或者：服务全部由符合政策要求的中小企业承接）。相关企业（含联合体中的中小企业、签订分包意向协议的中小企业)的具体情况如下:</w:t>
      </w:r>
    </w:p>
    <w:p>
      <w:pPr>
        <w:spacing w:line="50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(标的名称)，属于</w:t>
      </w:r>
      <w:r>
        <w:rPr>
          <w:rFonts w:hint="eastAsia" w:ascii="宋体" w:hAnsi="宋体" w:cs="宋体"/>
          <w:color w:val="auto"/>
          <w:sz w:val="24"/>
          <w:szCs w:val="24"/>
          <w:highlight w:val="none"/>
          <w:u w:val="single"/>
        </w:rPr>
        <w:t xml:space="preserve">  (采购文件中明确的所属行业）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人，营业收入为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w:t>
      </w:r>
      <w:r>
        <w:rPr>
          <w:rFonts w:hint="eastAsia" w:ascii="宋体" w:hAnsi="宋体" w:cs="宋体"/>
          <w:color w:val="auto"/>
          <w:sz w:val="24"/>
          <w:szCs w:val="24"/>
          <w:highlight w:val="none"/>
          <w:vertAlign w:val="superscript"/>
        </w:rPr>
        <w:t>1</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(中型企业、小型企业、微型企业)；</w:t>
      </w:r>
    </w:p>
    <w:p>
      <w:pPr>
        <w:spacing w:line="500" w:lineRule="exact"/>
        <w:ind w:firstLine="480" w:firstLineChars="200"/>
        <w:rPr>
          <w:rFonts w:ascii="宋体" w:hAnsi="宋体" w:cs="宋体"/>
          <w:color w:val="auto"/>
          <w:sz w:val="24"/>
          <w:szCs w:val="24"/>
          <w:highlight w:val="none"/>
        </w:rPr>
      </w:pP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(标的名称)，属于</w:t>
      </w:r>
      <w:r>
        <w:rPr>
          <w:rFonts w:hint="eastAsia" w:ascii="宋体" w:hAnsi="宋体" w:cs="宋体"/>
          <w:color w:val="auto"/>
          <w:sz w:val="24"/>
          <w:szCs w:val="24"/>
          <w:highlight w:val="none"/>
          <w:u w:val="single"/>
        </w:rPr>
        <w:t xml:space="preserve">  (采购文件中明确的所属行业）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人，营业收入为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pPr>
        <w:spacing w:line="500" w:lineRule="exact"/>
        <w:ind w:firstLine="482" w:firstLineChars="200"/>
        <w:rPr>
          <w:b/>
          <w:bCs/>
          <w:color w:val="auto"/>
          <w:sz w:val="24"/>
          <w:szCs w:val="24"/>
          <w:highlight w:val="none"/>
        </w:rPr>
      </w:pPr>
      <w:r>
        <w:rPr>
          <w:rFonts w:hint="eastAsia" w:ascii="宋体" w:hAnsi="宋体" w:cs="宋体"/>
          <w:b/>
          <w:bCs/>
          <w:color w:val="auto"/>
          <w:sz w:val="24"/>
          <w:szCs w:val="24"/>
          <w:highlight w:val="none"/>
        </w:rPr>
        <w:t>本企业对上述声明内容的真实性负责。如有虚假，将依法承担相应责任。</w:t>
      </w:r>
    </w:p>
    <w:p>
      <w:pPr>
        <w:spacing w:line="500" w:lineRule="exact"/>
        <w:rPr>
          <w:rFonts w:ascii="宋体" w:hAnsi="宋体" w:cs="宋体"/>
          <w:color w:val="auto"/>
          <w:sz w:val="24"/>
          <w:szCs w:val="24"/>
          <w:highlight w:val="none"/>
        </w:rPr>
      </w:pPr>
    </w:p>
    <w:p>
      <w:pPr>
        <w:spacing w:line="5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企业名称（盖单）：</w:t>
      </w:r>
      <w:r>
        <w:rPr>
          <w:rFonts w:hint="eastAsia" w:ascii="宋体" w:hAnsi="宋体" w:cs="宋体"/>
          <w:color w:val="auto"/>
          <w:sz w:val="24"/>
          <w:szCs w:val="24"/>
          <w:highlight w:val="none"/>
          <w:u w:val="single"/>
        </w:rPr>
        <w:t xml:space="preserve">                      </w:t>
      </w:r>
    </w:p>
    <w:p>
      <w:pPr>
        <w:spacing w:line="5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日期：</w:t>
      </w:r>
      <w:r>
        <w:rPr>
          <w:rFonts w:hint="eastAsia" w:ascii="宋体" w:hAnsi="宋体" w:cs="宋体"/>
          <w:color w:val="auto"/>
          <w:sz w:val="24"/>
          <w:szCs w:val="24"/>
          <w:highlight w:val="none"/>
          <w:u w:val="single"/>
        </w:rPr>
        <w:t xml:space="preserve">                         </w:t>
      </w:r>
    </w:p>
    <w:p>
      <w:pPr>
        <w:spacing w:line="500" w:lineRule="exact"/>
        <w:ind w:firstLine="480" w:firstLineChars="200"/>
        <w:rPr>
          <w:rFonts w:ascii="宋体" w:hAnsi="宋体" w:cs="宋体"/>
          <w:color w:val="auto"/>
          <w:sz w:val="24"/>
          <w:szCs w:val="24"/>
          <w:highlight w:val="none"/>
        </w:rPr>
      </w:pPr>
    </w:p>
    <w:p>
      <w:pPr>
        <w:pStyle w:val="3"/>
        <w:rPr>
          <w:color w:val="auto"/>
          <w:sz w:val="24"/>
          <w:szCs w:val="24"/>
          <w:highlight w:val="none"/>
        </w:rPr>
      </w:pP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从业人员，营业收入、资产总额填报上一年度数据，无上一年度数据的新成立企业可不填报。</w:t>
      </w:r>
    </w:p>
    <w:p>
      <w:pPr>
        <w:pStyle w:val="24"/>
        <w:spacing w:before="100" w:beforeAutospacing="1" w:after="100" w:afterAutospacing="1" w:line="360" w:lineRule="auto"/>
        <w:rPr>
          <w:rFonts w:hAnsi="宋体" w:cs="宋体"/>
          <w:bCs/>
          <w:color w:val="auto"/>
          <w:sz w:val="24"/>
          <w:szCs w:val="24"/>
          <w:highlight w:val="none"/>
          <w:lang w:val="zh-CN"/>
        </w:rPr>
      </w:pPr>
    </w:p>
    <w:p>
      <w:pPr>
        <w:autoSpaceDE w:val="0"/>
        <w:autoSpaceDN w:val="0"/>
        <w:adjustRightInd w:val="0"/>
        <w:spacing w:line="360" w:lineRule="auto"/>
        <w:jc w:val="left"/>
        <w:rPr>
          <w:rFonts w:ascii="宋体" w:hAnsi="宋体" w:cs="宋体"/>
          <w:color w:val="auto"/>
          <w:sz w:val="24"/>
          <w:szCs w:val="24"/>
          <w:highlight w:val="none"/>
        </w:rPr>
      </w:pPr>
    </w:p>
    <w:sectPr>
      <w:footerReference r:id="rId9" w:type="first"/>
      <w:headerReference r:id="rId7" w:type="default"/>
      <w:footerReference r:id="rId8" w:type="default"/>
      <w:pgSz w:w="11905" w:h="16838"/>
      <w:pgMar w:top="1417" w:right="1417" w:bottom="1134" w:left="1797" w:header="850" w:footer="737"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Neue">
    <w:altName w:val="Corbel"/>
    <w:panose1 w:val="00000000000000000000"/>
    <w:charset w:val="00"/>
    <w:family w:val="auto"/>
    <w:pitch w:val="default"/>
    <w:sig w:usb0="00000000" w:usb1="00000000" w:usb2="00000010" w:usb3="00000000" w:csb0="00000000" w:csb1="0000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635" r="635" b="1270"/>
              <wp:wrapNone/>
              <wp:docPr id="4"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QSVzCQsCAAACBAAADgAAAAAAAAABACAAAAAfAQAA&#10;ZHJzL2Uyb0RvYy54bWxQSwUGAAAAAAYABgBZAQAAnAUAAAAA&#10;">
              <v:fill on="f" focussize="0,0"/>
              <v:stroke on="f"/>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1270" b="0"/>
              <wp:wrapNone/>
              <wp:docPr id="3"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9"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4vdRNAAAAACAQAADwAAAAAAAAABACAAAAAiAAAAZHJz&#10;L2Rvd25yZXYueG1sUEsBAhQAFAAAAAgAh07iQFxcCGQMAgAAAgQAAA4AAAAAAAAAAQAgAAAAHwEA&#10;AGRycy9lMm9Eb2MueG1sUEsFBgAAAAAGAAYAWQEAAJ0FAAAAAA==&#10;">
              <v:fill on="f" focussize="0,0"/>
              <v:stroke on="f"/>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4445" t="0" r="4445" b="0"/>
              <wp:wrapNone/>
              <wp:docPr id="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wSMV4LAgAAAw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ls+hP53xBaXeOEkP/CnqamqTVu1uQnz2zcNMIu1XXiNA1SlTEL48vs3tPBxwfQTbdW6iokNgF&#10;SEB9jSaaR3YwQqfeHM69UX1gMpbM5y8vLjmTdJVf5PP5ZaogivGxQx9eKzAsBiVHan0CF/tbHyIZ&#10;UYwpsZaFtW7b1P7W/nVAifEkkY98B+ah3/QnMzZQHUgGwjBN9JcoaAC/cNbRJJXc0sfhrH1jyYg4&#10;dGOAY7AZA2ElPSx54GwIb8IwnDuHetsQ7mj1NZm11klIdHXgcGJJs5H0neY4Dt/9fcr683e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7BIxXgsCAAADBAAADgAAAAAAAAABACAAAAAfAQAA&#10;ZHJzL2Uyb0RvYy54bWxQSwUGAAAAAAYABgBZAQAAnAUAAAAA&#10;">
              <v:fill on="f" focussize="0,0"/>
              <v:stroke on="f"/>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4445" t="3175" r="4445"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K5c+YJAgAAAw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z6M/nfMFpd06Sgz9G+hjbtTq3Q3IL55ZuG6E3agrROgaJSril15mD54OOD6CrLv3UFEhsQ2Q&#10;gPoaTQQkOxihU2/2p96oPjAZS+az1+cXnEm6ys/z2ewicstEMT526MNbBYbFoORIrU/gYnfjw5A6&#10;psRaFla6bVP7W/vXAWHGk0Q+8h2Yh37dH81YQ7UnGQjDNNFfoqAB/MpZR5NUcksfh7P2nSUj4tCN&#10;AY7BegyElfSw5IGzIbwOw3BuHepNQ7ij1Vdk1konIdHVgcORJc1GsuI4x3H4Hu5T1p+/u7g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NK5c+YJAgAAAwQAAA4AAAAAAAAAAQAgAAAAHwEAAGRy&#10;cy9lMm9Eb2MueG1sUEsFBgAAAAAGAAYAWQEAAJoFAAAAAA==&#10;">
              <v:fill on="f" focussize="0,0"/>
              <v:stroke on="f"/>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A40BB"/>
    <w:multiLevelType w:val="singleLevel"/>
    <w:tmpl w:val="AE4A40BB"/>
    <w:lvl w:ilvl="0" w:tentative="0">
      <w:start w:val="1"/>
      <w:numFmt w:val="decimal"/>
      <w:lvlText w:val="%1"/>
      <w:lvlJc w:val="center"/>
      <w:pPr>
        <w:ind w:left="454" w:leftChars="0" w:hanging="248" w:firstLineChars="0"/>
      </w:pPr>
      <w:rPr>
        <w:rFonts w:hint="default"/>
      </w:rPr>
    </w:lvl>
  </w:abstractNum>
  <w:abstractNum w:abstractNumId="1">
    <w:nsid w:val="FAEDF774"/>
    <w:multiLevelType w:val="singleLevel"/>
    <w:tmpl w:val="FAEDF774"/>
    <w:lvl w:ilvl="0" w:tentative="0">
      <w:start w:val="4"/>
      <w:numFmt w:val="chineseCounting"/>
      <w:suff w:val="space"/>
      <w:lvlText w:val="第%1章"/>
      <w:lvlJc w:val="left"/>
      <w:rPr>
        <w:rFonts w:hint="eastAsia"/>
      </w:rPr>
    </w:lvl>
  </w:abstractNum>
  <w:abstractNum w:abstractNumId="2">
    <w:nsid w:val="0000000F"/>
    <w:multiLevelType w:val="multilevel"/>
    <w:tmpl w:val="0000000F"/>
    <w:lvl w:ilvl="0" w:tentative="0">
      <w:start w:val="1"/>
      <w:numFmt w:val="decimal"/>
      <w:pStyle w:val="14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15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pStyle w:val="7"/>
      <w:lvlText w:val="%6."/>
      <w:lvlJc w:val="right"/>
      <w:pPr>
        <w:tabs>
          <w:tab w:val="left" w:pos="2520"/>
        </w:tabs>
        <w:ind w:left="2520" w:hanging="420"/>
      </w:pPr>
    </w:lvl>
    <w:lvl w:ilvl="6" w:tentative="0">
      <w:start w:val="1"/>
      <w:numFmt w:val="decimal"/>
      <w:pStyle w:val="8"/>
      <w:lvlText w:val="%7."/>
      <w:lvlJc w:val="left"/>
      <w:pPr>
        <w:tabs>
          <w:tab w:val="left" w:pos="2940"/>
        </w:tabs>
        <w:ind w:left="2940" w:hanging="420"/>
      </w:pPr>
    </w:lvl>
    <w:lvl w:ilvl="7" w:tentative="0">
      <w:start w:val="1"/>
      <w:numFmt w:val="lowerLetter"/>
      <w:pStyle w:val="9"/>
      <w:lvlText w:val="%8)"/>
      <w:lvlJc w:val="left"/>
      <w:pPr>
        <w:tabs>
          <w:tab w:val="left" w:pos="3360"/>
        </w:tabs>
        <w:ind w:left="3360" w:hanging="420"/>
      </w:pPr>
    </w:lvl>
    <w:lvl w:ilvl="8" w:tentative="0">
      <w:start w:val="1"/>
      <w:numFmt w:val="lowerRoman"/>
      <w:pStyle w:val="10"/>
      <w:lvlText w:val="%9."/>
      <w:lvlJc w:val="right"/>
      <w:pPr>
        <w:tabs>
          <w:tab w:val="left" w:pos="3780"/>
        </w:tabs>
        <w:ind w:left="3780" w:hanging="420"/>
      </w:pPr>
    </w:lvl>
  </w:abstractNum>
  <w:abstractNum w:abstractNumId="3">
    <w:nsid w:val="2C5917C3"/>
    <w:multiLevelType w:val="multilevel"/>
    <w:tmpl w:val="2C5917C3"/>
    <w:lvl w:ilvl="0" w:tentative="0">
      <w:start w:val="1"/>
      <w:numFmt w:val="none"/>
      <w:pStyle w:val="160"/>
      <w:suff w:val="nothing"/>
      <w:lvlText w:val="%1——"/>
      <w:lvlJc w:val="left"/>
      <w:pPr>
        <w:ind w:left="1248"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3C9CADBC"/>
    <w:multiLevelType w:val="singleLevel"/>
    <w:tmpl w:val="3C9CADBC"/>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4YjI5ZjRkM2FhMjMwNWU0NmRlOWVjYzQyMDJkMzcifQ=="/>
  </w:docVars>
  <w:rsids>
    <w:rsidRoot w:val="00172A27"/>
    <w:rsid w:val="00092A78"/>
    <w:rsid w:val="00172A27"/>
    <w:rsid w:val="002120EF"/>
    <w:rsid w:val="0024093E"/>
    <w:rsid w:val="002D7065"/>
    <w:rsid w:val="003D3E01"/>
    <w:rsid w:val="003D5AEE"/>
    <w:rsid w:val="00526F91"/>
    <w:rsid w:val="00617552"/>
    <w:rsid w:val="00740001"/>
    <w:rsid w:val="00776B74"/>
    <w:rsid w:val="00895D07"/>
    <w:rsid w:val="009737D8"/>
    <w:rsid w:val="009A7452"/>
    <w:rsid w:val="009D2E89"/>
    <w:rsid w:val="00A71BC7"/>
    <w:rsid w:val="00AB408C"/>
    <w:rsid w:val="00BC1B25"/>
    <w:rsid w:val="00C054D9"/>
    <w:rsid w:val="00D369A5"/>
    <w:rsid w:val="00DA6182"/>
    <w:rsid w:val="00DB777A"/>
    <w:rsid w:val="00E16FE2"/>
    <w:rsid w:val="00E80370"/>
    <w:rsid w:val="00EA4E2E"/>
    <w:rsid w:val="00F01E76"/>
    <w:rsid w:val="00F376B8"/>
    <w:rsid w:val="00FB0DA6"/>
    <w:rsid w:val="011B076D"/>
    <w:rsid w:val="01364957"/>
    <w:rsid w:val="01392FF5"/>
    <w:rsid w:val="013B2B96"/>
    <w:rsid w:val="014D2CCE"/>
    <w:rsid w:val="01520E04"/>
    <w:rsid w:val="01562245"/>
    <w:rsid w:val="015A0117"/>
    <w:rsid w:val="016F1E6F"/>
    <w:rsid w:val="017B4801"/>
    <w:rsid w:val="018450D3"/>
    <w:rsid w:val="018D5CCC"/>
    <w:rsid w:val="018F3708"/>
    <w:rsid w:val="01A015C6"/>
    <w:rsid w:val="01B065BA"/>
    <w:rsid w:val="01C20306"/>
    <w:rsid w:val="01D058FF"/>
    <w:rsid w:val="01F2522C"/>
    <w:rsid w:val="01FE37DF"/>
    <w:rsid w:val="01FE4DD1"/>
    <w:rsid w:val="020B7E0E"/>
    <w:rsid w:val="02202A1E"/>
    <w:rsid w:val="02205CDC"/>
    <w:rsid w:val="024015FE"/>
    <w:rsid w:val="0283506D"/>
    <w:rsid w:val="0285696A"/>
    <w:rsid w:val="02AD20E0"/>
    <w:rsid w:val="02BA6DDD"/>
    <w:rsid w:val="02BC3451"/>
    <w:rsid w:val="02D24292"/>
    <w:rsid w:val="02DF5101"/>
    <w:rsid w:val="02E849B6"/>
    <w:rsid w:val="02EA287A"/>
    <w:rsid w:val="02EC24C8"/>
    <w:rsid w:val="02FD4CAD"/>
    <w:rsid w:val="02FE6B10"/>
    <w:rsid w:val="03423B2D"/>
    <w:rsid w:val="034C5DA0"/>
    <w:rsid w:val="03620100"/>
    <w:rsid w:val="03624E28"/>
    <w:rsid w:val="036363D4"/>
    <w:rsid w:val="037315E4"/>
    <w:rsid w:val="03974967"/>
    <w:rsid w:val="039859AF"/>
    <w:rsid w:val="03991DF6"/>
    <w:rsid w:val="03AA4979"/>
    <w:rsid w:val="03B13118"/>
    <w:rsid w:val="03BE7D34"/>
    <w:rsid w:val="03C52AD7"/>
    <w:rsid w:val="03E56DE9"/>
    <w:rsid w:val="04002523"/>
    <w:rsid w:val="040B61EF"/>
    <w:rsid w:val="043B3CCE"/>
    <w:rsid w:val="04664F53"/>
    <w:rsid w:val="046A0822"/>
    <w:rsid w:val="0479788E"/>
    <w:rsid w:val="048F1237"/>
    <w:rsid w:val="04904FA7"/>
    <w:rsid w:val="04983AA2"/>
    <w:rsid w:val="04B862AB"/>
    <w:rsid w:val="04C74724"/>
    <w:rsid w:val="04D63758"/>
    <w:rsid w:val="04E71D9A"/>
    <w:rsid w:val="04EB5264"/>
    <w:rsid w:val="04EF19C1"/>
    <w:rsid w:val="050E437D"/>
    <w:rsid w:val="05285CBC"/>
    <w:rsid w:val="052A7B61"/>
    <w:rsid w:val="052C7FA3"/>
    <w:rsid w:val="05330C65"/>
    <w:rsid w:val="05345AE5"/>
    <w:rsid w:val="05397BC6"/>
    <w:rsid w:val="053A5AF9"/>
    <w:rsid w:val="053B6C38"/>
    <w:rsid w:val="0541145C"/>
    <w:rsid w:val="054A15F9"/>
    <w:rsid w:val="054F4E62"/>
    <w:rsid w:val="05A33920"/>
    <w:rsid w:val="05B413B4"/>
    <w:rsid w:val="05C1700E"/>
    <w:rsid w:val="05C44C85"/>
    <w:rsid w:val="05E352FD"/>
    <w:rsid w:val="05ED2F51"/>
    <w:rsid w:val="05F54962"/>
    <w:rsid w:val="05FA69FC"/>
    <w:rsid w:val="0600615C"/>
    <w:rsid w:val="06043D18"/>
    <w:rsid w:val="06095645"/>
    <w:rsid w:val="060F5B7A"/>
    <w:rsid w:val="06131D26"/>
    <w:rsid w:val="06141C07"/>
    <w:rsid w:val="06153268"/>
    <w:rsid w:val="06213A0F"/>
    <w:rsid w:val="06231700"/>
    <w:rsid w:val="067412BF"/>
    <w:rsid w:val="068154EF"/>
    <w:rsid w:val="068472C4"/>
    <w:rsid w:val="06856E29"/>
    <w:rsid w:val="068A1A74"/>
    <w:rsid w:val="068B7C0B"/>
    <w:rsid w:val="068C2B87"/>
    <w:rsid w:val="069F5975"/>
    <w:rsid w:val="06B14770"/>
    <w:rsid w:val="06B5358E"/>
    <w:rsid w:val="06D117C4"/>
    <w:rsid w:val="06D40886"/>
    <w:rsid w:val="06EE25A0"/>
    <w:rsid w:val="06FE159B"/>
    <w:rsid w:val="0710034B"/>
    <w:rsid w:val="072702BE"/>
    <w:rsid w:val="073A43B2"/>
    <w:rsid w:val="074A173B"/>
    <w:rsid w:val="0755481D"/>
    <w:rsid w:val="07573D64"/>
    <w:rsid w:val="07587D5E"/>
    <w:rsid w:val="075D1F78"/>
    <w:rsid w:val="077D6C86"/>
    <w:rsid w:val="0788175D"/>
    <w:rsid w:val="079A19F7"/>
    <w:rsid w:val="079B3C45"/>
    <w:rsid w:val="079E6705"/>
    <w:rsid w:val="07A20C7B"/>
    <w:rsid w:val="07AB48C8"/>
    <w:rsid w:val="07BF5C81"/>
    <w:rsid w:val="07DA2C8A"/>
    <w:rsid w:val="07DC6899"/>
    <w:rsid w:val="08013891"/>
    <w:rsid w:val="0801495A"/>
    <w:rsid w:val="0808780A"/>
    <w:rsid w:val="081128A2"/>
    <w:rsid w:val="0814056B"/>
    <w:rsid w:val="081A536E"/>
    <w:rsid w:val="08395955"/>
    <w:rsid w:val="08431698"/>
    <w:rsid w:val="084C42C1"/>
    <w:rsid w:val="084E4CCA"/>
    <w:rsid w:val="08536A05"/>
    <w:rsid w:val="085D25BC"/>
    <w:rsid w:val="08606B7B"/>
    <w:rsid w:val="08656AB8"/>
    <w:rsid w:val="087A1602"/>
    <w:rsid w:val="087F6BF6"/>
    <w:rsid w:val="08834589"/>
    <w:rsid w:val="0888054E"/>
    <w:rsid w:val="088C66ED"/>
    <w:rsid w:val="08922EDF"/>
    <w:rsid w:val="08980249"/>
    <w:rsid w:val="0899065E"/>
    <w:rsid w:val="08A376C7"/>
    <w:rsid w:val="08B15B10"/>
    <w:rsid w:val="08B31388"/>
    <w:rsid w:val="08C84615"/>
    <w:rsid w:val="08D87BDA"/>
    <w:rsid w:val="08DE4E32"/>
    <w:rsid w:val="08E42242"/>
    <w:rsid w:val="08E46ABC"/>
    <w:rsid w:val="09043A5D"/>
    <w:rsid w:val="09211ABF"/>
    <w:rsid w:val="092F3125"/>
    <w:rsid w:val="0946032A"/>
    <w:rsid w:val="094C0A80"/>
    <w:rsid w:val="094C2194"/>
    <w:rsid w:val="094D5FE9"/>
    <w:rsid w:val="095E2056"/>
    <w:rsid w:val="09695E13"/>
    <w:rsid w:val="097D4AD8"/>
    <w:rsid w:val="09812026"/>
    <w:rsid w:val="09824F4E"/>
    <w:rsid w:val="099D7048"/>
    <w:rsid w:val="09AB2B27"/>
    <w:rsid w:val="09DF3948"/>
    <w:rsid w:val="09E71B0D"/>
    <w:rsid w:val="0A03621B"/>
    <w:rsid w:val="0A0A3895"/>
    <w:rsid w:val="0A36305A"/>
    <w:rsid w:val="0A3F7702"/>
    <w:rsid w:val="0A444BE2"/>
    <w:rsid w:val="0A4F5936"/>
    <w:rsid w:val="0A502B6F"/>
    <w:rsid w:val="0AA55524"/>
    <w:rsid w:val="0AAB1C10"/>
    <w:rsid w:val="0AAD3582"/>
    <w:rsid w:val="0AAE6380"/>
    <w:rsid w:val="0AC64852"/>
    <w:rsid w:val="0AD55E09"/>
    <w:rsid w:val="0AE01BA4"/>
    <w:rsid w:val="0AE41BA8"/>
    <w:rsid w:val="0AEA1189"/>
    <w:rsid w:val="0AEC2C46"/>
    <w:rsid w:val="0AFE40F4"/>
    <w:rsid w:val="0B0A2B7A"/>
    <w:rsid w:val="0B251DE0"/>
    <w:rsid w:val="0B263833"/>
    <w:rsid w:val="0B346965"/>
    <w:rsid w:val="0B3B4781"/>
    <w:rsid w:val="0B4A6319"/>
    <w:rsid w:val="0B4C7FE6"/>
    <w:rsid w:val="0B501474"/>
    <w:rsid w:val="0B53227B"/>
    <w:rsid w:val="0B5A77DA"/>
    <w:rsid w:val="0B6815DC"/>
    <w:rsid w:val="0B723683"/>
    <w:rsid w:val="0B7E7098"/>
    <w:rsid w:val="0B802535"/>
    <w:rsid w:val="0B8C58C7"/>
    <w:rsid w:val="0B9B1A81"/>
    <w:rsid w:val="0BAD7E73"/>
    <w:rsid w:val="0BB655DF"/>
    <w:rsid w:val="0BB92254"/>
    <w:rsid w:val="0BBD21B8"/>
    <w:rsid w:val="0BBF6BBF"/>
    <w:rsid w:val="0BCB0FBA"/>
    <w:rsid w:val="0BEF39E7"/>
    <w:rsid w:val="0BF970B0"/>
    <w:rsid w:val="0C0555AD"/>
    <w:rsid w:val="0C327BDA"/>
    <w:rsid w:val="0C3415F0"/>
    <w:rsid w:val="0C6E2E42"/>
    <w:rsid w:val="0C7873AB"/>
    <w:rsid w:val="0C794471"/>
    <w:rsid w:val="0C7B28C4"/>
    <w:rsid w:val="0C803B05"/>
    <w:rsid w:val="0C926699"/>
    <w:rsid w:val="0CC015F5"/>
    <w:rsid w:val="0CD34B26"/>
    <w:rsid w:val="0CE7443B"/>
    <w:rsid w:val="0CF05A8B"/>
    <w:rsid w:val="0CFE4D6A"/>
    <w:rsid w:val="0D101598"/>
    <w:rsid w:val="0D1D167E"/>
    <w:rsid w:val="0D1F4EEE"/>
    <w:rsid w:val="0D303856"/>
    <w:rsid w:val="0D317212"/>
    <w:rsid w:val="0D5113D6"/>
    <w:rsid w:val="0D537991"/>
    <w:rsid w:val="0D64771B"/>
    <w:rsid w:val="0D7838A2"/>
    <w:rsid w:val="0D78679B"/>
    <w:rsid w:val="0D79347D"/>
    <w:rsid w:val="0D803F61"/>
    <w:rsid w:val="0D95000F"/>
    <w:rsid w:val="0D9948A2"/>
    <w:rsid w:val="0DA17846"/>
    <w:rsid w:val="0DB26FA6"/>
    <w:rsid w:val="0DBA4A79"/>
    <w:rsid w:val="0DBE4C2B"/>
    <w:rsid w:val="0DDD0653"/>
    <w:rsid w:val="0DF27D93"/>
    <w:rsid w:val="0E006627"/>
    <w:rsid w:val="0E0A401C"/>
    <w:rsid w:val="0E33587B"/>
    <w:rsid w:val="0E4057C5"/>
    <w:rsid w:val="0E4245F1"/>
    <w:rsid w:val="0E466540"/>
    <w:rsid w:val="0E506236"/>
    <w:rsid w:val="0E6409CA"/>
    <w:rsid w:val="0E672E4D"/>
    <w:rsid w:val="0E711999"/>
    <w:rsid w:val="0E762C49"/>
    <w:rsid w:val="0E8A2A67"/>
    <w:rsid w:val="0E957105"/>
    <w:rsid w:val="0EA53C58"/>
    <w:rsid w:val="0EAC6E81"/>
    <w:rsid w:val="0ED014D7"/>
    <w:rsid w:val="0EEA2826"/>
    <w:rsid w:val="0EEA49B1"/>
    <w:rsid w:val="0F025E8B"/>
    <w:rsid w:val="0F122513"/>
    <w:rsid w:val="0F20786F"/>
    <w:rsid w:val="0F2B4346"/>
    <w:rsid w:val="0F4251AA"/>
    <w:rsid w:val="0F67514B"/>
    <w:rsid w:val="0F67627E"/>
    <w:rsid w:val="0F693E74"/>
    <w:rsid w:val="0F7278E4"/>
    <w:rsid w:val="0F84395A"/>
    <w:rsid w:val="0F845AE7"/>
    <w:rsid w:val="0F8F046F"/>
    <w:rsid w:val="0F8F27F2"/>
    <w:rsid w:val="0F982EF8"/>
    <w:rsid w:val="0F9B03B3"/>
    <w:rsid w:val="0FA958FA"/>
    <w:rsid w:val="0FAB11CA"/>
    <w:rsid w:val="0FAE0B7A"/>
    <w:rsid w:val="0FBC7598"/>
    <w:rsid w:val="0FC922CC"/>
    <w:rsid w:val="0FE80C30"/>
    <w:rsid w:val="0FF00438"/>
    <w:rsid w:val="0FF43096"/>
    <w:rsid w:val="0FFC2826"/>
    <w:rsid w:val="100D68C6"/>
    <w:rsid w:val="10243F77"/>
    <w:rsid w:val="10400BB6"/>
    <w:rsid w:val="104A5433"/>
    <w:rsid w:val="105064C1"/>
    <w:rsid w:val="10543CFF"/>
    <w:rsid w:val="105B2110"/>
    <w:rsid w:val="10616C61"/>
    <w:rsid w:val="1067687D"/>
    <w:rsid w:val="10825116"/>
    <w:rsid w:val="109C1B36"/>
    <w:rsid w:val="10A5780E"/>
    <w:rsid w:val="10A84798"/>
    <w:rsid w:val="10AC5449"/>
    <w:rsid w:val="10B0550D"/>
    <w:rsid w:val="10C276FF"/>
    <w:rsid w:val="10C27F2F"/>
    <w:rsid w:val="10C55D8B"/>
    <w:rsid w:val="10D65F69"/>
    <w:rsid w:val="10DE709A"/>
    <w:rsid w:val="10DF637D"/>
    <w:rsid w:val="10E86C7B"/>
    <w:rsid w:val="110100FA"/>
    <w:rsid w:val="113370D8"/>
    <w:rsid w:val="11524864"/>
    <w:rsid w:val="115D26B4"/>
    <w:rsid w:val="11722F54"/>
    <w:rsid w:val="117F4826"/>
    <w:rsid w:val="118D3E8D"/>
    <w:rsid w:val="119D6B16"/>
    <w:rsid w:val="11A11377"/>
    <w:rsid w:val="11BA244B"/>
    <w:rsid w:val="11C17D68"/>
    <w:rsid w:val="11C61E2E"/>
    <w:rsid w:val="11CD3120"/>
    <w:rsid w:val="11D1313E"/>
    <w:rsid w:val="11D2167A"/>
    <w:rsid w:val="11E76422"/>
    <w:rsid w:val="12247209"/>
    <w:rsid w:val="123F5E05"/>
    <w:rsid w:val="12413A35"/>
    <w:rsid w:val="12502AF8"/>
    <w:rsid w:val="1251381D"/>
    <w:rsid w:val="125F2920"/>
    <w:rsid w:val="12602F45"/>
    <w:rsid w:val="1266002A"/>
    <w:rsid w:val="12695089"/>
    <w:rsid w:val="12704669"/>
    <w:rsid w:val="12845984"/>
    <w:rsid w:val="12DB267E"/>
    <w:rsid w:val="12DD5F9D"/>
    <w:rsid w:val="13054DB2"/>
    <w:rsid w:val="130D1D5B"/>
    <w:rsid w:val="13150A91"/>
    <w:rsid w:val="13244039"/>
    <w:rsid w:val="13267C75"/>
    <w:rsid w:val="133D7514"/>
    <w:rsid w:val="134C21E1"/>
    <w:rsid w:val="1357122B"/>
    <w:rsid w:val="137B7D97"/>
    <w:rsid w:val="138E124B"/>
    <w:rsid w:val="139A31C7"/>
    <w:rsid w:val="139D3A91"/>
    <w:rsid w:val="13A06724"/>
    <w:rsid w:val="13A31088"/>
    <w:rsid w:val="13CA1B57"/>
    <w:rsid w:val="13E7221F"/>
    <w:rsid w:val="13F35E74"/>
    <w:rsid w:val="14075DB3"/>
    <w:rsid w:val="141D16F7"/>
    <w:rsid w:val="142916C8"/>
    <w:rsid w:val="14555D0B"/>
    <w:rsid w:val="1463312E"/>
    <w:rsid w:val="146C0833"/>
    <w:rsid w:val="147A7245"/>
    <w:rsid w:val="147D616A"/>
    <w:rsid w:val="148E78EB"/>
    <w:rsid w:val="14A10028"/>
    <w:rsid w:val="14B37C3C"/>
    <w:rsid w:val="14CC7584"/>
    <w:rsid w:val="14F378A1"/>
    <w:rsid w:val="14FF3E71"/>
    <w:rsid w:val="15085D61"/>
    <w:rsid w:val="151D003A"/>
    <w:rsid w:val="15372395"/>
    <w:rsid w:val="1544009F"/>
    <w:rsid w:val="154B2B6F"/>
    <w:rsid w:val="15526292"/>
    <w:rsid w:val="156C6CB0"/>
    <w:rsid w:val="15A41A3C"/>
    <w:rsid w:val="15AF406F"/>
    <w:rsid w:val="15B5492C"/>
    <w:rsid w:val="15BF4B5C"/>
    <w:rsid w:val="15C01464"/>
    <w:rsid w:val="15EE5FD1"/>
    <w:rsid w:val="15F6334A"/>
    <w:rsid w:val="15FD121B"/>
    <w:rsid w:val="161817F1"/>
    <w:rsid w:val="161F6BA8"/>
    <w:rsid w:val="16210D96"/>
    <w:rsid w:val="162972A8"/>
    <w:rsid w:val="162D131B"/>
    <w:rsid w:val="16310DDB"/>
    <w:rsid w:val="163631E4"/>
    <w:rsid w:val="163703FA"/>
    <w:rsid w:val="163B3ADF"/>
    <w:rsid w:val="16633F40"/>
    <w:rsid w:val="16634644"/>
    <w:rsid w:val="16794BCB"/>
    <w:rsid w:val="16891007"/>
    <w:rsid w:val="16895ECA"/>
    <w:rsid w:val="16A0117F"/>
    <w:rsid w:val="16A619B3"/>
    <w:rsid w:val="16AE401D"/>
    <w:rsid w:val="16B6352F"/>
    <w:rsid w:val="16B7582D"/>
    <w:rsid w:val="16CB757E"/>
    <w:rsid w:val="16D62423"/>
    <w:rsid w:val="16D907A9"/>
    <w:rsid w:val="16DF390A"/>
    <w:rsid w:val="171458BA"/>
    <w:rsid w:val="17190E2C"/>
    <w:rsid w:val="171E654F"/>
    <w:rsid w:val="17232448"/>
    <w:rsid w:val="17270EE0"/>
    <w:rsid w:val="173A7524"/>
    <w:rsid w:val="1748172E"/>
    <w:rsid w:val="174C51CF"/>
    <w:rsid w:val="175E775D"/>
    <w:rsid w:val="177D46D3"/>
    <w:rsid w:val="1784366D"/>
    <w:rsid w:val="17872C1D"/>
    <w:rsid w:val="17B37358"/>
    <w:rsid w:val="17C407C9"/>
    <w:rsid w:val="17D43B27"/>
    <w:rsid w:val="17F93262"/>
    <w:rsid w:val="180C00A9"/>
    <w:rsid w:val="181815F3"/>
    <w:rsid w:val="18274579"/>
    <w:rsid w:val="18405FC8"/>
    <w:rsid w:val="18575728"/>
    <w:rsid w:val="18611CA7"/>
    <w:rsid w:val="186162CD"/>
    <w:rsid w:val="186A34DC"/>
    <w:rsid w:val="1873157B"/>
    <w:rsid w:val="18820C52"/>
    <w:rsid w:val="18942389"/>
    <w:rsid w:val="189A2440"/>
    <w:rsid w:val="189E7D05"/>
    <w:rsid w:val="18B30D4E"/>
    <w:rsid w:val="18B93811"/>
    <w:rsid w:val="1908453D"/>
    <w:rsid w:val="190E4C14"/>
    <w:rsid w:val="1910615A"/>
    <w:rsid w:val="192A68BB"/>
    <w:rsid w:val="192E5743"/>
    <w:rsid w:val="19363610"/>
    <w:rsid w:val="19457D54"/>
    <w:rsid w:val="194742DC"/>
    <w:rsid w:val="194C5023"/>
    <w:rsid w:val="195F08E7"/>
    <w:rsid w:val="1962193B"/>
    <w:rsid w:val="19632E55"/>
    <w:rsid w:val="1970327A"/>
    <w:rsid w:val="198448E0"/>
    <w:rsid w:val="199A46C5"/>
    <w:rsid w:val="199E70C4"/>
    <w:rsid w:val="19AE31C6"/>
    <w:rsid w:val="19E65657"/>
    <w:rsid w:val="1A071B90"/>
    <w:rsid w:val="1A231855"/>
    <w:rsid w:val="1A2D7BBF"/>
    <w:rsid w:val="1A601882"/>
    <w:rsid w:val="1A7A13F4"/>
    <w:rsid w:val="1A7A5DCF"/>
    <w:rsid w:val="1A7F14E6"/>
    <w:rsid w:val="1A903AFB"/>
    <w:rsid w:val="1AAD3DF6"/>
    <w:rsid w:val="1ABA79BA"/>
    <w:rsid w:val="1AC41F4A"/>
    <w:rsid w:val="1ADB4F3C"/>
    <w:rsid w:val="1ADD74DE"/>
    <w:rsid w:val="1AF05E6E"/>
    <w:rsid w:val="1B0E23CC"/>
    <w:rsid w:val="1B297DA1"/>
    <w:rsid w:val="1B2B705F"/>
    <w:rsid w:val="1B476920"/>
    <w:rsid w:val="1B724FAE"/>
    <w:rsid w:val="1B8144A1"/>
    <w:rsid w:val="1B842482"/>
    <w:rsid w:val="1B8D1717"/>
    <w:rsid w:val="1BA057D7"/>
    <w:rsid w:val="1BA6544E"/>
    <w:rsid w:val="1BA75FED"/>
    <w:rsid w:val="1BDC1C3A"/>
    <w:rsid w:val="1C295FB5"/>
    <w:rsid w:val="1C4F058B"/>
    <w:rsid w:val="1C624D00"/>
    <w:rsid w:val="1C6A3ED7"/>
    <w:rsid w:val="1C7969BC"/>
    <w:rsid w:val="1C7A1A8C"/>
    <w:rsid w:val="1C7F15B3"/>
    <w:rsid w:val="1C9315D1"/>
    <w:rsid w:val="1C933645"/>
    <w:rsid w:val="1C9D5C80"/>
    <w:rsid w:val="1CA82B3D"/>
    <w:rsid w:val="1CBB76EF"/>
    <w:rsid w:val="1CE07903"/>
    <w:rsid w:val="1CE44D14"/>
    <w:rsid w:val="1D016290"/>
    <w:rsid w:val="1D1D719C"/>
    <w:rsid w:val="1D1E22CD"/>
    <w:rsid w:val="1D1E5CB6"/>
    <w:rsid w:val="1D3650F4"/>
    <w:rsid w:val="1D44429B"/>
    <w:rsid w:val="1D661056"/>
    <w:rsid w:val="1D833336"/>
    <w:rsid w:val="1DB16389"/>
    <w:rsid w:val="1DB603FF"/>
    <w:rsid w:val="1DB72E7F"/>
    <w:rsid w:val="1DDA6A02"/>
    <w:rsid w:val="1DF26D30"/>
    <w:rsid w:val="1E123D50"/>
    <w:rsid w:val="1E1C3AF9"/>
    <w:rsid w:val="1E322933"/>
    <w:rsid w:val="1E5C4E09"/>
    <w:rsid w:val="1E5D0C58"/>
    <w:rsid w:val="1E617B02"/>
    <w:rsid w:val="1E6A5CB5"/>
    <w:rsid w:val="1E6D637E"/>
    <w:rsid w:val="1E761FE1"/>
    <w:rsid w:val="1E877114"/>
    <w:rsid w:val="1E962530"/>
    <w:rsid w:val="1E9A1FBD"/>
    <w:rsid w:val="1E9E082B"/>
    <w:rsid w:val="1EB31B66"/>
    <w:rsid w:val="1EC824FB"/>
    <w:rsid w:val="1ED45C06"/>
    <w:rsid w:val="1EF12BBD"/>
    <w:rsid w:val="1F054A33"/>
    <w:rsid w:val="1F0A6272"/>
    <w:rsid w:val="1F1473DF"/>
    <w:rsid w:val="1F156212"/>
    <w:rsid w:val="1F1958BA"/>
    <w:rsid w:val="1F32719E"/>
    <w:rsid w:val="1F54408F"/>
    <w:rsid w:val="1F62545A"/>
    <w:rsid w:val="1F7E581E"/>
    <w:rsid w:val="1F823EAB"/>
    <w:rsid w:val="1F971B40"/>
    <w:rsid w:val="1FB545ED"/>
    <w:rsid w:val="1FB57DC3"/>
    <w:rsid w:val="1FCA6AB3"/>
    <w:rsid w:val="1FDA5F68"/>
    <w:rsid w:val="1FE67038"/>
    <w:rsid w:val="2000527E"/>
    <w:rsid w:val="20121B80"/>
    <w:rsid w:val="201F05FC"/>
    <w:rsid w:val="20203829"/>
    <w:rsid w:val="20332056"/>
    <w:rsid w:val="203D6B35"/>
    <w:rsid w:val="2041436C"/>
    <w:rsid w:val="204C0515"/>
    <w:rsid w:val="20531CF4"/>
    <w:rsid w:val="20706FDE"/>
    <w:rsid w:val="209922E2"/>
    <w:rsid w:val="20A16929"/>
    <w:rsid w:val="20E06C8C"/>
    <w:rsid w:val="20E6639E"/>
    <w:rsid w:val="210963B5"/>
    <w:rsid w:val="21475E2A"/>
    <w:rsid w:val="214D7EA4"/>
    <w:rsid w:val="2151580C"/>
    <w:rsid w:val="217D1535"/>
    <w:rsid w:val="21885F0B"/>
    <w:rsid w:val="218B07A0"/>
    <w:rsid w:val="218F5B79"/>
    <w:rsid w:val="219A74E6"/>
    <w:rsid w:val="21A803FE"/>
    <w:rsid w:val="21A80976"/>
    <w:rsid w:val="21B03028"/>
    <w:rsid w:val="21B453DB"/>
    <w:rsid w:val="21EF053E"/>
    <w:rsid w:val="21F97B9E"/>
    <w:rsid w:val="22062FF3"/>
    <w:rsid w:val="22071062"/>
    <w:rsid w:val="220B1502"/>
    <w:rsid w:val="22122985"/>
    <w:rsid w:val="22207E5E"/>
    <w:rsid w:val="22291EA3"/>
    <w:rsid w:val="22341BA8"/>
    <w:rsid w:val="223C1833"/>
    <w:rsid w:val="22525B39"/>
    <w:rsid w:val="2257410B"/>
    <w:rsid w:val="22720320"/>
    <w:rsid w:val="227A6CEA"/>
    <w:rsid w:val="227E248B"/>
    <w:rsid w:val="22814F3D"/>
    <w:rsid w:val="228222D1"/>
    <w:rsid w:val="22841F71"/>
    <w:rsid w:val="22855306"/>
    <w:rsid w:val="229F7B92"/>
    <w:rsid w:val="22A31938"/>
    <w:rsid w:val="22F34F2C"/>
    <w:rsid w:val="22F369ED"/>
    <w:rsid w:val="23030675"/>
    <w:rsid w:val="230615D2"/>
    <w:rsid w:val="23146838"/>
    <w:rsid w:val="231634B2"/>
    <w:rsid w:val="234019F7"/>
    <w:rsid w:val="234F06FC"/>
    <w:rsid w:val="2369313B"/>
    <w:rsid w:val="237C24AA"/>
    <w:rsid w:val="237D33AE"/>
    <w:rsid w:val="23857832"/>
    <w:rsid w:val="239235A8"/>
    <w:rsid w:val="23930888"/>
    <w:rsid w:val="239A1C79"/>
    <w:rsid w:val="23AC797A"/>
    <w:rsid w:val="23CA3465"/>
    <w:rsid w:val="23CA615E"/>
    <w:rsid w:val="23E81F00"/>
    <w:rsid w:val="23EF464F"/>
    <w:rsid w:val="23F317F2"/>
    <w:rsid w:val="240277C4"/>
    <w:rsid w:val="2405059E"/>
    <w:rsid w:val="240A160A"/>
    <w:rsid w:val="240C4612"/>
    <w:rsid w:val="242E1076"/>
    <w:rsid w:val="24335A38"/>
    <w:rsid w:val="2436725F"/>
    <w:rsid w:val="24507E90"/>
    <w:rsid w:val="2452446A"/>
    <w:rsid w:val="24683F28"/>
    <w:rsid w:val="2479546B"/>
    <w:rsid w:val="248B5B56"/>
    <w:rsid w:val="248D268E"/>
    <w:rsid w:val="24970470"/>
    <w:rsid w:val="24E01D81"/>
    <w:rsid w:val="24E67001"/>
    <w:rsid w:val="24E87A35"/>
    <w:rsid w:val="24FC532E"/>
    <w:rsid w:val="251330D6"/>
    <w:rsid w:val="251B2F91"/>
    <w:rsid w:val="25323BFF"/>
    <w:rsid w:val="25411F86"/>
    <w:rsid w:val="25522F96"/>
    <w:rsid w:val="256708F3"/>
    <w:rsid w:val="25681565"/>
    <w:rsid w:val="25781651"/>
    <w:rsid w:val="2587161A"/>
    <w:rsid w:val="25925415"/>
    <w:rsid w:val="25956469"/>
    <w:rsid w:val="25C074B4"/>
    <w:rsid w:val="25C16AEE"/>
    <w:rsid w:val="25D30D3F"/>
    <w:rsid w:val="25EC40D3"/>
    <w:rsid w:val="25F67FEE"/>
    <w:rsid w:val="26086C3B"/>
    <w:rsid w:val="260B390D"/>
    <w:rsid w:val="26241295"/>
    <w:rsid w:val="2626787B"/>
    <w:rsid w:val="265245CB"/>
    <w:rsid w:val="26950343"/>
    <w:rsid w:val="26A3494B"/>
    <w:rsid w:val="26C25CA8"/>
    <w:rsid w:val="26D858F4"/>
    <w:rsid w:val="26E64884"/>
    <w:rsid w:val="26EF2A2A"/>
    <w:rsid w:val="26EF3D36"/>
    <w:rsid w:val="26F84C3C"/>
    <w:rsid w:val="26FB0E17"/>
    <w:rsid w:val="27065A56"/>
    <w:rsid w:val="27151570"/>
    <w:rsid w:val="272D4E78"/>
    <w:rsid w:val="2741364C"/>
    <w:rsid w:val="274D6455"/>
    <w:rsid w:val="274F6046"/>
    <w:rsid w:val="27592B6C"/>
    <w:rsid w:val="275968E8"/>
    <w:rsid w:val="27600B19"/>
    <w:rsid w:val="276319AD"/>
    <w:rsid w:val="279D44C4"/>
    <w:rsid w:val="27B82C5E"/>
    <w:rsid w:val="27BC0C00"/>
    <w:rsid w:val="27BE1DE5"/>
    <w:rsid w:val="27F17082"/>
    <w:rsid w:val="281348E3"/>
    <w:rsid w:val="28154957"/>
    <w:rsid w:val="281D319D"/>
    <w:rsid w:val="28305FD5"/>
    <w:rsid w:val="28373807"/>
    <w:rsid w:val="2841301C"/>
    <w:rsid w:val="28422207"/>
    <w:rsid w:val="284E01C7"/>
    <w:rsid w:val="284E57F9"/>
    <w:rsid w:val="28540E8F"/>
    <w:rsid w:val="28552C51"/>
    <w:rsid w:val="285B7A31"/>
    <w:rsid w:val="285D685B"/>
    <w:rsid w:val="286A466A"/>
    <w:rsid w:val="286A5C37"/>
    <w:rsid w:val="286B2C8C"/>
    <w:rsid w:val="286C77DA"/>
    <w:rsid w:val="28833154"/>
    <w:rsid w:val="28EC7B6B"/>
    <w:rsid w:val="28F559E9"/>
    <w:rsid w:val="28FA12B8"/>
    <w:rsid w:val="290349F8"/>
    <w:rsid w:val="2905591C"/>
    <w:rsid w:val="290941F1"/>
    <w:rsid w:val="290B661E"/>
    <w:rsid w:val="291F1AEE"/>
    <w:rsid w:val="2936770C"/>
    <w:rsid w:val="295319DF"/>
    <w:rsid w:val="29531D4F"/>
    <w:rsid w:val="295E18CC"/>
    <w:rsid w:val="296B25F0"/>
    <w:rsid w:val="297509D7"/>
    <w:rsid w:val="297B008F"/>
    <w:rsid w:val="298D658A"/>
    <w:rsid w:val="29A64C6F"/>
    <w:rsid w:val="29A869E2"/>
    <w:rsid w:val="29B22F0B"/>
    <w:rsid w:val="29C86624"/>
    <w:rsid w:val="29CB2E2C"/>
    <w:rsid w:val="29D51BDA"/>
    <w:rsid w:val="29DB74A4"/>
    <w:rsid w:val="29F851AA"/>
    <w:rsid w:val="29FC4965"/>
    <w:rsid w:val="2A16558E"/>
    <w:rsid w:val="2A202F0C"/>
    <w:rsid w:val="2A3D7320"/>
    <w:rsid w:val="2A42388B"/>
    <w:rsid w:val="2A432FFD"/>
    <w:rsid w:val="2A4E331C"/>
    <w:rsid w:val="2A6B7798"/>
    <w:rsid w:val="2A944CF2"/>
    <w:rsid w:val="2A954299"/>
    <w:rsid w:val="2A99039B"/>
    <w:rsid w:val="2AC769A2"/>
    <w:rsid w:val="2AEA109A"/>
    <w:rsid w:val="2B0A0E68"/>
    <w:rsid w:val="2B480738"/>
    <w:rsid w:val="2B4832E8"/>
    <w:rsid w:val="2B561E63"/>
    <w:rsid w:val="2B6969E4"/>
    <w:rsid w:val="2B71065A"/>
    <w:rsid w:val="2B74267D"/>
    <w:rsid w:val="2B902D8F"/>
    <w:rsid w:val="2BBE7D9C"/>
    <w:rsid w:val="2BC22670"/>
    <w:rsid w:val="2BC327DF"/>
    <w:rsid w:val="2BD440AE"/>
    <w:rsid w:val="2BE75844"/>
    <w:rsid w:val="2C0038D6"/>
    <w:rsid w:val="2C127DCD"/>
    <w:rsid w:val="2C1A6E9A"/>
    <w:rsid w:val="2C2B73C8"/>
    <w:rsid w:val="2C305D28"/>
    <w:rsid w:val="2C384FD1"/>
    <w:rsid w:val="2C422635"/>
    <w:rsid w:val="2C51340A"/>
    <w:rsid w:val="2C6453A6"/>
    <w:rsid w:val="2C8A4FBA"/>
    <w:rsid w:val="2C925CF2"/>
    <w:rsid w:val="2CAE049D"/>
    <w:rsid w:val="2CC34D58"/>
    <w:rsid w:val="2CD12C80"/>
    <w:rsid w:val="2CD27787"/>
    <w:rsid w:val="2CDC3824"/>
    <w:rsid w:val="2CEA4D70"/>
    <w:rsid w:val="2D01457A"/>
    <w:rsid w:val="2D0716FA"/>
    <w:rsid w:val="2D0D5420"/>
    <w:rsid w:val="2D203839"/>
    <w:rsid w:val="2D40621E"/>
    <w:rsid w:val="2D5C2419"/>
    <w:rsid w:val="2D630BFB"/>
    <w:rsid w:val="2D6524A5"/>
    <w:rsid w:val="2D7B3C22"/>
    <w:rsid w:val="2DBB4FB1"/>
    <w:rsid w:val="2DD81565"/>
    <w:rsid w:val="2DEF3E65"/>
    <w:rsid w:val="2E1515FB"/>
    <w:rsid w:val="2E1530FC"/>
    <w:rsid w:val="2E1D134C"/>
    <w:rsid w:val="2E2E4BB9"/>
    <w:rsid w:val="2E3019AC"/>
    <w:rsid w:val="2E33445A"/>
    <w:rsid w:val="2E3604CF"/>
    <w:rsid w:val="2E421DA6"/>
    <w:rsid w:val="2E5A53B6"/>
    <w:rsid w:val="2E72543E"/>
    <w:rsid w:val="2E8A2D9B"/>
    <w:rsid w:val="2E8B597C"/>
    <w:rsid w:val="2EB6540C"/>
    <w:rsid w:val="2EC56679"/>
    <w:rsid w:val="2ED2042A"/>
    <w:rsid w:val="2ED32CD8"/>
    <w:rsid w:val="2ED93AA2"/>
    <w:rsid w:val="2EDA2C0E"/>
    <w:rsid w:val="2EE1755E"/>
    <w:rsid w:val="2EEA31F2"/>
    <w:rsid w:val="2EED7344"/>
    <w:rsid w:val="2EF51D26"/>
    <w:rsid w:val="2EFB7A83"/>
    <w:rsid w:val="2EFC66FC"/>
    <w:rsid w:val="2EFD5344"/>
    <w:rsid w:val="2F01471E"/>
    <w:rsid w:val="2F2A037F"/>
    <w:rsid w:val="2F2C55D0"/>
    <w:rsid w:val="2F5A3EFF"/>
    <w:rsid w:val="2F5F17E0"/>
    <w:rsid w:val="2F6032AA"/>
    <w:rsid w:val="2F813526"/>
    <w:rsid w:val="2F8310E0"/>
    <w:rsid w:val="2F8A37AA"/>
    <w:rsid w:val="2F8D228E"/>
    <w:rsid w:val="2F9A7DEA"/>
    <w:rsid w:val="2FB461ED"/>
    <w:rsid w:val="2FB66381"/>
    <w:rsid w:val="2FC71EE9"/>
    <w:rsid w:val="2FD9273E"/>
    <w:rsid w:val="2FDD171B"/>
    <w:rsid w:val="2FFE24A2"/>
    <w:rsid w:val="300F1819"/>
    <w:rsid w:val="30145897"/>
    <w:rsid w:val="301C2A8B"/>
    <w:rsid w:val="30273805"/>
    <w:rsid w:val="302D74B1"/>
    <w:rsid w:val="30360C89"/>
    <w:rsid w:val="304057D0"/>
    <w:rsid w:val="30572A7C"/>
    <w:rsid w:val="30577AB4"/>
    <w:rsid w:val="305C2E53"/>
    <w:rsid w:val="305E0AAE"/>
    <w:rsid w:val="306952B7"/>
    <w:rsid w:val="30705B08"/>
    <w:rsid w:val="30730B67"/>
    <w:rsid w:val="30824022"/>
    <w:rsid w:val="308B46F0"/>
    <w:rsid w:val="308F00D3"/>
    <w:rsid w:val="30AB6B41"/>
    <w:rsid w:val="30B86334"/>
    <w:rsid w:val="30DD045E"/>
    <w:rsid w:val="30ED40B7"/>
    <w:rsid w:val="310A218D"/>
    <w:rsid w:val="311B02D8"/>
    <w:rsid w:val="3123112A"/>
    <w:rsid w:val="31250AAE"/>
    <w:rsid w:val="31306295"/>
    <w:rsid w:val="31315D21"/>
    <w:rsid w:val="31365CB3"/>
    <w:rsid w:val="313F15CA"/>
    <w:rsid w:val="31535544"/>
    <w:rsid w:val="31626EB2"/>
    <w:rsid w:val="3163462F"/>
    <w:rsid w:val="316513E5"/>
    <w:rsid w:val="3178735A"/>
    <w:rsid w:val="31937025"/>
    <w:rsid w:val="31951269"/>
    <w:rsid w:val="31966D8B"/>
    <w:rsid w:val="31A14BE9"/>
    <w:rsid w:val="31A81E86"/>
    <w:rsid w:val="31BF0034"/>
    <w:rsid w:val="31BF14DC"/>
    <w:rsid w:val="31D200FD"/>
    <w:rsid w:val="320824E3"/>
    <w:rsid w:val="321E6385"/>
    <w:rsid w:val="3236210D"/>
    <w:rsid w:val="3240441C"/>
    <w:rsid w:val="327601C6"/>
    <w:rsid w:val="32844B1A"/>
    <w:rsid w:val="32B3528A"/>
    <w:rsid w:val="32D91DC6"/>
    <w:rsid w:val="32FC5589"/>
    <w:rsid w:val="32FD1152"/>
    <w:rsid w:val="330C7699"/>
    <w:rsid w:val="33170150"/>
    <w:rsid w:val="331F14A7"/>
    <w:rsid w:val="33256212"/>
    <w:rsid w:val="33327CB0"/>
    <w:rsid w:val="3340198F"/>
    <w:rsid w:val="334F37D5"/>
    <w:rsid w:val="3366678C"/>
    <w:rsid w:val="337467D7"/>
    <w:rsid w:val="3376327D"/>
    <w:rsid w:val="339D794B"/>
    <w:rsid w:val="33A930DF"/>
    <w:rsid w:val="33B2553C"/>
    <w:rsid w:val="33C5637D"/>
    <w:rsid w:val="33C70F91"/>
    <w:rsid w:val="33CC491A"/>
    <w:rsid w:val="33CC4E50"/>
    <w:rsid w:val="33DC0DA6"/>
    <w:rsid w:val="33DE0FDB"/>
    <w:rsid w:val="33DF3E68"/>
    <w:rsid w:val="33E02FA5"/>
    <w:rsid w:val="3409429F"/>
    <w:rsid w:val="340B5413"/>
    <w:rsid w:val="340E0F5E"/>
    <w:rsid w:val="3416172F"/>
    <w:rsid w:val="344722CB"/>
    <w:rsid w:val="345319C9"/>
    <w:rsid w:val="3459271E"/>
    <w:rsid w:val="34656DB2"/>
    <w:rsid w:val="34732B28"/>
    <w:rsid w:val="34833175"/>
    <w:rsid w:val="34853B7A"/>
    <w:rsid w:val="34B90FB2"/>
    <w:rsid w:val="34BD369E"/>
    <w:rsid w:val="34C34D66"/>
    <w:rsid w:val="34D439B2"/>
    <w:rsid w:val="34E02AEA"/>
    <w:rsid w:val="34EB2066"/>
    <w:rsid w:val="34F12982"/>
    <w:rsid w:val="34F61513"/>
    <w:rsid w:val="34F70F95"/>
    <w:rsid w:val="34FC1F63"/>
    <w:rsid w:val="350918AB"/>
    <w:rsid w:val="35164BD7"/>
    <w:rsid w:val="351729F7"/>
    <w:rsid w:val="35476FDE"/>
    <w:rsid w:val="35531BEF"/>
    <w:rsid w:val="35680E89"/>
    <w:rsid w:val="357C6521"/>
    <w:rsid w:val="357E2DFA"/>
    <w:rsid w:val="35822783"/>
    <w:rsid w:val="3594168E"/>
    <w:rsid w:val="3596129D"/>
    <w:rsid w:val="35A63108"/>
    <w:rsid w:val="35BA6486"/>
    <w:rsid w:val="35BF4E3C"/>
    <w:rsid w:val="35C006BB"/>
    <w:rsid w:val="35C154E8"/>
    <w:rsid w:val="35EA3555"/>
    <w:rsid w:val="35F745D6"/>
    <w:rsid w:val="3619010D"/>
    <w:rsid w:val="363475D8"/>
    <w:rsid w:val="366963C1"/>
    <w:rsid w:val="36716136"/>
    <w:rsid w:val="36857491"/>
    <w:rsid w:val="368D270B"/>
    <w:rsid w:val="36967303"/>
    <w:rsid w:val="369F33B9"/>
    <w:rsid w:val="36CB0DA7"/>
    <w:rsid w:val="36E01C79"/>
    <w:rsid w:val="36EB50AE"/>
    <w:rsid w:val="373019DE"/>
    <w:rsid w:val="373B4949"/>
    <w:rsid w:val="37496540"/>
    <w:rsid w:val="37507FF6"/>
    <w:rsid w:val="37531461"/>
    <w:rsid w:val="3761086E"/>
    <w:rsid w:val="376143FD"/>
    <w:rsid w:val="37636CFF"/>
    <w:rsid w:val="376F1DB7"/>
    <w:rsid w:val="376F35E3"/>
    <w:rsid w:val="376F79E2"/>
    <w:rsid w:val="377039B9"/>
    <w:rsid w:val="3776440D"/>
    <w:rsid w:val="37782F85"/>
    <w:rsid w:val="37911C6B"/>
    <w:rsid w:val="37942DE2"/>
    <w:rsid w:val="379C5D37"/>
    <w:rsid w:val="379E50E8"/>
    <w:rsid w:val="379E702D"/>
    <w:rsid w:val="37AB6D9E"/>
    <w:rsid w:val="37B502A5"/>
    <w:rsid w:val="37BC2221"/>
    <w:rsid w:val="37C40AFB"/>
    <w:rsid w:val="37CA00C6"/>
    <w:rsid w:val="37CF29A3"/>
    <w:rsid w:val="37D963BF"/>
    <w:rsid w:val="37E35255"/>
    <w:rsid w:val="37F60FE9"/>
    <w:rsid w:val="37FD5394"/>
    <w:rsid w:val="38000D28"/>
    <w:rsid w:val="3808196F"/>
    <w:rsid w:val="38196B78"/>
    <w:rsid w:val="382F0057"/>
    <w:rsid w:val="382F702F"/>
    <w:rsid w:val="38421270"/>
    <w:rsid w:val="384C2D71"/>
    <w:rsid w:val="385667D5"/>
    <w:rsid w:val="3859068E"/>
    <w:rsid w:val="386E0F73"/>
    <w:rsid w:val="387115FF"/>
    <w:rsid w:val="387E5A95"/>
    <w:rsid w:val="38965173"/>
    <w:rsid w:val="38A52999"/>
    <w:rsid w:val="38D67A7D"/>
    <w:rsid w:val="38E23DD8"/>
    <w:rsid w:val="38F34AC9"/>
    <w:rsid w:val="38F60D1F"/>
    <w:rsid w:val="39030B1B"/>
    <w:rsid w:val="39202592"/>
    <w:rsid w:val="392C73C4"/>
    <w:rsid w:val="394474CE"/>
    <w:rsid w:val="39495149"/>
    <w:rsid w:val="39573916"/>
    <w:rsid w:val="39620EFB"/>
    <w:rsid w:val="39676EB6"/>
    <w:rsid w:val="3969300D"/>
    <w:rsid w:val="39735E72"/>
    <w:rsid w:val="3980705A"/>
    <w:rsid w:val="39832FBC"/>
    <w:rsid w:val="39833E36"/>
    <w:rsid w:val="398B4A67"/>
    <w:rsid w:val="39953712"/>
    <w:rsid w:val="39A935C5"/>
    <w:rsid w:val="39C8766D"/>
    <w:rsid w:val="39DF1EE9"/>
    <w:rsid w:val="3A03119A"/>
    <w:rsid w:val="3A0A46FA"/>
    <w:rsid w:val="3A1027BE"/>
    <w:rsid w:val="3A223978"/>
    <w:rsid w:val="3A386F87"/>
    <w:rsid w:val="3A3C0BBB"/>
    <w:rsid w:val="3A3C0EF2"/>
    <w:rsid w:val="3A4D4109"/>
    <w:rsid w:val="3A63048C"/>
    <w:rsid w:val="3A7908DF"/>
    <w:rsid w:val="3A7B57D6"/>
    <w:rsid w:val="3A7E5C7D"/>
    <w:rsid w:val="3A820628"/>
    <w:rsid w:val="3AAC1E33"/>
    <w:rsid w:val="3AB37829"/>
    <w:rsid w:val="3ACD5BB8"/>
    <w:rsid w:val="3AD05793"/>
    <w:rsid w:val="3AD91380"/>
    <w:rsid w:val="3ADE52CC"/>
    <w:rsid w:val="3AE6715A"/>
    <w:rsid w:val="3AED266A"/>
    <w:rsid w:val="3AF506AC"/>
    <w:rsid w:val="3AF85087"/>
    <w:rsid w:val="3AFF6407"/>
    <w:rsid w:val="3B4E6B32"/>
    <w:rsid w:val="3B527D91"/>
    <w:rsid w:val="3B63015B"/>
    <w:rsid w:val="3B643BB0"/>
    <w:rsid w:val="3B732347"/>
    <w:rsid w:val="3B807668"/>
    <w:rsid w:val="3B865EEC"/>
    <w:rsid w:val="3BAE311C"/>
    <w:rsid w:val="3BB16FD5"/>
    <w:rsid w:val="3BB3792C"/>
    <w:rsid w:val="3BBC1B84"/>
    <w:rsid w:val="3BE051A5"/>
    <w:rsid w:val="3BE655DE"/>
    <w:rsid w:val="3BF76179"/>
    <w:rsid w:val="3C055914"/>
    <w:rsid w:val="3C1A112C"/>
    <w:rsid w:val="3C1B1F65"/>
    <w:rsid w:val="3C2B322B"/>
    <w:rsid w:val="3C311449"/>
    <w:rsid w:val="3C353387"/>
    <w:rsid w:val="3C402D23"/>
    <w:rsid w:val="3C415CC8"/>
    <w:rsid w:val="3C437021"/>
    <w:rsid w:val="3C4F7E87"/>
    <w:rsid w:val="3C612519"/>
    <w:rsid w:val="3C627E77"/>
    <w:rsid w:val="3C676DDA"/>
    <w:rsid w:val="3C8E478E"/>
    <w:rsid w:val="3C9B7011"/>
    <w:rsid w:val="3CA20CB9"/>
    <w:rsid w:val="3CAD7649"/>
    <w:rsid w:val="3CB43221"/>
    <w:rsid w:val="3CB70E00"/>
    <w:rsid w:val="3CC152B7"/>
    <w:rsid w:val="3CD0188F"/>
    <w:rsid w:val="3CD4155C"/>
    <w:rsid w:val="3CD41E40"/>
    <w:rsid w:val="3CD54D4D"/>
    <w:rsid w:val="3CE069B7"/>
    <w:rsid w:val="3D141F11"/>
    <w:rsid w:val="3D335E86"/>
    <w:rsid w:val="3D367828"/>
    <w:rsid w:val="3D3C447E"/>
    <w:rsid w:val="3D3D165E"/>
    <w:rsid w:val="3D4B5315"/>
    <w:rsid w:val="3D5C592F"/>
    <w:rsid w:val="3D8802CC"/>
    <w:rsid w:val="3D90308F"/>
    <w:rsid w:val="3D915D95"/>
    <w:rsid w:val="3D965FEB"/>
    <w:rsid w:val="3D9E74A0"/>
    <w:rsid w:val="3DA165D7"/>
    <w:rsid w:val="3DC3591C"/>
    <w:rsid w:val="3DF5751B"/>
    <w:rsid w:val="3DFF671E"/>
    <w:rsid w:val="3E09134A"/>
    <w:rsid w:val="3E1A189C"/>
    <w:rsid w:val="3E1C04BF"/>
    <w:rsid w:val="3E1C3678"/>
    <w:rsid w:val="3E1F3045"/>
    <w:rsid w:val="3E273C42"/>
    <w:rsid w:val="3E2E4D96"/>
    <w:rsid w:val="3E3A4116"/>
    <w:rsid w:val="3E4225F0"/>
    <w:rsid w:val="3E433514"/>
    <w:rsid w:val="3E4929F7"/>
    <w:rsid w:val="3E495D43"/>
    <w:rsid w:val="3E5E2859"/>
    <w:rsid w:val="3E5F71BC"/>
    <w:rsid w:val="3E6C3359"/>
    <w:rsid w:val="3EA61C0D"/>
    <w:rsid w:val="3EC160BC"/>
    <w:rsid w:val="3ECF7AD4"/>
    <w:rsid w:val="3ED9181C"/>
    <w:rsid w:val="3EDA29D4"/>
    <w:rsid w:val="3EDE747D"/>
    <w:rsid w:val="3EE766E7"/>
    <w:rsid w:val="3EFC1401"/>
    <w:rsid w:val="3F0463EA"/>
    <w:rsid w:val="3F3344E8"/>
    <w:rsid w:val="3F387FA5"/>
    <w:rsid w:val="3F4403A3"/>
    <w:rsid w:val="3F462C12"/>
    <w:rsid w:val="3F557D3A"/>
    <w:rsid w:val="3F606598"/>
    <w:rsid w:val="3F6974EE"/>
    <w:rsid w:val="3F942C3E"/>
    <w:rsid w:val="3FBB0422"/>
    <w:rsid w:val="3FC74205"/>
    <w:rsid w:val="3FEA253D"/>
    <w:rsid w:val="3FF61548"/>
    <w:rsid w:val="40093DCF"/>
    <w:rsid w:val="402633E6"/>
    <w:rsid w:val="404E3C63"/>
    <w:rsid w:val="40543A77"/>
    <w:rsid w:val="40562AF2"/>
    <w:rsid w:val="40607C8E"/>
    <w:rsid w:val="409534D4"/>
    <w:rsid w:val="409C64A6"/>
    <w:rsid w:val="40A567D9"/>
    <w:rsid w:val="40AA7EA6"/>
    <w:rsid w:val="40CA7670"/>
    <w:rsid w:val="40CD23C9"/>
    <w:rsid w:val="40EA21BB"/>
    <w:rsid w:val="40EC0389"/>
    <w:rsid w:val="40F66B0A"/>
    <w:rsid w:val="40FC1638"/>
    <w:rsid w:val="41054AFB"/>
    <w:rsid w:val="41135982"/>
    <w:rsid w:val="413A6815"/>
    <w:rsid w:val="41683840"/>
    <w:rsid w:val="41862D01"/>
    <w:rsid w:val="41A225FB"/>
    <w:rsid w:val="41D91034"/>
    <w:rsid w:val="41E77BF5"/>
    <w:rsid w:val="41EC0D67"/>
    <w:rsid w:val="41F91290"/>
    <w:rsid w:val="422C2A4E"/>
    <w:rsid w:val="422E7D02"/>
    <w:rsid w:val="42400FF7"/>
    <w:rsid w:val="424B6CFD"/>
    <w:rsid w:val="42511211"/>
    <w:rsid w:val="425179D3"/>
    <w:rsid w:val="426923B8"/>
    <w:rsid w:val="42694FC1"/>
    <w:rsid w:val="42747E97"/>
    <w:rsid w:val="42805A2D"/>
    <w:rsid w:val="42937208"/>
    <w:rsid w:val="42DB6100"/>
    <w:rsid w:val="42DC70F4"/>
    <w:rsid w:val="42E842CB"/>
    <w:rsid w:val="42F12362"/>
    <w:rsid w:val="42F30518"/>
    <w:rsid w:val="42F805A1"/>
    <w:rsid w:val="430627BC"/>
    <w:rsid w:val="431E7B7A"/>
    <w:rsid w:val="431F578E"/>
    <w:rsid w:val="432F3601"/>
    <w:rsid w:val="43315199"/>
    <w:rsid w:val="43316742"/>
    <w:rsid w:val="434E202B"/>
    <w:rsid w:val="43564E41"/>
    <w:rsid w:val="435F517D"/>
    <w:rsid w:val="43617A25"/>
    <w:rsid w:val="43A13899"/>
    <w:rsid w:val="43AC0ACD"/>
    <w:rsid w:val="43AD4A53"/>
    <w:rsid w:val="43B02B44"/>
    <w:rsid w:val="43B06524"/>
    <w:rsid w:val="43B14016"/>
    <w:rsid w:val="43BA656F"/>
    <w:rsid w:val="43CC2F32"/>
    <w:rsid w:val="43CD6450"/>
    <w:rsid w:val="43CE30BB"/>
    <w:rsid w:val="43DD53A7"/>
    <w:rsid w:val="43E31993"/>
    <w:rsid w:val="43E7169D"/>
    <w:rsid w:val="43E90705"/>
    <w:rsid w:val="440F6F8F"/>
    <w:rsid w:val="441C1441"/>
    <w:rsid w:val="443C4C7A"/>
    <w:rsid w:val="444478CD"/>
    <w:rsid w:val="446634D1"/>
    <w:rsid w:val="446A7EC8"/>
    <w:rsid w:val="4472423A"/>
    <w:rsid w:val="44731259"/>
    <w:rsid w:val="448434D9"/>
    <w:rsid w:val="44851F8E"/>
    <w:rsid w:val="44934DD1"/>
    <w:rsid w:val="44BB046E"/>
    <w:rsid w:val="44D25823"/>
    <w:rsid w:val="44D34460"/>
    <w:rsid w:val="44ED0C50"/>
    <w:rsid w:val="44FF3B08"/>
    <w:rsid w:val="45027043"/>
    <w:rsid w:val="45211C4C"/>
    <w:rsid w:val="4535243A"/>
    <w:rsid w:val="453964F1"/>
    <w:rsid w:val="455F46CF"/>
    <w:rsid w:val="45680290"/>
    <w:rsid w:val="45780A96"/>
    <w:rsid w:val="45805264"/>
    <w:rsid w:val="458A60D0"/>
    <w:rsid w:val="45943143"/>
    <w:rsid w:val="4597723C"/>
    <w:rsid w:val="459D79F5"/>
    <w:rsid w:val="45B46442"/>
    <w:rsid w:val="45B93B8C"/>
    <w:rsid w:val="45C637D6"/>
    <w:rsid w:val="45DB0866"/>
    <w:rsid w:val="460220EF"/>
    <w:rsid w:val="46094EFB"/>
    <w:rsid w:val="460F771A"/>
    <w:rsid w:val="46122889"/>
    <w:rsid w:val="4639108E"/>
    <w:rsid w:val="46480862"/>
    <w:rsid w:val="46533CD8"/>
    <w:rsid w:val="46864EAB"/>
    <w:rsid w:val="46941A31"/>
    <w:rsid w:val="469A2F6A"/>
    <w:rsid w:val="46A035A4"/>
    <w:rsid w:val="46AA05B1"/>
    <w:rsid w:val="46B71FFE"/>
    <w:rsid w:val="46E80268"/>
    <w:rsid w:val="46E9464B"/>
    <w:rsid w:val="46FF2B6E"/>
    <w:rsid w:val="47072FAE"/>
    <w:rsid w:val="470911B8"/>
    <w:rsid w:val="470D4A24"/>
    <w:rsid w:val="4714368D"/>
    <w:rsid w:val="471A5879"/>
    <w:rsid w:val="471B1DC2"/>
    <w:rsid w:val="471C1EA6"/>
    <w:rsid w:val="474B6BF9"/>
    <w:rsid w:val="476D1E96"/>
    <w:rsid w:val="4772770F"/>
    <w:rsid w:val="477A4B1A"/>
    <w:rsid w:val="478D304E"/>
    <w:rsid w:val="47995357"/>
    <w:rsid w:val="47AF0FFA"/>
    <w:rsid w:val="47C87B80"/>
    <w:rsid w:val="47CA0277"/>
    <w:rsid w:val="47FF7E5D"/>
    <w:rsid w:val="481752A5"/>
    <w:rsid w:val="48197AED"/>
    <w:rsid w:val="4831607D"/>
    <w:rsid w:val="48424CC1"/>
    <w:rsid w:val="48514C46"/>
    <w:rsid w:val="485458B8"/>
    <w:rsid w:val="487733AC"/>
    <w:rsid w:val="4883492F"/>
    <w:rsid w:val="48865E52"/>
    <w:rsid w:val="489F3E0A"/>
    <w:rsid w:val="48AC1443"/>
    <w:rsid w:val="48B230E5"/>
    <w:rsid w:val="48DB56C1"/>
    <w:rsid w:val="48E7796D"/>
    <w:rsid w:val="48EC5D8E"/>
    <w:rsid w:val="48FB5272"/>
    <w:rsid w:val="49130C28"/>
    <w:rsid w:val="491728F4"/>
    <w:rsid w:val="49354B1A"/>
    <w:rsid w:val="49365908"/>
    <w:rsid w:val="49390B9C"/>
    <w:rsid w:val="493D0088"/>
    <w:rsid w:val="495C0AA0"/>
    <w:rsid w:val="495E3838"/>
    <w:rsid w:val="499D660A"/>
    <w:rsid w:val="49AF6F45"/>
    <w:rsid w:val="49B14DFF"/>
    <w:rsid w:val="49C23B35"/>
    <w:rsid w:val="49C709E1"/>
    <w:rsid w:val="49D305FF"/>
    <w:rsid w:val="49D32142"/>
    <w:rsid w:val="49DE3F2F"/>
    <w:rsid w:val="49ED7329"/>
    <w:rsid w:val="49FD27EC"/>
    <w:rsid w:val="4A023C83"/>
    <w:rsid w:val="4A0C38BB"/>
    <w:rsid w:val="4A1E290C"/>
    <w:rsid w:val="4A262893"/>
    <w:rsid w:val="4A3D1391"/>
    <w:rsid w:val="4A5B2207"/>
    <w:rsid w:val="4A5E47CC"/>
    <w:rsid w:val="4A62378A"/>
    <w:rsid w:val="4A6841BE"/>
    <w:rsid w:val="4AB80380"/>
    <w:rsid w:val="4ACC7CB1"/>
    <w:rsid w:val="4AEE3923"/>
    <w:rsid w:val="4AF744AF"/>
    <w:rsid w:val="4AFC3920"/>
    <w:rsid w:val="4B1D6ABD"/>
    <w:rsid w:val="4B2E13BF"/>
    <w:rsid w:val="4B3A576E"/>
    <w:rsid w:val="4B4C5C77"/>
    <w:rsid w:val="4B6920E5"/>
    <w:rsid w:val="4B8D3776"/>
    <w:rsid w:val="4B90755C"/>
    <w:rsid w:val="4B934558"/>
    <w:rsid w:val="4BA205E4"/>
    <w:rsid w:val="4BAD7FC9"/>
    <w:rsid w:val="4BD30BD0"/>
    <w:rsid w:val="4BE42BF0"/>
    <w:rsid w:val="4C146A85"/>
    <w:rsid w:val="4C313428"/>
    <w:rsid w:val="4C4419B1"/>
    <w:rsid w:val="4C457143"/>
    <w:rsid w:val="4C516396"/>
    <w:rsid w:val="4C5A1718"/>
    <w:rsid w:val="4C6065BA"/>
    <w:rsid w:val="4C682B98"/>
    <w:rsid w:val="4C694F9D"/>
    <w:rsid w:val="4C696245"/>
    <w:rsid w:val="4C707C40"/>
    <w:rsid w:val="4C9F296F"/>
    <w:rsid w:val="4CAE038F"/>
    <w:rsid w:val="4CC45498"/>
    <w:rsid w:val="4CD038B8"/>
    <w:rsid w:val="4CD83B70"/>
    <w:rsid w:val="4CD8581D"/>
    <w:rsid w:val="4CDD42EB"/>
    <w:rsid w:val="4CDF6F8C"/>
    <w:rsid w:val="4CE94B87"/>
    <w:rsid w:val="4CF02842"/>
    <w:rsid w:val="4CF6084E"/>
    <w:rsid w:val="4CF620A5"/>
    <w:rsid w:val="4CF70E09"/>
    <w:rsid w:val="4CFE069C"/>
    <w:rsid w:val="4D001B6A"/>
    <w:rsid w:val="4D044F83"/>
    <w:rsid w:val="4D046E29"/>
    <w:rsid w:val="4D0F785A"/>
    <w:rsid w:val="4D191DC6"/>
    <w:rsid w:val="4D27201E"/>
    <w:rsid w:val="4D2D462F"/>
    <w:rsid w:val="4D336B26"/>
    <w:rsid w:val="4D790CDE"/>
    <w:rsid w:val="4DA54215"/>
    <w:rsid w:val="4DAD1CF2"/>
    <w:rsid w:val="4DBA6E44"/>
    <w:rsid w:val="4DD17FA3"/>
    <w:rsid w:val="4DD27E5D"/>
    <w:rsid w:val="4DF603B7"/>
    <w:rsid w:val="4DFA480C"/>
    <w:rsid w:val="4E0D4BE0"/>
    <w:rsid w:val="4E272007"/>
    <w:rsid w:val="4E290190"/>
    <w:rsid w:val="4E2E3231"/>
    <w:rsid w:val="4E811599"/>
    <w:rsid w:val="4EAE182F"/>
    <w:rsid w:val="4EC55D9A"/>
    <w:rsid w:val="4ECF532A"/>
    <w:rsid w:val="4ED65E53"/>
    <w:rsid w:val="4EDB3AAB"/>
    <w:rsid w:val="4EE56BC1"/>
    <w:rsid w:val="4EE94BAE"/>
    <w:rsid w:val="4EF00E7C"/>
    <w:rsid w:val="4EF953BB"/>
    <w:rsid w:val="4F050C71"/>
    <w:rsid w:val="4F086B2B"/>
    <w:rsid w:val="4F146F0A"/>
    <w:rsid w:val="4F176EFD"/>
    <w:rsid w:val="4F247D92"/>
    <w:rsid w:val="4F4812FB"/>
    <w:rsid w:val="4F5D2225"/>
    <w:rsid w:val="4F6571D7"/>
    <w:rsid w:val="4F680A09"/>
    <w:rsid w:val="4F7657BE"/>
    <w:rsid w:val="4F9D0B7A"/>
    <w:rsid w:val="4FB90197"/>
    <w:rsid w:val="4FCD7DE5"/>
    <w:rsid w:val="50004CC4"/>
    <w:rsid w:val="50082793"/>
    <w:rsid w:val="50106126"/>
    <w:rsid w:val="5011124B"/>
    <w:rsid w:val="501320F2"/>
    <w:rsid w:val="5015089F"/>
    <w:rsid w:val="501B2890"/>
    <w:rsid w:val="501E7659"/>
    <w:rsid w:val="502D1115"/>
    <w:rsid w:val="50305F66"/>
    <w:rsid w:val="503949D9"/>
    <w:rsid w:val="50453573"/>
    <w:rsid w:val="506A36AD"/>
    <w:rsid w:val="50796C50"/>
    <w:rsid w:val="50852AB2"/>
    <w:rsid w:val="50A74BC0"/>
    <w:rsid w:val="50D50D85"/>
    <w:rsid w:val="50E14691"/>
    <w:rsid w:val="50E73E78"/>
    <w:rsid w:val="51042C5A"/>
    <w:rsid w:val="5104358D"/>
    <w:rsid w:val="511365F6"/>
    <w:rsid w:val="511F52C4"/>
    <w:rsid w:val="5120761D"/>
    <w:rsid w:val="512322CB"/>
    <w:rsid w:val="51370FA0"/>
    <w:rsid w:val="51491D32"/>
    <w:rsid w:val="516A4E5C"/>
    <w:rsid w:val="517543C1"/>
    <w:rsid w:val="519103AF"/>
    <w:rsid w:val="51A94DB9"/>
    <w:rsid w:val="51CC4095"/>
    <w:rsid w:val="51DD5FD6"/>
    <w:rsid w:val="51ED1A67"/>
    <w:rsid w:val="52245A5C"/>
    <w:rsid w:val="52353487"/>
    <w:rsid w:val="5255160B"/>
    <w:rsid w:val="526C20A2"/>
    <w:rsid w:val="526D6B29"/>
    <w:rsid w:val="526F01D1"/>
    <w:rsid w:val="52754AF4"/>
    <w:rsid w:val="527C4E5A"/>
    <w:rsid w:val="5288622C"/>
    <w:rsid w:val="529C4E3B"/>
    <w:rsid w:val="529E0927"/>
    <w:rsid w:val="52AB3CCA"/>
    <w:rsid w:val="52E13019"/>
    <w:rsid w:val="52E47813"/>
    <w:rsid w:val="53013DF1"/>
    <w:rsid w:val="530C47E2"/>
    <w:rsid w:val="532071D8"/>
    <w:rsid w:val="532975EB"/>
    <w:rsid w:val="53325CCA"/>
    <w:rsid w:val="534A266D"/>
    <w:rsid w:val="534A583A"/>
    <w:rsid w:val="53620E89"/>
    <w:rsid w:val="536C732B"/>
    <w:rsid w:val="537E5E23"/>
    <w:rsid w:val="5385656B"/>
    <w:rsid w:val="53976FBE"/>
    <w:rsid w:val="539F4E06"/>
    <w:rsid w:val="53B10E9B"/>
    <w:rsid w:val="53CB7788"/>
    <w:rsid w:val="53E43915"/>
    <w:rsid w:val="54154B31"/>
    <w:rsid w:val="542E5FA8"/>
    <w:rsid w:val="54421A36"/>
    <w:rsid w:val="545757ED"/>
    <w:rsid w:val="545E2DEC"/>
    <w:rsid w:val="545F6160"/>
    <w:rsid w:val="547355EA"/>
    <w:rsid w:val="547F166B"/>
    <w:rsid w:val="54956C18"/>
    <w:rsid w:val="549B10C4"/>
    <w:rsid w:val="549D7EA2"/>
    <w:rsid w:val="54A008B7"/>
    <w:rsid w:val="54A56330"/>
    <w:rsid w:val="54B01F9D"/>
    <w:rsid w:val="54B0224D"/>
    <w:rsid w:val="54CA02A1"/>
    <w:rsid w:val="54D222B5"/>
    <w:rsid w:val="54D62EF8"/>
    <w:rsid w:val="54DE27D6"/>
    <w:rsid w:val="54E13FB2"/>
    <w:rsid w:val="55023D3B"/>
    <w:rsid w:val="55032242"/>
    <w:rsid w:val="551161E5"/>
    <w:rsid w:val="551326CD"/>
    <w:rsid w:val="55160FDB"/>
    <w:rsid w:val="55185559"/>
    <w:rsid w:val="552D5EED"/>
    <w:rsid w:val="555807C3"/>
    <w:rsid w:val="5570744E"/>
    <w:rsid w:val="557B6BF7"/>
    <w:rsid w:val="559954B7"/>
    <w:rsid w:val="55AF7734"/>
    <w:rsid w:val="55C034DC"/>
    <w:rsid w:val="55C20715"/>
    <w:rsid w:val="55C55E8B"/>
    <w:rsid w:val="55D6425F"/>
    <w:rsid w:val="55D6790C"/>
    <w:rsid w:val="55DD0C9B"/>
    <w:rsid w:val="55EC2634"/>
    <w:rsid w:val="55F927C0"/>
    <w:rsid w:val="560D37A4"/>
    <w:rsid w:val="56237BBD"/>
    <w:rsid w:val="56492E55"/>
    <w:rsid w:val="56593453"/>
    <w:rsid w:val="565C246E"/>
    <w:rsid w:val="567F1BFA"/>
    <w:rsid w:val="568C72FF"/>
    <w:rsid w:val="56C41974"/>
    <w:rsid w:val="56CD0B1E"/>
    <w:rsid w:val="56DC0DBD"/>
    <w:rsid w:val="56E378AD"/>
    <w:rsid w:val="570B1BAF"/>
    <w:rsid w:val="57192A5E"/>
    <w:rsid w:val="572A3989"/>
    <w:rsid w:val="572E2886"/>
    <w:rsid w:val="5746051C"/>
    <w:rsid w:val="57540E5F"/>
    <w:rsid w:val="57551C4D"/>
    <w:rsid w:val="57611949"/>
    <w:rsid w:val="57691912"/>
    <w:rsid w:val="577A48E5"/>
    <w:rsid w:val="57853243"/>
    <w:rsid w:val="579241C7"/>
    <w:rsid w:val="579A4486"/>
    <w:rsid w:val="57AD2C6F"/>
    <w:rsid w:val="57B62B14"/>
    <w:rsid w:val="57D50257"/>
    <w:rsid w:val="57D87387"/>
    <w:rsid w:val="57FB28E0"/>
    <w:rsid w:val="58062172"/>
    <w:rsid w:val="58095082"/>
    <w:rsid w:val="58142AE3"/>
    <w:rsid w:val="5829396A"/>
    <w:rsid w:val="583301AC"/>
    <w:rsid w:val="58331046"/>
    <w:rsid w:val="58404DFC"/>
    <w:rsid w:val="5844688B"/>
    <w:rsid w:val="584D562D"/>
    <w:rsid w:val="584E4F36"/>
    <w:rsid w:val="58636FBD"/>
    <w:rsid w:val="5879262B"/>
    <w:rsid w:val="58863CB5"/>
    <w:rsid w:val="58B47027"/>
    <w:rsid w:val="58F55F09"/>
    <w:rsid w:val="59176CF3"/>
    <w:rsid w:val="59263893"/>
    <w:rsid w:val="593101D0"/>
    <w:rsid w:val="59404493"/>
    <w:rsid w:val="595728AD"/>
    <w:rsid w:val="596246D5"/>
    <w:rsid w:val="596A60BF"/>
    <w:rsid w:val="598B70A1"/>
    <w:rsid w:val="598F58DF"/>
    <w:rsid w:val="599D5FFB"/>
    <w:rsid w:val="59B77A55"/>
    <w:rsid w:val="59C90BE6"/>
    <w:rsid w:val="59DB1995"/>
    <w:rsid w:val="59E53FCF"/>
    <w:rsid w:val="59F12E05"/>
    <w:rsid w:val="59F376B2"/>
    <w:rsid w:val="5A2847FD"/>
    <w:rsid w:val="5A515B7E"/>
    <w:rsid w:val="5A531187"/>
    <w:rsid w:val="5A5832B1"/>
    <w:rsid w:val="5A5C5C51"/>
    <w:rsid w:val="5A7F4A16"/>
    <w:rsid w:val="5A836085"/>
    <w:rsid w:val="5A890069"/>
    <w:rsid w:val="5AA16002"/>
    <w:rsid w:val="5ABC2CF5"/>
    <w:rsid w:val="5AC109F8"/>
    <w:rsid w:val="5AC57B92"/>
    <w:rsid w:val="5AD847F9"/>
    <w:rsid w:val="5AFB0C52"/>
    <w:rsid w:val="5AFF72D5"/>
    <w:rsid w:val="5B165255"/>
    <w:rsid w:val="5B215F15"/>
    <w:rsid w:val="5B2A2BD4"/>
    <w:rsid w:val="5B386719"/>
    <w:rsid w:val="5B3951AC"/>
    <w:rsid w:val="5B493BE9"/>
    <w:rsid w:val="5B4A0E3F"/>
    <w:rsid w:val="5B5258E2"/>
    <w:rsid w:val="5B5833C6"/>
    <w:rsid w:val="5B5F6D6F"/>
    <w:rsid w:val="5B7F45A2"/>
    <w:rsid w:val="5B8026B5"/>
    <w:rsid w:val="5B9D6A33"/>
    <w:rsid w:val="5BA02ED7"/>
    <w:rsid w:val="5BB06BDE"/>
    <w:rsid w:val="5BCA2954"/>
    <w:rsid w:val="5BCF2F54"/>
    <w:rsid w:val="5BEB0156"/>
    <w:rsid w:val="5BF72B35"/>
    <w:rsid w:val="5BFF3AF0"/>
    <w:rsid w:val="5C02543D"/>
    <w:rsid w:val="5C1F7056"/>
    <w:rsid w:val="5C2313D1"/>
    <w:rsid w:val="5C2C378B"/>
    <w:rsid w:val="5C30746B"/>
    <w:rsid w:val="5C6E5BB7"/>
    <w:rsid w:val="5C80381D"/>
    <w:rsid w:val="5CAA1C7B"/>
    <w:rsid w:val="5CAB71AE"/>
    <w:rsid w:val="5CC51332"/>
    <w:rsid w:val="5CD44A8F"/>
    <w:rsid w:val="5CD526CC"/>
    <w:rsid w:val="5CDC3581"/>
    <w:rsid w:val="5CF63285"/>
    <w:rsid w:val="5D105DFA"/>
    <w:rsid w:val="5D1B72DD"/>
    <w:rsid w:val="5D2507FA"/>
    <w:rsid w:val="5D2812C2"/>
    <w:rsid w:val="5D6121B1"/>
    <w:rsid w:val="5D68760C"/>
    <w:rsid w:val="5D776ECB"/>
    <w:rsid w:val="5D7822A9"/>
    <w:rsid w:val="5D9B4536"/>
    <w:rsid w:val="5D9C16E7"/>
    <w:rsid w:val="5D9C417E"/>
    <w:rsid w:val="5DB1514E"/>
    <w:rsid w:val="5DD22D32"/>
    <w:rsid w:val="5DE94A19"/>
    <w:rsid w:val="5DF76312"/>
    <w:rsid w:val="5E0C2A1B"/>
    <w:rsid w:val="5E0D34C3"/>
    <w:rsid w:val="5E162DDF"/>
    <w:rsid w:val="5E1A58DA"/>
    <w:rsid w:val="5E1C257D"/>
    <w:rsid w:val="5E3968C0"/>
    <w:rsid w:val="5E3E33C0"/>
    <w:rsid w:val="5E402C20"/>
    <w:rsid w:val="5E664D99"/>
    <w:rsid w:val="5E776913"/>
    <w:rsid w:val="5E7E7DFC"/>
    <w:rsid w:val="5E837EE4"/>
    <w:rsid w:val="5E884785"/>
    <w:rsid w:val="5E8F00FF"/>
    <w:rsid w:val="5E960D37"/>
    <w:rsid w:val="5EA527C5"/>
    <w:rsid w:val="5EA97FDF"/>
    <w:rsid w:val="5EAB402C"/>
    <w:rsid w:val="5EC01E10"/>
    <w:rsid w:val="5EC401AA"/>
    <w:rsid w:val="5EE66E12"/>
    <w:rsid w:val="5EF77FB2"/>
    <w:rsid w:val="5F030660"/>
    <w:rsid w:val="5F1970E2"/>
    <w:rsid w:val="5F3621B0"/>
    <w:rsid w:val="5F6B1B19"/>
    <w:rsid w:val="5F706BBE"/>
    <w:rsid w:val="5F8605DF"/>
    <w:rsid w:val="5F96589A"/>
    <w:rsid w:val="5F9710C3"/>
    <w:rsid w:val="5FA1448F"/>
    <w:rsid w:val="5FA16C3A"/>
    <w:rsid w:val="5FB555A2"/>
    <w:rsid w:val="5FCB58BD"/>
    <w:rsid w:val="5FD25EE0"/>
    <w:rsid w:val="5FD537AD"/>
    <w:rsid w:val="60060CAA"/>
    <w:rsid w:val="601517A8"/>
    <w:rsid w:val="601776E3"/>
    <w:rsid w:val="603F04E6"/>
    <w:rsid w:val="60692E08"/>
    <w:rsid w:val="606C365E"/>
    <w:rsid w:val="6070127A"/>
    <w:rsid w:val="6078151A"/>
    <w:rsid w:val="60827D9D"/>
    <w:rsid w:val="60A64F86"/>
    <w:rsid w:val="60A70823"/>
    <w:rsid w:val="60B568CE"/>
    <w:rsid w:val="60CD4470"/>
    <w:rsid w:val="60DB18FB"/>
    <w:rsid w:val="60DB53BF"/>
    <w:rsid w:val="60DC4BAE"/>
    <w:rsid w:val="60EB2357"/>
    <w:rsid w:val="60FF2703"/>
    <w:rsid w:val="610A6723"/>
    <w:rsid w:val="613B20D6"/>
    <w:rsid w:val="61526094"/>
    <w:rsid w:val="617B609F"/>
    <w:rsid w:val="61915C95"/>
    <w:rsid w:val="61A02E98"/>
    <w:rsid w:val="61A15156"/>
    <w:rsid w:val="61A92379"/>
    <w:rsid w:val="61C516F9"/>
    <w:rsid w:val="61C77C1D"/>
    <w:rsid w:val="61DA3409"/>
    <w:rsid w:val="61E671F6"/>
    <w:rsid w:val="61F23BEC"/>
    <w:rsid w:val="61F74BFA"/>
    <w:rsid w:val="62050243"/>
    <w:rsid w:val="622246B9"/>
    <w:rsid w:val="622A095B"/>
    <w:rsid w:val="622A2DEB"/>
    <w:rsid w:val="62360E25"/>
    <w:rsid w:val="62450ADC"/>
    <w:rsid w:val="6251360F"/>
    <w:rsid w:val="6266594B"/>
    <w:rsid w:val="626F464F"/>
    <w:rsid w:val="627B1F67"/>
    <w:rsid w:val="628074C4"/>
    <w:rsid w:val="62A1274D"/>
    <w:rsid w:val="62A23444"/>
    <w:rsid w:val="62A9037D"/>
    <w:rsid w:val="62BC2B85"/>
    <w:rsid w:val="62BD2D1D"/>
    <w:rsid w:val="62E96ED1"/>
    <w:rsid w:val="62FD3A4D"/>
    <w:rsid w:val="630759DF"/>
    <w:rsid w:val="630B2F69"/>
    <w:rsid w:val="630F1C32"/>
    <w:rsid w:val="63123A47"/>
    <w:rsid w:val="6320500E"/>
    <w:rsid w:val="63261753"/>
    <w:rsid w:val="63262C0A"/>
    <w:rsid w:val="63341DFA"/>
    <w:rsid w:val="635764B1"/>
    <w:rsid w:val="635B6514"/>
    <w:rsid w:val="636239D7"/>
    <w:rsid w:val="636A01F6"/>
    <w:rsid w:val="63731484"/>
    <w:rsid w:val="63804DAC"/>
    <w:rsid w:val="63897B39"/>
    <w:rsid w:val="638D023E"/>
    <w:rsid w:val="63C118F1"/>
    <w:rsid w:val="63C64EF4"/>
    <w:rsid w:val="63D71080"/>
    <w:rsid w:val="63DC5FFC"/>
    <w:rsid w:val="63E11F9E"/>
    <w:rsid w:val="63FA666B"/>
    <w:rsid w:val="64326ECB"/>
    <w:rsid w:val="644D5487"/>
    <w:rsid w:val="644F0FB6"/>
    <w:rsid w:val="645E070C"/>
    <w:rsid w:val="64615DEA"/>
    <w:rsid w:val="6468092B"/>
    <w:rsid w:val="646E197C"/>
    <w:rsid w:val="649975AE"/>
    <w:rsid w:val="64A855E9"/>
    <w:rsid w:val="64AB544B"/>
    <w:rsid w:val="64AC1014"/>
    <w:rsid w:val="64AC146F"/>
    <w:rsid w:val="64B30D05"/>
    <w:rsid w:val="64C323E4"/>
    <w:rsid w:val="64CF4718"/>
    <w:rsid w:val="64DB0C56"/>
    <w:rsid w:val="64E40D0C"/>
    <w:rsid w:val="64F40D20"/>
    <w:rsid w:val="64FB59D6"/>
    <w:rsid w:val="64FE438D"/>
    <w:rsid w:val="65160523"/>
    <w:rsid w:val="65273846"/>
    <w:rsid w:val="653D52B1"/>
    <w:rsid w:val="65532CE7"/>
    <w:rsid w:val="655D1818"/>
    <w:rsid w:val="65817895"/>
    <w:rsid w:val="658535D8"/>
    <w:rsid w:val="65932AEF"/>
    <w:rsid w:val="65A529F9"/>
    <w:rsid w:val="65AC6B45"/>
    <w:rsid w:val="65C069E1"/>
    <w:rsid w:val="65C77BFA"/>
    <w:rsid w:val="65D811D2"/>
    <w:rsid w:val="65DD49B8"/>
    <w:rsid w:val="65E71DA3"/>
    <w:rsid w:val="66087863"/>
    <w:rsid w:val="660C45AF"/>
    <w:rsid w:val="66157FDD"/>
    <w:rsid w:val="66177B41"/>
    <w:rsid w:val="663D4971"/>
    <w:rsid w:val="665C06E5"/>
    <w:rsid w:val="66705CF9"/>
    <w:rsid w:val="6678169B"/>
    <w:rsid w:val="668152C7"/>
    <w:rsid w:val="669929BC"/>
    <w:rsid w:val="66AC6C3E"/>
    <w:rsid w:val="66B03615"/>
    <w:rsid w:val="66B5176D"/>
    <w:rsid w:val="66C04248"/>
    <w:rsid w:val="66CC634A"/>
    <w:rsid w:val="66CD0260"/>
    <w:rsid w:val="66EC6F90"/>
    <w:rsid w:val="66F21A0E"/>
    <w:rsid w:val="67054A51"/>
    <w:rsid w:val="67057A7C"/>
    <w:rsid w:val="6736373F"/>
    <w:rsid w:val="673D3CDE"/>
    <w:rsid w:val="6743539C"/>
    <w:rsid w:val="674A631B"/>
    <w:rsid w:val="674F3B08"/>
    <w:rsid w:val="6758642F"/>
    <w:rsid w:val="67642FCA"/>
    <w:rsid w:val="67766D9B"/>
    <w:rsid w:val="677C0958"/>
    <w:rsid w:val="6784605C"/>
    <w:rsid w:val="678A0557"/>
    <w:rsid w:val="678C2447"/>
    <w:rsid w:val="678C679A"/>
    <w:rsid w:val="67994F05"/>
    <w:rsid w:val="679B362F"/>
    <w:rsid w:val="67BA52E0"/>
    <w:rsid w:val="67CE48E7"/>
    <w:rsid w:val="67EB4A06"/>
    <w:rsid w:val="680269E4"/>
    <w:rsid w:val="68473728"/>
    <w:rsid w:val="68580BED"/>
    <w:rsid w:val="68590435"/>
    <w:rsid w:val="68622E3D"/>
    <w:rsid w:val="686A0AB4"/>
    <w:rsid w:val="686F27A7"/>
    <w:rsid w:val="687C47E2"/>
    <w:rsid w:val="68816516"/>
    <w:rsid w:val="68B05B3B"/>
    <w:rsid w:val="68B22EB8"/>
    <w:rsid w:val="68B31D9C"/>
    <w:rsid w:val="68C070B7"/>
    <w:rsid w:val="68E41B12"/>
    <w:rsid w:val="68EB7B8D"/>
    <w:rsid w:val="68FA543E"/>
    <w:rsid w:val="69105E62"/>
    <w:rsid w:val="691734E4"/>
    <w:rsid w:val="691B3DD3"/>
    <w:rsid w:val="69306FEB"/>
    <w:rsid w:val="693A110C"/>
    <w:rsid w:val="69550DAD"/>
    <w:rsid w:val="69564B94"/>
    <w:rsid w:val="69670D86"/>
    <w:rsid w:val="696F3EA8"/>
    <w:rsid w:val="6970455A"/>
    <w:rsid w:val="697E1F54"/>
    <w:rsid w:val="69850289"/>
    <w:rsid w:val="69927442"/>
    <w:rsid w:val="69BD0975"/>
    <w:rsid w:val="69C40AF3"/>
    <w:rsid w:val="69C87835"/>
    <w:rsid w:val="69CF4947"/>
    <w:rsid w:val="69E935E9"/>
    <w:rsid w:val="69F529BF"/>
    <w:rsid w:val="69F866F7"/>
    <w:rsid w:val="69FA09DD"/>
    <w:rsid w:val="69FC7262"/>
    <w:rsid w:val="6A123F58"/>
    <w:rsid w:val="6A172FA7"/>
    <w:rsid w:val="6A224376"/>
    <w:rsid w:val="6A272421"/>
    <w:rsid w:val="6A3442F0"/>
    <w:rsid w:val="6A3F4BE6"/>
    <w:rsid w:val="6A426EFE"/>
    <w:rsid w:val="6A575563"/>
    <w:rsid w:val="6A5C442C"/>
    <w:rsid w:val="6A6D0E6C"/>
    <w:rsid w:val="6A7328C7"/>
    <w:rsid w:val="6A745A62"/>
    <w:rsid w:val="6A770324"/>
    <w:rsid w:val="6A863E32"/>
    <w:rsid w:val="6AB40A3E"/>
    <w:rsid w:val="6AB428CD"/>
    <w:rsid w:val="6ABD5FEA"/>
    <w:rsid w:val="6AC551BE"/>
    <w:rsid w:val="6AD069C1"/>
    <w:rsid w:val="6AD7030E"/>
    <w:rsid w:val="6ADA17F5"/>
    <w:rsid w:val="6AE8354E"/>
    <w:rsid w:val="6AFB0824"/>
    <w:rsid w:val="6B0F489A"/>
    <w:rsid w:val="6B2D7A0E"/>
    <w:rsid w:val="6B363971"/>
    <w:rsid w:val="6B462CF7"/>
    <w:rsid w:val="6B5122E4"/>
    <w:rsid w:val="6B5B4715"/>
    <w:rsid w:val="6B7E4876"/>
    <w:rsid w:val="6B841E8D"/>
    <w:rsid w:val="6B860ECA"/>
    <w:rsid w:val="6B8A7781"/>
    <w:rsid w:val="6B9130F5"/>
    <w:rsid w:val="6B995E00"/>
    <w:rsid w:val="6BA177A2"/>
    <w:rsid w:val="6BAA2A14"/>
    <w:rsid w:val="6BAB0983"/>
    <w:rsid w:val="6BB12E5B"/>
    <w:rsid w:val="6BBF1257"/>
    <w:rsid w:val="6BD6505A"/>
    <w:rsid w:val="6BED374C"/>
    <w:rsid w:val="6BF15095"/>
    <w:rsid w:val="6C006BC9"/>
    <w:rsid w:val="6C105B82"/>
    <w:rsid w:val="6C172570"/>
    <w:rsid w:val="6C217A00"/>
    <w:rsid w:val="6C2934CE"/>
    <w:rsid w:val="6C2B1798"/>
    <w:rsid w:val="6C346005"/>
    <w:rsid w:val="6C380744"/>
    <w:rsid w:val="6C5630FD"/>
    <w:rsid w:val="6C6579A3"/>
    <w:rsid w:val="6C6631A1"/>
    <w:rsid w:val="6C697290"/>
    <w:rsid w:val="6C6E1423"/>
    <w:rsid w:val="6C8817AC"/>
    <w:rsid w:val="6C914F72"/>
    <w:rsid w:val="6CAF619F"/>
    <w:rsid w:val="6CC03DCD"/>
    <w:rsid w:val="6CE77E97"/>
    <w:rsid w:val="6CF4571F"/>
    <w:rsid w:val="6CF9200A"/>
    <w:rsid w:val="6D437B63"/>
    <w:rsid w:val="6D5B62A0"/>
    <w:rsid w:val="6D77157D"/>
    <w:rsid w:val="6D7A4C42"/>
    <w:rsid w:val="6D8221A6"/>
    <w:rsid w:val="6D877250"/>
    <w:rsid w:val="6D972CA8"/>
    <w:rsid w:val="6D987428"/>
    <w:rsid w:val="6D99105A"/>
    <w:rsid w:val="6DA74E75"/>
    <w:rsid w:val="6DC46C3B"/>
    <w:rsid w:val="6DD13495"/>
    <w:rsid w:val="6DD326A5"/>
    <w:rsid w:val="6DDE382A"/>
    <w:rsid w:val="6DE87481"/>
    <w:rsid w:val="6E0877BA"/>
    <w:rsid w:val="6E1C0EF6"/>
    <w:rsid w:val="6E401B84"/>
    <w:rsid w:val="6E4E3D6E"/>
    <w:rsid w:val="6E513ADF"/>
    <w:rsid w:val="6E572BF0"/>
    <w:rsid w:val="6E6B1EF6"/>
    <w:rsid w:val="6E6C4C42"/>
    <w:rsid w:val="6E79048E"/>
    <w:rsid w:val="6E840390"/>
    <w:rsid w:val="6E8D3157"/>
    <w:rsid w:val="6E8F67A8"/>
    <w:rsid w:val="6EA07FB3"/>
    <w:rsid w:val="6EA13ECC"/>
    <w:rsid w:val="6EB94044"/>
    <w:rsid w:val="6EBF7D39"/>
    <w:rsid w:val="6ECB45DA"/>
    <w:rsid w:val="6EE3336E"/>
    <w:rsid w:val="6EED49C0"/>
    <w:rsid w:val="6EF51463"/>
    <w:rsid w:val="6EF63293"/>
    <w:rsid w:val="6F230793"/>
    <w:rsid w:val="6F4610C2"/>
    <w:rsid w:val="6F6E11B3"/>
    <w:rsid w:val="6F88019D"/>
    <w:rsid w:val="6FB32286"/>
    <w:rsid w:val="6FC05C0F"/>
    <w:rsid w:val="6FCA5A5D"/>
    <w:rsid w:val="6FCE352C"/>
    <w:rsid w:val="6FDC588B"/>
    <w:rsid w:val="6FE24358"/>
    <w:rsid w:val="6FE26FDF"/>
    <w:rsid w:val="6FEA7EC5"/>
    <w:rsid w:val="6FF9096F"/>
    <w:rsid w:val="6FFD19CC"/>
    <w:rsid w:val="700D0A10"/>
    <w:rsid w:val="700D0E58"/>
    <w:rsid w:val="700F1F41"/>
    <w:rsid w:val="70203823"/>
    <w:rsid w:val="702B1C90"/>
    <w:rsid w:val="702D709F"/>
    <w:rsid w:val="703F7E89"/>
    <w:rsid w:val="705C4B38"/>
    <w:rsid w:val="70857086"/>
    <w:rsid w:val="708D412F"/>
    <w:rsid w:val="709D1187"/>
    <w:rsid w:val="709E7E23"/>
    <w:rsid w:val="70CB5430"/>
    <w:rsid w:val="70EB4A25"/>
    <w:rsid w:val="70F13F4B"/>
    <w:rsid w:val="70F34E81"/>
    <w:rsid w:val="70F520CD"/>
    <w:rsid w:val="710D226C"/>
    <w:rsid w:val="7144325B"/>
    <w:rsid w:val="71594B6E"/>
    <w:rsid w:val="716212DB"/>
    <w:rsid w:val="716C79A5"/>
    <w:rsid w:val="71897772"/>
    <w:rsid w:val="718C2727"/>
    <w:rsid w:val="71950BFB"/>
    <w:rsid w:val="719C1D4A"/>
    <w:rsid w:val="71A94072"/>
    <w:rsid w:val="71AC20FB"/>
    <w:rsid w:val="71BE1432"/>
    <w:rsid w:val="71CF1988"/>
    <w:rsid w:val="71EA02BD"/>
    <w:rsid w:val="71FC4872"/>
    <w:rsid w:val="7224155D"/>
    <w:rsid w:val="72281B78"/>
    <w:rsid w:val="722A76FC"/>
    <w:rsid w:val="7231526A"/>
    <w:rsid w:val="72355D07"/>
    <w:rsid w:val="72391A79"/>
    <w:rsid w:val="724759C2"/>
    <w:rsid w:val="724E2AB3"/>
    <w:rsid w:val="72524AB8"/>
    <w:rsid w:val="72780225"/>
    <w:rsid w:val="72893EC0"/>
    <w:rsid w:val="7297431C"/>
    <w:rsid w:val="72B00E7B"/>
    <w:rsid w:val="72B3053F"/>
    <w:rsid w:val="72B356EC"/>
    <w:rsid w:val="72BC5C9B"/>
    <w:rsid w:val="72C03D97"/>
    <w:rsid w:val="72C86C56"/>
    <w:rsid w:val="72CC5F0C"/>
    <w:rsid w:val="72CD3966"/>
    <w:rsid w:val="72E215DC"/>
    <w:rsid w:val="72E938D6"/>
    <w:rsid w:val="72FA0C86"/>
    <w:rsid w:val="72FB5541"/>
    <w:rsid w:val="72FE3403"/>
    <w:rsid w:val="73123452"/>
    <w:rsid w:val="731F0D2A"/>
    <w:rsid w:val="73247AB1"/>
    <w:rsid w:val="732E4A7D"/>
    <w:rsid w:val="733216E8"/>
    <w:rsid w:val="733259BA"/>
    <w:rsid w:val="733644EB"/>
    <w:rsid w:val="733A7431"/>
    <w:rsid w:val="733E3031"/>
    <w:rsid w:val="73465221"/>
    <w:rsid w:val="73565C48"/>
    <w:rsid w:val="735F2AAB"/>
    <w:rsid w:val="738A5B9F"/>
    <w:rsid w:val="739026C1"/>
    <w:rsid w:val="73931BBD"/>
    <w:rsid w:val="73940E4E"/>
    <w:rsid w:val="73966C01"/>
    <w:rsid w:val="73A65FD4"/>
    <w:rsid w:val="73A861C6"/>
    <w:rsid w:val="73C42352"/>
    <w:rsid w:val="73D46E79"/>
    <w:rsid w:val="73DE5FF1"/>
    <w:rsid w:val="740E1202"/>
    <w:rsid w:val="741377FB"/>
    <w:rsid w:val="7417755D"/>
    <w:rsid w:val="74322508"/>
    <w:rsid w:val="74432FA4"/>
    <w:rsid w:val="74452ADF"/>
    <w:rsid w:val="744F2505"/>
    <w:rsid w:val="74555AFF"/>
    <w:rsid w:val="745D212B"/>
    <w:rsid w:val="74633C6E"/>
    <w:rsid w:val="746E2193"/>
    <w:rsid w:val="74A563F4"/>
    <w:rsid w:val="74B92643"/>
    <w:rsid w:val="74BA06CD"/>
    <w:rsid w:val="74BA2F9D"/>
    <w:rsid w:val="74D93C7C"/>
    <w:rsid w:val="74DE2400"/>
    <w:rsid w:val="74DF33D1"/>
    <w:rsid w:val="75163E08"/>
    <w:rsid w:val="75280F76"/>
    <w:rsid w:val="75455CD4"/>
    <w:rsid w:val="754C3DC7"/>
    <w:rsid w:val="755F74C6"/>
    <w:rsid w:val="75616D9B"/>
    <w:rsid w:val="757A100D"/>
    <w:rsid w:val="75832C33"/>
    <w:rsid w:val="75B9611A"/>
    <w:rsid w:val="75E04881"/>
    <w:rsid w:val="76051E1C"/>
    <w:rsid w:val="76164463"/>
    <w:rsid w:val="762068F5"/>
    <w:rsid w:val="76213533"/>
    <w:rsid w:val="76273C44"/>
    <w:rsid w:val="762B032C"/>
    <w:rsid w:val="764C0F04"/>
    <w:rsid w:val="765C57B4"/>
    <w:rsid w:val="767F110B"/>
    <w:rsid w:val="76930D1A"/>
    <w:rsid w:val="76947517"/>
    <w:rsid w:val="76C310B4"/>
    <w:rsid w:val="76CE29BF"/>
    <w:rsid w:val="76D374A5"/>
    <w:rsid w:val="76DF013F"/>
    <w:rsid w:val="76E301FF"/>
    <w:rsid w:val="76E677E1"/>
    <w:rsid w:val="7705405E"/>
    <w:rsid w:val="77054E5E"/>
    <w:rsid w:val="774F6C00"/>
    <w:rsid w:val="7756760D"/>
    <w:rsid w:val="775C1067"/>
    <w:rsid w:val="77677435"/>
    <w:rsid w:val="77686C8A"/>
    <w:rsid w:val="776F42E7"/>
    <w:rsid w:val="77742125"/>
    <w:rsid w:val="778921AB"/>
    <w:rsid w:val="77AD45E5"/>
    <w:rsid w:val="77B040ED"/>
    <w:rsid w:val="77C470E3"/>
    <w:rsid w:val="77C71435"/>
    <w:rsid w:val="77E73640"/>
    <w:rsid w:val="77F8433C"/>
    <w:rsid w:val="77FE6B23"/>
    <w:rsid w:val="77FF341A"/>
    <w:rsid w:val="78175941"/>
    <w:rsid w:val="78244A5D"/>
    <w:rsid w:val="783B1B6C"/>
    <w:rsid w:val="78452F02"/>
    <w:rsid w:val="78545B7F"/>
    <w:rsid w:val="78706C74"/>
    <w:rsid w:val="78793518"/>
    <w:rsid w:val="787B769A"/>
    <w:rsid w:val="78855E52"/>
    <w:rsid w:val="789B3638"/>
    <w:rsid w:val="78B7284D"/>
    <w:rsid w:val="78BA3601"/>
    <w:rsid w:val="78F36773"/>
    <w:rsid w:val="791505C8"/>
    <w:rsid w:val="791F31F5"/>
    <w:rsid w:val="792A30CD"/>
    <w:rsid w:val="79344907"/>
    <w:rsid w:val="793A4926"/>
    <w:rsid w:val="793B3FD2"/>
    <w:rsid w:val="79440EAD"/>
    <w:rsid w:val="79443FC4"/>
    <w:rsid w:val="7950536D"/>
    <w:rsid w:val="79666E88"/>
    <w:rsid w:val="798A705B"/>
    <w:rsid w:val="79990D2A"/>
    <w:rsid w:val="79AB7E71"/>
    <w:rsid w:val="79C26D0D"/>
    <w:rsid w:val="79CE2729"/>
    <w:rsid w:val="7A0950DE"/>
    <w:rsid w:val="7A2F540E"/>
    <w:rsid w:val="7A311F12"/>
    <w:rsid w:val="7A5213AA"/>
    <w:rsid w:val="7A57940D"/>
    <w:rsid w:val="7A5B1A3A"/>
    <w:rsid w:val="7A5C362F"/>
    <w:rsid w:val="7A736ABB"/>
    <w:rsid w:val="7A8F46AC"/>
    <w:rsid w:val="7AB03EDB"/>
    <w:rsid w:val="7AB14320"/>
    <w:rsid w:val="7AC064A1"/>
    <w:rsid w:val="7AD10804"/>
    <w:rsid w:val="7AD53602"/>
    <w:rsid w:val="7AD70B11"/>
    <w:rsid w:val="7AD7365B"/>
    <w:rsid w:val="7AF44CD7"/>
    <w:rsid w:val="7B0E40F9"/>
    <w:rsid w:val="7B212D17"/>
    <w:rsid w:val="7B391533"/>
    <w:rsid w:val="7B3B13D3"/>
    <w:rsid w:val="7B3E01BF"/>
    <w:rsid w:val="7B566955"/>
    <w:rsid w:val="7B5B1B1D"/>
    <w:rsid w:val="7B7452EB"/>
    <w:rsid w:val="7B8267B3"/>
    <w:rsid w:val="7B841046"/>
    <w:rsid w:val="7B8937B3"/>
    <w:rsid w:val="7B9B7E0E"/>
    <w:rsid w:val="7BA70D1A"/>
    <w:rsid w:val="7BB22ECA"/>
    <w:rsid w:val="7BD60969"/>
    <w:rsid w:val="7BDD625C"/>
    <w:rsid w:val="7BF137C2"/>
    <w:rsid w:val="7C0C280B"/>
    <w:rsid w:val="7C186D40"/>
    <w:rsid w:val="7C49794C"/>
    <w:rsid w:val="7C4C331E"/>
    <w:rsid w:val="7C5003E6"/>
    <w:rsid w:val="7C714865"/>
    <w:rsid w:val="7C7A477A"/>
    <w:rsid w:val="7C7E3491"/>
    <w:rsid w:val="7C883008"/>
    <w:rsid w:val="7C9A2999"/>
    <w:rsid w:val="7CA2269D"/>
    <w:rsid w:val="7CB874CC"/>
    <w:rsid w:val="7CBF1B36"/>
    <w:rsid w:val="7CC815B3"/>
    <w:rsid w:val="7CD15019"/>
    <w:rsid w:val="7CED43A2"/>
    <w:rsid w:val="7CED5B70"/>
    <w:rsid w:val="7CF55942"/>
    <w:rsid w:val="7CF661F3"/>
    <w:rsid w:val="7D005360"/>
    <w:rsid w:val="7D1312C2"/>
    <w:rsid w:val="7D297EA7"/>
    <w:rsid w:val="7D2F3ADC"/>
    <w:rsid w:val="7D407BDD"/>
    <w:rsid w:val="7D496CA3"/>
    <w:rsid w:val="7D5749E0"/>
    <w:rsid w:val="7D5B34C2"/>
    <w:rsid w:val="7DAA0E0C"/>
    <w:rsid w:val="7DAD2BFB"/>
    <w:rsid w:val="7DEB21B0"/>
    <w:rsid w:val="7DFE3DC0"/>
    <w:rsid w:val="7E0268AB"/>
    <w:rsid w:val="7E2264CB"/>
    <w:rsid w:val="7E2D2677"/>
    <w:rsid w:val="7E342C81"/>
    <w:rsid w:val="7E347C99"/>
    <w:rsid w:val="7E425CF5"/>
    <w:rsid w:val="7E6C197E"/>
    <w:rsid w:val="7E8C61F0"/>
    <w:rsid w:val="7EA80DFD"/>
    <w:rsid w:val="7EB43986"/>
    <w:rsid w:val="7EB47F9E"/>
    <w:rsid w:val="7EDD3A02"/>
    <w:rsid w:val="7EEA3A51"/>
    <w:rsid w:val="7EF50D3F"/>
    <w:rsid w:val="7F034108"/>
    <w:rsid w:val="7F0B6DB8"/>
    <w:rsid w:val="7F0D3AEF"/>
    <w:rsid w:val="7F2D4ECB"/>
    <w:rsid w:val="7F355B69"/>
    <w:rsid w:val="7F3C3F72"/>
    <w:rsid w:val="7F413799"/>
    <w:rsid w:val="7F4B316B"/>
    <w:rsid w:val="7F76054A"/>
    <w:rsid w:val="7F9372BC"/>
    <w:rsid w:val="7F9F6E5F"/>
    <w:rsid w:val="7FAD5651"/>
    <w:rsid w:val="7FBA168C"/>
    <w:rsid w:val="7FC45774"/>
    <w:rsid w:val="7FD87181"/>
    <w:rsid w:val="7FE03BF0"/>
    <w:rsid w:val="7FFA5C4D"/>
    <w:rsid w:val="F3FC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7"/>
    <w:autoRedefine/>
    <w:qFormat/>
    <w:uiPriority w:val="0"/>
    <w:pPr>
      <w:keepNext/>
      <w:keepLines/>
      <w:spacing w:before="340" w:after="330"/>
      <w:jc w:val="center"/>
      <w:outlineLvl w:val="0"/>
    </w:pPr>
    <w:rPr>
      <w:b/>
      <w:kern w:val="44"/>
      <w:sz w:val="44"/>
    </w:rPr>
  </w:style>
  <w:style w:type="paragraph" w:styleId="3">
    <w:name w:val="heading 2"/>
    <w:basedOn w:val="1"/>
    <w:next w:val="1"/>
    <w:link w:val="113"/>
    <w:autoRedefine/>
    <w:qFormat/>
    <w:uiPriority w:val="0"/>
    <w:pPr>
      <w:keepNext/>
      <w:keepLines/>
      <w:widowControl/>
      <w:spacing w:before="260" w:after="260"/>
      <w:jc w:val="center"/>
      <w:outlineLvl w:val="1"/>
    </w:pPr>
    <w:rPr>
      <w:rFonts w:ascii="Arial" w:hAnsi="Arial" w:eastAsia="黑体"/>
      <w:kern w:val="0"/>
      <w:sz w:val="44"/>
    </w:rPr>
  </w:style>
  <w:style w:type="paragraph" w:styleId="4">
    <w:name w:val="heading 3"/>
    <w:basedOn w:val="1"/>
    <w:next w:val="1"/>
    <w:link w:val="117"/>
    <w:autoRedefine/>
    <w:qFormat/>
    <w:uiPriority w:val="0"/>
    <w:pPr>
      <w:keepNext/>
      <w:keepLines/>
      <w:spacing w:before="260" w:after="260" w:line="413" w:lineRule="auto"/>
      <w:outlineLvl w:val="2"/>
    </w:pPr>
    <w:rPr>
      <w:b/>
      <w:sz w:val="32"/>
    </w:rPr>
  </w:style>
  <w:style w:type="paragraph" w:styleId="5">
    <w:name w:val="heading 4"/>
    <w:basedOn w:val="1"/>
    <w:next w:val="1"/>
    <w:link w:val="123"/>
    <w:autoRedefine/>
    <w:qFormat/>
    <w:uiPriority w:val="0"/>
    <w:pPr>
      <w:keepNext/>
      <w:keepLines/>
      <w:widowControl/>
      <w:spacing w:before="120" w:after="120" w:line="360" w:lineRule="auto"/>
      <w:jc w:val="center"/>
      <w:outlineLvl w:val="3"/>
    </w:pPr>
    <w:rPr>
      <w:rFonts w:ascii="Arial" w:hAnsi="Arial" w:eastAsia="黑体"/>
      <w:b/>
      <w:kern w:val="0"/>
      <w:sz w:val="28"/>
    </w:rPr>
  </w:style>
  <w:style w:type="paragraph" w:styleId="6">
    <w:name w:val="heading 5"/>
    <w:basedOn w:val="1"/>
    <w:next w:val="1"/>
    <w:link w:val="78"/>
    <w:autoRedefine/>
    <w:qFormat/>
    <w:uiPriority w:val="0"/>
    <w:pPr>
      <w:keepNext/>
      <w:keepLines/>
      <w:widowControl/>
      <w:spacing w:before="120" w:after="120" w:line="360" w:lineRule="auto"/>
      <w:ind w:firstLine="499"/>
      <w:jc w:val="center"/>
      <w:outlineLvl w:val="4"/>
    </w:pPr>
    <w:rPr>
      <w:rFonts w:ascii="宋体" w:hAnsi="宋体"/>
      <w:kern w:val="0"/>
      <w:sz w:val="24"/>
    </w:rPr>
  </w:style>
  <w:style w:type="paragraph" w:styleId="7">
    <w:name w:val="heading 6"/>
    <w:basedOn w:val="1"/>
    <w:next w:val="1"/>
    <w:link w:val="93"/>
    <w:autoRedefine/>
    <w:qFormat/>
    <w:uiPriority w:val="0"/>
    <w:pPr>
      <w:keepNext/>
      <w:keepLines/>
      <w:widowControl/>
      <w:numPr>
        <w:ilvl w:val="5"/>
        <w:numId w:val="1"/>
      </w:numPr>
      <w:tabs>
        <w:tab w:val="left" w:pos="1440"/>
        <w:tab w:val="clear" w:pos="2520"/>
      </w:tabs>
      <w:spacing w:before="240" w:after="64" w:line="317" w:lineRule="auto"/>
      <w:jc w:val="center"/>
      <w:outlineLvl w:val="5"/>
    </w:pPr>
    <w:rPr>
      <w:rFonts w:ascii="Arial" w:hAnsi="Arial" w:eastAsia="黑体"/>
      <w:kern w:val="0"/>
      <w:sz w:val="24"/>
    </w:rPr>
  </w:style>
  <w:style w:type="paragraph" w:styleId="8">
    <w:name w:val="heading 7"/>
    <w:basedOn w:val="1"/>
    <w:next w:val="1"/>
    <w:link w:val="104"/>
    <w:autoRedefine/>
    <w:qFormat/>
    <w:uiPriority w:val="0"/>
    <w:pPr>
      <w:keepNext/>
      <w:keepLines/>
      <w:widowControl/>
      <w:numPr>
        <w:ilvl w:val="6"/>
        <w:numId w:val="1"/>
      </w:numPr>
      <w:tabs>
        <w:tab w:val="left" w:pos="2520"/>
        <w:tab w:val="clear" w:pos="2940"/>
      </w:tabs>
      <w:spacing w:before="240" w:after="64" w:line="317" w:lineRule="auto"/>
      <w:jc w:val="center"/>
      <w:outlineLvl w:val="6"/>
    </w:pPr>
    <w:rPr>
      <w:kern w:val="0"/>
      <w:sz w:val="24"/>
    </w:rPr>
  </w:style>
  <w:style w:type="paragraph" w:styleId="9">
    <w:name w:val="heading 8"/>
    <w:basedOn w:val="1"/>
    <w:next w:val="1"/>
    <w:link w:val="116"/>
    <w:autoRedefine/>
    <w:qFormat/>
    <w:uiPriority w:val="0"/>
    <w:pPr>
      <w:keepNext/>
      <w:keepLines/>
      <w:widowControl/>
      <w:numPr>
        <w:ilvl w:val="7"/>
        <w:numId w:val="1"/>
      </w:numPr>
      <w:tabs>
        <w:tab w:val="left" w:pos="1440"/>
        <w:tab w:val="clear" w:pos="3360"/>
      </w:tabs>
      <w:spacing w:before="240" w:after="64" w:line="317" w:lineRule="auto"/>
      <w:jc w:val="center"/>
      <w:outlineLvl w:val="7"/>
    </w:pPr>
    <w:rPr>
      <w:rFonts w:ascii="Arial" w:hAnsi="Arial" w:eastAsia="黑体"/>
      <w:b/>
      <w:kern w:val="0"/>
      <w:sz w:val="24"/>
    </w:rPr>
  </w:style>
  <w:style w:type="paragraph" w:styleId="10">
    <w:name w:val="heading 9"/>
    <w:basedOn w:val="1"/>
    <w:next w:val="1"/>
    <w:link w:val="98"/>
    <w:autoRedefine/>
    <w:qFormat/>
    <w:uiPriority w:val="0"/>
    <w:pPr>
      <w:keepNext/>
      <w:keepLines/>
      <w:widowControl/>
      <w:numPr>
        <w:ilvl w:val="8"/>
        <w:numId w:val="1"/>
      </w:numPr>
      <w:tabs>
        <w:tab w:val="left" w:pos="1584"/>
        <w:tab w:val="clear" w:pos="3780"/>
      </w:tabs>
      <w:spacing w:before="240" w:after="64" w:line="317" w:lineRule="auto"/>
      <w:jc w:val="center"/>
      <w:outlineLvl w:val="8"/>
    </w:pPr>
    <w:rPr>
      <w:rFonts w:ascii="Arial" w:hAnsi="Arial" w:eastAsia="黑体"/>
      <w:b/>
      <w:kern w:val="0"/>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qFormat/>
    <w:uiPriority w:val="0"/>
    <w:pPr>
      <w:widowControl/>
      <w:ind w:left="2640"/>
      <w:jc w:val="left"/>
    </w:pPr>
    <w:rPr>
      <w:kern w:val="0"/>
      <w:sz w:val="44"/>
    </w:rPr>
  </w:style>
  <w:style w:type="paragraph" w:styleId="12">
    <w:name w:val="Normal Indent"/>
    <w:basedOn w:val="1"/>
    <w:next w:val="1"/>
    <w:link w:val="70"/>
    <w:autoRedefine/>
    <w:qFormat/>
    <w:uiPriority w:val="0"/>
    <w:pPr>
      <w:widowControl/>
      <w:ind w:firstLine="420"/>
      <w:jc w:val="center"/>
    </w:pPr>
    <w:rPr>
      <w:b/>
      <w:sz w:val="44"/>
    </w:rPr>
  </w:style>
  <w:style w:type="paragraph" w:styleId="13">
    <w:name w:val="caption"/>
    <w:basedOn w:val="1"/>
    <w:next w:val="1"/>
    <w:autoRedefine/>
    <w:qFormat/>
    <w:uiPriority w:val="0"/>
    <w:rPr>
      <w:rFonts w:ascii="Cambria" w:hAnsi="Cambria" w:eastAsia="黑体"/>
      <w:sz w:val="20"/>
    </w:rPr>
  </w:style>
  <w:style w:type="paragraph" w:styleId="14">
    <w:name w:val="Document Map"/>
    <w:basedOn w:val="1"/>
    <w:link w:val="64"/>
    <w:autoRedefine/>
    <w:qFormat/>
    <w:uiPriority w:val="0"/>
    <w:pPr>
      <w:widowControl/>
      <w:shd w:val="clear" w:color="auto" w:fill="000080"/>
      <w:jc w:val="center"/>
    </w:pPr>
    <w:rPr>
      <w:b/>
      <w:kern w:val="0"/>
      <w:sz w:val="44"/>
    </w:rPr>
  </w:style>
  <w:style w:type="paragraph" w:styleId="15">
    <w:name w:val="annotation text"/>
    <w:basedOn w:val="1"/>
    <w:link w:val="86"/>
    <w:autoRedefine/>
    <w:qFormat/>
    <w:uiPriority w:val="0"/>
    <w:pPr>
      <w:adjustRightInd w:val="0"/>
      <w:spacing w:line="360" w:lineRule="atLeast"/>
      <w:jc w:val="center"/>
      <w:textAlignment w:val="baseline"/>
    </w:pPr>
    <w:rPr>
      <w:b/>
      <w:kern w:val="0"/>
      <w:sz w:val="24"/>
    </w:rPr>
  </w:style>
  <w:style w:type="paragraph" w:styleId="16">
    <w:name w:val="Body Text 3"/>
    <w:basedOn w:val="1"/>
    <w:autoRedefine/>
    <w:qFormat/>
    <w:uiPriority w:val="0"/>
    <w:pPr>
      <w:spacing w:after="120"/>
    </w:pPr>
    <w:rPr>
      <w:sz w:val="16"/>
      <w:szCs w:val="16"/>
    </w:rPr>
  </w:style>
  <w:style w:type="paragraph" w:styleId="17">
    <w:name w:val="Body Text"/>
    <w:basedOn w:val="1"/>
    <w:next w:val="1"/>
    <w:link w:val="118"/>
    <w:autoRedefine/>
    <w:qFormat/>
    <w:uiPriority w:val="0"/>
    <w:rPr>
      <w:rFonts w:eastAsia="楷体_GB2312"/>
      <w:sz w:val="30"/>
    </w:rPr>
  </w:style>
  <w:style w:type="paragraph" w:styleId="18">
    <w:name w:val="Body Text Indent"/>
    <w:basedOn w:val="1"/>
    <w:next w:val="12"/>
    <w:link w:val="87"/>
    <w:autoRedefine/>
    <w:qFormat/>
    <w:uiPriority w:val="0"/>
    <w:pPr>
      <w:spacing w:after="120"/>
      <w:ind w:left="420" w:leftChars="200"/>
    </w:pPr>
  </w:style>
  <w:style w:type="paragraph" w:styleId="19">
    <w:name w:val="List 2"/>
    <w:basedOn w:val="1"/>
    <w:autoRedefine/>
    <w:qFormat/>
    <w:uiPriority w:val="0"/>
    <w:pPr>
      <w:ind w:left="100" w:leftChars="200" w:hanging="200" w:hangingChars="200"/>
    </w:pPr>
  </w:style>
  <w:style w:type="paragraph" w:styleId="20">
    <w:name w:val="Block Text"/>
    <w:basedOn w:val="1"/>
    <w:autoRedefine/>
    <w:qFormat/>
    <w:uiPriority w:val="0"/>
    <w:pPr>
      <w:adjustRightInd w:val="0"/>
      <w:ind w:left="420" w:right="33"/>
      <w:jc w:val="center"/>
      <w:textAlignment w:val="baseline"/>
    </w:pPr>
    <w:rPr>
      <w:b/>
      <w:kern w:val="0"/>
      <w:sz w:val="24"/>
    </w:rPr>
  </w:style>
  <w:style w:type="paragraph" w:styleId="21">
    <w:name w:val="index 4"/>
    <w:basedOn w:val="1"/>
    <w:next w:val="1"/>
    <w:autoRedefine/>
    <w:qFormat/>
    <w:uiPriority w:val="0"/>
    <w:pPr>
      <w:ind w:left="600" w:leftChars="600"/>
    </w:pPr>
    <w:rPr>
      <w:szCs w:val="24"/>
    </w:rPr>
  </w:style>
  <w:style w:type="paragraph" w:styleId="22">
    <w:name w:val="toc 5"/>
    <w:basedOn w:val="1"/>
    <w:next w:val="1"/>
    <w:autoRedefine/>
    <w:qFormat/>
    <w:uiPriority w:val="0"/>
    <w:pPr>
      <w:widowControl/>
      <w:ind w:left="1760"/>
      <w:jc w:val="left"/>
    </w:pPr>
    <w:rPr>
      <w:kern w:val="0"/>
      <w:sz w:val="44"/>
    </w:rPr>
  </w:style>
  <w:style w:type="paragraph" w:styleId="23">
    <w:name w:val="toc 3"/>
    <w:basedOn w:val="1"/>
    <w:next w:val="1"/>
    <w:autoRedefine/>
    <w:qFormat/>
    <w:uiPriority w:val="0"/>
    <w:pPr>
      <w:widowControl/>
      <w:ind w:left="880"/>
      <w:jc w:val="left"/>
    </w:pPr>
    <w:rPr>
      <w:i/>
      <w:kern w:val="0"/>
      <w:sz w:val="44"/>
    </w:rPr>
  </w:style>
  <w:style w:type="paragraph" w:styleId="24">
    <w:name w:val="Plain Text"/>
    <w:basedOn w:val="1"/>
    <w:link w:val="115"/>
    <w:autoRedefine/>
    <w:qFormat/>
    <w:uiPriority w:val="0"/>
    <w:rPr>
      <w:rFonts w:ascii="宋体" w:hAnsi="Courier New"/>
    </w:rPr>
  </w:style>
  <w:style w:type="paragraph" w:styleId="25">
    <w:name w:val="toc 8"/>
    <w:basedOn w:val="1"/>
    <w:next w:val="1"/>
    <w:autoRedefine/>
    <w:qFormat/>
    <w:uiPriority w:val="0"/>
    <w:pPr>
      <w:widowControl/>
      <w:ind w:left="3080"/>
      <w:jc w:val="left"/>
    </w:pPr>
    <w:rPr>
      <w:kern w:val="0"/>
      <w:sz w:val="44"/>
    </w:rPr>
  </w:style>
  <w:style w:type="paragraph" w:styleId="26">
    <w:name w:val="Date"/>
    <w:basedOn w:val="1"/>
    <w:next w:val="1"/>
    <w:autoRedefine/>
    <w:qFormat/>
    <w:uiPriority w:val="0"/>
    <w:pPr>
      <w:ind w:left="100" w:leftChars="2500"/>
    </w:pPr>
    <w:rPr>
      <w:sz w:val="36"/>
    </w:rPr>
  </w:style>
  <w:style w:type="paragraph" w:styleId="27">
    <w:name w:val="Body Text Indent 2"/>
    <w:basedOn w:val="1"/>
    <w:autoRedefine/>
    <w:qFormat/>
    <w:uiPriority w:val="0"/>
    <w:pPr>
      <w:spacing w:after="120" w:line="480" w:lineRule="auto"/>
      <w:ind w:left="420" w:leftChars="200"/>
    </w:pPr>
  </w:style>
  <w:style w:type="paragraph" w:styleId="28">
    <w:name w:val="endnote text"/>
    <w:basedOn w:val="1"/>
    <w:autoRedefine/>
    <w:qFormat/>
    <w:uiPriority w:val="0"/>
    <w:pPr>
      <w:widowControl/>
      <w:snapToGrid w:val="0"/>
      <w:jc w:val="center"/>
    </w:pPr>
    <w:rPr>
      <w:b/>
      <w:kern w:val="0"/>
      <w:sz w:val="44"/>
    </w:rPr>
  </w:style>
  <w:style w:type="paragraph" w:styleId="29">
    <w:name w:val="Balloon Text"/>
    <w:basedOn w:val="1"/>
    <w:link w:val="114"/>
    <w:autoRedefine/>
    <w:qFormat/>
    <w:uiPriority w:val="0"/>
    <w:rPr>
      <w:sz w:val="18"/>
    </w:rPr>
  </w:style>
  <w:style w:type="paragraph" w:styleId="30">
    <w:name w:val="footer"/>
    <w:basedOn w:val="1"/>
    <w:link w:val="109"/>
    <w:autoRedefine/>
    <w:qFormat/>
    <w:uiPriority w:val="0"/>
    <w:pPr>
      <w:tabs>
        <w:tab w:val="center" w:pos="4153"/>
        <w:tab w:val="right" w:pos="8306"/>
      </w:tabs>
      <w:snapToGrid w:val="0"/>
      <w:jc w:val="left"/>
    </w:pPr>
    <w:rPr>
      <w:sz w:val="18"/>
    </w:rPr>
  </w:style>
  <w:style w:type="paragraph" w:styleId="31">
    <w:name w:val="header"/>
    <w:basedOn w:val="1"/>
    <w:link w:val="72"/>
    <w:autoRedefine/>
    <w:qFormat/>
    <w:uiPriority w:val="0"/>
    <w:pPr>
      <w:pBdr>
        <w:bottom w:val="single" w:color="auto" w:sz="6" w:space="1"/>
      </w:pBdr>
      <w:tabs>
        <w:tab w:val="center" w:pos="4153"/>
        <w:tab w:val="right" w:pos="8306"/>
      </w:tabs>
      <w:snapToGrid w:val="0"/>
      <w:jc w:val="center"/>
    </w:pPr>
    <w:rPr>
      <w:sz w:val="18"/>
    </w:rPr>
  </w:style>
  <w:style w:type="paragraph" w:styleId="32">
    <w:name w:val="toc 1"/>
    <w:basedOn w:val="1"/>
    <w:next w:val="1"/>
    <w:autoRedefine/>
    <w:qFormat/>
    <w:uiPriority w:val="39"/>
  </w:style>
  <w:style w:type="paragraph" w:styleId="33">
    <w:name w:val="toc 4"/>
    <w:basedOn w:val="1"/>
    <w:next w:val="1"/>
    <w:autoRedefine/>
    <w:qFormat/>
    <w:uiPriority w:val="0"/>
    <w:pPr>
      <w:widowControl/>
      <w:ind w:left="1320"/>
      <w:jc w:val="left"/>
    </w:pPr>
    <w:rPr>
      <w:kern w:val="0"/>
      <w:sz w:val="44"/>
    </w:rPr>
  </w:style>
  <w:style w:type="paragraph" w:styleId="34">
    <w:name w:val="Subtitle"/>
    <w:basedOn w:val="1"/>
    <w:next w:val="1"/>
    <w:link w:val="65"/>
    <w:autoRedefine/>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autoRedefine/>
    <w:qFormat/>
    <w:uiPriority w:val="0"/>
    <w:pPr>
      <w:adjustRightInd w:val="0"/>
      <w:spacing w:line="312" w:lineRule="atLeast"/>
      <w:jc w:val="center"/>
      <w:textAlignment w:val="baseline"/>
    </w:pPr>
    <w:rPr>
      <w:b/>
      <w:kern w:val="0"/>
      <w:sz w:val="18"/>
    </w:rPr>
  </w:style>
  <w:style w:type="paragraph" w:styleId="36">
    <w:name w:val="toc 6"/>
    <w:basedOn w:val="1"/>
    <w:next w:val="1"/>
    <w:autoRedefine/>
    <w:qFormat/>
    <w:uiPriority w:val="0"/>
    <w:pPr>
      <w:widowControl/>
      <w:ind w:left="2200"/>
      <w:jc w:val="left"/>
    </w:pPr>
    <w:rPr>
      <w:kern w:val="0"/>
      <w:sz w:val="44"/>
    </w:rPr>
  </w:style>
  <w:style w:type="paragraph" w:styleId="37">
    <w:name w:val="Body Text Indent 3"/>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rPr>
  </w:style>
  <w:style w:type="paragraph" w:styleId="38">
    <w:name w:val="toc 2"/>
    <w:basedOn w:val="1"/>
    <w:next w:val="1"/>
    <w:autoRedefine/>
    <w:qFormat/>
    <w:uiPriority w:val="0"/>
    <w:pPr>
      <w:widowControl/>
      <w:ind w:left="440"/>
      <w:jc w:val="left"/>
    </w:pPr>
    <w:rPr>
      <w:smallCaps/>
      <w:kern w:val="0"/>
      <w:sz w:val="44"/>
    </w:rPr>
  </w:style>
  <w:style w:type="paragraph" w:styleId="39">
    <w:name w:val="toc 9"/>
    <w:basedOn w:val="1"/>
    <w:next w:val="1"/>
    <w:autoRedefine/>
    <w:qFormat/>
    <w:uiPriority w:val="0"/>
    <w:pPr>
      <w:widowControl/>
      <w:ind w:left="3520"/>
      <w:jc w:val="left"/>
    </w:pPr>
    <w:rPr>
      <w:kern w:val="0"/>
      <w:sz w:val="44"/>
    </w:rPr>
  </w:style>
  <w:style w:type="paragraph" w:styleId="40">
    <w:name w:val="Body Text 2"/>
    <w:basedOn w:val="1"/>
    <w:autoRedefine/>
    <w:qFormat/>
    <w:uiPriority w:val="0"/>
    <w:pPr>
      <w:spacing w:after="120" w:line="480" w:lineRule="auto"/>
    </w:pPr>
    <w:rPr>
      <w:szCs w:val="24"/>
    </w:rPr>
  </w:style>
  <w:style w:type="paragraph" w:styleId="41">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42">
    <w:name w:val="Title"/>
    <w:basedOn w:val="1"/>
    <w:next w:val="1"/>
    <w:link w:val="125"/>
    <w:autoRedefine/>
    <w:qFormat/>
    <w:uiPriority w:val="0"/>
    <w:pPr>
      <w:widowControl/>
      <w:spacing w:before="240" w:after="60"/>
      <w:jc w:val="center"/>
      <w:outlineLvl w:val="0"/>
    </w:pPr>
    <w:rPr>
      <w:rFonts w:ascii="Arial" w:hAnsi="Arial"/>
      <w:b/>
      <w:kern w:val="0"/>
      <w:sz w:val="44"/>
    </w:rPr>
  </w:style>
  <w:style w:type="paragraph" w:styleId="43">
    <w:name w:val="annotation subject"/>
    <w:basedOn w:val="15"/>
    <w:next w:val="15"/>
    <w:link w:val="66"/>
    <w:autoRedefine/>
    <w:semiHidden/>
    <w:qFormat/>
    <w:uiPriority w:val="0"/>
    <w:pPr>
      <w:adjustRightInd/>
      <w:spacing w:line="240" w:lineRule="auto"/>
      <w:jc w:val="left"/>
      <w:textAlignment w:val="auto"/>
    </w:pPr>
    <w:rPr>
      <w:bCs/>
      <w:kern w:val="2"/>
      <w:sz w:val="21"/>
    </w:rPr>
  </w:style>
  <w:style w:type="paragraph" w:styleId="44">
    <w:name w:val="Body Text First Indent"/>
    <w:basedOn w:val="17"/>
    <w:autoRedefine/>
    <w:qFormat/>
    <w:uiPriority w:val="0"/>
    <w:pPr>
      <w:spacing w:line="312" w:lineRule="auto"/>
      <w:ind w:firstLine="420"/>
    </w:pPr>
  </w:style>
  <w:style w:type="paragraph" w:styleId="45">
    <w:name w:val="Body Text First Indent 2"/>
    <w:basedOn w:val="18"/>
    <w:next w:val="1"/>
    <w:autoRedefine/>
    <w:qFormat/>
    <w:uiPriority w:val="0"/>
    <w:pPr>
      <w:ind w:firstLine="420" w:firstLineChars="200"/>
    </w:pPr>
  </w:style>
  <w:style w:type="table" w:styleId="47">
    <w:name w:val="Table Grid"/>
    <w:basedOn w:val="4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autoRedefine/>
    <w:qFormat/>
    <w:uiPriority w:val="0"/>
    <w:rPr>
      <w:rFonts w:ascii="Verdana" w:hAnsi="Verdana" w:eastAsia="仿宋_GB2312"/>
      <w:b/>
      <w:bCs/>
      <w:kern w:val="0"/>
      <w:sz w:val="24"/>
      <w:lang w:eastAsia="en-US"/>
    </w:rPr>
  </w:style>
  <w:style w:type="character" w:styleId="50">
    <w:name w:val="endnote reference"/>
    <w:basedOn w:val="48"/>
    <w:autoRedefine/>
    <w:qFormat/>
    <w:uiPriority w:val="0"/>
    <w:rPr>
      <w:rFonts w:ascii="Verdana" w:hAnsi="Verdana" w:eastAsia="仿宋_GB2312"/>
      <w:kern w:val="0"/>
      <w:sz w:val="24"/>
      <w:vertAlign w:val="superscript"/>
      <w:lang w:eastAsia="en-US"/>
    </w:rPr>
  </w:style>
  <w:style w:type="character" w:styleId="51">
    <w:name w:val="page number"/>
    <w:basedOn w:val="48"/>
    <w:autoRedefine/>
    <w:qFormat/>
    <w:uiPriority w:val="0"/>
    <w:rPr>
      <w:rFonts w:ascii="Verdana" w:hAnsi="Verdana" w:eastAsia="仿宋_GB2312"/>
      <w:kern w:val="0"/>
      <w:sz w:val="24"/>
      <w:lang w:eastAsia="en-US"/>
    </w:rPr>
  </w:style>
  <w:style w:type="character" w:styleId="52">
    <w:name w:val="FollowedHyperlink"/>
    <w:basedOn w:val="48"/>
    <w:autoRedefine/>
    <w:qFormat/>
    <w:uiPriority w:val="0"/>
    <w:rPr>
      <w:rFonts w:hint="eastAsia" w:ascii="微软雅黑" w:hAnsi="微软雅黑" w:eastAsia="微软雅黑" w:cs="微软雅黑"/>
      <w:color w:val="02396F"/>
      <w:kern w:val="0"/>
      <w:sz w:val="24"/>
      <w:u w:val="single"/>
      <w:lang w:eastAsia="en-US"/>
    </w:rPr>
  </w:style>
  <w:style w:type="character" w:styleId="53">
    <w:name w:val="Emphasis"/>
    <w:autoRedefine/>
    <w:qFormat/>
    <w:uiPriority w:val="0"/>
    <w:rPr>
      <w:i/>
      <w:iCs/>
    </w:rPr>
  </w:style>
  <w:style w:type="character" w:styleId="54">
    <w:name w:val="HTML Definition"/>
    <w:basedOn w:val="48"/>
    <w:autoRedefine/>
    <w:qFormat/>
    <w:uiPriority w:val="0"/>
    <w:rPr>
      <w:rFonts w:ascii="Verdana" w:hAnsi="Verdana" w:eastAsia="仿宋_GB2312"/>
      <w:kern w:val="0"/>
      <w:sz w:val="24"/>
      <w:lang w:eastAsia="en-US"/>
    </w:rPr>
  </w:style>
  <w:style w:type="character" w:styleId="55">
    <w:name w:val="HTML Typewriter"/>
    <w:basedOn w:val="48"/>
    <w:autoRedefine/>
    <w:qFormat/>
    <w:uiPriority w:val="0"/>
    <w:rPr>
      <w:rFonts w:hint="default" w:ascii="monospace" w:hAnsi="monospace" w:eastAsia="monospace" w:cs="monospace"/>
      <w:kern w:val="0"/>
      <w:sz w:val="20"/>
      <w:lang w:eastAsia="en-US"/>
    </w:rPr>
  </w:style>
  <w:style w:type="character" w:styleId="56">
    <w:name w:val="HTML Acronym"/>
    <w:basedOn w:val="48"/>
    <w:autoRedefine/>
    <w:qFormat/>
    <w:uiPriority w:val="0"/>
    <w:rPr>
      <w:rFonts w:ascii="Verdana" w:hAnsi="Verdana" w:eastAsia="仿宋_GB2312"/>
      <w:kern w:val="0"/>
      <w:sz w:val="24"/>
      <w:lang w:eastAsia="en-US"/>
    </w:rPr>
  </w:style>
  <w:style w:type="character" w:styleId="57">
    <w:name w:val="HTML Variable"/>
    <w:basedOn w:val="48"/>
    <w:autoRedefine/>
    <w:qFormat/>
    <w:uiPriority w:val="0"/>
    <w:rPr>
      <w:rFonts w:ascii="Verdana" w:hAnsi="Verdana" w:eastAsia="仿宋_GB2312"/>
      <w:kern w:val="0"/>
      <w:sz w:val="24"/>
      <w:lang w:eastAsia="en-US"/>
    </w:rPr>
  </w:style>
  <w:style w:type="character" w:styleId="58">
    <w:name w:val="Hyperlink"/>
    <w:basedOn w:val="48"/>
    <w:autoRedefine/>
    <w:qFormat/>
    <w:uiPriority w:val="99"/>
    <w:rPr>
      <w:rFonts w:ascii="微软雅黑" w:hAnsi="微软雅黑" w:eastAsia="微软雅黑" w:cs="微软雅黑"/>
      <w:color w:val="02396F"/>
      <w:kern w:val="0"/>
      <w:sz w:val="24"/>
      <w:u w:val="single"/>
      <w:lang w:eastAsia="en-US"/>
    </w:rPr>
  </w:style>
  <w:style w:type="character" w:styleId="59">
    <w:name w:val="HTML Code"/>
    <w:basedOn w:val="48"/>
    <w:autoRedefine/>
    <w:qFormat/>
    <w:uiPriority w:val="0"/>
    <w:rPr>
      <w:rFonts w:hint="default" w:ascii="monospace" w:hAnsi="monospace" w:eastAsia="monospace" w:cs="monospace"/>
      <w:kern w:val="0"/>
      <w:sz w:val="20"/>
      <w:lang w:eastAsia="en-US"/>
    </w:rPr>
  </w:style>
  <w:style w:type="character" w:styleId="60">
    <w:name w:val="HTML Cite"/>
    <w:basedOn w:val="48"/>
    <w:autoRedefine/>
    <w:qFormat/>
    <w:uiPriority w:val="0"/>
    <w:rPr>
      <w:rFonts w:ascii="Verdana" w:hAnsi="Verdana" w:eastAsia="仿宋_GB2312"/>
      <w:kern w:val="0"/>
      <w:sz w:val="24"/>
      <w:lang w:eastAsia="en-US"/>
    </w:rPr>
  </w:style>
  <w:style w:type="character" w:styleId="61">
    <w:name w:val="footnote reference"/>
    <w:basedOn w:val="48"/>
    <w:autoRedefine/>
    <w:qFormat/>
    <w:uiPriority w:val="0"/>
    <w:rPr>
      <w:rFonts w:ascii="Verdana" w:hAnsi="Verdana" w:eastAsia="仿宋_GB2312"/>
      <w:kern w:val="0"/>
      <w:sz w:val="24"/>
      <w:vertAlign w:val="superscript"/>
      <w:lang w:eastAsia="en-US"/>
    </w:rPr>
  </w:style>
  <w:style w:type="character" w:styleId="62">
    <w:name w:val="HTML Keyboard"/>
    <w:basedOn w:val="48"/>
    <w:autoRedefine/>
    <w:qFormat/>
    <w:uiPriority w:val="0"/>
    <w:rPr>
      <w:rFonts w:hint="default" w:ascii="monospace" w:hAnsi="monospace" w:eastAsia="monospace" w:cs="monospace"/>
      <w:kern w:val="0"/>
      <w:sz w:val="20"/>
      <w:lang w:eastAsia="en-US"/>
    </w:rPr>
  </w:style>
  <w:style w:type="character" w:styleId="63">
    <w:name w:val="HTML Sample"/>
    <w:basedOn w:val="48"/>
    <w:autoRedefine/>
    <w:qFormat/>
    <w:uiPriority w:val="0"/>
    <w:rPr>
      <w:rFonts w:ascii="monospace" w:hAnsi="monospace" w:eastAsia="monospace" w:cs="monospace"/>
      <w:kern w:val="0"/>
      <w:sz w:val="24"/>
      <w:lang w:eastAsia="en-US"/>
    </w:rPr>
  </w:style>
  <w:style w:type="character" w:customStyle="1" w:styleId="64">
    <w:name w:val="文档结构图 Char"/>
    <w:link w:val="14"/>
    <w:autoRedefine/>
    <w:qFormat/>
    <w:uiPriority w:val="0"/>
    <w:rPr>
      <w:rFonts w:eastAsia="宋体"/>
      <w:b/>
      <w:sz w:val="44"/>
      <w:lang w:val="en-US" w:eastAsia="zh-CN" w:bidi="ar-SA"/>
    </w:rPr>
  </w:style>
  <w:style w:type="character" w:customStyle="1" w:styleId="65">
    <w:name w:val="副标题 Char"/>
    <w:link w:val="34"/>
    <w:autoRedefine/>
    <w:qFormat/>
    <w:uiPriority w:val="0"/>
    <w:rPr>
      <w:rFonts w:ascii="Cambria" w:hAnsi="Cambria"/>
      <w:b/>
      <w:bCs/>
      <w:kern w:val="28"/>
      <w:sz w:val="32"/>
      <w:szCs w:val="32"/>
      <w:lang w:bidi="ar-SA"/>
    </w:rPr>
  </w:style>
  <w:style w:type="character" w:customStyle="1" w:styleId="66">
    <w:name w:val="批注主题 Char"/>
    <w:link w:val="43"/>
    <w:autoRedefine/>
    <w:qFormat/>
    <w:uiPriority w:val="0"/>
    <w:rPr>
      <w:rFonts w:eastAsia="宋体"/>
      <w:b/>
      <w:bCs/>
      <w:kern w:val="2"/>
      <w:sz w:val="21"/>
      <w:lang w:val="en-US" w:eastAsia="zh-CN" w:bidi="ar-SA"/>
    </w:rPr>
  </w:style>
  <w:style w:type="character" w:customStyle="1" w:styleId="67">
    <w:name w:val="s1"/>
    <w:basedOn w:val="48"/>
    <w:autoRedefine/>
    <w:qFormat/>
    <w:uiPriority w:val="0"/>
    <w:rPr>
      <w:rFonts w:ascii="Verdana" w:hAnsi="Verdana" w:eastAsia="仿宋_GB2312"/>
      <w:color w:val="118EFF"/>
      <w:kern w:val="0"/>
      <w:sz w:val="24"/>
      <w:lang w:eastAsia="en-US"/>
    </w:rPr>
  </w:style>
  <w:style w:type="character" w:customStyle="1" w:styleId="68">
    <w:name w:val="Intense Reference"/>
    <w:autoRedefine/>
    <w:qFormat/>
    <w:uiPriority w:val="0"/>
    <w:rPr>
      <w:b/>
      <w:bCs/>
      <w:smallCaps/>
      <w:color w:val="C0504D"/>
      <w:spacing w:val="5"/>
      <w:u w:val="single"/>
    </w:rPr>
  </w:style>
  <w:style w:type="character" w:customStyle="1" w:styleId="69">
    <w:name w:val="qxdate"/>
    <w:basedOn w:val="48"/>
    <w:autoRedefine/>
    <w:qFormat/>
    <w:uiPriority w:val="0"/>
    <w:rPr>
      <w:rFonts w:ascii="Verdana" w:hAnsi="Verdana" w:eastAsia="仿宋_GB2312"/>
      <w:color w:val="333333"/>
      <w:kern w:val="0"/>
      <w:sz w:val="18"/>
      <w:szCs w:val="18"/>
      <w:lang w:eastAsia="en-US"/>
    </w:rPr>
  </w:style>
  <w:style w:type="character" w:customStyle="1" w:styleId="70">
    <w:name w:val="正文缩进 Char"/>
    <w:basedOn w:val="48"/>
    <w:link w:val="12"/>
    <w:autoRedefine/>
    <w:qFormat/>
    <w:uiPriority w:val="0"/>
    <w:rPr>
      <w:rFonts w:ascii="Verdana" w:hAnsi="Verdana" w:eastAsia="宋体"/>
      <w:b/>
      <w:kern w:val="0"/>
      <w:sz w:val="44"/>
      <w:lang w:val="en-US" w:eastAsia="zh-CN"/>
    </w:rPr>
  </w:style>
  <w:style w:type="character" w:customStyle="1" w:styleId="71">
    <w:name w:val="prev2"/>
    <w:basedOn w:val="48"/>
    <w:autoRedefine/>
    <w:qFormat/>
    <w:uiPriority w:val="0"/>
    <w:rPr>
      <w:rFonts w:ascii="Verdana" w:hAnsi="Verdana" w:eastAsia="仿宋_GB2312"/>
      <w:color w:val="888888"/>
      <w:kern w:val="0"/>
      <w:sz w:val="24"/>
      <w:lang w:eastAsia="en-US"/>
    </w:rPr>
  </w:style>
  <w:style w:type="character" w:customStyle="1" w:styleId="72">
    <w:name w:val="页眉 Char"/>
    <w:link w:val="31"/>
    <w:autoRedefine/>
    <w:qFormat/>
    <w:uiPriority w:val="0"/>
    <w:rPr>
      <w:rFonts w:eastAsia="宋体"/>
      <w:kern w:val="2"/>
      <w:sz w:val="18"/>
      <w:lang w:val="en-US" w:eastAsia="zh-CN" w:bidi="ar-SA"/>
    </w:rPr>
  </w:style>
  <w:style w:type="character" w:customStyle="1" w:styleId="73">
    <w:name w:val="引用 Char"/>
    <w:link w:val="74"/>
    <w:autoRedefine/>
    <w:qFormat/>
    <w:uiPriority w:val="0"/>
    <w:rPr>
      <w:i/>
      <w:iCs/>
      <w:color w:val="000000"/>
      <w:kern w:val="2"/>
      <w:sz w:val="21"/>
      <w:szCs w:val="22"/>
      <w:lang w:bidi="ar-SA"/>
    </w:rPr>
  </w:style>
  <w:style w:type="paragraph" w:styleId="74">
    <w:name w:val="Quote"/>
    <w:basedOn w:val="1"/>
    <w:next w:val="1"/>
    <w:link w:val="73"/>
    <w:autoRedefine/>
    <w:qFormat/>
    <w:uiPriority w:val="0"/>
    <w:rPr>
      <w:i/>
      <w:iCs/>
      <w:color w:val="000000"/>
      <w:szCs w:val="22"/>
    </w:rPr>
  </w:style>
  <w:style w:type="character" w:customStyle="1" w:styleId="75">
    <w:name w:val="日期 Char1"/>
    <w:autoRedefine/>
    <w:qFormat/>
    <w:uiPriority w:val="0"/>
    <w:rPr>
      <w:kern w:val="2"/>
      <w:sz w:val="21"/>
      <w:szCs w:val="22"/>
    </w:rPr>
  </w:style>
  <w:style w:type="character" w:customStyle="1" w:styleId="76">
    <w:name w:val="next1"/>
    <w:basedOn w:val="48"/>
    <w:autoRedefine/>
    <w:qFormat/>
    <w:uiPriority w:val="0"/>
    <w:rPr>
      <w:rFonts w:ascii="Verdana" w:hAnsi="Verdana" w:eastAsia="仿宋_GB2312"/>
      <w:color w:val="888888"/>
      <w:kern w:val="0"/>
      <w:sz w:val="24"/>
      <w:lang w:eastAsia="en-US"/>
    </w:rPr>
  </w:style>
  <w:style w:type="character" w:customStyle="1" w:styleId="77">
    <w:name w:val="textcontents"/>
    <w:autoRedefine/>
    <w:qFormat/>
    <w:uiPriority w:val="0"/>
    <w:rPr>
      <w:rFonts w:cs="Times New Roman"/>
    </w:rPr>
  </w:style>
  <w:style w:type="character" w:customStyle="1" w:styleId="78">
    <w:name w:val="标题 5 Char"/>
    <w:link w:val="6"/>
    <w:autoRedefine/>
    <w:qFormat/>
    <w:uiPriority w:val="0"/>
    <w:rPr>
      <w:rFonts w:ascii="宋体" w:hAnsi="宋体" w:eastAsia="宋体"/>
      <w:sz w:val="24"/>
      <w:lang w:val="en-US" w:eastAsia="zh-CN" w:bidi="ar-SA"/>
    </w:rPr>
  </w:style>
  <w:style w:type="character" w:customStyle="1" w:styleId="79">
    <w:name w:val="prev"/>
    <w:basedOn w:val="48"/>
    <w:autoRedefine/>
    <w:qFormat/>
    <w:uiPriority w:val="0"/>
    <w:rPr>
      <w:rFonts w:hint="eastAsia" w:ascii="微软雅黑" w:hAnsi="微软雅黑" w:eastAsia="微软雅黑" w:cs="微软雅黑"/>
      <w:kern w:val="0"/>
      <w:sz w:val="21"/>
      <w:szCs w:val="21"/>
      <w:lang w:eastAsia="en-US"/>
    </w:rPr>
  </w:style>
  <w:style w:type="character" w:customStyle="1" w:styleId="80">
    <w:name w:val="c-icon28"/>
    <w:basedOn w:val="48"/>
    <w:autoRedefine/>
    <w:qFormat/>
    <w:uiPriority w:val="0"/>
    <w:rPr>
      <w:rFonts w:ascii="Verdana" w:hAnsi="Verdana" w:eastAsia="仿宋_GB2312"/>
      <w:kern w:val="0"/>
      <w:sz w:val="24"/>
      <w:lang w:eastAsia="en-US"/>
    </w:rPr>
  </w:style>
  <w:style w:type="character" w:customStyle="1" w:styleId="81">
    <w:name w:val="first-child"/>
    <w:basedOn w:val="48"/>
    <w:autoRedefine/>
    <w:qFormat/>
    <w:uiPriority w:val="0"/>
    <w:rPr>
      <w:rFonts w:ascii="Verdana" w:hAnsi="Verdana" w:eastAsia="仿宋_GB2312"/>
      <w:kern w:val="0"/>
      <w:sz w:val="24"/>
      <w:lang w:eastAsia="en-US"/>
    </w:rPr>
  </w:style>
  <w:style w:type="character" w:customStyle="1" w:styleId="82">
    <w:name w:val="Char Char4"/>
    <w:autoRedefine/>
    <w:qFormat/>
    <w:uiPriority w:val="0"/>
    <w:rPr>
      <w:rFonts w:eastAsia="楷体_GB2312"/>
      <w:kern w:val="2"/>
      <w:sz w:val="30"/>
      <w:lang w:val="en-US" w:eastAsia="zh-CN" w:bidi="ar-SA"/>
    </w:rPr>
  </w:style>
  <w:style w:type="character" w:customStyle="1" w:styleId="83">
    <w:name w:val="next2"/>
    <w:basedOn w:val="48"/>
    <w:autoRedefine/>
    <w:qFormat/>
    <w:uiPriority w:val="0"/>
    <w:rPr>
      <w:rFonts w:ascii="Verdana" w:hAnsi="Verdana" w:eastAsia="仿宋_GB2312"/>
      <w:color w:val="888888"/>
      <w:kern w:val="0"/>
      <w:sz w:val="24"/>
      <w:lang w:eastAsia="en-US"/>
    </w:rPr>
  </w:style>
  <w:style w:type="character" w:customStyle="1" w:styleId="84">
    <w:name w:val="纯文本 Char Char Char Char"/>
    <w:basedOn w:val="48"/>
    <w:autoRedefine/>
    <w:qFormat/>
    <w:uiPriority w:val="0"/>
    <w:rPr>
      <w:rFonts w:ascii="宋体" w:hAnsi="Courier New" w:eastAsia="宋体"/>
      <w:kern w:val="2"/>
      <w:sz w:val="21"/>
      <w:lang w:val="en-US" w:eastAsia="zh-CN"/>
    </w:rPr>
  </w:style>
  <w:style w:type="character" w:customStyle="1" w:styleId="85">
    <w:name w:val="文档结构图 Char1"/>
    <w:autoRedefine/>
    <w:qFormat/>
    <w:uiPriority w:val="0"/>
    <w:rPr>
      <w:rFonts w:ascii="宋体"/>
      <w:kern w:val="2"/>
      <w:sz w:val="18"/>
      <w:szCs w:val="18"/>
    </w:rPr>
  </w:style>
  <w:style w:type="character" w:customStyle="1" w:styleId="86">
    <w:name w:val="批注文字 Char"/>
    <w:basedOn w:val="48"/>
    <w:link w:val="15"/>
    <w:autoRedefine/>
    <w:qFormat/>
    <w:uiPriority w:val="0"/>
    <w:rPr>
      <w:rFonts w:ascii="Verdana" w:hAnsi="Verdana" w:eastAsia="宋体"/>
      <w:b/>
      <w:kern w:val="0"/>
      <w:sz w:val="24"/>
      <w:lang w:val="en-US" w:eastAsia="zh-CN" w:bidi="ar-SA"/>
    </w:rPr>
  </w:style>
  <w:style w:type="character" w:customStyle="1" w:styleId="87">
    <w:name w:val="正文文本缩进 Char"/>
    <w:basedOn w:val="48"/>
    <w:link w:val="18"/>
    <w:autoRedefine/>
    <w:qFormat/>
    <w:uiPriority w:val="0"/>
    <w:rPr>
      <w:rFonts w:ascii="Verdana" w:hAnsi="Verdana" w:eastAsia="宋体"/>
      <w:kern w:val="2"/>
      <w:sz w:val="21"/>
      <w:lang w:val="en-US" w:eastAsia="zh-CN"/>
    </w:rPr>
  </w:style>
  <w:style w:type="character" w:customStyle="1" w:styleId="88">
    <w:name w:val="hover22"/>
    <w:basedOn w:val="48"/>
    <w:autoRedefine/>
    <w:qFormat/>
    <w:uiPriority w:val="0"/>
    <w:rPr>
      <w:rFonts w:ascii="Verdana" w:hAnsi="Verdana" w:eastAsia="仿宋_GB2312"/>
      <w:kern w:val="0"/>
      <w:sz w:val="24"/>
      <w:lang w:eastAsia="en-US"/>
    </w:rPr>
  </w:style>
  <w:style w:type="character" w:customStyle="1" w:styleId="89">
    <w:name w:val="批注主题 Char1"/>
    <w:autoRedefine/>
    <w:qFormat/>
    <w:uiPriority w:val="0"/>
    <w:rPr>
      <w:b/>
      <w:bCs/>
      <w:kern w:val="2"/>
      <w:sz w:val="21"/>
      <w:szCs w:val="22"/>
    </w:rPr>
  </w:style>
  <w:style w:type="character" w:customStyle="1" w:styleId="90">
    <w:name w:val="Intense Emphasis"/>
    <w:autoRedefine/>
    <w:qFormat/>
    <w:uiPriority w:val="0"/>
    <w:rPr>
      <w:b/>
      <w:bCs/>
      <w:i/>
      <w:iCs/>
      <w:color w:val="4F81BD"/>
    </w:rPr>
  </w:style>
  <w:style w:type="character" w:customStyle="1" w:styleId="91">
    <w:name w:val="明显引用 Char"/>
    <w:link w:val="92"/>
    <w:autoRedefine/>
    <w:qFormat/>
    <w:uiPriority w:val="0"/>
    <w:rPr>
      <w:b/>
      <w:bCs/>
      <w:i/>
      <w:iCs/>
      <w:color w:val="4F81BD"/>
      <w:kern w:val="2"/>
      <w:sz w:val="21"/>
      <w:szCs w:val="22"/>
      <w:lang w:bidi="ar-SA"/>
    </w:rPr>
  </w:style>
  <w:style w:type="paragraph" w:styleId="92">
    <w:name w:val="Intense Quote"/>
    <w:basedOn w:val="1"/>
    <w:next w:val="1"/>
    <w:link w:val="91"/>
    <w:autoRedefine/>
    <w:qFormat/>
    <w:uiPriority w:val="0"/>
    <w:pPr>
      <w:pBdr>
        <w:bottom w:val="single" w:color="4F81BD" w:sz="4" w:space="4"/>
      </w:pBdr>
      <w:spacing w:before="200" w:after="280"/>
      <w:ind w:left="936" w:right="936"/>
    </w:pPr>
    <w:rPr>
      <w:b/>
      <w:bCs/>
      <w:i/>
      <w:iCs/>
      <w:color w:val="4F81BD"/>
      <w:szCs w:val="22"/>
    </w:rPr>
  </w:style>
  <w:style w:type="character" w:customStyle="1" w:styleId="93">
    <w:name w:val="标题 6 Char"/>
    <w:link w:val="7"/>
    <w:autoRedefine/>
    <w:qFormat/>
    <w:uiPriority w:val="0"/>
    <w:rPr>
      <w:rFonts w:ascii="Arial" w:hAnsi="Arial" w:eastAsia="黑体"/>
      <w:sz w:val="24"/>
      <w:lang w:val="en-US" w:eastAsia="zh-CN" w:bidi="ar-SA"/>
    </w:rPr>
  </w:style>
  <w:style w:type="character" w:customStyle="1" w:styleId="94">
    <w:name w:val="标题5 Char Char"/>
    <w:link w:val="95"/>
    <w:autoRedefine/>
    <w:qFormat/>
    <w:uiPriority w:val="0"/>
    <w:rPr>
      <w:rFonts w:ascii="Arial" w:hAnsi="Arial"/>
      <w:b/>
      <w:bCs/>
      <w:sz w:val="24"/>
      <w:szCs w:val="32"/>
      <w:lang w:bidi="ar-SA"/>
    </w:rPr>
  </w:style>
  <w:style w:type="paragraph" w:customStyle="1" w:styleId="95">
    <w:name w:val="标题5"/>
    <w:basedOn w:val="4"/>
    <w:link w:val="94"/>
    <w:autoRedefine/>
    <w:qFormat/>
    <w:uiPriority w:val="0"/>
    <w:rPr>
      <w:rFonts w:ascii="Arial" w:hAnsi="Arial"/>
      <w:bCs/>
      <w:kern w:val="0"/>
      <w:sz w:val="24"/>
      <w:szCs w:val="32"/>
    </w:rPr>
  </w:style>
  <w:style w:type="character" w:customStyle="1" w:styleId="96">
    <w:name w:val="Char Char Char Char Char"/>
    <w:basedOn w:val="48"/>
    <w:autoRedefine/>
    <w:qFormat/>
    <w:uiPriority w:val="0"/>
    <w:rPr>
      <w:rFonts w:ascii="宋体" w:hAnsi="Courier New" w:eastAsia="宋体"/>
      <w:kern w:val="2"/>
      <w:sz w:val="21"/>
      <w:lang w:val="en-US" w:eastAsia="zh-CN"/>
    </w:rPr>
  </w:style>
  <w:style w:type="character" w:customStyle="1" w:styleId="97">
    <w:name w:val="标题 1 Char"/>
    <w:link w:val="2"/>
    <w:autoRedefine/>
    <w:qFormat/>
    <w:uiPriority w:val="0"/>
    <w:rPr>
      <w:rFonts w:ascii="Times New Roman" w:hAnsi="Times New Roman" w:eastAsia="宋体"/>
      <w:b/>
      <w:kern w:val="44"/>
      <w:sz w:val="44"/>
      <w:lang w:val="en-US" w:eastAsia="zh-CN" w:bidi="ar-SA"/>
    </w:rPr>
  </w:style>
  <w:style w:type="character" w:customStyle="1" w:styleId="98">
    <w:name w:val="标题 9 Char"/>
    <w:link w:val="10"/>
    <w:autoRedefine/>
    <w:qFormat/>
    <w:uiPriority w:val="0"/>
    <w:rPr>
      <w:rFonts w:ascii="Arial" w:hAnsi="Arial" w:eastAsia="黑体"/>
      <w:b/>
      <w:sz w:val="21"/>
      <w:lang w:val="en-US" w:eastAsia="zh-CN" w:bidi="ar-SA"/>
    </w:rPr>
  </w:style>
  <w:style w:type="character" w:customStyle="1" w:styleId="99">
    <w:name w:val="Para head"/>
    <w:basedOn w:val="48"/>
    <w:autoRedefine/>
    <w:qFormat/>
    <w:uiPriority w:val="0"/>
    <w:rPr>
      <w:rFonts w:ascii="Arial" w:hAnsi="Arial" w:eastAsia="Times New Roman"/>
      <w:kern w:val="0"/>
      <w:sz w:val="20"/>
      <w:lang w:eastAsia="en-US"/>
    </w:rPr>
  </w:style>
  <w:style w:type="character" w:customStyle="1" w:styleId="100">
    <w:name w:val="hover23"/>
    <w:basedOn w:val="48"/>
    <w:autoRedefine/>
    <w:qFormat/>
    <w:uiPriority w:val="0"/>
    <w:rPr>
      <w:rFonts w:ascii="Verdana" w:hAnsi="Verdana" w:eastAsia="仿宋_GB2312"/>
      <w:color w:val="315EFB"/>
      <w:kern w:val="0"/>
      <w:sz w:val="24"/>
      <w:lang w:eastAsia="en-US"/>
    </w:rPr>
  </w:style>
  <w:style w:type="character" w:customStyle="1" w:styleId="101">
    <w:name w:val="批注文字 Char Char"/>
    <w:autoRedefine/>
    <w:qFormat/>
    <w:uiPriority w:val="0"/>
    <w:rPr>
      <w:rFonts w:ascii="宋体" w:hAnsi="Times New Roman" w:eastAsia="宋体" w:cs="Times New Roman"/>
      <w:sz w:val="28"/>
      <w:szCs w:val="20"/>
    </w:rPr>
  </w:style>
  <w:style w:type="character" w:customStyle="1" w:styleId="102">
    <w:name w:val="g1481"/>
    <w:basedOn w:val="48"/>
    <w:autoRedefine/>
    <w:qFormat/>
    <w:uiPriority w:val="0"/>
    <w:rPr>
      <w:rFonts w:ascii="Verdana" w:hAnsi="Verdana" w:eastAsia="仿宋_GB2312"/>
      <w:color w:val="5F897B"/>
      <w:kern w:val="0"/>
      <w:sz w:val="22"/>
      <w:lang w:eastAsia="en-US"/>
    </w:rPr>
  </w:style>
  <w:style w:type="character" w:customStyle="1" w:styleId="103">
    <w:name w:val="cfdate"/>
    <w:basedOn w:val="48"/>
    <w:autoRedefine/>
    <w:qFormat/>
    <w:uiPriority w:val="0"/>
    <w:rPr>
      <w:rFonts w:ascii="Verdana" w:hAnsi="Verdana" w:eastAsia="仿宋_GB2312"/>
      <w:color w:val="333333"/>
      <w:kern w:val="0"/>
      <w:sz w:val="18"/>
      <w:szCs w:val="18"/>
      <w:lang w:eastAsia="en-US"/>
    </w:rPr>
  </w:style>
  <w:style w:type="character" w:customStyle="1" w:styleId="104">
    <w:name w:val="标题 7 Char"/>
    <w:link w:val="8"/>
    <w:autoRedefine/>
    <w:qFormat/>
    <w:uiPriority w:val="0"/>
    <w:rPr>
      <w:rFonts w:eastAsia="宋体"/>
      <w:sz w:val="24"/>
      <w:lang w:val="en-US" w:eastAsia="zh-CN" w:bidi="ar-SA"/>
    </w:rPr>
  </w:style>
  <w:style w:type="character" w:customStyle="1" w:styleId="105">
    <w:name w:val="redfilenumber"/>
    <w:basedOn w:val="48"/>
    <w:autoRedefine/>
    <w:qFormat/>
    <w:uiPriority w:val="0"/>
    <w:rPr>
      <w:rFonts w:ascii="Verdana" w:hAnsi="Verdana" w:eastAsia="仿宋_GB2312"/>
      <w:color w:val="BA2636"/>
      <w:kern w:val="0"/>
      <w:sz w:val="18"/>
      <w:szCs w:val="18"/>
      <w:lang w:eastAsia="en-US"/>
    </w:rPr>
  </w:style>
  <w:style w:type="character" w:customStyle="1" w:styleId="106">
    <w:name w:val="displayarti"/>
    <w:basedOn w:val="48"/>
    <w:autoRedefine/>
    <w:qFormat/>
    <w:uiPriority w:val="0"/>
    <w:rPr>
      <w:rFonts w:ascii="Verdana" w:hAnsi="Verdana" w:eastAsia="仿宋_GB2312"/>
      <w:color w:val="FFFFFF"/>
      <w:kern w:val="0"/>
      <w:sz w:val="24"/>
      <w:shd w:val="clear" w:color="auto" w:fill="A00000"/>
      <w:lang w:eastAsia="en-US"/>
    </w:rPr>
  </w:style>
  <w:style w:type="character" w:customStyle="1" w:styleId="107">
    <w:name w:val="批注框文本 Char1"/>
    <w:autoRedefine/>
    <w:qFormat/>
    <w:uiPriority w:val="0"/>
    <w:rPr>
      <w:kern w:val="2"/>
      <w:sz w:val="18"/>
      <w:szCs w:val="18"/>
    </w:rPr>
  </w:style>
  <w:style w:type="character" w:customStyle="1" w:styleId="108">
    <w:name w:val="prev3"/>
    <w:basedOn w:val="48"/>
    <w:autoRedefine/>
    <w:qFormat/>
    <w:uiPriority w:val="0"/>
    <w:rPr>
      <w:rFonts w:ascii="微软雅黑" w:hAnsi="微软雅黑" w:eastAsia="微软雅黑" w:cs="微软雅黑"/>
      <w:kern w:val="0"/>
      <w:sz w:val="21"/>
      <w:szCs w:val="21"/>
      <w:lang w:eastAsia="en-US"/>
    </w:rPr>
  </w:style>
  <w:style w:type="character" w:customStyle="1" w:styleId="109">
    <w:name w:val="页脚 Char"/>
    <w:link w:val="30"/>
    <w:autoRedefine/>
    <w:qFormat/>
    <w:uiPriority w:val="0"/>
    <w:rPr>
      <w:rFonts w:eastAsia="宋体"/>
      <w:kern w:val="2"/>
      <w:sz w:val="18"/>
      <w:lang w:val="en-US" w:eastAsia="zh-CN" w:bidi="ar-SA"/>
    </w:rPr>
  </w:style>
  <w:style w:type="character" w:customStyle="1" w:styleId="110">
    <w:name w:val="next3"/>
    <w:basedOn w:val="48"/>
    <w:autoRedefine/>
    <w:qFormat/>
    <w:uiPriority w:val="0"/>
    <w:rPr>
      <w:rFonts w:hint="eastAsia" w:ascii="微软雅黑" w:hAnsi="微软雅黑" w:eastAsia="微软雅黑" w:cs="微软雅黑"/>
      <w:kern w:val="0"/>
      <w:sz w:val="21"/>
      <w:szCs w:val="21"/>
      <w:lang w:eastAsia="en-US"/>
    </w:rPr>
  </w:style>
  <w:style w:type="character" w:customStyle="1" w:styleId="111">
    <w:name w:val="next"/>
    <w:basedOn w:val="48"/>
    <w:autoRedefine/>
    <w:qFormat/>
    <w:uiPriority w:val="0"/>
    <w:rPr>
      <w:rFonts w:ascii="微软雅黑" w:hAnsi="微软雅黑" w:eastAsia="微软雅黑" w:cs="微软雅黑"/>
      <w:kern w:val="0"/>
      <w:sz w:val="21"/>
      <w:szCs w:val="21"/>
      <w:lang w:eastAsia="en-US"/>
    </w:rPr>
  </w:style>
  <w:style w:type="character" w:customStyle="1" w:styleId="112">
    <w:name w:val="redfilefwwh"/>
    <w:basedOn w:val="48"/>
    <w:autoRedefine/>
    <w:qFormat/>
    <w:uiPriority w:val="0"/>
    <w:rPr>
      <w:rFonts w:ascii="Verdana" w:hAnsi="Verdana" w:eastAsia="仿宋_GB2312"/>
      <w:color w:val="BA2636"/>
      <w:kern w:val="0"/>
      <w:sz w:val="18"/>
      <w:szCs w:val="18"/>
      <w:lang w:eastAsia="en-US"/>
    </w:rPr>
  </w:style>
  <w:style w:type="character" w:customStyle="1" w:styleId="113">
    <w:name w:val="标题 2 Char"/>
    <w:link w:val="3"/>
    <w:autoRedefine/>
    <w:qFormat/>
    <w:uiPriority w:val="0"/>
    <w:rPr>
      <w:rFonts w:ascii="Arial" w:hAnsi="Arial" w:eastAsia="黑体"/>
      <w:sz w:val="44"/>
      <w:lang w:val="en-US" w:eastAsia="zh-CN" w:bidi="ar-SA"/>
    </w:rPr>
  </w:style>
  <w:style w:type="character" w:customStyle="1" w:styleId="114">
    <w:name w:val="批注框文本 Char"/>
    <w:link w:val="29"/>
    <w:autoRedefine/>
    <w:qFormat/>
    <w:uiPriority w:val="0"/>
    <w:rPr>
      <w:rFonts w:eastAsia="宋体"/>
      <w:kern w:val="2"/>
      <w:sz w:val="18"/>
      <w:lang w:val="en-US" w:eastAsia="zh-CN" w:bidi="ar-SA"/>
    </w:rPr>
  </w:style>
  <w:style w:type="character" w:customStyle="1" w:styleId="115">
    <w:name w:val="纯文本 Char"/>
    <w:basedOn w:val="48"/>
    <w:link w:val="24"/>
    <w:autoRedefine/>
    <w:qFormat/>
    <w:uiPriority w:val="0"/>
    <w:rPr>
      <w:rFonts w:ascii="宋体" w:hAnsi="Courier New" w:eastAsia="宋体"/>
      <w:kern w:val="2"/>
      <w:sz w:val="21"/>
      <w:lang w:val="en-US" w:eastAsia="zh-CN"/>
    </w:rPr>
  </w:style>
  <w:style w:type="character" w:customStyle="1" w:styleId="116">
    <w:name w:val="标题 8 Char"/>
    <w:link w:val="9"/>
    <w:autoRedefine/>
    <w:qFormat/>
    <w:uiPriority w:val="0"/>
    <w:rPr>
      <w:rFonts w:ascii="Arial" w:hAnsi="Arial" w:eastAsia="黑体"/>
      <w:b/>
      <w:sz w:val="24"/>
      <w:lang w:val="en-US" w:eastAsia="zh-CN" w:bidi="ar-SA"/>
    </w:rPr>
  </w:style>
  <w:style w:type="character" w:customStyle="1" w:styleId="117">
    <w:name w:val="标题 3 Char"/>
    <w:basedOn w:val="48"/>
    <w:link w:val="4"/>
    <w:autoRedefine/>
    <w:qFormat/>
    <w:uiPriority w:val="0"/>
    <w:rPr>
      <w:rFonts w:ascii="Verdana" w:hAnsi="Verdana" w:eastAsia="宋体"/>
      <w:b/>
      <w:kern w:val="2"/>
      <w:sz w:val="32"/>
      <w:lang w:val="en-US" w:eastAsia="zh-CN"/>
    </w:rPr>
  </w:style>
  <w:style w:type="character" w:customStyle="1" w:styleId="118">
    <w:name w:val="正文文本 Char"/>
    <w:basedOn w:val="48"/>
    <w:link w:val="17"/>
    <w:autoRedefine/>
    <w:qFormat/>
    <w:uiPriority w:val="0"/>
    <w:rPr>
      <w:rFonts w:ascii="Verdana" w:hAnsi="Verdana" w:eastAsia="楷体_GB2312"/>
      <w:kern w:val="2"/>
      <w:sz w:val="30"/>
      <w:lang w:val="en-US" w:eastAsia="zh-CN"/>
    </w:rPr>
  </w:style>
  <w:style w:type="character" w:customStyle="1" w:styleId="119">
    <w:name w:val="正文文本 Char1"/>
    <w:autoRedefine/>
    <w:qFormat/>
    <w:uiPriority w:val="0"/>
    <w:rPr>
      <w:kern w:val="2"/>
      <w:sz w:val="21"/>
      <w:szCs w:val="22"/>
    </w:rPr>
  </w:style>
  <w:style w:type="character" w:customStyle="1" w:styleId="120">
    <w:name w:val="标题4 Char Char"/>
    <w:link w:val="121"/>
    <w:autoRedefine/>
    <w:qFormat/>
    <w:uiPriority w:val="0"/>
    <w:rPr>
      <w:rFonts w:ascii="Arial" w:hAnsi="Arial"/>
      <w:b/>
      <w:bCs/>
      <w:sz w:val="24"/>
      <w:szCs w:val="32"/>
      <w:lang w:bidi="ar-SA"/>
    </w:rPr>
  </w:style>
  <w:style w:type="paragraph" w:customStyle="1" w:styleId="121">
    <w:name w:val="标题4"/>
    <w:basedOn w:val="3"/>
    <w:next w:val="21"/>
    <w:link w:val="120"/>
    <w:autoRedefine/>
    <w:qFormat/>
    <w:uiPriority w:val="0"/>
    <w:pPr>
      <w:widowControl w:val="0"/>
      <w:jc w:val="both"/>
    </w:pPr>
    <w:rPr>
      <w:rFonts w:eastAsia="宋体"/>
      <w:b/>
      <w:bCs/>
      <w:sz w:val="24"/>
      <w:szCs w:val="32"/>
    </w:rPr>
  </w:style>
  <w:style w:type="character" w:customStyle="1" w:styleId="122">
    <w:name w:val="layui-layer-tabnow"/>
    <w:basedOn w:val="48"/>
    <w:autoRedefine/>
    <w:qFormat/>
    <w:uiPriority w:val="0"/>
    <w:rPr>
      <w:rFonts w:ascii="Verdana" w:hAnsi="Verdana" w:eastAsia="仿宋_GB2312"/>
      <w:kern w:val="0"/>
      <w:sz w:val="24"/>
      <w:bdr w:val="single" w:color="CCCCCC" w:sz="6" w:space="0"/>
      <w:shd w:val="clear" w:color="auto" w:fill="FFFFFF"/>
      <w:lang w:eastAsia="en-US"/>
    </w:rPr>
  </w:style>
  <w:style w:type="character" w:customStyle="1" w:styleId="123">
    <w:name w:val="标题 4 Char"/>
    <w:link w:val="5"/>
    <w:autoRedefine/>
    <w:qFormat/>
    <w:uiPriority w:val="0"/>
    <w:rPr>
      <w:rFonts w:ascii="Arial" w:hAnsi="Arial" w:eastAsia="黑体"/>
      <w:b/>
      <w:sz w:val="28"/>
      <w:lang w:val="en-US" w:eastAsia="zh-CN" w:bidi="ar-SA"/>
    </w:rPr>
  </w:style>
  <w:style w:type="character" w:customStyle="1" w:styleId="124">
    <w:name w:val="Char Char9"/>
    <w:autoRedefine/>
    <w:qFormat/>
    <w:uiPriority w:val="0"/>
    <w:rPr>
      <w:kern w:val="2"/>
      <w:sz w:val="21"/>
      <w:szCs w:val="22"/>
      <w:lang w:bidi="ar-SA"/>
    </w:rPr>
  </w:style>
  <w:style w:type="character" w:customStyle="1" w:styleId="125">
    <w:name w:val="标题 Char"/>
    <w:link w:val="42"/>
    <w:autoRedefine/>
    <w:qFormat/>
    <w:uiPriority w:val="0"/>
    <w:rPr>
      <w:rFonts w:ascii="Arial" w:hAnsi="Arial" w:eastAsia="宋体"/>
      <w:b/>
      <w:sz w:val="44"/>
      <w:lang w:val="en-US" w:eastAsia="zh-CN" w:bidi="ar-SA"/>
    </w:rPr>
  </w:style>
  <w:style w:type="character" w:customStyle="1" w:styleId="126">
    <w:name w:val="gjfg"/>
    <w:basedOn w:val="48"/>
    <w:autoRedefine/>
    <w:qFormat/>
    <w:uiPriority w:val="0"/>
    <w:rPr>
      <w:rFonts w:ascii="Verdana" w:hAnsi="Verdana" w:eastAsia="仿宋_GB2312"/>
      <w:kern w:val="0"/>
      <w:sz w:val="24"/>
      <w:lang w:eastAsia="en-US"/>
    </w:rPr>
  </w:style>
  <w:style w:type="character" w:customStyle="1" w:styleId="127">
    <w:name w:val="Subtle Reference"/>
    <w:autoRedefine/>
    <w:qFormat/>
    <w:uiPriority w:val="0"/>
    <w:rPr>
      <w:smallCaps/>
      <w:color w:val="C0504D"/>
      <w:u w:val="single"/>
    </w:rPr>
  </w:style>
  <w:style w:type="character" w:customStyle="1" w:styleId="128">
    <w:name w:val="Book Title"/>
    <w:autoRedefine/>
    <w:qFormat/>
    <w:uiPriority w:val="0"/>
    <w:rPr>
      <w:b/>
      <w:bCs/>
      <w:smallCaps/>
      <w:spacing w:val="5"/>
    </w:rPr>
  </w:style>
  <w:style w:type="character" w:customStyle="1" w:styleId="129">
    <w:name w:val="ewb-state"/>
    <w:basedOn w:val="48"/>
    <w:autoRedefine/>
    <w:qFormat/>
    <w:uiPriority w:val="0"/>
    <w:rPr>
      <w:rFonts w:ascii="Verdana" w:hAnsi="Verdana" w:eastAsia="仿宋_GB2312"/>
      <w:color w:val="FFFFFF"/>
      <w:kern w:val="0"/>
      <w:sz w:val="21"/>
      <w:szCs w:val="21"/>
      <w:lang w:eastAsia="en-US"/>
    </w:rPr>
  </w:style>
  <w:style w:type="character" w:customStyle="1" w:styleId="130">
    <w:name w:val="prev1"/>
    <w:basedOn w:val="48"/>
    <w:autoRedefine/>
    <w:qFormat/>
    <w:uiPriority w:val="0"/>
    <w:rPr>
      <w:rFonts w:ascii="Verdana" w:hAnsi="Verdana" w:eastAsia="仿宋_GB2312"/>
      <w:color w:val="888888"/>
      <w:kern w:val="0"/>
      <w:sz w:val="24"/>
      <w:lang w:eastAsia="en-US"/>
    </w:rPr>
  </w:style>
  <w:style w:type="character" w:customStyle="1" w:styleId="131">
    <w:name w:val="Subtle Emphasis"/>
    <w:autoRedefine/>
    <w:qFormat/>
    <w:uiPriority w:val="0"/>
    <w:rPr>
      <w:i/>
      <w:iCs/>
      <w:color w:val="808080"/>
    </w:rPr>
  </w:style>
  <w:style w:type="character" w:customStyle="1" w:styleId="132">
    <w:name w:val="Char Char16"/>
    <w:autoRedefine/>
    <w:qFormat/>
    <w:uiPriority w:val="0"/>
    <w:rPr>
      <w:rFonts w:eastAsia="宋体"/>
      <w:b/>
      <w:kern w:val="2"/>
      <w:sz w:val="32"/>
      <w:lang w:val="en-US" w:eastAsia="zh-CN" w:bidi="ar-SA"/>
    </w:rPr>
  </w:style>
  <w:style w:type="paragraph" w:styleId="133">
    <w:name w:val="List Paragraph"/>
    <w:basedOn w:val="1"/>
    <w:autoRedefine/>
    <w:qFormat/>
    <w:uiPriority w:val="0"/>
    <w:pPr>
      <w:ind w:firstLine="420" w:firstLineChars="200"/>
    </w:pPr>
    <w:rPr>
      <w:sz w:val="36"/>
    </w:rPr>
  </w:style>
  <w:style w:type="paragraph" w:customStyle="1" w:styleId="134">
    <w:name w:val="样式 标题 3 + (中文) 黑体 小四 非加粗 段前: 7.8 磅 段后: 0 磅 行距: 固定值 20 磅"/>
    <w:basedOn w:val="4"/>
    <w:autoRedefine/>
    <w:qFormat/>
    <w:uiPriority w:val="0"/>
    <w:pPr>
      <w:spacing w:before="0" w:after="0" w:line="400" w:lineRule="exact"/>
    </w:pPr>
    <w:rPr>
      <w:rFonts w:eastAsia="黑体" w:cs="宋体"/>
      <w:b w:val="0"/>
      <w:sz w:val="24"/>
    </w:rPr>
  </w:style>
  <w:style w:type="paragraph" w:customStyle="1" w:styleId="135">
    <w:name w:val="1正文"/>
    <w:basedOn w:val="1"/>
    <w:autoRedefine/>
    <w:qFormat/>
    <w:uiPriority w:val="0"/>
    <w:rPr>
      <w:rFonts w:ascii="宋体" w:hAnsi="宋体"/>
      <w:szCs w:val="24"/>
      <w:lang w:val="zh-CN"/>
    </w:rPr>
  </w:style>
  <w:style w:type="paragraph" w:customStyle="1" w:styleId="136">
    <w:name w:val="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7">
    <w:name w:val="Char Char Char"/>
    <w:basedOn w:val="1"/>
    <w:autoRedefine/>
    <w:qFormat/>
    <w:uiPriority w:val="0"/>
  </w:style>
  <w:style w:type="paragraph" w:customStyle="1" w:styleId="138">
    <w:name w:val="TOC Heading"/>
    <w:basedOn w:val="2"/>
    <w:next w:val="1"/>
    <w:autoRedefine/>
    <w:qFormat/>
    <w:uiPriority w:val="0"/>
    <w:pPr>
      <w:outlineLvl w:val="9"/>
    </w:pPr>
    <w:rPr>
      <w:rFonts w:ascii="Calibri" w:hAnsi="Calibri"/>
      <w:bCs/>
      <w:szCs w:val="44"/>
    </w:rPr>
  </w:style>
  <w:style w:type="paragraph" w:customStyle="1" w:styleId="139">
    <w:name w:val="Normal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0">
    <w:name w:val="样式 标题 2 + Times New Roman 四号 非加粗 段前: 5 磅 段后: 0 磅 行距: 固定值 20..."/>
    <w:basedOn w:val="3"/>
    <w:autoRedefine/>
    <w:qFormat/>
    <w:uiPriority w:val="0"/>
    <w:pPr>
      <w:widowControl w:val="0"/>
      <w:spacing w:before="100" w:after="0" w:line="400" w:lineRule="exact"/>
      <w:jc w:val="both"/>
    </w:pPr>
    <w:rPr>
      <w:rFonts w:ascii="Times New Roman" w:hAnsi="Times New Roman" w:cs="宋体"/>
      <w:sz w:val="28"/>
    </w:rPr>
  </w:style>
  <w:style w:type="paragraph" w:customStyle="1" w:styleId="141">
    <w:name w:val="Default"/>
    <w:next w:val="2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2">
    <w:name w:val="Char1"/>
    <w:basedOn w:val="1"/>
    <w:autoRedefine/>
    <w:qFormat/>
    <w:uiPriority w:val="0"/>
    <w:pPr>
      <w:widowControl/>
      <w:spacing w:after="160" w:line="240" w:lineRule="exact"/>
      <w:jc w:val="left"/>
    </w:pPr>
  </w:style>
  <w:style w:type="paragraph" w:customStyle="1" w:styleId="143">
    <w:name w:val="刊登"/>
    <w:basedOn w:val="1"/>
    <w:autoRedefine/>
    <w:qFormat/>
    <w:uiPriority w:val="0"/>
    <w:pPr>
      <w:ind w:firstLine="588"/>
    </w:pPr>
    <w:rPr>
      <w:sz w:val="30"/>
    </w:rPr>
  </w:style>
  <w:style w:type="paragraph" w:customStyle="1" w:styleId="144">
    <w:name w:val="列出段落1"/>
    <w:basedOn w:val="1"/>
    <w:autoRedefine/>
    <w:qFormat/>
    <w:uiPriority w:val="34"/>
    <w:pPr>
      <w:ind w:firstLine="420"/>
    </w:pPr>
    <w:rPr>
      <w:rFonts w:ascii="Calibri" w:hAnsi="Calibri"/>
      <w:szCs w:val="22"/>
    </w:rPr>
  </w:style>
  <w:style w:type="paragraph" w:customStyle="1" w:styleId="145">
    <w:name w:val="列表段落1"/>
    <w:basedOn w:val="1"/>
    <w:autoRedefine/>
    <w:qFormat/>
    <w:uiPriority w:val="34"/>
    <w:pPr>
      <w:ind w:firstLine="420"/>
    </w:pPr>
  </w:style>
  <w:style w:type="paragraph" w:customStyle="1" w:styleId="146">
    <w:name w:val="正文 New New"/>
    <w:autoRedefine/>
    <w:qFormat/>
    <w:uiPriority w:val="0"/>
    <w:pPr>
      <w:widowControl w:val="0"/>
      <w:jc w:val="both"/>
    </w:pPr>
    <w:rPr>
      <w:rFonts w:ascii="Times New Roman" w:hAnsi="Times New Roman" w:eastAsia="宋体" w:cs="Times New Roman"/>
      <w:lang w:val="en-US" w:eastAsia="zh-CN" w:bidi="ar-SA"/>
    </w:rPr>
  </w:style>
  <w:style w:type="paragraph" w:customStyle="1" w:styleId="147">
    <w:name w:val="菲页(卷)"/>
    <w:basedOn w:val="2"/>
    <w:next w:val="148"/>
    <w:autoRedefine/>
    <w:qFormat/>
    <w:uiPriority w:val="0"/>
    <w:pPr>
      <w:keepLines w:val="0"/>
      <w:widowControl/>
      <w:numPr>
        <w:ilvl w:val="0"/>
        <w:numId w:val="1"/>
      </w:numPr>
      <w:tabs>
        <w:tab w:val="left" w:pos="432"/>
        <w:tab w:val="clear" w:pos="360"/>
      </w:tabs>
      <w:spacing w:before="0" w:after="0"/>
      <w:outlineLvl w:val="1"/>
    </w:pPr>
    <w:rPr>
      <w:rFonts w:ascii="黑体" w:eastAsia="黑体"/>
      <w:kern w:val="0"/>
      <w:sz w:val="52"/>
    </w:rPr>
  </w:style>
  <w:style w:type="paragraph" w:customStyle="1" w:styleId="14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49">
    <w:name w:val="样式1"/>
    <w:basedOn w:val="1"/>
    <w:autoRedefine/>
    <w:qFormat/>
    <w:uiPriority w:val="0"/>
    <w:pPr>
      <w:spacing w:before="120" w:after="120" w:line="300" w:lineRule="auto"/>
    </w:pPr>
    <w:rPr>
      <w:rFonts w:ascii="宋体" w:hAnsi="宋体"/>
      <w:sz w:val="24"/>
    </w:rPr>
  </w:style>
  <w:style w:type="paragraph" w:customStyle="1" w:styleId="150">
    <w:name w:val="xl44"/>
    <w:basedOn w:val="1"/>
    <w:autoRedefine/>
    <w:qFormat/>
    <w:uiPriority w:val="0"/>
    <w:pPr>
      <w:widowControl/>
      <w:spacing w:before="100" w:beforeAutospacing="1" w:after="100" w:afterAutospacing="1"/>
      <w:jc w:val="center"/>
    </w:pPr>
    <w:rPr>
      <w:rFonts w:ascii="Arial Unicode MS" w:hAnsi="Arial Unicode MS" w:eastAsia="Arial Unicode MS"/>
      <w:kern w:val="0"/>
      <w:sz w:val="40"/>
    </w:rPr>
  </w:style>
  <w:style w:type="paragraph" w:customStyle="1" w:styleId="151">
    <w:name w:val="目录文字"/>
    <w:basedOn w:val="1"/>
    <w:autoRedefine/>
    <w:qFormat/>
    <w:uiPriority w:val="0"/>
    <w:pPr>
      <w:widowControl/>
      <w:spacing w:line="480" w:lineRule="auto"/>
      <w:jc w:val="center"/>
    </w:pPr>
    <w:rPr>
      <w:rFonts w:ascii="宋体" w:hAnsi="宋体"/>
      <w:b/>
      <w:kern w:val="0"/>
      <w:sz w:val="24"/>
    </w:rPr>
  </w:style>
  <w:style w:type="paragraph" w:customStyle="1" w:styleId="152">
    <w:name w:val="菲页1"/>
    <w:basedOn w:val="3"/>
    <w:autoRedefine/>
    <w:qFormat/>
    <w:uiPriority w:val="0"/>
    <w:rPr>
      <w:rFonts w:ascii="黑体" w:hAnsi="宋体"/>
      <w:b/>
      <w:sz w:val="52"/>
    </w:rPr>
  </w:style>
  <w:style w:type="paragraph" w:customStyle="1" w:styleId="153">
    <w:name w:val="Char11"/>
    <w:basedOn w:val="1"/>
    <w:autoRedefine/>
    <w:qFormat/>
    <w:uiPriority w:val="0"/>
    <w:rPr>
      <w:rFonts w:ascii="Tahoma" w:hAnsi="Tahoma"/>
      <w:sz w:val="24"/>
    </w:rPr>
  </w:style>
  <w:style w:type="paragraph" w:customStyle="1" w:styleId="154">
    <w:name w:val="菲页2"/>
    <w:basedOn w:val="4"/>
    <w:autoRedefine/>
    <w:qFormat/>
    <w:uiPriority w:val="0"/>
    <w:pPr>
      <w:widowControl/>
      <w:numPr>
        <w:ilvl w:val="2"/>
        <w:numId w:val="1"/>
      </w:numPr>
      <w:tabs>
        <w:tab w:val="left" w:pos="720"/>
        <w:tab w:val="clear" w:pos="1260"/>
      </w:tabs>
      <w:spacing w:before="120" w:after="120" w:line="360" w:lineRule="auto"/>
      <w:jc w:val="center"/>
    </w:pPr>
    <w:rPr>
      <w:rFonts w:ascii="黑体" w:hAnsi="宋体" w:eastAsia="黑体"/>
      <w:kern w:val="0"/>
      <w:sz w:val="44"/>
    </w:rPr>
  </w:style>
  <w:style w:type="paragraph" w:customStyle="1" w:styleId="155">
    <w:name w:val="Table Paragraph"/>
    <w:basedOn w:val="1"/>
    <w:autoRedefine/>
    <w:qFormat/>
    <w:uiPriority w:val="99"/>
    <w:pPr>
      <w:jc w:val="left"/>
    </w:pPr>
    <w:rPr>
      <w:rFonts w:ascii="宋体" w:hAnsi="宋体" w:cs="宋体"/>
      <w:kern w:val="0"/>
      <w:sz w:val="22"/>
      <w:szCs w:val="22"/>
      <w:lang w:eastAsia="en-US"/>
    </w:rPr>
  </w:style>
  <w:style w:type="paragraph" w:customStyle="1" w:styleId="156">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空半行"/>
    <w:basedOn w:val="1"/>
    <w:autoRedefine/>
    <w:qFormat/>
    <w:uiPriority w:val="0"/>
    <w:pPr>
      <w:adjustRightInd w:val="0"/>
      <w:spacing w:line="120" w:lineRule="exact"/>
      <w:textAlignment w:val="baseline"/>
    </w:pPr>
    <w:rPr>
      <w:rFonts w:eastAsia="仿宋_GB2312"/>
      <w:color w:val="FFFFFF"/>
      <w:kern w:val="0"/>
      <w:sz w:val="30"/>
    </w:rPr>
  </w:style>
  <w:style w:type="paragraph" w:customStyle="1" w:styleId="158">
    <w:name w:val="正文不缩进段落"/>
    <w:basedOn w:val="1"/>
    <w:next w:val="1"/>
    <w:autoRedefine/>
    <w:qFormat/>
    <w:uiPriority w:val="0"/>
    <w:pPr>
      <w:spacing w:beforeLines="50" w:line="276" w:lineRule="auto"/>
    </w:pPr>
    <w:rPr>
      <w:rFonts w:ascii="Arial" w:hAnsi="Arial" w:cs="Arial"/>
    </w:rPr>
  </w:style>
  <w:style w:type="paragraph" w:customStyle="1" w:styleId="159">
    <w:name w:val="flNote"/>
    <w:basedOn w:val="1"/>
    <w:autoRedefine/>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60">
    <w:name w:val="列项——（一级）"/>
    <w:autoRedefine/>
    <w:qFormat/>
    <w:uiPriority w:val="0"/>
    <w:pPr>
      <w:widowControl w:val="0"/>
      <w:numPr>
        <w:ilvl w:val="0"/>
        <w:numId w:val="2"/>
      </w:numPr>
      <w:jc w:val="both"/>
    </w:pPr>
    <w:rPr>
      <w:rFonts w:ascii="宋体" w:hAnsi="Times New Roman" w:eastAsia="宋体" w:cs="Times New Roman"/>
      <w:sz w:val="21"/>
      <w:szCs w:val="22"/>
      <w:lang w:val="en-US" w:eastAsia="zh-CN" w:bidi="ar-SA"/>
    </w:rPr>
  </w:style>
  <w:style w:type="paragraph" w:customStyle="1" w:styleId="161">
    <w:name w:val="Char Char Char Char"/>
    <w:basedOn w:val="1"/>
    <w:autoRedefine/>
    <w:qFormat/>
    <w:uiPriority w:val="0"/>
    <w:pPr>
      <w:widowControl/>
      <w:spacing w:line="360" w:lineRule="auto"/>
      <w:ind w:firstLine="200" w:firstLineChars="200"/>
      <w:jc w:val="center"/>
    </w:pPr>
    <w:rPr>
      <w:b/>
      <w:kern w:val="0"/>
      <w:sz w:val="44"/>
    </w:rPr>
  </w:style>
  <w:style w:type="paragraph" w:customStyle="1" w:styleId="162">
    <w:name w:val="目录"/>
    <w:basedOn w:val="1"/>
    <w:autoRedefine/>
    <w:qFormat/>
    <w:uiPriority w:val="0"/>
    <w:pPr>
      <w:widowControl/>
      <w:jc w:val="center"/>
    </w:pPr>
    <w:rPr>
      <w:rFonts w:ascii="宋体"/>
      <w:kern w:val="0"/>
      <w:sz w:val="36"/>
    </w:rPr>
  </w:style>
  <w:style w:type="paragraph" w:customStyle="1" w:styleId="163">
    <w:name w:val="WPSOffice手动目录 1"/>
    <w:autoRedefine/>
    <w:qFormat/>
    <w:uiPriority w:val="0"/>
    <w:rPr>
      <w:rFonts w:ascii="Times New Roman" w:hAnsi="Times New Roman" w:eastAsia="宋体" w:cs="Times New Roman"/>
      <w:lang w:val="en-US" w:eastAsia="zh-CN" w:bidi="ar-SA"/>
    </w:rPr>
  </w:style>
  <w:style w:type="paragraph" w:customStyle="1" w:styleId="164">
    <w:name w:val="p1"/>
    <w:basedOn w:val="1"/>
    <w:autoRedefine/>
    <w:qFormat/>
    <w:uiPriority w:val="0"/>
    <w:pPr>
      <w:spacing w:line="380" w:lineRule="atLeast"/>
      <w:jc w:val="left"/>
    </w:pPr>
    <w:rPr>
      <w:rFonts w:ascii="Helvetica Neue" w:hAnsi="Helvetica Neue" w:eastAsia="Helvetica Neue"/>
      <w:color w:val="000000"/>
      <w:kern w:val="0"/>
      <w:sz w:val="26"/>
      <w:szCs w:val="26"/>
    </w:rPr>
  </w:style>
  <w:style w:type="paragraph" w:customStyle="1" w:styleId="165">
    <w:name w:val="默认段落字体 Para Char"/>
    <w:basedOn w:val="1"/>
    <w:autoRedefine/>
    <w:qFormat/>
    <w:uiPriority w:val="0"/>
    <w:rPr>
      <w:rFonts w:ascii="Tahoma" w:hAnsi="Tahoma"/>
      <w:sz w:val="24"/>
    </w:rPr>
  </w:style>
  <w:style w:type="paragraph" w:customStyle="1" w:styleId="166">
    <w:name w:val="Revision"/>
    <w:autoRedefine/>
    <w:qFormat/>
    <w:uiPriority w:val="0"/>
    <w:rPr>
      <w:rFonts w:ascii="Times New Roman" w:hAnsi="Times New Roman" w:eastAsia="宋体" w:cs="Times New Roman"/>
      <w:kern w:val="2"/>
      <w:sz w:val="21"/>
      <w:szCs w:val="24"/>
      <w:lang w:val="en-US" w:eastAsia="zh-CN" w:bidi="ar-SA"/>
    </w:rPr>
  </w:style>
  <w:style w:type="paragraph" w:customStyle="1" w:styleId="16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rPr>
  </w:style>
  <w:style w:type="paragraph" w:customStyle="1" w:styleId="168">
    <w:name w:val="Char2"/>
    <w:basedOn w:val="1"/>
    <w:autoRedefine/>
    <w:qFormat/>
    <w:uiPriority w:val="0"/>
    <w:pPr>
      <w:adjustRightInd w:val="0"/>
      <w:spacing w:line="360" w:lineRule="auto"/>
    </w:pPr>
    <w:rPr>
      <w:kern w:val="0"/>
      <w:sz w:val="24"/>
    </w:rPr>
  </w:style>
  <w:style w:type="paragraph" w:styleId="169">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0">
    <w:name w:val="默认段落字体 Para Char Char Char Char"/>
    <w:basedOn w:val="1"/>
    <w:autoRedefine/>
    <w:qFormat/>
    <w:uiPriority w:val="0"/>
    <w:rPr>
      <w:szCs w:val="24"/>
    </w:rPr>
  </w:style>
  <w:style w:type="paragraph" w:customStyle="1" w:styleId="171">
    <w:name w:val="Char Char Char Char Char Char Char Char"/>
    <w:basedOn w:val="1"/>
    <w:autoRedefine/>
    <w:qFormat/>
    <w:uiPriority w:val="0"/>
  </w:style>
  <w:style w:type="character" w:customStyle="1" w:styleId="172">
    <w:name w:val="NormalCharacter"/>
    <w:autoRedefine/>
    <w:qFormat/>
    <w:uiPriority w:val="0"/>
  </w:style>
  <w:style w:type="character" w:customStyle="1" w:styleId="173">
    <w:name w:val="hover"/>
    <w:basedOn w:val="48"/>
    <w:autoRedefine/>
    <w:qFormat/>
    <w:uiPriority w:val="0"/>
    <w:rPr>
      <w:color w:val="0063BA"/>
    </w:rPr>
  </w:style>
  <w:style w:type="character" w:customStyle="1" w:styleId="174">
    <w:name w:val="active6"/>
    <w:basedOn w:val="48"/>
    <w:autoRedefine/>
    <w:qFormat/>
    <w:uiPriority w:val="0"/>
    <w:rPr>
      <w:color w:val="FFFFFF"/>
      <w:shd w:val="clear" w:fill="E22323"/>
    </w:rPr>
  </w:style>
  <w:style w:type="character" w:customStyle="1" w:styleId="175">
    <w:name w:val="margin_right202"/>
    <w:basedOn w:val="48"/>
    <w:autoRedefine/>
    <w:qFormat/>
    <w:uiPriority w:val="0"/>
  </w:style>
  <w:style w:type="character" w:customStyle="1" w:styleId="176">
    <w:name w:val="before"/>
    <w:basedOn w:val="48"/>
    <w:autoRedefine/>
    <w:qFormat/>
    <w:uiPriority w:val="0"/>
    <w:rPr>
      <w:shd w:val="clear" w:fill="E22323"/>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jlszfcgzx</Company>
  <Pages>47</Pages>
  <Words>22851</Words>
  <Characters>25129</Characters>
  <Lines>153</Lines>
  <Paragraphs>43</Paragraphs>
  <TotalTime>0</TotalTime>
  <ScaleCrop>false</ScaleCrop>
  <LinksUpToDate>false</LinksUpToDate>
  <CharactersWithSpaces>26407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2021-03-22T01:19:00Z</dcterms:created>
  <dc:creator>yxl</dc:creator>
  <cp:lastModifiedBy>梁生有赫</cp:lastModifiedBy>
  <cp:lastPrinted>2020-12-10T02:24:00Z</cp:lastPrinted>
  <dcterms:modified xsi:type="dcterms:W3CDTF">2024-05-14T02:56:18Z</dcterms:modified>
  <dc:title>吉林省政府采购中心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497F891E855D499FA7DE2AC93630C999</vt:lpwstr>
  </property>
</Properties>
</file>