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45CB03C0">
      <w:pPr>
        <w:spacing w:line="480" w:lineRule="auto"/>
        <w:ind w:firstLine="118" w:firstLineChars="49"/>
        <w:rPr>
          <w:rFonts w:hint="eastAsia" w:ascii="宋体" w:hAnsi="宋体" w:eastAsia="宋体" w:cs="宋体"/>
          <w:b/>
          <w:color w:val="auto"/>
          <w:sz w:val="24"/>
          <w:szCs w:val="24"/>
          <w:highlight w:val="none"/>
        </w:rPr>
      </w:pPr>
      <w:bookmarkStart w:id="0" w:name="_Toc125344512"/>
      <w:bookmarkStart w:id="1" w:name="_Toc171178954"/>
      <w:bookmarkStart w:id="2" w:name="第四部分"/>
      <w:bookmarkStart w:id="3" w:name="_Toc171915904"/>
      <w:r>
        <w:rPr>
          <w:rFonts w:hint="eastAsia" w:ascii="宋体" w:hAnsi="宋体" w:eastAsia="宋体" w:cs="宋体"/>
          <w:b/>
          <w:color w:val="auto"/>
          <w:sz w:val="24"/>
          <w:szCs w:val="24"/>
          <w:highlight w:val="none"/>
        </w:rPr>
        <w:t>基本格式：</w:t>
      </w:r>
    </w:p>
    <w:p w14:paraId="2BFAF144">
      <w:pPr>
        <w:spacing w:line="48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关于对★★★★★★★★★★★★★★★项目的意见建议</w:t>
      </w:r>
    </w:p>
    <w:p w14:paraId="46F2C7F2">
      <w:pPr>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致：********有限公司</w:t>
      </w:r>
    </w:p>
    <w:p w14:paraId="215E32BB">
      <w:pPr>
        <w:spacing w:line="480"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对于贵公司于202★年★月★日公示的★★★★★★★★★★★★★★★★★★★★★项目采购要素，我公司有如下意见建议：</w:t>
      </w:r>
    </w:p>
    <w:tbl>
      <w:tblPr>
        <w:tblStyle w:val="21"/>
        <w:tblW w:w="8522" w:type="dxa"/>
        <w:tblInd w:w="113" w:type="dxa"/>
        <w:tblLayout w:type="fixed"/>
        <w:tblCellMar>
          <w:top w:w="0" w:type="dxa"/>
          <w:left w:w="108" w:type="dxa"/>
          <w:bottom w:w="0" w:type="dxa"/>
          <w:right w:w="108" w:type="dxa"/>
        </w:tblCellMar>
      </w:tblPr>
      <w:tblGrid>
        <w:gridCol w:w="4261"/>
        <w:gridCol w:w="4261"/>
      </w:tblGrid>
      <w:tr w14:paraId="5F0F09EE">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1C09878A">
            <w:pPr>
              <w:spacing w:line="48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原条款</w:t>
            </w:r>
          </w:p>
        </w:tc>
        <w:tc>
          <w:tcPr>
            <w:tcW w:w="4261" w:type="dxa"/>
            <w:tcBorders>
              <w:top w:val="single" w:color="auto" w:sz="4" w:space="0"/>
              <w:left w:val="single" w:color="auto" w:sz="4" w:space="0"/>
              <w:bottom w:val="single" w:color="auto" w:sz="4" w:space="0"/>
              <w:right w:val="single" w:color="auto" w:sz="4" w:space="0"/>
            </w:tcBorders>
            <w:noWrap w:val="0"/>
            <w:vAlign w:val="top"/>
          </w:tcPr>
          <w:p w14:paraId="32C96954">
            <w:pPr>
              <w:spacing w:line="48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本公司意见建议</w:t>
            </w:r>
          </w:p>
        </w:tc>
      </w:tr>
      <w:tr w14:paraId="269529FB">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6C71049C">
            <w:pPr>
              <w:spacing w:line="480" w:lineRule="auto"/>
              <w:jc w:val="center"/>
              <w:rPr>
                <w:rFonts w:hint="eastAsia" w:ascii="宋体" w:hAnsi="宋体" w:eastAsia="宋体" w:cs="宋体"/>
                <w:color w:val="auto"/>
                <w:sz w:val="24"/>
                <w:szCs w:val="24"/>
                <w:highlight w:val="none"/>
                <w:lang w:eastAsia="zh-CN"/>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15370FED">
            <w:pPr>
              <w:spacing w:line="480" w:lineRule="auto"/>
              <w:jc w:val="center"/>
              <w:rPr>
                <w:rFonts w:hint="eastAsia" w:ascii="宋体" w:hAnsi="宋体" w:eastAsia="宋体" w:cs="宋体"/>
                <w:color w:val="auto"/>
                <w:sz w:val="24"/>
                <w:szCs w:val="24"/>
                <w:highlight w:val="none"/>
              </w:rPr>
            </w:pPr>
          </w:p>
        </w:tc>
      </w:tr>
      <w:tr w14:paraId="391AD028">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23115C98">
            <w:pPr>
              <w:spacing w:line="480" w:lineRule="auto"/>
              <w:jc w:val="center"/>
              <w:rPr>
                <w:rFonts w:hint="eastAsia" w:ascii="宋体" w:hAnsi="宋体" w:eastAsia="宋体" w:cs="宋体"/>
                <w:color w:val="auto"/>
                <w:sz w:val="24"/>
                <w:szCs w:val="24"/>
                <w:highlight w:val="none"/>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7EB5698D">
            <w:pPr>
              <w:spacing w:line="480" w:lineRule="auto"/>
              <w:jc w:val="center"/>
              <w:rPr>
                <w:rFonts w:hint="eastAsia" w:ascii="宋体" w:hAnsi="宋体" w:eastAsia="宋体" w:cs="宋体"/>
                <w:color w:val="auto"/>
                <w:sz w:val="24"/>
                <w:szCs w:val="24"/>
                <w:highlight w:val="none"/>
              </w:rPr>
            </w:pPr>
          </w:p>
        </w:tc>
      </w:tr>
      <w:tr w14:paraId="365F356B">
        <w:tblPrEx>
          <w:tblCellMar>
            <w:top w:w="0" w:type="dxa"/>
            <w:left w:w="108" w:type="dxa"/>
            <w:bottom w:w="0" w:type="dxa"/>
            <w:right w:w="108" w:type="dxa"/>
          </w:tblCellMar>
        </w:tblPrEx>
        <w:tc>
          <w:tcPr>
            <w:tcW w:w="4261" w:type="dxa"/>
            <w:tcBorders>
              <w:top w:val="single" w:color="auto" w:sz="4" w:space="0"/>
              <w:left w:val="single" w:color="auto" w:sz="4" w:space="0"/>
              <w:bottom w:val="single" w:color="auto" w:sz="4" w:space="0"/>
              <w:right w:val="single" w:color="auto" w:sz="4" w:space="0"/>
            </w:tcBorders>
            <w:noWrap w:val="0"/>
            <w:vAlign w:val="top"/>
          </w:tcPr>
          <w:p w14:paraId="487FAE5C">
            <w:pPr>
              <w:spacing w:line="480" w:lineRule="auto"/>
              <w:jc w:val="center"/>
              <w:rPr>
                <w:rFonts w:hint="eastAsia" w:ascii="宋体" w:hAnsi="宋体" w:eastAsia="宋体" w:cs="宋体"/>
                <w:color w:val="auto"/>
                <w:sz w:val="24"/>
                <w:szCs w:val="24"/>
                <w:highlight w:val="none"/>
              </w:rPr>
            </w:pPr>
          </w:p>
        </w:tc>
        <w:tc>
          <w:tcPr>
            <w:tcW w:w="4261" w:type="dxa"/>
            <w:tcBorders>
              <w:top w:val="single" w:color="auto" w:sz="4" w:space="0"/>
              <w:left w:val="single" w:color="auto" w:sz="4" w:space="0"/>
              <w:bottom w:val="single" w:color="auto" w:sz="4" w:space="0"/>
              <w:right w:val="single" w:color="auto" w:sz="4" w:space="0"/>
            </w:tcBorders>
            <w:noWrap w:val="0"/>
            <w:vAlign w:val="top"/>
          </w:tcPr>
          <w:p w14:paraId="1B0BB5CC">
            <w:pPr>
              <w:spacing w:line="480" w:lineRule="auto"/>
              <w:jc w:val="center"/>
              <w:rPr>
                <w:rFonts w:hint="eastAsia" w:ascii="宋体" w:hAnsi="宋体" w:eastAsia="宋体" w:cs="宋体"/>
                <w:color w:val="auto"/>
                <w:sz w:val="24"/>
                <w:szCs w:val="24"/>
                <w:highlight w:val="none"/>
              </w:rPr>
            </w:pPr>
          </w:p>
        </w:tc>
      </w:tr>
    </w:tbl>
    <w:p w14:paraId="19474D7F">
      <w:pPr>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传真：★★★★★★★★★★</w:t>
      </w:r>
    </w:p>
    <w:p w14:paraId="458A7828">
      <w:pPr>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联系人：★★★★★★★★★★</w:t>
      </w:r>
    </w:p>
    <w:p w14:paraId="7AA9A72B">
      <w:pPr>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联系电话：★★★★★★★★★★</w:t>
      </w:r>
    </w:p>
    <w:p w14:paraId="1B95A47A">
      <w:pPr>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联系手机：★★★★★★★★★★</w:t>
      </w:r>
    </w:p>
    <w:p w14:paraId="08676590">
      <w:pPr>
        <w:spacing w:line="480" w:lineRule="auto"/>
        <w:ind w:left="3840" w:hanging="3840" w:hangingChars="1600"/>
        <w:rPr>
          <w:rFonts w:hint="default" w:ascii="宋体" w:hAnsi="宋体" w:eastAsia="宋体" w:cs="宋体"/>
          <w:color w:val="auto"/>
          <w:sz w:val="24"/>
          <w:szCs w:val="24"/>
          <w:highlight w:val="none"/>
        </w:rPr>
      </w:pPr>
      <w:r>
        <w:rPr>
          <w:rFonts w:hint="eastAsia" w:ascii="宋体" w:hAnsi="宋体" w:eastAsia="宋体" w:cs="宋体"/>
          <w:color w:val="auto"/>
          <w:sz w:val="24"/>
          <w:szCs w:val="24"/>
          <w:highlight w:val="none"/>
        </w:rPr>
        <w:t>电子邮箱：★★★★★★★★★★</w:t>
      </w:r>
    </w:p>
    <w:p w14:paraId="7275AD65">
      <w:pPr>
        <w:spacing w:line="480" w:lineRule="auto"/>
        <w:ind w:left="4481" w:leftChars="2134" w:firstLine="120" w:firstLineChars="5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单位名称：（加盖电子签章）</w:t>
      </w:r>
    </w:p>
    <w:p w14:paraId="1E1D7299">
      <w:pPr>
        <w:spacing w:line="480" w:lineRule="auto"/>
        <w:ind w:left="4080" w:hanging="4080" w:hangingChars="1700"/>
        <w:jc w:val="righ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二O二★年★月★日</w:t>
      </w:r>
    </w:p>
    <w:p w14:paraId="30BFC39A">
      <w:pPr>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w:t>
      </w:r>
    </w:p>
    <w:p w14:paraId="57F04BE4">
      <w:pPr>
        <w:spacing w:line="48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1、针对本项目的意见建议仅供采购人完善采购需求参考所用！</w:t>
      </w:r>
    </w:p>
    <w:p w14:paraId="08364420">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2、意见建议以书面（含传真）为准，供应商必须同时提供WORD版电子稿，并电话与代理机构项目联系人确认接收，否则视为供应商未提交书面意见建议。</w:t>
      </w:r>
    </w:p>
    <w:p w14:paraId="20206754">
      <w:pPr>
        <w:spacing w:line="360" w:lineRule="auto"/>
        <w:jc w:val="center"/>
        <w:rPr>
          <w:rFonts w:hint="eastAsia" w:ascii="宋体" w:hAnsi="宋体" w:eastAsia="宋体" w:cs="宋体"/>
          <w:color w:val="auto"/>
          <w:sz w:val="24"/>
          <w:szCs w:val="24"/>
          <w:highlight w:val="none"/>
        </w:rPr>
      </w:pPr>
    </w:p>
    <w:p w14:paraId="0CA7180E">
      <w:pPr>
        <w:spacing w:line="360" w:lineRule="auto"/>
        <w:jc w:val="center"/>
        <w:rPr>
          <w:rFonts w:hint="eastAsia" w:ascii="宋体" w:hAnsi="宋体" w:eastAsia="宋体" w:cs="宋体"/>
          <w:color w:val="auto"/>
          <w:sz w:val="24"/>
          <w:szCs w:val="24"/>
          <w:highlight w:val="none"/>
        </w:rPr>
      </w:pPr>
    </w:p>
    <w:p w14:paraId="77BE1C37">
      <w:pPr>
        <w:spacing w:line="360" w:lineRule="auto"/>
        <w:jc w:val="center"/>
        <w:rPr>
          <w:rFonts w:hint="eastAsia" w:ascii="宋体" w:hAnsi="宋体" w:eastAsia="宋体" w:cs="宋体"/>
          <w:color w:val="auto"/>
          <w:sz w:val="24"/>
          <w:szCs w:val="24"/>
          <w:highlight w:val="none"/>
        </w:rPr>
      </w:pPr>
    </w:p>
    <w:p w14:paraId="4F0C2052">
      <w:pPr>
        <w:spacing w:line="360" w:lineRule="auto"/>
        <w:jc w:val="center"/>
        <w:rPr>
          <w:rFonts w:hint="eastAsia" w:ascii="宋体" w:hAnsi="宋体" w:eastAsia="宋体" w:cs="宋体"/>
          <w:b/>
          <w:bCs/>
          <w:color w:val="auto"/>
          <w:sz w:val="28"/>
          <w:szCs w:val="28"/>
          <w:highlight w:val="none"/>
        </w:rPr>
      </w:pPr>
      <w:r>
        <w:rPr>
          <w:rFonts w:hint="eastAsia" w:ascii="宋体" w:hAnsi="宋体" w:cs="宋体"/>
          <w:b/>
          <w:bCs/>
          <w:color w:val="auto"/>
          <w:sz w:val="28"/>
          <w:szCs w:val="28"/>
          <w:highlight w:val="none"/>
          <w:lang w:eastAsia="zh-CN"/>
        </w:rPr>
        <w:t>诸暨市公安局电子取证前端设备补充采购项目</w:t>
      </w:r>
      <w:r>
        <w:rPr>
          <w:rFonts w:hint="eastAsia" w:ascii="宋体" w:hAnsi="宋体" w:eastAsia="宋体" w:cs="宋体"/>
          <w:b/>
          <w:bCs/>
          <w:color w:val="auto"/>
          <w:sz w:val="28"/>
          <w:szCs w:val="28"/>
          <w:highlight w:val="none"/>
        </w:rPr>
        <w:t>采购</w:t>
      </w:r>
      <w:bookmarkEnd w:id="0"/>
      <w:r>
        <w:rPr>
          <w:rFonts w:hint="eastAsia" w:ascii="宋体" w:hAnsi="宋体" w:eastAsia="宋体" w:cs="宋体"/>
          <w:b/>
          <w:bCs/>
          <w:color w:val="auto"/>
          <w:sz w:val="28"/>
          <w:szCs w:val="28"/>
          <w:highlight w:val="none"/>
        </w:rPr>
        <w:t>要素</w:t>
      </w:r>
    </w:p>
    <w:p w14:paraId="67EADAE7">
      <w:pPr>
        <w:pStyle w:val="26"/>
        <w:jc w:val="center"/>
        <w:rPr>
          <w:rFonts w:hint="eastAsia" w:eastAsia="宋体"/>
          <w:color w:val="auto"/>
          <w:sz w:val="24"/>
          <w:szCs w:val="24"/>
          <w:highlight w:val="none"/>
          <w:lang w:eastAsia="zh-CN"/>
        </w:rPr>
      </w:pPr>
      <w:r>
        <w:rPr>
          <w:rFonts w:hint="eastAsia" w:ascii="宋体" w:hAnsi="宋体" w:cs="宋体"/>
          <w:b/>
          <w:bCs/>
          <w:color w:val="auto"/>
          <w:sz w:val="24"/>
          <w:szCs w:val="24"/>
          <w:highlight w:val="none"/>
          <w:lang w:eastAsia="zh-CN"/>
        </w:rPr>
        <w:t>（编号：浙华元</w:t>
      </w:r>
      <w:r>
        <w:rPr>
          <w:rFonts w:hint="eastAsia" w:ascii="宋体" w:hAnsi="宋体" w:cs="宋体"/>
          <w:b/>
          <w:bCs/>
          <w:color w:val="auto"/>
          <w:sz w:val="24"/>
          <w:szCs w:val="24"/>
          <w:highlight w:val="none"/>
          <w:lang w:val="en-US" w:eastAsia="zh-CN"/>
        </w:rPr>
        <w:t>2025-04-21</w:t>
      </w:r>
      <w:r>
        <w:rPr>
          <w:rFonts w:hint="eastAsia" w:ascii="宋体" w:hAnsi="宋体" w:cs="宋体"/>
          <w:b/>
          <w:bCs/>
          <w:color w:val="auto"/>
          <w:sz w:val="24"/>
          <w:szCs w:val="24"/>
          <w:highlight w:val="none"/>
          <w:lang w:eastAsia="zh-CN"/>
        </w:rPr>
        <w:t>）</w:t>
      </w:r>
    </w:p>
    <w:p w14:paraId="1C46EA9C">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highlight w:val="none"/>
          <w:lang w:eastAsia="zh-CN"/>
        </w:rPr>
      </w:pPr>
      <w:r>
        <w:rPr>
          <w:rFonts w:hint="eastAsia" w:ascii="宋体" w:hAnsi="宋体" w:eastAsia="宋体" w:cs="宋体"/>
          <w:b/>
          <w:bCs w:val="0"/>
          <w:color w:val="auto"/>
          <w:sz w:val="24"/>
          <w:szCs w:val="24"/>
          <w:highlight w:val="none"/>
        </w:rPr>
        <w:t>一、项目名称：</w:t>
      </w:r>
      <w:r>
        <w:rPr>
          <w:rFonts w:hint="eastAsia" w:ascii="宋体" w:hAnsi="宋体" w:cs="宋体"/>
          <w:color w:val="auto"/>
          <w:sz w:val="24"/>
          <w:szCs w:val="24"/>
          <w:highlight w:val="none"/>
          <w:lang w:eastAsia="zh-CN"/>
        </w:rPr>
        <w:t>诸暨市公安局电子取证前端设备补充采购项目</w:t>
      </w:r>
    </w:p>
    <w:p w14:paraId="560D714D">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二、项目内容及规模：</w:t>
      </w:r>
    </w:p>
    <w:p w14:paraId="76A3CB4E">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诸暨市公安局电子取证前端设备补充采购项目</w:t>
      </w:r>
      <w:r>
        <w:rPr>
          <w:rFonts w:hint="eastAsia" w:ascii="宋体" w:hAnsi="宋体" w:eastAsia="宋体" w:cs="宋体"/>
          <w:color w:val="auto"/>
          <w:sz w:val="24"/>
          <w:szCs w:val="24"/>
          <w:highlight w:val="none"/>
        </w:rPr>
        <w:t>，采购预算金额为人民币</w:t>
      </w:r>
      <w:r>
        <w:rPr>
          <w:rFonts w:hint="eastAsia" w:ascii="宋体" w:hAnsi="宋体" w:cs="宋体"/>
          <w:color w:val="auto"/>
          <w:sz w:val="24"/>
          <w:szCs w:val="24"/>
          <w:highlight w:val="none"/>
          <w:lang w:val="en-US" w:eastAsia="zh-CN"/>
        </w:rPr>
        <w:t>84.8</w:t>
      </w:r>
      <w:r>
        <w:rPr>
          <w:rFonts w:hint="eastAsia" w:ascii="宋体" w:hAnsi="宋体" w:eastAsia="宋体" w:cs="宋体"/>
          <w:color w:val="auto"/>
          <w:sz w:val="24"/>
          <w:szCs w:val="24"/>
          <w:highlight w:val="none"/>
        </w:rPr>
        <w:t>万元，具体内容详见采购需求。</w:t>
      </w:r>
    </w:p>
    <w:p w14:paraId="50C6202D">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三、投标人（供应商）资格要求：</w:t>
      </w:r>
    </w:p>
    <w:p w14:paraId="42AA3E05">
      <w:pPr>
        <w:pStyle w:val="33"/>
        <w:keepNext w:val="0"/>
        <w:keepLines w:val="0"/>
        <w:pageBreakBefore w:val="0"/>
        <w:widowControl/>
        <w:kinsoku/>
        <w:wordWrap/>
        <w:overflowPunct/>
        <w:topLinePunct w:val="0"/>
        <w:autoSpaceDE/>
        <w:autoSpaceDN/>
        <w:bidi w:val="0"/>
        <w:adjustRightInd/>
        <w:spacing w:after="0" w:afterLines="0"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sz w:val="24"/>
          <w:szCs w:val="24"/>
          <w:highlight w:val="none"/>
        </w:rPr>
        <w:t>1、符合《中华人民共和国政府采购法》第二十二条之供应商资格规定；</w:t>
      </w:r>
    </w:p>
    <w:p w14:paraId="67C028F0">
      <w:pPr>
        <w:pStyle w:val="33"/>
        <w:keepNext w:val="0"/>
        <w:keepLines w:val="0"/>
        <w:pageBreakBefore w:val="0"/>
        <w:widowControl/>
        <w:kinsoku/>
        <w:wordWrap/>
        <w:overflowPunct/>
        <w:topLinePunct w:val="0"/>
        <w:autoSpaceDE/>
        <w:autoSpaceDN/>
        <w:bidi w:val="0"/>
        <w:adjustRightInd/>
        <w:spacing w:after="0" w:afterLines="0" w:line="360" w:lineRule="auto"/>
        <w:ind w:firstLine="480"/>
        <w:textAlignment w:val="auto"/>
        <w:rPr>
          <w:rFonts w:hint="eastAsia" w:ascii="宋体" w:hAnsi="宋体" w:eastAsia="宋体" w:cs="宋体"/>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sz w:val="24"/>
          <w:szCs w:val="24"/>
          <w:highlight w:val="none"/>
        </w:rPr>
        <w:t>未被“信用中国”（www.creditchina.gov.cn）、中国政府采购（www.ccgp.gov.cn）列入失信被执行人、重大税收违法案件当事人名单、政府采购严重违法失信行为记录名单；</w:t>
      </w:r>
    </w:p>
    <w:p w14:paraId="3C42D2B6">
      <w:pPr>
        <w:pStyle w:val="33"/>
        <w:keepNext w:val="0"/>
        <w:keepLines w:val="0"/>
        <w:pageBreakBefore w:val="0"/>
        <w:widowControl/>
        <w:kinsoku/>
        <w:wordWrap/>
        <w:overflowPunct/>
        <w:topLinePunct w:val="0"/>
        <w:autoSpaceDE/>
        <w:autoSpaceDN/>
        <w:bidi w:val="0"/>
        <w:adjustRightInd/>
        <w:spacing w:after="0" w:afterLines="0" w:line="360" w:lineRule="auto"/>
        <w:ind w:firstLine="480"/>
        <w:textAlignment w:val="auto"/>
        <w:rPr>
          <w:rFonts w:hint="eastAsia" w:ascii="宋体" w:hAnsi="宋体" w:eastAsia="宋体" w:cs="宋体"/>
          <w:sz w:val="24"/>
          <w:szCs w:val="24"/>
          <w:highlight w:val="none"/>
        </w:rPr>
      </w:pPr>
      <w:r>
        <w:rPr>
          <w:rFonts w:hint="eastAsia" w:ascii="宋体" w:hAnsi="宋体" w:cs="宋体"/>
          <w:sz w:val="24"/>
          <w:szCs w:val="24"/>
          <w:highlight w:val="none"/>
          <w:lang w:val="en-US" w:eastAsia="zh-CN"/>
        </w:rPr>
        <w:t>3</w:t>
      </w:r>
      <w:r>
        <w:rPr>
          <w:rFonts w:hint="eastAsia" w:ascii="宋体" w:hAnsi="宋体" w:eastAsia="宋体" w:cs="宋体"/>
          <w:sz w:val="24"/>
          <w:szCs w:val="24"/>
          <w:highlight w:val="none"/>
        </w:rPr>
        <w:t>、本项目不接受联合体投标。</w:t>
      </w:r>
    </w:p>
    <w:p w14:paraId="29C7339B">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四、评标办法：综合评分法</w:t>
      </w:r>
    </w:p>
    <w:p w14:paraId="1A17E28E">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1、采用</w:t>
      </w:r>
      <w:r>
        <w:rPr>
          <w:rFonts w:hint="eastAsia" w:ascii="宋体" w:hAnsi="宋体" w:eastAsia="宋体" w:cs="宋体"/>
          <w:color w:val="auto"/>
          <w:sz w:val="24"/>
          <w:szCs w:val="24"/>
          <w:highlight w:val="none"/>
          <w:u w:val="single"/>
        </w:rPr>
        <w:t>　综合评分法　</w:t>
      </w:r>
      <w:r>
        <w:rPr>
          <w:rFonts w:hint="eastAsia" w:ascii="宋体" w:hAnsi="宋体" w:eastAsia="宋体" w:cs="宋体"/>
          <w:color w:val="auto"/>
          <w:sz w:val="24"/>
          <w:szCs w:val="24"/>
          <w:highlight w:val="none"/>
        </w:rPr>
        <w:t>。即在符合招标文件要求的前提下，择定最高得分者为第一中标候选人，即预中标人。</w:t>
      </w:r>
    </w:p>
    <w:p w14:paraId="251E6161">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合格投标人的评标得分为各项目汇总得分，中标候选资格按评标得分由高到低顺序排列，得分相同的，按投标报价由低到高顺序排列；得分且投标报价相同的，按技术得分由高到低顺序排列，排名第一的的投标人为中标候选人。评分过程中采用四舍五入法，并保留小数2位。</w:t>
      </w:r>
    </w:p>
    <w:p w14:paraId="033B313E">
      <w:pPr>
        <w:keepNext w:val="0"/>
        <w:keepLines w:val="0"/>
        <w:pageBreakBefore w:val="0"/>
        <w:widowControl/>
        <w:kinsoku/>
        <w:wordWrap/>
        <w:overflowPunct/>
        <w:topLinePunct w:val="0"/>
        <w:autoSpaceDE/>
        <w:autoSpaceDN/>
        <w:bidi w:val="0"/>
        <w:adjustRightInd/>
        <w:spacing w:line="360" w:lineRule="auto"/>
        <w:ind w:firstLine="480" w:firstLineChars="200"/>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3、评分办法</w:t>
      </w:r>
    </w:p>
    <w:p w14:paraId="1665794F">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（1）满分为100分。总得分=商务技术得分+报价得分。</w:t>
      </w:r>
    </w:p>
    <w:p w14:paraId="4934F87E">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（2）商务技术得分=商务技术评分，商务技术评分=各评委的有效评分的算术平均数；</w:t>
      </w:r>
    </w:p>
    <w:p w14:paraId="270277E5">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（3）报价得分=（评标基准价/投标报价）*价格权值*100，评标基准价=有效投标人的最低投标报价，价格权值=30%；</w:t>
      </w:r>
    </w:p>
    <w:p w14:paraId="71626151">
      <w:pPr>
        <w:keepNext w:val="0"/>
        <w:keepLines w:val="0"/>
        <w:pageBreakBefore w:val="0"/>
        <w:widowControl/>
        <w:kinsoku/>
        <w:wordWrap/>
        <w:overflowPunct/>
        <w:topLinePunct w:val="0"/>
        <w:autoSpaceDE/>
        <w:autoSpaceDN/>
        <w:bidi w:val="0"/>
        <w:adjustRightInd/>
        <w:spacing w:line="360" w:lineRule="auto"/>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（4）技术分评分细则（70分）</w:t>
      </w:r>
    </w:p>
    <w:tbl>
      <w:tblPr>
        <w:tblStyle w:val="21"/>
        <w:tblW w:w="823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06"/>
        <w:gridCol w:w="1402"/>
        <w:gridCol w:w="4889"/>
        <w:gridCol w:w="1133"/>
      </w:tblGrid>
      <w:tr w14:paraId="3A0B7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6" w:hRule="atLeast"/>
          <w:jc w:val="center"/>
        </w:trPr>
        <w:tc>
          <w:tcPr>
            <w:tcW w:w="806" w:type="dxa"/>
            <w:tcBorders>
              <w:top w:val="single" w:color="auto" w:sz="4" w:space="0"/>
              <w:left w:val="single" w:color="auto" w:sz="4" w:space="0"/>
              <w:bottom w:val="single" w:color="auto" w:sz="4" w:space="0"/>
              <w:right w:val="single" w:color="auto" w:sz="4" w:space="0"/>
            </w:tcBorders>
            <w:noWrap w:val="0"/>
            <w:vAlign w:val="center"/>
          </w:tcPr>
          <w:p w14:paraId="4AA68068">
            <w:pPr>
              <w:spacing w:line="400" w:lineRule="exact"/>
              <w:ind w:firstLine="0" w:firstLineChars="0"/>
              <w:jc w:val="center"/>
              <w:rPr>
                <w:rFonts w:hint="eastAsia" w:ascii="宋体" w:hAnsi="宋体" w:eastAsia="宋体" w:cs="宋体"/>
                <w:b/>
                <w:bCs/>
                <w:color w:val="000000"/>
                <w:sz w:val="24"/>
                <w:szCs w:val="24"/>
                <w:highlight w:val="none"/>
                <w:lang w:eastAsia="zh-CN"/>
              </w:rPr>
            </w:pPr>
            <w:r>
              <w:rPr>
                <w:rFonts w:hint="eastAsia" w:ascii="宋体" w:hAnsi="宋体" w:cs="宋体"/>
                <w:b/>
                <w:bCs/>
                <w:color w:val="000000"/>
                <w:sz w:val="24"/>
                <w:szCs w:val="24"/>
                <w:highlight w:val="none"/>
                <w:lang w:eastAsia="zh-CN"/>
              </w:rPr>
              <w:t>序号</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42694FCF">
            <w:pPr>
              <w:spacing w:line="400" w:lineRule="exact"/>
              <w:ind w:firstLine="0" w:firstLineChars="0"/>
              <w:jc w:val="center"/>
              <w:rPr>
                <w:rFonts w:hint="eastAsia" w:ascii="宋体" w:hAnsi="宋体" w:cs="宋体"/>
                <w:b/>
                <w:bCs/>
                <w:color w:val="000000"/>
                <w:sz w:val="24"/>
                <w:szCs w:val="24"/>
                <w:highlight w:val="none"/>
              </w:rPr>
            </w:pPr>
            <w:r>
              <w:rPr>
                <w:rFonts w:hint="eastAsia" w:ascii="宋体" w:hAnsi="宋体" w:cs="宋体"/>
                <w:b/>
                <w:bCs/>
                <w:color w:val="000000"/>
                <w:sz w:val="24"/>
                <w:szCs w:val="24"/>
                <w:highlight w:val="none"/>
              </w:rPr>
              <w:t>评分项目</w:t>
            </w:r>
          </w:p>
        </w:tc>
        <w:tc>
          <w:tcPr>
            <w:tcW w:w="4889" w:type="dxa"/>
            <w:tcBorders>
              <w:top w:val="single" w:color="auto" w:sz="4" w:space="0"/>
              <w:left w:val="single" w:color="auto" w:sz="4" w:space="0"/>
              <w:bottom w:val="single" w:color="auto" w:sz="4" w:space="0"/>
              <w:right w:val="single" w:color="auto" w:sz="4" w:space="0"/>
            </w:tcBorders>
            <w:noWrap w:val="0"/>
            <w:vAlign w:val="center"/>
          </w:tcPr>
          <w:p w14:paraId="6A0F38B7">
            <w:pPr>
              <w:spacing w:line="400" w:lineRule="exact"/>
              <w:jc w:val="center"/>
              <w:rPr>
                <w:rFonts w:ascii="宋体"/>
                <w:b/>
                <w:bCs/>
                <w:color w:val="000000"/>
                <w:sz w:val="24"/>
                <w:szCs w:val="24"/>
                <w:highlight w:val="none"/>
              </w:rPr>
            </w:pPr>
            <w:r>
              <w:rPr>
                <w:rFonts w:hint="eastAsia" w:ascii="宋体" w:hAnsi="宋体" w:cs="宋体"/>
                <w:b/>
                <w:bCs/>
                <w:color w:val="000000"/>
                <w:sz w:val="24"/>
                <w:szCs w:val="24"/>
                <w:highlight w:val="none"/>
              </w:rPr>
              <w:t>评标要点及说明</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8AEDDD0">
            <w:pPr>
              <w:spacing w:line="400" w:lineRule="exact"/>
              <w:jc w:val="center"/>
              <w:rPr>
                <w:rFonts w:hint="eastAsia" w:ascii="宋体" w:hAnsi="Times New Roman" w:eastAsia="宋体" w:cs="Times New Roman"/>
                <w:b/>
                <w:bCs/>
                <w:color w:val="000000"/>
                <w:sz w:val="24"/>
                <w:szCs w:val="24"/>
                <w:highlight w:val="none"/>
                <w:lang w:val="en-US" w:eastAsia="zh-CN" w:bidi="ar-SA"/>
              </w:rPr>
            </w:pPr>
            <w:r>
              <w:rPr>
                <w:rFonts w:hint="eastAsia" w:ascii="宋体" w:hAnsi="宋体" w:cs="宋体"/>
                <w:b/>
                <w:bCs/>
                <w:color w:val="000000"/>
                <w:sz w:val="24"/>
                <w:szCs w:val="24"/>
                <w:highlight w:val="none"/>
              </w:rPr>
              <w:t>分值</w:t>
            </w:r>
          </w:p>
        </w:tc>
      </w:tr>
      <w:tr w14:paraId="20C591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48" w:hRule="atLeast"/>
          <w:jc w:val="center"/>
        </w:trPr>
        <w:tc>
          <w:tcPr>
            <w:tcW w:w="806" w:type="dxa"/>
            <w:tcBorders>
              <w:top w:val="single" w:color="auto" w:sz="4" w:space="0"/>
              <w:left w:val="single" w:color="auto" w:sz="4" w:space="0"/>
              <w:bottom w:val="single" w:color="auto" w:sz="4" w:space="0"/>
              <w:right w:val="single" w:color="auto" w:sz="4" w:space="0"/>
            </w:tcBorders>
            <w:noWrap w:val="0"/>
            <w:vAlign w:val="center"/>
          </w:tcPr>
          <w:p w14:paraId="0D4590F6">
            <w:pPr>
              <w:spacing w:line="300" w:lineRule="exact"/>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1</w:t>
            </w:r>
          </w:p>
        </w:tc>
        <w:tc>
          <w:tcPr>
            <w:tcW w:w="1402" w:type="dxa"/>
            <w:tcBorders>
              <w:top w:val="single" w:color="auto" w:sz="4" w:space="0"/>
              <w:left w:val="single" w:color="auto" w:sz="4" w:space="0"/>
              <w:bottom w:val="single" w:color="auto" w:sz="4" w:space="0"/>
              <w:right w:val="single" w:color="auto" w:sz="4" w:space="0"/>
            </w:tcBorders>
            <w:noWrap w:val="0"/>
            <w:vAlign w:val="center"/>
          </w:tcPr>
          <w:p w14:paraId="718D7D8B">
            <w:pPr>
              <w:spacing w:line="300" w:lineRule="exact"/>
              <w:jc w:val="center"/>
              <w:rPr>
                <w:rFonts w:ascii="宋体" w:cs="宋体"/>
                <w:sz w:val="24"/>
                <w:szCs w:val="24"/>
                <w:highlight w:val="none"/>
              </w:rPr>
            </w:pPr>
            <w:r>
              <w:rPr>
                <w:rFonts w:hint="eastAsia" w:ascii="宋体" w:hAnsi="宋体" w:cs="宋体"/>
                <w:sz w:val="24"/>
                <w:szCs w:val="24"/>
                <w:highlight w:val="none"/>
                <w:lang w:val="en-US" w:eastAsia="zh-CN"/>
              </w:rPr>
              <w:t>企业及</w:t>
            </w:r>
            <w:r>
              <w:rPr>
                <w:rFonts w:hint="eastAsia" w:ascii="宋体" w:hAnsi="宋体" w:cs="宋体"/>
                <w:sz w:val="24"/>
                <w:szCs w:val="24"/>
                <w:highlight w:val="none"/>
              </w:rPr>
              <w:t>产品相关证书</w:t>
            </w:r>
          </w:p>
        </w:tc>
        <w:tc>
          <w:tcPr>
            <w:tcW w:w="4889" w:type="dxa"/>
            <w:tcBorders>
              <w:top w:val="single" w:color="auto" w:sz="4" w:space="0"/>
              <w:left w:val="single" w:color="auto" w:sz="4" w:space="0"/>
              <w:bottom w:val="single" w:color="auto" w:sz="4" w:space="0"/>
              <w:right w:val="single" w:color="auto" w:sz="4" w:space="0"/>
            </w:tcBorders>
            <w:noWrap w:val="0"/>
            <w:vAlign w:val="center"/>
          </w:tcPr>
          <w:p w14:paraId="3CA982A9">
            <w:pPr>
              <w:spacing w:line="300" w:lineRule="exact"/>
              <w:rPr>
                <w:rFonts w:hint="eastAsia" w:ascii="宋体" w:hAnsi="Times New Roman" w:eastAsia="宋体" w:cs="宋体"/>
                <w:color w:val="auto"/>
                <w:sz w:val="24"/>
                <w:szCs w:val="24"/>
                <w:highlight w:val="none"/>
                <w:lang w:val="en-US" w:eastAsia="zh-CN" w:bidi="ar-SA"/>
              </w:rPr>
            </w:pPr>
            <w:r>
              <w:rPr>
                <w:rFonts w:hint="eastAsia" w:ascii="宋体" w:hAnsi="Times New Roman" w:eastAsia="宋体" w:cs="宋体"/>
                <w:color w:val="auto"/>
                <w:sz w:val="24"/>
                <w:szCs w:val="24"/>
                <w:highlight w:val="none"/>
                <w:lang w:val="en-US" w:eastAsia="zh-CN" w:bidi="ar-SA"/>
              </w:rPr>
              <w:t>根据以下投标产品资质及相关认证情况进行评分，每提供一项得1.5分，最高得6分</w:t>
            </w:r>
            <w:r>
              <w:rPr>
                <w:rFonts w:hint="eastAsia" w:ascii="宋体" w:cs="宋体"/>
                <w:color w:val="auto"/>
                <w:sz w:val="24"/>
                <w:szCs w:val="24"/>
                <w:highlight w:val="none"/>
                <w:lang w:val="en-US" w:eastAsia="zh-CN" w:bidi="ar-SA"/>
              </w:rPr>
              <w:t>：</w:t>
            </w:r>
          </w:p>
          <w:p w14:paraId="2526A0F4">
            <w:pPr>
              <w:spacing w:line="300" w:lineRule="exact"/>
              <w:rPr>
                <w:rFonts w:hint="eastAsia" w:ascii="宋体" w:hAnsi="Times New Roman" w:eastAsia="宋体" w:cs="宋体"/>
                <w:color w:val="auto"/>
                <w:sz w:val="24"/>
                <w:szCs w:val="24"/>
                <w:highlight w:val="none"/>
                <w:lang w:val="en-US" w:eastAsia="zh-CN" w:bidi="ar-SA"/>
              </w:rPr>
            </w:pPr>
            <w:r>
              <w:rPr>
                <w:rFonts w:hint="eastAsia" w:ascii="宋体" w:hAnsi="Times New Roman" w:eastAsia="宋体" w:cs="宋体"/>
                <w:color w:val="auto"/>
                <w:sz w:val="24"/>
                <w:szCs w:val="24"/>
                <w:highlight w:val="none"/>
                <w:lang w:val="en-US" w:eastAsia="zh-CN" w:bidi="ar-SA"/>
              </w:rPr>
              <w:t>质量管理体系认证证书、信息安全管理体系认证证书、信息技术服务管理体系认证证书、CNAS实验室认可证书</w:t>
            </w:r>
            <w:r>
              <w:rPr>
                <w:rFonts w:hint="eastAsia" w:ascii="宋体" w:cs="宋体"/>
                <w:color w:val="auto"/>
                <w:sz w:val="24"/>
                <w:szCs w:val="24"/>
                <w:highlight w:val="none"/>
                <w:lang w:val="en-US" w:eastAsia="zh-CN" w:bidi="ar-SA"/>
              </w:rPr>
              <w:t>。</w:t>
            </w:r>
          </w:p>
          <w:p w14:paraId="3E580706">
            <w:pPr>
              <w:spacing w:line="300" w:lineRule="exact"/>
              <w:rPr>
                <w:rFonts w:hint="default"/>
                <w:highlight w:val="none"/>
                <w:lang w:val="en-US" w:eastAsia="zh-CN"/>
              </w:rPr>
            </w:pPr>
            <w:r>
              <w:rPr>
                <w:rFonts w:hint="eastAsia" w:ascii="宋体" w:hAnsi="Times New Roman" w:eastAsia="宋体" w:cs="宋体"/>
                <w:color w:val="auto"/>
                <w:sz w:val="24"/>
                <w:szCs w:val="24"/>
                <w:highlight w:val="none"/>
                <w:lang w:val="en-US" w:eastAsia="zh-CN" w:bidi="ar-SA"/>
              </w:rPr>
              <w:t>投标文件中提供相关证书复印件加盖投标人公章，否则不得分。</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7C50822">
            <w:pPr>
              <w:spacing w:line="300" w:lineRule="exact"/>
              <w:jc w:val="center"/>
              <w:rPr>
                <w:rFonts w:hint="eastAsia" w:ascii="宋体" w:hAnsi="宋体" w:eastAsia="宋体" w:cs="宋体"/>
                <w:color w:val="000000"/>
                <w:sz w:val="24"/>
                <w:szCs w:val="24"/>
                <w:highlight w:val="none"/>
                <w:lang w:val="en-US" w:eastAsia="zh-CN" w:bidi="ar-SA"/>
              </w:rPr>
            </w:pPr>
            <w:r>
              <w:rPr>
                <w:rFonts w:hint="eastAsia" w:ascii="宋体" w:hAnsi="宋体" w:cs="宋体"/>
                <w:sz w:val="24"/>
                <w:szCs w:val="24"/>
                <w:highlight w:val="none"/>
                <w:lang w:val="en-US" w:eastAsia="zh-CN"/>
              </w:rPr>
              <w:t>6</w:t>
            </w:r>
          </w:p>
        </w:tc>
      </w:tr>
      <w:tr w14:paraId="227767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4" w:hRule="atLeast"/>
          <w:jc w:val="center"/>
        </w:trPr>
        <w:tc>
          <w:tcPr>
            <w:tcW w:w="806" w:type="dxa"/>
            <w:tcBorders>
              <w:top w:val="single" w:color="auto" w:sz="4" w:space="0"/>
              <w:left w:val="single" w:color="auto" w:sz="4" w:space="0"/>
              <w:bottom w:val="single" w:color="auto" w:sz="4" w:space="0"/>
              <w:right w:val="single" w:color="auto" w:sz="4" w:space="0"/>
            </w:tcBorders>
            <w:noWrap w:val="0"/>
            <w:vAlign w:val="center"/>
          </w:tcPr>
          <w:p w14:paraId="351842CE">
            <w:pPr>
              <w:spacing w:line="300" w:lineRule="exact"/>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2</w:t>
            </w:r>
          </w:p>
        </w:tc>
        <w:tc>
          <w:tcPr>
            <w:tcW w:w="14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81E4044">
            <w:pPr>
              <w:spacing w:line="300" w:lineRule="exact"/>
              <w:jc w:val="center"/>
              <w:rPr>
                <w:rFonts w:ascii="宋体" w:hAnsi="Times New Roman" w:eastAsia="宋体" w:cs="宋体"/>
                <w:color w:val="000000"/>
                <w:sz w:val="24"/>
                <w:szCs w:val="24"/>
                <w:highlight w:val="none"/>
                <w:lang w:val="en-US" w:eastAsia="zh-CN" w:bidi="ar-SA"/>
              </w:rPr>
            </w:pPr>
            <w:r>
              <w:rPr>
                <w:rFonts w:hint="eastAsia" w:ascii="宋体" w:hAnsi="宋体" w:cs="宋体"/>
                <w:sz w:val="24"/>
                <w:szCs w:val="24"/>
                <w:highlight w:val="none"/>
              </w:rPr>
              <w:t>经验及业绩</w:t>
            </w:r>
          </w:p>
        </w:tc>
        <w:tc>
          <w:tcPr>
            <w:tcW w:w="48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38172ECD">
            <w:pPr>
              <w:spacing w:line="300" w:lineRule="exact"/>
              <w:rPr>
                <w:rFonts w:ascii="宋体" w:hAnsi="Times New Roman" w:eastAsia="宋体" w:cs="宋体"/>
                <w:color w:val="000000"/>
                <w:sz w:val="24"/>
                <w:szCs w:val="24"/>
                <w:highlight w:val="none"/>
                <w:lang w:val="en-US" w:eastAsia="zh-CN" w:bidi="ar-SA"/>
              </w:rPr>
            </w:pPr>
            <w:r>
              <w:rPr>
                <w:rFonts w:hint="eastAsia" w:ascii="宋体" w:hAnsi="Times New Roman" w:eastAsia="宋体" w:cs="宋体"/>
                <w:color w:val="auto"/>
                <w:sz w:val="24"/>
                <w:szCs w:val="24"/>
                <w:highlight w:val="none"/>
                <w:lang w:val="en-US" w:eastAsia="zh-CN" w:bidi="ar-SA"/>
              </w:rPr>
              <w:t>投标人提供自2022年1月以来（以合同签订时间为准）同类项目成功案例，每提供一个得1分，最高得3分（投标文件中提供合同复印件并加盖投标人公章、用户联系方式）。</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89B62A8">
            <w:pPr>
              <w:spacing w:line="300" w:lineRule="exact"/>
              <w:jc w:val="center"/>
              <w:rPr>
                <w:rFonts w:hint="eastAsia" w:ascii="宋体" w:hAnsi="宋体" w:eastAsia="宋体" w:cs="宋体"/>
                <w:color w:val="000000"/>
                <w:sz w:val="24"/>
                <w:szCs w:val="24"/>
                <w:highlight w:val="none"/>
                <w:lang w:val="en-US" w:eastAsia="zh-CN" w:bidi="ar-SA"/>
              </w:rPr>
            </w:pPr>
            <w:r>
              <w:rPr>
                <w:rFonts w:hint="eastAsia" w:ascii="宋体" w:hAnsi="宋体" w:cs="宋体"/>
                <w:sz w:val="24"/>
                <w:szCs w:val="24"/>
                <w:highlight w:val="none"/>
              </w:rPr>
              <w:t>3</w:t>
            </w:r>
          </w:p>
        </w:tc>
      </w:tr>
      <w:tr w14:paraId="388E6C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4" w:hRule="atLeast"/>
          <w:jc w:val="center"/>
        </w:trPr>
        <w:tc>
          <w:tcPr>
            <w:tcW w:w="806" w:type="dxa"/>
            <w:tcBorders>
              <w:top w:val="single" w:color="auto" w:sz="4" w:space="0"/>
              <w:left w:val="single" w:color="auto" w:sz="4" w:space="0"/>
              <w:right w:val="single" w:color="auto" w:sz="4" w:space="0"/>
            </w:tcBorders>
            <w:noWrap w:val="0"/>
            <w:vAlign w:val="center"/>
          </w:tcPr>
          <w:p w14:paraId="2A11C693">
            <w:pPr>
              <w:widowControl/>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3</w:t>
            </w:r>
          </w:p>
        </w:tc>
        <w:tc>
          <w:tcPr>
            <w:tcW w:w="1402" w:type="dxa"/>
            <w:tcBorders>
              <w:top w:val="single" w:color="auto" w:sz="4" w:space="0"/>
              <w:left w:val="single" w:color="auto" w:sz="4" w:space="0"/>
              <w:right w:val="single" w:color="auto" w:sz="4" w:space="0"/>
            </w:tcBorders>
            <w:shd w:val="clear" w:color="auto" w:fill="auto"/>
            <w:noWrap w:val="0"/>
            <w:vAlign w:val="center"/>
          </w:tcPr>
          <w:p w14:paraId="1864ECDC">
            <w:pPr>
              <w:spacing w:line="300" w:lineRule="exact"/>
              <w:jc w:val="center"/>
              <w:rPr>
                <w:rFonts w:hint="eastAsia" w:ascii="宋体" w:hAnsi="Times New Roman" w:eastAsia="宋体" w:cs="宋体"/>
                <w:color w:val="000000"/>
                <w:sz w:val="24"/>
                <w:szCs w:val="24"/>
                <w:highlight w:val="none"/>
                <w:lang w:val="en-US" w:eastAsia="zh-CN" w:bidi="ar-SA"/>
              </w:rPr>
            </w:pPr>
            <w:r>
              <w:rPr>
                <w:rFonts w:hint="eastAsia" w:ascii="宋体" w:hAnsi="宋体" w:cs="宋体"/>
                <w:sz w:val="24"/>
                <w:szCs w:val="24"/>
                <w:highlight w:val="none"/>
              </w:rPr>
              <w:t>投标企业情况</w:t>
            </w:r>
          </w:p>
        </w:tc>
        <w:tc>
          <w:tcPr>
            <w:tcW w:w="48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1794F23">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left"/>
              <w:textAlignment w:val="auto"/>
              <w:outlineLvl w:val="9"/>
              <w:rPr>
                <w:rFonts w:hint="eastAsia" w:ascii="宋体" w:hAnsi="Times New Roman" w:eastAsia="宋体" w:cs="宋体"/>
                <w:bCs w:val="0"/>
                <w:color w:val="auto"/>
                <w:sz w:val="24"/>
                <w:szCs w:val="24"/>
                <w:highlight w:val="none"/>
              </w:rPr>
            </w:pPr>
            <w:r>
              <w:rPr>
                <w:rFonts w:hint="eastAsia" w:ascii="宋体" w:hAnsi="Times New Roman" w:eastAsia="宋体" w:cs="宋体"/>
                <w:bCs w:val="0"/>
                <w:color w:val="auto"/>
                <w:sz w:val="24"/>
                <w:szCs w:val="24"/>
                <w:highlight w:val="none"/>
              </w:rPr>
              <w:t>根据供应商的履约能力、技术水平等综合服务能力情况进行评分；</w:t>
            </w:r>
          </w:p>
          <w:p w14:paraId="7EEC4914">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left"/>
              <w:textAlignment w:val="auto"/>
              <w:outlineLvl w:val="9"/>
              <w:rPr>
                <w:rFonts w:hint="eastAsia" w:ascii="宋体" w:hAnsi="Times New Roman" w:eastAsia="宋体" w:cs="宋体"/>
                <w:bCs w:val="0"/>
                <w:color w:val="auto"/>
                <w:sz w:val="24"/>
                <w:szCs w:val="24"/>
                <w:highlight w:val="none"/>
              </w:rPr>
            </w:pPr>
            <w:r>
              <w:rPr>
                <w:rFonts w:hint="eastAsia" w:ascii="宋体" w:hAnsi="Times New Roman" w:eastAsia="宋体" w:cs="宋体"/>
                <w:bCs w:val="0"/>
                <w:color w:val="auto"/>
                <w:sz w:val="24"/>
                <w:szCs w:val="24"/>
                <w:highlight w:val="none"/>
              </w:rPr>
              <w:t>供应商综服务能力、履约能力、技术水平均符合本项目需要的，</w:t>
            </w:r>
            <w:r>
              <w:rPr>
                <w:rFonts w:hint="eastAsia" w:ascii="宋体" w:hAnsi="Times New Roman" w:eastAsia="宋体" w:cs="宋体"/>
                <w:b w:val="0"/>
                <w:bCs w:val="0"/>
                <w:color w:val="auto"/>
                <w:sz w:val="24"/>
                <w:szCs w:val="24"/>
                <w:highlight w:val="none"/>
              </w:rPr>
              <w:t>得</w:t>
            </w:r>
            <w:r>
              <w:rPr>
                <w:rFonts w:hint="eastAsia" w:ascii="宋体" w:hAnsi="Times New Roman" w:eastAsia="宋体" w:cs="宋体"/>
                <w:b w:val="0"/>
                <w:bCs w:val="0"/>
                <w:color w:val="auto"/>
                <w:sz w:val="24"/>
                <w:szCs w:val="24"/>
                <w:highlight w:val="none"/>
                <w:lang w:val="en-US" w:eastAsia="zh-CN"/>
              </w:rPr>
              <w:t>3</w:t>
            </w:r>
            <w:r>
              <w:rPr>
                <w:rFonts w:hint="eastAsia" w:ascii="宋体" w:hAnsi="Times New Roman" w:eastAsia="宋体" w:cs="宋体"/>
                <w:b w:val="0"/>
                <w:bCs w:val="0"/>
                <w:color w:val="auto"/>
                <w:sz w:val="24"/>
                <w:szCs w:val="24"/>
                <w:highlight w:val="none"/>
              </w:rPr>
              <w:t>分；</w:t>
            </w:r>
          </w:p>
          <w:p w14:paraId="0F73D465">
            <w:pPr>
              <w:keepNext w:val="0"/>
              <w:keepLines w:val="0"/>
              <w:pageBreakBefore w:val="0"/>
              <w:widowControl/>
              <w:kinsoku/>
              <w:wordWrap/>
              <w:overflowPunct/>
              <w:topLinePunct w:val="0"/>
              <w:autoSpaceDE/>
              <w:autoSpaceDN/>
              <w:bidi w:val="0"/>
              <w:adjustRightInd/>
              <w:snapToGrid/>
              <w:spacing w:line="300" w:lineRule="exact"/>
              <w:ind w:left="0" w:leftChars="0" w:right="0" w:rightChars="0" w:firstLine="0" w:firstLineChars="0"/>
              <w:jc w:val="left"/>
              <w:textAlignment w:val="auto"/>
              <w:outlineLvl w:val="9"/>
              <w:rPr>
                <w:rFonts w:hint="eastAsia" w:ascii="宋体" w:hAnsi="Times New Roman" w:eastAsia="宋体" w:cs="宋体"/>
                <w:bCs w:val="0"/>
                <w:color w:val="auto"/>
                <w:sz w:val="24"/>
                <w:szCs w:val="24"/>
                <w:highlight w:val="none"/>
              </w:rPr>
            </w:pPr>
            <w:r>
              <w:rPr>
                <w:rFonts w:hint="eastAsia" w:ascii="宋体" w:hAnsi="Times New Roman" w:eastAsia="宋体" w:cs="宋体"/>
                <w:bCs w:val="0"/>
                <w:color w:val="auto"/>
                <w:sz w:val="24"/>
                <w:szCs w:val="24"/>
                <w:highlight w:val="none"/>
              </w:rPr>
              <w:t>供应商综合服务能力、履约能力、技术水平等一般，能基本满足本项目需要的，</w:t>
            </w:r>
            <w:r>
              <w:rPr>
                <w:rFonts w:hint="eastAsia" w:ascii="宋体" w:hAnsi="Times New Roman" w:eastAsia="宋体" w:cs="宋体"/>
                <w:b w:val="0"/>
                <w:bCs w:val="0"/>
                <w:color w:val="auto"/>
                <w:sz w:val="24"/>
                <w:szCs w:val="24"/>
                <w:highlight w:val="none"/>
              </w:rPr>
              <w:t>得</w:t>
            </w:r>
            <w:r>
              <w:rPr>
                <w:rFonts w:hint="eastAsia" w:ascii="宋体" w:hAnsi="Times New Roman" w:eastAsia="宋体" w:cs="宋体"/>
                <w:b w:val="0"/>
                <w:bCs w:val="0"/>
                <w:color w:val="auto"/>
                <w:sz w:val="24"/>
                <w:szCs w:val="24"/>
                <w:highlight w:val="none"/>
                <w:lang w:val="en-US" w:eastAsia="zh-CN"/>
              </w:rPr>
              <w:t>2</w:t>
            </w:r>
            <w:r>
              <w:rPr>
                <w:rFonts w:hint="eastAsia" w:ascii="宋体" w:hAnsi="Times New Roman" w:eastAsia="宋体" w:cs="宋体"/>
                <w:b w:val="0"/>
                <w:bCs w:val="0"/>
                <w:color w:val="auto"/>
                <w:sz w:val="24"/>
                <w:szCs w:val="24"/>
                <w:highlight w:val="none"/>
              </w:rPr>
              <w:t>分；</w:t>
            </w:r>
          </w:p>
          <w:p w14:paraId="1B5403BE">
            <w:pPr>
              <w:snapToGrid w:val="0"/>
              <w:spacing w:line="300" w:lineRule="exact"/>
              <w:rPr>
                <w:rFonts w:hint="eastAsia" w:ascii="宋体" w:hAnsi="Times New Roman" w:eastAsia="宋体" w:cs="宋体"/>
                <w:color w:val="auto"/>
                <w:sz w:val="24"/>
                <w:szCs w:val="24"/>
                <w:highlight w:val="none"/>
                <w:lang w:val="en-US" w:eastAsia="zh-CN" w:bidi="ar-SA"/>
              </w:rPr>
            </w:pPr>
            <w:r>
              <w:rPr>
                <w:rFonts w:hint="eastAsia" w:ascii="宋体" w:hAnsi="Times New Roman" w:eastAsia="宋体" w:cs="宋体"/>
                <w:bCs w:val="0"/>
                <w:color w:val="auto"/>
                <w:sz w:val="24"/>
                <w:szCs w:val="24"/>
                <w:highlight w:val="none"/>
              </w:rPr>
              <w:t>供应商各方面明显缺乏承接本项目所需的，</w:t>
            </w:r>
            <w:r>
              <w:rPr>
                <w:rFonts w:hint="eastAsia" w:ascii="宋体" w:hAnsi="Times New Roman" w:eastAsia="宋体" w:cs="宋体"/>
                <w:b w:val="0"/>
                <w:bCs w:val="0"/>
                <w:color w:val="auto"/>
                <w:sz w:val="24"/>
                <w:szCs w:val="24"/>
                <w:highlight w:val="none"/>
              </w:rPr>
              <w:t>得</w:t>
            </w:r>
            <w:r>
              <w:rPr>
                <w:rFonts w:hint="eastAsia" w:ascii="宋体" w:hAnsi="Times New Roman" w:eastAsia="宋体" w:cs="宋体"/>
                <w:b w:val="0"/>
                <w:bCs w:val="0"/>
                <w:color w:val="auto"/>
                <w:sz w:val="24"/>
                <w:szCs w:val="24"/>
                <w:highlight w:val="none"/>
                <w:lang w:val="en-US" w:eastAsia="zh-CN"/>
              </w:rPr>
              <w:t>0</w:t>
            </w:r>
            <w:r>
              <w:rPr>
                <w:rFonts w:hint="eastAsia" w:ascii="宋体" w:hAnsi="Times New Roman" w:eastAsia="宋体" w:cs="宋体"/>
                <w:b w:val="0"/>
                <w:bCs w:val="0"/>
                <w:color w:val="auto"/>
                <w:sz w:val="24"/>
                <w:szCs w:val="24"/>
                <w:highlight w:val="none"/>
              </w:rPr>
              <w:t>分。</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04ABC7F">
            <w:pPr>
              <w:spacing w:line="300" w:lineRule="exact"/>
              <w:jc w:val="center"/>
              <w:rPr>
                <w:rFonts w:hint="eastAsia" w:ascii="宋体" w:hAnsi="宋体" w:eastAsia="宋体" w:cs="宋体"/>
                <w:color w:val="000000"/>
                <w:sz w:val="24"/>
                <w:szCs w:val="24"/>
                <w:highlight w:val="none"/>
                <w:lang w:val="en-US" w:eastAsia="zh-CN" w:bidi="ar-SA"/>
              </w:rPr>
            </w:pPr>
            <w:r>
              <w:rPr>
                <w:rFonts w:hint="eastAsia" w:ascii="宋体" w:hAnsi="宋体" w:cs="宋体"/>
                <w:sz w:val="24"/>
                <w:szCs w:val="24"/>
                <w:highlight w:val="none"/>
              </w:rPr>
              <w:t>3</w:t>
            </w:r>
          </w:p>
        </w:tc>
      </w:tr>
      <w:tr w14:paraId="41E740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80" w:hRule="atLeast"/>
          <w:jc w:val="center"/>
        </w:trPr>
        <w:tc>
          <w:tcPr>
            <w:tcW w:w="806" w:type="dxa"/>
            <w:tcBorders>
              <w:top w:val="single" w:color="auto" w:sz="4" w:space="0"/>
              <w:left w:val="single" w:color="auto" w:sz="4" w:space="0"/>
              <w:right w:val="single" w:color="auto" w:sz="4" w:space="0"/>
            </w:tcBorders>
            <w:noWrap w:val="0"/>
            <w:vAlign w:val="center"/>
          </w:tcPr>
          <w:p w14:paraId="1CC35C98">
            <w:pPr>
              <w:widowControl/>
              <w:spacing w:line="300" w:lineRule="exact"/>
              <w:jc w:val="center"/>
              <w:rPr>
                <w:rFonts w:hint="eastAsia" w:ascii="宋体" w:hAnsi="宋体" w:cs="宋体"/>
                <w:sz w:val="24"/>
                <w:szCs w:val="24"/>
                <w:highlight w:val="none"/>
                <w:lang w:val="en-US" w:eastAsia="zh-CN"/>
              </w:rPr>
            </w:pPr>
            <w:r>
              <w:rPr>
                <w:rFonts w:hint="eastAsia" w:ascii="宋体" w:hAnsi="宋体" w:cs="宋体"/>
                <w:sz w:val="24"/>
                <w:szCs w:val="24"/>
                <w:highlight w:val="none"/>
                <w:lang w:val="en-US" w:eastAsia="zh-CN"/>
              </w:rPr>
              <w:t>4</w:t>
            </w:r>
          </w:p>
          <w:p w14:paraId="129383D4">
            <w:pPr>
              <w:spacing w:line="300" w:lineRule="exact"/>
              <w:jc w:val="center"/>
              <w:rPr>
                <w:rFonts w:hint="eastAsia" w:ascii="宋体" w:hAnsi="宋体" w:eastAsia="宋体" w:cs="宋体"/>
                <w:sz w:val="24"/>
                <w:szCs w:val="24"/>
                <w:highlight w:val="none"/>
                <w:lang w:val="en-US" w:eastAsia="zh-CN"/>
              </w:rPr>
            </w:pPr>
          </w:p>
        </w:tc>
        <w:tc>
          <w:tcPr>
            <w:tcW w:w="1402" w:type="dxa"/>
            <w:tcBorders>
              <w:top w:val="single" w:color="auto" w:sz="4" w:space="0"/>
              <w:left w:val="single" w:color="auto" w:sz="4" w:space="0"/>
              <w:right w:val="single" w:color="auto" w:sz="4" w:space="0"/>
            </w:tcBorders>
            <w:shd w:val="clear" w:color="auto" w:fill="auto"/>
            <w:noWrap w:val="0"/>
            <w:vAlign w:val="center"/>
          </w:tcPr>
          <w:p w14:paraId="1B982B6C">
            <w:pPr>
              <w:widowControl/>
              <w:jc w:val="center"/>
              <w:rPr>
                <w:rFonts w:ascii="宋体" w:hAnsi="Times New Roman" w:eastAsia="宋体" w:cs="宋体"/>
                <w:color w:val="000000"/>
                <w:sz w:val="24"/>
                <w:szCs w:val="24"/>
                <w:highlight w:val="none"/>
                <w:lang w:val="en-US" w:eastAsia="zh-CN" w:bidi="ar-SA"/>
              </w:rPr>
            </w:pPr>
            <w:r>
              <w:rPr>
                <w:rFonts w:hint="eastAsia" w:ascii="宋体" w:cs="宋体"/>
                <w:color w:val="000000"/>
                <w:sz w:val="24"/>
                <w:szCs w:val="24"/>
                <w:highlight w:val="none"/>
                <w:lang w:val="en-US" w:eastAsia="zh-CN" w:bidi="ar-SA"/>
              </w:rPr>
              <w:t>技术指标</w:t>
            </w:r>
          </w:p>
        </w:tc>
        <w:tc>
          <w:tcPr>
            <w:tcW w:w="48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BD555D">
            <w:pPr>
              <w:spacing w:line="300" w:lineRule="exact"/>
              <w:rPr>
                <w:rFonts w:hint="eastAsia" w:ascii="宋体" w:hAnsi="Times New Roman" w:eastAsia="宋体" w:cs="宋体"/>
                <w:color w:val="000000"/>
                <w:sz w:val="24"/>
                <w:szCs w:val="24"/>
                <w:highlight w:val="none"/>
                <w:lang w:val="en-US" w:eastAsia="zh-CN" w:bidi="ar-SA"/>
              </w:rPr>
            </w:pPr>
            <w:r>
              <w:rPr>
                <w:rFonts w:hint="eastAsia" w:ascii="宋体" w:hAnsi="宋体" w:cs="宋体"/>
                <w:color w:val="auto"/>
                <w:sz w:val="24"/>
                <w:szCs w:val="24"/>
                <w:highlight w:val="none"/>
                <w:lang w:val="zh-CN"/>
              </w:rPr>
              <w:t>投标人所投产品与采购需求</w:t>
            </w:r>
            <w:r>
              <w:rPr>
                <w:rFonts w:hint="eastAsia" w:ascii="宋体" w:hAnsi="宋体" w:cs="宋体"/>
                <w:color w:val="auto"/>
                <w:sz w:val="24"/>
                <w:szCs w:val="24"/>
                <w:highlight w:val="none"/>
              </w:rPr>
              <w:t>中的</w:t>
            </w:r>
            <w:r>
              <w:rPr>
                <w:rFonts w:hint="eastAsia" w:ascii="宋体" w:hAnsi="宋体" w:cs="宋体"/>
                <w:color w:val="auto"/>
                <w:sz w:val="24"/>
                <w:szCs w:val="24"/>
                <w:highlight w:val="none"/>
                <w:lang w:bidi="ar"/>
              </w:rPr>
              <w:t>“采购清单”</w:t>
            </w:r>
            <w:r>
              <w:rPr>
                <w:rFonts w:hint="eastAsia" w:ascii="宋体" w:hAnsi="宋体" w:cs="宋体"/>
                <w:color w:val="auto"/>
                <w:sz w:val="24"/>
                <w:szCs w:val="24"/>
                <w:highlight w:val="none"/>
                <w:lang w:val="zh-CN"/>
              </w:rPr>
              <w:t>的满足情况</w:t>
            </w:r>
            <w:r>
              <w:rPr>
                <w:rFonts w:hint="eastAsia" w:ascii="宋体" w:hAnsi="宋体" w:eastAsia="宋体" w:cs="宋体"/>
                <w:color w:val="auto"/>
                <w:sz w:val="24"/>
                <w:szCs w:val="24"/>
                <w:highlight w:val="none"/>
              </w:rPr>
              <w:t>，完全满足招标文件要求的，得</w:t>
            </w:r>
            <w:r>
              <w:rPr>
                <w:rFonts w:hint="eastAsia" w:ascii="宋体" w:hAnsi="宋体" w:eastAsia="宋体" w:cs="宋体"/>
                <w:color w:val="auto"/>
                <w:sz w:val="24"/>
                <w:szCs w:val="24"/>
                <w:highlight w:val="none"/>
                <w:lang w:val="en-US" w:eastAsia="zh-CN"/>
              </w:rPr>
              <w:t>30</w:t>
            </w:r>
            <w:r>
              <w:rPr>
                <w:rFonts w:hint="eastAsia" w:ascii="宋体" w:hAnsi="宋体" w:eastAsia="宋体" w:cs="宋体"/>
                <w:color w:val="auto"/>
                <w:sz w:val="24"/>
                <w:szCs w:val="24"/>
                <w:highlight w:val="none"/>
              </w:rPr>
              <w:t>分；</w:t>
            </w:r>
            <w:r>
              <w:rPr>
                <w:rFonts w:hint="eastAsia" w:ascii="宋体" w:hAnsi="宋体" w:eastAsia="宋体" w:cs="宋体"/>
                <w:color w:val="auto"/>
                <w:sz w:val="24"/>
                <w:szCs w:val="24"/>
                <w:highlight w:val="none"/>
                <w:lang w:val="zh-CN"/>
              </w:rPr>
              <w:t>带“★”号指标为必须满足招标文件要求，如出现负偏离，则做无效投标处理；</w:t>
            </w:r>
            <w:r>
              <w:rPr>
                <w:rFonts w:hint="eastAsia" w:ascii="宋体" w:hAnsi="宋体" w:eastAsia="宋体" w:cs="宋体"/>
                <w:color w:val="auto"/>
                <w:sz w:val="24"/>
                <w:szCs w:val="24"/>
                <w:highlight w:val="none"/>
              </w:rPr>
              <w:t>带“▲”关键技术参数要求，存在负偏离或缺漏项或与实际系统不相符的每项扣</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分；其他技术指标有负偏离或与实际系统不相符的，每项扣</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分；扣完为止。</w:t>
            </w:r>
          </w:p>
        </w:tc>
        <w:tc>
          <w:tcPr>
            <w:tcW w:w="1133" w:type="dxa"/>
            <w:tcBorders>
              <w:top w:val="single" w:color="auto" w:sz="4" w:space="0"/>
              <w:left w:val="single" w:color="auto" w:sz="4" w:space="0"/>
              <w:right w:val="single" w:color="auto" w:sz="4" w:space="0"/>
            </w:tcBorders>
            <w:shd w:val="clear" w:color="auto" w:fill="auto"/>
            <w:noWrap w:val="0"/>
            <w:vAlign w:val="center"/>
          </w:tcPr>
          <w:p w14:paraId="29A7B346">
            <w:pPr>
              <w:spacing w:line="300" w:lineRule="exact"/>
              <w:jc w:val="center"/>
              <w:rPr>
                <w:rFonts w:hint="default" w:ascii="宋体" w:hAnsi="宋体" w:eastAsia="宋体" w:cs="宋体"/>
                <w:color w:val="000000"/>
                <w:sz w:val="24"/>
                <w:szCs w:val="24"/>
                <w:highlight w:val="none"/>
                <w:lang w:val="en-US" w:eastAsia="zh-CN" w:bidi="ar-SA"/>
              </w:rPr>
            </w:pPr>
            <w:r>
              <w:rPr>
                <w:rFonts w:hint="eastAsia" w:ascii="宋体" w:cs="宋体"/>
                <w:sz w:val="24"/>
                <w:szCs w:val="24"/>
                <w:highlight w:val="none"/>
                <w:lang w:val="en-US" w:eastAsia="zh-CN"/>
              </w:rPr>
              <w:t>30</w:t>
            </w:r>
          </w:p>
        </w:tc>
      </w:tr>
      <w:tr w14:paraId="3AEA1E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56" w:hRule="atLeast"/>
          <w:jc w:val="center"/>
        </w:trPr>
        <w:tc>
          <w:tcPr>
            <w:tcW w:w="806" w:type="dxa"/>
            <w:tcBorders>
              <w:top w:val="single" w:color="auto" w:sz="4" w:space="0"/>
              <w:left w:val="single" w:color="auto" w:sz="4" w:space="0"/>
              <w:right w:val="single" w:color="auto" w:sz="4" w:space="0"/>
            </w:tcBorders>
            <w:noWrap w:val="0"/>
            <w:vAlign w:val="center"/>
          </w:tcPr>
          <w:p w14:paraId="68948AA5">
            <w:pPr>
              <w:spacing w:line="300" w:lineRule="exact"/>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5</w:t>
            </w:r>
          </w:p>
        </w:tc>
        <w:tc>
          <w:tcPr>
            <w:tcW w:w="1402" w:type="dxa"/>
            <w:tcBorders>
              <w:top w:val="single" w:color="auto" w:sz="4" w:space="0"/>
              <w:left w:val="single" w:color="auto" w:sz="4" w:space="0"/>
              <w:right w:val="single" w:color="auto" w:sz="4" w:space="0"/>
            </w:tcBorders>
            <w:shd w:val="clear" w:color="auto" w:fill="auto"/>
            <w:noWrap w:val="0"/>
            <w:vAlign w:val="center"/>
          </w:tcPr>
          <w:p w14:paraId="6D1A9D66">
            <w:pPr>
              <w:widowControl/>
              <w:jc w:val="center"/>
              <w:rPr>
                <w:rFonts w:hint="default" w:ascii="宋体" w:hAnsi="Times New Roman" w:eastAsia="宋体" w:cs="宋体"/>
                <w:color w:val="000000"/>
                <w:sz w:val="24"/>
                <w:szCs w:val="24"/>
                <w:highlight w:val="none"/>
                <w:lang w:val="en-US" w:eastAsia="zh-CN" w:bidi="ar-SA"/>
              </w:rPr>
            </w:pPr>
            <w:r>
              <w:rPr>
                <w:rFonts w:hint="eastAsia" w:hAnsi="宋体"/>
                <w:kern w:val="2"/>
                <w:sz w:val="24"/>
                <w:szCs w:val="24"/>
                <w:highlight w:val="none"/>
                <w:lang w:val="en-US" w:eastAsia="zh-CN"/>
              </w:rPr>
              <w:t>应急方案</w:t>
            </w:r>
          </w:p>
        </w:tc>
        <w:tc>
          <w:tcPr>
            <w:tcW w:w="48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6536931">
            <w:pPr>
              <w:spacing w:line="300" w:lineRule="exact"/>
              <w:rPr>
                <w:rFonts w:hint="eastAsia" w:ascii="宋体" w:hAnsi="Times New Roman" w:eastAsia="宋体" w:cs="宋体"/>
                <w:color w:val="000000"/>
                <w:sz w:val="24"/>
                <w:szCs w:val="24"/>
                <w:highlight w:val="none"/>
                <w:lang w:val="en-US" w:eastAsia="zh-CN" w:bidi="ar-SA"/>
              </w:rPr>
            </w:pPr>
            <w:r>
              <w:rPr>
                <w:rFonts w:hint="eastAsia" w:ascii="宋体" w:hAnsi="宋体" w:eastAsia="宋体" w:cs="宋体"/>
                <w:color w:val="auto"/>
                <w:sz w:val="24"/>
                <w:szCs w:val="24"/>
                <w:highlight w:val="none"/>
              </w:rPr>
              <w:t>根据</w:t>
            </w:r>
            <w:r>
              <w:rPr>
                <w:rFonts w:hint="eastAsia" w:ascii="宋体" w:hAnsi="宋体" w:eastAsia="宋体" w:cs="宋体"/>
                <w:color w:val="auto"/>
                <w:sz w:val="24"/>
                <w:szCs w:val="24"/>
                <w:highlight w:val="none"/>
                <w:lang w:val="en-US" w:eastAsia="zh-CN"/>
              </w:rPr>
              <w:t>投标人</w:t>
            </w:r>
            <w:r>
              <w:rPr>
                <w:rFonts w:hint="eastAsia" w:ascii="宋体" w:hAnsi="宋体" w:eastAsia="宋体" w:cs="宋体"/>
                <w:color w:val="auto"/>
                <w:sz w:val="24"/>
                <w:szCs w:val="24"/>
                <w:highlight w:val="none"/>
              </w:rPr>
              <w:t>提供的应急</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案进行</w:t>
            </w:r>
            <w:r>
              <w:rPr>
                <w:rFonts w:hint="eastAsia" w:ascii="宋体" w:hAnsi="宋体" w:eastAsia="宋体" w:cs="宋体"/>
                <w:color w:val="auto"/>
                <w:sz w:val="24"/>
                <w:szCs w:val="24"/>
                <w:highlight w:val="none"/>
                <w:lang w:val="en-US" w:eastAsia="zh-CN"/>
              </w:rPr>
              <w:t>综合评分；</w:t>
            </w:r>
            <w:r>
              <w:rPr>
                <w:rFonts w:hint="eastAsia" w:ascii="宋体" w:hAnsi="宋体" w:eastAsia="宋体" w:cs="宋体"/>
                <w:color w:val="auto"/>
                <w:sz w:val="24"/>
                <w:szCs w:val="24"/>
                <w:highlight w:val="none"/>
              </w:rPr>
              <w:t>应急</w:t>
            </w:r>
            <w:r>
              <w:rPr>
                <w:rFonts w:hint="eastAsia" w:ascii="宋体" w:hAnsi="宋体" w:eastAsia="宋体" w:cs="宋体"/>
                <w:color w:val="auto"/>
                <w:sz w:val="24"/>
                <w:szCs w:val="24"/>
                <w:highlight w:val="none"/>
                <w:lang w:val="en-US" w:eastAsia="zh-CN"/>
              </w:rPr>
              <w:t>方</w:t>
            </w:r>
            <w:r>
              <w:rPr>
                <w:rFonts w:hint="eastAsia" w:ascii="宋体" w:hAnsi="宋体" w:eastAsia="宋体" w:cs="宋体"/>
                <w:color w:val="auto"/>
                <w:sz w:val="24"/>
                <w:szCs w:val="24"/>
                <w:highlight w:val="none"/>
              </w:rPr>
              <w:t>案包括：预防及预警机制、运维应急、应急及善后处置、监督管理的关键步骤等</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应急方案内容完整、科学、有效应急的得</w:t>
            </w:r>
            <w:r>
              <w:rPr>
                <w:rFonts w:hint="eastAsia" w:ascii="宋体" w:hAnsi="宋体" w:eastAsia="宋体" w:cs="宋体"/>
                <w:color w:val="auto"/>
                <w:sz w:val="24"/>
                <w:szCs w:val="24"/>
                <w:highlight w:val="none"/>
                <w:lang w:val="zh-CN" w:eastAsia="zh-CN"/>
              </w:rPr>
              <w:t>（3,5]分；</w:t>
            </w:r>
            <w:r>
              <w:rPr>
                <w:rFonts w:hint="eastAsia" w:ascii="宋体" w:hAnsi="宋体" w:eastAsia="宋体" w:cs="宋体"/>
                <w:color w:val="auto"/>
                <w:sz w:val="24"/>
                <w:szCs w:val="24"/>
                <w:highlight w:val="none"/>
                <w:lang w:val="en-US" w:eastAsia="zh-CN"/>
              </w:rPr>
              <w:t>应急方案内容有欠缺、响应一般的</w:t>
            </w:r>
            <w:r>
              <w:rPr>
                <w:rFonts w:hint="eastAsia" w:ascii="宋体" w:hAnsi="宋体" w:eastAsia="宋体" w:cs="宋体"/>
                <w:color w:val="auto"/>
                <w:sz w:val="24"/>
                <w:szCs w:val="24"/>
                <w:highlight w:val="none"/>
                <w:lang w:val="zh-CN" w:eastAsia="zh-CN"/>
              </w:rPr>
              <w:t>得（1,3]分；</w:t>
            </w:r>
            <w:r>
              <w:rPr>
                <w:rFonts w:hint="eastAsia" w:ascii="宋体" w:hAnsi="宋体" w:eastAsia="宋体" w:cs="宋体"/>
                <w:color w:val="auto"/>
                <w:sz w:val="24"/>
                <w:szCs w:val="24"/>
                <w:highlight w:val="none"/>
                <w:lang w:val="en-US" w:eastAsia="zh-CN"/>
              </w:rPr>
              <w:t>应急方案内容有欠缺、响应较差</w:t>
            </w:r>
            <w:r>
              <w:rPr>
                <w:rFonts w:hint="eastAsia" w:ascii="宋体" w:hAnsi="宋体" w:eastAsia="宋体" w:cs="宋体"/>
                <w:color w:val="auto"/>
                <w:sz w:val="24"/>
                <w:szCs w:val="24"/>
                <w:highlight w:val="none"/>
                <w:lang w:val="zh-CN" w:eastAsia="zh-CN"/>
              </w:rPr>
              <w:t>的得[0,1]分。</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E9A6AA9">
            <w:pPr>
              <w:spacing w:line="300" w:lineRule="exact"/>
              <w:jc w:val="center"/>
              <w:rPr>
                <w:rFonts w:hint="eastAsia" w:ascii="宋体" w:hAnsi="Times New Roman" w:eastAsia="宋体" w:cs="宋体"/>
                <w:color w:val="000000"/>
                <w:sz w:val="24"/>
                <w:szCs w:val="24"/>
                <w:highlight w:val="none"/>
                <w:lang w:val="en-US" w:eastAsia="zh-CN" w:bidi="ar-SA"/>
              </w:rPr>
            </w:pPr>
            <w:r>
              <w:rPr>
                <w:rFonts w:hint="eastAsia" w:ascii="宋体" w:hAnsi="宋体" w:cs="宋体"/>
                <w:sz w:val="24"/>
                <w:szCs w:val="24"/>
                <w:highlight w:val="none"/>
                <w:lang w:val="en-US" w:eastAsia="zh-CN"/>
              </w:rPr>
              <w:t>5</w:t>
            </w:r>
          </w:p>
        </w:tc>
      </w:tr>
      <w:tr w14:paraId="3CC785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40" w:hRule="atLeast"/>
          <w:jc w:val="center"/>
        </w:trPr>
        <w:tc>
          <w:tcPr>
            <w:tcW w:w="806" w:type="dxa"/>
            <w:tcBorders>
              <w:top w:val="single" w:color="auto" w:sz="4" w:space="0"/>
              <w:left w:val="single" w:color="auto" w:sz="4" w:space="0"/>
              <w:bottom w:val="single" w:color="auto" w:sz="4" w:space="0"/>
              <w:right w:val="single" w:color="auto" w:sz="4" w:space="0"/>
            </w:tcBorders>
            <w:noWrap w:val="0"/>
            <w:vAlign w:val="center"/>
          </w:tcPr>
          <w:p w14:paraId="0EBCE019">
            <w:pPr>
              <w:spacing w:line="300" w:lineRule="exact"/>
              <w:jc w:val="center"/>
              <w:rPr>
                <w:rFonts w:hint="eastAsia" w:ascii="宋体" w:hAnsi="宋体" w:eastAsia="宋体" w:cs="宋体"/>
                <w:sz w:val="24"/>
                <w:szCs w:val="24"/>
                <w:highlight w:val="none"/>
                <w:lang w:val="en-US" w:eastAsia="zh-CN"/>
              </w:rPr>
            </w:pPr>
            <w:r>
              <w:rPr>
                <w:rFonts w:hint="eastAsia" w:ascii="宋体" w:hAnsi="宋体" w:cs="宋体"/>
                <w:sz w:val="24"/>
                <w:szCs w:val="24"/>
                <w:highlight w:val="none"/>
                <w:lang w:val="en-US" w:eastAsia="zh-CN"/>
              </w:rPr>
              <w:t>6</w:t>
            </w:r>
          </w:p>
        </w:tc>
        <w:tc>
          <w:tcPr>
            <w:tcW w:w="14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679BB58B">
            <w:pPr>
              <w:widowControl/>
              <w:jc w:val="center"/>
              <w:rPr>
                <w:rFonts w:ascii="宋体" w:hAnsi="Times New Roman" w:eastAsia="宋体" w:cs="宋体"/>
                <w:color w:val="000000"/>
                <w:sz w:val="24"/>
                <w:szCs w:val="24"/>
                <w:highlight w:val="none"/>
                <w:lang w:val="en-US" w:eastAsia="zh-CN" w:bidi="ar-SA"/>
              </w:rPr>
            </w:pPr>
            <w:r>
              <w:rPr>
                <w:rFonts w:hint="eastAsia" w:ascii="宋体" w:hAnsi="宋体" w:cs="宋体"/>
                <w:sz w:val="24"/>
                <w:szCs w:val="24"/>
                <w:highlight w:val="none"/>
              </w:rPr>
              <w:t>实施计划</w:t>
            </w:r>
          </w:p>
        </w:tc>
        <w:tc>
          <w:tcPr>
            <w:tcW w:w="48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2A012D6F">
            <w:pPr>
              <w:spacing w:line="300" w:lineRule="exact"/>
              <w:rPr>
                <w:rFonts w:hint="eastAsia" w:ascii="宋体" w:hAnsi="宋体" w:eastAsia="宋体" w:cs="宋体"/>
                <w:color w:val="auto"/>
                <w:sz w:val="24"/>
                <w:szCs w:val="24"/>
                <w:highlight w:val="none"/>
                <w:lang w:val="zh-CN" w:eastAsia="zh-CN" w:bidi="ar-SA"/>
              </w:rPr>
            </w:pPr>
            <w:r>
              <w:rPr>
                <w:rFonts w:hint="eastAsia" w:ascii="宋体" w:hAnsi="宋体" w:eastAsia="宋体" w:cs="宋体"/>
                <w:color w:val="auto"/>
                <w:sz w:val="24"/>
                <w:szCs w:val="24"/>
                <w:highlight w:val="none"/>
                <w:lang w:val="zh-CN" w:eastAsia="zh-CN"/>
              </w:rPr>
              <w:t>根据</w:t>
            </w:r>
            <w:r>
              <w:rPr>
                <w:rFonts w:hint="eastAsia" w:ascii="宋体" w:hAnsi="宋体" w:eastAsia="宋体" w:cs="宋体"/>
                <w:color w:val="auto"/>
                <w:sz w:val="24"/>
                <w:szCs w:val="24"/>
                <w:highlight w:val="none"/>
                <w:lang w:val="zh-CN"/>
              </w:rPr>
              <w:t>项目安装、调试和系统集成具体实施计划科学性、合理性和有效性等情况打分</w:t>
            </w:r>
            <w:r>
              <w:rPr>
                <w:rFonts w:hint="eastAsia" w:ascii="宋体" w:hAnsi="宋体" w:eastAsia="宋体" w:cs="宋体"/>
                <w:color w:val="auto"/>
                <w:sz w:val="24"/>
                <w:szCs w:val="24"/>
                <w:highlight w:val="none"/>
                <w:lang w:val="zh-CN" w:eastAsia="zh-CN"/>
              </w:rPr>
              <w:t>，实施计划内容完整、</w:t>
            </w:r>
            <w:r>
              <w:rPr>
                <w:rFonts w:hint="eastAsia" w:ascii="宋体" w:hAnsi="宋体" w:eastAsia="宋体" w:cs="宋体"/>
                <w:color w:val="auto"/>
                <w:sz w:val="24"/>
                <w:szCs w:val="24"/>
                <w:highlight w:val="none"/>
                <w:lang w:val="zh-CN"/>
              </w:rPr>
              <w:t>可行</w:t>
            </w:r>
            <w:r>
              <w:rPr>
                <w:rFonts w:hint="eastAsia" w:ascii="宋体" w:hAnsi="宋体" w:eastAsia="宋体" w:cs="宋体"/>
                <w:color w:val="auto"/>
                <w:sz w:val="24"/>
                <w:szCs w:val="24"/>
                <w:highlight w:val="none"/>
                <w:lang w:val="zh-CN" w:eastAsia="zh-CN"/>
              </w:rPr>
              <w:t>性强、</w:t>
            </w:r>
            <w:r>
              <w:rPr>
                <w:rFonts w:hint="eastAsia" w:ascii="宋体" w:hAnsi="宋体" w:eastAsia="宋体" w:cs="宋体"/>
                <w:color w:val="auto"/>
                <w:sz w:val="24"/>
                <w:szCs w:val="24"/>
                <w:highlight w:val="none"/>
                <w:lang w:val="zh-CN"/>
              </w:rPr>
              <w:t>科学</w:t>
            </w:r>
            <w:r>
              <w:rPr>
                <w:rFonts w:hint="eastAsia" w:ascii="宋体" w:hAnsi="宋体" w:eastAsia="宋体" w:cs="宋体"/>
                <w:color w:val="auto"/>
                <w:sz w:val="24"/>
                <w:szCs w:val="24"/>
                <w:highlight w:val="none"/>
                <w:lang w:val="zh-CN" w:eastAsia="zh-CN"/>
              </w:rPr>
              <w:t>的得</w:t>
            </w:r>
            <w:r>
              <w:rPr>
                <w:rFonts w:hint="eastAsia" w:ascii="宋体" w:hAnsi="宋体" w:eastAsia="宋体" w:cs="宋体"/>
                <w:b w:val="0"/>
                <w:color w:val="auto"/>
                <w:kern w:val="0"/>
                <w:sz w:val="24"/>
                <w:szCs w:val="24"/>
                <w:highlight w:val="none"/>
                <w:lang w:val="zh-CN" w:eastAsia="zh-CN" w:bidi="ar-SA"/>
              </w:rPr>
              <w:t>（3,5]分；</w:t>
            </w:r>
            <w:r>
              <w:rPr>
                <w:rFonts w:hint="eastAsia" w:ascii="宋体" w:hAnsi="宋体" w:eastAsia="宋体" w:cs="宋体"/>
                <w:color w:val="auto"/>
                <w:sz w:val="24"/>
                <w:szCs w:val="24"/>
                <w:highlight w:val="none"/>
                <w:lang w:val="zh-CN" w:eastAsia="zh-CN"/>
              </w:rPr>
              <w:t>实施计划内容有欠缺、</w:t>
            </w:r>
            <w:r>
              <w:rPr>
                <w:rFonts w:hint="eastAsia" w:ascii="宋体" w:hAnsi="宋体" w:eastAsia="宋体" w:cs="宋体"/>
                <w:color w:val="auto"/>
                <w:sz w:val="24"/>
                <w:szCs w:val="24"/>
                <w:highlight w:val="none"/>
                <w:lang w:val="zh-CN"/>
              </w:rPr>
              <w:t>可行</w:t>
            </w:r>
            <w:r>
              <w:rPr>
                <w:rFonts w:hint="eastAsia" w:ascii="宋体" w:hAnsi="宋体" w:eastAsia="宋体" w:cs="宋体"/>
                <w:color w:val="auto"/>
                <w:sz w:val="24"/>
                <w:szCs w:val="24"/>
                <w:highlight w:val="none"/>
                <w:lang w:val="zh-CN" w:eastAsia="zh-CN"/>
              </w:rPr>
              <w:t>性一般的得</w:t>
            </w:r>
            <w:r>
              <w:rPr>
                <w:rFonts w:hint="eastAsia" w:ascii="宋体" w:hAnsi="宋体" w:eastAsia="宋体" w:cs="宋体"/>
                <w:b w:val="0"/>
                <w:color w:val="auto"/>
                <w:kern w:val="0"/>
                <w:sz w:val="24"/>
                <w:szCs w:val="24"/>
                <w:highlight w:val="none"/>
                <w:lang w:val="zh-CN" w:eastAsia="zh-CN" w:bidi="ar-SA"/>
              </w:rPr>
              <w:t>（1,3]分；</w:t>
            </w:r>
            <w:r>
              <w:rPr>
                <w:rFonts w:hint="eastAsia" w:ascii="宋体" w:hAnsi="宋体" w:eastAsia="宋体" w:cs="宋体"/>
                <w:color w:val="auto"/>
                <w:sz w:val="24"/>
                <w:szCs w:val="24"/>
                <w:highlight w:val="none"/>
                <w:lang w:val="zh-CN" w:eastAsia="zh-CN"/>
              </w:rPr>
              <w:t>实施计划内容有欠缺、</w:t>
            </w:r>
            <w:r>
              <w:rPr>
                <w:rFonts w:hint="eastAsia" w:ascii="宋体" w:hAnsi="宋体" w:eastAsia="宋体" w:cs="宋体"/>
                <w:color w:val="auto"/>
                <w:sz w:val="24"/>
                <w:szCs w:val="24"/>
                <w:highlight w:val="none"/>
                <w:lang w:val="zh-CN"/>
              </w:rPr>
              <w:t>可行</w:t>
            </w:r>
            <w:r>
              <w:rPr>
                <w:rFonts w:hint="eastAsia" w:ascii="宋体" w:hAnsi="宋体" w:eastAsia="宋体" w:cs="宋体"/>
                <w:color w:val="auto"/>
                <w:sz w:val="24"/>
                <w:szCs w:val="24"/>
                <w:highlight w:val="none"/>
                <w:lang w:val="zh-CN" w:eastAsia="zh-CN"/>
              </w:rPr>
              <w:t>性差的得</w:t>
            </w:r>
            <w:r>
              <w:rPr>
                <w:rFonts w:hint="eastAsia" w:ascii="宋体" w:hAnsi="宋体" w:eastAsia="宋体" w:cs="宋体"/>
                <w:b w:val="0"/>
                <w:color w:val="auto"/>
                <w:kern w:val="0"/>
                <w:sz w:val="24"/>
                <w:szCs w:val="24"/>
                <w:highlight w:val="none"/>
                <w:lang w:val="zh-CN" w:eastAsia="zh-CN" w:bidi="ar-SA"/>
              </w:rPr>
              <w:t>[0,1]分。</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B90A10D">
            <w:pPr>
              <w:spacing w:line="300" w:lineRule="exact"/>
              <w:jc w:val="center"/>
              <w:rPr>
                <w:rFonts w:hint="eastAsia" w:ascii="宋体" w:hAnsi="宋体" w:eastAsia="宋体" w:cs="宋体"/>
                <w:color w:val="000000"/>
                <w:sz w:val="24"/>
                <w:szCs w:val="24"/>
                <w:highlight w:val="none"/>
                <w:lang w:val="en-US" w:eastAsia="zh-CN" w:bidi="ar-SA"/>
              </w:rPr>
            </w:pPr>
            <w:r>
              <w:rPr>
                <w:rFonts w:hint="eastAsia" w:ascii="宋体" w:hAnsi="宋体" w:cs="宋体"/>
                <w:sz w:val="24"/>
                <w:szCs w:val="24"/>
                <w:highlight w:val="none"/>
                <w:lang w:val="en-US" w:eastAsia="zh-CN"/>
              </w:rPr>
              <w:t>5</w:t>
            </w:r>
          </w:p>
        </w:tc>
      </w:tr>
      <w:tr w14:paraId="58273C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5" w:hRule="atLeast"/>
          <w:jc w:val="center"/>
        </w:trPr>
        <w:tc>
          <w:tcPr>
            <w:tcW w:w="806" w:type="dxa"/>
            <w:tcBorders>
              <w:top w:val="single" w:color="auto" w:sz="4" w:space="0"/>
              <w:left w:val="single" w:color="auto" w:sz="4" w:space="0"/>
              <w:bottom w:val="single" w:color="auto" w:sz="4" w:space="0"/>
              <w:right w:val="single" w:color="auto" w:sz="4" w:space="0"/>
            </w:tcBorders>
            <w:noWrap w:val="0"/>
            <w:vAlign w:val="center"/>
          </w:tcPr>
          <w:p w14:paraId="52ACD590">
            <w:pPr>
              <w:widowControl/>
              <w:jc w:val="center"/>
              <w:rPr>
                <w:rFonts w:hint="eastAsia" w:ascii="宋体" w:eastAsia="宋体" w:cs="宋体"/>
                <w:sz w:val="24"/>
                <w:szCs w:val="24"/>
                <w:highlight w:val="none"/>
                <w:lang w:val="en-US" w:eastAsia="zh-CN"/>
              </w:rPr>
            </w:pPr>
            <w:r>
              <w:rPr>
                <w:rFonts w:hint="eastAsia" w:ascii="宋体" w:cs="宋体"/>
                <w:sz w:val="24"/>
                <w:szCs w:val="24"/>
                <w:highlight w:val="none"/>
                <w:lang w:val="en-US" w:eastAsia="zh-CN"/>
              </w:rPr>
              <w:t>7</w:t>
            </w:r>
          </w:p>
        </w:tc>
        <w:tc>
          <w:tcPr>
            <w:tcW w:w="14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75A1E9F">
            <w:pPr>
              <w:widowControl/>
              <w:jc w:val="center"/>
              <w:rPr>
                <w:rFonts w:ascii="宋体" w:hAnsi="Times New Roman" w:eastAsia="宋体" w:cs="宋体"/>
                <w:color w:val="000000"/>
                <w:sz w:val="24"/>
                <w:szCs w:val="24"/>
                <w:highlight w:val="none"/>
                <w:lang w:val="en-US" w:eastAsia="zh-CN" w:bidi="ar-SA"/>
              </w:rPr>
            </w:pPr>
            <w:r>
              <w:rPr>
                <w:rFonts w:hint="eastAsia" w:ascii="宋体" w:cs="宋体"/>
                <w:color w:val="000000"/>
                <w:sz w:val="24"/>
                <w:szCs w:val="24"/>
                <w:highlight w:val="none"/>
                <w:lang w:val="en-US" w:eastAsia="zh-CN" w:bidi="ar-SA"/>
              </w:rPr>
              <w:t>项目了解情况</w:t>
            </w:r>
          </w:p>
        </w:tc>
        <w:tc>
          <w:tcPr>
            <w:tcW w:w="48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04043FBF">
            <w:pPr>
              <w:spacing w:line="300" w:lineRule="exact"/>
              <w:rPr>
                <w:rFonts w:hint="eastAsia" w:ascii="宋体" w:hAnsi="宋体" w:eastAsia="宋体" w:cs="宋体"/>
                <w:color w:val="auto"/>
                <w:sz w:val="24"/>
                <w:szCs w:val="24"/>
                <w:highlight w:val="none"/>
                <w:lang w:val="en-US" w:eastAsia="zh-CN" w:bidi="ar-SA"/>
              </w:rPr>
            </w:pPr>
            <w:r>
              <w:rPr>
                <w:rFonts w:hint="eastAsia" w:ascii="宋体" w:hAnsi="宋体" w:eastAsia="宋体" w:cs="宋体"/>
                <w:color w:val="auto"/>
                <w:sz w:val="24"/>
                <w:szCs w:val="24"/>
                <w:highlight w:val="none"/>
                <w:lang w:val="zh-CN" w:eastAsia="zh-CN"/>
              </w:rPr>
              <w:t>根据项目中涉及的设备和系统对接方案和实现情况打分，设备和系统对接方案内容科学、合理的得（</w:t>
            </w:r>
            <w:r>
              <w:rPr>
                <w:rFonts w:hint="eastAsia" w:ascii="宋体" w:hAnsi="宋体" w:cs="宋体"/>
                <w:color w:val="auto"/>
                <w:sz w:val="24"/>
                <w:szCs w:val="24"/>
                <w:highlight w:val="none"/>
                <w:lang w:val="en-US" w:eastAsia="zh-CN"/>
              </w:rPr>
              <w:t>2,3</w:t>
            </w:r>
            <w:r>
              <w:rPr>
                <w:rFonts w:hint="eastAsia" w:ascii="宋体" w:hAnsi="宋体" w:eastAsia="宋体" w:cs="宋体"/>
                <w:color w:val="auto"/>
                <w:sz w:val="24"/>
                <w:szCs w:val="24"/>
                <w:highlight w:val="none"/>
                <w:lang w:val="zh-CN" w:eastAsia="zh-CN"/>
              </w:rPr>
              <w:t>]分；设备和系统对接方案内容科学及合理性一般的得（1,</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zh-CN" w:eastAsia="zh-CN"/>
              </w:rPr>
              <w:t>]分；设备和系统对接方案内容科学及合理性差的得[0,1]分。</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F180159">
            <w:pPr>
              <w:spacing w:line="300" w:lineRule="exact"/>
              <w:ind w:firstLine="0" w:firstLineChars="0"/>
              <w:jc w:val="center"/>
              <w:rPr>
                <w:rFonts w:hint="eastAsia" w:ascii="宋体" w:hAnsi="宋体" w:eastAsia="宋体" w:cs="宋体"/>
                <w:color w:val="auto"/>
                <w:sz w:val="24"/>
                <w:szCs w:val="24"/>
                <w:highlight w:val="none"/>
                <w:lang w:val="en-US" w:eastAsia="zh-CN" w:bidi="ar-SA"/>
              </w:rPr>
            </w:pPr>
            <w:r>
              <w:rPr>
                <w:rFonts w:hint="eastAsia" w:ascii="宋体" w:hAnsi="宋体" w:cs="宋体"/>
                <w:color w:val="auto"/>
                <w:sz w:val="24"/>
                <w:szCs w:val="24"/>
                <w:highlight w:val="none"/>
                <w:lang w:val="en-US" w:eastAsia="zh-CN"/>
              </w:rPr>
              <w:t>3</w:t>
            </w:r>
          </w:p>
        </w:tc>
      </w:tr>
      <w:tr w14:paraId="1540F0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60" w:hRule="atLeast"/>
          <w:jc w:val="center"/>
        </w:trPr>
        <w:tc>
          <w:tcPr>
            <w:tcW w:w="806" w:type="dxa"/>
            <w:tcBorders>
              <w:top w:val="single" w:color="auto" w:sz="4" w:space="0"/>
              <w:left w:val="single" w:color="auto" w:sz="4" w:space="0"/>
              <w:bottom w:val="single" w:color="auto" w:sz="4" w:space="0"/>
              <w:right w:val="single" w:color="auto" w:sz="4" w:space="0"/>
            </w:tcBorders>
            <w:noWrap w:val="0"/>
            <w:vAlign w:val="center"/>
          </w:tcPr>
          <w:p w14:paraId="4908AF91">
            <w:pPr>
              <w:widowControl/>
              <w:jc w:val="center"/>
              <w:rPr>
                <w:rFonts w:hint="eastAsia" w:ascii="宋体" w:eastAsia="宋体" w:cs="宋体"/>
                <w:sz w:val="24"/>
                <w:szCs w:val="24"/>
                <w:highlight w:val="none"/>
                <w:lang w:val="en-US" w:eastAsia="zh-CN"/>
              </w:rPr>
            </w:pPr>
            <w:r>
              <w:rPr>
                <w:rFonts w:hint="eastAsia" w:ascii="宋体" w:cs="宋体"/>
                <w:sz w:val="24"/>
                <w:szCs w:val="24"/>
                <w:highlight w:val="none"/>
                <w:lang w:val="en-US" w:eastAsia="zh-CN"/>
              </w:rPr>
              <w:t>8</w:t>
            </w:r>
          </w:p>
        </w:tc>
        <w:tc>
          <w:tcPr>
            <w:tcW w:w="14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99526BF">
            <w:pPr>
              <w:widowControl/>
              <w:jc w:val="center"/>
              <w:rPr>
                <w:rFonts w:ascii="宋体" w:hAnsi="Times New Roman" w:eastAsia="宋体" w:cs="宋体"/>
                <w:color w:val="000000"/>
                <w:sz w:val="24"/>
                <w:szCs w:val="24"/>
                <w:highlight w:val="none"/>
                <w:lang w:val="en-US" w:eastAsia="zh-CN" w:bidi="ar-SA"/>
              </w:rPr>
            </w:pPr>
            <w:r>
              <w:rPr>
                <w:rFonts w:hint="eastAsia" w:ascii="宋体" w:cs="宋体"/>
                <w:color w:val="000000"/>
                <w:sz w:val="24"/>
                <w:szCs w:val="24"/>
                <w:highlight w:val="none"/>
                <w:lang w:val="en-US" w:eastAsia="zh-CN" w:bidi="ar-SA"/>
              </w:rPr>
              <w:t>项目拟派人员情况</w:t>
            </w:r>
          </w:p>
        </w:tc>
        <w:tc>
          <w:tcPr>
            <w:tcW w:w="48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4F5B224">
            <w:pPr>
              <w:pStyle w:val="11"/>
              <w:spacing w:line="360" w:lineRule="exact"/>
              <w:rPr>
                <w:rFonts w:hint="eastAsia" w:ascii="宋体" w:hAnsi="宋体" w:eastAsia="宋体" w:cs="宋体"/>
                <w:b w:val="0"/>
                <w:bCs/>
                <w:sz w:val="24"/>
                <w:szCs w:val="24"/>
                <w:highlight w:val="none"/>
                <w:lang w:val="en-US" w:eastAsia="zh-CN"/>
              </w:rPr>
            </w:pPr>
            <w:r>
              <w:rPr>
                <w:rFonts w:hint="eastAsia" w:ascii="宋体" w:hAnsi="宋体" w:cs="宋体"/>
                <w:b w:val="0"/>
                <w:bCs/>
                <w:sz w:val="24"/>
                <w:szCs w:val="24"/>
                <w:highlight w:val="none"/>
                <w:lang w:val="en-US" w:eastAsia="zh-CN"/>
              </w:rPr>
              <w:t>（1）</w:t>
            </w:r>
            <w:r>
              <w:rPr>
                <w:rFonts w:hint="eastAsia" w:ascii="宋体" w:hAnsi="宋体" w:eastAsia="宋体" w:cs="宋体"/>
                <w:b w:val="0"/>
                <w:bCs/>
                <w:sz w:val="24"/>
                <w:szCs w:val="24"/>
                <w:highlight w:val="none"/>
                <w:lang w:val="en-US" w:eastAsia="zh-CN"/>
              </w:rPr>
              <w:t>项目组负责人</w:t>
            </w:r>
            <w:r>
              <w:rPr>
                <w:rFonts w:hint="eastAsia" w:ascii="宋体" w:hAnsi="宋体" w:cs="宋体"/>
                <w:b w:val="0"/>
                <w:bCs/>
                <w:sz w:val="24"/>
                <w:szCs w:val="24"/>
                <w:highlight w:val="none"/>
                <w:lang w:val="en-US" w:eastAsia="zh-CN"/>
              </w:rPr>
              <w:t>具有</w:t>
            </w:r>
            <w:r>
              <w:rPr>
                <w:rFonts w:hint="eastAsia" w:ascii="宋体" w:hAnsi="宋体" w:eastAsia="宋体" w:cs="宋体"/>
                <w:b w:val="0"/>
                <w:bCs/>
                <w:sz w:val="24"/>
                <w:szCs w:val="24"/>
                <w:highlight w:val="none"/>
                <w:lang w:val="en-US" w:eastAsia="zh-CN"/>
              </w:rPr>
              <w:t>信息系统项目管理师证书、注册信息安全专业人员证书（cisp）的，每提供一个证书得1.5分，最高3分；</w:t>
            </w:r>
          </w:p>
          <w:p w14:paraId="198996F5">
            <w:pPr>
              <w:pStyle w:val="11"/>
              <w:spacing w:line="360" w:lineRule="exact"/>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（2）项目组人员情况（除项目组负责人以外）：配备至少6名专业人员，在此基础上每增加1人得0.5分，最高得3分；</w:t>
            </w:r>
          </w:p>
          <w:p w14:paraId="0864BE90">
            <w:pPr>
              <w:pStyle w:val="11"/>
              <w:spacing w:line="360" w:lineRule="exact"/>
              <w:rPr>
                <w:rFonts w:hint="eastAsia" w:ascii="宋体" w:hAnsi="宋体" w:eastAsia="宋体" w:cs="宋体"/>
                <w:b w:val="0"/>
                <w:bCs/>
                <w:sz w:val="24"/>
                <w:szCs w:val="24"/>
                <w:highlight w:val="none"/>
                <w:lang w:val="en-US" w:eastAsia="zh-CN"/>
              </w:rPr>
            </w:pPr>
            <w:r>
              <w:rPr>
                <w:rFonts w:hint="eastAsia" w:ascii="宋体" w:hAnsi="宋体" w:eastAsia="宋体" w:cs="宋体"/>
                <w:b w:val="0"/>
                <w:bCs/>
                <w:sz w:val="24"/>
                <w:szCs w:val="24"/>
                <w:highlight w:val="none"/>
                <w:lang w:val="en-US" w:eastAsia="zh-CN"/>
              </w:rPr>
              <w:t>（3）</w:t>
            </w:r>
            <w:r>
              <w:rPr>
                <w:rFonts w:ascii="宋体" w:hAnsi="宋体" w:eastAsia="宋体" w:cs="宋体"/>
                <w:b w:val="0"/>
                <w:bCs/>
                <w:sz w:val="24"/>
                <w:szCs w:val="24"/>
                <w:highlight w:val="none"/>
              </w:rPr>
              <w:t>项目组成员同时具有司法鉴定人执业资格证书和高级网络信息安全工程师证书的，每提供一名人员得1分，最高得3分</w:t>
            </w:r>
            <w:r>
              <w:rPr>
                <w:rFonts w:hint="eastAsia" w:ascii="宋体" w:hAnsi="宋体" w:eastAsia="宋体" w:cs="宋体"/>
                <w:b w:val="0"/>
                <w:bCs/>
                <w:sz w:val="24"/>
                <w:szCs w:val="24"/>
                <w:highlight w:val="none"/>
                <w:lang w:eastAsia="zh-CN"/>
              </w:rPr>
              <w:t>。</w:t>
            </w:r>
          </w:p>
          <w:p w14:paraId="2E62C93E">
            <w:pPr>
              <w:pStyle w:val="11"/>
              <w:spacing w:line="360" w:lineRule="exact"/>
              <w:rPr>
                <w:rFonts w:hint="eastAsia"/>
                <w:highlight w:val="none"/>
                <w:lang w:val="en-US" w:eastAsia="zh-CN"/>
              </w:rPr>
            </w:pPr>
            <w:r>
              <w:rPr>
                <w:rFonts w:hint="eastAsia" w:ascii="宋体" w:hAnsi="宋体" w:eastAsia="宋体" w:cs="宋体"/>
                <w:b/>
                <w:bCs w:val="0"/>
                <w:sz w:val="24"/>
                <w:szCs w:val="24"/>
                <w:highlight w:val="none"/>
                <w:lang w:val="en-US" w:eastAsia="zh-CN"/>
              </w:rPr>
              <w:t>投标文件中提供拟派人员清单、人员的相关证书及投标人</w:t>
            </w:r>
            <w:r>
              <w:rPr>
                <w:rFonts w:hint="eastAsia" w:ascii="宋体" w:hAnsi="宋体" w:cs="宋体"/>
                <w:b/>
                <w:bCs w:val="0"/>
                <w:sz w:val="24"/>
                <w:szCs w:val="24"/>
                <w:highlight w:val="none"/>
                <w:lang w:val="en-US" w:eastAsia="zh-CN"/>
              </w:rPr>
              <w:t>或全资子公司</w:t>
            </w:r>
            <w:r>
              <w:rPr>
                <w:rFonts w:hint="eastAsia" w:ascii="宋体" w:hAnsi="宋体" w:eastAsia="宋体" w:cs="宋体"/>
                <w:b/>
                <w:bCs w:val="0"/>
                <w:sz w:val="24"/>
                <w:szCs w:val="24"/>
                <w:highlight w:val="none"/>
                <w:lang w:val="en-US" w:eastAsia="zh-CN"/>
              </w:rPr>
              <w:t>为其缴纳的近三个月社保证明材料，否则不得分。</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E1146CE">
            <w:pPr>
              <w:spacing w:line="300" w:lineRule="exact"/>
              <w:jc w:val="center"/>
              <w:rPr>
                <w:rFonts w:hint="eastAsia" w:ascii="宋体" w:hAnsi="宋体" w:eastAsia="宋体" w:cs="宋体"/>
                <w:color w:val="000000"/>
                <w:sz w:val="24"/>
                <w:szCs w:val="24"/>
                <w:highlight w:val="none"/>
                <w:lang w:val="en-US" w:eastAsia="zh-CN" w:bidi="ar-SA"/>
              </w:rPr>
            </w:pPr>
            <w:r>
              <w:rPr>
                <w:rFonts w:hint="eastAsia" w:ascii="宋体" w:hAnsi="宋体" w:cs="宋体"/>
                <w:sz w:val="24"/>
                <w:szCs w:val="24"/>
                <w:highlight w:val="none"/>
                <w:lang w:val="en-US" w:eastAsia="zh-CN"/>
              </w:rPr>
              <w:t>9</w:t>
            </w:r>
          </w:p>
        </w:tc>
      </w:tr>
      <w:tr w14:paraId="47EE84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35" w:hRule="atLeast"/>
          <w:jc w:val="center"/>
        </w:trPr>
        <w:tc>
          <w:tcPr>
            <w:tcW w:w="806" w:type="dxa"/>
            <w:tcBorders>
              <w:top w:val="single" w:color="auto" w:sz="4" w:space="0"/>
              <w:left w:val="single" w:color="auto" w:sz="4" w:space="0"/>
              <w:bottom w:val="single" w:color="auto" w:sz="4" w:space="0"/>
              <w:right w:val="single" w:color="auto" w:sz="4" w:space="0"/>
            </w:tcBorders>
            <w:noWrap w:val="0"/>
            <w:vAlign w:val="center"/>
          </w:tcPr>
          <w:p w14:paraId="1FC942AB">
            <w:pPr>
              <w:widowControl/>
              <w:jc w:val="center"/>
              <w:rPr>
                <w:rFonts w:hint="default" w:ascii="宋体" w:eastAsia="宋体" w:cs="宋体"/>
                <w:sz w:val="24"/>
                <w:szCs w:val="24"/>
                <w:highlight w:val="none"/>
                <w:lang w:val="en-US" w:eastAsia="zh-CN"/>
              </w:rPr>
            </w:pPr>
            <w:r>
              <w:rPr>
                <w:rFonts w:hint="eastAsia" w:ascii="宋体" w:cs="宋体"/>
                <w:sz w:val="24"/>
                <w:szCs w:val="24"/>
                <w:highlight w:val="none"/>
                <w:lang w:val="en-US" w:eastAsia="zh-CN"/>
              </w:rPr>
              <w:t>9</w:t>
            </w:r>
          </w:p>
        </w:tc>
        <w:tc>
          <w:tcPr>
            <w:tcW w:w="14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F3B967B">
            <w:pPr>
              <w:widowControl/>
              <w:jc w:val="center"/>
              <w:rPr>
                <w:rFonts w:ascii="宋体" w:hAnsi="Times New Roman" w:eastAsia="宋体" w:cs="宋体"/>
                <w:color w:val="000000"/>
                <w:sz w:val="24"/>
                <w:szCs w:val="24"/>
                <w:highlight w:val="none"/>
                <w:lang w:val="en-US" w:eastAsia="zh-CN" w:bidi="ar-SA"/>
              </w:rPr>
            </w:pPr>
            <w:r>
              <w:rPr>
                <w:rFonts w:hint="eastAsia" w:ascii="宋体" w:cs="宋体"/>
                <w:color w:val="000000"/>
                <w:sz w:val="24"/>
                <w:szCs w:val="24"/>
                <w:highlight w:val="none"/>
                <w:lang w:val="en-US" w:eastAsia="zh-CN" w:bidi="ar-SA"/>
              </w:rPr>
              <w:t>培训方案</w:t>
            </w:r>
          </w:p>
        </w:tc>
        <w:tc>
          <w:tcPr>
            <w:tcW w:w="48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4A1D6CC0">
            <w:pPr>
              <w:pStyle w:val="11"/>
              <w:rPr>
                <w:rFonts w:hint="eastAsia" w:ascii="宋体" w:hAnsi="Times New Roman" w:eastAsia="宋体" w:cs="宋体"/>
                <w:color w:val="000000"/>
                <w:sz w:val="24"/>
                <w:szCs w:val="24"/>
                <w:highlight w:val="none"/>
                <w:lang w:val="en-US" w:eastAsia="zh-CN" w:bidi="ar-SA"/>
              </w:rPr>
            </w:pPr>
            <w:r>
              <w:rPr>
                <w:rFonts w:hint="eastAsia" w:ascii="宋体" w:hAnsi="宋体" w:eastAsia="宋体" w:cs="宋体"/>
                <w:b w:val="0"/>
                <w:color w:val="000000"/>
                <w:kern w:val="0"/>
                <w:sz w:val="24"/>
                <w:szCs w:val="24"/>
                <w:highlight w:val="none"/>
                <w:lang w:val="en-US" w:eastAsia="zh-CN" w:bidi="ar-SA"/>
              </w:rPr>
              <w:t>培训方案、计划的可行性及合理性等情况打分，培训方案科学合理，能快速有效的协助采购人掌握产品特性的得（</w:t>
            </w:r>
            <w:r>
              <w:rPr>
                <w:rFonts w:hint="eastAsia" w:ascii="宋体" w:hAnsi="宋体" w:cs="宋体"/>
                <w:b w:val="0"/>
                <w:color w:val="000000"/>
                <w:kern w:val="0"/>
                <w:sz w:val="24"/>
                <w:szCs w:val="24"/>
                <w:highlight w:val="none"/>
                <w:lang w:val="en-US" w:eastAsia="zh-CN" w:bidi="ar-SA"/>
              </w:rPr>
              <w:t>2</w:t>
            </w:r>
            <w:r>
              <w:rPr>
                <w:rFonts w:hint="eastAsia" w:ascii="宋体" w:hAnsi="宋体" w:eastAsia="宋体" w:cs="宋体"/>
                <w:b w:val="0"/>
                <w:color w:val="000000"/>
                <w:kern w:val="0"/>
                <w:sz w:val="24"/>
                <w:szCs w:val="24"/>
                <w:highlight w:val="none"/>
                <w:lang w:val="en-US" w:eastAsia="zh-CN" w:bidi="ar-SA"/>
              </w:rPr>
              <w:t>,</w:t>
            </w:r>
            <w:r>
              <w:rPr>
                <w:rFonts w:hint="eastAsia" w:ascii="宋体" w:hAnsi="宋体" w:cs="宋体"/>
                <w:b w:val="0"/>
                <w:color w:val="000000"/>
                <w:kern w:val="0"/>
                <w:sz w:val="24"/>
                <w:szCs w:val="24"/>
                <w:highlight w:val="none"/>
                <w:lang w:val="en-US" w:eastAsia="zh-CN" w:bidi="ar-SA"/>
              </w:rPr>
              <w:t>3</w:t>
            </w:r>
            <w:r>
              <w:rPr>
                <w:rFonts w:hint="eastAsia" w:ascii="宋体" w:hAnsi="宋体" w:eastAsia="宋体" w:cs="宋体"/>
                <w:b w:val="0"/>
                <w:color w:val="000000"/>
                <w:kern w:val="0"/>
                <w:sz w:val="24"/>
                <w:szCs w:val="24"/>
                <w:highlight w:val="none"/>
                <w:lang w:val="en-US" w:eastAsia="zh-CN" w:bidi="ar-SA"/>
              </w:rPr>
              <w:t>]分；培训方案安排的合理性一般，预计效果能满足采购人基本使用需求的得（1,</w:t>
            </w:r>
            <w:r>
              <w:rPr>
                <w:rFonts w:hint="eastAsia" w:ascii="宋体" w:hAnsi="宋体" w:cs="宋体"/>
                <w:b w:val="0"/>
                <w:color w:val="000000"/>
                <w:kern w:val="0"/>
                <w:sz w:val="24"/>
                <w:szCs w:val="24"/>
                <w:highlight w:val="none"/>
                <w:lang w:val="en-US" w:eastAsia="zh-CN" w:bidi="ar-SA"/>
              </w:rPr>
              <w:t>2</w:t>
            </w:r>
            <w:r>
              <w:rPr>
                <w:rFonts w:hint="eastAsia" w:ascii="宋体" w:hAnsi="宋体" w:eastAsia="宋体" w:cs="宋体"/>
                <w:b w:val="0"/>
                <w:color w:val="000000"/>
                <w:kern w:val="0"/>
                <w:sz w:val="24"/>
                <w:szCs w:val="24"/>
                <w:highlight w:val="none"/>
                <w:lang w:val="en-US" w:eastAsia="zh-CN" w:bidi="ar-SA"/>
              </w:rPr>
              <w:t>]分；培训方案合理性较差的得[0,1]分。</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51AD31AF">
            <w:pPr>
              <w:spacing w:line="300" w:lineRule="exact"/>
              <w:jc w:val="center"/>
              <w:rPr>
                <w:rFonts w:hint="eastAsia" w:ascii="宋体" w:hAnsi="宋体" w:eastAsia="宋体" w:cs="宋体"/>
                <w:color w:val="000000"/>
                <w:sz w:val="24"/>
                <w:szCs w:val="24"/>
                <w:highlight w:val="none"/>
                <w:lang w:val="en-US" w:eastAsia="zh-CN" w:bidi="ar-SA"/>
              </w:rPr>
            </w:pPr>
            <w:r>
              <w:rPr>
                <w:rFonts w:hint="eastAsia" w:ascii="宋体" w:hAnsi="宋体" w:cs="宋体"/>
                <w:sz w:val="24"/>
                <w:szCs w:val="24"/>
                <w:highlight w:val="none"/>
                <w:lang w:val="en-US" w:eastAsia="zh-CN"/>
              </w:rPr>
              <w:t>3</w:t>
            </w:r>
          </w:p>
        </w:tc>
      </w:tr>
      <w:tr w14:paraId="2798C7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75" w:hRule="atLeast"/>
          <w:jc w:val="center"/>
        </w:trPr>
        <w:tc>
          <w:tcPr>
            <w:tcW w:w="806" w:type="dxa"/>
            <w:tcBorders>
              <w:top w:val="single" w:color="auto" w:sz="4" w:space="0"/>
              <w:left w:val="single" w:color="auto" w:sz="4" w:space="0"/>
              <w:bottom w:val="single" w:color="auto" w:sz="4" w:space="0"/>
              <w:right w:val="single" w:color="auto" w:sz="4" w:space="0"/>
            </w:tcBorders>
            <w:noWrap w:val="0"/>
            <w:vAlign w:val="center"/>
          </w:tcPr>
          <w:p w14:paraId="77EC43FA">
            <w:pPr>
              <w:widowControl/>
              <w:jc w:val="center"/>
              <w:rPr>
                <w:rFonts w:hint="default" w:ascii="宋体" w:eastAsia="宋体" w:cs="宋体"/>
                <w:sz w:val="24"/>
                <w:szCs w:val="24"/>
                <w:highlight w:val="none"/>
                <w:lang w:val="en-US" w:eastAsia="zh-CN"/>
              </w:rPr>
            </w:pPr>
            <w:r>
              <w:rPr>
                <w:rFonts w:hint="eastAsia" w:ascii="宋体" w:cs="宋体"/>
                <w:sz w:val="24"/>
                <w:szCs w:val="24"/>
                <w:highlight w:val="none"/>
                <w:lang w:val="en-US" w:eastAsia="zh-CN"/>
              </w:rPr>
              <w:t>10</w:t>
            </w:r>
          </w:p>
        </w:tc>
        <w:tc>
          <w:tcPr>
            <w:tcW w:w="1402"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197E6B5C">
            <w:pPr>
              <w:spacing w:line="300" w:lineRule="exact"/>
              <w:jc w:val="center"/>
              <w:rPr>
                <w:rFonts w:ascii="宋体" w:hAnsi="Times New Roman" w:eastAsia="宋体" w:cs="宋体"/>
                <w:color w:val="000000"/>
                <w:sz w:val="24"/>
                <w:szCs w:val="24"/>
                <w:highlight w:val="none"/>
                <w:lang w:val="en-US" w:eastAsia="zh-CN" w:bidi="ar-SA"/>
              </w:rPr>
            </w:pPr>
            <w:r>
              <w:rPr>
                <w:rFonts w:hint="eastAsia" w:ascii="宋体" w:hAnsi="宋体" w:cs="宋体"/>
                <w:sz w:val="24"/>
                <w:szCs w:val="24"/>
                <w:highlight w:val="none"/>
              </w:rPr>
              <w:t>售后服务</w:t>
            </w:r>
          </w:p>
        </w:tc>
        <w:tc>
          <w:tcPr>
            <w:tcW w:w="4889"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D93D401">
            <w:pPr>
              <w:spacing w:line="300" w:lineRule="exact"/>
              <w:rPr>
                <w:rFonts w:hint="eastAsia" w:ascii="宋体" w:hAnsi="宋体" w:eastAsia="宋体" w:cs="宋体"/>
                <w:color w:val="000000"/>
                <w:sz w:val="24"/>
                <w:szCs w:val="24"/>
                <w:highlight w:val="none"/>
                <w:lang w:val="en-US" w:eastAsia="zh-CN" w:bidi="ar-SA"/>
              </w:rPr>
            </w:pPr>
            <w:r>
              <w:rPr>
                <w:rFonts w:hint="eastAsia" w:ascii="宋体" w:hAnsi="宋体" w:eastAsia="宋体" w:cs="宋体"/>
                <w:color w:val="000000"/>
                <w:sz w:val="24"/>
                <w:szCs w:val="24"/>
                <w:highlight w:val="none"/>
                <w:lang w:eastAsia="zh-CN"/>
              </w:rPr>
              <w:t>项</w:t>
            </w:r>
            <w:r>
              <w:rPr>
                <w:rFonts w:hint="eastAsia" w:ascii="宋体" w:hAnsi="宋体" w:eastAsia="宋体" w:cs="宋体"/>
                <w:color w:val="000000"/>
                <w:sz w:val="24"/>
                <w:szCs w:val="24"/>
                <w:highlight w:val="none"/>
              </w:rPr>
              <w:t>目维护计划（对用户故障的响应、处理、定期巡检等情况）的有效性</w:t>
            </w:r>
            <w:r>
              <w:rPr>
                <w:rFonts w:hint="eastAsia" w:ascii="宋体" w:hAnsi="宋体" w:eastAsia="宋体" w:cs="宋体"/>
                <w:color w:val="000000"/>
                <w:sz w:val="24"/>
                <w:szCs w:val="24"/>
                <w:highlight w:val="none"/>
                <w:lang w:eastAsia="zh-CN"/>
              </w:rPr>
              <w:t>，项</w:t>
            </w:r>
            <w:r>
              <w:rPr>
                <w:rFonts w:hint="eastAsia" w:ascii="宋体" w:hAnsi="宋体" w:eastAsia="宋体" w:cs="宋体"/>
                <w:color w:val="000000"/>
                <w:sz w:val="24"/>
                <w:szCs w:val="24"/>
                <w:highlight w:val="none"/>
              </w:rPr>
              <w:t>目维护计划</w:t>
            </w:r>
            <w:r>
              <w:rPr>
                <w:rFonts w:hint="eastAsia" w:ascii="宋体" w:hAnsi="宋体" w:eastAsia="宋体" w:cs="宋体"/>
                <w:color w:val="000000"/>
                <w:sz w:val="24"/>
                <w:szCs w:val="24"/>
                <w:highlight w:val="none"/>
                <w:lang w:eastAsia="zh-CN" w:bidi="ar"/>
              </w:rPr>
              <w:t>内容</w:t>
            </w:r>
            <w:r>
              <w:rPr>
                <w:rFonts w:hint="eastAsia" w:ascii="宋体" w:hAnsi="宋体" w:eastAsia="宋体" w:cs="宋体"/>
                <w:color w:val="000000"/>
                <w:sz w:val="24"/>
                <w:szCs w:val="24"/>
                <w:highlight w:val="none"/>
              </w:rPr>
              <w:t>完整</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rPr>
              <w:t>科学</w:t>
            </w:r>
            <w:r>
              <w:rPr>
                <w:rFonts w:hint="eastAsia" w:ascii="宋体" w:hAnsi="宋体" w:eastAsia="宋体" w:cs="宋体"/>
                <w:color w:val="000000"/>
                <w:sz w:val="24"/>
                <w:szCs w:val="24"/>
                <w:highlight w:val="none"/>
                <w:lang w:eastAsia="zh-CN"/>
              </w:rPr>
              <w:t>合理的</w:t>
            </w:r>
            <w:r>
              <w:rPr>
                <w:rFonts w:hint="eastAsia" w:ascii="宋体" w:hAnsi="宋体" w:eastAsia="宋体" w:cs="宋体"/>
                <w:color w:val="000000"/>
                <w:sz w:val="24"/>
                <w:szCs w:val="24"/>
                <w:highlight w:val="none"/>
              </w:rPr>
              <w:t>得</w:t>
            </w:r>
            <w:r>
              <w:rPr>
                <w:rFonts w:hint="eastAsia" w:ascii="宋体" w:hAnsi="宋体" w:eastAsia="宋体" w:cs="宋体"/>
                <w:b w:val="0"/>
                <w:color w:val="000000"/>
                <w:kern w:val="0"/>
                <w:sz w:val="24"/>
                <w:szCs w:val="24"/>
                <w:highlight w:val="none"/>
                <w:lang w:val="en-US" w:eastAsia="zh-CN" w:bidi="ar-SA"/>
              </w:rPr>
              <w:t>（</w:t>
            </w:r>
            <w:r>
              <w:rPr>
                <w:rFonts w:hint="eastAsia" w:ascii="宋体" w:hAnsi="宋体" w:cs="宋体"/>
                <w:b w:val="0"/>
                <w:color w:val="000000"/>
                <w:kern w:val="0"/>
                <w:sz w:val="24"/>
                <w:szCs w:val="24"/>
                <w:highlight w:val="none"/>
                <w:lang w:val="en-US" w:eastAsia="zh-CN" w:bidi="ar-SA"/>
              </w:rPr>
              <w:t>2</w:t>
            </w:r>
            <w:r>
              <w:rPr>
                <w:rFonts w:hint="eastAsia" w:ascii="宋体" w:hAnsi="宋体" w:eastAsia="宋体" w:cs="宋体"/>
                <w:b w:val="0"/>
                <w:color w:val="000000"/>
                <w:kern w:val="0"/>
                <w:sz w:val="24"/>
                <w:szCs w:val="24"/>
                <w:highlight w:val="none"/>
                <w:lang w:val="en-US" w:eastAsia="zh-CN" w:bidi="ar-SA"/>
              </w:rPr>
              <w:t>,</w:t>
            </w:r>
            <w:r>
              <w:rPr>
                <w:rFonts w:hint="eastAsia" w:ascii="宋体" w:hAnsi="宋体" w:cs="宋体"/>
                <w:b w:val="0"/>
                <w:color w:val="000000"/>
                <w:kern w:val="0"/>
                <w:sz w:val="24"/>
                <w:szCs w:val="24"/>
                <w:highlight w:val="none"/>
                <w:lang w:val="en-US" w:eastAsia="zh-CN" w:bidi="ar-SA"/>
              </w:rPr>
              <w:t>3</w:t>
            </w:r>
            <w:r>
              <w:rPr>
                <w:rFonts w:hint="eastAsia" w:ascii="宋体" w:hAnsi="宋体" w:eastAsia="宋体" w:cs="宋体"/>
                <w:b w:val="0"/>
                <w:color w:val="000000"/>
                <w:kern w:val="0"/>
                <w:sz w:val="24"/>
                <w:szCs w:val="24"/>
                <w:highlight w:val="none"/>
                <w:lang w:val="en-US" w:eastAsia="zh-CN" w:bidi="ar-SA"/>
              </w:rPr>
              <w:t>]分</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bidi="ar"/>
              </w:rPr>
              <w:t>售后服务</w:t>
            </w:r>
            <w:r>
              <w:rPr>
                <w:rFonts w:hint="eastAsia" w:ascii="宋体" w:hAnsi="宋体" w:eastAsia="宋体" w:cs="宋体"/>
                <w:color w:val="000000"/>
                <w:sz w:val="24"/>
                <w:szCs w:val="24"/>
                <w:highlight w:val="none"/>
                <w:lang w:eastAsia="zh-CN" w:bidi="ar"/>
              </w:rPr>
              <w:t>方案</w:t>
            </w:r>
            <w:r>
              <w:rPr>
                <w:rFonts w:hint="eastAsia" w:ascii="宋体" w:hAnsi="宋体" w:eastAsia="宋体" w:cs="宋体"/>
                <w:color w:val="000000"/>
                <w:sz w:val="24"/>
                <w:szCs w:val="24"/>
                <w:highlight w:val="none"/>
              </w:rPr>
              <w:t>有欠缺</w:t>
            </w:r>
            <w:r>
              <w:rPr>
                <w:rFonts w:hint="eastAsia" w:ascii="宋体" w:hAnsi="宋体" w:eastAsia="宋体" w:cs="宋体"/>
                <w:color w:val="000000"/>
                <w:sz w:val="24"/>
                <w:szCs w:val="24"/>
                <w:highlight w:val="none"/>
                <w:lang w:eastAsia="zh-CN"/>
              </w:rPr>
              <w:t>的</w:t>
            </w:r>
            <w:r>
              <w:rPr>
                <w:rFonts w:hint="eastAsia" w:ascii="宋体" w:hAnsi="宋体" w:eastAsia="宋体" w:cs="宋体"/>
                <w:color w:val="000000"/>
                <w:sz w:val="24"/>
                <w:szCs w:val="24"/>
                <w:highlight w:val="none"/>
              </w:rPr>
              <w:t>得</w:t>
            </w:r>
            <w:r>
              <w:rPr>
                <w:rFonts w:hint="eastAsia" w:ascii="宋体" w:hAnsi="宋体" w:eastAsia="宋体" w:cs="宋体"/>
                <w:b w:val="0"/>
                <w:color w:val="000000"/>
                <w:kern w:val="0"/>
                <w:sz w:val="24"/>
                <w:szCs w:val="24"/>
                <w:highlight w:val="none"/>
                <w:lang w:val="en-US" w:eastAsia="zh-CN" w:bidi="ar-SA"/>
              </w:rPr>
              <w:t>（</w:t>
            </w:r>
            <w:r>
              <w:rPr>
                <w:rFonts w:hint="eastAsia" w:ascii="宋体" w:hAnsi="宋体" w:cs="宋体"/>
                <w:b w:val="0"/>
                <w:color w:val="000000"/>
                <w:kern w:val="0"/>
                <w:sz w:val="24"/>
                <w:szCs w:val="24"/>
                <w:highlight w:val="none"/>
                <w:lang w:val="en-US" w:eastAsia="zh-CN" w:bidi="ar-SA"/>
              </w:rPr>
              <w:t>1</w:t>
            </w:r>
            <w:r>
              <w:rPr>
                <w:rFonts w:hint="eastAsia" w:ascii="宋体" w:hAnsi="宋体" w:eastAsia="宋体" w:cs="宋体"/>
                <w:b w:val="0"/>
                <w:color w:val="000000"/>
                <w:kern w:val="0"/>
                <w:sz w:val="24"/>
                <w:szCs w:val="24"/>
                <w:highlight w:val="none"/>
                <w:lang w:val="en-US" w:eastAsia="zh-CN" w:bidi="ar-SA"/>
              </w:rPr>
              <w:t>,</w:t>
            </w:r>
            <w:r>
              <w:rPr>
                <w:rFonts w:hint="eastAsia" w:ascii="宋体" w:hAnsi="宋体" w:cs="宋体"/>
                <w:b w:val="0"/>
                <w:color w:val="000000"/>
                <w:kern w:val="0"/>
                <w:sz w:val="24"/>
                <w:szCs w:val="24"/>
                <w:highlight w:val="none"/>
                <w:lang w:val="en-US" w:eastAsia="zh-CN" w:bidi="ar-SA"/>
              </w:rPr>
              <w:t>2</w:t>
            </w:r>
            <w:r>
              <w:rPr>
                <w:rFonts w:hint="eastAsia" w:ascii="宋体" w:hAnsi="宋体" w:eastAsia="宋体" w:cs="宋体"/>
                <w:b w:val="0"/>
                <w:color w:val="000000"/>
                <w:kern w:val="0"/>
                <w:sz w:val="24"/>
                <w:szCs w:val="24"/>
                <w:highlight w:val="none"/>
                <w:lang w:val="en-US" w:eastAsia="zh-CN" w:bidi="ar-SA"/>
              </w:rPr>
              <w:t>]分</w:t>
            </w:r>
            <w:r>
              <w:rPr>
                <w:rFonts w:hint="eastAsia" w:ascii="宋体" w:hAnsi="宋体" w:eastAsia="宋体" w:cs="宋体"/>
                <w:color w:val="000000"/>
                <w:sz w:val="24"/>
                <w:szCs w:val="24"/>
                <w:highlight w:val="none"/>
                <w:lang w:eastAsia="zh-CN"/>
              </w:rPr>
              <w:t>；</w:t>
            </w:r>
            <w:r>
              <w:rPr>
                <w:rFonts w:hint="eastAsia" w:ascii="宋体" w:hAnsi="宋体" w:eastAsia="宋体" w:cs="宋体"/>
                <w:color w:val="000000"/>
                <w:sz w:val="24"/>
                <w:szCs w:val="24"/>
                <w:highlight w:val="none"/>
                <w:lang w:bidi="ar"/>
              </w:rPr>
              <w:t>售后服务</w:t>
            </w:r>
            <w:r>
              <w:rPr>
                <w:rFonts w:hint="eastAsia" w:ascii="宋体" w:hAnsi="宋体" w:eastAsia="宋体" w:cs="宋体"/>
                <w:color w:val="000000"/>
                <w:sz w:val="24"/>
                <w:szCs w:val="24"/>
                <w:highlight w:val="none"/>
                <w:lang w:eastAsia="zh-CN" w:bidi="ar"/>
              </w:rPr>
              <w:t>方案</w:t>
            </w:r>
            <w:r>
              <w:rPr>
                <w:rFonts w:hint="eastAsia" w:ascii="宋体" w:hAnsi="宋体" w:eastAsia="宋体" w:cs="宋体"/>
                <w:color w:val="000000"/>
                <w:sz w:val="24"/>
                <w:szCs w:val="24"/>
                <w:highlight w:val="none"/>
                <w:lang w:eastAsia="zh-CN"/>
              </w:rPr>
              <w:t>差的</w:t>
            </w:r>
            <w:r>
              <w:rPr>
                <w:rFonts w:hint="eastAsia" w:ascii="宋体" w:hAnsi="宋体" w:eastAsia="宋体" w:cs="宋体"/>
                <w:color w:val="000000"/>
                <w:sz w:val="24"/>
                <w:szCs w:val="24"/>
                <w:highlight w:val="none"/>
              </w:rPr>
              <w:t>得</w:t>
            </w:r>
            <w:r>
              <w:rPr>
                <w:rFonts w:hint="eastAsia" w:ascii="宋体" w:hAnsi="宋体" w:eastAsia="宋体" w:cs="宋体"/>
                <w:b w:val="0"/>
                <w:color w:val="000000"/>
                <w:kern w:val="0"/>
                <w:sz w:val="24"/>
                <w:szCs w:val="24"/>
                <w:highlight w:val="none"/>
                <w:lang w:val="en-US" w:eastAsia="zh-CN" w:bidi="ar-SA"/>
              </w:rPr>
              <w:t>[0,1]分</w:t>
            </w:r>
            <w:r>
              <w:rPr>
                <w:rFonts w:hint="eastAsia" w:ascii="宋体" w:hAnsi="宋体" w:eastAsia="宋体" w:cs="宋体"/>
                <w:color w:val="000000"/>
                <w:sz w:val="24"/>
                <w:szCs w:val="24"/>
                <w:highlight w:val="none"/>
              </w:rPr>
              <w:t>。</w:t>
            </w:r>
          </w:p>
        </w:tc>
        <w:tc>
          <w:tcPr>
            <w:tcW w:w="1133" w:type="dxa"/>
            <w:tcBorders>
              <w:top w:val="single" w:color="auto" w:sz="4" w:space="0"/>
              <w:left w:val="single" w:color="auto" w:sz="4" w:space="0"/>
              <w:bottom w:val="single" w:color="auto" w:sz="4" w:space="0"/>
              <w:right w:val="single" w:color="auto" w:sz="4" w:space="0"/>
            </w:tcBorders>
            <w:shd w:val="clear" w:color="auto" w:fill="auto"/>
            <w:noWrap w:val="0"/>
            <w:vAlign w:val="center"/>
          </w:tcPr>
          <w:p w14:paraId="75B838AA">
            <w:pPr>
              <w:spacing w:line="300" w:lineRule="exact"/>
              <w:jc w:val="center"/>
              <w:rPr>
                <w:rFonts w:hint="eastAsia" w:ascii="宋体" w:hAnsi="宋体" w:eastAsia="宋体" w:cs="宋体"/>
                <w:color w:val="000000"/>
                <w:sz w:val="24"/>
                <w:szCs w:val="24"/>
                <w:highlight w:val="none"/>
                <w:lang w:val="en-US" w:eastAsia="zh-CN" w:bidi="ar-SA"/>
              </w:rPr>
            </w:pPr>
            <w:r>
              <w:rPr>
                <w:rFonts w:hint="eastAsia" w:ascii="宋体" w:hAnsi="宋体" w:cs="宋体"/>
                <w:sz w:val="24"/>
                <w:szCs w:val="24"/>
                <w:highlight w:val="none"/>
                <w:lang w:val="en-US" w:eastAsia="zh-CN"/>
              </w:rPr>
              <w:t>3</w:t>
            </w:r>
          </w:p>
        </w:tc>
      </w:tr>
    </w:tbl>
    <w:p w14:paraId="4A5C484C">
      <w:pPr>
        <w:ind w:firstLine="482"/>
        <w:rPr>
          <w:rFonts w:hint="eastAsia" w:ascii="宋体" w:hAnsi="宋体" w:cs="宋体"/>
          <w:b/>
          <w:bCs/>
          <w:iCs/>
          <w:color w:val="auto"/>
          <w:sz w:val="24"/>
          <w:szCs w:val="24"/>
          <w:highlight w:val="none"/>
        </w:rPr>
      </w:pPr>
      <w:r>
        <w:rPr>
          <w:rFonts w:hint="eastAsia" w:ascii="宋体" w:hAnsi="宋体" w:cs="宋体"/>
          <w:b/>
          <w:bCs/>
          <w:iCs/>
          <w:color w:val="auto"/>
          <w:sz w:val="24"/>
          <w:szCs w:val="24"/>
          <w:highlight w:val="none"/>
        </w:rPr>
        <w:t>注：</w:t>
      </w:r>
      <w:r>
        <w:rPr>
          <w:rFonts w:hint="eastAsia" w:ascii="宋体" w:hAnsi="宋体" w:cs="宋体"/>
          <w:b/>
          <w:bCs/>
          <w:color w:val="auto"/>
          <w:sz w:val="24"/>
          <w:szCs w:val="24"/>
          <w:highlight w:val="none"/>
          <w:lang w:bidi="ar"/>
        </w:rPr>
        <w:t>上述评审细则中要求提供的相关证书等证明材料需加盖投标人公章的均为CA签章，且相关资质证书等证明材料具备有效期限的均需在有效期内，未按要求提供的不得分。</w:t>
      </w:r>
    </w:p>
    <w:p w14:paraId="53E289A2">
      <w:pPr>
        <w:numPr>
          <w:ilvl w:val="0"/>
          <w:numId w:val="4"/>
        </w:numPr>
        <w:spacing w:line="360"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本次评审通过资格审查和符合性评审的单位全部入围进行报价评审。</w:t>
      </w:r>
    </w:p>
    <w:p w14:paraId="5632D1AA">
      <w:pPr>
        <w:numPr>
          <w:ilvl w:val="0"/>
          <w:numId w:val="5"/>
        </w:numPr>
        <w:spacing w:line="360"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采购需求</w:t>
      </w:r>
    </w:p>
    <w:bookmarkEnd w:id="1"/>
    <w:bookmarkEnd w:id="2"/>
    <w:bookmarkEnd w:id="3"/>
    <w:p w14:paraId="2159EEE9">
      <w:pPr>
        <w:numPr>
          <w:ilvl w:val="0"/>
          <w:numId w:val="6"/>
        </w:numPr>
        <w:rPr>
          <w:rFonts w:hint="eastAsia"/>
          <w:b/>
          <w:bCs/>
          <w:sz w:val="24"/>
          <w:szCs w:val="24"/>
          <w:lang w:eastAsia="zh-CN"/>
        </w:rPr>
      </w:pPr>
      <w:bookmarkStart w:id="4" w:name="_Toc530663150"/>
      <w:r>
        <w:rPr>
          <w:rFonts w:hint="eastAsia"/>
          <w:b/>
          <w:bCs/>
          <w:sz w:val="24"/>
          <w:szCs w:val="24"/>
          <w:lang w:eastAsia="zh-CN"/>
        </w:rPr>
        <w:t>建设背景、</w:t>
      </w:r>
      <w:r>
        <w:rPr>
          <w:rFonts w:hint="eastAsia"/>
          <w:b/>
          <w:bCs/>
          <w:sz w:val="24"/>
          <w:szCs w:val="24"/>
          <w:lang w:val="en-US" w:eastAsia="zh-CN"/>
        </w:rPr>
        <w:t>建设目标</w:t>
      </w:r>
    </w:p>
    <w:p w14:paraId="0030B600">
      <w:pPr>
        <w:numPr>
          <w:ilvl w:val="-1"/>
          <w:numId w:val="0"/>
        </w:numPr>
        <w:ind w:firstLine="480" w:firstLineChars="200"/>
        <w:rPr>
          <w:rFonts w:hint="eastAsia"/>
          <w:sz w:val="24"/>
          <w:szCs w:val="24"/>
          <w:lang w:eastAsia="zh-CN"/>
        </w:rPr>
      </w:pPr>
      <w:r>
        <w:rPr>
          <w:rFonts w:hint="eastAsia"/>
          <w:sz w:val="24"/>
          <w:szCs w:val="24"/>
          <w:lang w:eastAsia="zh-CN"/>
        </w:rPr>
        <w:t>随着电子信息技术的飞速发展，电子数据已经渗透到人们生活、工作的方方面面。每天数以十亿计的人使用电脑、手机等电子设备进行即时交流，收发电子邮件，存储、管理、更新数据信息，或者进行各种其他活动，这使得电子数据成为当今人类生活、工作中不可或缺的组成部分。与此同时，电子数据对犯罪也产生了深远影响；不少犯罪分子直接利用电子信息技术实施犯罪，如利用电子邮件传递诈骗、敲诈勒索等犯罪信息，利用因特网散布色情照片，利用病毒软件实施网络攻击，利用窃听软件非法获取他人的隐私、商业秘密等。还有一些犯罪分子，虽然不直接利用电子信息实施犯罪，但利用电子信息技术储存犯罪证据，电子数据已经渗透到各种犯罪当中。</w:t>
      </w:r>
    </w:p>
    <w:p w14:paraId="516B3EA9">
      <w:pPr>
        <w:numPr>
          <w:ilvl w:val="-1"/>
          <w:numId w:val="0"/>
        </w:numPr>
        <w:ind w:firstLine="480" w:firstLineChars="200"/>
        <w:rPr>
          <w:rFonts w:hint="eastAsia"/>
          <w:sz w:val="24"/>
          <w:szCs w:val="24"/>
          <w:lang w:eastAsia="zh-CN"/>
        </w:rPr>
      </w:pPr>
      <w:r>
        <w:rPr>
          <w:rFonts w:hint="eastAsia"/>
          <w:sz w:val="24"/>
          <w:szCs w:val="24"/>
          <w:lang w:eastAsia="zh-CN"/>
        </w:rPr>
        <w:t>随着涉网、涉诈类案件越来越多，电子数据越来越重要。取证软件的运用不仅为杀人、抢劫、诱骗等传统案件提供重要证据和线索，同时，也是公安机关侦办网络诈骗、网络色情、网络赌博等新型犯罪的重要技术力量，为</w:t>
      </w:r>
      <w:r>
        <w:rPr>
          <w:rFonts w:hint="eastAsia"/>
          <w:sz w:val="24"/>
          <w:szCs w:val="24"/>
          <w:lang w:val="en-US" w:eastAsia="zh-CN"/>
        </w:rPr>
        <w:t>市</w:t>
      </w:r>
      <w:r>
        <w:rPr>
          <w:rFonts w:hint="eastAsia"/>
          <w:sz w:val="24"/>
          <w:szCs w:val="24"/>
          <w:lang w:eastAsia="zh-CN"/>
        </w:rPr>
        <w:t>公安局打击犯罪、维护社会安定工作发挥极为重要作用。为了更好地为全局案件侦查和法庭诉讼提供技术支撑，保持</w:t>
      </w:r>
      <w:r>
        <w:rPr>
          <w:rFonts w:hint="eastAsia"/>
          <w:sz w:val="24"/>
          <w:szCs w:val="24"/>
          <w:lang w:val="en-US" w:eastAsia="zh-CN"/>
        </w:rPr>
        <w:t>市</w:t>
      </w:r>
      <w:r>
        <w:rPr>
          <w:rFonts w:hint="eastAsia"/>
          <w:sz w:val="24"/>
          <w:szCs w:val="24"/>
          <w:lang w:eastAsia="zh-CN"/>
        </w:rPr>
        <w:t>公安局该专业在同行业中的领先水平。</w:t>
      </w:r>
    </w:p>
    <w:p w14:paraId="66E804B4">
      <w:pPr>
        <w:numPr>
          <w:ilvl w:val="-1"/>
          <w:numId w:val="0"/>
        </w:numPr>
        <w:rPr>
          <w:rFonts w:hint="eastAsia"/>
          <w:b/>
          <w:bCs/>
          <w:sz w:val="24"/>
          <w:szCs w:val="24"/>
        </w:rPr>
      </w:pPr>
      <w:r>
        <w:rPr>
          <w:rFonts w:hint="eastAsia" w:ascii="宋体" w:hAnsi="宋体" w:cs="宋体"/>
          <w:b/>
          <w:bCs/>
          <w:color w:val="000000"/>
          <w:kern w:val="0"/>
          <w:sz w:val="24"/>
          <w:szCs w:val="24"/>
          <w:lang w:eastAsia="zh-CN"/>
        </w:rPr>
        <w:t>（二）</w:t>
      </w:r>
      <w:r>
        <w:rPr>
          <w:rFonts w:hint="eastAsia" w:ascii="宋体" w:hAnsi="宋体" w:cs="宋体"/>
          <w:b/>
          <w:bCs/>
          <w:color w:val="000000"/>
          <w:kern w:val="0"/>
          <w:sz w:val="24"/>
          <w:szCs w:val="24"/>
        </w:rPr>
        <w:t>采购清单</w:t>
      </w:r>
    </w:p>
    <w:tbl>
      <w:tblPr>
        <w:tblStyle w:val="21"/>
        <w:tblW w:w="8638" w:type="dxa"/>
        <w:tblInd w:w="-213" w:type="dxa"/>
        <w:tblLayout w:type="fixed"/>
        <w:tblCellMar>
          <w:top w:w="0" w:type="dxa"/>
          <w:left w:w="0" w:type="dxa"/>
          <w:bottom w:w="0" w:type="dxa"/>
          <w:right w:w="0" w:type="dxa"/>
        </w:tblCellMar>
      </w:tblPr>
      <w:tblGrid>
        <w:gridCol w:w="497"/>
        <w:gridCol w:w="583"/>
        <w:gridCol w:w="540"/>
        <w:gridCol w:w="5934"/>
        <w:gridCol w:w="544"/>
        <w:gridCol w:w="540"/>
      </w:tblGrid>
      <w:tr w14:paraId="1044DFCB">
        <w:tblPrEx>
          <w:tblCellMar>
            <w:top w:w="0" w:type="dxa"/>
            <w:left w:w="0" w:type="dxa"/>
            <w:bottom w:w="0" w:type="dxa"/>
            <w:right w:w="0" w:type="dxa"/>
          </w:tblCellMar>
        </w:tblPrEx>
        <w:trPr>
          <w:trHeight w:val="575" w:hRule="atLeast"/>
        </w:trPr>
        <w:tc>
          <w:tcPr>
            <w:tcW w:w="497" w:type="dxa"/>
            <w:tcBorders>
              <w:top w:val="single" w:color="000000" w:sz="4" w:space="0"/>
              <w:left w:val="single" w:color="000000" w:sz="4" w:space="0"/>
              <w:bottom w:val="single" w:color="000000" w:sz="4" w:space="0"/>
              <w:right w:val="single" w:color="000000" w:sz="4" w:space="0"/>
            </w:tcBorders>
            <w:noWrap w:val="0"/>
            <w:vAlign w:val="center"/>
          </w:tcPr>
          <w:p w14:paraId="31F141F8">
            <w:pPr>
              <w:widowControl/>
              <w:jc w:val="center"/>
              <w:textAlignment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序号</w:t>
            </w:r>
          </w:p>
        </w:tc>
        <w:tc>
          <w:tcPr>
            <w:tcW w:w="583" w:type="dxa"/>
            <w:tcBorders>
              <w:top w:val="single" w:color="000000" w:sz="4" w:space="0"/>
              <w:left w:val="single" w:color="000000" w:sz="4" w:space="0"/>
              <w:bottom w:val="single" w:color="000000" w:sz="4" w:space="0"/>
              <w:right w:val="single" w:color="000000" w:sz="4" w:space="0"/>
            </w:tcBorders>
            <w:noWrap w:val="0"/>
            <w:vAlign w:val="center"/>
          </w:tcPr>
          <w:p w14:paraId="1736EA9E">
            <w:pPr>
              <w:widowControl/>
              <w:jc w:val="center"/>
              <w:textAlignment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设备名称</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16DDB87B">
            <w:pPr>
              <w:jc w:val="center"/>
              <w:rPr>
                <w:rFonts w:hint="eastAsia" w:ascii="宋体" w:hAnsi="宋体" w:eastAsia="宋体" w:cs="宋体"/>
                <w:color w:val="000000"/>
                <w:sz w:val="24"/>
                <w:szCs w:val="24"/>
              </w:rPr>
            </w:pPr>
            <w:r>
              <w:rPr>
                <w:rFonts w:hint="eastAsia" w:ascii="宋体" w:hAnsi="宋体" w:eastAsia="宋体" w:cs="宋体"/>
                <w:color w:val="000000"/>
                <w:sz w:val="24"/>
                <w:szCs w:val="24"/>
              </w:rPr>
              <w:t>参考品牌</w:t>
            </w:r>
          </w:p>
        </w:tc>
        <w:tc>
          <w:tcPr>
            <w:tcW w:w="5934" w:type="dxa"/>
            <w:tcBorders>
              <w:top w:val="single" w:color="000000" w:sz="4" w:space="0"/>
              <w:left w:val="single" w:color="000000" w:sz="4" w:space="0"/>
              <w:bottom w:val="single" w:color="000000" w:sz="4" w:space="0"/>
              <w:right w:val="single" w:color="000000" w:sz="4" w:space="0"/>
            </w:tcBorders>
            <w:noWrap w:val="0"/>
            <w:vAlign w:val="center"/>
          </w:tcPr>
          <w:p w14:paraId="7B653D59">
            <w:pPr>
              <w:widowControl/>
              <w:jc w:val="center"/>
              <w:textAlignment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主要技术参数及要求</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648B67DA">
            <w:pPr>
              <w:widowControl/>
              <w:jc w:val="center"/>
              <w:textAlignment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单位</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459E5A50">
            <w:pPr>
              <w:widowControl/>
              <w:jc w:val="center"/>
              <w:textAlignment w:val="center"/>
              <w:rPr>
                <w:rFonts w:hint="eastAsia" w:ascii="宋体" w:hAnsi="宋体" w:eastAsia="宋体" w:cs="宋体"/>
                <w:color w:val="000000"/>
                <w:kern w:val="0"/>
                <w:sz w:val="24"/>
                <w:szCs w:val="24"/>
              </w:rPr>
            </w:pPr>
            <w:r>
              <w:rPr>
                <w:rFonts w:hint="eastAsia" w:ascii="宋体" w:hAnsi="宋体" w:eastAsia="宋体" w:cs="宋体"/>
                <w:color w:val="000000"/>
                <w:kern w:val="0"/>
                <w:sz w:val="24"/>
                <w:szCs w:val="24"/>
              </w:rPr>
              <w:t>数量</w:t>
            </w:r>
          </w:p>
        </w:tc>
      </w:tr>
      <w:tr w14:paraId="42004F13">
        <w:tblPrEx>
          <w:tblCellMar>
            <w:top w:w="0" w:type="dxa"/>
            <w:left w:w="0" w:type="dxa"/>
            <w:bottom w:w="0" w:type="dxa"/>
            <w:right w:w="0" w:type="dxa"/>
          </w:tblCellMar>
        </w:tblPrEx>
        <w:trPr>
          <w:trHeight w:val="7365" w:hRule="atLeast"/>
        </w:trPr>
        <w:tc>
          <w:tcPr>
            <w:tcW w:w="497" w:type="dxa"/>
            <w:tcBorders>
              <w:top w:val="single" w:color="000000" w:sz="4" w:space="0"/>
              <w:left w:val="single" w:color="000000" w:sz="4" w:space="0"/>
              <w:bottom w:val="single" w:color="000000" w:sz="4" w:space="0"/>
              <w:right w:val="single" w:color="000000" w:sz="4" w:space="0"/>
            </w:tcBorders>
            <w:noWrap w:val="0"/>
            <w:vAlign w:val="center"/>
          </w:tcPr>
          <w:p w14:paraId="2A3DEB54">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w:t>
            </w:r>
          </w:p>
        </w:tc>
        <w:tc>
          <w:tcPr>
            <w:tcW w:w="583" w:type="dxa"/>
            <w:tcBorders>
              <w:top w:val="single" w:color="000000" w:sz="4" w:space="0"/>
              <w:left w:val="single" w:color="000000" w:sz="4" w:space="0"/>
              <w:bottom w:val="single" w:color="000000" w:sz="4" w:space="0"/>
              <w:right w:val="single" w:color="000000" w:sz="4" w:space="0"/>
            </w:tcBorders>
            <w:noWrap w:val="0"/>
            <w:vAlign w:val="center"/>
          </w:tcPr>
          <w:p w14:paraId="3F099807">
            <w:pPr>
              <w:widowControl/>
              <w:jc w:val="center"/>
              <w:textAlignment w:val="center"/>
              <w:rPr>
                <w:rFonts w:hint="eastAsia" w:ascii="宋体" w:hAnsi="宋体" w:eastAsia="宋体" w:cs="宋体"/>
                <w:color w:val="000000"/>
                <w:sz w:val="24"/>
                <w:szCs w:val="24"/>
              </w:rPr>
            </w:pPr>
            <w:r>
              <w:rPr>
                <w:rFonts w:hint="eastAsia" w:ascii="宋体" w:hAnsi="宋体" w:eastAsia="宋体" w:cs="宋体"/>
                <w:color w:val="000000"/>
                <w:sz w:val="24"/>
                <w:szCs w:val="24"/>
                <w:lang w:val="en-US" w:eastAsia="zh-CN"/>
              </w:rPr>
              <w:t>手机数据采集设备</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4FC0D1FA">
            <w:pPr>
              <w:jc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弘连、奇安信</w:t>
            </w:r>
            <w:r>
              <w:rPr>
                <w:rFonts w:hint="eastAsia" w:ascii="宋体" w:hAnsi="宋体" w:eastAsia="宋体" w:cs="宋体"/>
                <w:sz w:val="24"/>
                <w:szCs w:val="24"/>
                <w:lang w:eastAsia="zh-CN"/>
              </w:rPr>
              <w:t>、</w:t>
            </w:r>
            <w:r>
              <w:rPr>
                <w:rFonts w:hint="eastAsia" w:ascii="宋体" w:hAnsi="宋体" w:eastAsia="宋体" w:cs="宋体"/>
                <w:sz w:val="24"/>
                <w:szCs w:val="24"/>
                <w:lang w:val="en-US" w:eastAsia="zh-CN"/>
              </w:rPr>
              <w:t>美亚</w:t>
            </w:r>
          </w:p>
        </w:tc>
        <w:tc>
          <w:tcPr>
            <w:tcW w:w="5934" w:type="dxa"/>
            <w:tcBorders>
              <w:top w:val="single" w:color="000000" w:sz="4" w:space="0"/>
              <w:left w:val="single" w:color="000000" w:sz="4" w:space="0"/>
              <w:bottom w:val="single" w:color="000000" w:sz="4" w:space="0"/>
              <w:right w:val="single" w:color="000000" w:sz="4" w:space="0"/>
            </w:tcBorders>
            <w:noWrap w:val="0"/>
            <w:vAlign w:val="top"/>
          </w:tcPr>
          <w:p w14:paraId="34FD2B47">
            <w:pPr>
              <w:widowControl/>
              <w:jc w:val="left"/>
              <w:textAlignment w:val="center"/>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专用硬件要求</w:t>
            </w:r>
          </w:p>
          <w:p w14:paraId="2F2A087A">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1、处理器：不低于2.60 Hz</w:t>
            </w:r>
          </w:p>
          <w:p w14:paraId="06586E16">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2、内存：不低于32GB</w:t>
            </w:r>
          </w:p>
          <w:p w14:paraId="0A1C0523">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3、硬盘：不低于1T SSD+4T HDD</w:t>
            </w:r>
          </w:p>
          <w:p w14:paraId="1C72D4AE">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4、显示屏：不低于24 英寸</w:t>
            </w:r>
          </w:p>
          <w:p w14:paraId="577DC0D8">
            <w:pPr>
              <w:widowControl/>
              <w:jc w:val="left"/>
              <w:textAlignment w:val="center"/>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功能参数要求</w:t>
            </w:r>
          </w:p>
          <w:p w14:paraId="40293309">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需支持iOS、Android、HarmonyOS、YunOS、KaiOS、Symbian、Windows Mobile等主流平台检材数据采集；</w:t>
            </w:r>
          </w:p>
          <w:p w14:paraId="4E88AB97">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sz w:val="24"/>
                <w:szCs w:val="24"/>
              </w:rPr>
              <w:t>★</w:t>
            </w:r>
            <w:r>
              <w:rPr>
                <w:rFonts w:hint="eastAsia" w:ascii="宋体" w:hAnsi="宋体" w:eastAsia="宋体" w:cs="宋体"/>
                <w:color w:val="000000"/>
                <w:sz w:val="24"/>
                <w:szCs w:val="24"/>
                <w:lang w:val="en-US" w:eastAsia="zh-CN"/>
              </w:rPr>
              <w:t>需支持定向数据采集，包括但不限于微信账单、支付宝账单、微信聊天记录；（需提供软件功能截图并加盖厂家公章或是提供软件功能演示视频）</w:t>
            </w:r>
          </w:p>
          <w:p w14:paraId="1C6C0EEB">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需支持对接电子数据案件分析系统功能，支持对接电子数据智能侦查系统；（需提供软件功能截图并加盖厂家公章或是提供软件功能演示视频）</w:t>
            </w:r>
          </w:p>
          <w:p w14:paraId="6E330E25">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需支持基本信息（通讯录、通话记录、短信、手机安装程序列表、剪切板、便签、回收站、保密柜等）数据采集及删除数据的恢复；</w:t>
            </w:r>
          </w:p>
          <w:p w14:paraId="63638B9B">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需支持SIM卡信息采集，包括SIM卡信息、通讯录、短信等；</w:t>
            </w:r>
          </w:p>
          <w:p w14:paraId="384F2688">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需支持Android设备中安装的采集APP在采集完成或异常断开后，会提示卸载，清除采集痕迹；</w:t>
            </w:r>
          </w:p>
          <w:p w14:paraId="7A1A473B">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需支持Android手机采集过程中自动点击，减少人工手动操作；</w:t>
            </w:r>
          </w:p>
          <w:p w14:paraId="2EEB4C75">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需支持自动采集OTG上的华为备份; （需提供软件功能截图并加盖厂家公章或是提供软件功能演示视频）</w:t>
            </w:r>
          </w:p>
          <w:p w14:paraId="3C30FFFA">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需支持执行华为高级备份时，对储存空间不足的手机进行提醒和建议；</w:t>
            </w:r>
          </w:p>
          <w:p w14:paraId="256F672E">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需支持华为高级备份WiFi模式采集；（需提供软件功能截图并加盖厂家公章或是提供软件功能演示视频）</w:t>
            </w:r>
          </w:p>
          <w:p w14:paraId="785108A0">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需支持华为HDB模式下进行采集；（需提供软件功能截图并加盖厂家公章或是提供软件功能演示视频）</w:t>
            </w:r>
          </w:p>
          <w:p w14:paraId="0F3DACCE">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需支持VIVO Android 6.0及以上系统手机数据wifi采集，无需降级应用、无需ROOT设备、无需物理镜像，实现通话记录、通讯录、短信、QQ、微信等系统及第三方应用数据采集恢复；（需提供软件功能截图并加盖厂家公章或是提供软件功能演示视频）</w:t>
            </w:r>
          </w:p>
          <w:p w14:paraId="6A4BE38C">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需支持自动检测保存目录剩余空间，避免因为空间不足时造成任务失败； （需提供软件功能截图并加盖厂家公章或是提供软件功能演示视频）</w:t>
            </w:r>
          </w:p>
          <w:p w14:paraId="61EBEBA3">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需支持导出 Android APP 安装包； </w:t>
            </w:r>
          </w:p>
          <w:p w14:paraId="360362EE">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需支持自动检测和提醒 Android 设备是否处于飞行模式； （需提供软件功能截图并加盖厂家公章或是提供软件功能演示视频）</w:t>
            </w:r>
          </w:p>
          <w:p w14:paraId="7A4CDE77">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 Android/ios 设备录屏、组合录屏、截屏操作，数据直接产生在取证设备端； （需提供软件功能截图并加盖厂家公章或是提供软件功能演示视频）</w:t>
            </w:r>
          </w:p>
          <w:p w14:paraId="7FC252B7">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需支持关键词搜索；（需提供软件功能截图并加盖厂家公章或是提供软件功能演示视频）</w:t>
            </w:r>
          </w:p>
          <w:p w14:paraId="220BAD8E">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需支持提取数据完成后，拔掉检材分析数据；（需提供软件功能截图并加盖厂家公章或是提供软件功能演示视频）</w:t>
            </w:r>
          </w:p>
          <w:p w14:paraId="0CBA74A3">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需支持设备提取与分析相互独立，所有固定的数据均进行完整性计算，分析完毕后的检材分析内容不依赖原始检材；（需提供软件功能截图并加盖厂家公章或是提供软件功能演示视频）</w:t>
            </w:r>
          </w:p>
          <w:p w14:paraId="57D8C2DF">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sz w:val="24"/>
                <w:szCs w:val="24"/>
              </w:rPr>
              <w:t>★</w:t>
            </w:r>
            <w:r>
              <w:rPr>
                <w:rFonts w:hint="eastAsia" w:ascii="宋体" w:hAnsi="宋体" w:eastAsia="宋体" w:cs="宋体"/>
                <w:color w:val="000000"/>
                <w:sz w:val="24"/>
                <w:szCs w:val="24"/>
                <w:lang w:val="en-US" w:eastAsia="zh-CN"/>
              </w:rPr>
              <w:t>需支持风险应用预警功能；（需提供软件功能截图并加盖厂家公章或是提供软件功能演示视频）</w:t>
            </w:r>
          </w:p>
          <w:p w14:paraId="0DA4051B">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需支持任务日志查询，日志中包括任务名称、操作人员、设备信息、耗时、任务时间等关键信息； </w:t>
            </w:r>
          </w:p>
          <w:p w14:paraId="1CA7F0D1">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 xml:space="preserve">需支持历史任务查看管理，支持查看历史检材采集详情； </w:t>
            </w:r>
          </w:p>
          <w:p w14:paraId="52FC26D5">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需支持超过200种以上常用Android和iOS应用信息分析，包括但不限于：浏览器、即时通讯、境外通讯、邮箱工具、网络云盘、视频音频、办公软件、位置出行、网络购物等；</w:t>
            </w:r>
          </w:p>
          <w:p w14:paraId="6214F06F">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需支持基于Telegram聊天框架生成的各类变种即时通讯App通用分析；（需提供软件功能截图并加盖厂家公章或是提供软件功能演示视频）</w:t>
            </w:r>
          </w:p>
          <w:p w14:paraId="0EBF3FEF">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需支持基于野火IM聊天框架生成的各类变种即时通讯App通用分析；（需提供软件功能截图并加盖厂家公章或是提供软件功能演示视频）</w:t>
            </w:r>
          </w:p>
          <w:p w14:paraId="041A4FDD">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需支持华为、荣耀手机自动赋权；（需提供软件功能截图并加盖厂家公章或是提供软件功能演示视频）</w:t>
            </w:r>
          </w:p>
          <w:p w14:paraId="3D66643A">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000000"/>
                <w:sz w:val="24"/>
                <w:szCs w:val="24"/>
                <w:lang w:val="en-US" w:eastAsia="zh-CN"/>
              </w:rPr>
              <w:t>需支持小米机型在文件管理有应用锁时也可以正常提取；（需提供软件功能截图并加盖厂家公章或是提供软件功能演示视频）</w:t>
            </w:r>
          </w:p>
          <w:p w14:paraId="57935E77">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需获得由中华人民共和国国家版权局颁发的计算机软件著作权登记证书。</w:t>
            </w:r>
          </w:p>
          <w:p w14:paraId="2B0FDC50">
            <w:pPr>
              <w:widowControl/>
              <w:jc w:val="left"/>
              <w:textAlignment w:val="center"/>
              <w:rPr>
                <w:rFonts w:hint="eastAsia" w:ascii="宋体" w:hAnsi="宋体" w:eastAsia="宋体" w:cs="宋体"/>
                <w:b/>
                <w:bCs/>
                <w:color w:val="000000"/>
                <w:sz w:val="24"/>
                <w:szCs w:val="24"/>
                <w:lang w:val="en-US" w:eastAsia="zh-CN"/>
              </w:rPr>
            </w:pPr>
            <w:r>
              <w:rPr>
                <w:rFonts w:hint="eastAsia" w:ascii="宋体" w:hAnsi="宋体" w:eastAsia="宋体" w:cs="宋体"/>
                <w:b/>
                <w:bCs/>
                <w:color w:val="000000"/>
                <w:sz w:val="24"/>
                <w:szCs w:val="24"/>
                <w:lang w:val="en-US" w:eastAsia="zh-CN"/>
              </w:rPr>
              <w:t>数据汇聚分析功能参数</w:t>
            </w:r>
          </w:p>
          <w:p w14:paraId="3F8BCC5B">
            <w:pPr>
              <w:widowControl/>
              <w:spacing w:line="360" w:lineRule="auto"/>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数据汇聚功能：需支持导入部标BCP标准数据；需支持导入国内取证厂商的数据包；</w:t>
            </w:r>
          </w:p>
          <w:p w14:paraId="4CF420D8">
            <w:pPr>
              <w:widowControl/>
              <w:spacing w:line="360" w:lineRule="auto"/>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sz w:val="24"/>
                <w:szCs w:val="24"/>
              </w:rPr>
              <w:t>★</w:t>
            </w:r>
            <w:r>
              <w:rPr>
                <w:rFonts w:hint="eastAsia" w:ascii="宋体" w:hAnsi="宋体" w:eastAsia="宋体" w:cs="宋体"/>
                <w:color w:val="000000"/>
                <w:sz w:val="24"/>
                <w:szCs w:val="24"/>
                <w:lang w:val="en-US" w:eastAsia="zh-CN"/>
              </w:rPr>
              <w:t>数据传输功能：需支持通过内置客户端进行BCP传输，需支持从手机数据采集设备端直接传输BCP；（需提供软件功能截图并加盖厂家公章或是提供软件功能演示视频）</w:t>
            </w:r>
          </w:p>
          <w:p w14:paraId="4029C3E5">
            <w:pPr>
              <w:widowControl/>
              <w:spacing w:line="360" w:lineRule="auto"/>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数据管理功能：需支持对采集数据管理操作，包括但不限于查看、下载、删除数据包等；</w:t>
            </w:r>
          </w:p>
          <w:p w14:paraId="44E0BA66">
            <w:pPr>
              <w:widowControl/>
              <w:spacing w:line="360" w:lineRule="auto"/>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数据上报功能：需支持BCP上报任务，需支持手动BCP上报，同时需实时显示BCP上报传输的任务状态列表；需支持自定义上报任务配置（如自定义来源平台、上报平台等）实现自动化数据传输；需支持自动去除资源文件上报；</w:t>
            </w:r>
          </w:p>
          <w:p w14:paraId="501900AE">
            <w:pPr>
              <w:widowControl/>
              <w:spacing w:line="360" w:lineRule="auto"/>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数据统计功能：需支持根据单位、案件、平台等主体进行采集数据统计，并支持对统计数据进行展示和管理操作；</w:t>
            </w:r>
          </w:p>
          <w:p w14:paraId="17BDDA8B">
            <w:pPr>
              <w:widowControl/>
              <w:spacing w:line="360" w:lineRule="auto"/>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数据可视化展示功能：需支持根据实际业务情况定制数据可视化展示大屏；</w:t>
            </w:r>
          </w:p>
          <w:p w14:paraId="27DD83C0">
            <w:pPr>
              <w:widowControl/>
              <w:spacing w:line="360" w:lineRule="auto"/>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日志功能：需具备日志功能，全程记录案件情况、操作步骤、系统级日志；</w:t>
            </w:r>
          </w:p>
          <w:p w14:paraId="51FBA4CF">
            <w:pPr>
              <w:widowControl/>
              <w:spacing w:line="360" w:lineRule="auto"/>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权限管理：需支持部门权限管理，支持通过相应权限查看各级部门单位的数据统计情况。</w:t>
            </w:r>
          </w:p>
          <w:p w14:paraId="1413B58F">
            <w:pPr>
              <w:widowControl/>
              <w:jc w:val="left"/>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需获得由中华人民共和国国家版权局颁发的计算机软件著作权登记证书。</w:t>
            </w:r>
          </w:p>
        </w:tc>
        <w:tc>
          <w:tcPr>
            <w:tcW w:w="544" w:type="dxa"/>
            <w:tcBorders>
              <w:top w:val="single" w:color="000000" w:sz="4" w:space="0"/>
              <w:left w:val="single" w:color="000000" w:sz="4" w:space="0"/>
              <w:bottom w:val="single" w:color="000000" w:sz="4" w:space="0"/>
              <w:right w:val="single" w:color="000000" w:sz="4" w:space="0"/>
            </w:tcBorders>
            <w:noWrap w:val="0"/>
            <w:vAlign w:val="center"/>
          </w:tcPr>
          <w:p w14:paraId="4304156D">
            <w:pPr>
              <w:widowControl/>
              <w:jc w:val="center"/>
              <w:textAlignment w:val="center"/>
              <w:rPr>
                <w:rFonts w:hint="eastAsia" w:ascii="宋体" w:hAnsi="宋体" w:eastAsia="宋体" w:cs="宋体"/>
                <w:color w:val="000000"/>
                <w:kern w:val="0"/>
                <w:sz w:val="24"/>
                <w:szCs w:val="24"/>
                <w:lang w:val="en-US" w:eastAsia="zh-CN"/>
              </w:rPr>
            </w:pPr>
            <w:r>
              <w:rPr>
                <w:rFonts w:hint="eastAsia" w:ascii="宋体" w:hAnsi="宋体" w:eastAsia="宋体" w:cs="宋体"/>
                <w:color w:val="000000"/>
                <w:sz w:val="24"/>
                <w:szCs w:val="24"/>
                <w:lang w:val="en-US" w:eastAsia="zh-CN"/>
              </w:rPr>
              <w:t>台</w:t>
            </w:r>
          </w:p>
        </w:tc>
        <w:tc>
          <w:tcPr>
            <w:tcW w:w="540" w:type="dxa"/>
            <w:tcBorders>
              <w:top w:val="single" w:color="000000" w:sz="4" w:space="0"/>
              <w:left w:val="single" w:color="000000" w:sz="4" w:space="0"/>
              <w:bottom w:val="single" w:color="000000" w:sz="4" w:space="0"/>
              <w:right w:val="single" w:color="000000" w:sz="4" w:space="0"/>
            </w:tcBorders>
            <w:noWrap w:val="0"/>
            <w:vAlign w:val="center"/>
          </w:tcPr>
          <w:p w14:paraId="4BF607C1">
            <w:pPr>
              <w:widowControl/>
              <w:jc w:val="center"/>
              <w:textAlignment w:val="center"/>
              <w:rPr>
                <w:rFonts w:hint="eastAsia" w:ascii="宋体" w:hAnsi="宋体" w:eastAsia="宋体" w:cs="宋体"/>
                <w:color w:val="000000"/>
                <w:sz w:val="24"/>
                <w:szCs w:val="24"/>
                <w:lang w:val="en-US" w:eastAsia="zh-CN"/>
              </w:rPr>
            </w:pPr>
            <w:r>
              <w:rPr>
                <w:rFonts w:hint="eastAsia" w:ascii="宋体" w:hAnsi="宋体" w:eastAsia="宋体" w:cs="宋体"/>
                <w:color w:val="000000"/>
                <w:sz w:val="24"/>
                <w:szCs w:val="24"/>
                <w:lang w:val="en-US" w:eastAsia="zh-CN"/>
              </w:rPr>
              <w:t>21</w:t>
            </w:r>
          </w:p>
        </w:tc>
      </w:tr>
    </w:tbl>
    <w:p w14:paraId="16679663">
      <w:pPr>
        <w:autoSpaceDE w:val="0"/>
        <w:autoSpaceDN w:val="0"/>
        <w:adjustRightInd w:val="0"/>
        <w:spacing w:line="440" w:lineRule="exact"/>
        <w:ind w:firstLine="0" w:firstLineChars="0"/>
        <w:jc w:val="left"/>
        <w:rPr>
          <w:rFonts w:hint="eastAsia" w:ascii="宋体" w:hAnsi="宋体"/>
          <w:b/>
          <w:sz w:val="24"/>
          <w:szCs w:val="24"/>
        </w:rPr>
      </w:pPr>
      <w:r>
        <w:rPr>
          <w:rFonts w:hint="eastAsia" w:ascii="宋体" w:hAnsi="宋体" w:eastAsia="宋体" w:cs="宋体"/>
          <w:b/>
          <w:bCs/>
          <w:color w:val="auto"/>
          <w:sz w:val="24"/>
          <w:szCs w:val="24"/>
          <w:highlight w:val="none"/>
          <w:lang w:eastAsia="zh-CN"/>
        </w:rPr>
        <w:t>（三）</w:t>
      </w:r>
      <w:r>
        <w:rPr>
          <w:rFonts w:hint="eastAsia" w:ascii="宋体" w:hAnsi="宋体"/>
          <w:b/>
          <w:sz w:val="24"/>
          <w:szCs w:val="24"/>
        </w:rPr>
        <w:t>采购设备的总体要求：</w:t>
      </w:r>
    </w:p>
    <w:p w14:paraId="7B6359F2">
      <w:pPr>
        <w:spacing w:line="440" w:lineRule="exact"/>
        <w:ind w:firstLine="480" w:firstLineChars="200"/>
        <w:rPr>
          <w:rFonts w:hint="eastAsia" w:ascii="宋体" w:hAnsi="宋体"/>
          <w:sz w:val="24"/>
          <w:szCs w:val="24"/>
        </w:rPr>
      </w:pPr>
      <w:r>
        <w:rPr>
          <w:rFonts w:hint="eastAsia" w:ascii="宋体" w:hAnsi="宋体"/>
          <w:sz w:val="24"/>
          <w:szCs w:val="24"/>
        </w:rPr>
        <w:t>1. 必须符合招标文件(包括补充更正，如有)的技术要求和配置；必须是国内相应制造厂商生产并提供的原装合格产品；符合国家质量技术标准的设备。</w:t>
      </w:r>
    </w:p>
    <w:p w14:paraId="262BF7EC">
      <w:pPr>
        <w:numPr>
          <w:ilvl w:val="-1"/>
          <w:numId w:val="0"/>
        </w:numPr>
        <w:bidi w:val="0"/>
        <w:spacing w:line="312" w:lineRule="auto"/>
        <w:ind w:firstLine="480" w:firstLineChars="200"/>
        <w:rPr>
          <w:rFonts w:hint="eastAsia" w:ascii="宋体" w:hAnsi="宋体" w:eastAsia="宋体" w:cs="宋体"/>
          <w:b/>
          <w:bCs/>
          <w:color w:val="auto"/>
          <w:sz w:val="24"/>
          <w:szCs w:val="24"/>
          <w:highlight w:val="none"/>
          <w:lang w:eastAsia="zh-CN"/>
        </w:rPr>
      </w:pPr>
      <w:r>
        <w:rPr>
          <w:rFonts w:hint="eastAsia" w:ascii="宋体" w:hAnsi="宋体"/>
          <w:sz w:val="24"/>
          <w:szCs w:val="24"/>
        </w:rPr>
        <w:t>2.售后服务按国家质量监督检验检疫总局和国家其他有关规定执行，国家没有规定的按厂商规定执行。国家规定标准低于厂商标准的按厂商标准执行。</w:t>
      </w:r>
    </w:p>
    <w:p w14:paraId="0395EC5B">
      <w:pPr>
        <w:numPr>
          <w:ilvl w:val="-1"/>
          <w:numId w:val="0"/>
        </w:numPr>
        <w:bidi w:val="0"/>
        <w:spacing w:line="312" w:lineRule="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（四）</w:t>
      </w:r>
      <w:r>
        <w:rPr>
          <w:rFonts w:hint="eastAsia" w:ascii="宋体" w:hAnsi="宋体" w:eastAsia="宋体" w:cs="宋体"/>
          <w:b/>
          <w:bCs/>
          <w:color w:val="auto"/>
          <w:sz w:val="24"/>
          <w:szCs w:val="24"/>
          <w:highlight w:val="none"/>
        </w:rPr>
        <w:t>项目实施及服务要求</w:t>
      </w:r>
      <w:bookmarkStart w:id="13" w:name="_GoBack"/>
      <w:bookmarkEnd w:id="13"/>
    </w:p>
    <w:p w14:paraId="78309C1E">
      <w:pPr>
        <w:numPr>
          <w:ilvl w:val="0"/>
          <w:numId w:val="0"/>
        </w:numPr>
        <w:bidi w:val="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1.</w:t>
      </w:r>
      <w:r>
        <w:rPr>
          <w:rFonts w:hint="eastAsia" w:ascii="宋体" w:hAnsi="宋体" w:eastAsia="宋体" w:cs="宋体"/>
          <w:b/>
          <w:bCs/>
          <w:color w:val="auto"/>
          <w:sz w:val="24"/>
          <w:szCs w:val="24"/>
          <w:highlight w:val="none"/>
        </w:rPr>
        <w:t>项目实施总体要求</w:t>
      </w:r>
    </w:p>
    <w:p w14:paraId="07002D0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（1）投标人应在项目实施前向招标人提交详尽的项目实施方案和实施计划，招标人审核同意后方可进行项目实施工作。投标人应在系统实施方案中描述具体的实施团队的组成、工作的内</w:t>
      </w:r>
      <w:r>
        <w:rPr>
          <w:rFonts w:hint="eastAsia" w:ascii="宋体" w:hAnsi="宋体" w:eastAsia="宋体" w:cs="宋体"/>
          <w:bCs/>
          <w:color w:val="auto"/>
          <w:sz w:val="24"/>
          <w:szCs w:val="24"/>
          <w:highlight w:val="none"/>
        </w:rPr>
        <w:t>容、投入人员、项目实施计划、项目进程表及招标人的配合等内容。投标人能够针对本项目提供完整、详细、准确、可行的整体解决方案并负责工程实施</w:t>
      </w:r>
      <w:r>
        <w:rPr>
          <w:rFonts w:hint="eastAsia" w:ascii="宋体" w:hAnsi="宋体" w:eastAsia="宋体" w:cs="宋体"/>
          <w:color w:val="auto"/>
          <w:sz w:val="24"/>
          <w:szCs w:val="24"/>
          <w:highlight w:val="none"/>
        </w:rPr>
        <w:t>。</w:t>
      </w:r>
    </w:p>
    <w:p w14:paraId="44E22E3D">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（2）项目须由中标人实施不允许转包，如发现项目转包情况，招标人有权解除合同、没收履约保证金并追究中标人的违约责任。</w:t>
      </w:r>
    </w:p>
    <w:p w14:paraId="0C072E9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（3）项目实施所需的工具、仪表及其他安装调试设备材料等应由投标人自行解决。投标人在实施过程中应严格执行相关的安全实施规范，在实施过程中和质保期间所产生的一切安全责任均由投标人自行承担。</w:t>
      </w:r>
    </w:p>
    <w:p w14:paraId="0982A01D">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（4）本项目涉及第三方系统的接口开发、系统对接等费用（包括第三方系统原供应商配合该项目提供的接口开发、系统对接费用）皆由投标人承担。</w:t>
      </w:r>
    </w:p>
    <w:p w14:paraId="5041694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若在项目实施过程中发现招标文件中遗漏或缺少系统正常运行必要的软件模块、接口、硬件配件或服务等配套产品，供应商有义务在投标文件中指出，并提出解决方案供招标人、招标机构参考。若项目系统因缺少必要软件模块、接口、硬件配件或服务等配套产品而导致招标人系统无法正常运行的，投标人有义务保证招标人系统的完整性，须承诺免费提供。</w:t>
      </w:r>
    </w:p>
    <w:p w14:paraId="110C9439">
      <w:pPr>
        <w:bidi w:val="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val="en-US" w:eastAsia="zh-CN"/>
        </w:rPr>
        <w:t>2.</w:t>
      </w:r>
      <w:r>
        <w:rPr>
          <w:rFonts w:hint="eastAsia" w:ascii="宋体" w:hAnsi="宋体" w:eastAsia="宋体" w:cs="宋体"/>
          <w:b/>
          <w:bCs/>
          <w:color w:val="auto"/>
          <w:sz w:val="24"/>
          <w:szCs w:val="24"/>
          <w:highlight w:val="none"/>
          <w:lang w:eastAsia="zh-CN"/>
        </w:rPr>
        <w:t>技术培训要求</w:t>
      </w:r>
    </w:p>
    <w:p w14:paraId="7BB32030">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标人必须根据项目服务要求，充分考虑到系统使用人员实际水平，提出详细的培训方案。目标是通过系统培训使相关人员能独立进行相应应用与管理、故障处理、日常维护等工作，确保系统能正常安全运行。中标人未按招标人（或使用单位）要求开展培训，招标人可拒绝项目验收。</w:t>
      </w:r>
    </w:p>
    <w:p w14:paraId="421A498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技术培训应包括但不仅限于下列内容：</w:t>
      </w:r>
    </w:p>
    <w:p w14:paraId="20106E1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中标人有责任完成对使用单位相关人员组织具有针对性的培训课程，培训内容要求分为三类，分别为系统开发和管理培训、运行与维护管理培训和用户使用培训。软件日常操作培训主要面向系统管理员等使用系统的人员；软件日常维护系统培训主要面向</w:t>
      </w:r>
      <w:r>
        <w:rPr>
          <w:rFonts w:hint="eastAsia" w:ascii="宋体" w:hAnsi="宋体" w:eastAsia="宋体" w:cs="宋体"/>
          <w:color w:val="auto"/>
          <w:sz w:val="24"/>
          <w:szCs w:val="24"/>
          <w:highlight w:val="none"/>
          <w:lang w:eastAsia="zh-CN"/>
        </w:rPr>
        <w:t>使用单位</w:t>
      </w:r>
      <w:r>
        <w:rPr>
          <w:rFonts w:hint="eastAsia" w:ascii="宋体" w:hAnsi="宋体" w:eastAsia="宋体" w:cs="宋体"/>
          <w:color w:val="auto"/>
          <w:sz w:val="24"/>
          <w:szCs w:val="24"/>
          <w:highlight w:val="none"/>
        </w:rPr>
        <w:t>信息化管理技术人员进行培训，使其具备独立进行软件日常维护、故障的诊断与处理等方面的培训。</w:t>
      </w:r>
    </w:p>
    <w:p w14:paraId="7DF27B6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（2）培训形式包括但不仅限于集中培训、现场培训、上机培训、培训考核。</w:t>
      </w:r>
    </w:p>
    <w:p w14:paraId="4DF0A3C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（3）培训时间、周期、频率和培训人数均由招标人指定，以满足系统正常上线、相关人员均可独立熟练操作为准。</w:t>
      </w:r>
    </w:p>
    <w:p w14:paraId="460B9FFC">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中标方派出的培训教员必须是投标单位的正式雇员或专业的授权培训机构雇员，应具备丰富的相同课程教学经验，并为被培训人员提供完整的培训资料、培训计划等文档。如果使用第三方培训机构，投标单位应在投标文件中提供培训机构的名称，并能根据情况调整。</w:t>
      </w:r>
    </w:p>
    <w:p w14:paraId="7D2F3581">
      <w:pPr>
        <w:bidi w:val="0"/>
        <w:rPr>
          <w:rFonts w:hint="eastAsia" w:ascii="宋体" w:hAnsi="宋体" w:eastAsia="宋体" w:cs="宋体"/>
          <w:b/>
          <w:bCs/>
          <w:color w:val="auto"/>
          <w:sz w:val="24"/>
          <w:szCs w:val="24"/>
          <w:highlight w:val="none"/>
          <w:lang w:val="en-US" w:eastAsia="zh-CN"/>
        </w:rPr>
      </w:pPr>
      <w:r>
        <w:rPr>
          <w:rFonts w:hint="eastAsia" w:ascii="宋体" w:hAnsi="宋体" w:eastAsia="宋体" w:cs="宋体"/>
          <w:b/>
          <w:bCs/>
          <w:color w:val="auto"/>
          <w:sz w:val="24"/>
          <w:szCs w:val="24"/>
          <w:highlight w:val="none"/>
          <w:lang w:val="en-US" w:eastAsia="zh-CN"/>
        </w:rPr>
        <w:t>3.安全及保密要求</w:t>
      </w:r>
    </w:p>
    <w:p w14:paraId="78E0E231">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（1）投标人应严格保守在合作过程中所了解的招标人的商业及技术机密，否则应对由此造成的损失承担赔偿。</w:t>
      </w:r>
    </w:p>
    <w:p w14:paraId="7300ED9B">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投标人不得出于除履行本项目以外任何目的的披露、传播、复制或使用来自招标人的所有或者部分保密信息；不得在未经招标人书面明确同意的前提下向任何第三方披露本项目相关保密信息；本项目履行完毕后，投标人应当将所有涉及保密信息的载体交还招标人或自行做好管理，不得保留任何形式的存档。</w:t>
      </w:r>
    </w:p>
    <w:p w14:paraId="20135E19">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（3）投标人应严格遵循招标人的各项安全保密制度，所有信息数据迁移、处理等过程中严禁私自复制、传输，完成建设任务后，投标人使用的用户信息等敏感数据必须物理清除。</w:t>
      </w:r>
    </w:p>
    <w:p w14:paraId="5B9E496F">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投标人有义务保障平台的稳定性、账户的安全性，因软件系统原因导致平台崩溃、账户盗号或被攻击发布非法信息等引发的问题，所有经济责任及法律责任均由投标人承担，涉及违法犯罪的交由公安机关处理。</w:t>
      </w:r>
    </w:p>
    <w:p w14:paraId="035D8E0E">
      <w:pPr>
        <w:keepNext w:val="0"/>
        <w:keepLines w:val="0"/>
        <w:pageBreakBefore w:val="0"/>
        <w:widowControl/>
        <w:kinsoku/>
        <w:wordWrap/>
        <w:overflowPunct/>
        <w:topLinePunct w:val="0"/>
        <w:autoSpaceDE/>
        <w:autoSpaceDN/>
        <w:bidi w:val="0"/>
        <w:adjustRightInd/>
        <w:snapToGrid/>
        <w:spacing w:line="360" w:lineRule="auto"/>
        <w:ind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（5）投标人违反网络安全、数据安全、个人信息保护有关法律、法规规定的，由网信、公安等部门按照职责依法予以查处。</w:t>
      </w:r>
    </w:p>
    <w:p w14:paraId="1C20A662">
      <w:pPr>
        <w:pStyle w:val="3"/>
        <w:keepNext w:val="0"/>
        <w:keepLines w:val="0"/>
        <w:pageBreakBefore w:val="0"/>
        <w:widowControl/>
        <w:numPr>
          <w:ilvl w:val="0"/>
          <w:numId w:val="0"/>
        </w:numPr>
        <w:tabs>
          <w:tab w:val="left" w:pos="706"/>
          <w:tab w:val="left" w:pos="1110"/>
        </w:tabs>
        <w:kinsoku/>
        <w:wordWrap/>
        <w:overflowPunct/>
        <w:topLinePunct w:val="0"/>
        <w:bidi w:val="0"/>
        <w:spacing w:line="312" w:lineRule="auto"/>
        <w:ind w:left="528" w:leftChars="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（五）质保要求</w:t>
      </w:r>
    </w:p>
    <w:p w14:paraId="19EA6E1B">
      <w:pPr>
        <w:pStyle w:val="16"/>
        <w:keepNext w:val="0"/>
        <w:keepLines w:val="0"/>
        <w:pageBreakBefore w:val="0"/>
        <w:widowControl/>
        <w:pBdr>
          <w:top w:val="none" w:color="auto" w:sz="0" w:space="0"/>
        </w:pBdr>
        <w:kinsoku/>
        <w:wordWrap/>
        <w:overflowPunct/>
        <w:topLinePunct w:val="0"/>
        <w:bidi w:val="0"/>
        <w:spacing w:line="312" w:lineRule="auto"/>
        <w:ind w:firstLine="480" w:firstLineChars="200"/>
        <w:jc w:val="both"/>
        <w:rPr>
          <w:rFonts w:hint="eastAsia" w:ascii="宋体" w:hAnsi="宋体" w:eastAsia="宋体" w:cs="宋体"/>
          <w:color w:val="auto"/>
          <w:kern w:val="0"/>
          <w:sz w:val="24"/>
          <w:szCs w:val="24"/>
          <w:highlight w:val="none"/>
          <w:lang w:val="en-US" w:eastAsia="zh-Hans" w:bidi="ar"/>
        </w:rPr>
      </w:pPr>
      <w:r>
        <w:rPr>
          <w:rFonts w:hint="eastAsia" w:ascii="宋体" w:hAnsi="宋体" w:eastAsia="宋体" w:cs="宋体"/>
          <w:color w:val="auto"/>
          <w:kern w:val="0"/>
          <w:sz w:val="24"/>
          <w:szCs w:val="24"/>
          <w:highlight w:val="none"/>
          <w:lang w:val="en-US" w:eastAsia="zh-Hans" w:bidi="ar"/>
        </w:rPr>
        <w:t>1.质保范围：清单中的所有内容。</w:t>
      </w:r>
    </w:p>
    <w:p w14:paraId="5098A509">
      <w:pPr>
        <w:spacing w:line="440" w:lineRule="exact"/>
        <w:ind w:firstLine="480" w:firstLineChars="200"/>
        <w:rPr>
          <w:rFonts w:ascii="宋体" w:hAnsi="宋体"/>
          <w:sz w:val="24"/>
          <w:szCs w:val="24"/>
        </w:rPr>
      </w:pPr>
      <w:r>
        <w:rPr>
          <w:rFonts w:hint="eastAsia" w:ascii="宋体" w:hAnsi="宋体" w:eastAsia="宋体" w:cs="宋体"/>
          <w:color w:val="auto"/>
          <w:kern w:val="0"/>
          <w:sz w:val="24"/>
          <w:szCs w:val="24"/>
          <w:highlight w:val="none"/>
          <w:lang w:val="en-US" w:eastAsia="zh-Hans" w:bidi="ar"/>
        </w:rPr>
        <w:t>2.质保期限：</w:t>
      </w:r>
      <w:r>
        <w:rPr>
          <w:rFonts w:hint="eastAsia" w:ascii="宋体" w:hAnsi="宋体"/>
          <w:sz w:val="24"/>
          <w:szCs w:val="24"/>
        </w:rPr>
        <w:t>所有设备要</w:t>
      </w:r>
      <w:r>
        <w:rPr>
          <w:rFonts w:hint="eastAsia" w:ascii="宋体" w:hAnsi="宋体"/>
          <w:sz w:val="24"/>
          <w:szCs w:val="24"/>
          <w:highlight w:val="none"/>
        </w:rPr>
        <w:t>求提供</w:t>
      </w:r>
      <w:r>
        <w:rPr>
          <w:rFonts w:hint="eastAsia" w:ascii="宋体" w:hAnsi="宋体"/>
          <w:sz w:val="24"/>
          <w:szCs w:val="24"/>
          <w:highlight w:val="none"/>
          <w:lang w:val="en-US" w:eastAsia="zh-CN"/>
        </w:rPr>
        <w:t>五</w:t>
      </w:r>
      <w:r>
        <w:rPr>
          <w:rFonts w:hint="eastAsia" w:ascii="宋体" w:hAnsi="宋体"/>
          <w:sz w:val="24"/>
          <w:szCs w:val="24"/>
          <w:highlight w:val="none"/>
        </w:rPr>
        <w:t>年质保</w:t>
      </w:r>
      <w:r>
        <w:rPr>
          <w:rFonts w:hint="eastAsia" w:ascii="宋体" w:hAnsi="宋体" w:eastAsia="宋体" w:cs="宋体"/>
          <w:color w:val="auto"/>
          <w:kern w:val="0"/>
          <w:sz w:val="24"/>
          <w:szCs w:val="24"/>
          <w:highlight w:val="none"/>
          <w:lang w:val="en-US" w:eastAsia="zh-Hans" w:bidi="ar"/>
        </w:rPr>
        <w:t>（自</w:t>
      </w:r>
      <w:r>
        <w:rPr>
          <w:rFonts w:hint="eastAsia" w:ascii="宋体" w:hAnsi="宋体" w:eastAsia="宋体" w:cs="宋体"/>
          <w:color w:val="auto"/>
          <w:kern w:val="0"/>
          <w:sz w:val="24"/>
          <w:szCs w:val="24"/>
          <w:highlight w:val="none"/>
          <w:lang w:val="en-US" w:eastAsia="zh-CN" w:bidi="ar"/>
        </w:rPr>
        <w:t>完</w:t>
      </w:r>
      <w:r>
        <w:rPr>
          <w:rFonts w:hint="eastAsia" w:ascii="宋体" w:hAnsi="宋体" w:eastAsia="宋体" w:cs="宋体"/>
          <w:color w:val="auto"/>
          <w:kern w:val="0"/>
          <w:sz w:val="24"/>
          <w:szCs w:val="24"/>
          <w:highlight w:val="none"/>
          <w:lang w:val="en-US" w:eastAsia="zh-Hans" w:bidi="ar"/>
        </w:rPr>
        <w:t>工验收合格之日起算）</w:t>
      </w:r>
      <w:r>
        <w:rPr>
          <w:rFonts w:hint="eastAsia" w:ascii="宋体" w:hAnsi="宋体"/>
          <w:sz w:val="24"/>
          <w:szCs w:val="24"/>
          <w:highlight w:val="none"/>
        </w:rPr>
        <w:t>。保</w:t>
      </w:r>
      <w:r>
        <w:rPr>
          <w:rFonts w:hint="eastAsia" w:ascii="宋体" w:hAnsi="宋体"/>
          <w:sz w:val="24"/>
          <w:szCs w:val="24"/>
        </w:rPr>
        <w:t>质期内因不能排除的故障而影响工作的情况每发生一次，其质保期相应延长</w:t>
      </w:r>
      <w:r>
        <w:rPr>
          <w:rFonts w:ascii="宋体" w:hAnsi="宋体"/>
          <w:sz w:val="24"/>
          <w:szCs w:val="24"/>
        </w:rPr>
        <w:t>60</w:t>
      </w:r>
      <w:r>
        <w:rPr>
          <w:rFonts w:hint="eastAsia" w:ascii="宋体" w:hAnsi="宋体"/>
          <w:sz w:val="24"/>
          <w:szCs w:val="24"/>
        </w:rPr>
        <w:t>天，保质期内因设备本身缺陷造成各种故障应由卖方免费技术服务和维修。</w:t>
      </w:r>
    </w:p>
    <w:p w14:paraId="45DDCF29">
      <w:pPr>
        <w:pStyle w:val="4"/>
        <w:pageBreakBefore w:val="0"/>
        <w:widowControl w:val="0"/>
        <w:numPr>
          <w:ilvl w:val="1"/>
          <w:numId w:val="0"/>
        </w:numPr>
        <w:tabs>
          <w:tab w:val="left" w:pos="0"/>
        </w:tabs>
        <w:kinsoku/>
        <w:wordWrap/>
        <w:overflowPunct/>
        <w:topLinePunct w:val="0"/>
        <w:autoSpaceDE w:val="0"/>
        <w:autoSpaceDN w:val="0"/>
        <w:bidi w:val="0"/>
        <w:adjustRightInd w:val="0"/>
        <w:snapToGrid/>
        <w:spacing w:before="0" w:beforeLines="0" w:after="0" w:afterLines="0" w:line="440" w:lineRule="exact"/>
        <w:ind w:firstLine="480" w:firstLineChars="200"/>
        <w:textAlignment w:val="auto"/>
        <w:rPr>
          <w:rFonts w:hint="default" w:ascii="宋体" w:hAnsi="宋体" w:eastAsia="宋体" w:cs="宋体"/>
          <w:b/>
          <w:bCs w:val="0"/>
          <w:color w:val="auto"/>
          <w:kern w:val="0"/>
          <w:sz w:val="24"/>
          <w:szCs w:val="24"/>
          <w:highlight w:val="none"/>
          <w:lang w:val="en-US" w:eastAsia="zh-CN" w:bidi="ar-SA"/>
        </w:rPr>
      </w:pPr>
      <w:r>
        <w:rPr>
          <w:rFonts w:hint="eastAsia" w:ascii="宋体" w:hAnsi="宋体" w:eastAsia="宋体" w:cs="宋体"/>
          <w:color w:val="auto"/>
          <w:kern w:val="0"/>
          <w:sz w:val="24"/>
          <w:szCs w:val="24"/>
          <w:highlight w:val="none"/>
          <w:lang w:val="en-US" w:eastAsia="zh-Hans" w:bidi="ar"/>
        </w:rPr>
        <w:t>3.质保服务要求：</w:t>
      </w:r>
      <w:r>
        <w:rPr>
          <w:rFonts w:hint="eastAsia" w:ascii="宋体" w:hAnsi="宋体" w:eastAsia="宋体" w:cs="宋体"/>
          <w:color w:val="auto"/>
          <w:sz w:val="24"/>
          <w:szCs w:val="24"/>
          <w:highlight w:val="none"/>
        </w:rPr>
        <w:t>投标人应配备专门的技术服务部门负责对用户的全方位的技术支持和服务，通过电话服务、远程服务和现场服务向采购方提供快速、高效的</w:t>
      </w:r>
      <w:r>
        <w:rPr>
          <w:rFonts w:hint="eastAsia" w:ascii="宋体" w:hAnsi="宋体" w:cs="宋体"/>
          <w:color w:val="auto"/>
          <w:sz w:val="24"/>
          <w:szCs w:val="24"/>
          <w:highlight w:val="none"/>
          <w:lang w:val="en-US" w:eastAsia="zh-CN"/>
        </w:rPr>
        <w:t>数据安全</w:t>
      </w:r>
      <w:r>
        <w:rPr>
          <w:rFonts w:hint="eastAsia" w:ascii="宋体" w:hAnsi="宋体" w:eastAsia="宋体" w:cs="宋体"/>
          <w:color w:val="auto"/>
          <w:sz w:val="24"/>
          <w:szCs w:val="24"/>
          <w:highlight w:val="none"/>
        </w:rPr>
        <w:t>服务，及时准确解决</w:t>
      </w:r>
      <w:r>
        <w:rPr>
          <w:rFonts w:hint="eastAsia" w:ascii="宋体" w:hAnsi="宋体" w:eastAsia="宋体" w:cs="宋体"/>
          <w:color w:val="auto"/>
          <w:sz w:val="24"/>
          <w:szCs w:val="24"/>
          <w:highlight w:val="none"/>
          <w:lang w:val="en-US" w:eastAsia="zh-CN"/>
        </w:rPr>
        <w:t>软件</w:t>
      </w:r>
      <w:r>
        <w:rPr>
          <w:rFonts w:hint="eastAsia" w:ascii="宋体" w:hAnsi="宋体" w:cs="宋体"/>
          <w:color w:val="auto"/>
          <w:sz w:val="24"/>
          <w:szCs w:val="24"/>
          <w:highlight w:val="none"/>
          <w:lang w:val="en-US" w:eastAsia="zh-CN"/>
        </w:rPr>
        <w:t>系统</w:t>
      </w:r>
      <w:r>
        <w:rPr>
          <w:rFonts w:hint="eastAsia" w:ascii="宋体" w:hAnsi="宋体" w:eastAsia="宋体" w:cs="宋体"/>
          <w:color w:val="auto"/>
          <w:sz w:val="24"/>
          <w:szCs w:val="24"/>
          <w:highlight w:val="none"/>
        </w:rPr>
        <w:t>出现的各种故障，保障系统长期安全、可靠、高效运行。</w:t>
      </w:r>
      <w:r>
        <w:rPr>
          <w:rFonts w:hint="eastAsia" w:ascii="宋体" w:hAnsi="宋体" w:cs="宋体"/>
          <w:bCs/>
          <w:color w:val="auto"/>
          <w:sz w:val="24"/>
          <w:szCs w:val="24"/>
          <w:highlight w:val="none"/>
          <w:lang w:val="en-US" w:eastAsia="zh-CN"/>
        </w:rPr>
        <w:t>服务内容包括但不仅限于按照采购人要求提供采购清单所确定的服务内容、数据安全软件系统在服务期内的免费升级更新、技术咨询和建议等。</w:t>
      </w:r>
    </w:p>
    <w:p w14:paraId="783527B5">
      <w:pPr>
        <w:keepNext w:val="0"/>
        <w:keepLines w:val="0"/>
        <w:pageBreakBefore w:val="0"/>
        <w:widowControl w:val="0"/>
        <w:kinsoku/>
        <w:wordWrap/>
        <w:overflowPunct/>
        <w:topLinePunct w:val="0"/>
        <w:autoSpaceDE w:val="0"/>
        <w:autoSpaceDN w:val="0"/>
        <w:bidi w:val="0"/>
        <w:adjustRightInd w:val="0"/>
        <w:snapToGrid/>
        <w:spacing w:line="440" w:lineRule="exact"/>
        <w:ind w:firstLine="480" w:firstLineChars="200"/>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供应商应具备较强的售后服务能力，能够免费提供</w:t>
      </w:r>
      <w:r>
        <w:rPr>
          <w:rFonts w:hint="eastAsia" w:ascii="宋体" w:hAnsi="宋体" w:cs="宋体"/>
          <w:bCs/>
          <w:color w:val="auto"/>
          <w:sz w:val="24"/>
          <w:szCs w:val="24"/>
          <w:highlight w:val="none"/>
          <w:lang w:val="en-US" w:eastAsia="zh-CN"/>
        </w:rPr>
        <w:t>7×24</w:t>
      </w:r>
      <w:r>
        <w:rPr>
          <w:rFonts w:hint="eastAsia" w:ascii="宋体" w:hAnsi="宋体" w:eastAsia="宋体" w:cs="宋体"/>
          <w:color w:val="auto"/>
          <w:sz w:val="24"/>
          <w:szCs w:val="24"/>
          <w:highlight w:val="none"/>
        </w:rPr>
        <w:t>小时技术支持服务，应在接到</w:t>
      </w:r>
      <w:r>
        <w:rPr>
          <w:rFonts w:hint="eastAsia" w:ascii="宋体" w:hAnsi="宋体" w:eastAsia="宋体" w:cs="宋体"/>
          <w:color w:val="auto"/>
          <w:sz w:val="24"/>
          <w:szCs w:val="24"/>
          <w:highlight w:val="none"/>
          <w:lang w:val="en-US" w:eastAsia="zh-CN"/>
        </w:rPr>
        <w:t>招标</w:t>
      </w:r>
      <w:r>
        <w:rPr>
          <w:rFonts w:hint="eastAsia" w:ascii="宋体" w:hAnsi="宋体" w:eastAsia="宋体" w:cs="宋体"/>
          <w:color w:val="auto"/>
          <w:sz w:val="24"/>
          <w:szCs w:val="24"/>
          <w:highlight w:val="none"/>
        </w:rPr>
        <w:t>人或系统使用单位故障通知</w:t>
      </w:r>
      <w:r>
        <w:rPr>
          <w:rFonts w:hint="eastAsia" w:ascii="宋体" w:hAnsi="宋体" w:cs="宋体"/>
          <w:color w:val="auto"/>
          <w:sz w:val="24"/>
          <w:szCs w:val="24"/>
          <w:highlight w:val="none"/>
          <w:lang w:val="en-US" w:eastAsia="zh-CN"/>
        </w:rPr>
        <w:t>30分钟</w:t>
      </w:r>
      <w:r>
        <w:rPr>
          <w:rFonts w:hint="eastAsia" w:ascii="宋体" w:hAnsi="宋体" w:eastAsia="宋体" w:cs="宋体"/>
          <w:color w:val="auto"/>
          <w:sz w:val="24"/>
          <w:szCs w:val="24"/>
          <w:highlight w:val="none"/>
        </w:rPr>
        <w:t>内做出响应，</w:t>
      </w:r>
      <w:r>
        <w:rPr>
          <w:rFonts w:hint="eastAsia" w:ascii="宋体" w:hAnsi="宋体" w:cs="宋体"/>
          <w:color w:val="auto"/>
          <w:kern w:val="0"/>
          <w:sz w:val="24"/>
          <w:highlight w:val="none"/>
          <w:lang w:val="zh-CN"/>
        </w:rPr>
        <w:t>4小时上门，24小时内解决问题；不能当场解决的，</w:t>
      </w:r>
      <w:r>
        <w:rPr>
          <w:rFonts w:hint="eastAsia" w:ascii="宋体" w:hAnsi="宋体" w:eastAsia="宋体" w:cs="宋体"/>
          <w:color w:val="auto"/>
          <w:kern w:val="0"/>
          <w:sz w:val="24"/>
          <w:highlight w:val="none"/>
          <w:lang w:val="zh-CN"/>
        </w:rPr>
        <w:t>必须采取提供备品以保证采购单位的正常使用</w:t>
      </w:r>
      <w:r>
        <w:rPr>
          <w:rFonts w:hint="eastAsia" w:ascii="宋体" w:hAnsi="宋体" w:eastAsia="宋体" w:cs="宋体"/>
          <w:color w:val="auto"/>
          <w:sz w:val="24"/>
          <w:szCs w:val="24"/>
          <w:highlight w:val="none"/>
        </w:rPr>
        <w:t>。</w:t>
      </w:r>
      <w:r>
        <w:rPr>
          <w:rFonts w:hint="eastAsia" w:ascii="宋体" w:hAnsi="宋体" w:cs="宋体"/>
          <w:bCs/>
          <w:color w:val="auto"/>
          <w:sz w:val="24"/>
          <w:szCs w:val="24"/>
          <w:highlight w:val="none"/>
          <w:lang w:val="en-US" w:eastAsia="zh-CN"/>
        </w:rPr>
        <w:t>如果逾期未作出响应或解决，乙方应承担由于故障所造成的全部损失及违约责任。</w:t>
      </w:r>
    </w:p>
    <w:p w14:paraId="1F9E4642">
      <w:pPr>
        <w:pStyle w:val="30"/>
        <w:pageBreakBefore w:val="0"/>
        <w:numPr>
          <w:ilvl w:val="0"/>
          <w:numId w:val="0"/>
        </w:numPr>
        <w:kinsoku/>
        <w:wordWrap/>
        <w:overflowPunct/>
        <w:topLinePunct w:val="0"/>
        <w:bidi w:val="0"/>
        <w:spacing w:line="288" w:lineRule="auto"/>
        <w:ind w:leftChars="0"/>
        <w:rPr>
          <w:rFonts w:hint="eastAsia" w:ascii="宋体" w:hAnsi="宋体" w:eastAsia="宋体" w:cs="宋体"/>
          <w:b/>
          <w:bCs/>
          <w:color w:val="auto"/>
          <w:sz w:val="24"/>
          <w:szCs w:val="24"/>
          <w:highlight w:val="none"/>
        </w:rPr>
      </w:pPr>
      <w:bookmarkStart w:id="5" w:name="_Toc310867543"/>
      <w:bookmarkStart w:id="6" w:name="_Toc144631248"/>
      <w:bookmarkStart w:id="7" w:name="_Toc362189150"/>
      <w:bookmarkStart w:id="8" w:name="_Toc326528837"/>
      <w:bookmarkStart w:id="9" w:name="_Ref218928500"/>
      <w:bookmarkStart w:id="10" w:name="_Toc323300031"/>
      <w:bookmarkStart w:id="11" w:name="_Toc325108521"/>
      <w:bookmarkStart w:id="12" w:name="_Toc31999"/>
      <w:r>
        <w:rPr>
          <w:rFonts w:hint="eastAsia" w:ascii="宋体" w:hAnsi="宋体" w:eastAsia="宋体" w:cs="宋体"/>
          <w:b/>
          <w:bCs/>
          <w:color w:val="auto"/>
          <w:sz w:val="24"/>
          <w:szCs w:val="24"/>
          <w:highlight w:val="none"/>
          <w:lang w:eastAsia="zh-CN"/>
        </w:rPr>
        <w:t>（六）</w:t>
      </w:r>
      <w:r>
        <w:rPr>
          <w:rFonts w:hint="eastAsia" w:ascii="宋体" w:hAnsi="宋体" w:eastAsia="宋体" w:cs="宋体"/>
          <w:b/>
          <w:bCs/>
          <w:color w:val="auto"/>
          <w:sz w:val="24"/>
          <w:szCs w:val="24"/>
          <w:highlight w:val="none"/>
        </w:rPr>
        <w:t>设备的安装调试及验收</w:t>
      </w:r>
      <w:bookmarkEnd w:id="5"/>
      <w:bookmarkEnd w:id="6"/>
      <w:bookmarkEnd w:id="7"/>
      <w:bookmarkEnd w:id="8"/>
      <w:bookmarkEnd w:id="9"/>
      <w:bookmarkEnd w:id="10"/>
      <w:bookmarkEnd w:id="11"/>
      <w:bookmarkEnd w:id="12"/>
    </w:p>
    <w:p w14:paraId="1D8FFAE3">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成交供应商</w:t>
      </w:r>
      <w:r>
        <w:rPr>
          <w:rFonts w:hint="eastAsia" w:ascii="宋体" w:hAnsi="宋体" w:eastAsia="宋体" w:cs="宋体"/>
          <w:color w:val="auto"/>
          <w:sz w:val="24"/>
          <w:szCs w:val="24"/>
          <w:highlight w:val="none"/>
        </w:rPr>
        <w:t>需负责设备安装与调试，直到符合技术要求，并完成培训</w:t>
      </w:r>
      <w:r>
        <w:rPr>
          <w:rFonts w:hint="eastAsia" w:ascii="宋体" w:hAnsi="宋体" w:eastAsia="宋体" w:cs="宋体"/>
          <w:color w:val="auto"/>
          <w:sz w:val="24"/>
          <w:szCs w:val="24"/>
          <w:highlight w:val="none"/>
          <w:lang w:val="en-US" w:eastAsia="zh-CN"/>
        </w:rPr>
        <w:t>及项目测试</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项目实施完成后由</w:t>
      </w:r>
      <w:r>
        <w:rPr>
          <w:rFonts w:hint="eastAsia" w:ascii="宋体" w:hAnsi="宋体" w:eastAsia="宋体" w:cs="宋体"/>
          <w:color w:val="auto"/>
          <w:sz w:val="24"/>
          <w:szCs w:val="24"/>
          <w:highlight w:val="none"/>
          <w:lang w:val="en-US" w:eastAsia="zh-CN"/>
        </w:rPr>
        <w:t>成交供应商</w:t>
      </w:r>
      <w:r>
        <w:rPr>
          <w:rFonts w:hint="eastAsia" w:ascii="宋体" w:hAnsi="宋体" w:eastAsia="宋体" w:cs="宋体"/>
          <w:color w:val="auto"/>
          <w:sz w:val="24"/>
          <w:szCs w:val="24"/>
          <w:highlight w:val="none"/>
        </w:rPr>
        <w:t>申请试运行，不间断试运行</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天后，经使用单位确认，可向</w:t>
      </w:r>
      <w:r>
        <w:rPr>
          <w:rFonts w:hint="eastAsia" w:ascii="宋体" w:hAnsi="宋体" w:eastAsia="宋体" w:cs="宋体"/>
          <w:color w:val="auto"/>
          <w:sz w:val="24"/>
          <w:szCs w:val="24"/>
          <w:highlight w:val="none"/>
          <w:lang w:val="en-US" w:eastAsia="zh-CN"/>
        </w:rPr>
        <w:t>招标方</w:t>
      </w:r>
      <w:r>
        <w:rPr>
          <w:rFonts w:hint="eastAsia" w:ascii="宋体" w:hAnsi="宋体" w:eastAsia="宋体" w:cs="宋体"/>
          <w:color w:val="auto"/>
          <w:sz w:val="24"/>
          <w:szCs w:val="24"/>
          <w:highlight w:val="none"/>
        </w:rPr>
        <w:t>提交书面</w:t>
      </w:r>
      <w:r>
        <w:rPr>
          <w:rFonts w:hint="eastAsia" w:ascii="宋体" w:hAnsi="宋体" w:eastAsia="宋体" w:cs="宋体"/>
          <w:color w:val="auto"/>
          <w:sz w:val="24"/>
          <w:szCs w:val="24"/>
          <w:highlight w:val="none"/>
          <w:lang w:val="en-US" w:eastAsia="zh-CN"/>
        </w:rPr>
        <w:t>验收</w:t>
      </w:r>
      <w:r>
        <w:rPr>
          <w:rFonts w:hint="eastAsia" w:ascii="宋体" w:hAnsi="宋体" w:eastAsia="宋体" w:cs="宋体"/>
          <w:color w:val="auto"/>
          <w:sz w:val="24"/>
          <w:szCs w:val="24"/>
          <w:highlight w:val="none"/>
        </w:rPr>
        <w:t>申请</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按照国家相关质量标准、技术规范要求、合同规定的验收标准及招、投标文件的要求，招标方组织相关部门、人员进行验收。</w:t>
      </w:r>
    </w:p>
    <w:p w14:paraId="7F6B57C8">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成交供应商</w:t>
      </w:r>
      <w:r>
        <w:rPr>
          <w:rFonts w:hint="eastAsia" w:ascii="宋体" w:hAnsi="宋体" w:eastAsia="宋体" w:cs="宋体"/>
          <w:color w:val="auto"/>
          <w:sz w:val="24"/>
          <w:szCs w:val="24"/>
          <w:highlight w:val="none"/>
        </w:rPr>
        <w:t>交货前应对产品作出全面检查和对验收文件进行整理，并列出清单，作为招标方收货验收和使用的技术条件依据，检验的结果应随其他交付产物交给招标方。</w:t>
      </w:r>
    </w:p>
    <w:p w14:paraId="3D5A7609">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3）招标方若发现软硬件系统功能、性能、安全性或产品质量不符合招标文件和合同要求的，有权要求成交供应商进行第三方测试，且第三方检测费用由成交供应商承担。如因成交供应商不配合招标方提出的第三方测试而导致项目延期，一切责任由成交供应商承担。如检测结果证明项目确有质量问题、技术指标等不符合招标要求的，成交供应商应无条件同意整改，并承担因此逾期交货的违约风险；若成交供应商拒绝进行整改或在30天内整改后仍未达到招标要求，招标方可单方面解除合同，并没收履约保证金，所造成的其他损失由成交供应商负责。</w:t>
      </w:r>
    </w:p>
    <w:p w14:paraId="767D471E">
      <w:pPr>
        <w:pageBreakBefore w:val="0"/>
        <w:numPr>
          <w:ilvl w:val="0"/>
          <w:numId w:val="0"/>
        </w:numPr>
        <w:kinsoku/>
        <w:wordWrap/>
        <w:overflowPunct/>
        <w:topLinePunct w:val="0"/>
        <w:bidi w:val="0"/>
        <w:spacing w:line="288" w:lineRule="auto"/>
        <w:ind w:left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（七）</w:t>
      </w:r>
      <w:r>
        <w:rPr>
          <w:rFonts w:hint="eastAsia" w:ascii="宋体" w:hAnsi="宋体" w:eastAsia="宋体" w:cs="宋体"/>
          <w:b/>
          <w:bCs/>
          <w:color w:val="auto"/>
          <w:sz w:val="24"/>
          <w:szCs w:val="24"/>
          <w:highlight w:val="none"/>
        </w:rPr>
        <w:t>供货范围及要求</w:t>
      </w:r>
    </w:p>
    <w:p w14:paraId="5635D70E">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1）成交供应商须保证提供货物为全新的、先进的、成熟的、完整的和安全可靠的，且货物的技术经济性能符合本项目采购要求。</w:t>
      </w:r>
    </w:p>
    <w:p w14:paraId="4F9A8F13">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eastAsia="zh-CN"/>
        </w:rPr>
        <w:t>2</w:t>
      </w:r>
      <w:r>
        <w:rPr>
          <w:rFonts w:hint="eastAsia" w:ascii="宋体" w:hAnsi="宋体" w:eastAsia="宋体" w:cs="宋体"/>
          <w:color w:val="auto"/>
          <w:sz w:val="24"/>
          <w:szCs w:val="24"/>
          <w:highlight w:val="none"/>
        </w:rPr>
        <w:t>）成交供应商应提供详细供货清单，清单中依次说明型号、数量、产地、生产厂家等内容。</w:t>
      </w:r>
    </w:p>
    <w:p w14:paraId="3FF66BCD">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eastAsia="zh-CN"/>
        </w:rPr>
        <w:t>★</w:t>
      </w:r>
      <w:r>
        <w:rPr>
          <w:rFonts w:hint="eastAsia" w:ascii="宋体" w:hAnsi="宋体" w:eastAsia="宋体" w:cs="宋体"/>
          <w:color w:val="auto"/>
          <w:sz w:val="24"/>
          <w:szCs w:val="24"/>
          <w:highlight w:val="none"/>
        </w:rPr>
        <w:t>3）除有特别注明外，所列设备及数量为建设本项目必需但不一定是全部。对于属于整套系统运行和施工所必需的部件，即使在本项目采购中未列出或数目不足，成交供应商应在投标时应充分考虑并须在执行合同时无偿补足。</w:t>
      </w:r>
    </w:p>
    <w:p w14:paraId="17AB984D">
      <w:pPr>
        <w:pageBreakBefore w:val="0"/>
        <w:numPr>
          <w:ilvl w:val="0"/>
          <w:numId w:val="7"/>
        </w:numPr>
        <w:kinsoku/>
        <w:wordWrap/>
        <w:overflowPunct/>
        <w:topLinePunct w:val="0"/>
        <w:bidi w:val="0"/>
        <w:spacing w:line="288"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成交供应商应提供所有安装和检修所需专用工具和消耗材料等，并提供详细供货清单。</w:t>
      </w:r>
    </w:p>
    <w:p w14:paraId="0D58E7CB">
      <w:pPr>
        <w:pageBreakBefore w:val="0"/>
        <w:numPr>
          <w:ilvl w:val="0"/>
          <w:numId w:val="7"/>
        </w:numPr>
        <w:kinsoku/>
        <w:wordWrap/>
        <w:overflowPunct/>
        <w:topLinePunct w:val="0"/>
        <w:bidi w:val="0"/>
        <w:spacing w:line="288" w:lineRule="auto"/>
        <w:ind w:firstLine="480" w:firstLineChars="20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成交供应商应做好中心平台及后端设备集成服务工作。</w:t>
      </w:r>
    </w:p>
    <w:p w14:paraId="23DB4EEB">
      <w:pPr>
        <w:pageBreakBefore w:val="0"/>
        <w:numPr>
          <w:ilvl w:val="0"/>
          <w:numId w:val="0"/>
        </w:numPr>
        <w:kinsoku/>
        <w:wordWrap/>
        <w:overflowPunct/>
        <w:topLinePunct w:val="0"/>
        <w:bidi w:val="0"/>
        <w:spacing w:line="288" w:lineRule="auto"/>
        <w:ind w:left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（八）</w:t>
      </w:r>
      <w:r>
        <w:rPr>
          <w:rFonts w:hint="eastAsia" w:ascii="宋体" w:hAnsi="宋体" w:eastAsia="宋体" w:cs="宋体"/>
          <w:b/>
          <w:bCs/>
          <w:color w:val="auto"/>
          <w:sz w:val="24"/>
          <w:szCs w:val="24"/>
          <w:highlight w:val="none"/>
        </w:rPr>
        <w:t>质量标准和技术服务条件</w:t>
      </w:r>
    </w:p>
    <w:p w14:paraId="1745F232">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1）质量标准要求</w:t>
      </w:r>
      <w:r>
        <w:rPr>
          <w:rFonts w:hint="eastAsia" w:ascii="宋体" w:hAnsi="宋体" w:eastAsia="宋体" w:cs="宋体"/>
          <w:color w:val="auto"/>
          <w:sz w:val="24"/>
          <w:szCs w:val="24"/>
          <w:highlight w:val="none"/>
        </w:rPr>
        <w:tab/>
      </w:r>
    </w:p>
    <w:p w14:paraId="038AAC29">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（1）投标方案中的硬件设备如需使用特别接头、插座等，由投标人免费提供。</w:t>
      </w:r>
    </w:p>
    <w:p w14:paraId="6983C122">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所投设备需为原厂设备，符合国家技术规范和质量标准，通过国家有关部门检测合格的原产地设备，能够与招标人现有设备正常连接；设备安装调试完毕后，能在其功能范围内保障用户的系统安全、稳定运行。</w:t>
      </w:r>
    </w:p>
    <w:p w14:paraId="1F8ACD08">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（3）所投设备及主要部件均须非停产设备，并需为维护准备必要的备件、附件和耗材。</w:t>
      </w:r>
    </w:p>
    <w:p w14:paraId="0B14D847">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本次采购的供货除包括上述设备外，还应包括随机的辅助设备、随机软件、技术资料（包括操作手册、使用指南、维修指南和含维修网点在内的服务手册等）、设备运行所必需的随机耗材，相应的技术服务与质量保证。</w:t>
      </w:r>
    </w:p>
    <w:p w14:paraId="7F615383">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（5）验收条件：开箱验收：清点设备装箱内容符合装箱单所列并符合招标文件要求和承诺书承诺；开机验收：设备应通电开机后进行所规定时间的试验运行后方可验收。</w:t>
      </w:r>
    </w:p>
    <w:p w14:paraId="556D11CB">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（6）本系统产生的任何照片、视频、文字等信息数据产权归招标人所有，不得擅自截留，用作商业开发利用。</w:t>
      </w:r>
    </w:p>
    <w:p w14:paraId="4B692EC8">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（7）投标人供货产品必须是原厂商、正宗品牌、正规渠道的产品，不得用假冒及伪劣产品替代；如出现上述质量问题，招标人有权退货；如造成损失的，招标人可要求投标人给予赔偿。</w:t>
      </w:r>
    </w:p>
    <w:p w14:paraId="18F573EF">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（8）投标人须对招标人的技术人员培训。投标人须在投标文件中提供详细的培训计划，包括培训内容、培训时间、培训费用等。技术培训费用应包含在投标总价中。</w:t>
      </w:r>
    </w:p>
    <w:p w14:paraId="25F36C62">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2）技术服务要求</w:t>
      </w:r>
    </w:p>
    <w:p w14:paraId="34BC4165">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（1）如果产品在服务期内发生设备故障，投标人应及时予以响应（免费上门服务），否则招标人将自行采取必要的措施，由此产生风险和费用由投标人承担。</w:t>
      </w:r>
    </w:p>
    <w:p w14:paraId="7DF80E49">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）售后服务</w:t>
      </w:r>
    </w:p>
    <w:p w14:paraId="7D85CBAD">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（1）售后维护方面，需有定期回访、维护。保修条款严格按国家规定/厂商规定（两者取高标准为准）执行。</w:t>
      </w:r>
    </w:p>
    <w:p w14:paraId="24372CFF">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（2）售后服务、保修服务齐全，且均按有关国家标准规定执行。除特殊说明外，所有设备按原厂提供的要求保修。</w:t>
      </w:r>
    </w:p>
    <w:p w14:paraId="6CADD140">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（3）在规定的服务期限内，中标人应提供系统维护所需的工作人员和材料，对产品进行定期或不定期的预防维护，使其系统保持良好的运行状态。</w:t>
      </w:r>
    </w:p>
    <w:p w14:paraId="37BE7ED0">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（4）中标人应提供完整的设备资料如设备说明书、系统设置与操作步骤等，应包含纸质资料与电子文档。</w:t>
      </w:r>
    </w:p>
    <w:p w14:paraId="29D7779E">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（5）中标人要提供两次的免费培训（不限人数），保证甲方技术人员达到熟练操作、维护的程度，能进行一般的日常维护管理和检修，并能够处理简单的软、硬件故障。</w:t>
      </w:r>
    </w:p>
    <w:p w14:paraId="6E6553AF">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投标人须做出无推诿承诺。即投标人应提供特殊措施，无论由于哪一方产生的问题而使系统发生不正常情况时，并在得到招标人通知后，须立即派遣工程师到场，全力协助系统集成商和其他供应商，使系统尽快恢复正常。</w:t>
      </w:r>
    </w:p>
    <w:p w14:paraId="7BA38011">
      <w:pPr>
        <w:spacing w:line="288" w:lineRule="auto"/>
        <w:ind w:firstLine="42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w:t>
      </w: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）投标人应在投标文件中详细对质量保证及售后服务方案做出承诺，并加盖投标人有效公章。</w:t>
      </w:r>
    </w:p>
    <w:p w14:paraId="1D0CCB00">
      <w:pPr>
        <w:pStyle w:val="3"/>
        <w:keepNext w:val="0"/>
        <w:keepLines w:val="0"/>
        <w:pageBreakBefore w:val="0"/>
        <w:widowControl/>
        <w:numPr>
          <w:ilvl w:val="0"/>
          <w:numId w:val="0"/>
        </w:numPr>
        <w:tabs>
          <w:tab w:val="left" w:pos="706"/>
          <w:tab w:val="left" w:pos="1110"/>
        </w:tabs>
        <w:kinsoku/>
        <w:wordWrap/>
        <w:overflowPunct/>
        <w:topLinePunct w:val="0"/>
        <w:bidi w:val="0"/>
        <w:spacing w:line="312" w:lineRule="auto"/>
        <w:ind w:left="528" w:left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（九）</w:t>
      </w:r>
      <w:r>
        <w:rPr>
          <w:rFonts w:hint="eastAsia" w:ascii="宋体" w:hAnsi="宋体" w:eastAsia="宋体" w:cs="宋体"/>
          <w:color w:val="auto"/>
          <w:sz w:val="24"/>
          <w:szCs w:val="24"/>
          <w:highlight w:val="none"/>
        </w:rPr>
        <w:t>验收要求</w:t>
      </w:r>
    </w:p>
    <w:p w14:paraId="0B608A95">
      <w:pPr>
        <w:keepNext w:val="0"/>
        <w:keepLines w:val="0"/>
        <w:pageBreakBefore w:val="0"/>
        <w:widowControl/>
        <w:kinsoku/>
        <w:wordWrap/>
        <w:overflowPunct/>
        <w:topLinePunct w:val="0"/>
        <w:autoSpaceDE w:val="0"/>
        <w:autoSpaceDN w:val="0"/>
        <w:bidi w:val="0"/>
        <w:adjustRightInd w:val="0"/>
        <w:snapToGrid w:val="0"/>
        <w:spacing w:line="312" w:lineRule="auto"/>
        <w:ind w:firstLine="480" w:firstLineChars="200"/>
        <w:jc w:val="left"/>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供应商按</w:t>
      </w:r>
      <w:r>
        <w:rPr>
          <w:rFonts w:hint="eastAsia" w:ascii="宋体" w:hAnsi="宋体" w:eastAsia="宋体" w:cs="宋体"/>
          <w:color w:val="auto"/>
          <w:kern w:val="0"/>
          <w:sz w:val="24"/>
          <w:szCs w:val="24"/>
          <w:highlight w:val="none"/>
          <w:lang w:val="en-US" w:eastAsia="zh-CN"/>
        </w:rPr>
        <w:t>合同要求</w:t>
      </w:r>
      <w:r>
        <w:rPr>
          <w:rFonts w:hint="eastAsia" w:ascii="宋体" w:hAnsi="宋体" w:eastAsia="宋体" w:cs="宋体"/>
          <w:color w:val="auto"/>
          <w:kern w:val="0"/>
          <w:sz w:val="24"/>
          <w:szCs w:val="24"/>
          <w:highlight w:val="none"/>
        </w:rPr>
        <w:t>进行</w:t>
      </w:r>
      <w:r>
        <w:rPr>
          <w:rFonts w:hint="eastAsia" w:ascii="宋体" w:hAnsi="宋体" w:eastAsia="宋体" w:cs="宋体"/>
          <w:color w:val="auto"/>
          <w:kern w:val="0"/>
          <w:sz w:val="24"/>
          <w:szCs w:val="24"/>
          <w:highlight w:val="none"/>
          <w:lang w:eastAsia="zh-CN"/>
        </w:rPr>
        <w:t>供货</w:t>
      </w:r>
      <w:r>
        <w:rPr>
          <w:rFonts w:hint="eastAsia" w:ascii="宋体" w:hAnsi="宋体" w:eastAsia="宋体" w:cs="宋体"/>
          <w:color w:val="auto"/>
          <w:kern w:val="0"/>
          <w:sz w:val="24"/>
          <w:szCs w:val="24"/>
          <w:highlight w:val="none"/>
        </w:rPr>
        <w:t>，满足</w:t>
      </w:r>
      <w:r>
        <w:rPr>
          <w:rFonts w:hint="eastAsia" w:ascii="宋体" w:hAnsi="宋体" w:eastAsia="宋体" w:cs="宋体"/>
          <w:color w:val="auto"/>
          <w:kern w:val="0"/>
          <w:sz w:val="24"/>
          <w:szCs w:val="24"/>
          <w:highlight w:val="none"/>
          <w:lang w:val="en-US" w:eastAsia="zh-CN"/>
        </w:rPr>
        <w:t>合同</w:t>
      </w:r>
      <w:r>
        <w:rPr>
          <w:rFonts w:hint="eastAsia" w:ascii="宋体" w:hAnsi="宋体" w:eastAsia="宋体" w:cs="宋体"/>
          <w:color w:val="auto"/>
          <w:kern w:val="0"/>
          <w:sz w:val="24"/>
          <w:szCs w:val="24"/>
          <w:highlight w:val="none"/>
        </w:rPr>
        <w:t>要求直至通过采购人组织的验收，验收过程中，如有不满足</w:t>
      </w:r>
      <w:r>
        <w:rPr>
          <w:rFonts w:hint="eastAsia" w:ascii="宋体" w:hAnsi="宋体" w:eastAsia="宋体" w:cs="宋体"/>
          <w:color w:val="auto"/>
          <w:kern w:val="0"/>
          <w:sz w:val="24"/>
          <w:szCs w:val="24"/>
          <w:highlight w:val="none"/>
          <w:lang w:val="en-US" w:eastAsia="zh-CN"/>
        </w:rPr>
        <w:t>合同要求</w:t>
      </w:r>
      <w:r>
        <w:rPr>
          <w:rFonts w:hint="eastAsia" w:ascii="宋体" w:hAnsi="宋体" w:eastAsia="宋体" w:cs="宋体"/>
          <w:color w:val="auto"/>
          <w:kern w:val="0"/>
          <w:sz w:val="24"/>
          <w:szCs w:val="24"/>
          <w:highlight w:val="none"/>
        </w:rPr>
        <w:t>、磋商文件规定要求及不符合国家相关规范要求的，由供应商负责整改，费用自理。</w:t>
      </w:r>
    </w:p>
    <w:p w14:paraId="38C2F4AB">
      <w:pPr>
        <w:pStyle w:val="30"/>
        <w:pageBreakBefore w:val="0"/>
        <w:numPr>
          <w:ilvl w:val="0"/>
          <w:numId w:val="0"/>
        </w:numPr>
        <w:shd w:val="clear" w:color="auto" w:fill="auto"/>
        <w:kinsoku/>
        <w:wordWrap/>
        <w:overflowPunct/>
        <w:topLinePunct w:val="0"/>
        <w:bidi w:val="0"/>
        <w:spacing w:line="288" w:lineRule="auto"/>
        <w:ind w:leftChars="0" w:firstLine="482" w:firstLineChars="20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（十）</w:t>
      </w:r>
      <w:r>
        <w:rPr>
          <w:rFonts w:hint="eastAsia" w:ascii="宋体" w:hAnsi="宋体" w:eastAsia="宋体" w:cs="宋体"/>
          <w:b/>
          <w:bCs/>
          <w:color w:val="auto"/>
          <w:sz w:val="24"/>
          <w:szCs w:val="24"/>
          <w:highlight w:val="none"/>
        </w:rPr>
        <w:t>其它</w:t>
      </w:r>
    </w:p>
    <w:p w14:paraId="6B4DBE0A">
      <w:pPr>
        <w:pageBreakBefore w:val="0"/>
        <w:kinsoku/>
        <w:wordWrap/>
        <w:overflowPunct/>
        <w:topLinePunct w:val="0"/>
        <w:bidi w:val="0"/>
        <w:spacing w:line="288" w:lineRule="auto"/>
        <w:ind w:firstLine="420"/>
        <w:rPr>
          <w:rFonts w:hint="eastAsia" w:ascii="宋体" w:hAnsi="宋体" w:eastAsia="宋体" w:cs="宋体"/>
          <w:b/>
          <w:bCs/>
          <w:color w:val="auto"/>
          <w:sz w:val="24"/>
          <w:szCs w:val="24"/>
          <w:highlight w:val="none"/>
          <w:lang w:val="zh-CN"/>
        </w:rPr>
      </w:pPr>
      <w:r>
        <w:rPr>
          <w:rFonts w:hint="eastAsia" w:ascii="宋体" w:hAnsi="宋体" w:eastAsia="宋体" w:cs="宋体"/>
          <w:color w:val="auto"/>
          <w:sz w:val="24"/>
          <w:szCs w:val="24"/>
          <w:highlight w:val="none"/>
          <w:lang w:val="zh-CN"/>
        </w:rPr>
        <w:t>★</w:t>
      </w:r>
      <w:r>
        <w:rPr>
          <w:rFonts w:hint="eastAsia" w:ascii="宋体" w:hAnsi="宋体" w:eastAsia="宋体" w:cs="宋体"/>
          <w:b/>
          <w:bCs/>
          <w:color w:val="auto"/>
          <w:sz w:val="24"/>
          <w:szCs w:val="24"/>
          <w:highlight w:val="none"/>
        </w:rPr>
        <w:t>号条款为必须满足项，不满足则响应文件会被视为无效文件。</w:t>
      </w:r>
    </w:p>
    <w:p w14:paraId="74E35F76">
      <w:pPr>
        <w:widowControl/>
        <w:autoSpaceDE w:val="0"/>
        <w:autoSpaceDN w:val="0"/>
        <w:spacing w:line="440" w:lineRule="exact"/>
        <w:ind w:firstLine="480" w:firstLineChars="200"/>
        <w:textAlignment w:val="bottom"/>
        <w:rPr>
          <w:rFonts w:hint="eastAsia" w:ascii="宋体" w:hAnsi="宋体"/>
          <w:snapToGrid w:val="0"/>
          <w:kern w:val="0"/>
          <w:sz w:val="24"/>
          <w:szCs w:val="24"/>
        </w:rPr>
      </w:pPr>
      <w:r>
        <w:rPr>
          <w:rFonts w:hint="eastAsia" w:ascii="宋体" w:hAnsi="宋体"/>
          <w:snapToGrid w:val="0"/>
          <w:kern w:val="0"/>
          <w:sz w:val="24"/>
          <w:szCs w:val="24"/>
        </w:rPr>
        <w:t>1. 安装完成时间：合同签订后40日内完成安装，如在规定的时间内由于卖方的原因不能完成安装的，中标方应承担由此给用户造成的损失。</w:t>
      </w:r>
    </w:p>
    <w:p w14:paraId="4BAD98BA">
      <w:pPr>
        <w:widowControl/>
        <w:autoSpaceDE w:val="0"/>
        <w:autoSpaceDN w:val="0"/>
        <w:spacing w:line="440" w:lineRule="exact"/>
        <w:ind w:firstLine="480" w:firstLineChars="200"/>
        <w:textAlignment w:val="bottom"/>
        <w:rPr>
          <w:rFonts w:hint="eastAsia" w:ascii="宋体" w:hAnsi="宋体"/>
          <w:sz w:val="24"/>
          <w:szCs w:val="24"/>
        </w:rPr>
      </w:pPr>
      <w:r>
        <w:rPr>
          <w:rFonts w:hint="eastAsia" w:ascii="宋体" w:hAnsi="宋体"/>
          <w:sz w:val="24"/>
          <w:szCs w:val="24"/>
        </w:rPr>
        <w:t>2. 安装地点：由采购单位指定。</w:t>
      </w:r>
    </w:p>
    <w:p w14:paraId="362ACA35">
      <w:pPr>
        <w:widowControl/>
        <w:autoSpaceDE w:val="0"/>
        <w:autoSpaceDN w:val="0"/>
        <w:spacing w:line="440" w:lineRule="exact"/>
        <w:ind w:firstLine="480" w:firstLineChars="200"/>
        <w:textAlignment w:val="bottom"/>
        <w:rPr>
          <w:rFonts w:hint="eastAsia" w:ascii="宋体" w:hAnsi="宋体"/>
          <w:sz w:val="24"/>
          <w:szCs w:val="24"/>
        </w:rPr>
      </w:pPr>
      <w:r>
        <w:rPr>
          <w:rFonts w:hint="eastAsia" w:ascii="宋体" w:hAnsi="宋体"/>
          <w:sz w:val="24"/>
          <w:szCs w:val="24"/>
        </w:rPr>
        <w:t>3. 安装标准：符合我国国家有关技术规范要求和技术标准，所有的软件和硬件必须保证同时安装到位。</w:t>
      </w:r>
    </w:p>
    <w:p w14:paraId="031D2B29">
      <w:pPr>
        <w:widowControl/>
        <w:autoSpaceDE w:val="0"/>
        <w:autoSpaceDN w:val="0"/>
        <w:spacing w:line="440" w:lineRule="exact"/>
        <w:ind w:firstLine="480" w:firstLineChars="200"/>
        <w:textAlignment w:val="bottom"/>
        <w:rPr>
          <w:rFonts w:hint="eastAsia" w:ascii="宋体" w:hAnsi="宋体"/>
          <w:sz w:val="24"/>
          <w:szCs w:val="24"/>
        </w:rPr>
      </w:pPr>
      <w:r>
        <w:rPr>
          <w:rFonts w:hint="eastAsia" w:ascii="宋体" w:hAnsi="宋体"/>
          <w:sz w:val="24"/>
          <w:szCs w:val="24"/>
        </w:rPr>
        <w:t>4. 中标方免费提供中标设备的安装服务。</w:t>
      </w:r>
    </w:p>
    <w:p w14:paraId="7B7D0694">
      <w:pPr>
        <w:pStyle w:val="30"/>
        <w:pageBreakBefore w:val="0"/>
        <w:numPr>
          <w:ilvl w:val="0"/>
          <w:numId w:val="0"/>
        </w:numPr>
        <w:kinsoku/>
        <w:wordWrap/>
        <w:overflowPunct/>
        <w:topLinePunct w:val="0"/>
        <w:bidi w:val="0"/>
        <w:spacing w:before="120" w:after="120" w:line="288" w:lineRule="auto"/>
        <w:ind w:firstLine="480" w:firstLineChars="200"/>
        <w:rPr>
          <w:rFonts w:hint="eastAsia" w:ascii="宋体" w:hAnsi="宋体" w:eastAsia="宋体" w:cs="宋体"/>
          <w:color w:val="auto"/>
          <w:sz w:val="24"/>
          <w:szCs w:val="24"/>
          <w:highlight w:val="none"/>
        </w:rPr>
      </w:pPr>
      <w:r>
        <w:rPr>
          <w:rFonts w:hint="eastAsia" w:ascii="宋体" w:hAnsi="宋体"/>
          <w:sz w:val="24"/>
          <w:szCs w:val="24"/>
        </w:rPr>
        <w:t>5. 投标商应在投标文件中应提供安装计划、对安装场地和环境的要求。</w:t>
      </w:r>
    </w:p>
    <w:p w14:paraId="188B17C3">
      <w:pPr>
        <w:pStyle w:val="30"/>
        <w:pageBreakBefore w:val="0"/>
        <w:numPr>
          <w:ilvl w:val="0"/>
          <w:numId w:val="0"/>
        </w:numPr>
        <w:kinsoku/>
        <w:wordWrap/>
        <w:overflowPunct/>
        <w:topLinePunct w:val="0"/>
        <w:bidi w:val="0"/>
        <w:spacing w:before="120" w:after="120" w:line="288" w:lineRule="auto"/>
        <w:ind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投标报价</w:t>
      </w:r>
    </w:p>
    <w:p w14:paraId="1B27D6C5">
      <w:pPr>
        <w:pStyle w:val="37"/>
        <w:pageBreakBefore w:val="0"/>
        <w:kinsoku/>
        <w:wordWrap/>
        <w:overflowPunct/>
        <w:topLinePunct w:val="0"/>
        <w:bidi w:val="0"/>
        <w:spacing w:before="120" w:after="120" w:line="288" w:lineRule="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投标人以人民币报价且投标报价含设备费、运至买方指定地点的运输费、保险费、伴随服务费、软件、软件升级、培训、售后服务等一切费用，报价方式为交钥匙价格。</w:t>
      </w:r>
    </w:p>
    <w:p w14:paraId="39F8E51B">
      <w:pPr>
        <w:pStyle w:val="30"/>
        <w:pageBreakBefore w:val="0"/>
        <w:numPr>
          <w:ilvl w:val="-1"/>
          <w:numId w:val="0"/>
        </w:numPr>
        <w:kinsoku/>
        <w:wordWrap/>
        <w:overflowPunct/>
        <w:topLinePunct w:val="0"/>
        <w:bidi w:val="0"/>
        <w:spacing w:line="288" w:lineRule="auto"/>
        <w:ind w:left="0" w:firstLine="0" w:firstLineChars="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7.</w:t>
      </w:r>
      <w:r>
        <w:rPr>
          <w:rFonts w:hint="eastAsia" w:ascii="宋体" w:hAnsi="宋体" w:eastAsia="宋体" w:cs="宋体"/>
          <w:color w:val="auto"/>
          <w:sz w:val="24"/>
          <w:szCs w:val="24"/>
          <w:highlight w:val="none"/>
        </w:rPr>
        <w:t>付款方式</w:t>
      </w:r>
    </w:p>
    <w:p w14:paraId="51BECF48">
      <w:pPr>
        <w:pStyle w:val="37"/>
        <w:spacing w:before="120" w:after="120" w:line="288" w:lineRule="auto"/>
        <w:rPr>
          <w:rFonts w:hint="eastAsia" w:ascii="宋体" w:hAnsi="宋体" w:eastAsia="宋体" w:cs="宋体"/>
          <w:bCs w:val="0"/>
          <w:color w:val="auto"/>
          <w:szCs w:val="24"/>
          <w:highlight w:val="none"/>
        </w:rPr>
      </w:pPr>
      <w:r>
        <w:rPr>
          <w:rFonts w:hint="eastAsia" w:ascii="宋体" w:hAnsi="宋体" w:cs="宋体"/>
          <w:bCs w:val="0"/>
          <w:color w:val="auto"/>
          <w:szCs w:val="24"/>
          <w:highlight w:val="none"/>
          <w:lang w:val="en-US" w:eastAsia="zh-CN"/>
        </w:rPr>
        <w:t>合</w:t>
      </w:r>
      <w:r>
        <w:rPr>
          <w:rFonts w:hint="eastAsia" w:ascii="宋体" w:hAnsi="宋体" w:eastAsia="宋体" w:cs="宋体"/>
          <w:bCs w:val="0"/>
          <w:color w:val="auto"/>
          <w:szCs w:val="24"/>
          <w:highlight w:val="none"/>
        </w:rPr>
        <w:t>同签订生效后，项目验收合格且在收到投标人提供的相关付款材料3个月内，采购人向投标人支付合同总金额</w:t>
      </w:r>
      <w:r>
        <w:rPr>
          <w:rFonts w:hint="eastAsia" w:ascii="宋体" w:hAnsi="宋体" w:cs="宋体"/>
          <w:bCs w:val="0"/>
          <w:color w:val="auto"/>
          <w:szCs w:val="24"/>
          <w:highlight w:val="none"/>
          <w:lang w:val="en-US" w:eastAsia="zh-CN"/>
        </w:rPr>
        <w:t>7</w:t>
      </w:r>
      <w:r>
        <w:rPr>
          <w:rFonts w:hint="eastAsia" w:ascii="宋体" w:hAnsi="宋体" w:eastAsia="宋体" w:cs="宋体"/>
          <w:bCs w:val="0"/>
          <w:color w:val="auto"/>
          <w:szCs w:val="24"/>
          <w:highlight w:val="none"/>
        </w:rPr>
        <w:t>0%的款项；项目验收合格后满一年且在收到投标人提供的相关付款材料3个月内，采购人向投标人支付合同总金额</w:t>
      </w:r>
      <w:r>
        <w:rPr>
          <w:rFonts w:hint="eastAsia" w:ascii="宋体" w:hAnsi="宋体" w:cs="宋体"/>
          <w:bCs w:val="0"/>
          <w:color w:val="auto"/>
          <w:szCs w:val="24"/>
          <w:highlight w:val="none"/>
          <w:lang w:val="en-US" w:eastAsia="zh-CN"/>
        </w:rPr>
        <w:t>2</w:t>
      </w:r>
      <w:r>
        <w:rPr>
          <w:rFonts w:hint="eastAsia" w:ascii="宋体" w:hAnsi="宋体" w:eastAsia="宋体" w:cs="宋体"/>
          <w:bCs w:val="0"/>
          <w:color w:val="auto"/>
          <w:szCs w:val="24"/>
          <w:highlight w:val="none"/>
        </w:rPr>
        <w:t>0%的款项；项目质保期满后且在收到投标人提供的相关付款材料3个月内，采购人向投标人支付合同总金额的剩余10%款项（均无息）。</w:t>
      </w:r>
    </w:p>
    <w:p w14:paraId="07B15853">
      <w:pPr>
        <w:pStyle w:val="30"/>
        <w:pageBreakBefore w:val="0"/>
        <w:numPr>
          <w:ilvl w:val="-1"/>
          <w:numId w:val="0"/>
        </w:numPr>
        <w:kinsoku/>
        <w:wordWrap/>
        <w:overflowPunct/>
        <w:topLinePunct w:val="0"/>
        <w:bidi w:val="0"/>
        <w:spacing w:line="288" w:lineRule="auto"/>
        <w:ind w:left="0" w:firstLine="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8.</w:t>
      </w:r>
      <w:r>
        <w:rPr>
          <w:rFonts w:hint="eastAsia" w:ascii="宋体" w:hAnsi="宋体" w:eastAsia="宋体" w:cs="宋体"/>
          <w:color w:val="auto"/>
          <w:sz w:val="24"/>
          <w:szCs w:val="24"/>
          <w:highlight w:val="none"/>
        </w:rPr>
        <w:t>履约保证金</w:t>
      </w:r>
    </w:p>
    <w:p w14:paraId="1C1D6A86">
      <w:pPr>
        <w:pStyle w:val="11"/>
        <w:ind w:firstLine="482" w:firstLineChars="200"/>
        <w:rPr>
          <w:color w:val="auto"/>
          <w:highlight w:val="none"/>
        </w:rPr>
      </w:pPr>
      <w:r>
        <w:rPr>
          <w:rFonts w:hint="eastAsia" w:ascii="宋体" w:hAnsi="宋体" w:eastAsia="宋体" w:cs="宋体"/>
          <w:color w:val="auto"/>
          <w:sz w:val="24"/>
          <w:szCs w:val="24"/>
          <w:highlight w:val="none"/>
        </w:rPr>
        <w:t>签订合同前，中标人需向采购单位缴纳合同金额1%的履约保证金，项目验收合格无任何问题一个月内退回，不计息。</w:t>
      </w:r>
    </w:p>
    <w:p w14:paraId="267C5A06">
      <w:pPr>
        <w:pStyle w:val="30"/>
        <w:pageBreakBefore w:val="0"/>
        <w:numPr>
          <w:ilvl w:val="-1"/>
          <w:numId w:val="0"/>
        </w:numPr>
        <w:kinsoku/>
        <w:wordWrap/>
        <w:overflowPunct/>
        <w:topLinePunct w:val="0"/>
        <w:bidi w:val="0"/>
        <w:spacing w:line="288" w:lineRule="auto"/>
        <w:ind w:left="0" w:firstLine="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9.定期巡检</w:t>
      </w:r>
    </w:p>
    <w:p w14:paraId="32504109">
      <w:pPr>
        <w:pStyle w:val="30"/>
        <w:pageBreakBefore w:val="0"/>
        <w:numPr>
          <w:ilvl w:val="-1"/>
          <w:numId w:val="0"/>
        </w:numPr>
        <w:kinsoku/>
        <w:wordWrap/>
        <w:overflowPunct/>
        <w:topLinePunct w:val="0"/>
        <w:bidi w:val="0"/>
        <w:spacing w:line="288" w:lineRule="auto"/>
        <w:ind w:left="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标人应在质保期内每年提供不少于2次的系统巡检服务，并向采购人提交巡检报告。系统巡检预防性维护服务的内容主要包括对系统软件、硬件设备的运行状况进行跟踪了解，及时发现各种隐患问题，并进行相应整改解决（巡检报告作为尾款付款的重要依据）。</w:t>
      </w:r>
    </w:p>
    <w:p w14:paraId="576C8EC4">
      <w:pPr>
        <w:pStyle w:val="30"/>
        <w:pageBreakBefore w:val="0"/>
        <w:numPr>
          <w:ilvl w:val="-1"/>
          <w:numId w:val="0"/>
        </w:numPr>
        <w:kinsoku/>
        <w:wordWrap/>
        <w:overflowPunct/>
        <w:topLinePunct w:val="0"/>
        <w:bidi w:val="0"/>
        <w:spacing w:line="288" w:lineRule="auto"/>
        <w:ind w:left="0" w:firstLine="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6.退换货处理</w:t>
      </w:r>
    </w:p>
    <w:p w14:paraId="4BC32620">
      <w:pPr>
        <w:pStyle w:val="30"/>
        <w:pageBreakBefore w:val="0"/>
        <w:numPr>
          <w:ilvl w:val="-1"/>
          <w:numId w:val="0"/>
        </w:numPr>
        <w:kinsoku/>
        <w:wordWrap/>
        <w:overflowPunct/>
        <w:topLinePunct w:val="0"/>
        <w:bidi w:val="0"/>
        <w:spacing w:line="288" w:lineRule="auto"/>
        <w:ind w:left="0" w:firstLine="480" w:firstLineChars="20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中标人提供的设备及软件在质保期内因其本身的质量问题发生故障，中标人应负责免费更换。对达不到技术要求者，根据实际情况，经双方协商，可按以下办法处理：</w:t>
      </w:r>
    </w:p>
    <w:p w14:paraId="29C293D3">
      <w:pPr>
        <w:pStyle w:val="30"/>
        <w:pageBreakBefore w:val="0"/>
        <w:numPr>
          <w:ilvl w:val="-1"/>
          <w:numId w:val="0"/>
        </w:numPr>
        <w:kinsoku/>
        <w:wordWrap/>
        <w:overflowPunct/>
        <w:topLinePunct w:val="0"/>
        <w:bidi w:val="0"/>
        <w:spacing w:line="288" w:lineRule="auto"/>
        <w:ind w:left="0" w:firstLine="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1）更换：由中标人承担所发生的全部费用。</w:t>
      </w:r>
    </w:p>
    <w:p w14:paraId="0A63C7EB">
      <w:pPr>
        <w:pStyle w:val="30"/>
        <w:pageBreakBefore w:val="0"/>
        <w:numPr>
          <w:ilvl w:val="-1"/>
          <w:numId w:val="0"/>
        </w:numPr>
        <w:kinsoku/>
        <w:wordWrap/>
        <w:overflowPunct/>
        <w:topLinePunct w:val="0"/>
        <w:bidi w:val="0"/>
        <w:spacing w:line="288" w:lineRule="auto"/>
        <w:ind w:left="0" w:firstLine="0"/>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2）退货处理：中标人应退还采购人支付的合同款，同时应承担该项目的直接费用（检验、货款利息及银行手续费等）。</w:t>
      </w:r>
    </w:p>
    <w:p w14:paraId="093A4780">
      <w:pPr>
        <w:pStyle w:val="30"/>
        <w:pageBreakBefore w:val="0"/>
        <w:numPr>
          <w:ilvl w:val="0"/>
          <w:numId w:val="0"/>
        </w:numPr>
        <w:shd w:val="clear" w:color="auto" w:fill="auto"/>
        <w:kinsoku/>
        <w:wordWrap/>
        <w:overflowPunct/>
        <w:topLinePunct w:val="0"/>
        <w:bidi w:val="0"/>
        <w:spacing w:line="288" w:lineRule="auto"/>
        <w:ind w:leftChars="0" w:firstLine="482" w:firstLineChars="200"/>
        <w:rPr>
          <w:rFonts w:hint="eastAsia" w:ascii="宋体" w:hAnsi="宋体" w:eastAsia="宋体" w:cs="宋体"/>
          <w:b/>
          <w:bCs/>
          <w:color w:val="auto"/>
          <w:sz w:val="24"/>
          <w:szCs w:val="24"/>
          <w:highlight w:val="none"/>
          <w:lang w:eastAsia="zh-CN"/>
        </w:rPr>
      </w:pPr>
      <w:r>
        <w:rPr>
          <w:rFonts w:hint="eastAsia" w:ascii="宋体" w:hAnsi="宋体" w:eastAsia="宋体" w:cs="宋体"/>
          <w:b/>
          <w:bCs/>
          <w:color w:val="auto"/>
          <w:sz w:val="24"/>
          <w:szCs w:val="24"/>
          <w:highlight w:val="none"/>
          <w:lang w:eastAsia="zh-CN"/>
        </w:rPr>
        <w:t>（十一）违约责任</w:t>
      </w:r>
    </w:p>
    <w:p w14:paraId="091F6029">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1、采购人无正当理由拒收建设成果的，采购人向中标人偿付拒收的货款总值的百分之十违约金。</w:t>
      </w:r>
    </w:p>
    <w:p w14:paraId="3EE0DAD3">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中标人逾期提交阶段建设成果的，中标人应按照合同总额每日万分之五向招标人支付违约金，由招标人从履约保证金中扣除。逾期超过约定日期30天不能提交建设成果的，招标人有权解除合同并保留进一步追究中标人违约责任的权力。中标人提交的建设成果如不能通过评审或验收的，视同未提交。中标人因逾期交货或因其他违约行为导致招标人与最终用户解除合同的，中标人应向招标人支付合同总值5%的违约金，如造成招标人损失超过违约金的，超出部分由中标人继续承担赔偿责任。</w:t>
      </w:r>
    </w:p>
    <w:p w14:paraId="2A2DB871">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3、在项目服务期限内，如因中标人技术原因导致系统重大故障或对系统使用单位业务正常运行造成影响或损失的，中标人应承担全部责任，并且招标人有权保留进一步追究中标人的违约责任的权力。</w:t>
      </w:r>
    </w:p>
    <w:p w14:paraId="1907B445">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若中标人未能在服务期内按要求及时提供技术服务和解决系统故障，并受到使用单位投诉的，每次处以3000元罚款，且招标人有权从未支付款项中予以扣除。若在维保期内因中标人原因未能及时提供技术支持或故障维护而引起的安全责任事故，所有经济责任及法律责任均由中标人承担。因第三方故意破坏或不可抗因素造成故障处理超过约定时间，不再追究中标人规定时间内解决故障的违约责任。</w:t>
      </w:r>
    </w:p>
    <w:p w14:paraId="0BF0F3B4">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5、若中标人违反了“安全及保密要求”中的任一条款，需向招标人支付合同总值的10%作为违约金；若实际损失超过中标人支付违约金的，招标人有权继续向中标人追偿，因追偿产生的一切费用均由中标人承担。</w:t>
      </w:r>
    </w:p>
    <w:p w14:paraId="317ECAF1">
      <w:pPr>
        <w:pageBreakBefore w:val="0"/>
        <w:kinsoku/>
        <w:wordWrap/>
        <w:overflowPunct/>
        <w:topLinePunct w:val="0"/>
        <w:bidi w:val="0"/>
        <w:spacing w:line="288" w:lineRule="auto"/>
        <w:ind w:firstLine="42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6、上述因中标人违约造成的损失，招标人均有权从未付款项中扣除。</w:t>
      </w:r>
    </w:p>
    <w:p w14:paraId="52F8A261">
      <w:pPr>
        <w:pStyle w:val="30"/>
        <w:pageBreakBefore w:val="0"/>
        <w:numPr>
          <w:ilvl w:val="0"/>
          <w:numId w:val="0"/>
        </w:numPr>
        <w:kinsoku/>
        <w:wordWrap/>
        <w:overflowPunct/>
        <w:topLinePunct w:val="0"/>
        <w:bidi w:val="0"/>
        <w:spacing w:line="288" w:lineRule="auto"/>
        <w:ind w:leftChars="0"/>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（十二）</w:t>
      </w:r>
      <w:r>
        <w:rPr>
          <w:rFonts w:hint="eastAsia" w:ascii="宋体" w:hAnsi="宋体" w:eastAsia="宋体" w:cs="宋体"/>
          <w:b/>
          <w:bCs/>
          <w:color w:val="auto"/>
          <w:sz w:val="24"/>
          <w:szCs w:val="24"/>
          <w:highlight w:val="none"/>
        </w:rPr>
        <w:t>最高限价</w:t>
      </w:r>
    </w:p>
    <w:p w14:paraId="56A1D41D">
      <w:pPr>
        <w:keepNext w:val="0"/>
        <w:keepLines w:val="0"/>
        <w:pageBreakBefore w:val="0"/>
        <w:kinsoku/>
        <w:wordWrap/>
        <w:overflowPunct/>
        <w:topLinePunct w:val="0"/>
        <w:bidi w:val="0"/>
        <w:spacing w:line="288" w:lineRule="auto"/>
        <w:ind w:firstLine="480" w:firstLineChars="200"/>
        <w:rPr>
          <w:rFonts w:hint="eastAsia" w:ascii="宋体" w:hAnsi="宋体" w:eastAsia="宋体" w:cs="宋体"/>
          <w:color w:val="auto"/>
          <w:kern w:val="2"/>
          <w:sz w:val="24"/>
          <w:szCs w:val="24"/>
          <w:highlight w:val="none"/>
          <w:lang w:val="zh-CN"/>
        </w:rPr>
      </w:pPr>
      <w:r>
        <w:rPr>
          <w:rFonts w:hint="eastAsia" w:ascii="宋体" w:hAnsi="宋体" w:eastAsia="宋体" w:cs="宋体"/>
          <w:color w:val="auto"/>
          <w:kern w:val="2"/>
          <w:sz w:val="24"/>
          <w:szCs w:val="24"/>
          <w:highlight w:val="none"/>
          <w:lang w:val="zh-CN"/>
        </w:rPr>
        <w:t>本次采购最高限价为人民币</w:t>
      </w:r>
      <w:r>
        <w:rPr>
          <w:rFonts w:hint="eastAsia" w:ascii="宋体" w:hAnsi="宋体" w:eastAsia="宋体" w:cs="宋体"/>
          <w:color w:val="auto"/>
          <w:kern w:val="2"/>
          <w:sz w:val="24"/>
          <w:szCs w:val="24"/>
          <w:highlight w:val="none"/>
          <w:lang w:val="en-US" w:eastAsia="zh-CN"/>
        </w:rPr>
        <w:t>捌</w:t>
      </w:r>
      <w:r>
        <w:rPr>
          <w:rFonts w:hint="eastAsia" w:ascii="宋体" w:hAnsi="宋体" w:cs="宋体"/>
          <w:color w:val="auto"/>
          <w:kern w:val="2"/>
          <w:sz w:val="24"/>
          <w:szCs w:val="24"/>
          <w:highlight w:val="none"/>
          <w:lang w:val="en-US" w:eastAsia="zh-CN"/>
        </w:rPr>
        <w:t>拾</w:t>
      </w:r>
      <w:r>
        <w:rPr>
          <w:rFonts w:hint="eastAsia" w:ascii="宋体" w:hAnsi="宋体" w:eastAsia="宋体" w:cs="宋体"/>
          <w:color w:val="auto"/>
          <w:kern w:val="2"/>
          <w:sz w:val="24"/>
          <w:szCs w:val="24"/>
          <w:highlight w:val="none"/>
          <w:lang w:val="en-US" w:eastAsia="zh-CN"/>
        </w:rPr>
        <w:t>肆万捌仟元</w:t>
      </w:r>
      <w:r>
        <w:rPr>
          <w:rFonts w:hint="eastAsia" w:ascii="宋体" w:hAnsi="宋体" w:eastAsia="宋体" w:cs="宋体"/>
          <w:color w:val="auto"/>
          <w:kern w:val="2"/>
          <w:sz w:val="24"/>
          <w:szCs w:val="24"/>
          <w:highlight w:val="none"/>
          <w:lang w:val="zh-CN"/>
        </w:rPr>
        <w:t>整（</w:t>
      </w:r>
      <w:r>
        <w:rPr>
          <w:rFonts w:hint="eastAsia" w:ascii="宋体" w:hAnsi="宋体" w:eastAsia="宋体" w:cs="宋体"/>
          <w:color w:val="auto"/>
          <w:kern w:val="2"/>
          <w:sz w:val="24"/>
          <w:szCs w:val="24"/>
          <w:highlight w:val="none"/>
          <w:lang w:val="en-US" w:eastAsia="zh-CN"/>
        </w:rPr>
        <w:t>848000.00</w:t>
      </w:r>
      <w:r>
        <w:rPr>
          <w:rFonts w:hint="eastAsia" w:ascii="宋体" w:hAnsi="宋体" w:eastAsia="宋体" w:cs="宋体"/>
          <w:color w:val="auto"/>
          <w:kern w:val="2"/>
          <w:sz w:val="24"/>
          <w:szCs w:val="24"/>
          <w:highlight w:val="none"/>
          <w:lang w:val="zh-CN"/>
        </w:rPr>
        <w:t>），任何超过最高限价的报价将被认定为无效报价。（投标报价包含材料、货物运输、配送、验收、送检费、安装、调试、培训、售后服务等一切费用）。</w:t>
      </w:r>
    </w:p>
    <w:p w14:paraId="2DA5B9C0">
      <w:pPr>
        <w:bidi w:val="0"/>
        <w:rPr>
          <w:rFonts w:hint="eastAsia"/>
        </w:rPr>
      </w:pPr>
    </w:p>
    <w:p w14:paraId="19E52184">
      <w:pP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u w:val="single"/>
        </w:rPr>
        <w:t>注：</w:t>
      </w:r>
      <w:r>
        <w:rPr>
          <w:rFonts w:hint="eastAsia" w:ascii="宋体" w:hAnsi="宋体" w:eastAsia="宋体" w:cs="宋体"/>
          <w:color w:val="auto"/>
          <w:sz w:val="24"/>
          <w:szCs w:val="24"/>
          <w:highlight w:val="none"/>
          <w:u w:val="single"/>
          <w:lang w:val="zh-CN"/>
        </w:rPr>
        <w:t>★</w:t>
      </w:r>
      <w:r>
        <w:rPr>
          <w:rFonts w:hint="eastAsia" w:ascii="宋体" w:hAnsi="宋体" w:eastAsia="宋体" w:cs="宋体"/>
          <w:b/>
          <w:color w:val="auto"/>
          <w:sz w:val="24"/>
          <w:szCs w:val="24"/>
          <w:highlight w:val="none"/>
          <w:u w:val="single"/>
        </w:rPr>
        <w:t>为实质性响应项，不满足则投标无效。“▲”是关键技术参数及要求。</w:t>
      </w:r>
    </w:p>
    <w:p w14:paraId="6FA6DA04">
      <w:pPr>
        <w:spacing w:line="480" w:lineRule="exact"/>
        <w:jc w:val="center"/>
        <w:rPr>
          <w:rStyle w:val="59"/>
          <w:rFonts w:hint="eastAsia" w:ascii="黑体" w:eastAsia="黑体"/>
          <w:sz w:val="24"/>
          <w:szCs w:val="24"/>
        </w:rPr>
      </w:pPr>
    </w:p>
    <w:p w14:paraId="2E52D1E1">
      <w:pPr>
        <w:pStyle w:val="26"/>
        <w:rPr>
          <w:rFonts w:hint="eastAsia"/>
        </w:rPr>
      </w:pPr>
    </w:p>
    <w:bookmarkEnd w:id="4"/>
    <w:p w14:paraId="634C294A">
      <w:pPr>
        <w:rPr>
          <w:rFonts w:hint="eastAsia" w:ascii="宋体" w:hAnsi="宋体" w:eastAsia="宋体" w:cs="宋体"/>
          <w:color w:val="auto"/>
          <w:sz w:val="24"/>
          <w:szCs w:val="24"/>
          <w:highlight w:val="none"/>
        </w:rPr>
      </w:pPr>
    </w:p>
    <w:sectPr>
      <w:headerReference r:id="rId3" w:type="default"/>
      <w:footerReference r:id="rId4" w:type="default"/>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BA"/>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等线">
    <w:altName w:val="微软雅黑"/>
    <w:panose1 w:val="02010600030101010101"/>
    <w:charset w:val="86"/>
    <w:family w:val="auto"/>
    <w:pitch w:val="default"/>
    <w:sig w:usb0="00000000" w:usb1="00000000" w:usb2="00000016" w:usb3="00000000" w:csb0="0004000F" w:csb1="00000000"/>
  </w:font>
  <w:font w:name="微软雅黑">
    <w:panose1 w:val="020B0503020204020204"/>
    <w:charset w:val="86"/>
    <w:family w:val="auto"/>
    <w:pitch w:val="default"/>
    <w:sig w:usb0="80000287" w:usb1="280F3C52" w:usb2="00000016" w:usb3="00000000" w:csb0="0004001F" w:csb1="00000000"/>
  </w:font>
  <w:font w:name="Helvetica">
    <w:altName w:val="Arial"/>
    <w:panose1 w:val="020B0504020202030204"/>
    <w:charset w:val="00"/>
    <w:family w:val="auto"/>
    <w:pitch w:val="default"/>
    <w:sig w:usb0="00000000" w:usb1="00000000" w:usb2="00000000" w:usb3="00000000" w:csb0="00000093" w:csb1="00000000"/>
  </w:font>
  <w:font w:name="仿宋_GB2312">
    <w:panose1 w:val="02010609030101010101"/>
    <w:charset w:val="86"/>
    <w:family w:val="modern"/>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Book Antiqua">
    <w:altName w:val="Segoe Print"/>
    <w:panose1 w:val="02040602050305030304"/>
    <w:charset w:val="00"/>
    <w:family w:val="roman"/>
    <w:pitch w:val="default"/>
    <w:sig w:usb0="00000000" w:usb1="00000000" w:usb2="00000000" w:usb3="00000000" w:csb0="2000009F" w:csb1="DFD70000"/>
  </w:font>
  <w:font w:name="Segoe Print">
    <w:panose1 w:val="02000600000000000000"/>
    <w:charset w:val="00"/>
    <w:family w:val="auto"/>
    <w:pitch w:val="default"/>
    <w:sig w:usb0="0000028F" w:usb1="00000000" w:usb2="00000000" w:usb3="00000000" w:csb0="2000009F" w:csb1="4701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FA2C16C">
    <w:pPr>
      <w:pStyle w:val="16"/>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711192A5">
                          <w:pPr>
                            <w:pStyle w:val="16"/>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14</w:t>
                          </w:r>
                          <w:r>
                            <w:fldChar w:fldCharType="end"/>
                          </w:r>
                          <w:r>
                            <w:t xml:space="preserve"> 页</w:t>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zXDnwqAgAAV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CLNmWdjqneUROirm&#10;7eoYIGCnaxSlV2LQCtPWdWZ4GXGc/9x3UY9/g+Vv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">
              <v:fill on="f" focussize="0,0"/>
              <v:stroke on="f" weight="0.5pt"/>
              <v:imagedata o:title=""/>
              <o:lock v:ext="edit" aspectratio="f"/>
              <v:textbox inset="0mm,0mm,0mm,0mm" style="mso-fit-shape-to-text:t;">
                <w:txbxContent>
                  <w:p w14:paraId="711192A5">
                    <w:pPr>
                      <w:pStyle w:val="16"/>
                    </w:pPr>
                    <w:r>
                      <w:t xml:space="preserve">第 </w:t>
                    </w:r>
                    <w:r>
                      <w:fldChar w:fldCharType="begin"/>
                    </w:r>
                    <w:r>
                      <w:instrText xml:space="preserve"> PAGE  \* MERGEFORMAT </w:instrText>
                    </w:r>
                    <w:r>
                      <w:fldChar w:fldCharType="separate"/>
                    </w:r>
                    <w:r>
                      <w:t>4</w:t>
                    </w:r>
                    <w:r>
                      <w:fldChar w:fldCharType="end"/>
                    </w:r>
                    <w:r>
                      <w:t xml:space="preserve"> 页 共 </w:t>
                    </w:r>
                    <w:r>
                      <w:fldChar w:fldCharType="begin"/>
                    </w:r>
                    <w:r>
                      <w:instrText xml:space="preserve"> NUMPAGES  \* MERGEFORMAT </w:instrText>
                    </w:r>
                    <w:r>
                      <w:fldChar w:fldCharType="separate"/>
                    </w:r>
                    <w:r>
                      <w:t>14</w:t>
                    </w:r>
                    <w:r>
                      <w:fldChar w:fldCharType="end"/>
                    </w:r>
                    <w:r>
                      <w:t xml:space="preserve"> 页</w:t>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7ABF3A">
    <w:pPr>
      <w:pStyle w:val="17"/>
      <w:pBdr>
        <w:bottom w:val="none" w:color="auto" w:sz="0" w:space="0"/>
      </w:pBdr>
      <w:jc w:val="both"/>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0047BDA"/>
    <w:multiLevelType w:val="singleLevel"/>
    <w:tmpl w:val="90047BDA"/>
    <w:lvl w:ilvl="0" w:tentative="0">
      <w:start w:val="1"/>
      <w:numFmt w:val="chineseCounting"/>
      <w:suff w:val="nothing"/>
      <w:lvlText w:val="（%1）"/>
      <w:lvlJc w:val="left"/>
      <w:rPr>
        <w:rFonts w:hint="eastAsia"/>
      </w:rPr>
    </w:lvl>
  </w:abstractNum>
  <w:abstractNum w:abstractNumId="1">
    <w:nsid w:val="E2D981A5"/>
    <w:multiLevelType w:val="multilevel"/>
    <w:tmpl w:val="E2D981A5"/>
    <w:lvl w:ilvl="0" w:tentative="0">
      <w:start w:val="1"/>
      <w:numFmt w:val="decimal"/>
      <w:lvlText w:val="%1"/>
      <w:lvlJc w:val="left"/>
      <w:pPr>
        <w:ind w:left="0" w:firstLine="0"/>
      </w:pPr>
    </w:lvl>
    <w:lvl w:ilvl="1" w:tentative="0">
      <w:start w:val="1"/>
      <w:numFmt w:val="decimal"/>
      <w:pStyle w:val="3"/>
      <w:lvlText w:val="%1.%2"/>
      <w:lvlJc w:val="left"/>
      <w:pPr>
        <w:ind w:left="576" w:hanging="576"/>
      </w:pPr>
    </w:lvl>
    <w:lvl w:ilvl="2" w:tentative="0">
      <w:start w:val="1"/>
      <w:numFmt w:val="decimal"/>
      <w:lvlText w:val="%1.%2.%3"/>
      <w:lvlJc w:val="left"/>
      <w:pPr>
        <w:ind w:left="720" w:hanging="720"/>
      </w:pPr>
    </w:lvl>
    <w:lvl w:ilvl="3" w:tentative="0">
      <w:start w:val="1"/>
      <w:numFmt w:val="decimal"/>
      <w:lvlText w:val="%1.%2.%3.%4"/>
      <w:lvlJc w:val="left"/>
      <w:pPr>
        <w:ind w:left="1431" w:hanging="864"/>
      </w:pPr>
    </w:lvl>
    <w:lvl w:ilvl="4" w:tentative="0">
      <w:start w:val="1"/>
      <w:numFmt w:val="decimal"/>
      <w:lvlText w:val="%1.%2.%3.%4.%5"/>
      <w:lvlJc w:val="left"/>
      <w:pPr>
        <w:ind w:left="1008" w:hanging="1008"/>
      </w:pPr>
    </w:lvl>
    <w:lvl w:ilvl="5" w:tentative="0">
      <w:start w:val="1"/>
      <w:numFmt w:val="decimal"/>
      <w:lvlText w:val="%1.%2.%3.%4.%5.%6"/>
      <w:lvlJc w:val="left"/>
      <w:pPr>
        <w:ind w:left="1152" w:hanging="1152"/>
      </w:pPr>
    </w:lvl>
    <w:lvl w:ilvl="6" w:tentative="0">
      <w:start w:val="1"/>
      <w:numFmt w:val="decimal"/>
      <w:lvlText w:val="%1.%2.%3.%4.%5.%6.%7"/>
      <w:lvlJc w:val="left"/>
      <w:pPr>
        <w:ind w:left="1296" w:hanging="1296"/>
      </w:pPr>
    </w:lvl>
    <w:lvl w:ilvl="7" w:tentative="0">
      <w:start w:val="1"/>
      <w:numFmt w:val="decimal"/>
      <w:lvlText w:val="%1.%2.%3.%4.%5.%6.%7.%8"/>
      <w:lvlJc w:val="left"/>
      <w:pPr>
        <w:ind w:left="1440" w:hanging="1440"/>
      </w:pPr>
    </w:lvl>
    <w:lvl w:ilvl="8" w:tentative="0">
      <w:start w:val="1"/>
      <w:numFmt w:val="decimal"/>
      <w:lvlText w:val="%1.%2.%3.%4.%5.%6.%7.%8.%9"/>
      <w:lvlJc w:val="left"/>
      <w:pPr>
        <w:ind w:left="1584" w:hanging="1584"/>
      </w:pPr>
    </w:lvl>
  </w:abstractNum>
  <w:abstractNum w:abstractNumId="2">
    <w:nsid w:val="F0C0FC53"/>
    <w:multiLevelType w:val="singleLevel"/>
    <w:tmpl w:val="F0C0FC53"/>
    <w:lvl w:ilvl="0" w:tentative="0">
      <w:start w:val="4"/>
      <w:numFmt w:val="decimal"/>
      <w:suff w:val="space"/>
      <w:lvlText w:val="%1）"/>
      <w:lvlJc w:val="left"/>
    </w:lvl>
  </w:abstractNum>
  <w:abstractNum w:abstractNumId="3">
    <w:nsid w:val="FFA5451B"/>
    <w:multiLevelType w:val="singleLevel"/>
    <w:tmpl w:val="FFA5451B"/>
    <w:lvl w:ilvl="0" w:tentative="0">
      <w:start w:val="5"/>
      <w:numFmt w:val="chineseCounting"/>
      <w:suff w:val="nothing"/>
      <w:lvlText w:val="%1、"/>
      <w:lvlJc w:val="left"/>
      <w:rPr>
        <w:rFonts w:hint="eastAsia"/>
      </w:rPr>
    </w:lvl>
  </w:abstractNum>
  <w:abstractNum w:abstractNumId="4">
    <w:nsid w:val="6E471877"/>
    <w:multiLevelType w:val="multilevel"/>
    <w:tmpl w:val="6E471877"/>
    <w:lvl w:ilvl="0" w:tentative="0">
      <w:start w:val="1"/>
      <w:numFmt w:val="decimal"/>
      <w:suff w:val="space"/>
      <w:lvlText w:val="%1"/>
      <w:lvlJc w:val="left"/>
      <w:pPr>
        <w:tabs>
          <w:tab w:val="left" w:pos="0"/>
        </w:tabs>
        <w:ind w:left="0" w:firstLine="0"/>
      </w:pPr>
      <w:rPr>
        <w:rFonts w:hint="default" w:ascii="宋体" w:hAnsi="宋体" w:eastAsia="宋体" w:cs="宋体"/>
      </w:rPr>
    </w:lvl>
    <w:lvl w:ilvl="1" w:tentative="0">
      <w:start w:val="1"/>
      <w:numFmt w:val="decimal"/>
      <w:suff w:val="space"/>
      <w:lvlText w:val="%1.%2"/>
      <w:lvlJc w:val="left"/>
      <w:pPr>
        <w:tabs>
          <w:tab w:val="left" w:pos="420"/>
        </w:tabs>
        <w:ind w:left="0" w:firstLine="0"/>
      </w:pPr>
      <w:rPr>
        <w:rFonts w:hint="default" w:ascii="宋体" w:hAnsi="宋体" w:eastAsia="宋体" w:cs="宋体"/>
      </w:rPr>
    </w:lvl>
    <w:lvl w:ilvl="2" w:tentative="0">
      <w:start w:val="1"/>
      <w:numFmt w:val="decimal"/>
      <w:suff w:val="space"/>
      <w:lvlText w:val="%1.%2.%3"/>
      <w:lvlJc w:val="left"/>
      <w:pPr>
        <w:tabs>
          <w:tab w:val="left" w:pos="420"/>
        </w:tabs>
        <w:ind w:left="0" w:firstLine="0"/>
      </w:pPr>
      <w:rPr>
        <w:rFonts w:hint="default" w:ascii="宋体" w:hAnsi="宋体" w:eastAsia="宋体" w:cs="宋体"/>
      </w:rPr>
    </w:lvl>
    <w:lvl w:ilvl="3" w:tentative="0">
      <w:start w:val="1"/>
      <w:numFmt w:val="decimal"/>
      <w:suff w:val="space"/>
      <w:lvlText w:val="%1.%2.%3.%4"/>
      <w:lvlJc w:val="left"/>
      <w:pPr>
        <w:tabs>
          <w:tab w:val="left" w:pos="420"/>
        </w:tabs>
        <w:ind w:left="0" w:firstLine="0"/>
      </w:pPr>
      <w:rPr>
        <w:rFonts w:hint="default" w:ascii="宋体" w:hAnsi="宋体" w:eastAsia="宋体" w:cs="宋体"/>
      </w:rPr>
    </w:lvl>
    <w:lvl w:ilvl="4" w:tentative="0">
      <w:start w:val="1"/>
      <w:numFmt w:val="decimal"/>
      <w:pStyle w:val="6"/>
      <w:suff w:val="space"/>
      <w:lvlText w:val="%1.%2.%3.%4.%5"/>
      <w:lvlJc w:val="left"/>
      <w:pPr>
        <w:tabs>
          <w:tab w:val="left" w:pos="420"/>
        </w:tabs>
        <w:ind w:left="0" w:firstLine="0"/>
      </w:pPr>
      <w:rPr>
        <w:rFonts w:hint="default" w:ascii="宋体" w:hAnsi="宋体" w:eastAsia="宋体" w:cs="宋体"/>
      </w:rPr>
    </w:lvl>
    <w:lvl w:ilvl="5" w:tentative="0">
      <w:start w:val="1"/>
      <w:numFmt w:val="decimal"/>
      <w:pStyle w:val="7"/>
      <w:suff w:val="space"/>
      <w:lvlText w:val="%1.%2.%3.%4.%5.%6"/>
      <w:lvlJc w:val="left"/>
      <w:pPr>
        <w:tabs>
          <w:tab w:val="left" w:pos="420"/>
        </w:tabs>
        <w:ind w:left="0" w:firstLine="0"/>
      </w:pPr>
      <w:rPr>
        <w:rFonts w:hint="default" w:ascii="宋体" w:hAnsi="宋体" w:eastAsia="宋体" w:cs="宋体"/>
      </w:rPr>
    </w:lvl>
    <w:lvl w:ilvl="6" w:tentative="0">
      <w:start w:val="1"/>
      <w:numFmt w:val="decimal"/>
      <w:pStyle w:val="8"/>
      <w:lvlText w:val="%1.%2.%3.%4.%5.%6.%7."/>
      <w:lvlJc w:val="left"/>
      <w:pPr>
        <w:ind w:left="1275" w:hanging="1275"/>
      </w:pPr>
      <w:rPr>
        <w:rFonts w:hint="default" w:ascii="宋体" w:hAnsi="宋体" w:eastAsia="宋体" w:cs="宋体"/>
      </w:rPr>
    </w:lvl>
    <w:lvl w:ilvl="7" w:tentative="0">
      <w:start w:val="1"/>
      <w:numFmt w:val="decimal"/>
      <w:lvlText w:val="%1.%2.%3.%4.%5.%6.%7.%8."/>
      <w:lvlJc w:val="left"/>
      <w:pPr>
        <w:ind w:left="1418" w:hanging="1418"/>
      </w:pPr>
      <w:rPr>
        <w:rFonts w:hint="default" w:ascii="宋体" w:hAnsi="宋体" w:eastAsia="宋体" w:cs="宋体"/>
      </w:rPr>
    </w:lvl>
    <w:lvl w:ilvl="8" w:tentative="0">
      <w:start w:val="1"/>
      <w:numFmt w:val="decimal"/>
      <w:lvlText w:val="%1.%2.%3.%4.%5.%6.%7.%8.%9."/>
      <w:lvlJc w:val="left"/>
      <w:pPr>
        <w:ind w:left="1558" w:hanging="1558"/>
      </w:pPr>
      <w:rPr>
        <w:rFonts w:hint="default"/>
      </w:rPr>
    </w:lvl>
  </w:abstractNum>
  <w:abstractNum w:abstractNumId="5">
    <w:nsid w:val="75836C93"/>
    <w:multiLevelType w:val="multilevel"/>
    <w:tmpl w:val="75836C93"/>
    <w:lvl w:ilvl="0" w:tentative="0">
      <w:start w:val="1"/>
      <w:numFmt w:val="chineseCountingThousand"/>
      <w:pStyle w:val="36"/>
      <w:lvlText w:val="第%1章"/>
      <w:lvlJc w:val="left"/>
      <w:pPr>
        <w:ind w:left="2100" w:firstLine="0"/>
      </w:pPr>
      <w:rPr>
        <w:rFonts w:hint="eastAsia"/>
      </w:rPr>
    </w:lvl>
    <w:lvl w:ilvl="1" w:tentative="0">
      <w:start w:val="1"/>
      <w:numFmt w:val="decimal"/>
      <w:isLgl/>
      <w:lvlText w:val="%1.%2"/>
      <w:lvlJc w:val="left"/>
      <w:pPr>
        <w:ind w:left="1249" w:firstLine="0"/>
      </w:pPr>
      <w:rPr>
        <w:rFonts w:hint="eastAsia"/>
      </w:rPr>
    </w:lvl>
    <w:lvl w:ilvl="2" w:tentative="0">
      <w:start w:val="1"/>
      <w:numFmt w:val="decimal"/>
      <w:isLgl/>
      <w:lvlText w:val="%1.%2.%3"/>
      <w:lvlJc w:val="left"/>
      <w:pPr>
        <w:ind w:left="1249" w:firstLine="0"/>
      </w:pPr>
      <w:rPr>
        <w:rFonts w:hint="eastAsia"/>
      </w:rPr>
    </w:lvl>
    <w:lvl w:ilvl="3" w:tentative="0">
      <w:start w:val="1"/>
      <w:numFmt w:val="decimal"/>
      <w:isLgl/>
      <w:lvlText w:val="%1.%2.%3.%4"/>
      <w:lvlJc w:val="left"/>
      <w:pPr>
        <w:ind w:left="5786" w:firstLine="0"/>
      </w:pPr>
      <w:rPr>
        <w:rFonts w:hint="eastAsia"/>
      </w:rPr>
    </w:lvl>
    <w:lvl w:ilvl="4" w:tentative="0">
      <w:start w:val="1"/>
      <w:numFmt w:val="decimal"/>
      <w:isLgl/>
      <w:lvlText w:val="%1.%2.%3.%4.%5"/>
      <w:lvlJc w:val="left"/>
      <w:pPr>
        <w:ind w:left="1249" w:firstLine="0"/>
      </w:pPr>
      <w:rPr>
        <w:rFonts w:hint="eastAsia"/>
      </w:rPr>
    </w:lvl>
    <w:lvl w:ilvl="5" w:tentative="0">
      <w:start w:val="1"/>
      <w:numFmt w:val="decimal"/>
      <w:isLgl/>
      <w:lvlText w:val="%1.%2.%3.%4.%5.%6"/>
      <w:lvlJc w:val="left"/>
      <w:pPr>
        <w:ind w:left="1249" w:firstLine="0"/>
      </w:pPr>
      <w:rPr>
        <w:rFonts w:hint="eastAsia"/>
      </w:rPr>
    </w:lvl>
    <w:lvl w:ilvl="6" w:tentative="0">
      <w:start w:val="1"/>
      <w:numFmt w:val="decimal"/>
      <w:isLgl/>
      <w:lvlText w:val="%1.%2.%3.%4.%5.%6.%7"/>
      <w:lvlJc w:val="left"/>
      <w:pPr>
        <w:ind w:left="1249" w:firstLine="0"/>
      </w:pPr>
      <w:rPr>
        <w:rFonts w:hint="eastAsia"/>
      </w:rPr>
    </w:lvl>
    <w:lvl w:ilvl="7" w:tentative="0">
      <w:start w:val="1"/>
      <w:numFmt w:val="decimal"/>
      <w:isLgl/>
      <w:lvlText w:val="%1.%2.%3.%4.%5.%6.%7.%8"/>
      <w:lvlJc w:val="left"/>
      <w:pPr>
        <w:ind w:left="1249" w:firstLine="0"/>
      </w:pPr>
      <w:rPr>
        <w:rFonts w:hint="eastAsia"/>
      </w:rPr>
    </w:lvl>
    <w:lvl w:ilvl="8" w:tentative="0">
      <w:start w:val="1"/>
      <w:numFmt w:val="decimal"/>
      <w:isLgl/>
      <w:lvlText w:val="%1.%2.%3.%4.%5.%6.%7.%8.%9"/>
      <w:lvlJc w:val="left"/>
      <w:pPr>
        <w:ind w:left="1249" w:firstLine="0"/>
      </w:pPr>
      <w:rPr>
        <w:rFonts w:hint="eastAsia"/>
      </w:rPr>
    </w:lvl>
  </w:abstractNum>
  <w:abstractNum w:abstractNumId="6">
    <w:nsid w:val="7C7CE9BD"/>
    <w:multiLevelType w:val="singleLevel"/>
    <w:tmpl w:val="7C7CE9BD"/>
    <w:lvl w:ilvl="0" w:tentative="0">
      <w:start w:val="5"/>
      <w:numFmt w:val="decimal"/>
      <w:suff w:val="nothing"/>
      <w:lvlText w:val="（%1）"/>
      <w:lvlJc w:val="left"/>
    </w:lvl>
  </w:abstractNum>
  <w:num w:numId="1">
    <w:abstractNumId w:val="1"/>
  </w:num>
  <w:num w:numId="2">
    <w:abstractNumId w:val="4"/>
  </w:num>
  <w:num w:numId="3">
    <w:abstractNumId w:val="5"/>
  </w:num>
  <w:num w:numId="4">
    <w:abstractNumId w:val="6"/>
  </w:num>
  <w:num w:numId="5">
    <w:abstractNumId w:val="3"/>
  </w:num>
  <w:num w:numId="6">
    <w:abstractNumId w:val="0"/>
  </w:num>
  <w:num w:numId="7">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hideSpellingErrors/>
  <w:hideGrammaticalErrors/>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MjE3NzlkZDlkNjA4ODY5MWM1Mzk1NTY0MGMyYzRkY2YifQ=="/>
  </w:docVars>
  <w:rsids>
    <w:rsidRoot w:val="53396E1A"/>
    <w:rsid w:val="00032231"/>
    <w:rsid w:val="000A3E24"/>
    <w:rsid w:val="0014235F"/>
    <w:rsid w:val="001D0B29"/>
    <w:rsid w:val="001D6950"/>
    <w:rsid w:val="00341362"/>
    <w:rsid w:val="003C6E3C"/>
    <w:rsid w:val="0043736A"/>
    <w:rsid w:val="004A03EE"/>
    <w:rsid w:val="004B5108"/>
    <w:rsid w:val="005B09B8"/>
    <w:rsid w:val="006548B4"/>
    <w:rsid w:val="00673D63"/>
    <w:rsid w:val="006E05BE"/>
    <w:rsid w:val="00717F28"/>
    <w:rsid w:val="00734303"/>
    <w:rsid w:val="00846969"/>
    <w:rsid w:val="00912564"/>
    <w:rsid w:val="009D12F3"/>
    <w:rsid w:val="009E547A"/>
    <w:rsid w:val="00A2131A"/>
    <w:rsid w:val="00A7204D"/>
    <w:rsid w:val="00AD1D0D"/>
    <w:rsid w:val="00AE479D"/>
    <w:rsid w:val="00C36ADC"/>
    <w:rsid w:val="00C8070C"/>
    <w:rsid w:val="00D83147"/>
    <w:rsid w:val="00E13127"/>
    <w:rsid w:val="00EA058C"/>
    <w:rsid w:val="00EE74DE"/>
    <w:rsid w:val="00F866F7"/>
    <w:rsid w:val="017C007B"/>
    <w:rsid w:val="01A22C15"/>
    <w:rsid w:val="01B93EE0"/>
    <w:rsid w:val="01D64122"/>
    <w:rsid w:val="01EA3629"/>
    <w:rsid w:val="02036952"/>
    <w:rsid w:val="023470AD"/>
    <w:rsid w:val="02581379"/>
    <w:rsid w:val="026C7207"/>
    <w:rsid w:val="02BA21E0"/>
    <w:rsid w:val="02BA5D3C"/>
    <w:rsid w:val="02BE598D"/>
    <w:rsid w:val="030671D3"/>
    <w:rsid w:val="0321400D"/>
    <w:rsid w:val="03392418"/>
    <w:rsid w:val="034C51B0"/>
    <w:rsid w:val="03752CD2"/>
    <w:rsid w:val="0397607D"/>
    <w:rsid w:val="03A5079A"/>
    <w:rsid w:val="03BB6210"/>
    <w:rsid w:val="03BE185C"/>
    <w:rsid w:val="03D31B9E"/>
    <w:rsid w:val="03E52B4B"/>
    <w:rsid w:val="040050D6"/>
    <w:rsid w:val="040C14C6"/>
    <w:rsid w:val="040E4592"/>
    <w:rsid w:val="04471852"/>
    <w:rsid w:val="04775EC4"/>
    <w:rsid w:val="047F2D99"/>
    <w:rsid w:val="048B7990"/>
    <w:rsid w:val="052E224A"/>
    <w:rsid w:val="0559183C"/>
    <w:rsid w:val="055C132D"/>
    <w:rsid w:val="05C56ED2"/>
    <w:rsid w:val="05CA44E8"/>
    <w:rsid w:val="05DE1FB0"/>
    <w:rsid w:val="05EEBD22"/>
    <w:rsid w:val="060C4B01"/>
    <w:rsid w:val="06127C3D"/>
    <w:rsid w:val="061E65E2"/>
    <w:rsid w:val="06257970"/>
    <w:rsid w:val="062C2678"/>
    <w:rsid w:val="062E2CC9"/>
    <w:rsid w:val="0631383D"/>
    <w:rsid w:val="063F547A"/>
    <w:rsid w:val="064F49ED"/>
    <w:rsid w:val="067B1C86"/>
    <w:rsid w:val="067E5FA3"/>
    <w:rsid w:val="0733430F"/>
    <w:rsid w:val="078A2AAD"/>
    <w:rsid w:val="078B7CA7"/>
    <w:rsid w:val="078F4FB2"/>
    <w:rsid w:val="079D0B73"/>
    <w:rsid w:val="07BE4841"/>
    <w:rsid w:val="07DA456C"/>
    <w:rsid w:val="07DD46FE"/>
    <w:rsid w:val="0802440D"/>
    <w:rsid w:val="083C4BDD"/>
    <w:rsid w:val="085A0E45"/>
    <w:rsid w:val="085B49C4"/>
    <w:rsid w:val="087909CF"/>
    <w:rsid w:val="08876B0D"/>
    <w:rsid w:val="088A61B1"/>
    <w:rsid w:val="08AE00F1"/>
    <w:rsid w:val="08B374B6"/>
    <w:rsid w:val="08ED329E"/>
    <w:rsid w:val="09167A44"/>
    <w:rsid w:val="093773BE"/>
    <w:rsid w:val="0947667C"/>
    <w:rsid w:val="09AC590E"/>
    <w:rsid w:val="09E124D3"/>
    <w:rsid w:val="0A0822D2"/>
    <w:rsid w:val="0A4A3CDC"/>
    <w:rsid w:val="0A554284"/>
    <w:rsid w:val="0A7764F5"/>
    <w:rsid w:val="0AA277E2"/>
    <w:rsid w:val="0AA87914"/>
    <w:rsid w:val="0B1316BA"/>
    <w:rsid w:val="0B2009CF"/>
    <w:rsid w:val="0B45790A"/>
    <w:rsid w:val="0B5750F6"/>
    <w:rsid w:val="0B8F3202"/>
    <w:rsid w:val="0BC94FEA"/>
    <w:rsid w:val="0C0A699C"/>
    <w:rsid w:val="0C1B16A8"/>
    <w:rsid w:val="0C2F779B"/>
    <w:rsid w:val="0C3D3876"/>
    <w:rsid w:val="0C7274C9"/>
    <w:rsid w:val="0CB904F1"/>
    <w:rsid w:val="0CCF68C8"/>
    <w:rsid w:val="0CF208CB"/>
    <w:rsid w:val="0CF62067"/>
    <w:rsid w:val="0D0B0125"/>
    <w:rsid w:val="0D416A12"/>
    <w:rsid w:val="0D705975"/>
    <w:rsid w:val="0E000A57"/>
    <w:rsid w:val="0E172C2B"/>
    <w:rsid w:val="0E250E55"/>
    <w:rsid w:val="0E6A46BC"/>
    <w:rsid w:val="0E984C53"/>
    <w:rsid w:val="0EA61A40"/>
    <w:rsid w:val="0EB45D35"/>
    <w:rsid w:val="0EBC7353"/>
    <w:rsid w:val="0ECC59C6"/>
    <w:rsid w:val="0F046191"/>
    <w:rsid w:val="0F132B26"/>
    <w:rsid w:val="0F6119AC"/>
    <w:rsid w:val="0F8037E2"/>
    <w:rsid w:val="0F8E2A2A"/>
    <w:rsid w:val="0F963728"/>
    <w:rsid w:val="0FDA1424"/>
    <w:rsid w:val="10993435"/>
    <w:rsid w:val="109C052A"/>
    <w:rsid w:val="11270A41"/>
    <w:rsid w:val="11567578"/>
    <w:rsid w:val="11702FA8"/>
    <w:rsid w:val="11867361"/>
    <w:rsid w:val="119618E8"/>
    <w:rsid w:val="11EF15CF"/>
    <w:rsid w:val="11F05CAC"/>
    <w:rsid w:val="11F33019"/>
    <w:rsid w:val="122F4065"/>
    <w:rsid w:val="123F2B4B"/>
    <w:rsid w:val="1240492F"/>
    <w:rsid w:val="12515B6A"/>
    <w:rsid w:val="127647B5"/>
    <w:rsid w:val="129A3494"/>
    <w:rsid w:val="12B10F0A"/>
    <w:rsid w:val="12B650E1"/>
    <w:rsid w:val="12CF1390"/>
    <w:rsid w:val="12F36548"/>
    <w:rsid w:val="13176561"/>
    <w:rsid w:val="13674067"/>
    <w:rsid w:val="13920429"/>
    <w:rsid w:val="13B17BCF"/>
    <w:rsid w:val="13C609E5"/>
    <w:rsid w:val="14654119"/>
    <w:rsid w:val="146B611D"/>
    <w:rsid w:val="14720225"/>
    <w:rsid w:val="14A61FB7"/>
    <w:rsid w:val="14EA1CE0"/>
    <w:rsid w:val="14F43330"/>
    <w:rsid w:val="15A1784D"/>
    <w:rsid w:val="15B51288"/>
    <w:rsid w:val="15BB3E4D"/>
    <w:rsid w:val="15CA354C"/>
    <w:rsid w:val="161054D3"/>
    <w:rsid w:val="165D7FC8"/>
    <w:rsid w:val="16BC7326"/>
    <w:rsid w:val="17374230"/>
    <w:rsid w:val="175613C2"/>
    <w:rsid w:val="17627516"/>
    <w:rsid w:val="176F7DC3"/>
    <w:rsid w:val="1776627E"/>
    <w:rsid w:val="17771FF6"/>
    <w:rsid w:val="17A364CA"/>
    <w:rsid w:val="17CF3BE0"/>
    <w:rsid w:val="17F45294"/>
    <w:rsid w:val="17FF6273"/>
    <w:rsid w:val="18181992"/>
    <w:rsid w:val="182F3633"/>
    <w:rsid w:val="18950986"/>
    <w:rsid w:val="18EF453A"/>
    <w:rsid w:val="19520625"/>
    <w:rsid w:val="19E54FD5"/>
    <w:rsid w:val="1A461905"/>
    <w:rsid w:val="1A6940BC"/>
    <w:rsid w:val="1A973837"/>
    <w:rsid w:val="1AA8484B"/>
    <w:rsid w:val="1B272872"/>
    <w:rsid w:val="1B5A61F2"/>
    <w:rsid w:val="1B6805D3"/>
    <w:rsid w:val="1B8F4C39"/>
    <w:rsid w:val="1BEF51BC"/>
    <w:rsid w:val="1BFE2CE6"/>
    <w:rsid w:val="1C07688A"/>
    <w:rsid w:val="1C384FE4"/>
    <w:rsid w:val="1C69522B"/>
    <w:rsid w:val="1C83122F"/>
    <w:rsid w:val="1CA7347B"/>
    <w:rsid w:val="1CE7185E"/>
    <w:rsid w:val="1D3838DC"/>
    <w:rsid w:val="1D660B43"/>
    <w:rsid w:val="1D6C59C4"/>
    <w:rsid w:val="1D7B04E6"/>
    <w:rsid w:val="1DAC27BE"/>
    <w:rsid w:val="1DB943F8"/>
    <w:rsid w:val="1DE75189"/>
    <w:rsid w:val="1E0D6422"/>
    <w:rsid w:val="1EA74485"/>
    <w:rsid w:val="1ECE25C1"/>
    <w:rsid w:val="1F737547"/>
    <w:rsid w:val="1FAA0F37"/>
    <w:rsid w:val="1FC2277A"/>
    <w:rsid w:val="1FC85AE5"/>
    <w:rsid w:val="1FF999A1"/>
    <w:rsid w:val="201F58F3"/>
    <w:rsid w:val="20581420"/>
    <w:rsid w:val="205B085C"/>
    <w:rsid w:val="20A67B9D"/>
    <w:rsid w:val="20E37A02"/>
    <w:rsid w:val="20E406FC"/>
    <w:rsid w:val="217940E5"/>
    <w:rsid w:val="21C916A0"/>
    <w:rsid w:val="22486A69"/>
    <w:rsid w:val="229D5AD9"/>
    <w:rsid w:val="22AB150D"/>
    <w:rsid w:val="22FA4207"/>
    <w:rsid w:val="2303547D"/>
    <w:rsid w:val="232F19D7"/>
    <w:rsid w:val="234D33B5"/>
    <w:rsid w:val="23706277"/>
    <w:rsid w:val="239C2569"/>
    <w:rsid w:val="23A778B7"/>
    <w:rsid w:val="23C44815"/>
    <w:rsid w:val="23F4427C"/>
    <w:rsid w:val="24125580"/>
    <w:rsid w:val="24BF5794"/>
    <w:rsid w:val="24C36DA9"/>
    <w:rsid w:val="255120D8"/>
    <w:rsid w:val="255809CB"/>
    <w:rsid w:val="255D1DDA"/>
    <w:rsid w:val="256366B9"/>
    <w:rsid w:val="2574002C"/>
    <w:rsid w:val="25975BEE"/>
    <w:rsid w:val="25B6706B"/>
    <w:rsid w:val="25FF73E4"/>
    <w:rsid w:val="26B172D2"/>
    <w:rsid w:val="27003DB6"/>
    <w:rsid w:val="273B6B9C"/>
    <w:rsid w:val="276A3765"/>
    <w:rsid w:val="27764F99"/>
    <w:rsid w:val="27AF5200"/>
    <w:rsid w:val="27DF341A"/>
    <w:rsid w:val="280671AA"/>
    <w:rsid w:val="281318C7"/>
    <w:rsid w:val="281F226C"/>
    <w:rsid w:val="28573CEA"/>
    <w:rsid w:val="28652792"/>
    <w:rsid w:val="287D4A67"/>
    <w:rsid w:val="288B5901"/>
    <w:rsid w:val="28A7603E"/>
    <w:rsid w:val="28A931AF"/>
    <w:rsid w:val="28CF3A40"/>
    <w:rsid w:val="28DE4E4B"/>
    <w:rsid w:val="29177B53"/>
    <w:rsid w:val="295703E0"/>
    <w:rsid w:val="29CC3C22"/>
    <w:rsid w:val="29FB38D6"/>
    <w:rsid w:val="2A8D770F"/>
    <w:rsid w:val="2A932F1A"/>
    <w:rsid w:val="2ABF1892"/>
    <w:rsid w:val="2AC33130"/>
    <w:rsid w:val="2AEA4B61"/>
    <w:rsid w:val="2B0471A2"/>
    <w:rsid w:val="2B4F70BA"/>
    <w:rsid w:val="2BEB79A0"/>
    <w:rsid w:val="2BFF63EA"/>
    <w:rsid w:val="2C3D03AD"/>
    <w:rsid w:val="2C7C5C8D"/>
    <w:rsid w:val="2CBF5B79"/>
    <w:rsid w:val="2CD258AD"/>
    <w:rsid w:val="2D140411"/>
    <w:rsid w:val="2D1C6EB8"/>
    <w:rsid w:val="2D2675F4"/>
    <w:rsid w:val="2D2B45A9"/>
    <w:rsid w:val="2D354D6C"/>
    <w:rsid w:val="2D3D6250"/>
    <w:rsid w:val="2D71156A"/>
    <w:rsid w:val="2D9E1C33"/>
    <w:rsid w:val="2DD57CCF"/>
    <w:rsid w:val="2DF055EB"/>
    <w:rsid w:val="2DF74F76"/>
    <w:rsid w:val="2E1C1895"/>
    <w:rsid w:val="2E5945BC"/>
    <w:rsid w:val="2E654841"/>
    <w:rsid w:val="2E756E38"/>
    <w:rsid w:val="2E7609C8"/>
    <w:rsid w:val="2E7F7CB6"/>
    <w:rsid w:val="2EA64AB1"/>
    <w:rsid w:val="2ED6380B"/>
    <w:rsid w:val="2EF20488"/>
    <w:rsid w:val="2F414F6C"/>
    <w:rsid w:val="2F723377"/>
    <w:rsid w:val="2F7A21A6"/>
    <w:rsid w:val="2F98718A"/>
    <w:rsid w:val="2FAD2913"/>
    <w:rsid w:val="2FDD1A73"/>
    <w:rsid w:val="300E1FA5"/>
    <w:rsid w:val="303640B6"/>
    <w:rsid w:val="30403475"/>
    <w:rsid w:val="30717C09"/>
    <w:rsid w:val="31A91E91"/>
    <w:rsid w:val="31C84A4B"/>
    <w:rsid w:val="320E382B"/>
    <w:rsid w:val="32116795"/>
    <w:rsid w:val="32681B32"/>
    <w:rsid w:val="3287538B"/>
    <w:rsid w:val="32DC7038"/>
    <w:rsid w:val="32E91BA2"/>
    <w:rsid w:val="32F97725"/>
    <w:rsid w:val="32FC7B27"/>
    <w:rsid w:val="337376BE"/>
    <w:rsid w:val="33CA4640"/>
    <w:rsid w:val="33FD3ED6"/>
    <w:rsid w:val="34087636"/>
    <w:rsid w:val="346E6EDA"/>
    <w:rsid w:val="34712317"/>
    <w:rsid w:val="34767465"/>
    <w:rsid w:val="34EE68F3"/>
    <w:rsid w:val="34F07218"/>
    <w:rsid w:val="35203D82"/>
    <w:rsid w:val="353466F6"/>
    <w:rsid w:val="35A136FA"/>
    <w:rsid w:val="35AD3FCB"/>
    <w:rsid w:val="35BE10C4"/>
    <w:rsid w:val="35D46B3A"/>
    <w:rsid w:val="35EE67BF"/>
    <w:rsid w:val="35FE3BB6"/>
    <w:rsid w:val="364B2EA2"/>
    <w:rsid w:val="365B610C"/>
    <w:rsid w:val="36681030"/>
    <w:rsid w:val="366A230A"/>
    <w:rsid w:val="36730100"/>
    <w:rsid w:val="368A369C"/>
    <w:rsid w:val="368E2421"/>
    <w:rsid w:val="3736112E"/>
    <w:rsid w:val="373740E3"/>
    <w:rsid w:val="375717D0"/>
    <w:rsid w:val="375C44EF"/>
    <w:rsid w:val="376B0CC3"/>
    <w:rsid w:val="3784633D"/>
    <w:rsid w:val="37AE6E92"/>
    <w:rsid w:val="37CE67AC"/>
    <w:rsid w:val="382F1B29"/>
    <w:rsid w:val="387B0EB7"/>
    <w:rsid w:val="387B6043"/>
    <w:rsid w:val="387D5F26"/>
    <w:rsid w:val="388F293F"/>
    <w:rsid w:val="38A756E5"/>
    <w:rsid w:val="38D443DE"/>
    <w:rsid w:val="39007C46"/>
    <w:rsid w:val="391C1E35"/>
    <w:rsid w:val="3922196A"/>
    <w:rsid w:val="393A3157"/>
    <w:rsid w:val="39423DBA"/>
    <w:rsid w:val="3957241C"/>
    <w:rsid w:val="398B39B3"/>
    <w:rsid w:val="39A138E1"/>
    <w:rsid w:val="39C742BF"/>
    <w:rsid w:val="39E42A85"/>
    <w:rsid w:val="39FF7EFD"/>
    <w:rsid w:val="3A0F6392"/>
    <w:rsid w:val="3A40479E"/>
    <w:rsid w:val="3A4F0725"/>
    <w:rsid w:val="3A62725F"/>
    <w:rsid w:val="3AAA5962"/>
    <w:rsid w:val="3AAC5204"/>
    <w:rsid w:val="3AD43138"/>
    <w:rsid w:val="3AEB70F2"/>
    <w:rsid w:val="3B0558BB"/>
    <w:rsid w:val="3B746682"/>
    <w:rsid w:val="3BC745F6"/>
    <w:rsid w:val="3C153CA2"/>
    <w:rsid w:val="3C232214"/>
    <w:rsid w:val="3C3C6677"/>
    <w:rsid w:val="3C5A4785"/>
    <w:rsid w:val="3C650C05"/>
    <w:rsid w:val="3C8C1F1C"/>
    <w:rsid w:val="3D464CC1"/>
    <w:rsid w:val="3D5162E2"/>
    <w:rsid w:val="3D64203D"/>
    <w:rsid w:val="3D6E1622"/>
    <w:rsid w:val="3E295549"/>
    <w:rsid w:val="3E350CCC"/>
    <w:rsid w:val="3E845BA6"/>
    <w:rsid w:val="3EA82911"/>
    <w:rsid w:val="3EBB2D37"/>
    <w:rsid w:val="3EBB4C1C"/>
    <w:rsid w:val="3EBB5ABB"/>
    <w:rsid w:val="3EC94E93"/>
    <w:rsid w:val="3EE27B9D"/>
    <w:rsid w:val="3EE302B2"/>
    <w:rsid w:val="3F2E3EB1"/>
    <w:rsid w:val="3F4A39C9"/>
    <w:rsid w:val="3F593C0C"/>
    <w:rsid w:val="3FA62879"/>
    <w:rsid w:val="3FB157F6"/>
    <w:rsid w:val="3FB16CB7"/>
    <w:rsid w:val="3FDB0AC5"/>
    <w:rsid w:val="40330901"/>
    <w:rsid w:val="403A57EB"/>
    <w:rsid w:val="4078521C"/>
    <w:rsid w:val="407B27E6"/>
    <w:rsid w:val="40C916D7"/>
    <w:rsid w:val="413277CA"/>
    <w:rsid w:val="4141371F"/>
    <w:rsid w:val="416E7C67"/>
    <w:rsid w:val="41741A7D"/>
    <w:rsid w:val="4177481D"/>
    <w:rsid w:val="418C2076"/>
    <w:rsid w:val="4191337A"/>
    <w:rsid w:val="41993A46"/>
    <w:rsid w:val="41CF4659"/>
    <w:rsid w:val="41D76660"/>
    <w:rsid w:val="42186534"/>
    <w:rsid w:val="42500259"/>
    <w:rsid w:val="4276163D"/>
    <w:rsid w:val="427A6373"/>
    <w:rsid w:val="42B828FB"/>
    <w:rsid w:val="42E37346"/>
    <w:rsid w:val="435242AD"/>
    <w:rsid w:val="43574906"/>
    <w:rsid w:val="436112E1"/>
    <w:rsid w:val="43A06C82"/>
    <w:rsid w:val="43DF41E8"/>
    <w:rsid w:val="43EE04C7"/>
    <w:rsid w:val="43F642E6"/>
    <w:rsid w:val="44041562"/>
    <w:rsid w:val="444924A1"/>
    <w:rsid w:val="444E7CA8"/>
    <w:rsid w:val="446B0669"/>
    <w:rsid w:val="44B05D65"/>
    <w:rsid w:val="44E16B7D"/>
    <w:rsid w:val="44F5394A"/>
    <w:rsid w:val="45660E30"/>
    <w:rsid w:val="4574653D"/>
    <w:rsid w:val="457572C5"/>
    <w:rsid w:val="45C062B1"/>
    <w:rsid w:val="45C74BE2"/>
    <w:rsid w:val="45CF4C28"/>
    <w:rsid w:val="45D95AA6"/>
    <w:rsid w:val="46193C7B"/>
    <w:rsid w:val="4628567C"/>
    <w:rsid w:val="46476EB4"/>
    <w:rsid w:val="46804174"/>
    <w:rsid w:val="46C06918"/>
    <w:rsid w:val="46C275D8"/>
    <w:rsid w:val="46E2098A"/>
    <w:rsid w:val="46E74245"/>
    <w:rsid w:val="46FD18E3"/>
    <w:rsid w:val="4717117C"/>
    <w:rsid w:val="47287E89"/>
    <w:rsid w:val="47413903"/>
    <w:rsid w:val="47486A40"/>
    <w:rsid w:val="47650E6B"/>
    <w:rsid w:val="47E64083"/>
    <w:rsid w:val="47FE17F4"/>
    <w:rsid w:val="48030BB8"/>
    <w:rsid w:val="481B23A6"/>
    <w:rsid w:val="482E0775"/>
    <w:rsid w:val="484336AB"/>
    <w:rsid w:val="48757D08"/>
    <w:rsid w:val="48A94357"/>
    <w:rsid w:val="497B609A"/>
    <w:rsid w:val="49AD5280"/>
    <w:rsid w:val="49CF3F97"/>
    <w:rsid w:val="4A471230"/>
    <w:rsid w:val="4A5E7F8F"/>
    <w:rsid w:val="4A9326C8"/>
    <w:rsid w:val="4A9A76C2"/>
    <w:rsid w:val="4A9C7356"/>
    <w:rsid w:val="4AB01C7A"/>
    <w:rsid w:val="4ADA6548"/>
    <w:rsid w:val="4AF26284"/>
    <w:rsid w:val="4B453702"/>
    <w:rsid w:val="4BE22D6C"/>
    <w:rsid w:val="4C013661"/>
    <w:rsid w:val="4C324162"/>
    <w:rsid w:val="4C331923"/>
    <w:rsid w:val="4C746529"/>
    <w:rsid w:val="4C9B3AB5"/>
    <w:rsid w:val="4CDC1628"/>
    <w:rsid w:val="4D0C6761"/>
    <w:rsid w:val="4D1C4610"/>
    <w:rsid w:val="4DC951B1"/>
    <w:rsid w:val="4E4E1778"/>
    <w:rsid w:val="4E796078"/>
    <w:rsid w:val="4E9D1D67"/>
    <w:rsid w:val="4ECD1134"/>
    <w:rsid w:val="4EFD6450"/>
    <w:rsid w:val="4F552FB6"/>
    <w:rsid w:val="4F6012DE"/>
    <w:rsid w:val="4F692F81"/>
    <w:rsid w:val="4FD7196C"/>
    <w:rsid w:val="500F5C67"/>
    <w:rsid w:val="50506965"/>
    <w:rsid w:val="509757B8"/>
    <w:rsid w:val="509E5922"/>
    <w:rsid w:val="50A2190A"/>
    <w:rsid w:val="50A539F1"/>
    <w:rsid w:val="50AF7B2F"/>
    <w:rsid w:val="50C734CB"/>
    <w:rsid w:val="50D15CF8"/>
    <w:rsid w:val="50F96FFC"/>
    <w:rsid w:val="511E2E66"/>
    <w:rsid w:val="51257DF2"/>
    <w:rsid w:val="52074B39"/>
    <w:rsid w:val="52081D18"/>
    <w:rsid w:val="520F53AD"/>
    <w:rsid w:val="5219373E"/>
    <w:rsid w:val="526947C2"/>
    <w:rsid w:val="52742DDF"/>
    <w:rsid w:val="529C40E3"/>
    <w:rsid w:val="52B753C1"/>
    <w:rsid w:val="531526DC"/>
    <w:rsid w:val="53396E1A"/>
    <w:rsid w:val="536611E1"/>
    <w:rsid w:val="536B389A"/>
    <w:rsid w:val="536C61AC"/>
    <w:rsid w:val="537563DC"/>
    <w:rsid w:val="538050A3"/>
    <w:rsid w:val="539C3752"/>
    <w:rsid w:val="53BD0376"/>
    <w:rsid w:val="53C140E5"/>
    <w:rsid w:val="53DB7E39"/>
    <w:rsid w:val="53E83D39"/>
    <w:rsid w:val="53FF0171"/>
    <w:rsid w:val="540208BE"/>
    <w:rsid w:val="540D6763"/>
    <w:rsid w:val="54262E3F"/>
    <w:rsid w:val="54B137B9"/>
    <w:rsid w:val="54C85495"/>
    <w:rsid w:val="55077DE8"/>
    <w:rsid w:val="55357DC1"/>
    <w:rsid w:val="55413F6A"/>
    <w:rsid w:val="557650C0"/>
    <w:rsid w:val="557954B6"/>
    <w:rsid w:val="55B856D8"/>
    <w:rsid w:val="55DA2062"/>
    <w:rsid w:val="561F5757"/>
    <w:rsid w:val="56227960"/>
    <w:rsid w:val="56327239"/>
    <w:rsid w:val="568B4B9B"/>
    <w:rsid w:val="57A852D8"/>
    <w:rsid w:val="57AD7ABE"/>
    <w:rsid w:val="57D3D3C4"/>
    <w:rsid w:val="57F87387"/>
    <w:rsid w:val="580F6F80"/>
    <w:rsid w:val="581C6948"/>
    <w:rsid w:val="587547D2"/>
    <w:rsid w:val="587753D7"/>
    <w:rsid w:val="58874605"/>
    <w:rsid w:val="58975164"/>
    <w:rsid w:val="590E560F"/>
    <w:rsid w:val="59105F9C"/>
    <w:rsid w:val="591F13A1"/>
    <w:rsid w:val="5939268C"/>
    <w:rsid w:val="593F3A1A"/>
    <w:rsid w:val="59477A28"/>
    <w:rsid w:val="596F2552"/>
    <w:rsid w:val="59E80236"/>
    <w:rsid w:val="59FF13B5"/>
    <w:rsid w:val="5A4B6B1B"/>
    <w:rsid w:val="5A507EBB"/>
    <w:rsid w:val="5A735171"/>
    <w:rsid w:val="5A737E20"/>
    <w:rsid w:val="5ACA6500"/>
    <w:rsid w:val="5AFE34D7"/>
    <w:rsid w:val="5B3E6680"/>
    <w:rsid w:val="5B3F5F54"/>
    <w:rsid w:val="5B540B07"/>
    <w:rsid w:val="5B722F65"/>
    <w:rsid w:val="5B895449"/>
    <w:rsid w:val="5BAF4251"/>
    <w:rsid w:val="5BCD17B1"/>
    <w:rsid w:val="5BFD0E7B"/>
    <w:rsid w:val="5C36158B"/>
    <w:rsid w:val="5C5802CB"/>
    <w:rsid w:val="5C70365F"/>
    <w:rsid w:val="5CCE4045"/>
    <w:rsid w:val="5CD5691D"/>
    <w:rsid w:val="5CE60975"/>
    <w:rsid w:val="5D1706B9"/>
    <w:rsid w:val="5D245401"/>
    <w:rsid w:val="5D3970FE"/>
    <w:rsid w:val="5D531F7D"/>
    <w:rsid w:val="5D7A71E7"/>
    <w:rsid w:val="5D7E59B8"/>
    <w:rsid w:val="5D8365CC"/>
    <w:rsid w:val="5D854D6E"/>
    <w:rsid w:val="5DD76917"/>
    <w:rsid w:val="5DF7002C"/>
    <w:rsid w:val="5DFC2C8F"/>
    <w:rsid w:val="5E272AFC"/>
    <w:rsid w:val="5E604B5F"/>
    <w:rsid w:val="5E9F5687"/>
    <w:rsid w:val="5EC750D1"/>
    <w:rsid w:val="5ED115B9"/>
    <w:rsid w:val="5EDA252D"/>
    <w:rsid w:val="5EE50BC0"/>
    <w:rsid w:val="5EFC0618"/>
    <w:rsid w:val="5F5D7283"/>
    <w:rsid w:val="5FE274DC"/>
    <w:rsid w:val="601262B7"/>
    <w:rsid w:val="602D0A71"/>
    <w:rsid w:val="60483AFC"/>
    <w:rsid w:val="60561D75"/>
    <w:rsid w:val="605B738C"/>
    <w:rsid w:val="606F293E"/>
    <w:rsid w:val="60C67A09"/>
    <w:rsid w:val="60CE4002"/>
    <w:rsid w:val="60DA4DF5"/>
    <w:rsid w:val="60F811C1"/>
    <w:rsid w:val="610B376A"/>
    <w:rsid w:val="613A3FFF"/>
    <w:rsid w:val="615D17EC"/>
    <w:rsid w:val="61786679"/>
    <w:rsid w:val="61964EA3"/>
    <w:rsid w:val="61C36CBC"/>
    <w:rsid w:val="61DA7739"/>
    <w:rsid w:val="61DD3E1F"/>
    <w:rsid w:val="61F77588"/>
    <w:rsid w:val="620D6534"/>
    <w:rsid w:val="62117323"/>
    <w:rsid w:val="6225661C"/>
    <w:rsid w:val="62996751"/>
    <w:rsid w:val="629B1C54"/>
    <w:rsid w:val="629D5CEA"/>
    <w:rsid w:val="62AF1AE3"/>
    <w:rsid w:val="62F9296A"/>
    <w:rsid w:val="63213ECE"/>
    <w:rsid w:val="63495BC1"/>
    <w:rsid w:val="636153C4"/>
    <w:rsid w:val="638E1826"/>
    <w:rsid w:val="638F37E5"/>
    <w:rsid w:val="640A312F"/>
    <w:rsid w:val="641E40E3"/>
    <w:rsid w:val="643B38A3"/>
    <w:rsid w:val="646C742F"/>
    <w:rsid w:val="64744D5D"/>
    <w:rsid w:val="649015CE"/>
    <w:rsid w:val="6498598D"/>
    <w:rsid w:val="64B452BD"/>
    <w:rsid w:val="64DE058B"/>
    <w:rsid w:val="64F46001"/>
    <w:rsid w:val="650E4F5B"/>
    <w:rsid w:val="652F740D"/>
    <w:rsid w:val="6545060B"/>
    <w:rsid w:val="65566374"/>
    <w:rsid w:val="657E5AA8"/>
    <w:rsid w:val="6587477F"/>
    <w:rsid w:val="659375C8"/>
    <w:rsid w:val="65BC7FC9"/>
    <w:rsid w:val="65D53F00"/>
    <w:rsid w:val="65D74CB4"/>
    <w:rsid w:val="65E14D38"/>
    <w:rsid w:val="65E329B5"/>
    <w:rsid w:val="664B4963"/>
    <w:rsid w:val="66911854"/>
    <w:rsid w:val="66AE1317"/>
    <w:rsid w:val="66D61722"/>
    <w:rsid w:val="673335DC"/>
    <w:rsid w:val="67B72D4C"/>
    <w:rsid w:val="67C70C26"/>
    <w:rsid w:val="680B1697"/>
    <w:rsid w:val="68133F4F"/>
    <w:rsid w:val="684629D3"/>
    <w:rsid w:val="68572B2F"/>
    <w:rsid w:val="68897DD6"/>
    <w:rsid w:val="68960CA5"/>
    <w:rsid w:val="68B27663"/>
    <w:rsid w:val="68BD62D9"/>
    <w:rsid w:val="69176E77"/>
    <w:rsid w:val="69180510"/>
    <w:rsid w:val="692622A5"/>
    <w:rsid w:val="69357B65"/>
    <w:rsid w:val="69531548"/>
    <w:rsid w:val="69690D6B"/>
    <w:rsid w:val="69C7380F"/>
    <w:rsid w:val="6A1453BD"/>
    <w:rsid w:val="6A3E5B5D"/>
    <w:rsid w:val="6A4470E3"/>
    <w:rsid w:val="6A447EA4"/>
    <w:rsid w:val="6A804048"/>
    <w:rsid w:val="6AA61BD5"/>
    <w:rsid w:val="6AC029BD"/>
    <w:rsid w:val="6AC32A7F"/>
    <w:rsid w:val="6AE10D08"/>
    <w:rsid w:val="6AE6071F"/>
    <w:rsid w:val="6AEB4196"/>
    <w:rsid w:val="6B317D56"/>
    <w:rsid w:val="6B606630"/>
    <w:rsid w:val="6B8974A3"/>
    <w:rsid w:val="6BCA186A"/>
    <w:rsid w:val="6BE148B2"/>
    <w:rsid w:val="6BEFECE3"/>
    <w:rsid w:val="6C6D2FBB"/>
    <w:rsid w:val="6D297A1D"/>
    <w:rsid w:val="6D4C69DA"/>
    <w:rsid w:val="6D544D75"/>
    <w:rsid w:val="6D5E317C"/>
    <w:rsid w:val="6DA71E62"/>
    <w:rsid w:val="6DBF412E"/>
    <w:rsid w:val="6DEA4F36"/>
    <w:rsid w:val="6E062690"/>
    <w:rsid w:val="6E75505F"/>
    <w:rsid w:val="6ED71ACC"/>
    <w:rsid w:val="6EFC34EF"/>
    <w:rsid w:val="6F0B1F3E"/>
    <w:rsid w:val="6F3B477E"/>
    <w:rsid w:val="6F3D09AC"/>
    <w:rsid w:val="6FA10B33"/>
    <w:rsid w:val="6FBA445E"/>
    <w:rsid w:val="70076C5A"/>
    <w:rsid w:val="703968E8"/>
    <w:rsid w:val="703D7D31"/>
    <w:rsid w:val="70CA344A"/>
    <w:rsid w:val="70F82DF5"/>
    <w:rsid w:val="71564345"/>
    <w:rsid w:val="71810C1C"/>
    <w:rsid w:val="71863042"/>
    <w:rsid w:val="719B31BF"/>
    <w:rsid w:val="71A60684"/>
    <w:rsid w:val="71A91152"/>
    <w:rsid w:val="71AD1A11"/>
    <w:rsid w:val="71B40FF2"/>
    <w:rsid w:val="71CB4BFC"/>
    <w:rsid w:val="71E05943"/>
    <w:rsid w:val="72730565"/>
    <w:rsid w:val="72E05D86"/>
    <w:rsid w:val="7304775A"/>
    <w:rsid w:val="73247AB1"/>
    <w:rsid w:val="735B56D0"/>
    <w:rsid w:val="7366631C"/>
    <w:rsid w:val="73707BF4"/>
    <w:rsid w:val="73C3551C"/>
    <w:rsid w:val="73D7116F"/>
    <w:rsid w:val="74227BFF"/>
    <w:rsid w:val="742D7F6C"/>
    <w:rsid w:val="743B3F87"/>
    <w:rsid w:val="746D7236"/>
    <w:rsid w:val="74784559"/>
    <w:rsid w:val="750252B5"/>
    <w:rsid w:val="75226003"/>
    <w:rsid w:val="75556317"/>
    <w:rsid w:val="75B75ED5"/>
    <w:rsid w:val="75DC4673"/>
    <w:rsid w:val="75E019FD"/>
    <w:rsid w:val="75E43528"/>
    <w:rsid w:val="764D6B65"/>
    <w:rsid w:val="766E02D0"/>
    <w:rsid w:val="76F0259F"/>
    <w:rsid w:val="7730731A"/>
    <w:rsid w:val="774E010D"/>
    <w:rsid w:val="77D45F4A"/>
    <w:rsid w:val="77E43CB3"/>
    <w:rsid w:val="782530AA"/>
    <w:rsid w:val="79120500"/>
    <w:rsid w:val="7927535B"/>
    <w:rsid w:val="79404F19"/>
    <w:rsid w:val="794B7C80"/>
    <w:rsid w:val="79541D96"/>
    <w:rsid w:val="7968304D"/>
    <w:rsid w:val="79DA65EA"/>
    <w:rsid w:val="79FA6869"/>
    <w:rsid w:val="7A965738"/>
    <w:rsid w:val="7AA64929"/>
    <w:rsid w:val="7AE7A53D"/>
    <w:rsid w:val="7B1338BA"/>
    <w:rsid w:val="7B2246FA"/>
    <w:rsid w:val="7B226FC1"/>
    <w:rsid w:val="7BC15EE6"/>
    <w:rsid w:val="7BC7188B"/>
    <w:rsid w:val="7BFE3BD5"/>
    <w:rsid w:val="7C4428B8"/>
    <w:rsid w:val="7CA81753"/>
    <w:rsid w:val="7CEA346E"/>
    <w:rsid w:val="7D5D262D"/>
    <w:rsid w:val="7D7A30EF"/>
    <w:rsid w:val="7D9F2B56"/>
    <w:rsid w:val="7DA9320D"/>
    <w:rsid w:val="7DB859C6"/>
    <w:rsid w:val="7DCB2111"/>
    <w:rsid w:val="7DF52776"/>
    <w:rsid w:val="7E136D99"/>
    <w:rsid w:val="7E505BFE"/>
    <w:rsid w:val="7E6D7A98"/>
    <w:rsid w:val="7E730BD6"/>
    <w:rsid w:val="7ECD7FF4"/>
    <w:rsid w:val="7F7EF2AE"/>
    <w:rsid w:val="7F9F5C2A"/>
    <w:rsid w:val="7FEA3DE7"/>
    <w:rsid w:val="7FEC3109"/>
    <w:rsid w:val="C7FE2017"/>
    <w:rsid w:val="D7FD4BA3"/>
    <w:rsid w:val="DF7FD573"/>
    <w:rsid w:val="ED754E60"/>
    <w:rsid w:val="F77F6CD8"/>
    <w:rsid w:val="F7BFDC38"/>
    <w:rsid w:val="FEBFFD8E"/>
    <w:rsid w:val="FFF60C6F"/>
    <w:rsid w:val="FFFDC15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semiHidden="0" w:name="heading 5"/>
    <w:lsdException w:qFormat="1" w:uiPriority="0" w:semiHidden="0" w:name="heading 6"/>
    <w:lsdException w:qFormat="1" w:uiPriority="0" w:semiHidden="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qFormat="1" w:uiPriority="39"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qFormat="1"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99" w:semiHidden="0" w:name="Table Grid"/>
    <w:lsdException w:uiPriority="0" w:name="Table Theme"/>
    <w:lsdException w:qFormat="1" w:unhideWhenUsed="0" w:uiPriority="1"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rPr>
      <w:rFonts w:ascii="Times New Roman" w:hAnsi="Times New Roman" w:eastAsia="宋体" w:cs="Times New Roman"/>
      <w:color w:val="000000"/>
      <w:sz w:val="21"/>
      <w:szCs w:val="21"/>
      <w:lang w:val="en-US" w:eastAsia="zh-CN" w:bidi="ar-SA"/>
    </w:rPr>
  </w:style>
  <w:style w:type="paragraph" w:styleId="2">
    <w:name w:val="heading 1"/>
    <w:basedOn w:val="1"/>
    <w:next w:val="1"/>
    <w:autoRedefine/>
    <w:qFormat/>
    <w:uiPriority w:val="0"/>
    <w:pPr>
      <w:keepNext/>
      <w:keepLines/>
      <w:spacing w:before="340" w:after="330" w:line="576" w:lineRule="auto"/>
      <w:outlineLvl w:val="0"/>
    </w:pPr>
    <w:rPr>
      <w:b/>
      <w:kern w:val="44"/>
      <w:sz w:val="44"/>
    </w:rPr>
  </w:style>
  <w:style w:type="paragraph" w:styleId="3">
    <w:name w:val="heading 2"/>
    <w:basedOn w:val="1"/>
    <w:next w:val="1"/>
    <w:autoRedefine/>
    <w:qFormat/>
    <w:uiPriority w:val="0"/>
    <w:pPr>
      <w:numPr>
        <w:ilvl w:val="1"/>
        <w:numId w:val="1"/>
      </w:numPr>
      <w:spacing w:beforeLines="50" w:afterLines="50"/>
      <w:outlineLvl w:val="1"/>
    </w:pPr>
    <w:rPr>
      <w:rFonts w:eastAsia="黑体"/>
      <w:b/>
      <w:bCs/>
      <w:szCs w:val="32"/>
    </w:rPr>
  </w:style>
  <w:style w:type="paragraph" w:styleId="4">
    <w:name w:val="heading 3"/>
    <w:basedOn w:val="1"/>
    <w:next w:val="1"/>
    <w:autoRedefine/>
    <w:qFormat/>
    <w:uiPriority w:val="0"/>
    <w:pPr>
      <w:keepNext/>
      <w:keepLines/>
      <w:spacing w:before="260" w:after="260" w:line="413" w:lineRule="auto"/>
      <w:outlineLvl w:val="2"/>
    </w:pPr>
    <w:rPr>
      <w:sz w:val="32"/>
      <w:szCs w:val="32"/>
    </w:rPr>
  </w:style>
  <w:style w:type="paragraph" w:styleId="5">
    <w:name w:val="heading 4"/>
    <w:basedOn w:val="1"/>
    <w:next w:val="1"/>
    <w:autoRedefine/>
    <w:semiHidden/>
    <w:unhideWhenUsed/>
    <w:qFormat/>
    <w:uiPriority w:val="0"/>
    <w:pPr>
      <w:keepNext/>
      <w:keepLines/>
      <w:spacing w:before="280" w:after="290" w:line="372" w:lineRule="auto"/>
      <w:outlineLvl w:val="3"/>
    </w:pPr>
    <w:rPr>
      <w:rFonts w:ascii="Arial" w:hAnsi="Arial" w:eastAsia="黑体"/>
      <w:sz w:val="28"/>
    </w:rPr>
  </w:style>
  <w:style w:type="paragraph" w:styleId="6">
    <w:name w:val="heading 5"/>
    <w:basedOn w:val="1"/>
    <w:next w:val="1"/>
    <w:autoRedefine/>
    <w:unhideWhenUsed/>
    <w:qFormat/>
    <w:uiPriority w:val="0"/>
    <w:pPr>
      <w:keepNext/>
      <w:keepLines/>
      <w:numPr>
        <w:ilvl w:val="4"/>
        <w:numId w:val="2"/>
      </w:numPr>
      <w:spacing w:before="280" w:after="290" w:line="372" w:lineRule="auto"/>
      <w:outlineLvl w:val="4"/>
    </w:pPr>
    <w:rPr>
      <w:b/>
      <w:sz w:val="28"/>
    </w:rPr>
  </w:style>
  <w:style w:type="paragraph" w:styleId="7">
    <w:name w:val="heading 6"/>
    <w:basedOn w:val="1"/>
    <w:next w:val="1"/>
    <w:autoRedefine/>
    <w:unhideWhenUsed/>
    <w:qFormat/>
    <w:uiPriority w:val="0"/>
    <w:pPr>
      <w:keepNext/>
      <w:keepLines/>
      <w:numPr>
        <w:ilvl w:val="5"/>
        <w:numId w:val="2"/>
      </w:numPr>
      <w:spacing w:before="240" w:after="64" w:line="317" w:lineRule="auto"/>
      <w:outlineLvl w:val="5"/>
    </w:pPr>
    <w:rPr>
      <w:rFonts w:ascii="Arial" w:hAnsi="Arial"/>
      <w:b/>
      <w:sz w:val="28"/>
    </w:rPr>
  </w:style>
  <w:style w:type="paragraph" w:styleId="8">
    <w:name w:val="heading 7"/>
    <w:basedOn w:val="1"/>
    <w:next w:val="1"/>
    <w:autoRedefine/>
    <w:unhideWhenUsed/>
    <w:qFormat/>
    <w:uiPriority w:val="0"/>
    <w:pPr>
      <w:keepNext/>
      <w:keepLines/>
      <w:numPr>
        <w:ilvl w:val="6"/>
        <w:numId w:val="2"/>
      </w:numPr>
      <w:spacing w:before="240" w:after="64" w:line="317" w:lineRule="auto"/>
      <w:outlineLvl w:val="6"/>
    </w:pPr>
    <w:rPr>
      <w:b/>
      <w:sz w:val="28"/>
    </w:rPr>
  </w:style>
  <w:style w:type="character" w:default="1" w:styleId="23">
    <w:name w:val="Default Paragraph Font"/>
    <w:autoRedefine/>
    <w:semiHidden/>
    <w:unhideWhenUsed/>
    <w:qFormat/>
    <w:uiPriority w:val="1"/>
  </w:style>
  <w:style w:type="table" w:default="1" w:styleId="21">
    <w:name w:val="Normal Table"/>
    <w:autoRedefine/>
    <w:semiHidden/>
    <w:unhideWhenUsed/>
    <w:qFormat/>
    <w:uiPriority w:val="99"/>
    <w:tblPr>
      <w:tblCellMar>
        <w:top w:w="0" w:type="dxa"/>
        <w:left w:w="108" w:type="dxa"/>
        <w:bottom w:w="0" w:type="dxa"/>
        <w:right w:w="108" w:type="dxa"/>
      </w:tblCellMar>
    </w:tblPr>
  </w:style>
  <w:style w:type="paragraph" w:styleId="9">
    <w:name w:val="Normal Indent"/>
    <w:basedOn w:val="1"/>
    <w:next w:val="10"/>
    <w:autoRedefine/>
    <w:qFormat/>
    <w:uiPriority w:val="0"/>
    <w:pPr>
      <w:ind w:firstLine="488"/>
      <w:textAlignment w:val="baseline"/>
    </w:pPr>
    <w:rPr>
      <w:sz w:val="24"/>
      <w:szCs w:val="20"/>
      <w:lang w:val="zh-CN"/>
    </w:rPr>
  </w:style>
  <w:style w:type="paragraph" w:styleId="10">
    <w:name w:val="Body Text Indent"/>
    <w:basedOn w:val="1"/>
    <w:next w:val="1"/>
    <w:autoRedefine/>
    <w:qFormat/>
    <w:uiPriority w:val="0"/>
    <w:pPr>
      <w:tabs>
        <w:tab w:val="left" w:pos="3025"/>
      </w:tabs>
      <w:spacing w:line="420" w:lineRule="exact"/>
      <w:ind w:firstLine="480"/>
      <w:textAlignment w:val="baseline"/>
    </w:pPr>
    <w:rPr>
      <w:sz w:val="24"/>
      <w:szCs w:val="20"/>
    </w:rPr>
  </w:style>
  <w:style w:type="paragraph" w:styleId="11">
    <w:name w:val="annotation text"/>
    <w:basedOn w:val="1"/>
    <w:autoRedefine/>
    <w:qFormat/>
    <w:uiPriority w:val="0"/>
    <w:pPr>
      <w:spacing w:line="360" w:lineRule="atLeast"/>
      <w:textAlignment w:val="baseline"/>
    </w:pPr>
    <w:rPr>
      <w:b/>
      <w:kern w:val="44"/>
      <w:sz w:val="44"/>
    </w:rPr>
  </w:style>
  <w:style w:type="paragraph" w:styleId="12">
    <w:name w:val="Body Text"/>
    <w:basedOn w:val="1"/>
    <w:next w:val="13"/>
    <w:link w:val="58"/>
    <w:autoRedefine/>
    <w:qFormat/>
    <w:uiPriority w:val="0"/>
    <w:pPr>
      <w:spacing w:after="120"/>
    </w:pPr>
  </w:style>
  <w:style w:type="paragraph" w:styleId="13">
    <w:name w:val="Body Text First Indent"/>
    <w:basedOn w:val="12"/>
    <w:next w:val="14"/>
    <w:autoRedefine/>
    <w:unhideWhenUsed/>
    <w:qFormat/>
    <w:uiPriority w:val="0"/>
    <w:pPr>
      <w:ind w:firstLine="420" w:firstLineChars="100"/>
    </w:pPr>
  </w:style>
  <w:style w:type="paragraph" w:styleId="14">
    <w:name w:val="toc 6"/>
    <w:basedOn w:val="1"/>
    <w:next w:val="1"/>
    <w:autoRedefine/>
    <w:unhideWhenUsed/>
    <w:qFormat/>
    <w:uiPriority w:val="39"/>
    <w:pPr>
      <w:ind w:left="2100" w:leftChars="1000"/>
    </w:pPr>
  </w:style>
  <w:style w:type="paragraph" w:styleId="15">
    <w:name w:val="Plain Text"/>
    <w:basedOn w:val="1"/>
    <w:next w:val="1"/>
    <w:autoRedefine/>
    <w:qFormat/>
    <w:uiPriority w:val="0"/>
    <w:rPr>
      <w:color w:val="auto"/>
      <w:kern w:val="2"/>
      <w:sz w:val="24"/>
      <w:szCs w:val="20"/>
    </w:rPr>
  </w:style>
  <w:style w:type="paragraph" w:styleId="16">
    <w:name w:val="footer"/>
    <w:basedOn w:val="1"/>
    <w:autoRedefine/>
    <w:qFormat/>
    <w:uiPriority w:val="0"/>
    <w:pPr>
      <w:tabs>
        <w:tab w:val="center" w:pos="4153"/>
        <w:tab w:val="right" w:pos="8306"/>
      </w:tabs>
      <w:snapToGrid w:val="0"/>
    </w:pPr>
    <w:rPr>
      <w:sz w:val="18"/>
    </w:rPr>
  </w:style>
  <w:style w:type="paragraph" w:styleId="17">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8">
    <w:name w:val="toc 1"/>
    <w:basedOn w:val="1"/>
    <w:next w:val="1"/>
    <w:autoRedefine/>
    <w:qFormat/>
    <w:uiPriority w:val="0"/>
    <w:pPr>
      <w:spacing w:before="120" w:after="120"/>
    </w:pPr>
    <w:rPr>
      <w:b/>
      <w:caps/>
      <w:sz w:val="20"/>
      <w:szCs w:val="20"/>
    </w:rPr>
  </w:style>
  <w:style w:type="paragraph" w:styleId="19">
    <w:name w:val="Normal (Web)"/>
    <w:basedOn w:val="1"/>
    <w:autoRedefine/>
    <w:qFormat/>
    <w:uiPriority w:val="99"/>
    <w:pPr>
      <w:spacing w:beforeAutospacing="1" w:afterAutospacing="1"/>
    </w:pPr>
    <w:rPr>
      <w:sz w:val="24"/>
    </w:rPr>
  </w:style>
  <w:style w:type="paragraph" w:styleId="20">
    <w:name w:val="Body Text First Indent 2"/>
    <w:basedOn w:val="10"/>
    <w:next w:val="1"/>
    <w:autoRedefine/>
    <w:unhideWhenUsed/>
    <w:qFormat/>
    <w:uiPriority w:val="99"/>
    <w:pPr>
      <w:ind w:hanging="200" w:hangingChars="200"/>
    </w:pPr>
    <w:rPr>
      <w:szCs w:val="21"/>
    </w:rPr>
  </w:style>
  <w:style w:type="table" w:styleId="22">
    <w:name w:val="Table Grid"/>
    <w:basedOn w:val="21"/>
    <w:autoRedefine/>
    <w:qFormat/>
    <w:uiPriority w:val="9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annotation reference"/>
    <w:basedOn w:val="23"/>
    <w:autoRedefine/>
    <w:qFormat/>
    <w:uiPriority w:val="0"/>
    <w:rPr>
      <w:sz w:val="21"/>
      <w:szCs w:val="21"/>
    </w:rPr>
  </w:style>
  <w:style w:type="paragraph" w:styleId="25">
    <w:name w:val="List Paragraph"/>
    <w:basedOn w:val="1"/>
    <w:autoRedefine/>
    <w:qFormat/>
    <w:uiPriority w:val="34"/>
    <w:pPr>
      <w:ind w:firstLine="420" w:firstLineChars="200"/>
    </w:pPr>
  </w:style>
  <w:style w:type="paragraph" w:customStyle="1" w:styleId="26">
    <w:name w:val="_Style 3"/>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27">
    <w:name w:val="xl53"/>
    <w:basedOn w:val="1"/>
    <w:next w:val="1"/>
    <w:autoRedefine/>
    <w:qFormat/>
    <w:uiPriority w:val="0"/>
    <w:pPr>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sz w:val="20"/>
    </w:rPr>
  </w:style>
  <w:style w:type="paragraph" w:customStyle="1" w:styleId="28">
    <w:name w:val="样式 正文首行缩进 2 + Arial"/>
    <w:basedOn w:val="1"/>
    <w:next w:val="1"/>
    <w:autoRedefine/>
    <w:qFormat/>
    <w:uiPriority w:val="0"/>
    <w:pPr>
      <w:spacing w:after="120" w:line="320" w:lineRule="atLeast"/>
      <w:ind w:firstLine="200"/>
    </w:pPr>
    <w:rPr>
      <w:rFonts w:ascii="Arial" w:hAnsi="Arial"/>
    </w:rPr>
  </w:style>
  <w:style w:type="paragraph" w:customStyle="1" w:styleId="29">
    <w:name w:val="[Normal]"/>
    <w:autoRedefine/>
    <w:qFormat/>
    <w:uiPriority w:val="0"/>
    <w:rPr>
      <w:rFonts w:ascii="宋体" w:hAnsi="宋体" w:eastAsia="等线" w:cs="Times New Roman"/>
      <w:sz w:val="24"/>
      <w:szCs w:val="22"/>
      <w:lang w:val="zh-CN" w:eastAsia="zh-CN" w:bidi="ar-SA"/>
    </w:rPr>
  </w:style>
  <w:style w:type="paragraph" w:customStyle="1" w:styleId="30">
    <w:name w:val="表格文字"/>
    <w:basedOn w:val="31"/>
    <w:next w:val="12"/>
    <w:autoRedefine/>
    <w:qFormat/>
    <w:uiPriority w:val="0"/>
    <w:pPr>
      <w:tabs>
        <w:tab w:val="left" w:pos="3025"/>
      </w:tabs>
    </w:pPr>
  </w:style>
  <w:style w:type="paragraph" w:customStyle="1" w:styleId="31">
    <w:name w:val="表格文字（两侧对齐）"/>
    <w:basedOn w:val="1"/>
    <w:autoRedefine/>
    <w:qFormat/>
    <w:uiPriority w:val="0"/>
    <w:pPr>
      <w:snapToGrid w:val="0"/>
    </w:pPr>
    <w:rPr>
      <w:sz w:val="20"/>
      <w:szCs w:val="24"/>
    </w:rPr>
  </w:style>
  <w:style w:type="table" w:customStyle="1" w:styleId="32">
    <w:name w:val="Table Normal"/>
    <w:autoRedefine/>
    <w:unhideWhenUsed/>
    <w:qFormat/>
    <w:uiPriority w:val="0"/>
    <w:tblPr>
      <w:tblCellMar>
        <w:top w:w="0" w:type="dxa"/>
        <w:left w:w="0" w:type="dxa"/>
        <w:bottom w:w="0" w:type="dxa"/>
        <w:right w:w="0" w:type="dxa"/>
      </w:tblCellMar>
    </w:tblPr>
  </w:style>
  <w:style w:type="paragraph" w:customStyle="1" w:styleId="33">
    <w:name w:val="正文段"/>
    <w:basedOn w:val="1"/>
    <w:autoRedefine/>
    <w:qFormat/>
    <w:uiPriority w:val="0"/>
    <w:pPr>
      <w:snapToGrid w:val="0"/>
      <w:spacing w:after="156" w:afterLines="50"/>
      <w:ind w:firstLine="200" w:firstLineChars="200"/>
    </w:pPr>
    <w:rPr>
      <w:color w:val="auto"/>
      <w:sz w:val="24"/>
      <w:szCs w:val="20"/>
    </w:rPr>
  </w:style>
  <w:style w:type="paragraph" w:customStyle="1" w:styleId="34">
    <w:name w:val="章正文"/>
    <w:basedOn w:val="1"/>
    <w:autoRedefine/>
    <w:qFormat/>
    <w:uiPriority w:val="0"/>
    <w:pPr>
      <w:spacing w:beforeLines="50" w:after="120" w:line="300" w:lineRule="auto"/>
      <w:ind w:firstLine="480"/>
    </w:pPr>
    <w:rPr>
      <w:rFonts w:ascii="Helvetica" w:hAnsi="Helvetica"/>
      <w:sz w:val="24"/>
      <w:szCs w:val="24"/>
    </w:rPr>
  </w:style>
  <w:style w:type="paragraph" w:customStyle="1" w:styleId="35">
    <w:name w:val="正文 1.5 倍行距"/>
    <w:basedOn w:val="1"/>
    <w:autoRedefine/>
    <w:qFormat/>
    <w:uiPriority w:val="0"/>
    <w:pPr>
      <w:ind w:firstLine="200" w:firstLineChars="200"/>
      <w:textAlignment w:val="baseline"/>
    </w:pPr>
    <w:rPr>
      <w:sz w:val="24"/>
      <w:szCs w:val="20"/>
      <w:lang w:val="zh-CN"/>
    </w:rPr>
  </w:style>
  <w:style w:type="paragraph" w:customStyle="1" w:styleId="36">
    <w:name w:val="1级目录"/>
    <w:basedOn w:val="1"/>
    <w:autoRedefine/>
    <w:qFormat/>
    <w:uiPriority w:val="0"/>
    <w:pPr>
      <w:numPr>
        <w:ilvl w:val="0"/>
        <w:numId w:val="3"/>
      </w:numPr>
      <w:snapToGrid w:val="0"/>
      <w:spacing w:line="360" w:lineRule="auto"/>
      <w:jc w:val="center"/>
      <w:textAlignment w:val="baseline"/>
      <w:outlineLvl w:val="0"/>
    </w:pPr>
    <w:rPr>
      <w:rFonts w:ascii="黑体" w:hAnsi="黑体" w:eastAsia="黑体"/>
      <w:b/>
      <w:sz w:val="30"/>
      <w:szCs w:val="30"/>
    </w:rPr>
  </w:style>
  <w:style w:type="paragraph" w:customStyle="1" w:styleId="37">
    <w:name w:val="文本正文宋体缩进"/>
    <w:basedOn w:val="1"/>
    <w:next w:val="1"/>
    <w:autoRedefine/>
    <w:qFormat/>
    <w:uiPriority w:val="0"/>
    <w:pPr>
      <w:spacing w:line="360" w:lineRule="auto"/>
      <w:ind w:firstLine="480" w:firstLineChars="200"/>
    </w:pPr>
    <w:rPr>
      <w:sz w:val="24"/>
    </w:rPr>
  </w:style>
  <w:style w:type="paragraph" w:customStyle="1" w:styleId="38">
    <w:name w:val="正文（首行缩进2字符）"/>
    <w:basedOn w:val="1"/>
    <w:autoRedefine/>
    <w:qFormat/>
    <w:uiPriority w:val="0"/>
    <w:pPr>
      <w:ind w:firstLine="420"/>
    </w:pPr>
    <w:rPr>
      <w:rFonts w:ascii="Calibri" w:hAnsi="Calibri" w:eastAsia="仿宋_GB2312"/>
      <w:sz w:val="30"/>
    </w:rPr>
  </w:style>
  <w:style w:type="paragraph" w:customStyle="1" w:styleId="39">
    <w:name w:val="表正文"/>
    <w:basedOn w:val="1"/>
    <w:autoRedefine/>
    <w:qFormat/>
    <w:uiPriority w:val="0"/>
  </w:style>
  <w:style w:type="paragraph" w:customStyle="1" w:styleId="40">
    <w:name w:val="Default"/>
    <w:autoRedefine/>
    <w:qFormat/>
    <w:uiPriority w:val="0"/>
    <w:pPr>
      <w:widowControl w:val="0"/>
    </w:pPr>
    <w:rPr>
      <w:rFonts w:hint="eastAsia" w:ascii="仿宋_GB2312" w:hAnsi="仿宋_GB2312" w:eastAsia="仿宋_GB2312" w:cs="Times New Roman"/>
      <w:color w:val="000000"/>
      <w:kern w:val="2"/>
      <w:sz w:val="24"/>
      <w:lang w:val="en-US" w:eastAsia="zh-CN" w:bidi="ar-SA"/>
    </w:rPr>
  </w:style>
  <w:style w:type="paragraph" w:customStyle="1" w:styleId="41">
    <w:name w:val="TOC 71"/>
    <w:next w:val="1"/>
    <w:autoRedefine/>
    <w:qFormat/>
    <w:uiPriority w:val="0"/>
    <w:pPr>
      <w:wordWrap w:val="0"/>
      <w:ind w:left="2550"/>
      <w:jc w:val="both"/>
    </w:pPr>
    <w:rPr>
      <w:rFonts w:ascii="Times New Roman" w:hAnsi="Times New Roman" w:eastAsia="宋体" w:cs="Times New Roman"/>
      <w:sz w:val="21"/>
      <w:szCs w:val="22"/>
      <w:lang w:val="en-US" w:eastAsia="zh-CN" w:bidi="ar-SA"/>
    </w:rPr>
  </w:style>
  <w:style w:type="paragraph" w:customStyle="1" w:styleId="42">
    <w:name w:val="目录 71"/>
    <w:next w:val="1"/>
    <w:autoRedefine/>
    <w:qFormat/>
    <w:uiPriority w:val="0"/>
    <w:pPr>
      <w:wordWrap w:val="0"/>
      <w:ind w:left="2550"/>
      <w:jc w:val="both"/>
    </w:pPr>
    <w:rPr>
      <w:rFonts w:ascii="宋体" w:hAnsi="宋体" w:eastAsia="Times New Roman" w:cs="Times New Roman"/>
      <w:sz w:val="21"/>
      <w:lang w:val="en-US" w:eastAsia="zh-CN" w:bidi="ar-SA"/>
    </w:rPr>
  </w:style>
  <w:style w:type="character" w:customStyle="1" w:styleId="43">
    <w:name w:val="font01"/>
    <w:autoRedefine/>
    <w:qFormat/>
    <w:uiPriority w:val="0"/>
    <w:rPr>
      <w:rFonts w:hint="eastAsia" w:ascii="宋体" w:hAnsi="宋体" w:eastAsia="宋体" w:cs="宋体"/>
      <w:b/>
      <w:color w:val="000000"/>
      <w:sz w:val="24"/>
      <w:szCs w:val="24"/>
      <w:u w:val="none"/>
    </w:rPr>
  </w:style>
  <w:style w:type="character" w:customStyle="1" w:styleId="44">
    <w:name w:val="font21"/>
    <w:autoRedefine/>
    <w:qFormat/>
    <w:uiPriority w:val="0"/>
    <w:rPr>
      <w:rFonts w:hint="eastAsia" w:ascii="宋体" w:hAnsi="宋体" w:eastAsia="宋体" w:cs="宋体"/>
      <w:color w:val="000000"/>
      <w:sz w:val="24"/>
      <w:szCs w:val="24"/>
      <w:u w:val="none"/>
    </w:rPr>
  </w:style>
  <w:style w:type="paragraph" w:customStyle="1" w:styleId="45">
    <w:name w:val="1正文"/>
    <w:basedOn w:val="1"/>
    <w:autoRedefine/>
    <w:qFormat/>
    <w:uiPriority w:val="0"/>
    <w:pPr>
      <w:ind w:firstLine="200"/>
    </w:pPr>
    <w:rPr>
      <w:rFonts w:ascii="仿宋_GB2312" w:hAnsi="Arial" w:eastAsia="仿宋"/>
      <w:sz w:val="28"/>
      <w:szCs w:val="28"/>
    </w:rPr>
  </w:style>
  <w:style w:type="paragraph" w:customStyle="1" w:styleId="46">
    <w:name w:val="正文文本缩进 21"/>
    <w:basedOn w:val="1"/>
    <w:autoRedefine/>
    <w:qFormat/>
    <w:uiPriority w:val="0"/>
    <w:pPr>
      <w:spacing w:after="120" w:line="480" w:lineRule="auto"/>
      <w:ind w:left="420" w:leftChars="200"/>
    </w:pPr>
    <w:rPr>
      <w:rFonts w:ascii="仿宋_GB2312" w:hAnsi="仿宋_GB2312" w:eastAsia="仿宋_GB2312"/>
      <w:sz w:val="24"/>
      <w:szCs w:val="28"/>
    </w:rPr>
  </w:style>
  <w:style w:type="paragraph" w:customStyle="1" w:styleId="47">
    <w:name w:val="列出段落1"/>
    <w:basedOn w:val="1"/>
    <w:autoRedefine/>
    <w:qFormat/>
    <w:uiPriority w:val="34"/>
    <w:pPr>
      <w:ind w:firstLine="420" w:firstLineChars="200"/>
    </w:pPr>
  </w:style>
  <w:style w:type="character" w:customStyle="1" w:styleId="48">
    <w:name w:val="font31"/>
    <w:basedOn w:val="23"/>
    <w:autoRedefine/>
    <w:qFormat/>
    <w:uiPriority w:val="0"/>
    <w:rPr>
      <w:rFonts w:hint="eastAsia" w:ascii="仿宋" w:hAnsi="仿宋" w:eastAsia="仿宋" w:cs="仿宋"/>
      <w:color w:val="000000"/>
      <w:sz w:val="24"/>
      <w:szCs w:val="24"/>
      <w:u w:val="none"/>
    </w:rPr>
  </w:style>
  <w:style w:type="character" w:customStyle="1" w:styleId="49">
    <w:name w:val="font41"/>
    <w:basedOn w:val="23"/>
    <w:autoRedefine/>
    <w:qFormat/>
    <w:uiPriority w:val="0"/>
    <w:rPr>
      <w:rFonts w:hint="eastAsia" w:ascii="仿宋" w:hAnsi="仿宋" w:eastAsia="仿宋" w:cs="仿宋"/>
      <w:color w:val="000000"/>
      <w:sz w:val="24"/>
      <w:szCs w:val="24"/>
      <w:u w:val="none"/>
    </w:rPr>
  </w:style>
  <w:style w:type="paragraph" w:styleId="50">
    <w:name w:val="No Spacing"/>
    <w:autoRedefine/>
    <w:qFormat/>
    <w:uiPriority w:val="1"/>
    <w:pPr>
      <w:widowControl w:val="0"/>
      <w:ind w:firstLine="200" w:firstLineChars="200"/>
      <w:jc w:val="both"/>
    </w:pPr>
    <w:rPr>
      <w:rFonts w:ascii="Book Antiqua" w:hAnsi="Book Antiqua" w:eastAsia="宋体" w:cs="Times New Roman"/>
      <w:kern w:val="2"/>
      <w:sz w:val="24"/>
      <w:szCs w:val="22"/>
      <w:lang w:val="en-US" w:eastAsia="zh-CN" w:bidi="ar-SA"/>
    </w:rPr>
  </w:style>
  <w:style w:type="paragraph" w:customStyle="1" w:styleId="51">
    <w:name w:val="Body Text First Indent 21"/>
    <w:basedOn w:val="52"/>
    <w:autoRedefine/>
    <w:qFormat/>
    <w:uiPriority w:val="0"/>
    <w:pPr>
      <w:ind w:firstLine="420"/>
    </w:pPr>
    <w:rPr>
      <w:rFonts w:cs="宋体"/>
    </w:rPr>
  </w:style>
  <w:style w:type="paragraph" w:customStyle="1" w:styleId="52">
    <w:name w:val="Body Text Indent1"/>
    <w:basedOn w:val="1"/>
    <w:next w:val="1"/>
    <w:autoRedefine/>
    <w:qFormat/>
    <w:uiPriority w:val="0"/>
    <w:pPr>
      <w:spacing w:after="120"/>
      <w:ind w:left="420" w:leftChars="200"/>
    </w:pPr>
  </w:style>
  <w:style w:type="character" w:customStyle="1" w:styleId="53">
    <w:name w:val="font11"/>
    <w:basedOn w:val="23"/>
    <w:autoRedefine/>
    <w:qFormat/>
    <w:uiPriority w:val="0"/>
    <w:rPr>
      <w:rFonts w:hint="eastAsia" w:ascii="宋体" w:hAnsi="宋体" w:eastAsia="宋体" w:cs="宋体"/>
      <w:b/>
      <w:bCs/>
      <w:color w:val="000000"/>
      <w:sz w:val="21"/>
      <w:szCs w:val="21"/>
      <w:u w:val="none"/>
    </w:rPr>
  </w:style>
  <w:style w:type="paragraph" w:customStyle="1" w:styleId="54">
    <w:name w:val="Revision"/>
    <w:autoRedefine/>
    <w:hidden/>
    <w:unhideWhenUsed/>
    <w:qFormat/>
    <w:uiPriority w:val="99"/>
    <w:rPr>
      <w:rFonts w:ascii="Times New Roman" w:hAnsi="Times New Roman" w:eastAsia="宋体" w:cs="Times New Roman"/>
      <w:color w:val="000000"/>
      <w:sz w:val="21"/>
      <w:szCs w:val="21"/>
      <w:lang w:val="en-US" w:eastAsia="zh-CN" w:bidi="ar-SA"/>
    </w:rPr>
  </w:style>
  <w:style w:type="paragraph" w:customStyle="1" w:styleId="55">
    <w:name w:val="图片"/>
    <w:basedOn w:val="1"/>
    <w:autoRedefine/>
    <w:qFormat/>
    <w:uiPriority w:val="0"/>
    <w:rPr>
      <w:rFonts w:ascii="黑体" w:hAnsi="黑体" w:eastAsia="黑体" w:cs="黑体"/>
      <w:sz w:val="24"/>
    </w:rPr>
  </w:style>
  <w:style w:type="paragraph" w:customStyle="1" w:styleId="56">
    <w:name w:val="样式2"/>
    <w:basedOn w:val="1"/>
    <w:autoRedefine/>
    <w:qFormat/>
    <w:uiPriority w:val="0"/>
    <w:pPr>
      <w:ind w:firstLine="480" w:firstLineChars="200"/>
    </w:pPr>
    <w:rPr>
      <w:rFonts w:ascii="Times New Roman" w:hAnsi="Times New Roman" w:eastAsia="宋体" w:cs="Times New Roman"/>
      <w:lang w:val="zh-CN"/>
    </w:rPr>
  </w:style>
  <w:style w:type="paragraph" w:customStyle="1" w:styleId="57">
    <w:name w:val="内文正文"/>
    <w:basedOn w:val="15"/>
    <w:autoRedefine/>
    <w:qFormat/>
    <w:uiPriority w:val="0"/>
    <w:pPr>
      <w:adjustRightInd w:val="0"/>
      <w:snapToGrid w:val="0"/>
      <w:spacing w:line="400" w:lineRule="exact"/>
      <w:ind w:firstLine="200" w:firstLineChars="200"/>
    </w:pPr>
    <w:rPr>
      <w:rFonts w:ascii="Arial" w:hAnsi="Arial" w:cs="Courier New"/>
      <w:color w:val="000000"/>
      <w:szCs w:val="21"/>
    </w:rPr>
  </w:style>
  <w:style w:type="character" w:customStyle="1" w:styleId="58">
    <w:name w:val="正文文本 Char"/>
    <w:link w:val="12"/>
    <w:autoRedefine/>
    <w:qFormat/>
    <w:uiPriority w:val="0"/>
  </w:style>
  <w:style w:type="character" w:customStyle="1" w:styleId="59">
    <w:name w:val="标题 1 Char Char"/>
    <w:autoRedefine/>
    <w:qFormat/>
    <w:uiPriority w:val="0"/>
    <w:rPr>
      <w:rFonts w:ascii="Times New Roman" w:hAnsi="Times New Roman" w:eastAsia="宋体" w:cs="Times New Roman"/>
      <w:b/>
      <w:spacing w:val="-2"/>
      <w:sz w:val="24"/>
      <w:lang w:val="en-US" w:eastAsia="zh-CN" w:bidi="ar-SA"/>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13</Pages>
  <Words>10163</Words>
  <Characters>10506</Characters>
  <Lines>125</Lines>
  <Paragraphs>35</Paragraphs>
  <TotalTime>45</TotalTime>
  <ScaleCrop>false</ScaleCrop>
  <LinksUpToDate>false</LinksUpToDate>
  <CharactersWithSpaces>10536</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2024-07-24T11:00:00Z</dcterms:created>
  <dc:creator>艾伦_real</dc:creator>
  <cp:lastModifiedBy>Administrator</cp:lastModifiedBy>
  <dcterms:modified xsi:type="dcterms:W3CDTF">2025-04-15T02:15:34Z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ICV">
    <vt:lpwstr>BEBDADF9F81F4C4DBA117854C5F033EA_13</vt:lpwstr>
  </property>
  <property fmtid="{D5CDD505-2E9C-101B-9397-08002B2CF9AE}" pid="4" name="KSOTemplateDocerSaveRecord">
    <vt:lpwstr>eyJoZGlkIjoiODBjNjA5NzliZTIxZWVlMTVlMmJhODJkNzUyN2RlMGQifQ==</vt:lpwstr>
  </property>
</Properties>
</file>