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D85E6">
      <w:pPr>
        <w:spacing w:before="120"/>
        <w:jc w:val="center"/>
        <w:rPr>
          <w:rFonts w:hint="eastAsia" w:ascii="仿宋" w:hAnsi="仿宋" w:eastAsia="仿宋" w:cs="仿宋"/>
          <w:color w:val="auto"/>
          <w:sz w:val="28"/>
          <w:szCs w:val="28"/>
          <w:highlight w:val="none"/>
        </w:rPr>
      </w:pPr>
      <w:r>
        <w:rPr>
          <w:rFonts w:hint="eastAsia" w:cs="仿宋"/>
          <w:b/>
          <w:color w:val="auto"/>
          <w:spacing w:val="-6"/>
          <w:sz w:val="52"/>
          <w:szCs w:val="52"/>
          <w:highlight w:val="none"/>
          <w:lang w:val="en-US" w:eastAsia="zh-CN"/>
        </w:rPr>
        <w:t>桐庐畅桐新能源科技有限公司二期充电桩建设项目</w:t>
      </w:r>
      <w:r>
        <w:rPr>
          <w:rFonts w:hint="eastAsia" w:ascii="仿宋" w:hAnsi="仿宋" w:eastAsia="仿宋" w:cs="Times New Roman"/>
          <w:b/>
          <w:color w:val="000000"/>
          <w:kern w:val="0"/>
          <w:sz w:val="52"/>
          <w:szCs w:val="52"/>
          <w:u w:val="none" w:color="000000"/>
          <w:lang w:val="en-US" w:eastAsia="zh-CN" w:bidi="ar-SA"/>
        </w:rPr>
        <w:t>（国企采购）</w:t>
      </w:r>
    </w:p>
    <w:p w14:paraId="0C5FB637">
      <w:pPr>
        <w:spacing w:before="12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cs="仿宋"/>
          <w:color w:val="auto"/>
          <w:sz w:val="28"/>
          <w:szCs w:val="28"/>
          <w:highlight w:val="none"/>
          <w:lang w:eastAsia="zh-CN"/>
        </w:rPr>
        <w:t>NBYTTL2024-006</w:t>
      </w:r>
    </w:p>
    <w:p w14:paraId="21DBBF64">
      <w:pPr>
        <w:pStyle w:val="37"/>
        <w:spacing w:before="124" w:after="124"/>
        <w:rPr>
          <w:rFonts w:hint="eastAsia" w:ascii="仿宋" w:hAnsi="仿宋" w:eastAsia="仿宋" w:cs="仿宋"/>
          <w:b/>
          <w:color w:val="auto"/>
          <w:spacing w:val="40"/>
          <w:szCs w:val="21"/>
          <w:highlight w:val="none"/>
        </w:rPr>
      </w:pPr>
    </w:p>
    <w:p w14:paraId="243BEEA6">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公</w:t>
      </w:r>
    </w:p>
    <w:p w14:paraId="0B2D2B4C">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开</w:t>
      </w:r>
    </w:p>
    <w:p w14:paraId="67582204">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招</w:t>
      </w:r>
    </w:p>
    <w:p w14:paraId="2AF45E7E">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标</w:t>
      </w:r>
    </w:p>
    <w:p w14:paraId="3CC52D5D">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文</w:t>
      </w:r>
    </w:p>
    <w:p w14:paraId="5967F79B">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364E0711">
      <w:pPr>
        <w:spacing w:before="120" w:after="100" w:afterAutospacing="1" w:line="800" w:lineRule="exact"/>
        <w:ind w:right="-108"/>
        <w:jc w:val="center"/>
        <w:rPr>
          <w:rFonts w:hint="eastAsia" w:ascii="仿宋" w:hAnsi="仿宋" w:eastAsia="仿宋" w:cs="仿宋"/>
          <w:b/>
          <w:color w:val="auto"/>
          <w:spacing w:val="40"/>
          <w:sz w:val="84"/>
          <w:szCs w:val="84"/>
          <w:highlight w:val="none"/>
        </w:rPr>
      </w:pPr>
    </w:p>
    <w:p w14:paraId="00691158">
      <w:pPr>
        <w:pStyle w:val="48"/>
        <w:spacing w:before="156" w:after="156"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cs="仿宋"/>
          <w:color w:val="auto"/>
          <w:sz w:val="32"/>
          <w:szCs w:val="32"/>
          <w:highlight w:val="none"/>
          <w:lang w:eastAsia="zh-CN"/>
        </w:rPr>
        <w:t>桐庐畅桐新能源科技有限公司</w:t>
      </w:r>
      <w:r>
        <w:rPr>
          <w:rFonts w:hint="eastAsia" w:ascii="仿宋" w:hAnsi="仿宋" w:eastAsia="仿宋" w:cs="仿宋"/>
          <w:color w:val="auto"/>
          <w:sz w:val="32"/>
          <w:szCs w:val="32"/>
          <w:highlight w:val="none"/>
        </w:rPr>
        <w:t>(盖章)</w:t>
      </w:r>
    </w:p>
    <w:p w14:paraId="3E35BD5C">
      <w:pPr>
        <w:spacing w:line="500" w:lineRule="exact"/>
        <w:ind w:right="105"/>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采购代理机构：</w:t>
      </w:r>
      <w:r>
        <w:rPr>
          <w:rFonts w:hint="eastAsia" w:cs="仿宋"/>
          <w:color w:val="auto"/>
          <w:sz w:val="32"/>
          <w:szCs w:val="32"/>
          <w:highlight w:val="none"/>
          <w:lang w:eastAsia="zh-CN"/>
        </w:rPr>
        <w:t>宁波禹通工程项目管理有限公司 </w:t>
      </w:r>
      <w:r>
        <w:rPr>
          <w:rFonts w:hint="eastAsia" w:ascii="仿宋" w:hAnsi="仿宋" w:eastAsia="仿宋" w:cs="仿宋"/>
          <w:color w:val="auto"/>
          <w:sz w:val="32"/>
          <w:szCs w:val="32"/>
          <w:highlight w:val="none"/>
        </w:rPr>
        <w:t>(盖章)</w:t>
      </w:r>
    </w:p>
    <w:p w14:paraId="23A1B89A">
      <w:pPr>
        <w:spacing w:before="120"/>
        <w:rPr>
          <w:rFonts w:hint="eastAsia" w:ascii="仿宋" w:hAnsi="仿宋" w:eastAsia="仿宋" w:cs="仿宋"/>
          <w:color w:val="auto"/>
          <w:sz w:val="30"/>
          <w:szCs w:val="30"/>
          <w:highlight w:val="none"/>
        </w:rPr>
      </w:pPr>
    </w:p>
    <w:p w14:paraId="06DB0AE2">
      <w:pPr>
        <w:pStyle w:val="48"/>
        <w:spacing w:before="156" w:after="156" w:line="360" w:lineRule="auto"/>
        <w:ind w:left="1900" w:hanging="640"/>
        <w:rPr>
          <w:rFonts w:hint="eastAsia" w:ascii="仿宋" w:hAnsi="仿宋" w:eastAsia="仿宋" w:cs="仿宋"/>
          <w:color w:val="auto"/>
          <w:sz w:val="32"/>
          <w:szCs w:val="32"/>
          <w:highlight w:val="none"/>
        </w:rPr>
      </w:pPr>
    </w:p>
    <w:p w14:paraId="29527374">
      <w:pPr>
        <w:pStyle w:val="48"/>
        <w:spacing w:before="156" w:after="156" w:line="360" w:lineRule="auto"/>
        <w:ind w:left="1900" w:hanging="640"/>
        <w:rPr>
          <w:rFonts w:hint="eastAsia" w:ascii="仿宋" w:hAnsi="仿宋" w:eastAsia="仿宋" w:cs="仿宋"/>
          <w:color w:val="auto"/>
          <w:sz w:val="32"/>
          <w:szCs w:val="32"/>
          <w:highlight w:val="none"/>
        </w:rPr>
      </w:pPr>
    </w:p>
    <w:p w14:paraId="5EB4A68F">
      <w:pPr>
        <w:pStyle w:val="48"/>
        <w:spacing w:before="156" w:after="156" w:line="360" w:lineRule="auto"/>
        <w:ind w:left="2143" w:hanging="883"/>
        <w:jc w:val="center"/>
        <w:rPr>
          <w:rFonts w:hint="eastAsia" w:ascii="仿宋" w:hAnsi="仿宋" w:eastAsia="仿宋" w:cs="仿宋"/>
          <w:b/>
          <w:color w:val="auto"/>
          <w:sz w:val="44"/>
          <w:szCs w:val="44"/>
          <w:highlight w:val="none"/>
        </w:rPr>
      </w:pPr>
    </w:p>
    <w:p w14:paraId="5CD9A238">
      <w:pPr>
        <w:pStyle w:val="48"/>
        <w:spacing w:before="156" w:after="156" w:line="360" w:lineRule="auto"/>
        <w:ind w:left="885" w:hanging="885"/>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4EFF806C">
      <w:pPr>
        <w:pStyle w:val="48"/>
        <w:spacing w:before="156" w:after="156" w:line="360" w:lineRule="auto"/>
        <w:ind w:left="1900" w:hanging="640"/>
        <w:jc w:val="center"/>
        <w:rPr>
          <w:rFonts w:hint="eastAsia" w:ascii="仿宋" w:hAnsi="仿宋" w:eastAsia="仿宋" w:cs="仿宋"/>
          <w:color w:val="auto"/>
          <w:sz w:val="32"/>
          <w:szCs w:val="32"/>
          <w:highlight w:val="none"/>
        </w:rPr>
      </w:pPr>
    </w:p>
    <w:p w14:paraId="78975A4E">
      <w:pPr>
        <w:spacing w:before="120" w:line="480" w:lineRule="exact"/>
        <w:ind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第一章    招标公告…………………………………………3</w:t>
      </w:r>
    </w:p>
    <w:p w14:paraId="45A79FA7">
      <w:pPr>
        <w:spacing w:before="120" w:line="480" w:lineRule="exact"/>
        <w:ind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第二章    投标人须知………………………………………6</w:t>
      </w:r>
    </w:p>
    <w:p w14:paraId="655942DB">
      <w:pPr>
        <w:spacing w:before="120" w:line="480" w:lineRule="exact"/>
        <w:ind w:firstLine="300" w:firstLineChars="1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第三章    评标办法及评分标准……………………………2</w:t>
      </w:r>
      <w:r>
        <w:rPr>
          <w:rFonts w:hint="eastAsia" w:cs="仿宋"/>
          <w:color w:val="auto"/>
          <w:sz w:val="30"/>
          <w:szCs w:val="30"/>
          <w:highlight w:val="none"/>
          <w:lang w:val="en-US" w:eastAsia="zh-CN"/>
        </w:rPr>
        <w:t>5</w:t>
      </w:r>
    </w:p>
    <w:p w14:paraId="319A337C">
      <w:pPr>
        <w:spacing w:before="120" w:line="480" w:lineRule="exact"/>
        <w:ind w:firstLine="300" w:firstLineChars="1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第四章    采购需求…………………………………………2</w:t>
      </w:r>
      <w:r>
        <w:rPr>
          <w:rFonts w:hint="eastAsia" w:cs="仿宋"/>
          <w:color w:val="auto"/>
          <w:sz w:val="30"/>
          <w:szCs w:val="30"/>
          <w:highlight w:val="none"/>
          <w:lang w:val="en-US" w:eastAsia="zh-CN"/>
        </w:rPr>
        <w:t>8</w:t>
      </w:r>
    </w:p>
    <w:p w14:paraId="112DA148">
      <w:pPr>
        <w:spacing w:before="120" w:line="480" w:lineRule="exact"/>
        <w:ind w:firstLine="300" w:firstLineChars="1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第五章    杭州市桐庐县采购合同主要条款………………</w:t>
      </w:r>
      <w:r>
        <w:rPr>
          <w:rFonts w:hint="eastAsia" w:cs="仿宋"/>
          <w:color w:val="auto"/>
          <w:sz w:val="30"/>
          <w:szCs w:val="30"/>
          <w:highlight w:val="none"/>
          <w:lang w:val="en-US" w:eastAsia="zh-CN"/>
        </w:rPr>
        <w:t>57</w:t>
      </w:r>
    </w:p>
    <w:p w14:paraId="65C6C32D">
      <w:pPr>
        <w:spacing w:before="120" w:line="480" w:lineRule="exact"/>
        <w:ind w:firstLine="300" w:firstLineChars="1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第六章    投标文件格式附件………………………………</w:t>
      </w:r>
      <w:r>
        <w:rPr>
          <w:rFonts w:hint="eastAsia" w:cs="仿宋"/>
          <w:color w:val="auto"/>
          <w:sz w:val="30"/>
          <w:szCs w:val="30"/>
          <w:highlight w:val="none"/>
          <w:lang w:val="en-US" w:eastAsia="zh-CN"/>
        </w:rPr>
        <w:t>64</w:t>
      </w:r>
    </w:p>
    <w:p w14:paraId="2210CA62">
      <w:pPr>
        <w:rPr>
          <w:rFonts w:hint="eastAsia" w:ascii="仿宋" w:hAnsi="仿宋" w:eastAsia="仿宋" w:cs="仿宋"/>
          <w:color w:val="auto"/>
          <w:highlight w:val="none"/>
        </w:rPr>
      </w:pPr>
    </w:p>
    <w:p w14:paraId="10B3B88D">
      <w:pPr>
        <w:pStyle w:val="5"/>
        <w:spacing w:line="440" w:lineRule="exact"/>
        <w:rPr>
          <w:rFonts w:hint="eastAsia" w:ascii="仿宋" w:hAnsi="仿宋" w:eastAsia="仿宋" w:cs="仿宋"/>
          <w:color w:val="auto"/>
          <w:highlight w:val="none"/>
        </w:rPr>
      </w:pPr>
      <w:r>
        <w:rPr>
          <w:rFonts w:hint="eastAsia" w:ascii="仿宋" w:hAnsi="仿宋" w:eastAsia="仿宋" w:cs="仿宋"/>
          <w:color w:val="auto"/>
          <w:sz w:val="32"/>
          <w:szCs w:val="32"/>
          <w:highlight w:val="none"/>
        </w:rPr>
        <w:br w:type="page"/>
      </w:r>
      <w:bookmarkStart w:id="0" w:name="_Toc1382136464"/>
      <w:r>
        <w:rPr>
          <w:rFonts w:hint="eastAsia" w:ascii="仿宋" w:hAnsi="仿宋" w:eastAsia="仿宋" w:cs="仿宋"/>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C93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855" w:type="dxa"/>
          </w:tcPr>
          <w:p w14:paraId="618500E0">
            <w:pPr>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项目概况</w:t>
            </w:r>
          </w:p>
          <w:p w14:paraId="11E44459">
            <w:pPr>
              <w:spacing w:line="440" w:lineRule="exact"/>
              <w:rPr>
                <w:rFonts w:hint="eastAsia"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cs="仿宋"/>
                <w:color w:val="auto"/>
                <w:highlight w:val="none"/>
                <w:lang w:eastAsia="zh-CN"/>
              </w:rPr>
              <w:t>桐庐畅桐新能源科技有限公司二期充电桩建设项目</w:t>
            </w:r>
            <w:r>
              <w:rPr>
                <w:rFonts w:hint="eastAsia" w:ascii="仿宋" w:hAnsi="仿宋" w:eastAsia="仿宋" w:cs="仿宋"/>
                <w:color w:val="auto"/>
                <w:highlight w:val="none"/>
              </w:rPr>
              <w:t>的潜在投标人应在</w:t>
            </w:r>
            <w:r>
              <w:rPr>
                <w:rFonts w:hint="eastAsia" w:ascii="仿宋" w:hAnsi="仿宋" w:eastAsia="仿宋" w:cs="仿宋"/>
                <w:color w:val="auto"/>
                <w:highlight w:val="none"/>
                <w:lang w:val="en-US" w:eastAsia="zh-CN"/>
              </w:rPr>
              <w:t>乐</w:t>
            </w:r>
            <w:r>
              <w:rPr>
                <w:rFonts w:hint="eastAsia" w:ascii="仿宋" w:hAnsi="仿宋" w:eastAsia="仿宋" w:cs="仿宋"/>
                <w:color w:val="auto"/>
                <w:highlight w:val="none"/>
              </w:rPr>
              <w:t>采云平台（https://www.</w:t>
            </w:r>
            <w:r>
              <w:rPr>
                <w:rFonts w:hint="eastAsia" w:ascii="仿宋" w:hAnsi="仿宋" w:eastAsia="仿宋" w:cs="仿宋"/>
                <w:color w:val="auto"/>
                <w:highlight w:val="none"/>
                <w:lang w:val="en-US" w:eastAsia="zh-CN"/>
              </w:rPr>
              <w:t>lecaiyun</w:t>
            </w:r>
            <w:r>
              <w:rPr>
                <w:rFonts w:hint="eastAsia" w:ascii="仿宋" w:hAnsi="仿宋" w:eastAsia="仿宋" w:cs="仿宋"/>
                <w:color w:val="auto"/>
                <w:highlight w:val="none"/>
              </w:rPr>
              <w:t>.c</w:t>
            </w:r>
            <w:r>
              <w:rPr>
                <w:rFonts w:hint="eastAsia" w:ascii="仿宋" w:hAnsi="仿宋" w:eastAsia="仿宋" w:cs="仿宋"/>
                <w:color w:val="auto"/>
                <w:highlight w:val="none"/>
                <w:lang w:val="en-US" w:eastAsia="zh-CN"/>
              </w:rPr>
              <w:t>om</w:t>
            </w:r>
            <w:r>
              <w:rPr>
                <w:rFonts w:hint="eastAsia" w:ascii="仿宋" w:hAnsi="仿宋" w:eastAsia="仿宋" w:cs="仿宋"/>
                <w:color w:val="auto"/>
                <w:highlight w:val="none"/>
              </w:rPr>
              <w:t>/）获取（下载）招标文件，并于</w:t>
            </w:r>
            <w:r>
              <w:rPr>
                <w:rFonts w:hint="eastAsia"/>
                <w:color w:val="FF0000"/>
                <w:sz w:val="24"/>
                <w:szCs w:val="24"/>
                <w:highlight w:val="none"/>
                <w:u w:val="none"/>
                <w:lang w:val="en-US" w:eastAsia="zh-CN"/>
              </w:rPr>
              <w:t>2</w:t>
            </w:r>
            <w:r>
              <w:rPr>
                <w:rFonts w:hint="eastAsia"/>
                <w:color w:val="FF0000"/>
                <w:sz w:val="24"/>
                <w:szCs w:val="24"/>
                <w:highlight w:val="none"/>
                <w:lang w:val="en-US" w:eastAsia="zh-CN"/>
              </w:rPr>
              <w:t>024</w:t>
            </w:r>
            <w:r>
              <w:rPr>
                <w:rFonts w:hint="eastAsia" w:ascii="仿宋" w:hAnsi="仿宋" w:eastAsia="仿宋"/>
                <w:color w:val="FF0000"/>
                <w:sz w:val="24"/>
                <w:szCs w:val="24"/>
                <w:highlight w:val="none"/>
              </w:rPr>
              <w:t>年</w:t>
            </w:r>
            <w:r>
              <w:rPr>
                <w:rFonts w:hint="eastAsia"/>
                <w:color w:val="FF0000"/>
                <w:sz w:val="24"/>
                <w:szCs w:val="24"/>
                <w:highlight w:val="none"/>
                <w:lang w:val="en-US" w:eastAsia="zh-CN"/>
              </w:rPr>
              <w:t>12</w:t>
            </w:r>
            <w:r>
              <w:rPr>
                <w:rFonts w:hint="eastAsia" w:ascii="仿宋" w:hAnsi="仿宋" w:eastAsia="仿宋"/>
                <w:color w:val="FF0000"/>
                <w:sz w:val="24"/>
                <w:szCs w:val="24"/>
                <w:highlight w:val="none"/>
              </w:rPr>
              <w:t>月</w:t>
            </w:r>
            <w:r>
              <w:rPr>
                <w:rFonts w:hint="eastAsia"/>
                <w:color w:val="FF0000"/>
                <w:sz w:val="24"/>
                <w:szCs w:val="24"/>
                <w:highlight w:val="none"/>
                <w:lang w:val="en-US" w:eastAsia="zh-CN"/>
              </w:rPr>
              <w:t>9</w:t>
            </w:r>
            <w:r>
              <w:rPr>
                <w:rFonts w:hint="eastAsia" w:ascii="仿宋" w:hAnsi="仿宋" w:eastAsia="仿宋"/>
                <w:color w:val="FF0000"/>
                <w:sz w:val="24"/>
                <w:szCs w:val="24"/>
                <w:highlight w:val="none"/>
              </w:rPr>
              <w:t>日</w:t>
            </w:r>
            <w:r>
              <w:rPr>
                <w:rFonts w:hint="eastAsia"/>
                <w:color w:val="FF0000"/>
                <w:sz w:val="24"/>
                <w:szCs w:val="24"/>
                <w:highlight w:val="none"/>
                <w:lang w:val="en-US" w:eastAsia="zh-CN"/>
              </w:rPr>
              <w:t>10</w:t>
            </w:r>
            <w:r>
              <w:rPr>
                <w:rFonts w:hint="eastAsia" w:ascii="仿宋" w:hAnsi="仿宋" w:eastAsia="仿宋"/>
                <w:color w:val="FF0000"/>
                <w:sz w:val="24"/>
                <w:szCs w:val="24"/>
                <w:highlight w:val="none"/>
              </w:rPr>
              <w:t>时</w:t>
            </w:r>
            <w:r>
              <w:rPr>
                <w:rFonts w:hint="eastAsia"/>
                <w:color w:val="FF0000"/>
                <w:sz w:val="24"/>
                <w:szCs w:val="24"/>
                <w:highlight w:val="none"/>
                <w:lang w:val="en-US" w:eastAsia="zh-CN"/>
              </w:rPr>
              <w:t>00</w:t>
            </w:r>
            <w:r>
              <w:rPr>
                <w:rFonts w:hint="eastAsia" w:ascii="仿宋" w:hAnsi="仿宋" w:eastAsia="仿宋"/>
                <w:color w:val="FF0000"/>
                <w:sz w:val="24"/>
                <w:szCs w:val="24"/>
                <w:highlight w:val="none"/>
              </w:rPr>
              <w:t>分00秒</w:t>
            </w:r>
            <w:r>
              <w:rPr>
                <w:rFonts w:hint="eastAsia"/>
                <w:sz w:val="24"/>
                <w:szCs w:val="24"/>
                <w:highlight w:val="none"/>
                <w:lang w:eastAsia="zh-CN"/>
              </w:rPr>
              <w:t>（</w:t>
            </w:r>
            <w:r>
              <w:rPr>
                <w:rFonts w:hint="eastAsia" w:ascii="仿宋" w:hAnsi="仿宋" w:eastAsia="仿宋" w:cs="仿宋"/>
                <w:color w:val="auto"/>
                <w:highlight w:val="none"/>
              </w:rPr>
              <w:t>北京时间）前递交（上传）投标文件。</w:t>
            </w:r>
          </w:p>
        </w:tc>
      </w:tr>
    </w:tbl>
    <w:p w14:paraId="604D99BA">
      <w:pPr>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一、项目基本情况</w:t>
      </w:r>
    </w:p>
    <w:p w14:paraId="1ABA8A89">
      <w:pPr>
        <w:spacing w:line="440"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NBYTTL2024-00</w:t>
      </w:r>
      <w:r>
        <w:rPr>
          <w:rFonts w:hint="eastAsia" w:cs="仿宋"/>
          <w:color w:val="auto"/>
          <w:highlight w:val="none"/>
          <w:lang w:val="en-US" w:eastAsia="zh-CN"/>
        </w:rPr>
        <w:t>6</w:t>
      </w:r>
    </w:p>
    <w:p w14:paraId="6FC9F7B0">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cs="仿宋"/>
          <w:color w:val="auto"/>
          <w:highlight w:val="none"/>
          <w:lang w:eastAsia="zh-CN"/>
        </w:rPr>
        <w:t>桐庐畅桐新能源科技有限公司</w:t>
      </w:r>
      <w:r>
        <w:rPr>
          <w:rFonts w:hint="eastAsia" w:cs="仿宋"/>
          <w:color w:val="auto"/>
          <w:highlight w:val="none"/>
          <w:lang w:val="en-US" w:eastAsia="zh-CN"/>
        </w:rPr>
        <w:t>二</w:t>
      </w:r>
      <w:r>
        <w:rPr>
          <w:rFonts w:hint="eastAsia" w:cs="仿宋"/>
          <w:color w:val="auto"/>
          <w:highlight w:val="none"/>
          <w:lang w:eastAsia="zh-CN"/>
        </w:rPr>
        <w:t>期充电桩建设项目</w:t>
      </w:r>
    </w:p>
    <w:p w14:paraId="4C59714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采购方式：公开招标</w:t>
      </w:r>
    </w:p>
    <w:p w14:paraId="2F716640">
      <w:pPr>
        <w:spacing w:line="44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val="en-US" w:eastAsia="zh-CN"/>
        </w:rPr>
        <w:t>19000000</w:t>
      </w:r>
    </w:p>
    <w:p w14:paraId="3A783599">
      <w:pPr>
        <w:spacing w:line="440" w:lineRule="exact"/>
        <w:ind w:firstLine="480" w:firstLineChars="200"/>
        <w:rPr>
          <w:rFonts w:hint="default" w:cs="仿宋"/>
          <w:color w:val="auto"/>
          <w:highlight w:val="none"/>
          <w:lang w:val="en-US" w:eastAsia="zh-CN"/>
        </w:rPr>
      </w:pPr>
      <w:r>
        <w:rPr>
          <w:rFonts w:hint="eastAsia" w:ascii="仿宋" w:hAnsi="仿宋" w:eastAsia="仿宋" w:cs="仿宋"/>
          <w:color w:val="auto"/>
          <w:highlight w:val="none"/>
        </w:rPr>
        <w:t>最高限价（元）：</w:t>
      </w:r>
      <w:r>
        <w:rPr>
          <w:rFonts w:hint="eastAsia" w:cs="仿宋"/>
          <w:color w:val="auto"/>
          <w:highlight w:val="none"/>
          <w:lang w:val="en-US" w:eastAsia="zh-CN"/>
        </w:rPr>
        <w:t>19000000</w:t>
      </w:r>
    </w:p>
    <w:p w14:paraId="03B8B795">
      <w:pPr>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采购需求：（详见采购清单）</w:t>
      </w:r>
    </w:p>
    <w:tbl>
      <w:tblPr>
        <w:tblStyle w:val="89"/>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546"/>
        <w:gridCol w:w="1030"/>
        <w:gridCol w:w="840"/>
        <w:gridCol w:w="2668"/>
      </w:tblGrid>
      <w:tr w14:paraId="40A9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7B026DE">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序号</w:t>
            </w:r>
          </w:p>
        </w:tc>
        <w:tc>
          <w:tcPr>
            <w:tcW w:w="3546" w:type="dxa"/>
            <w:tcBorders>
              <w:top w:val="single" w:color="auto" w:sz="4" w:space="0"/>
              <w:left w:val="single" w:color="auto" w:sz="4" w:space="0"/>
              <w:bottom w:val="single" w:color="auto" w:sz="4" w:space="0"/>
              <w:right w:val="single" w:color="auto" w:sz="4" w:space="0"/>
            </w:tcBorders>
            <w:noWrap w:val="0"/>
            <w:vAlign w:val="center"/>
          </w:tcPr>
          <w:p w14:paraId="3AC9F5BE">
            <w:pPr>
              <w:snapToGrid/>
              <w:spacing w:line="440" w:lineRule="exact"/>
              <w:ind w:firstLine="480" w:firstLineChars="200"/>
              <w:jc w:val="center"/>
              <w:rPr>
                <w:rFonts w:hint="eastAsia" w:ascii="仿宋" w:hAnsi="仿宋" w:eastAsia="仿宋" w:cs="仿宋"/>
                <w:kern w:val="3"/>
                <w:sz w:val="24"/>
                <w:szCs w:val="24"/>
              </w:rPr>
            </w:pPr>
            <w:r>
              <w:rPr>
                <w:rFonts w:hint="eastAsia" w:ascii="仿宋" w:hAnsi="仿宋" w:eastAsia="仿宋" w:cs="仿宋"/>
                <w:kern w:val="3"/>
                <w:sz w:val="24"/>
                <w:szCs w:val="24"/>
              </w:rPr>
              <w:t>内容</w:t>
            </w:r>
          </w:p>
        </w:tc>
        <w:tc>
          <w:tcPr>
            <w:tcW w:w="1030" w:type="dxa"/>
            <w:tcBorders>
              <w:top w:val="single" w:color="auto" w:sz="4" w:space="0"/>
              <w:left w:val="single" w:color="auto" w:sz="4" w:space="0"/>
              <w:right w:val="single" w:color="auto" w:sz="4" w:space="0"/>
            </w:tcBorders>
            <w:noWrap w:val="0"/>
            <w:vAlign w:val="center"/>
          </w:tcPr>
          <w:p w14:paraId="107A705F">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单位</w:t>
            </w:r>
          </w:p>
        </w:tc>
        <w:tc>
          <w:tcPr>
            <w:tcW w:w="840" w:type="dxa"/>
            <w:tcBorders>
              <w:top w:val="single" w:color="auto" w:sz="4" w:space="0"/>
              <w:left w:val="single" w:color="auto" w:sz="4" w:space="0"/>
              <w:right w:val="single" w:color="auto" w:sz="4" w:space="0"/>
            </w:tcBorders>
            <w:noWrap w:val="0"/>
            <w:vAlign w:val="center"/>
          </w:tcPr>
          <w:p w14:paraId="24EE2DD6">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数量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B4AA92B">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简要规格、用途描述</w:t>
            </w:r>
          </w:p>
        </w:tc>
      </w:tr>
      <w:tr w14:paraId="6508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1603065D">
            <w:pPr>
              <w:snapToGrid/>
              <w:spacing w:line="440" w:lineRule="exact"/>
              <w:jc w:val="center"/>
              <w:rPr>
                <w:rFonts w:hint="eastAsia" w:ascii="仿宋" w:hAnsi="仿宋" w:eastAsia="仿宋" w:cs="仿宋"/>
                <w:kern w:val="3"/>
                <w:sz w:val="24"/>
                <w:szCs w:val="24"/>
              </w:rPr>
            </w:pPr>
            <w:bookmarkStart w:id="1" w:name="B11_序号"/>
            <w:r>
              <w:rPr>
                <w:rFonts w:hint="eastAsia" w:ascii="仿宋" w:hAnsi="仿宋" w:eastAsia="仿宋" w:cs="仿宋"/>
                <w:kern w:val="3"/>
                <w:sz w:val="24"/>
                <w:szCs w:val="24"/>
              </w:rPr>
              <w:t>1</w:t>
            </w:r>
            <w:bookmarkEnd w:id="1"/>
          </w:p>
        </w:tc>
        <w:tc>
          <w:tcPr>
            <w:tcW w:w="3546" w:type="dxa"/>
            <w:tcBorders>
              <w:top w:val="single" w:color="auto" w:sz="4" w:space="0"/>
              <w:left w:val="single" w:color="auto" w:sz="4" w:space="0"/>
              <w:bottom w:val="single" w:color="auto" w:sz="4" w:space="0"/>
              <w:right w:val="single" w:color="auto" w:sz="4" w:space="0"/>
            </w:tcBorders>
            <w:noWrap w:val="0"/>
            <w:vAlign w:val="center"/>
          </w:tcPr>
          <w:p w14:paraId="5C8289E4">
            <w:pPr>
              <w:snapToGrid/>
              <w:spacing w:line="440" w:lineRule="exact"/>
              <w:jc w:val="both"/>
              <w:rPr>
                <w:rFonts w:hint="eastAsia" w:ascii="仿宋" w:hAnsi="仿宋" w:eastAsia="仿宋" w:cs="仿宋"/>
                <w:kern w:val="3"/>
                <w:sz w:val="24"/>
                <w:szCs w:val="24"/>
              </w:rPr>
            </w:pPr>
            <w:r>
              <w:rPr>
                <w:rFonts w:hint="eastAsia" w:cs="仿宋"/>
                <w:color w:val="auto"/>
                <w:highlight w:val="none"/>
                <w:lang w:eastAsia="zh-CN"/>
              </w:rPr>
              <w:t>桐庐畅桐新能源科技有限公司二期充电桩建设项目</w:t>
            </w:r>
          </w:p>
        </w:tc>
        <w:tc>
          <w:tcPr>
            <w:tcW w:w="1030" w:type="dxa"/>
            <w:tcBorders>
              <w:left w:val="single" w:color="auto" w:sz="4" w:space="0"/>
              <w:right w:val="single" w:color="auto" w:sz="4" w:space="0"/>
            </w:tcBorders>
            <w:noWrap w:val="0"/>
            <w:vAlign w:val="center"/>
          </w:tcPr>
          <w:p w14:paraId="58A920FC">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项</w:t>
            </w:r>
          </w:p>
        </w:tc>
        <w:tc>
          <w:tcPr>
            <w:tcW w:w="840" w:type="dxa"/>
            <w:tcBorders>
              <w:left w:val="single" w:color="auto" w:sz="4" w:space="0"/>
              <w:right w:val="single" w:color="auto" w:sz="4" w:space="0"/>
            </w:tcBorders>
            <w:noWrap w:val="0"/>
            <w:vAlign w:val="center"/>
          </w:tcPr>
          <w:p w14:paraId="2B8F07A9">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1</w:t>
            </w:r>
          </w:p>
        </w:tc>
        <w:tc>
          <w:tcPr>
            <w:tcW w:w="2668" w:type="dxa"/>
            <w:tcBorders>
              <w:top w:val="single" w:color="auto" w:sz="4" w:space="0"/>
              <w:left w:val="single" w:color="auto" w:sz="4" w:space="0"/>
              <w:right w:val="single" w:color="auto" w:sz="4" w:space="0"/>
            </w:tcBorders>
            <w:noWrap w:val="0"/>
            <w:vAlign w:val="center"/>
          </w:tcPr>
          <w:p w14:paraId="523113D7">
            <w:pPr>
              <w:snapToGrid/>
              <w:spacing w:line="440" w:lineRule="exact"/>
              <w:ind w:firstLine="480" w:firstLineChars="200"/>
              <w:jc w:val="center"/>
              <w:rPr>
                <w:rFonts w:hint="eastAsia" w:ascii="仿宋" w:hAnsi="仿宋" w:eastAsia="仿宋" w:cs="仿宋"/>
                <w:kern w:val="3"/>
                <w:sz w:val="24"/>
                <w:szCs w:val="24"/>
              </w:rPr>
            </w:pPr>
            <w:r>
              <w:rPr>
                <w:rFonts w:hint="eastAsia" w:ascii="仿宋" w:hAnsi="仿宋" w:eastAsia="仿宋" w:cs="仿宋"/>
                <w:kern w:val="3"/>
                <w:sz w:val="24"/>
                <w:szCs w:val="24"/>
              </w:rPr>
              <w:t>（详见采购需求）</w:t>
            </w:r>
          </w:p>
        </w:tc>
      </w:tr>
    </w:tbl>
    <w:p w14:paraId="4CDB08DC">
      <w:pPr>
        <w:pStyle w:val="2"/>
        <w:pageBreakBefore w:val="0"/>
        <w:numPr>
          <w:ilvl w:val="0"/>
          <w:numId w:val="0"/>
        </w:numPr>
        <w:kinsoku/>
        <w:wordWrap/>
        <w:overflowPunct/>
        <w:topLinePunct w:val="0"/>
        <w:autoSpaceDE/>
        <w:autoSpaceDN/>
        <w:bidi w:val="0"/>
        <w:adjustRightInd/>
        <w:snapToGrid/>
        <w:spacing w:before="0" w:after="0" w:line="420" w:lineRule="exact"/>
        <w:ind w:firstLine="480" w:firstLineChars="200"/>
        <w:jc w:val="both"/>
        <w:textAlignment w:val="auto"/>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合同履约期限：合同签订后</w:t>
      </w:r>
      <w:r>
        <w:rPr>
          <w:rFonts w:hint="eastAsia" w:cs="仿宋"/>
          <w:b w:val="0"/>
          <w:bCs w:val="0"/>
          <w:color w:val="auto"/>
          <w:kern w:val="3"/>
          <w:sz w:val="24"/>
          <w:szCs w:val="24"/>
          <w:highlight w:val="none"/>
          <w:lang w:val="en-US" w:eastAsia="zh-CN" w:bidi="ar-SA"/>
        </w:rPr>
        <w:t>至2025年6月30日开出开工报告的场站项目按本项目合同执行</w:t>
      </w:r>
      <w:r>
        <w:rPr>
          <w:rFonts w:hint="eastAsia" w:ascii="仿宋" w:hAnsi="仿宋" w:eastAsia="仿宋" w:cs="仿宋"/>
          <w:b w:val="0"/>
          <w:bCs w:val="0"/>
          <w:color w:val="auto"/>
          <w:kern w:val="3"/>
          <w:sz w:val="24"/>
          <w:szCs w:val="24"/>
          <w:highlight w:val="none"/>
          <w:lang w:val="en-US" w:eastAsia="zh-CN" w:bidi="ar-SA"/>
        </w:rPr>
        <w:t>。</w:t>
      </w:r>
      <w:r>
        <w:rPr>
          <w:rFonts w:hint="eastAsia" w:cs="仿宋"/>
          <w:b w:val="0"/>
          <w:bCs w:val="0"/>
          <w:color w:val="auto"/>
          <w:kern w:val="3"/>
          <w:sz w:val="24"/>
          <w:szCs w:val="24"/>
          <w:highlight w:val="none"/>
          <w:lang w:val="en-US" w:eastAsia="zh-CN" w:bidi="ar-SA"/>
        </w:rPr>
        <w:t>到期后如有未执行完合同金额，本合同自动终止。</w:t>
      </w:r>
    </w:p>
    <w:p w14:paraId="22B4C960">
      <w:pPr>
        <w:numPr>
          <w:ilvl w:val="0"/>
          <w:numId w:val="2"/>
        </w:num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申请人的资格要求：</w:t>
      </w:r>
    </w:p>
    <w:p w14:paraId="3ECF290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eastAsia="zh-CN"/>
        </w:rPr>
        <w:t>、</w:t>
      </w:r>
      <w:r>
        <w:rPr>
          <w:rFonts w:hint="eastAsia" w:ascii="仿宋" w:hAnsi="仿宋" w:eastAsia="仿宋" w:cs="仿宋"/>
          <w:color w:val="auto"/>
          <w:highlight w:val="none"/>
        </w:rPr>
        <w:t>未被“信用中国”（www.creditchina.gov.cn)、中国政府采购网（www.ccgp.gov.cn）列入失信被执行人、重大税收违法失信主体、政府采购严重违法失信行为记录名单。</w:t>
      </w:r>
    </w:p>
    <w:p w14:paraId="61ED58D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2、符合相关文件规定，在中华人民共和国境内合法注册，且符合、承认并承诺履行本招标文件各项规定，具有本项目相关服务能力；</w:t>
      </w:r>
    </w:p>
    <w:p w14:paraId="560D442C">
      <w:pPr>
        <w:spacing w:line="440" w:lineRule="exact"/>
        <w:ind w:firstLine="480" w:firstLineChars="200"/>
        <w:rPr>
          <w:rFonts w:hint="default" w:ascii="仿宋" w:hAnsi="仿宋" w:eastAsia="仿宋" w:cs="仿宋"/>
          <w:strike w:val="0"/>
          <w:dstrike w:val="0"/>
          <w:color w:val="auto"/>
          <w:highlight w:val="none"/>
          <w:lang w:val="en-US" w:eastAsia="zh-CN"/>
        </w:rPr>
      </w:pPr>
      <w:r>
        <w:rPr>
          <w:rFonts w:hint="eastAsia" w:ascii="仿宋" w:hAnsi="仿宋" w:eastAsia="仿宋" w:cs="仿宋"/>
          <w:strike w:val="0"/>
          <w:dstrike w:val="0"/>
          <w:color w:val="auto"/>
          <w:highlight w:val="none"/>
        </w:rPr>
        <w:t>3、本项目接受联合体投标</w:t>
      </w:r>
      <w:r>
        <w:rPr>
          <w:rFonts w:hint="eastAsia" w:cs="仿宋"/>
          <w:strike w:val="0"/>
          <w:dstrike w:val="0"/>
          <w:color w:val="auto"/>
          <w:highlight w:val="none"/>
          <w:lang w:eastAsia="zh-CN"/>
        </w:rPr>
        <w:t>，</w:t>
      </w:r>
      <w:r>
        <w:rPr>
          <w:rFonts w:hint="eastAsia" w:cs="仿宋"/>
          <w:strike w:val="0"/>
          <w:dstrike w:val="0"/>
          <w:color w:val="auto"/>
          <w:highlight w:val="none"/>
          <w:lang w:val="en-US" w:eastAsia="zh-CN"/>
        </w:rPr>
        <w:t>联合体牵头单位需为充电桩生产或者销售企业。</w:t>
      </w:r>
    </w:p>
    <w:p w14:paraId="5098576E">
      <w:pPr>
        <w:spacing w:line="440"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highlight w:val="none"/>
        </w:rPr>
        <w:t>4</w:t>
      </w:r>
      <w:r>
        <w:rPr>
          <w:rFonts w:hint="eastAsia" w:cs="仿宋"/>
          <w:color w:val="auto"/>
          <w:highlight w:val="none"/>
          <w:lang w:eastAsia="zh-CN"/>
        </w:rPr>
        <w:t>、</w:t>
      </w:r>
      <w:r>
        <w:rPr>
          <w:rFonts w:hint="eastAsia" w:ascii="仿宋" w:hAnsi="仿宋" w:eastAsia="仿宋" w:cs="仿宋"/>
          <w:color w:val="auto"/>
          <w:highlight w:val="none"/>
        </w:rPr>
        <w:t>本项目的特定资格要求：</w:t>
      </w:r>
      <w:r>
        <w:rPr>
          <w:rFonts w:hint="eastAsia" w:ascii="宋体" w:hAnsi="宋体" w:cs="宋体"/>
          <w:b w:val="0"/>
          <w:color w:val="auto"/>
          <w:sz w:val="24"/>
          <w:szCs w:val="24"/>
          <w:highlight w:val="none"/>
          <w:lang w:val="en-US" w:eastAsia="zh-CN"/>
        </w:rPr>
        <w:t>电力工程施工总承包或建筑机电安装工程总承包（专业承包）叁级及以上，同时具有市政公用工程施工总承包叁级及以上和承装（修、试）电力设施许可证五级及以上。</w:t>
      </w:r>
    </w:p>
    <w:p w14:paraId="16F73313">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单位负责人为同一人或者存在直接控股、管理关系的不同供应商，不得参加同一合同项下的采购活动；为本采购项目提供整体设计、规范编制或者项目管理、监理、检测等服务的供应商，不得再参加该采购项目的其他采购活动。</w:t>
      </w:r>
    </w:p>
    <w:p w14:paraId="5BF0CCFE">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三、获取招标文件 </w:t>
      </w:r>
    </w:p>
    <w:p w14:paraId="1DB2A40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1.时间：</w:t>
      </w:r>
      <w:r>
        <w:rPr>
          <w:rFonts w:hint="eastAsia" w:ascii="仿宋" w:hAnsi="仿宋" w:eastAsia="仿宋" w:cs="仿宋"/>
          <w:color w:val="auto"/>
          <w:highlight w:val="none"/>
          <w:u w:val="none"/>
        </w:rPr>
        <w:t>/至</w:t>
      </w:r>
      <w:r>
        <w:rPr>
          <w:rFonts w:hint="eastAsia" w:cs="仿宋"/>
          <w:color w:val="FF0000"/>
          <w:highlight w:val="none"/>
          <w:u w:val="none"/>
          <w:lang w:val="en-US" w:eastAsia="zh-CN"/>
        </w:rPr>
        <w:t>2024</w:t>
      </w:r>
      <w:r>
        <w:rPr>
          <w:rFonts w:hint="eastAsia" w:ascii="仿宋" w:hAnsi="仿宋" w:eastAsia="仿宋" w:cs="仿宋"/>
          <w:color w:val="FF0000"/>
          <w:highlight w:val="none"/>
          <w:u w:val="none"/>
        </w:rPr>
        <w:t>年</w:t>
      </w:r>
      <w:r>
        <w:rPr>
          <w:rFonts w:hint="eastAsia" w:cs="仿宋"/>
          <w:color w:val="FF0000"/>
          <w:highlight w:val="none"/>
          <w:u w:val="none"/>
          <w:lang w:val="en-US" w:eastAsia="zh-CN"/>
        </w:rPr>
        <w:t xml:space="preserve"> 12</w:t>
      </w:r>
      <w:r>
        <w:rPr>
          <w:rFonts w:hint="eastAsia" w:ascii="仿宋" w:hAnsi="仿宋" w:eastAsia="仿宋" w:cs="仿宋"/>
          <w:color w:val="FF0000"/>
          <w:highlight w:val="none"/>
          <w:u w:val="none"/>
        </w:rPr>
        <w:t>月</w:t>
      </w:r>
      <w:r>
        <w:rPr>
          <w:rFonts w:hint="eastAsia" w:cs="仿宋"/>
          <w:color w:val="FF0000"/>
          <w:highlight w:val="none"/>
          <w:u w:val="none"/>
          <w:lang w:val="en-US" w:eastAsia="zh-CN"/>
        </w:rPr>
        <w:t>9</w:t>
      </w:r>
      <w:r>
        <w:rPr>
          <w:rFonts w:hint="eastAsia" w:ascii="仿宋" w:hAnsi="仿宋" w:eastAsia="仿宋" w:cs="仿宋"/>
          <w:color w:val="FF0000"/>
          <w:highlight w:val="none"/>
          <w:u w:val="none"/>
        </w:rPr>
        <w:t>日 </w:t>
      </w:r>
      <w:r>
        <w:rPr>
          <w:rFonts w:hint="eastAsia" w:ascii="仿宋" w:hAnsi="仿宋" w:eastAsia="仿宋" w:cs="仿宋"/>
          <w:color w:val="auto"/>
          <w:highlight w:val="none"/>
          <w:u w:val="none"/>
        </w:rPr>
        <w:t>，</w:t>
      </w:r>
      <w:r>
        <w:rPr>
          <w:rFonts w:hint="eastAsia" w:ascii="仿宋" w:hAnsi="仿宋" w:eastAsia="仿宋" w:cs="仿宋"/>
          <w:color w:val="auto"/>
          <w:highlight w:val="none"/>
        </w:rPr>
        <w:t>每天上午00:00至12:00 ，下午12:00至23:59（北京时间，线上获取法定节假日均可，线下获取文件法定节假日除外）</w:t>
      </w:r>
    </w:p>
    <w:p w14:paraId="73FB3084">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2.地点（网址）：乐采云平台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www.lecaiyun.com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61E9369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3.方式：供应商登录政采云平台https://www.zcygov.cn/在线申请获取采购文件（进入“项目采购”应用，在获取采购文件菜单中选择项目，申请获取采购文件） </w:t>
      </w:r>
    </w:p>
    <w:p w14:paraId="31E0BEC4">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4.售价（元）：0 </w:t>
      </w:r>
    </w:p>
    <w:p w14:paraId="2F47EAA5">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5.供应商获取招标文件时须提交的文件资料：无；</w:t>
      </w:r>
    </w:p>
    <w:p w14:paraId="4E21B936">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四、提交投标文件截止时间、开标时间和地点</w:t>
      </w:r>
    </w:p>
    <w:p w14:paraId="339E860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1. 提交投标文件截止时间</w:t>
      </w:r>
      <w:r>
        <w:rPr>
          <w:rFonts w:hint="eastAsia" w:ascii="仿宋" w:hAnsi="仿宋" w:eastAsia="仿宋" w:cs="仿宋"/>
          <w:color w:val="auto"/>
          <w:highlight w:val="none"/>
          <w:u w:val="none"/>
        </w:rPr>
        <w:t>：</w:t>
      </w:r>
      <w:r>
        <w:rPr>
          <w:rFonts w:hint="eastAsia"/>
          <w:color w:val="FF0000"/>
          <w:sz w:val="24"/>
          <w:szCs w:val="24"/>
          <w:highlight w:val="none"/>
          <w:u w:val="none"/>
          <w:lang w:val="en-US" w:eastAsia="zh-CN"/>
        </w:rPr>
        <w:t>2</w:t>
      </w:r>
      <w:r>
        <w:rPr>
          <w:rFonts w:hint="eastAsia"/>
          <w:color w:val="FF0000"/>
          <w:sz w:val="24"/>
          <w:szCs w:val="24"/>
          <w:highlight w:val="none"/>
          <w:lang w:val="en-US" w:eastAsia="zh-CN"/>
        </w:rPr>
        <w:t>024</w:t>
      </w:r>
      <w:r>
        <w:rPr>
          <w:rFonts w:hint="eastAsia" w:ascii="仿宋" w:hAnsi="仿宋" w:eastAsia="仿宋"/>
          <w:color w:val="FF0000"/>
          <w:sz w:val="24"/>
          <w:szCs w:val="24"/>
          <w:highlight w:val="none"/>
        </w:rPr>
        <w:t>年</w:t>
      </w:r>
      <w:r>
        <w:rPr>
          <w:rFonts w:hint="eastAsia"/>
          <w:color w:val="FF0000"/>
          <w:sz w:val="24"/>
          <w:szCs w:val="24"/>
          <w:highlight w:val="none"/>
          <w:lang w:val="en-US" w:eastAsia="zh-CN"/>
        </w:rPr>
        <w:t>12</w:t>
      </w:r>
      <w:r>
        <w:rPr>
          <w:rFonts w:hint="eastAsia" w:ascii="仿宋" w:hAnsi="仿宋" w:eastAsia="仿宋"/>
          <w:color w:val="FF0000"/>
          <w:sz w:val="24"/>
          <w:szCs w:val="24"/>
          <w:highlight w:val="none"/>
        </w:rPr>
        <w:t>月</w:t>
      </w:r>
      <w:r>
        <w:rPr>
          <w:rFonts w:hint="eastAsia"/>
          <w:color w:val="FF0000"/>
          <w:sz w:val="24"/>
          <w:szCs w:val="24"/>
          <w:highlight w:val="none"/>
          <w:lang w:val="en-US" w:eastAsia="zh-CN"/>
        </w:rPr>
        <w:t>9</w:t>
      </w:r>
      <w:r>
        <w:rPr>
          <w:rFonts w:hint="eastAsia" w:ascii="仿宋" w:hAnsi="仿宋" w:eastAsia="仿宋"/>
          <w:color w:val="FF0000"/>
          <w:sz w:val="24"/>
          <w:szCs w:val="24"/>
          <w:highlight w:val="none"/>
        </w:rPr>
        <w:t>日</w:t>
      </w:r>
      <w:r>
        <w:rPr>
          <w:rFonts w:hint="eastAsia"/>
          <w:color w:val="FF0000"/>
          <w:sz w:val="24"/>
          <w:szCs w:val="24"/>
          <w:highlight w:val="none"/>
          <w:lang w:val="en-US" w:eastAsia="zh-CN"/>
        </w:rPr>
        <w:t>10</w:t>
      </w:r>
      <w:r>
        <w:rPr>
          <w:rFonts w:hint="eastAsia" w:ascii="仿宋" w:hAnsi="仿宋" w:eastAsia="仿宋"/>
          <w:color w:val="FF0000"/>
          <w:sz w:val="24"/>
          <w:szCs w:val="24"/>
          <w:highlight w:val="none"/>
        </w:rPr>
        <w:t>时</w:t>
      </w:r>
      <w:r>
        <w:rPr>
          <w:rFonts w:hint="eastAsia"/>
          <w:color w:val="FF0000"/>
          <w:sz w:val="24"/>
          <w:szCs w:val="24"/>
          <w:highlight w:val="none"/>
          <w:lang w:val="en-US" w:eastAsia="zh-CN"/>
        </w:rPr>
        <w:t>00</w:t>
      </w:r>
      <w:r>
        <w:rPr>
          <w:rFonts w:hint="eastAsia" w:ascii="仿宋" w:hAnsi="仿宋" w:eastAsia="仿宋"/>
          <w:color w:val="FF0000"/>
          <w:sz w:val="24"/>
          <w:szCs w:val="24"/>
          <w:highlight w:val="none"/>
        </w:rPr>
        <w:t>分00秒</w:t>
      </w:r>
      <w:r>
        <w:rPr>
          <w:rFonts w:hint="eastAsia"/>
          <w:sz w:val="24"/>
          <w:szCs w:val="24"/>
          <w:highlight w:val="none"/>
          <w:lang w:eastAsia="zh-CN"/>
        </w:rPr>
        <w:t>（</w:t>
      </w:r>
      <w:r>
        <w:rPr>
          <w:rFonts w:hint="eastAsia" w:ascii="仿宋" w:hAnsi="仿宋" w:eastAsia="仿宋" w:cs="仿宋"/>
          <w:color w:val="auto"/>
          <w:highlight w:val="none"/>
        </w:rPr>
        <w:t>北京时间）</w:t>
      </w:r>
    </w:p>
    <w:p w14:paraId="4599A6C4">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2.投标地点（网址）：请登录乐采云投标客户端投标，客户端下载地址https://sitecdn.zcycdn.com/zcy-client/bidding-client-new/official/lcy/LeCaiYunSetup.latest.exe ，本项目采用全流程电子化交易，无须参加现场开标会（需现场演示除外）。  </w:t>
      </w:r>
    </w:p>
    <w:p w14:paraId="23DFC29C">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3.开标时间：</w:t>
      </w:r>
      <w:r>
        <w:rPr>
          <w:rFonts w:hint="eastAsia"/>
          <w:color w:val="FF0000"/>
          <w:sz w:val="24"/>
          <w:szCs w:val="24"/>
          <w:highlight w:val="none"/>
          <w:u w:val="none"/>
          <w:lang w:val="en-US" w:eastAsia="zh-CN"/>
        </w:rPr>
        <w:t>2</w:t>
      </w:r>
      <w:r>
        <w:rPr>
          <w:rFonts w:hint="eastAsia"/>
          <w:color w:val="FF0000"/>
          <w:sz w:val="24"/>
          <w:szCs w:val="24"/>
          <w:highlight w:val="none"/>
          <w:lang w:val="en-US" w:eastAsia="zh-CN"/>
        </w:rPr>
        <w:t>024</w:t>
      </w:r>
      <w:r>
        <w:rPr>
          <w:rFonts w:hint="eastAsia" w:ascii="仿宋" w:hAnsi="仿宋" w:eastAsia="仿宋"/>
          <w:color w:val="FF0000"/>
          <w:sz w:val="24"/>
          <w:szCs w:val="24"/>
          <w:highlight w:val="none"/>
        </w:rPr>
        <w:t>年</w:t>
      </w:r>
      <w:r>
        <w:rPr>
          <w:rFonts w:hint="eastAsia"/>
          <w:color w:val="FF0000"/>
          <w:sz w:val="24"/>
          <w:szCs w:val="24"/>
          <w:highlight w:val="none"/>
          <w:lang w:val="en-US" w:eastAsia="zh-CN"/>
        </w:rPr>
        <w:t>12</w:t>
      </w:r>
      <w:r>
        <w:rPr>
          <w:rFonts w:hint="eastAsia" w:ascii="仿宋" w:hAnsi="仿宋" w:eastAsia="仿宋"/>
          <w:color w:val="FF0000"/>
          <w:sz w:val="24"/>
          <w:szCs w:val="24"/>
          <w:highlight w:val="none"/>
        </w:rPr>
        <w:t>月</w:t>
      </w:r>
      <w:r>
        <w:rPr>
          <w:rFonts w:hint="eastAsia"/>
          <w:color w:val="FF0000"/>
          <w:sz w:val="24"/>
          <w:szCs w:val="24"/>
          <w:highlight w:val="none"/>
          <w:lang w:val="en-US" w:eastAsia="zh-CN"/>
        </w:rPr>
        <w:t>9</w:t>
      </w:r>
      <w:r>
        <w:rPr>
          <w:rFonts w:hint="eastAsia" w:ascii="仿宋" w:hAnsi="仿宋" w:eastAsia="仿宋"/>
          <w:color w:val="FF0000"/>
          <w:sz w:val="24"/>
          <w:szCs w:val="24"/>
          <w:highlight w:val="none"/>
        </w:rPr>
        <w:t>日</w:t>
      </w:r>
      <w:r>
        <w:rPr>
          <w:rFonts w:hint="eastAsia"/>
          <w:color w:val="FF0000"/>
          <w:sz w:val="24"/>
          <w:szCs w:val="24"/>
          <w:highlight w:val="none"/>
          <w:lang w:val="en-US" w:eastAsia="zh-CN"/>
        </w:rPr>
        <w:t>10</w:t>
      </w:r>
      <w:r>
        <w:rPr>
          <w:rFonts w:hint="eastAsia" w:ascii="仿宋" w:hAnsi="仿宋" w:eastAsia="仿宋"/>
          <w:color w:val="FF0000"/>
          <w:sz w:val="24"/>
          <w:szCs w:val="24"/>
          <w:highlight w:val="none"/>
        </w:rPr>
        <w:t>时</w:t>
      </w:r>
      <w:r>
        <w:rPr>
          <w:rFonts w:hint="eastAsia"/>
          <w:color w:val="FF0000"/>
          <w:sz w:val="24"/>
          <w:szCs w:val="24"/>
          <w:highlight w:val="none"/>
          <w:lang w:val="en-US" w:eastAsia="zh-CN"/>
        </w:rPr>
        <w:t>00</w:t>
      </w:r>
      <w:r>
        <w:rPr>
          <w:rFonts w:hint="eastAsia" w:ascii="仿宋" w:hAnsi="仿宋" w:eastAsia="仿宋"/>
          <w:color w:val="FF0000"/>
          <w:sz w:val="24"/>
          <w:szCs w:val="24"/>
          <w:highlight w:val="none"/>
        </w:rPr>
        <w:t>分00秒</w:t>
      </w:r>
      <w:r>
        <w:rPr>
          <w:rFonts w:hint="eastAsia"/>
          <w:sz w:val="24"/>
          <w:szCs w:val="24"/>
          <w:highlight w:val="none"/>
          <w:lang w:eastAsia="zh-CN"/>
        </w:rPr>
        <w:t>（</w:t>
      </w:r>
      <w:r>
        <w:rPr>
          <w:rFonts w:hint="eastAsia" w:ascii="仿宋" w:hAnsi="仿宋" w:eastAsia="仿宋" w:cs="仿宋"/>
          <w:color w:val="auto"/>
          <w:highlight w:val="none"/>
        </w:rPr>
        <w:t>北京时间）</w:t>
      </w:r>
    </w:p>
    <w:p w14:paraId="3C589B2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4.开标地点（网址）：杭州市公共资源交易中心桐庐分中心（桐庐县行政服务中心</w:t>
      </w:r>
      <w:r>
        <w:rPr>
          <w:rFonts w:hint="eastAsia" w:cs="仿宋"/>
          <w:color w:val="auto"/>
          <w:highlight w:val="none"/>
          <w:lang w:val="en-US" w:eastAsia="zh-CN"/>
        </w:rPr>
        <w:t>6</w:t>
      </w:r>
      <w:r>
        <w:rPr>
          <w:rFonts w:hint="eastAsia" w:ascii="仿宋" w:hAnsi="仿宋" w:eastAsia="仿宋" w:cs="仿宋"/>
          <w:color w:val="auto"/>
          <w:highlight w:val="none"/>
        </w:rPr>
        <w:t xml:space="preserve">楼） </w:t>
      </w:r>
      <w:r>
        <w:rPr>
          <w:rFonts w:hint="eastAsia" w:cs="仿宋"/>
          <w:color w:val="auto"/>
          <w:highlight w:val="none"/>
          <w:lang w:val="en-US" w:eastAsia="zh-CN"/>
        </w:rPr>
        <w:t>4</w:t>
      </w:r>
      <w:r>
        <w:rPr>
          <w:rFonts w:hint="eastAsia" w:ascii="仿宋" w:hAnsi="仿宋" w:eastAsia="仿宋" w:cs="仿宋"/>
          <w:color w:val="auto"/>
          <w:highlight w:val="none"/>
        </w:rPr>
        <w:t>号开标室，乐采云平台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www.lecaiyun.com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5747847B">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五、公告期限 </w:t>
      </w:r>
    </w:p>
    <w:p w14:paraId="782D5E8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自本公告发布之日起5个工作日。</w:t>
      </w:r>
    </w:p>
    <w:p w14:paraId="41D754C4">
      <w:pPr>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六、其他补充事宜</w:t>
      </w:r>
    </w:p>
    <w:p w14:paraId="0D36A605">
      <w:pPr>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3D0701E2">
      <w:pPr>
        <w:spacing w:line="440" w:lineRule="exact"/>
        <w:rPr>
          <w:rFonts w:hint="eastAsia" w:ascii="仿宋" w:hAnsi="仿宋" w:eastAsia="仿宋" w:cs="仿宋"/>
          <w:b/>
          <w:bCs/>
          <w:color w:val="auto"/>
          <w:highlight w:val="none"/>
        </w:rPr>
      </w:pPr>
      <w:r>
        <w:rPr>
          <w:rFonts w:hint="eastAsia" w:cs="仿宋"/>
          <w:b/>
          <w:bCs/>
          <w:color w:val="auto"/>
          <w:highlight w:val="none"/>
          <w:lang w:val="en-US" w:eastAsia="zh-CN"/>
        </w:rPr>
        <w:t>七</w:t>
      </w:r>
      <w:r>
        <w:rPr>
          <w:rFonts w:hint="eastAsia" w:ascii="仿宋" w:hAnsi="仿宋" w:eastAsia="仿宋" w:cs="仿宋"/>
          <w:b/>
          <w:bCs/>
          <w:color w:val="auto"/>
          <w:highlight w:val="none"/>
        </w:rPr>
        <w:t>、对本次采购提出询问、质疑、投诉，请按以下方式联系</w:t>
      </w:r>
    </w:p>
    <w:p w14:paraId="7DA816CB">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1.采购人信息</w:t>
      </w:r>
    </w:p>
    <w:p w14:paraId="630D20D8">
      <w:pPr>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     名    称：</w:t>
      </w:r>
      <w:r>
        <w:rPr>
          <w:rFonts w:hint="eastAsia" w:cs="仿宋"/>
          <w:color w:val="auto"/>
          <w:highlight w:val="none"/>
          <w:lang w:eastAsia="zh-CN"/>
        </w:rPr>
        <w:t>桐庐畅桐新能源科技有限公司</w:t>
      </w:r>
    </w:p>
    <w:p w14:paraId="066CC99F">
      <w:pPr>
        <w:spacing w:line="44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地    址：</w:t>
      </w:r>
      <w:r>
        <w:rPr>
          <w:rFonts w:hint="eastAsia" w:cs="仿宋"/>
          <w:color w:val="auto"/>
          <w:highlight w:val="none"/>
          <w:lang w:val="en-US" w:eastAsia="zh-CN"/>
        </w:rPr>
        <w:t>桐庐综合客运枢纽13楼</w:t>
      </w:r>
    </w:p>
    <w:p w14:paraId="17B93019">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cs="仿宋"/>
          <w:color w:val="auto"/>
          <w:highlight w:val="none"/>
          <w:lang w:val="en-US" w:eastAsia="zh-CN"/>
        </w:rPr>
        <w:t>韩磊</w:t>
      </w:r>
      <w:r>
        <w:rPr>
          <w:rFonts w:hint="eastAsia" w:ascii="仿宋" w:hAnsi="仿宋" w:eastAsia="仿宋" w:cs="仿宋"/>
          <w:color w:val="auto"/>
          <w:highlight w:val="none"/>
        </w:rPr>
        <w:t>  </w:t>
      </w:r>
    </w:p>
    <w:p w14:paraId="4F7356B4">
      <w:pPr>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项目联系方式（询问）：</w:t>
      </w:r>
      <w:r>
        <w:rPr>
          <w:rFonts w:hint="eastAsia" w:cs="仿宋"/>
          <w:color w:val="auto"/>
          <w:highlight w:val="none"/>
          <w:lang w:val="en-US" w:eastAsia="zh-CN"/>
        </w:rPr>
        <w:t>18358122727</w:t>
      </w:r>
    </w:p>
    <w:p w14:paraId="1A8F2460">
      <w:pPr>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质疑联系人：</w:t>
      </w:r>
      <w:r>
        <w:rPr>
          <w:rFonts w:hint="eastAsia" w:cs="仿宋"/>
          <w:color w:val="auto"/>
          <w:highlight w:val="none"/>
          <w:lang w:val="en-US" w:eastAsia="zh-CN"/>
        </w:rPr>
        <w:t>吴鹏飞</w:t>
      </w:r>
      <w:r>
        <w:rPr>
          <w:rFonts w:hint="eastAsia" w:ascii="仿宋" w:hAnsi="仿宋" w:eastAsia="仿宋" w:cs="仿宋"/>
          <w:color w:val="auto"/>
          <w:highlight w:val="none"/>
        </w:rPr>
        <w:t xml:space="preserve">  </w:t>
      </w:r>
    </w:p>
    <w:p w14:paraId="1525A731">
      <w:pPr>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质疑联系方式：15068811918</w:t>
      </w:r>
    </w:p>
    <w:p w14:paraId="321C0F0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w:t>
      </w:r>
    </w:p>
    <w:p w14:paraId="5926ACB5">
      <w:pPr>
        <w:spacing w:line="44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2.采购代理机构信息            </w:t>
      </w:r>
    </w:p>
    <w:p w14:paraId="200C25D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名    称：</w:t>
      </w:r>
      <w:r>
        <w:rPr>
          <w:rFonts w:hint="eastAsia" w:cs="仿宋"/>
          <w:color w:val="auto"/>
          <w:highlight w:val="none"/>
          <w:lang w:eastAsia="zh-CN"/>
        </w:rPr>
        <w:t>宁波禹通工程项目管理有限公司 </w:t>
      </w:r>
      <w:r>
        <w:rPr>
          <w:rFonts w:hint="eastAsia" w:ascii="仿宋" w:hAnsi="仿宋" w:eastAsia="仿宋" w:cs="仿宋"/>
          <w:color w:val="auto"/>
          <w:highlight w:val="none"/>
        </w:rPr>
        <w:t>            </w:t>
      </w:r>
    </w:p>
    <w:p w14:paraId="2FD57AB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地    址：</w:t>
      </w:r>
      <w:r>
        <w:rPr>
          <w:rFonts w:hint="eastAsia" w:ascii="宋体" w:hAnsi="宋体" w:cs="宋体"/>
        </w:rPr>
        <w:t>桐庐县迎春南路61号萧商大厦23楼</w:t>
      </w:r>
      <w:r>
        <w:rPr>
          <w:rFonts w:hint="eastAsia"/>
        </w:rPr>
        <w:t> </w:t>
      </w:r>
      <w:r>
        <w:rPr>
          <w:rFonts w:hint="eastAsia" w:ascii="仿宋" w:hAnsi="仿宋" w:eastAsia="仿宋" w:cs="仿宋"/>
          <w:color w:val="auto"/>
          <w:highlight w:val="none"/>
        </w:rPr>
        <w:t>                </w:t>
      </w:r>
    </w:p>
    <w:p w14:paraId="3C20CFEF">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项目联系人（询问）：</w:t>
      </w:r>
      <w:r>
        <w:rPr>
          <w:rFonts w:hint="eastAsia"/>
        </w:rPr>
        <w:t>张建</w:t>
      </w:r>
      <w:r>
        <w:rPr>
          <w:rFonts w:hint="eastAsia" w:ascii="仿宋" w:hAnsi="仿宋" w:eastAsia="仿宋" w:cs="仿宋"/>
          <w:color w:val="auto"/>
          <w:highlight w:val="none"/>
        </w:rPr>
        <w:t>              </w:t>
      </w:r>
    </w:p>
    <w:p w14:paraId="6E1D67E4">
      <w:pPr>
        <w:spacing w:line="440" w:lineRule="exact"/>
        <w:ind w:firstLine="373"/>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项目联系方式（询问）：</w:t>
      </w:r>
      <w:r>
        <w:rPr>
          <w:rFonts w:hint="eastAsia" w:ascii="仿宋" w:hAnsi="仿宋" w:eastAsia="仿宋" w:cs="仿宋"/>
          <w:color w:val="auto"/>
          <w:highlight w:val="none"/>
          <w:lang w:val="en-US" w:eastAsia="zh-CN"/>
        </w:rPr>
        <w:t>1</w:t>
      </w:r>
      <w:r>
        <w:rPr>
          <w:rFonts w:hint="eastAsia" w:cs="仿宋"/>
          <w:color w:val="auto"/>
          <w:highlight w:val="none"/>
          <w:lang w:val="en-US" w:eastAsia="zh-CN"/>
        </w:rPr>
        <w:t>3910836306</w:t>
      </w:r>
    </w:p>
    <w:p w14:paraId="019D84CF">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质疑联系人：</w:t>
      </w:r>
      <w:r>
        <w:rPr>
          <w:rFonts w:hint="eastAsia" w:cs="仿宋"/>
          <w:color w:val="auto"/>
          <w:highlight w:val="none"/>
          <w:lang w:val="en-US" w:eastAsia="zh-CN"/>
        </w:rPr>
        <w:t>周钦</w:t>
      </w:r>
      <w:r>
        <w:rPr>
          <w:rFonts w:hint="eastAsia" w:ascii="仿宋" w:hAnsi="仿宋" w:eastAsia="仿宋" w:cs="仿宋"/>
          <w:color w:val="auto"/>
          <w:highlight w:val="none"/>
        </w:rPr>
        <w:t xml:space="preserve">          </w:t>
      </w:r>
    </w:p>
    <w:p w14:paraId="6875A4F0">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质疑联系方式：</w:t>
      </w:r>
      <w:r>
        <w:rPr>
          <w:rFonts w:hint="eastAsia" w:cs="仿宋"/>
          <w:color w:val="auto"/>
          <w:highlight w:val="none"/>
          <w:lang w:val="en-US" w:eastAsia="zh-CN"/>
        </w:rPr>
        <w:t>15168211931</w:t>
      </w:r>
      <w:r>
        <w:rPr>
          <w:rFonts w:hint="eastAsia" w:ascii="仿宋" w:hAnsi="仿宋" w:eastAsia="仿宋" w:cs="仿宋"/>
          <w:color w:val="auto"/>
          <w:highlight w:val="none"/>
        </w:rPr>
        <w:t>　　　　　　     </w:t>
      </w:r>
    </w:p>
    <w:p w14:paraId="7BB250B7">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3.同级采购监督管理部门            </w:t>
      </w:r>
    </w:p>
    <w:p w14:paraId="4F552403">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桐庐县交通发展集团有限公司</w:t>
      </w:r>
      <w:r>
        <w:rPr>
          <w:rFonts w:hint="eastAsia" w:ascii="仿宋" w:hAnsi="仿宋" w:eastAsia="仿宋" w:cs="仿宋"/>
          <w:color w:val="auto"/>
          <w:highlight w:val="none"/>
        </w:rPr>
        <w:t>         </w:t>
      </w:r>
    </w:p>
    <w:p w14:paraId="69499234">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地    址：桐庐综合客运枢纽13楼</w:t>
      </w:r>
      <w:r>
        <w:rPr>
          <w:rFonts w:hint="eastAsia" w:ascii="仿宋" w:hAnsi="仿宋" w:eastAsia="仿宋" w:cs="仿宋"/>
          <w:color w:val="auto"/>
          <w:highlight w:val="none"/>
        </w:rPr>
        <w:t>       </w:t>
      </w:r>
    </w:p>
    <w:p w14:paraId="505FE35F">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联系人 ：武红飞     </w:t>
      </w:r>
    </w:p>
    <w:p w14:paraId="13E3F556">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 xml:space="preserve">监督投诉电话：18888950862 </w:t>
      </w:r>
    </w:p>
    <w:p w14:paraId="10BCD662">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    若对项目采购电子交易系统操作有疑问，可登录</w:t>
      </w:r>
      <w:r>
        <w:rPr>
          <w:rFonts w:hint="eastAsia" w:ascii="仿宋" w:hAnsi="仿宋" w:eastAsia="仿宋" w:cs="仿宋"/>
          <w:color w:val="auto"/>
          <w:highlight w:val="none"/>
          <w:lang w:val="en-US" w:eastAsia="zh-CN"/>
        </w:rPr>
        <w:t>乐</w:t>
      </w:r>
      <w:r>
        <w:rPr>
          <w:rFonts w:hint="eastAsia" w:ascii="仿宋" w:hAnsi="仿宋" w:eastAsia="仿宋" w:cs="仿宋"/>
          <w:color w:val="auto"/>
          <w:highlight w:val="none"/>
        </w:rPr>
        <w:t>采云（https://www.</w:t>
      </w:r>
      <w:r>
        <w:rPr>
          <w:rFonts w:hint="eastAsia" w:ascii="仿宋" w:hAnsi="仿宋" w:eastAsia="仿宋" w:cs="仿宋"/>
          <w:color w:val="auto"/>
          <w:highlight w:val="none"/>
          <w:lang w:val="en-US" w:eastAsia="zh-CN"/>
        </w:rPr>
        <w:t>lecaiyun</w:t>
      </w:r>
      <w:r>
        <w:rPr>
          <w:rFonts w:hint="eastAsia" w:ascii="仿宋" w:hAnsi="仿宋" w:eastAsia="仿宋" w:cs="仿宋"/>
          <w:color w:val="auto"/>
          <w:highlight w:val="none"/>
        </w:rPr>
        <w:t>.c</w:t>
      </w:r>
      <w:r>
        <w:rPr>
          <w:rFonts w:hint="eastAsia" w:ascii="仿宋" w:hAnsi="仿宋" w:eastAsia="仿宋" w:cs="仿宋"/>
          <w:color w:val="auto"/>
          <w:highlight w:val="none"/>
          <w:lang w:val="en-US" w:eastAsia="zh-CN"/>
        </w:rPr>
        <w:t>om</w:t>
      </w:r>
      <w:r>
        <w:rPr>
          <w:rFonts w:hint="eastAsia" w:ascii="仿宋" w:hAnsi="仿宋" w:eastAsia="仿宋" w:cs="仿宋"/>
          <w:color w:val="auto"/>
          <w:highlight w:val="none"/>
        </w:rPr>
        <w:t>/），点击右侧咨询小采，获取采小蜜智能服务管家帮助，或拨打政采云服务热线400-881-7190获取热线服务帮助。       </w:t>
      </w:r>
    </w:p>
    <w:p w14:paraId="37843A7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14:paraId="53822EDC">
      <w:pPr>
        <w:spacing w:line="440" w:lineRule="exact"/>
        <w:jc w:val="right"/>
        <w:rPr>
          <w:rFonts w:hint="eastAsia" w:ascii="仿宋" w:hAnsi="仿宋" w:eastAsia="仿宋" w:cs="仿宋"/>
          <w:color w:val="auto"/>
          <w:highlight w:val="none"/>
        </w:rPr>
      </w:pPr>
    </w:p>
    <w:p w14:paraId="30BB6A0A">
      <w:pPr>
        <w:spacing w:line="440" w:lineRule="exact"/>
        <w:jc w:val="right"/>
        <w:rPr>
          <w:rFonts w:hint="eastAsia" w:ascii="仿宋" w:hAnsi="仿宋" w:eastAsia="仿宋" w:cs="仿宋"/>
          <w:color w:val="auto"/>
          <w:highlight w:val="none"/>
        </w:rPr>
      </w:pPr>
    </w:p>
    <w:p w14:paraId="5026B2A1">
      <w:pPr>
        <w:spacing w:line="440" w:lineRule="exact"/>
        <w:jc w:val="center"/>
        <w:rPr>
          <w:rFonts w:hint="eastAsia" w:ascii="仿宋" w:hAnsi="仿宋" w:eastAsia="仿宋" w:cs="仿宋"/>
          <w:color w:val="auto"/>
          <w:highlight w:val="none"/>
          <w:lang w:eastAsia="zh-CN"/>
        </w:rPr>
      </w:pPr>
      <w:r>
        <w:rPr>
          <w:rFonts w:hint="eastAsia" w:cs="仿宋"/>
          <w:color w:val="auto"/>
          <w:highlight w:val="none"/>
          <w:lang w:val="en-US" w:eastAsia="zh-CN"/>
        </w:rPr>
        <w:t xml:space="preserve">                                                 </w:t>
      </w:r>
      <w:r>
        <w:rPr>
          <w:rFonts w:hint="eastAsia" w:cs="仿宋"/>
          <w:color w:val="auto"/>
          <w:highlight w:val="none"/>
          <w:lang w:eastAsia="zh-CN"/>
        </w:rPr>
        <w:t>桐庐畅桐新能源科技有限公司</w:t>
      </w:r>
    </w:p>
    <w:p w14:paraId="48361361">
      <w:pPr>
        <w:spacing w:line="440" w:lineRule="exact"/>
        <w:jc w:val="right"/>
        <w:rPr>
          <w:rFonts w:hint="eastAsia" w:ascii="仿宋" w:hAnsi="仿宋" w:eastAsia="仿宋" w:cs="仿宋"/>
          <w:color w:val="auto"/>
          <w:highlight w:val="none"/>
          <w:lang w:eastAsia="zh-CN"/>
        </w:rPr>
      </w:pPr>
      <w:r>
        <w:rPr>
          <w:rFonts w:hint="eastAsia" w:cs="仿宋"/>
          <w:color w:val="auto"/>
          <w:highlight w:val="none"/>
          <w:lang w:val="en-US" w:eastAsia="zh-CN"/>
        </w:rPr>
        <w:t xml:space="preserve">  </w:t>
      </w:r>
      <w:r>
        <w:rPr>
          <w:rFonts w:hint="eastAsia" w:cs="仿宋"/>
          <w:color w:val="auto"/>
          <w:highlight w:val="none"/>
          <w:lang w:eastAsia="zh-CN"/>
        </w:rPr>
        <w:t>宁波禹通工程项目管理有限公司 </w:t>
      </w:r>
    </w:p>
    <w:p w14:paraId="3528682E">
      <w:pPr>
        <w:spacing w:line="4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12D9A96">
      <w:pPr>
        <w:pStyle w:val="5"/>
        <w:spacing w:line="440" w:lineRule="exact"/>
        <w:rPr>
          <w:rFonts w:hint="eastAsia" w:ascii="仿宋" w:hAnsi="仿宋" w:eastAsia="仿宋" w:cs="仿宋"/>
          <w:color w:val="auto"/>
          <w:highlight w:val="none"/>
        </w:rPr>
      </w:pPr>
      <w:bookmarkStart w:id="2" w:name="_Toc236940849"/>
      <w:r>
        <w:rPr>
          <w:rFonts w:hint="eastAsia" w:ascii="仿宋" w:hAnsi="仿宋" w:eastAsia="仿宋" w:cs="仿宋"/>
          <w:color w:val="auto"/>
          <w:highlight w:val="none"/>
        </w:rPr>
        <w:t>第二章  投标人须知</w:t>
      </w:r>
      <w:bookmarkEnd w:id="2"/>
    </w:p>
    <w:p w14:paraId="238B7CBA">
      <w:pPr>
        <w:pStyle w:val="2"/>
        <w:spacing w:before="0" w:after="0" w:line="440" w:lineRule="exact"/>
        <w:ind w:left="578" w:hanging="578"/>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819"/>
        <w:gridCol w:w="6727"/>
      </w:tblGrid>
      <w:tr w14:paraId="4DAE9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9EE81A4">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33E0A226">
            <w:pPr>
              <w:wordWrap w:val="0"/>
              <w:topLinePunct/>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内容说明及要求</w:t>
            </w:r>
          </w:p>
        </w:tc>
      </w:tr>
      <w:tr w14:paraId="5C3AD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CBE4057">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819" w:type="dxa"/>
            <w:tcBorders>
              <w:top w:val="single" w:color="auto" w:sz="4" w:space="0"/>
              <w:left w:val="single" w:color="auto" w:sz="4" w:space="0"/>
              <w:bottom w:val="single" w:color="auto" w:sz="4" w:space="0"/>
              <w:right w:val="single" w:color="auto" w:sz="4" w:space="0"/>
            </w:tcBorders>
            <w:vAlign w:val="center"/>
          </w:tcPr>
          <w:p w14:paraId="56C87295">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6727" w:type="dxa"/>
            <w:tcBorders>
              <w:top w:val="single" w:color="auto" w:sz="4" w:space="0"/>
              <w:left w:val="single" w:color="auto" w:sz="4" w:space="0"/>
              <w:bottom w:val="single" w:color="auto" w:sz="4" w:space="0"/>
              <w:right w:val="single" w:color="auto" w:sz="4" w:space="0"/>
            </w:tcBorders>
            <w:vAlign w:val="center"/>
          </w:tcPr>
          <w:p w14:paraId="08AE9EC1">
            <w:pPr>
              <w:wordWrap w:val="0"/>
              <w:topLinePunct/>
              <w:spacing w:line="440" w:lineRule="exact"/>
              <w:rPr>
                <w:rFonts w:hint="eastAsia" w:ascii="仿宋" w:hAnsi="仿宋" w:eastAsia="仿宋" w:cs="仿宋"/>
                <w:color w:val="auto"/>
                <w:highlight w:val="none"/>
                <w:lang w:eastAsia="zh-CN"/>
              </w:rPr>
            </w:pPr>
            <w:r>
              <w:rPr>
                <w:rFonts w:hint="eastAsia" w:cs="仿宋"/>
                <w:color w:val="auto"/>
                <w:highlight w:val="none"/>
                <w:lang w:eastAsia="zh-CN"/>
              </w:rPr>
              <w:t>桐庐畅桐新能源科技有限公司二期充电桩建设项目</w:t>
            </w:r>
          </w:p>
        </w:tc>
      </w:tr>
      <w:tr w14:paraId="5E15D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189E3C">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819" w:type="dxa"/>
            <w:tcBorders>
              <w:top w:val="single" w:color="auto" w:sz="4" w:space="0"/>
              <w:left w:val="single" w:color="auto" w:sz="4" w:space="0"/>
              <w:bottom w:val="single" w:color="auto" w:sz="4" w:space="0"/>
              <w:right w:val="single" w:color="auto" w:sz="4" w:space="0"/>
            </w:tcBorders>
            <w:vAlign w:val="center"/>
          </w:tcPr>
          <w:p w14:paraId="647BAF1C">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采购资金来源与预算</w:t>
            </w:r>
          </w:p>
        </w:tc>
        <w:tc>
          <w:tcPr>
            <w:tcW w:w="6727" w:type="dxa"/>
            <w:tcBorders>
              <w:top w:val="single" w:color="auto" w:sz="4" w:space="0"/>
              <w:left w:val="single" w:color="auto" w:sz="4" w:space="0"/>
              <w:bottom w:val="single" w:color="auto" w:sz="4" w:space="0"/>
              <w:right w:val="single" w:color="auto" w:sz="4" w:space="0"/>
            </w:tcBorders>
            <w:vAlign w:val="center"/>
          </w:tcPr>
          <w:p w14:paraId="030B6685">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（1）预算资金。</w:t>
            </w:r>
          </w:p>
          <w:p w14:paraId="7337BE8B">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color w:val="auto"/>
                <w:highlight w:val="none"/>
                <w:u w:val="none"/>
              </w:rPr>
              <w:t>预算价为</w:t>
            </w:r>
            <w:r>
              <w:rPr>
                <w:rFonts w:hint="eastAsia" w:cs="仿宋"/>
                <w:color w:val="auto"/>
                <w:highlight w:val="none"/>
                <w:u w:val="single"/>
                <w:lang w:val="en-US" w:eastAsia="zh-CN"/>
              </w:rPr>
              <w:t xml:space="preserve"> 1900</w:t>
            </w:r>
            <w:r>
              <w:rPr>
                <w:rFonts w:hint="eastAsia" w:ascii="仿宋" w:hAnsi="仿宋" w:eastAsia="仿宋" w:cs="仿宋"/>
                <w:color w:val="auto"/>
                <w:highlight w:val="none"/>
                <w:u w:val="single"/>
              </w:rPr>
              <w:t>万元</w:t>
            </w:r>
            <w:r>
              <w:rPr>
                <w:rFonts w:hint="eastAsia" w:ascii="仿宋" w:hAnsi="仿宋" w:eastAsia="仿宋" w:cs="仿宋"/>
                <w:color w:val="auto"/>
                <w:highlight w:val="none"/>
                <w:u w:val="none"/>
              </w:rPr>
              <w:t>，最高限价为</w:t>
            </w:r>
            <w:r>
              <w:rPr>
                <w:rFonts w:hint="eastAsia" w:cs="仿宋"/>
                <w:color w:val="auto"/>
                <w:highlight w:val="none"/>
                <w:u w:val="single"/>
                <w:lang w:val="en-US" w:eastAsia="zh-CN"/>
              </w:rPr>
              <w:t xml:space="preserve"> 1900</w:t>
            </w:r>
            <w:r>
              <w:rPr>
                <w:rFonts w:hint="eastAsia" w:ascii="仿宋" w:hAnsi="仿宋" w:eastAsia="仿宋" w:cs="仿宋"/>
                <w:color w:val="auto"/>
                <w:highlight w:val="none"/>
                <w:u w:val="single"/>
              </w:rPr>
              <w:t>万元</w:t>
            </w:r>
            <w:r>
              <w:rPr>
                <w:rFonts w:hint="eastAsia" w:ascii="仿宋" w:hAnsi="仿宋" w:eastAsia="仿宋" w:cs="仿宋"/>
                <w:color w:val="auto"/>
                <w:highlight w:val="none"/>
              </w:rPr>
              <w:t xml:space="preserve"> ，超过最高限价的投标无效。</w:t>
            </w:r>
          </w:p>
          <w:p w14:paraId="6C4123E3">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（3）采购方式：公开招标</w:t>
            </w:r>
          </w:p>
        </w:tc>
      </w:tr>
      <w:tr w14:paraId="38A5C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5C1555">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3</w:t>
            </w:r>
          </w:p>
        </w:tc>
        <w:tc>
          <w:tcPr>
            <w:tcW w:w="1819" w:type="dxa"/>
            <w:tcBorders>
              <w:top w:val="single" w:color="auto" w:sz="4" w:space="0"/>
              <w:left w:val="single" w:color="auto" w:sz="4" w:space="0"/>
              <w:bottom w:val="single" w:color="auto" w:sz="4" w:space="0"/>
              <w:right w:val="single" w:color="auto" w:sz="4" w:space="0"/>
            </w:tcBorders>
            <w:vAlign w:val="center"/>
          </w:tcPr>
          <w:p w14:paraId="5B185C0C">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投标文件递交截止时间与地点</w:t>
            </w:r>
          </w:p>
        </w:tc>
        <w:tc>
          <w:tcPr>
            <w:tcW w:w="6727" w:type="dxa"/>
            <w:tcBorders>
              <w:top w:val="single" w:color="auto" w:sz="4" w:space="0"/>
              <w:left w:val="single" w:color="auto" w:sz="4" w:space="0"/>
              <w:bottom w:val="single" w:color="auto" w:sz="4" w:space="0"/>
              <w:right w:val="single" w:color="auto" w:sz="4" w:space="0"/>
            </w:tcBorders>
            <w:vAlign w:val="center"/>
          </w:tcPr>
          <w:p w14:paraId="58E60A86">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（1）投标文件递交截止时间：</w:t>
            </w:r>
            <w:r>
              <w:rPr>
                <w:rFonts w:hint="eastAsia"/>
                <w:color w:val="FF0000"/>
                <w:sz w:val="24"/>
                <w:szCs w:val="24"/>
                <w:highlight w:val="none"/>
                <w:u w:val="none"/>
                <w:lang w:val="en-US" w:eastAsia="zh-CN"/>
              </w:rPr>
              <w:t>2</w:t>
            </w:r>
            <w:r>
              <w:rPr>
                <w:rFonts w:hint="eastAsia"/>
                <w:color w:val="FF0000"/>
                <w:sz w:val="24"/>
                <w:szCs w:val="24"/>
                <w:highlight w:val="none"/>
                <w:lang w:val="en-US" w:eastAsia="zh-CN"/>
              </w:rPr>
              <w:t>024</w:t>
            </w:r>
            <w:r>
              <w:rPr>
                <w:rFonts w:hint="eastAsia" w:ascii="仿宋" w:hAnsi="仿宋" w:eastAsia="仿宋"/>
                <w:color w:val="FF0000"/>
                <w:sz w:val="24"/>
                <w:szCs w:val="24"/>
                <w:highlight w:val="none"/>
              </w:rPr>
              <w:t>年</w:t>
            </w:r>
            <w:r>
              <w:rPr>
                <w:rFonts w:hint="eastAsia"/>
                <w:color w:val="FF0000"/>
                <w:sz w:val="24"/>
                <w:szCs w:val="24"/>
                <w:highlight w:val="none"/>
                <w:lang w:val="en-US" w:eastAsia="zh-CN"/>
              </w:rPr>
              <w:t>12</w:t>
            </w:r>
            <w:r>
              <w:rPr>
                <w:rFonts w:hint="eastAsia" w:ascii="仿宋" w:hAnsi="仿宋" w:eastAsia="仿宋"/>
                <w:color w:val="FF0000"/>
                <w:sz w:val="24"/>
                <w:szCs w:val="24"/>
                <w:highlight w:val="none"/>
              </w:rPr>
              <w:t>月</w:t>
            </w:r>
            <w:r>
              <w:rPr>
                <w:rFonts w:hint="eastAsia"/>
                <w:color w:val="FF0000"/>
                <w:sz w:val="24"/>
                <w:szCs w:val="24"/>
                <w:highlight w:val="none"/>
                <w:lang w:val="en-US" w:eastAsia="zh-CN"/>
              </w:rPr>
              <w:t>9</w:t>
            </w:r>
            <w:r>
              <w:rPr>
                <w:rFonts w:hint="eastAsia" w:ascii="仿宋" w:hAnsi="仿宋" w:eastAsia="仿宋"/>
                <w:color w:val="FF0000"/>
                <w:sz w:val="24"/>
                <w:szCs w:val="24"/>
                <w:highlight w:val="none"/>
              </w:rPr>
              <w:t>日</w:t>
            </w:r>
            <w:r>
              <w:rPr>
                <w:rFonts w:hint="eastAsia"/>
                <w:color w:val="FF0000"/>
                <w:sz w:val="24"/>
                <w:szCs w:val="24"/>
                <w:highlight w:val="none"/>
                <w:lang w:val="en-US" w:eastAsia="zh-CN"/>
              </w:rPr>
              <w:t>10</w:t>
            </w:r>
            <w:r>
              <w:rPr>
                <w:rFonts w:hint="eastAsia" w:ascii="仿宋" w:hAnsi="仿宋" w:eastAsia="仿宋"/>
                <w:color w:val="FF0000"/>
                <w:sz w:val="24"/>
                <w:szCs w:val="24"/>
                <w:highlight w:val="none"/>
              </w:rPr>
              <w:t>时</w:t>
            </w:r>
            <w:r>
              <w:rPr>
                <w:rFonts w:hint="eastAsia"/>
                <w:color w:val="FF0000"/>
                <w:sz w:val="24"/>
                <w:szCs w:val="24"/>
                <w:highlight w:val="none"/>
                <w:lang w:val="en-US" w:eastAsia="zh-CN"/>
              </w:rPr>
              <w:t>00</w:t>
            </w:r>
            <w:r>
              <w:rPr>
                <w:rFonts w:hint="eastAsia" w:ascii="仿宋" w:hAnsi="仿宋" w:eastAsia="仿宋"/>
                <w:color w:val="FF0000"/>
                <w:sz w:val="24"/>
                <w:szCs w:val="24"/>
                <w:highlight w:val="none"/>
              </w:rPr>
              <w:t>分00秒</w:t>
            </w:r>
            <w:r>
              <w:rPr>
                <w:rFonts w:hint="eastAsia"/>
                <w:sz w:val="24"/>
                <w:szCs w:val="24"/>
                <w:highlight w:val="none"/>
                <w:lang w:eastAsia="zh-CN"/>
              </w:rPr>
              <w:t>（</w:t>
            </w:r>
            <w:r>
              <w:rPr>
                <w:rFonts w:hint="eastAsia" w:ascii="仿宋" w:hAnsi="仿宋" w:eastAsia="仿宋" w:cs="仿宋"/>
                <w:color w:val="auto"/>
                <w:highlight w:val="none"/>
              </w:rPr>
              <w:t>北京时间）</w:t>
            </w:r>
          </w:p>
          <w:p w14:paraId="7CFDCC54">
            <w:pPr>
              <w:pStyle w:val="108"/>
              <w:wordWrap w:val="0"/>
              <w:topLinePunct/>
              <w:spacing w:before="0" w:after="0" w:line="440" w:lineRule="exact"/>
              <w:ind w:left="0"/>
              <w:rPr>
                <w:rFonts w:hint="eastAsia" w:ascii="仿宋" w:hAnsi="仿宋" w:eastAsia="仿宋" w:cs="仿宋"/>
                <w:color w:val="auto"/>
                <w:highlight w:val="none"/>
              </w:rPr>
            </w:pPr>
            <w:r>
              <w:rPr>
                <w:rFonts w:hint="eastAsia" w:ascii="仿宋" w:hAnsi="仿宋" w:eastAsia="仿宋" w:cs="仿宋"/>
                <w:color w:val="auto"/>
                <w:highlight w:val="none"/>
              </w:rPr>
              <w:t>（2）投标文件递交地点：</w:t>
            </w:r>
            <w:r>
              <w:rPr>
                <w:rFonts w:hint="eastAsia" w:ascii="仿宋" w:hAnsi="仿宋"/>
              </w:rPr>
              <w:t>乐采云平台</w:t>
            </w:r>
            <w:r>
              <w:rPr>
                <w:rFonts w:hint="eastAsia" w:ascii="仿宋" w:hAnsi="仿宋"/>
                <w:lang w:eastAsia="zh-CN"/>
              </w:rPr>
              <w:t>（</w:t>
            </w:r>
            <w:r>
              <w:rPr>
                <w:rFonts w:hint="eastAsia" w:ascii="仿宋" w:hAnsi="仿宋"/>
              </w:rPr>
              <w:t>www.lecaiyun.com </w:t>
            </w:r>
            <w:r>
              <w:rPr>
                <w:rFonts w:hint="eastAsia" w:ascii="仿宋" w:hAnsi="仿宋"/>
                <w:lang w:eastAsia="zh-CN"/>
              </w:rPr>
              <w:t>）</w:t>
            </w:r>
            <w:r>
              <w:rPr>
                <w:rFonts w:hint="eastAsia" w:ascii="仿宋" w:hAnsi="仿宋"/>
              </w:rPr>
              <w:t>；请登录乐采云投标客户端投标，客户端下载地址https://sitecdn.zcycdn.com/zcy-client/bidding-client-new/official/lcy/LeCaiYunSetup.latest.exe</w:t>
            </w:r>
            <w:r>
              <w:rPr>
                <w:rFonts w:hint="eastAsia" w:ascii="仿宋" w:hAnsi="仿宋"/>
                <w:lang w:eastAsia="zh-CN"/>
              </w:rPr>
              <w:t>。</w:t>
            </w:r>
          </w:p>
          <w:p w14:paraId="2908AEC7">
            <w:pPr>
              <w:pStyle w:val="108"/>
              <w:wordWrap w:val="0"/>
              <w:topLinePunct/>
              <w:spacing w:before="0" w:after="0" w:line="440" w:lineRule="exact"/>
              <w:ind w:left="0"/>
              <w:rPr>
                <w:rFonts w:hint="eastAsia" w:ascii="仿宋" w:hAnsi="仿宋" w:eastAsia="仿宋" w:cs="仿宋"/>
                <w:color w:val="auto"/>
                <w:highlight w:val="none"/>
              </w:rPr>
            </w:pPr>
            <w:r>
              <w:rPr>
                <w:rFonts w:hint="eastAsia" w:ascii="仿宋" w:hAnsi="仿宋" w:eastAsia="仿宋" w:cs="仿宋"/>
                <w:color w:val="auto"/>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0959E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FB7E1A3">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4</w:t>
            </w:r>
          </w:p>
        </w:tc>
        <w:tc>
          <w:tcPr>
            <w:tcW w:w="1819" w:type="dxa"/>
            <w:tcBorders>
              <w:top w:val="single" w:color="auto" w:sz="4" w:space="0"/>
              <w:left w:val="single" w:color="auto" w:sz="4" w:space="0"/>
              <w:bottom w:val="single" w:color="auto" w:sz="4" w:space="0"/>
              <w:right w:val="single" w:color="auto" w:sz="4" w:space="0"/>
            </w:tcBorders>
            <w:vAlign w:val="center"/>
          </w:tcPr>
          <w:p w14:paraId="7D350631">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开标时间与地点</w:t>
            </w:r>
          </w:p>
        </w:tc>
        <w:tc>
          <w:tcPr>
            <w:tcW w:w="6727" w:type="dxa"/>
            <w:tcBorders>
              <w:top w:val="single" w:color="auto" w:sz="4" w:space="0"/>
              <w:left w:val="single" w:color="auto" w:sz="4" w:space="0"/>
              <w:bottom w:val="single" w:color="auto" w:sz="4" w:space="0"/>
              <w:right w:val="single" w:color="auto" w:sz="4" w:space="0"/>
            </w:tcBorders>
            <w:vAlign w:val="center"/>
          </w:tcPr>
          <w:p w14:paraId="11DD9AFD">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（1）开标时间：</w:t>
            </w:r>
            <w:r>
              <w:rPr>
                <w:rFonts w:hint="eastAsia"/>
                <w:color w:val="FF0000"/>
                <w:sz w:val="24"/>
                <w:szCs w:val="24"/>
                <w:highlight w:val="none"/>
                <w:u w:val="none"/>
                <w:lang w:val="en-US" w:eastAsia="zh-CN"/>
              </w:rPr>
              <w:t>2</w:t>
            </w:r>
            <w:r>
              <w:rPr>
                <w:rFonts w:hint="eastAsia"/>
                <w:color w:val="FF0000"/>
                <w:sz w:val="24"/>
                <w:szCs w:val="24"/>
                <w:highlight w:val="none"/>
                <w:lang w:val="en-US" w:eastAsia="zh-CN"/>
              </w:rPr>
              <w:t>024</w:t>
            </w:r>
            <w:r>
              <w:rPr>
                <w:rFonts w:hint="eastAsia" w:ascii="仿宋" w:hAnsi="仿宋" w:eastAsia="仿宋"/>
                <w:color w:val="FF0000"/>
                <w:sz w:val="24"/>
                <w:szCs w:val="24"/>
                <w:highlight w:val="none"/>
              </w:rPr>
              <w:t>年</w:t>
            </w:r>
            <w:r>
              <w:rPr>
                <w:rFonts w:hint="eastAsia"/>
                <w:color w:val="FF0000"/>
                <w:sz w:val="24"/>
                <w:szCs w:val="24"/>
                <w:highlight w:val="none"/>
                <w:lang w:val="en-US" w:eastAsia="zh-CN"/>
              </w:rPr>
              <w:t>12</w:t>
            </w:r>
            <w:r>
              <w:rPr>
                <w:rFonts w:hint="eastAsia" w:ascii="仿宋" w:hAnsi="仿宋" w:eastAsia="仿宋"/>
                <w:color w:val="FF0000"/>
                <w:sz w:val="24"/>
                <w:szCs w:val="24"/>
                <w:highlight w:val="none"/>
              </w:rPr>
              <w:t>月</w:t>
            </w:r>
            <w:r>
              <w:rPr>
                <w:rFonts w:hint="eastAsia"/>
                <w:color w:val="FF0000"/>
                <w:sz w:val="24"/>
                <w:szCs w:val="24"/>
                <w:highlight w:val="none"/>
                <w:lang w:val="en-US" w:eastAsia="zh-CN"/>
              </w:rPr>
              <w:t>9</w:t>
            </w:r>
            <w:r>
              <w:rPr>
                <w:rFonts w:hint="eastAsia" w:ascii="仿宋" w:hAnsi="仿宋" w:eastAsia="仿宋"/>
                <w:color w:val="FF0000"/>
                <w:sz w:val="24"/>
                <w:szCs w:val="24"/>
                <w:highlight w:val="none"/>
              </w:rPr>
              <w:t>日</w:t>
            </w:r>
            <w:r>
              <w:rPr>
                <w:rFonts w:hint="eastAsia"/>
                <w:color w:val="FF0000"/>
                <w:sz w:val="24"/>
                <w:szCs w:val="24"/>
                <w:highlight w:val="none"/>
                <w:lang w:val="en-US" w:eastAsia="zh-CN"/>
              </w:rPr>
              <w:t>10</w:t>
            </w:r>
            <w:r>
              <w:rPr>
                <w:rFonts w:hint="eastAsia" w:ascii="仿宋" w:hAnsi="仿宋" w:eastAsia="仿宋"/>
                <w:color w:val="FF0000"/>
                <w:sz w:val="24"/>
                <w:szCs w:val="24"/>
                <w:highlight w:val="none"/>
              </w:rPr>
              <w:t>时</w:t>
            </w:r>
            <w:r>
              <w:rPr>
                <w:rFonts w:hint="eastAsia"/>
                <w:color w:val="FF0000"/>
                <w:sz w:val="24"/>
                <w:szCs w:val="24"/>
                <w:highlight w:val="none"/>
                <w:lang w:val="en-US" w:eastAsia="zh-CN"/>
              </w:rPr>
              <w:t>00</w:t>
            </w:r>
            <w:r>
              <w:rPr>
                <w:rFonts w:hint="eastAsia" w:ascii="仿宋" w:hAnsi="仿宋" w:eastAsia="仿宋"/>
                <w:color w:val="FF0000"/>
                <w:sz w:val="24"/>
                <w:szCs w:val="24"/>
                <w:highlight w:val="none"/>
              </w:rPr>
              <w:t>分00秒</w:t>
            </w:r>
            <w:r>
              <w:rPr>
                <w:rFonts w:hint="eastAsia"/>
                <w:sz w:val="24"/>
                <w:szCs w:val="24"/>
                <w:highlight w:val="none"/>
                <w:lang w:eastAsia="zh-CN"/>
              </w:rPr>
              <w:t>（</w:t>
            </w:r>
            <w:r>
              <w:rPr>
                <w:rFonts w:hint="eastAsia" w:ascii="仿宋" w:hAnsi="仿宋" w:eastAsia="仿宋" w:cs="仿宋"/>
                <w:color w:val="auto"/>
                <w:highlight w:val="none"/>
              </w:rPr>
              <w:t>北京时间）</w:t>
            </w:r>
          </w:p>
          <w:p w14:paraId="1B2F27E3">
            <w:pPr>
              <w:pStyle w:val="108"/>
              <w:wordWrap w:val="0"/>
              <w:topLinePunct/>
              <w:spacing w:before="0" w:after="0" w:line="440" w:lineRule="exact"/>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开标地点：杭州市公共资源交易中心桐庐分中心（桐庐县行政服务中心</w:t>
            </w:r>
            <w:r>
              <w:rPr>
                <w:rFonts w:hint="eastAsia" w:ascii="仿宋" w:hAnsi="仿宋" w:cs="仿宋"/>
                <w:color w:val="auto"/>
                <w:szCs w:val="24"/>
                <w:highlight w:val="none"/>
                <w:lang w:val="en-US" w:eastAsia="zh-CN"/>
              </w:rPr>
              <w:t>6</w:t>
            </w:r>
            <w:r>
              <w:rPr>
                <w:rFonts w:hint="eastAsia" w:ascii="仿宋" w:hAnsi="仿宋" w:eastAsia="仿宋" w:cs="仿宋"/>
                <w:color w:val="auto"/>
                <w:szCs w:val="24"/>
                <w:highlight w:val="none"/>
              </w:rPr>
              <w:t>楼）</w:t>
            </w:r>
            <w:r>
              <w:rPr>
                <w:rFonts w:hint="eastAsia" w:ascii="仿宋" w:hAnsi="仿宋" w:cs="仿宋"/>
                <w:color w:val="auto"/>
                <w:szCs w:val="24"/>
                <w:highlight w:val="none"/>
                <w:lang w:val="en-US" w:eastAsia="zh-CN"/>
              </w:rPr>
              <w:t>4号</w:t>
            </w:r>
            <w:r>
              <w:rPr>
                <w:rFonts w:hint="eastAsia" w:ascii="仿宋" w:hAnsi="仿宋" w:eastAsia="仿宋" w:cs="仿宋"/>
                <w:color w:val="auto"/>
                <w:szCs w:val="24"/>
                <w:highlight w:val="none"/>
              </w:rPr>
              <w:t>开标室。乐采云平台</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www.lecaiyun.com </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；本项目全流程电子标，无须参加现场开标会议（需</w:t>
            </w:r>
            <w:r>
              <w:rPr>
                <w:rFonts w:hint="eastAsia" w:ascii="仿宋" w:hAnsi="仿宋" w:eastAsia="仿宋" w:cs="仿宋"/>
                <w:b/>
                <w:bCs/>
                <w:color w:val="auto"/>
                <w:highlight w:val="none"/>
              </w:rPr>
              <w:t>现场演示除外</w:t>
            </w:r>
            <w:r>
              <w:rPr>
                <w:rFonts w:hint="eastAsia" w:ascii="仿宋" w:hAnsi="仿宋" w:eastAsia="仿宋" w:cs="仿宋"/>
                <w:color w:val="auto"/>
                <w:szCs w:val="24"/>
                <w:highlight w:val="none"/>
              </w:rPr>
              <w:t>）。</w:t>
            </w:r>
          </w:p>
        </w:tc>
      </w:tr>
      <w:tr w14:paraId="6E019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5CA604">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5</w:t>
            </w:r>
          </w:p>
        </w:tc>
        <w:tc>
          <w:tcPr>
            <w:tcW w:w="1819" w:type="dxa"/>
            <w:tcBorders>
              <w:top w:val="single" w:color="auto" w:sz="4" w:space="0"/>
              <w:left w:val="single" w:color="auto" w:sz="4" w:space="0"/>
              <w:bottom w:val="single" w:color="auto" w:sz="4" w:space="0"/>
              <w:right w:val="single" w:color="auto" w:sz="4" w:space="0"/>
            </w:tcBorders>
            <w:vAlign w:val="center"/>
          </w:tcPr>
          <w:p w14:paraId="3929EC85">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投标报价及费用</w:t>
            </w:r>
          </w:p>
        </w:tc>
        <w:tc>
          <w:tcPr>
            <w:tcW w:w="6727" w:type="dxa"/>
            <w:tcBorders>
              <w:top w:val="single" w:color="auto" w:sz="4" w:space="0"/>
              <w:left w:val="single" w:color="auto" w:sz="4" w:space="0"/>
              <w:bottom w:val="single" w:color="auto" w:sz="4" w:space="0"/>
              <w:right w:val="single" w:color="auto" w:sz="4" w:space="0"/>
            </w:tcBorders>
            <w:vAlign w:val="center"/>
          </w:tcPr>
          <w:p w14:paraId="1EE67EAC">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（1）本项目投标应以人民币报价。</w:t>
            </w:r>
          </w:p>
          <w:p w14:paraId="2E4BC69C">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（2）不论投标结果如何，投标人均应自行承担所有与投标有关的全部费用。</w:t>
            </w:r>
          </w:p>
          <w:p w14:paraId="577E31FC">
            <w:pPr>
              <w:pStyle w:val="108"/>
              <w:wordWrap w:val="0"/>
              <w:topLinePunct/>
              <w:spacing w:before="0" w:after="0" w:line="440" w:lineRule="exact"/>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（3）本项目不接受选择性报价。</w:t>
            </w:r>
          </w:p>
        </w:tc>
      </w:tr>
      <w:tr w14:paraId="268E6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BE2278">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6</w:t>
            </w:r>
          </w:p>
        </w:tc>
        <w:tc>
          <w:tcPr>
            <w:tcW w:w="1819" w:type="dxa"/>
            <w:tcBorders>
              <w:top w:val="single" w:color="auto" w:sz="4" w:space="0"/>
              <w:left w:val="single" w:color="auto" w:sz="4" w:space="0"/>
              <w:bottom w:val="single" w:color="auto" w:sz="4" w:space="0"/>
              <w:right w:val="single" w:color="auto" w:sz="4" w:space="0"/>
            </w:tcBorders>
            <w:vAlign w:val="center"/>
          </w:tcPr>
          <w:p w14:paraId="616C3BF0">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转包与分包</w:t>
            </w:r>
          </w:p>
        </w:tc>
        <w:tc>
          <w:tcPr>
            <w:tcW w:w="6727" w:type="dxa"/>
            <w:tcBorders>
              <w:top w:val="single" w:color="auto" w:sz="4" w:space="0"/>
              <w:left w:val="single" w:color="auto" w:sz="4" w:space="0"/>
              <w:bottom w:val="single" w:color="auto" w:sz="4" w:space="0"/>
              <w:right w:val="single" w:color="auto" w:sz="4" w:space="0"/>
            </w:tcBorders>
            <w:vAlign w:val="center"/>
          </w:tcPr>
          <w:p w14:paraId="1A7CB86B">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（1）本项目不允许转包</w:t>
            </w:r>
          </w:p>
          <w:p w14:paraId="07FB45C0">
            <w:pPr>
              <w:pStyle w:val="108"/>
              <w:wordWrap w:val="0"/>
              <w:topLinePunct/>
              <w:spacing w:before="0" w:after="0" w:line="440" w:lineRule="exact"/>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本项目不允许分包</w:t>
            </w:r>
          </w:p>
        </w:tc>
      </w:tr>
      <w:tr w14:paraId="17261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56BDFA">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7</w:t>
            </w:r>
          </w:p>
        </w:tc>
        <w:tc>
          <w:tcPr>
            <w:tcW w:w="1819" w:type="dxa"/>
            <w:tcBorders>
              <w:top w:val="single" w:color="auto" w:sz="4" w:space="0"/>
              <w:left w:val="single" w:color="auto" w:sz="4" w:space="0"/>
              <w:bottom w:val="single" w:color="auto" w:sz="4" w:space="0"/>
              <w:right w:val="single" w:color="auto" w:sz="4" w:space="0"/>
            </w:tcBorders>
            <w:vAlign w:val="center"/>
          </w:tcPr>
          <w:p w14:paraId="3799E4B6">
            <w:pPr>
              <w:wordWrap w:val="0"/>
              <w:topLinePunct/>
              <w:snapToGrid w:val="0"/>
              <w:spacing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开标前答疑会或现场踏勘</w:t>
            </w:r>
          </w:p>
        </w:tc>
        <w:tc>
          <w:tcPr>
            <w:tcW w:w="6727" w:type="dxa"/>
            <w:tcBorders>
              <w:top w:val="single" w:color="auto" w:sz="4" w:space="0"/>
              <w:left w:val="single" w:color="auto" w:sz="4" w:space="0"/>
              <w:bottom w:val="single" w:color="auto" w:sz="4" w:space="0"/>
              <w:right w:val="single" w:color="auto" w:sz="4" w:space="0"/>
            </w:tcBorders>
            <w:vAlign w:val="center"/>
          </w:tcPr>
          <w:p w14:paraId="302A6DA1">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（1）开标前答疑会：不组织</w:t>
            </w:r>
          </w:p>
          <w:p w14:paraId="4CC97B7F">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highlight w:val="none"/>
              </w:rPr>
              <w:t>现场踏勘：不统一组织，如需现场踏勘，请潜在投标人自行联系采购人进行踏勘。</w:t>
            </w:r>
          </w:p>
        </w:tc>
      </w:tr>
      <w:tr w14:paraId="422E6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D92B96">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8</w:t>
            </w:r>
          </w:p>
        </w:tc>
        <w:tc>
          <w:tcPr>
            <w:tcW w:w="1819" w:type="dxa"/>
            <w:tcBorders>
              <w:top w:val="single" w:color="auto" w:sz="4" w:space="0"/>
              <w:left w:val="single" w:color="auto" w:sz="4" w:space="0"/>
              <w:bottom w:val="single" w:color="auto" w:sz="4" w:space="0"/>
              <w:right w:val="single" w:color="auto" w:sz="4" w:space="0"/>
            </w:tcBorders>
            <w:vAlign w:val="center"/>
          </w:tcPr>
          <w:p w14:paraId="1B6BA020">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评标办法及标准</w:t>
            </w:r>
          </w:p>
        </w:tc>
        <w:tc>
          <w:tcPr>
            <w:tcW w:w="6727" w:type="dxa"/>
            <w:tcBorders>
              <w:top w:val="single" w:color="auto" w:sz="4" w:space="0"/>
              <w:left w:val="single" w:color="auto" w:sz="4" w:space="0"/>
              <w:bottom w:val="single" w:color="auto" w:sz="4" w:space="0"/>
              <w:right w:val="single" w:color="auto" w:sz="4" w:space="0"/>
            </w:tcBorders>
            <w:vAlign w:val="center"/>
          </w:tcPr>
          <w:p w14:paraId="27378965">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综合评分法。具体详见招标文件第三章评标办法及评分标准。</w:t>
            </w:r>
          </w:p>
        </w:tc>
      </w:tr>
      <w:tr w14:paraId="540CA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A7E9775">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9</w:t>
            </w:r>
          </w:p>
        </w:tc>
        <w:tc>
          <w:tcPr>
            <w:tcW w:w="1819" w:type="dxa"/>
            <w:tcBorders>
              <w:top w:val="single" w:color="auto" w:sz="4" w:space="0"/>
              <w:left w:val="single" w:color="auto" w:sz="4" w:space="0"/>
              <w:bottom w:val="single" w:color="auto" w:sz="4" w:space="0"/>
              <w:right w:val="single" w:color="auto" w:sz="4" w:space="0"/>
            </w:tcBorders>
            <w:vAlign w:val="center"/>
          </w:tcPr>
          <w:p w14:paraId="7D990D52">
            <w:pPr>
              <w:wordWrap w:val="0"/>
              <w:topLinePunct/>
              <w:snapToGrid w:val="0"/>
              <w:spacing w:line="440" w:lineRule="exact"/>
              <w:jc w:val="center"/>
              <w:rPr>
                <w:rFonts w:hint="eastAsia" w:ascii="仿宋" w:hAnsi="仿宋" w:eastAsia="仿宋" w:cs="仿宋"/>
                <w:b/>
                <w:bCs/>
                <w:kern w:val="3"/>
                <w:sz w:val="24"/>
                <w:szCs w:val="24"/>
                <w:lang w:val="en-US" w:eastAsia="zh-CN" w:bidi="ar-SA"/>
              </w:rPr>
            </w:pPr>
            <w:r>
              <w:rPr>
                <w:rFonts w:hint="eastAsia"/>
                <w:b/>
                <w:bCs/>
              </w:rPr>
              <w:t>项目属性</w:t>
            </w:r>
          </w:p>
        </w:tc>
        <w:tc>
          <w:tcPr>
            <w:tcW w:w="6727" w:type="dxa"/>
            <w:tcBorders>
              <w:top w:val="single" w:color="auto" w:sz="4" w:space="0"/>
              <w:left w:val="single" w:color="auto" w:sz="4" w:space="0"/>
              <w:bottom w:val="single" w:color="auto" w:sz="4" w:space="0"/>
              <w:right w:val="single" w:color="auto" w:sz="4" w:space="0"/>
            </w:tcBorders>
            <w:vAlign w:val="center"/>
          </w:tcPr>
          <w:p w14:paraId="71DABDF2">
            <w:pPr>
              <w:wordWrap w:val="0"/>
              <w:topLinePunct/>
              <w:snapToGrid w:val="0"/>
              <w:spacing w:line="440" w:lineRule="exact"/>
              <w:rPr>
                <w:b/>
                <w:bCs/>
              </w:rPr>
            </w:pPr>
            <w:r>
              <w:rPr>
                <w:rFonts w:hint="eastAsia"/>
              </w:rPr>
              <w:t>√</w:t>
            </w:r>
            <w:r>
              <w:rPr>
                <w:rFonts w:hint="eastAsia"/>
                <w:b/>
                <w:bCs/>
              </w:rPr>
              <w:t>货物类，</w:t>
            </w:r>
            <w:r>
              <w:rPr>
                <w:rFonts w:hint="eastAsia"/>
                <w:bCs/>
                <w:kern w:val="2"/>
              </w:rPr>
              <w:t>单一产品或核心产品为：</w:t>
            </w:r>
            <w:r>
              <w:rPr>
                <w:rFonts w:hint="eastAsia" w:ascii="仿宋" w:hAnsi="仿宋" w:eastAsia="仿宋" w:cs="仿宋"/>
                <w:sz w:val="24"/>
                <w:u w:val="single"/>
                <w:lang w:val="en-US" w:eastAsia="zh-CN"/>
              </w:rPr>
              <w:t>480</w:t>
            </w:r>
            <w:r>
              <w:rPr>
                <w:rFonts w:hint="eastAsia" w:cs="仿宋"/>
                <w:sz w:val="24"/>
                <w:u w:val="single"/>
                <w:lang w:val="en-US" w:eastAsia="zh-CN"/>
              </w:rPr>
              <w:t>KW</w:t>
            </w:r>
            <w:r>
              <w:rPr>
                <w:rFonts w:hint="eastAsia" w:ascii="仿宋" w:hAnsi="仿宋" w:eastAsia="仿宋" w:cs="仿宋"/>
                <w:sz w:val="24"/>
                <w:u w:val="single"/>
                <w:lang w:val="zh-CN"/>
              </w:rPr>
              <w:t>分体式直流充电机</w:t>
            </w:r>
            <w:r>
              <w:rPr>
                <w:rFonts w:hint="eastAsia"/>
              </w:rPr>
              <w:t>。</w:t>
            </w:r>
          </w:p>
          <w:p w14:paraId="61AE6042">
            <w:pPr>
              <w:wordWrap w:val="0"/>
              <w:topLinePunct/>
              <w:snapToGrid w:val="0"/>
              <w:spacing w:line="440" w:lineRule="exact"/>
              <w:rPr>
                <w:rFonts w:hint="eastAsia" w:ascii="仿宋" w:hAnsi="仿宋" w:eastAsia="仿宋" w:cs="仿宋"/>
                <w:color w:val="FF0000"/>
                <w:kern w:val="3"/>
                <w:sz w:val="24"/>
                <w:szCs w:val="24"/>
                <w:lang w:val="en-US" w:eastAsia="zh-CN" w:bidi="ar-SA"/>
              </w:rPr>
            </w:pPr>
            <w:r>
              <w:rPr>
                <w:rFonts w:hint="eastAsia"/>
              </w:rPr>
              <w:sym w:font="Wingdings" w:char="00A8"/>
            </w:r>
            <w:r>
              <w:rPr>
                <w:rFonts w:hint="eastAsia"/>
                <w:b/>
                <w:bCs/>
              </w:rPr>
              <w:t>服务类</w:t>
            </w:r>
          </w:p>
        </w:tc>
      </w:tr>
      <w:tr w14:paraId="252D5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7DECCA">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10</w:t>
            </w:r>
          </w:p>
        </w:tc>
        <w:tc>
          <w:tcPr>
            <w:tcW w:w="1819" w:type="dxa"/>
            <w:tcBorders>
              <w:top w:val="single" w:color="auto" w:sz="4" w:space="0"/>
              <w:left w:val="single" w:color="auto" w:sz="4" w:space="0"/>
              <w:bottom w:val="single" w:color="auto" w:sz="4" w:space="0"/>
              <w:right w:val="single" w:color="auto" w:sz="4" w:space="0"/>
            </w:tcBorders>
            <w:vAlign w:val="center"/>
          </w:tcPr>
          <w:p w14:paraId="749CE7F2">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评标结果公示、公告</w:t>
            </w:r>
          </w:p>
        </w:tc>
        <w:tc>
          <w:tcPr>
            <w:tcW w:w="6727" w:type="dxa"/>
            <w:tcBorders>
              <w:top w:val="single" w:color="auto" w:sz="4" w:space="0"/>
              <w:left w:val="single" w:color="auto" w:sz="4" w:space="0"/>
              <w:bottom w:val="single" w:color="auto" w:sz="4" w:space="0"/>
              <w:right w:val="single" w:color="auto" w:sz="4" w:space="0"/>
            </w:tcBorders>
            <w:vAlign w:val="center"/>
          </w:tcPr>
          <w:p w14:paraId="1D7A2730">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评标结束后7个工作日内发布中标、成交结果，公示于浙江政府采购网(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Style w:val="102"/>
                <w:rFonts w:hint="eastAsia" w:ascii="仿宋" w:hAnsi="仿宋" w:eastAsia="仿宋" w:cs="仿宋"/>
                <w:color w:val="auto"/>
                <w:highlight w:val="none"/>
              </w:rPr>
              <w:t>http://www.zjzfcg.gov.cn</w:t>
            </w:r>
            <w:r>
              <w:rPr>
                <w:rStyle w:val="102"/>
                <w:rFonts w:hint="eastAsia" w:ascii="仿宋" w:hAnsi="仿宋" w:eastAsia="仿宋" w:cs="仿宋"/>
                <w:color w:val="auto"/>
                <w:highlight w:val="none"/>
              </w:rPr>
              <w:fldChar w:fldCharType="end"/>
            </w:r>
            <w:r>
              <w:rPr>
                <w:rFonts w:hint="eastAsia" w:ascii="仿宋" w:hAnsi="仿宋" w:eastAsia="仿宋" w:cs="仿宋"/>
                <w:color w:val="auto"/>
                <w:highlight w:val="none"/>
              </w:rPr>
              <w:t>)。</w:t>
            </w:r>
          </w:p>
        </w:tc>
      </w:tr>
      <w:tr w14:paraId="516E3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79C53A">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11</w:t>
            </w:r>
          </w:p>
        </w:tc>
        <w:tc>
          <w:tcPr>
            <w:tcW w:w="1819" w:type="dxa"/>
            <w:tcBorders>
              <w:top w:val="single" w:color="auto" w:sz="4" w:space="0"/>
              <w:left w:val="single" w:color="auto" w:sz="4" w:space="0"/>
              <w:bottom w:val="single" w:color="auto" w:sz="4" w:space="0"/>
              <w:right w:val="single" w:color="auto" w:sz="4" w:space="0"/>
            </w:tcBorders>
            <w:vAlign w:val="center"/>
          </w:tcPr>
          <w:p w14:paraId="2A4F1F51">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6727" w:type="dxa"/>
            <w:tcBorders>
              <w:top w:val="single" w:color="auto" w:sz="4" w:space="0"/>
              <w:left w:val="single" w:color="auto" w:sz="4" w:space="0"/>
              <w:bottom w:val="single" w:color="auto" w:sz="4" w:space="0"/>
              <w:right w:val="single" w:color="auto" w:sz="4" w:space="0"/>
            </w:tcBorders>
            <w:vAlign w:val="center"/>
          </w:tcPr>
          <w:p w14:paraId="66A32589">
            <w:pPr>
              <w:spacing w:line="440" w:lineRule="exact"/>
              <w:rPr>
                <w:rFonts w:hint="eastAsia" w:ascii="仿宋" w:hAnsi="仿宋" w:eastAsia="仿宋" w:cs="Times New Roman"/>
                <w:sz w:val="24"/>
                <w:szCs w:val="24"/>
              </w:rPr>
            </w:pPr>
            <w:r>
              <w:rPr>
                <w:rFonts w:hint="eastAsia" w:ascii="仿宋" w:hAnsi="仿宋" w:eastAsia="仿宋" w:cs="Times New Roman"/>
                <w:sz w:val="24"/>
                <w:szCs w:val="24"/>
              </w:rPr>
              <w:t>（1）签订合同时中标人应向采购人缴纳合同金额的</w:t>
            </w:r>
            <w:r>
              <w:rPr>
                <w:rFonts w:hint="eastAsia" w:cs="Times New Roman"/>
                <w:sz w:val="24"/>
                <w:szCs w:val="24"/>
                <w:lang w:val="en-US" w:eastAsia="zh-CN"/>
              </w:rPr>
              <w:t>2</w:t>
            </w:r>
            <w:r>
              <w:rPr>
                <w:rFonts w:hint="eastAsia" w:ascii="仿宋" w:hAnsi="仿宋" w:eastAsia="仿宋" w:cs="Times New Roman"/>
                <w:sz w:val="24"/>
                <w:szCs w:val="24"/>
              </w:rPr>
              <w:t>%作为履约保证金，中标人在合同签订后5日内交付至指定账户。履约期结束，采购人无息退还履约保证金。</w:t>
            </w:r>
          </w:p>
          <w:p w14:paraId="49423F05">
            <w:pPr>
              <w:wordWrap w:val="0"/>
              <w:topLinePunct/>
              <w:spacing w:line="440" w:lineRule="exact"/>
              <w:rPr>
                <w:rFonts w:hint="eastAsia" w:ascii="仿宋" w:hAnsi="仿宋" w:eastAsia="仿宋" w:cs="仿宋"/>
                <w:color w:val="auto"/>
                <w:highlight w:val="none"/>
                <w:lang w:eastAsia="zh-CN"/>
              </w:rPr>
            </w:pPr>
            <w:r>
              <w:rPr>
                <w:rFonts w:hint="eastAsia" w:ascii="仿宋" w:hAnsi="仿宋" w:eastAsia="仿宋" w:cs="Times New Roman"/>
                <w:sz w:val="24"/>
                <w:szCs w:val="24"/>
              </w:rPr>
              <w:t>（2）缴纳方式：可采用转账或履约保函形式。</w:t>
            </w:r>
          </w:p>
        </w:tc>
      </w:tr>
      <w:tr w14:paraId="480D3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8C88FE9">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12</w:t>
            </w:r>
          </w:p>
        </w:tc>
        <w:tc>
          <w:tcPr>
            <w:tcW w:w="1819" w:type="dxa"/>
            <w:tcBorders>
              <w:top w:val="single" w:color="auto" w:sz="4" w:space="0"/>
              <w:left w:val="single" w:color="auto" w:sz="4" w:space="0"/>
              <w:bottom w:val="single" w:color="auto" w:sz="4" w:space="0"/>
              <w:right w:val="single" w:color="auto" w:sz="4" w:space="0"/>
            </w:tcBorders>
            <w:vAlign w:val="center"/>
          </w:tcPr>
          <w:p w14:paraId="144B842F">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投标保证金</w:t>
            </w:r>
          </w:p>
        </w:tc>
        <w:tc>
          <w:tcPr>
            <w:tcW w:w="6727" w:type="dxa"/>
            <w:tcBorders>
              <w:top w:val="single" w:color="auto" w:sz="4" w:space="0"/>
              <w:left w:val="single" w:color="auto" w:sz="4" w:space="0"/>
              <w:bottom w:val="single" w:color="auto" w:sz="4" w:space="0"/>
              <w:right w:val="single" w:color="auto" w:sz="4" w:space="0"/>
            </w:tcBorders>
            <w:vAlign w:val="center"/>
          </w:tcPr>
          <w:p w14:paraId="0E794DF5">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本项目不需要交纳投标保证金。</w:t>
            </w:r>
          </w:p>
        </w:tc>
      </w:tr>
      <w:tr w14:paraId="2C820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67CE8F">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13</w:t>
            </w:r>
          </w:p>
        </w:tc>
        <w:tc>
          <w:tcPr>
            <w:tcW w:w="1819" w:type="dxa"/>
            <w:tcBorders>
              <w:top w:val="single" w:color="auto" w:sz="4" w:space="0"/>
              <w:left w:val="single" w:color="auto" w:sz="4" w:space="0"/>
              <w:bottom w:val="single" w:color="auto" w:sz="4" w:space="0"/>
              <w:right w:val="single" w:color="auto" w:sz="4" w:space="0"/>
            </w:tcBorders>
            <w:vAlign w:val="center"/>
          </w:tcPr>
          <w:p w14:paraId="55DCC04D">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投标有效期</w:t>
            </w:r>
          </w:p>
        </w:tc>
        <w:tc>
          <w:tcPr>
            <w:tcW w:w="6727" w:type="dxa"/>
            <w:tcBorders>
              <w:top w:val="single" w:color="auto" w:sz="4" w:space="0"/>
              <w:left w:val="single" w:color="auto" w:sz="4" w:space="0"/>
              <w:bottom w:val="single" w:color="auto" w:sz="4" w:space="0"/>
              <w:right w:val="single" w:color="auto" w:sz="4" w:space="0"/>
            </w:tcBorders>
            <w:vAlign w:val="center"/>
          </w:tcPr>
          <w:p w14:paraId="6D34FB67">
            <w:pPr>
              <w:wordWrap w:val="0"/>
              <w:topLinePunct/>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90日。</w:t>
            </w:r>
          </w:p>
          <w:p w14:paraId="0C1F2B4E">
            <w:pPr>
              <w:spacing w:line="440" w:lineRule="exact"/>
              <w:jc w:val="left"/>
              <w:rPr>
                <w:rFonts w:hint="eastAsia" w:ascii="仿宋" w:hAnsi="仿宋" w:eastAsia="仿宋" w:cs="仿宋"/>
                <w:color w:val="auto"/>
                <w:highlight w:val="none"/>
              </w:rPr>
            </w:pPr>
            <w:r>
              <w:rPr>
                <w:rFonts w:hint="eastAsia" w:ascii="仿宋" w:hAnsi="仿宋" w:eastAsia="仿宋" w:cs="仿宋"/>
                <w:b/>
                <w:bCs/>
                <w:color w:val="auto"/>
                <w:highlight w:val="none"/>
              </w:rPr>
              <w:t>▲投标人的投标文件中承诺的投标有效期不足招标文件中载明的投标有效期的，投标无效。</w:t>
            </w:r>
            <w:r>
              <w:rPr>
                <w:rFonts w:hint="eastAsia" w:ascii="仿宋" w:hAnsi="仿宋" w:eastAsia="仿宋" w:cs="仿宋"/>
                <w:color w:val="auto"/>
                <w:highlight w:val="none"/>
              </w:rPr>
              <w:t>投标有效期从提交投标文件的截止之日起算。</w:t>
            </w:r>
          </w:p>
        </w:tc>
      </w:tr>
      <w:tr w14:paraId="5E80B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84E355A">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14</w:t>
            </w:r>
          </w:p>
        </w:tc>
        <w:tc>
          <w:tcPr>
            <w:tcW w:w="1819" w:type="dxa"/>
            <w:tcBorders>
              <w:top w:val="single" w:color="auto" w:sz="4" w:space="0"/>
              <w:left w:val="single" w:color="auto" w:sz="4" w:space="0"/>
              <w:bottom w:val="single" w:color="auto" w:sz="4" w:space="0"/>
              <w:right w:val="single" w:color="auto" w:sz="4" w:space="0"/>
            </w:tcBorders>
            <w:vAlign w:val="center"/>
          </w:tcPr>
          <w:p w14:paraId="097C6F5E">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全流程电子化项目投标说明</w:t>
            </w:r>
          </w:p>
        </w:tc>
        <w:tc>
          <w:tcPr>
            <w:tcW w:w="6727" w:type="dxa"/>
            <w:tcBorders>
              <w:top w:val="single" w:color="auto" w:sz="4" w:space="0"/>
              <w:left w:val="single" w:color="auto" w:sz="4" w:space="0"/>
              <w:bottom w:val="single" w:color="auto" w:sz="4" w:space="0"/>
              <w:right w:val="single" w:color="auto" w:sz="4" w:space="0"/>
            </w:tcBorders>
            <w:vAlign w:val="center"/>
          </w:tcPr>
          <w:p w14:paraId="388FFCEF">
            <w:pPr>
              <w:wordWrap w:val="0"/>
              <w:topLinePunct/>
              <w:snapToGrid w:val="0"/>
              <w:rPr>
                <w:rFonts w:hint="eastAsia" w:ascii="仿宋" w:hAnsi="仿宋" w:eastAsia="仿宋" w:cs="仿宋"/>
                <w:color w:val="auto"/>
                <w:highlight w:val="none"/>
              </w:rPr>
            </w:pPr>
            <w:r>
              <w:rPr>
                <w:rFonts w:hint="eastAsia" w:ascii="仿宋" w:hAnsi="仿宋" w:eastAsia="仿宋" w:cs="仿宋"/>
                <w:color w:val="auto"/>
                <w:highlight w:val="none"/>
              </w:rPr>
              <w:t>本项目实行电子投标。电子投标文件，按政采云平台项目采购-电子招投标操作指南及本招标文件要求递交。投标文件均由资格文件、商务及技术文件、报价文件组成。</w:t>
            </w:r>
          </w:p>
          <w:p w14:paraId="1A6CB5B1">
            <w:pPr>
              <w:wordWrap w:val="0"/>
              <w:topLinePunct/>
              <w:snapToGrid w:val="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color w:val="auto"/>
                <w:highlight w:val="none"/>
              </w:rPr>
              <w:t>投标人须按时自行解密，规定时间内解密失败的，投标无效。</w:t>
            </w:r>
          </w:p>
          <w:p w14:paraId="12F17A70">
            <w:pPr>
              <w:widowControl/>
              <w:snapToGrid w:val="0"/>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color w:val="auto"/>
                <w:highlight w:val="none"/>
              </w:rPr>
              <w:t>未传输递交电子投标文件的，投标无效。</w:t>
            </w:r>
          </w:p>
        </w:tc>
      </w:tr>
      <w:tr w14:paraId="681B4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783381">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cs="仿宋"/>
                <w:b/>
                <w:bCs/>
                <w:color w:val="auto"/>
                <w:highlight w:val="none"/>
                <w:lang w:val="en-US" w:eastAsia="zh-CN"/>
              </w:rPr>
              <w:t>15</w:t>
            </w:r>
          </w:p>
        </w:tc>
        <w:tc>
          <w:tcPr>
            <w:tcW w:w="1819" w:type="dxa"/>
            <w:tcBorders>
              <w:top w:val="single" w:color="auto" w:sz="4" w:space="0"/>
              <w:left w:val="single" w:color="auto" w:sz="4" w:space="0"/>
              <w:bottom w:val="single" w:color="auto" w:sz="4" w:space="0"/>
              <w:right w:val="single" w:color="auto" w:sz="4" w:space="0"/>
            </w:tcBorders>
            <w:vAlign w:val="center"/>
          </w:tcPr>
          <w:p w14:paraId="1D1D553C">
            <w:pPr>
              <w:wordWrap w:val="0"/>
              <w:topLinePunct/>
              <w:snapToGrid w:val="0"/>
              <w:spacing w:line="440" w:lineRule="exact"/>
              <w:jc w:val="center"/>
              <w:rPr>
                <w:rFonts w:hint="eastAsia" w:ascii="仿宋" w:hAnsi="仿宋" w:eastAsia="仿宋" w:cs="仿宋"/>
                <w:b/>
                <w:bCs/>
                <w:color w:val="auto"/>
                <w:highlight w:val="none"/>
              </w:rPr>
            </w:pPr>
            <w:r>
              <w:rPr>
                <w:rFonts w:hint="eastAsia" w:cs="仿宋"/>
                <w:b/>
                <w:bCs/>
                <w:color w:val="auto"/>
                <w:highlight w:val="none"/>
                <w:lang w:val="en-US" w:eastAsia="zh-CN"/>
              </w:rPr>
              <w:t>备份文件</w:t>
            </w:r>
          </w:p>
        </w:tc>
        <w:tc>
          <w:tcPr>
            <w:tcW w:w="6727" w:type="dxa"/>
            <w:tcBorders>
              <w:top w:val="single" w:color="auto" w:sz="4" w:space="0"/>
              <w:left w:val="single" w:color="auto" w:sz="4" w:space="0"/>
              <w:bottom w:val="single" w:color="auto" w:sz="4" w:space="0"/>
              <w:right w:val="single" w:color="auto" w:sz="4" w:space="0"/>
            </w:tcBorders>
            <w:vAlign w:val="center"/>
          </w:tcPr>
          <w:p w14:paraId="2DE9211D">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40767974">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（2）备份投标文件须在“</w:t>
            </w:r>
            <w:r>
              <w:rPr>
                <w:rFonts w:hint="eastAsia" w:ascii="仿宋" w:hAnsi="仿宋"/>
                <w:b/>
                <w:bCs/>
                <w:kern w:val="3"/>
                <w:szCs w:val="24"/>
                <w:lang w:val="en-US" w:eastAsia="zh-CN"/>
              </w:rPr>
              <w:t>乐</w:t>
            </w:r>
            <w:r>
              <w:rPr>
                <w:rFonts w:hint="eastAsia" w:ascii="仿宋" w:hAnsi="仿宋"/>
                <w:b/>
                <w:bCs/>
                <w:kern w:val="3"/>
                <w:szCs w:val="24"/>
              </w:rPr>
              <w:t>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31FFB8A3">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（3）现场提交备份投标文件的，投标人应于投标截止时间前在招标公告中载明的开标地点将备份投标文件提交给采购代理机构，采购代理机构将拒绝接受逾期送达的备份投标文件。</w:t>
            </w:r>
          </w:p>
          <w:p w14:paraId="26DA1B32">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3DC402D8">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▲（5）投标人仅提交备份投标文件，没有在电子交易平台传输递交投标文件的，投标无效。</w:t>
            </w:r>
          </w:p>
          <w:p w14:paraId="3E73DC01">
            <w:pPr>
              <w:spacing w:line="440" w:lineRule="exact"/>
              <w:rPr>
                <w:b/>
                <w:bCs/>
              </w:rPr>
            </w:pPr>
            <w:r>
              <w:rPr>
                <w:rFonts w:hint="eastAsia"/>
                <w:b/>
                <w:bCs/>
              </w:rPr>
              <w:t>▲（6）投标文件未按时解密，投标人提供了备份投标文件的，以备份投标文件作为依据，否则视为投标文件撤回。投标文件已按时解密的，备份投标文件自动失效。</w:t>
            </w:r>
          </w:p>
          <w:p w14:paraId="3C54B9B3">
            <w:pPr>
              <w:spacing w:line="440" w:lineRule="exact"/>
              <w:rPr>
                <w:rFonts w:hint="eastAsia" w:ascii="仿宋" w:hAnsi="仿宋" w:eastAsia="仿宋" w:cs="仿宋"/>
                <w:color w:val="auto"/>
                <w:highlight w:val="none"/>
              </w:rPr>
            </w:pPr>
            <w:r>
              <w:rPr>
                <w:rFonts w:hint="eastAsia" w:ascii="仿宋" w:hAnsi="仿宋" w:eastAsia="仿宋" w:cs="仿宋"/>
                <w:kern w:val="3"/>
              </w:rPr>
              <w:t>备份文件收取及邮寄地址：杭州市桐庐县</w:t>
            </w:r>
            <w:r>
              <w:rPr>
                <w:rFonts w:hint="eastAsia" w:cs="仿宋"/>
                <w:kern w:val="3"/>
                <w:lang w:val="en-US" w:eastAsia="zh-CN"/>
              </w:rPr>
              <w:t>凤川街道</w:t>
            </w:r>
            <w:r>
              <w:rPr>
                <w:rFonts w:hint="eastAsia" w:ascii="仿宋" w:hAnsi="仿宋" w:eastAsia="仿宋" w:cs="仿宋"/>
                <w:kern w:val="3"/>
              </w:rPr>
              <w:t>慧园2-2-3703，</w:t>
            </w:r>
            <w:r>
              <w:rPr>
                <w:rFonts w:hint="eastAsia" w:cs="仿宋"/>
                <w:kern w:val="3"/>
                <w:lang w:val="en-US" w:eastAsia="zh-CN"/>
              </w:rPr>
              <w:t>张建</w:t>
            </w:r>
            <w:r>
              <w:rPr>
                <w:rFonts w:hint="eastAsia" w:ascii="仿宋" w:hAnsi="仿宋" w:eastAsia="仿宋" w:cs="仿宋"/>
                <w:kern w:val="3"/>
              </w:rPr>
              <w:t>（收），</w:t>
            </w:r>
            <w:r>
              <w:rPr>
                <w:rFonts w:hint="eastAsia" w:ascii="仿宋" w:hAnsi="仿宋" w:eastAsia="仿宋" w:cs="仿宋"/>
                <w:kern w:val="3"/>
                <w:lang w:val="en-US" w:eastAsia="zh-CN"/>
              </w:rPr>
              <w:t>1</w:t>
            </w:r>
            <w:r>
              <w:rPr>
                <w:rFonts w:hint="eastAsia" w:cs="仿宋"/>
                <w:kern w:val="3"/>
                <w:lang w:val="en-US" w:eastAsia="zh-CN"/>
              </w:rPr>
              <w:t>3910836306</w:t>
            </w:r>
            <w:r>
              <w:rPr>
                <w:rFonts w:hint="eastAsia" w:ascii="仿宋" w:hAnsi="仿宋" w:eastAsia="仿宋" w:cs="仿宋"/>
                <w:kern w:val="3"/>
              </w:rPr>
              <w:t>。</w:t>
            </w:r>
          </w:p>
        </w:tc>
      </w:tr>
      <w:tr w14:paraId="0AB59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65E907A">
            <w:pPr>
              <w:wordWrap w:val="0"/>
              <w:topLinePunct/>
              <w:spacing w:line="440" w:lineRule="exact"/>
              <w:jc w:val="center"/>
              <w:rPr>
                <w:rFonts w:hint="default" w:ascii="仿宋" w:hAnsi="仿宋" w:eastAsia="仿宋" w:cs="仿宋"/>
                <w:b/>
                <w:bCs/>
                <w:color w:val="auto"/>
                <w:kern w:val="3"/>
                <w:sz w:val="24"/>
                <w:szCs w:val="24"/>
                <w:highlight w:val="none"/>
                <w:lang w:val="en-US" w:eastAsia="zh-CN" w:bidi="ar-SA"/>
              </w:rPr>
            </w:pPr>
            <w:r>
              <w:rPr>
                <w:rFonts w:hint="eastAsia" w:cs="仿宋"/>
                <w:b/>
                <w:bCs/>
                <w:color w:val="auto"/>
                <w:highlight w:val="none"/>
                <w:lang w:val="en-US" w:eastAsia="zh-CN"/>
              </w:rPr>
              <w:t>16</w:t>
            </w:r>
          </w:p>
        </w:tc>
        <w:tc>
          <w:tcPr>
            <w:tcW w:w="1819" w:type="dxa"/>
            <w:tcBorders>
              <w:top w:val="single" w:color="auto" w:sz="4" w:space="0"/>
              <w:left w:val="single" w:color="auto" w:sz="4" w:space="0"/>
              <w:bottom w:val="single" w:color="auto" w:sz="4" w:space="0"/>
              <w:right w:val="single" w:color="auto" w:sz="4" w:space="0"/>
            </w:tcBorders>
            <w:vAlign w:val="center"/>
          </w:tcPr>
          <w:p w14:paraId="00628A4F">
            <w:pPr>
              <w:wordWrap w:val="0"/>
              <w:topLinePunct/>
              <w:snapToGrid w:val="0"/>
              <w:spacing w:line="440" w:lineRule="exact"/>
              <w:jc w:val="center"/>
              <w:rPr>
                <w:rFonts w:hint="default"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代理服务费</w:t>
            </w:r>
          </w:p>
        </w:tc>
        <w:tc>
          <w:tcPr>
            <w:tcW w:w="6727" w:type="dxa"/>
            <w:tcBorders>
              <w:top w:val="single" w:color="auto" w:sz="4" w:space="0"/>
              <w:left w:val="single" w:color="auto" w:sz="4" w:space="0"/>
              <w:bottom w:val="single" w:color="auto" w:sz="4" w:space="0"/>
              <w:right w:val="single" w:color="auto" w:sz="4" w:space="0"/>
            </w:tcBorders>
            <w:vAlign w:val="center"/>
          </w:tcPr>
          <w:p w14:paraId="40CB1E52">
            <w:pPr>
              <w:spacing w:line="440" w:lineRule="exact"/>
              <w:rPr>
                <w:rFonts w:hint="eastAsia" w:ascii="仿宋" w:hAnsi="仿宋" w:eastAsia="仿宋" w:cs="仿宋"/>
                <w:color w:val="auto"/>
                <w:kern w:val="3"/>
                <w:sz w:val="24"/>
                <w:szCs w:val="24"/>
                <w:highlight w:val="none"/>
                <w:lang w:val="en-US" w:eastAsia="zh-CN" w:bidi="ar-SA"/>
              </w:rPr>
            </w:pPr>
            <w:r>
              <w:rPr>
                <w:rFonts w:hint="eastAsia" w:cs="宋体"/>
                <w:b w:val="0"/>
                <w:bCs/>
                <w:szCs w:val="21"/>
                <w:highlight w:val="none"/>
              </w:rPr>
              <w:t>本次采购代理服务费由中标供应商支付。本项目为</w:t>
            </w:r>
            <w:r>
              <w:rPr>
                <w:rFonts w:hint="eastAsia" w:cs="宋体"/>
                <w:b w:val="0"/>
                <w:bCs/>
                <w:szCs w:val="21"/>
                <w:highlight w:val="none"/>
                <w:lang w:val="en-US" w:eastAsia="zh-CN"/>
              </w:rPr>
              <w:t>货物</w:t>
            </w:r>
            <w:r>
              <w:rPr>
                <w:rFonts w:hint="eastAsia" w:cs="宋体"/>
                <w:b w:val="0"/>
                <w:bCs/>
                <w:szCs w:val="21"/>
                <w:highlight w:val="none"/>
              </w:rPr>
              <w:t>类采购项目，采购代理服务费</w:t>
            </w:r>
            <w:r>
              <w:rPr>
                <w:rFonts w:hint="eastAsia" w:cs="宋体"/>
                <w:b w:val="0"/>
                <w:bCs/>
                <w:szCs w:val="21"/>
                <w:highlight w:val="none"/>
                <w:lang w:val="en-US" w:eastAsia="zh-CN"/>
              </w:rPr>
              <w:t>为81000元</w:t>
            </w:r>
            <w:r>
              <w:rPr>
                <w:rFonts w:hint="eastAsia" w:cs="宋体"/>
                <w:b w:val="0"/>
                <w:bCs/>
                <w:szCs w:val="21"/>
                <w:highlight w:val="none"/>
              </w:rPr>
              <w:t>，采购代理服务费包含在投标总价中，由中标供应商在接到中标通知书时以人民币方式向采购代理机构一次性支付。</w:t>
            </w:r>
          </w:p>
        </w:tc>
      </w:tr>
      <w:tr w14:paraId="0A7AB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50A0C5">
            <w:pPr>
              <w:wordWrap w:val="0"/>
              <w:topLinePunct/>
              <w:spacing w:line="440" w:lineRule="exact"/>
              <w:jc w:val="center"/>
              <w:rPr>
                <w:rFonts w:hint="default" w:cs="仿宋"/>
                <w:b/>
                <w:bCs/>
                <w:color w:val="auto"/>
                <w:highlight w:val="none"/>
                <w:lang w:val="en-US" w:eastAsia="zh-CN"/>
              </w:rPr>
            </w:pPr>
          </w:p>
        </w:tc>
        <w:tc>
          <w:tcPr>
            <w:tcW w:w="1819" w:type="dxa"/>
            <w:tcBorders>
              <w:top w:val="single" w:color="auto" w:sz="4" w:space="0"/>
              <w:left w:val="single" w:color="auto" w:sz="4" w:space="0"/>
              <w:bottom w:val="single" w:color="auto" w:sz="4" w:space="0"/>
              <w:right w:val="single" w:color="auto" w:sz="4" w:space="0"/>
            </w:tcBorders>
            <w:vAlign w:val="center"/>
          </w:tcPr>
          <w:p w14:paraId="68E1DDDB">
            <w:pPr>
              <w:wordWrap w:val="0"/>
              <w:topLinePunct/>
              <w:autoSpaceDE w:val="0"/>
              <w:autoSpaceDN w:val="0"/>
              <w:snapToGrid w:val="0"/>
              <w:spacing w:line="440" w:lineRule="exact"/>
              <w:jc w:val="center"/>
              <w:textAlignment w:val="bottom"/>
              <w:rPr>
                <w:rFonts w:hint="default"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解释</w:t>
            </w:r>
          </w:p>
        </w:tc>
        <w:tc>
          <w:tcPr>
            <w:tcW w:w="6727" w:type="dxa"/>
            <w:tcBorders>
              <w:top w:val="single" w:color="auto" w:sz="4" w:space="0"/>
              <w:left w:val="single" w:color="auto" w:sz="4" w:space="0"/>
              <w:bottom w:val="single" w:color="auto" w:sz="4" w:space="0"/>
              <w:right w:val="single" w:color="auto" w:sz="4" w:space="0"/>
            </w:tcBorders>
            <w:vAlign w:val="center"/>
          </w:tcPr>
          <w:p w14:paraId="65218904">
            <w:pPr>
              <w:wordWrap w:val="0"/>
              <w:topLinePunct/>
              <w:autoSpaceDE w:val="0"/>
              <w:autoSpaceDN w:val="0"/>
              <w:snapToGrid w:val="0"/>
              <w:spacing w:line="440" w:lineRule="exact"/>
              <w:textAlignment w:val="bottom"/>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highlight w:val="none"/>
              </w:rPr>
              <w:t>本招标文件的解释权属于</w:t>
            </w:r>
            <w:r>
              <w:rPr>
                <w:rFonts w:hint="eastAsia" w:cs="仿宋"/>
                <w:color w:val="auto"/>
                <w:highlight w:val="none"/>
                <w:lang w:eastAsia="zh-CN"/>
              </w:rPr>
              <w:t>宁波禹通工程项目管理有限公司 </w:t>
            </w:r>
            <w:r>
              <w:rPr>
                <w:rFonts w:hint="eastAsia" w:ascii="仿宋" w:hAnsi="仿宋" w:eastAsia="仿宋" w:cs="仿宋"/>
                <w:color w:val="auto"/>
                <w:highlight w:val="none"/>
              </w:rPr>
              <w:t>和采购人。</w:t>
            </w:r>
          </w:p>
        </w:tc>
      </w:tr>
    </w:tbl>
    <w:p w14:paraId="1D57EE3A">
      <w:pPr>
        <w:pStyle w:val="2"/>
        <w:keepNext w:val="0"/>
        <w:keepLines w:val="0"/>
        <w:wordWrap w:val="0"/>
        <w:topLinePunct/>
        <w:spacing w:before="0" w:after="0" w:line="440" w:lineRule="exact"/>
        <w:ind w:left="0" w:firstLine="0"/>
        <w:jc w:val="both"/>
        <w:rPr>
          <w:rFonts w:hint="eastAsia" w:ascii="仿宋" w:hAnsi="仿宋" w:eastAsia="仿宋" w:cs="仿宋"/>
          <w:color w:val="auto"/>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rPr>
        <w:t xml:space="preserve">  </w:t>
      </w:r>
      <w:r>
        <w:rPr>
          <w:rStyle w:val="253"/>
          <w:rFonts w:hint="eastAsia" w:ascii="仿宋" w:hAnsi="仿宋" w:eastAsia="仿宋" w:cs="仿宋"/>
          <w:b/>
          <w:bCs/>
          <w:color w:val="auto"/>
          <w:highlight w:val="none"/>
        </w:rPr>
        <w:t>一、总则</w:t>
      </w:r>
    </w:p>
    <w:p w14:paraId="39936402">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（一）适用范围</w:t>
      </w:r>
    </w:p>
    <w:p w14:paraId="3606835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仅适用于本次招标文件中采购项目的招标、投标、评标、定标、验收、合同履约、付款等行为（法律、法规另有规定的，从其规定）。</w:t>
      </w:r>
    </w:p>
    <w:p w14:paraId="02F71136">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（二）定义</w:t>
      </w:r>
    </w:p>
    <w:p w14:paraId="35F8460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1.“采购人”系指按采购有关规定，委托本次项目招标的</w:t>
      </w:r>
      <w:r>
        <w:rPr>
          <w:rFonts w:hint="eastAsia" w:cs="仿宋"/>
          <w:color w:val="auto"/>
          <w:highlight w:val="none"/>
          <w:lang w:eastAsia="zh-CN"/>
        </w:rPr>
        <w:t>桐庐畅桐新能源科技有限公司</w:t>
      </w:r>
      <w:r>
        <w:rPr>
          <w:rFonts w:hint="eastAsia" w:ascii="仿宋" w:hAnsi="仿宋" w:eastAsia="仿宋" w:cs="仿宋"/>
          <w:color w:val="auto"/>
          <w:highlight w:val="none"/>
        </w:rPr>
        <w:t>。</w:t>
      </w:r>
    </w:p>
    <w:p w14:paraId="6BEAA83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2.“采购代理机构”系指</w:t>
      </w:r>
      <w:r>
        <w:rPr>
          <w:rFonts w:hint="eastAsia" w:cs="仿宋"/>
          <w:color w:val="auto"/>
          <w:highlight w:val="none"/>
          <w:lang w:eastAsia="zh-CN"/>
        </w:rPr>
        <w:t>宁波禹通工程项目管理有限公司 </w:t>
      </w:r>
      <w:r>
        <w:rPr>
          <w:rFonts w:hint="eastAsia" w:ascii="仿宋" w:hAnsi="仿宋" w:eastAsia="仿宋" w:cs="仿宋"/>
          <w:color w:val="auto"/>
          <w:highlight w:val="none"/>
        </w:rPr>
        <w:t>。</w:t>
      </w:r>
    </w:p>
    <w:p w14:paraId="59CD5C00">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3.“投标人”系指响应招标、参加投标竞争的法人、其他组织或者自然人。</w:t>
      </w:r>
    </w:p>
    <w:p w14:paraId="6487550B">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4.“负责人”系指法人企业的法定负责人，或其他组织为法律、行政法规规定代表单位行使职权的主要负责人，或自然人本人。</w:t>
      </w:r>
    </w:p>
    <w:p w14:paraId="47E4AD3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4.“产品”系指供方按招标文件规定，须向采购人提供的一切货物、材料、设备、保险、税金、备品备件、工具、手册及其它有关技术资料和材料。</w:t>
      </w:r>
    </w:p>
    <w:p w14:paraId="1CE2791D">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5.“服务”系指招标文件规定投标人须承担的本项目产品的安装、调试、技术协助、校准、培训、技术指导以及其他类似的义务。</w:t>
      </w:r>
    </w:p>
    <w:p w14:paraId="565540EF">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6.“项目”系指投标人按招标文件规定向采购人提供的产品和服务。</w:t>
      </w:r>
    </w:p>
    <w:p w14:paraId="69D9CFB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7.“电子签名”系指数据电文中以电子形式所含、所附用于识别签名人身份并表明签名人认可其中内容的数据。</w:t>
      </w:r>
    </w:p>
    <w:p w14:paraId="2D81A25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8.“电子交易平台”是指本项目采购活动所依托的政府</w:t>
      </w:r>
      <w:r>
        <w:rPr>
          <w:rFonts w:hint="eastAsia" w:cs="仿宋"/>
          <w:color w:val="auto"/>
          <w:highlight w:val="none"/>
          <w:lang w:val="en-US" w:eastAsia="zh-CN"/>
        </w:rPr>
        <w:t>国企</w:t>
      </w:r>
      <w:r>
        <w:rPr>
          <w:rFonts w:hint="eastAsia" w:ascii="仿宋" w:hAnsi="仿宋" w:eastAsia="仿宋" w:cs="仿宋"/>
          <w:color w:val="auto"/>
          <w:highlight w:val="none"/>
        </w:rPr>
        <w:t>采购云平台</w:t>
      </w:r>
      <w:r>
        <w:rPr>
          <w:rFonts w:hint="eastAsia"/>
        </w:rPr>
        <w:t>（https://www.</w:t>
      </w:r>
      <w:r>
        <w:rPr>
          <w:rFonts w:hint="eastAsia"/>
          <w:lang w:val="en-US" w:eastAsia="zh-CN"/>
        </w:rPr>
        <w:t>lecaiyun</w:t>
      </w:r>
      <w:r>
        <w:rPr>
          <w:rFonts w:hint="eastAsia"/>
        </w:rPr>
        <w:t>.c</w:t>
      </w:r>
      <w:r>
        <w:rPr>
          <w:rFonts w:hint="eastAsia"/>
          <w:lang w:val="en-US" w:eastAsia="zh-CN"/>
        </w:rPr>
        <w:t>om</w:t>
      </w:r>
      <w:r>
        <w:rPr>
          <w:rFonts w:hint="eastAsia"/>
        </w:rPr>
        <w:t>/）</w:t>
      </w:r>
      <w:r>
        <w:rPr>
          <w:rFonts w:hint="eastAsia" w:ascii="仿宋" w:hAnsi="仿宋" w:eastAsia="仿宋" w:cs="仿宋"/>
          <w:color w:val="auto"/>
          <w:highlight w:val="none"/>
        </w:rPr>
        <w:t>。</w:t>
      </w:r>
    </w:p>
    <w:p w14:paraId="5297D8C4">
      <w:pPr>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9.“▲” 系指实质性要求条款，“</w:t>
      </w:r>
      <w:r>
        <w:rPr>
          <w:rFonts w:hint="eastAsia" w:cs="仿宋"/>
          <w:color w:val="auto"/>
          <w:highlight w:val="none"/>
          <w:lang w:eastAsia="zh-CN"/>
        </w:rPr>
        <w:t>★</w:t>
      </w:r>
      <w:r>
        <w:rPr>
          <w:rFonts w:hint="eastAsia" w:ascii="仿宋" w:hAnsi="仿宋" w:eastAsia="仿宋" w:cs="仿宋"/>
          <w:color w:val="auto"/>
          <w:highlight w:val="none"/>
        </w:rPr>
        <w:t>”系产品采购项目中重要技术参数。</w:t>
      </w:r>
    </w:p>
    <w:p w14:paraId="07114BBA">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（三）投标委托</w:t>
      </w:r>
    </w:p>
    <w:p w14:paraId="0EF7D29E">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投标人可由法定代表人或其委托人进行投标，投标时须提供有效证明文件。</w:t>
      </w:r>
    </w:p>
    <w:p w14:paraId="0F4366AB">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（四）投标费用</w:t>
      </w:r>
    </w:p>
    <w:p w14:paraId="5815F1A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无论投标过程和结果如何，投标人均应自行承担所有与投标有关的全部费用。</w:t>
      </w:r>
    </w:p>
    <w:p w14:paraId="19C0157B">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（五）特别说明</w:t>
      </w:r>
    </w:p>
    <w:p w14:paraId="62FDE1EA">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1.投标人应仔细阅读招标文件的所有内容，按照招标文件的要求提交投标文件，并对所提供的全部资料的真实性承担法律责任。</w:t>
      </w:r>
    </w:p>
    <w:p w14:paraId="1D463A52">
      <w:pPr>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w:t>
      </w:r>
      <w:r>
        <w:rPr>
          <w:rFonts w:hint="eastAsia" w:ascii="仿宋" w:hAnsi="仿宋" w:eastAsia="仿宋" w:cs="仿宋"/>
          <w:color w:val="auto"/>
          <w:highlight w:val="none"/>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5B856B">
      <w:pPr>
        <w:pStyle w:val="2"/>
        <w:keepNext w:val="0"/>
        <w:keepLines w:val="0"/>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二、招标文件</w:t>
      </w:r>
    </w:p>
    <w:p w14:paraId="281DB2AE">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（一）招标文件的澄清</w:t>
      </w:r>
    </w:p>
    <w:p w14:paraId="6D5AE928">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应认真阅读本招标文件，发现其中有误或有不合理要求的，投标人应当在前附表规定时间前以书面形式（加盖公章的纸质信件和数据电文，包括传真、电子数据交换和电子邮件）（下同）向采购代理机构提出。采购代理机构将在规定时间内，以书面形式予以答复，同时将书面答复以邮寄、传真或类似的方式送达所有已报名的投标人，答复中包括原提出的问题，但不包括问题的来源。如规定时间内未收到任何质疑，则视为各投标人均对此无异议。</w:t>
      </w:r>
    </w:p>
    <w:p w14:paraId="7923178F">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 采购代理机构将视情况确定是否有必要在开标前对招标文件进行澄清，如有必要，将通过政采云平台通知所有已获取采购文件的潜在投标人。</w:t>
      </w:r>
    </w:p>
    <w:p w14:paraId="10AA52C1">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（二）招标文件的修改</w:t>
      </w:r>
    </w:p>
    <w:p w14:paraId="7E5D1887">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在投标截止期前任何时候，采购代理机构（采购人）无论是出于何种原因，均可对招标文件进行修改，并将修改的内容以书面的形式通过政采云平台通知所有获取采购文件的投标人。投标人应立即以书面形式回复确认已收到修改文件。</w:t>
      </w:r>
    </w:p>
    <w:p w14:paraId="5F35CAA8">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2.招标文件澄清、答复、修改、补充的内容为招标文件的组成部分。当招标文件与招标文件的答复、澄清、修改、补充通知就同一内容的表述不一致时，以最后发出的书面文件为准。</w:t>
      </w:r>
    </w:p>
    <w:p w14:paraId="1EC62EBB">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3.为使投标人有足够的时间按招标文件修改要求修正投标文件，采购代理机构可酌情推迟投标的截止日期和开标日期，并将具体变更情况通过政采云平台通知上述每一投标人。</w:t>
      </w:r>
    </w:p>
    <w:p w14:paraId="6206C7B2">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4.答疑或补充文件将作为招标文件的组成部分，对所有投标人均具有约束力。</w:t>
      </w:r>
    </w:p>
    <w:p w14:paraId="0313ED9B">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▲投标文件未按招标文件的澄清、修改的内容编制，又不符合实质性要求的，投标无效。</w:t>
      </w:r>
    </w:p>
    <w:p w14:paraId="36D38500">
      <w:pPr>
        <w:pStyle w:val="2"/>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三、投标文件</w:t>
      </w:r>
    </w:p>
    <w:p w14:paraId="3409F7D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CE6B147">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投标人进行电子投标应安装客户端软件—“</w:t>
      </w:r>
      <w:r>
        <w:rPr>
          <w:rFonts w:hint="eastAsia" w:cs="仿宋"/>
          <w:color w:val="auto"/>
          <w:highlight w:val="none"/>
          <w:lang w:val="en-US" w:eastAsia="zh-CN"/>
        </w:rPr>
        <w:t>乐</w:t>
      </w:r>
      <w:r>
        <w:rPr>
          <w:rFonts w:hint="eastAsia" w:ascii="仿宋" w:hAnsi="仿宋" w:eastAsia="仿宋" w:cs="仿宋"/>
          <w:color w:val="auto"/>
          <w:highlight w:val="none"/>
        </w:rPr>
        <w:t>采云电子交易客户端”，并按照招标文件和电子交易平台的要求编制并加密投标文件。</w:t>
      </w:r>
      <w:r>
        <w:rPr>
          <w:rFonts w:hint="eastAsia" w:ascii="仿宋" w:hAnsi="仿宋" w:eastAsia="仿宋" w:cs="仿宋"/>
          <w:b/>
          <w:bCs/>
          <w:color w:val="auto"/>
          <w:highlight w:val="none"/>
        </w:rPr>
        <w:t>投标人未按规定加密的投标文件，电子交易平台将拒收并提示。</w:t>
      </w:r>
    </w:p>
    <w:p w14:paraId="032A3D4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使用“</w:t>
      </w:r>
      <w:r>
        <w:rPr>
          <w:rFonts w:hint="eastAsia" w:cs="仿宋"/>
          <w:color w:val="auto"/>
          <w:highlight w:val="none"/>
          <w:lang w:eastAsia="zh-CN"/>
        </w:rPr>
        <w:t>乐采云电子交易客户端</w:t>
      </w:r>
      <w:r>
        <w:rPr>
          <w:rFonts w:hint="eastAsia" w:ascii="仿宋" w:hAnsi="仿宋" w:eastAsia="仿宋" w:cs="仿宋"/>
          <w:color w:val="auto"/>
          <w:highlight w:val="none"/>
        </w:rPr>
        <w:t>”需要提前申领CA数字证书，申领流程请自行前往“浙江政府采购网-下载专区-电子交易客户端-CA驱动和申领流程”进行查阅。</w:t>
      </w:r>
    </w:p>
    <w:p w14:paraId="2D1467DC">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（一）投标文件的语言及计量</w:t>
      </w:r>
    </w:p>
    <w:p w14:paraId="5384E0B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7990D97">
      <w:pPr>
        <w:wordWrap w:val="0"/>
        <w:topLinePunct/>
        <w:spacing w:line="440" w:lineRule="exact"/>
        <w:ind w:left="480" w:leftChars="200"/>
        <w:rPr>
          <w:rFonts w:hint="eastAsia" w:ascii="仿宋" w:hAnsi="仿宋" w:eastAsia="仿宋" w:cs="仿宋"/>
          <w:b/>
          <w:bCs/>
          <w:color w:val="auto"/>
          <w:highlight w:val="none"/>
        </w:rPr>
      </w:pPr>
      <w:r>
        <w:rPr>
          <w:rFonts w:hint="eastAsia" w:ascii="仿宋" w:hAnsi="仿宋" w:eastAsia="仿宋" w:cs="仿宋"/>
          <w:color w:val="auto"/>
          <w:highlight w:val="none"/>
        </w:rPr>
        <w:t>2.投标文件中如附有外文资料，须逐一对应翻译成中文汉语并附在相关外文资料后面。</w:t>
      </w:r>
      <w:r>
        <w:rPr>
          <w:rFonts w:hint="eastAsia" w:ascii="仿宋" w:hAnsi="仿宋" w:eastAsia="仿宋" w:cs="仿宋"/>
          <w:b/>
          <w:bCs/>
          <w:color w:val="auto"/>
          <w:highlight w:val="none"/>
        </w:rPr>
        <w:t>▲不提供准确翻译资料的，投标无效。</w:t>
      </w:r>
    </w:p>
    <w:p w14:paraId="2CC7D3D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3.投标计量单位，招标文件已有明确规定的，使用招标文件规定的计量单位；招标文件没有规定的，应采用中华人民共和国法定计量单位（货币单位：人民币元）。</w:t>
      </w:r>
    </w:p>
    <w:p w14:paraId="1C66053C">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（二）投标文件的组成</w:t>
      </w:r>
    </w:p>
    <w:p w14:paraId="2F461C45">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投标文件为电子投标文件。电子投标文件，按“</w:t>
      </w:r>
      <w:r>
        <w:rPr>
          <w:rFonts w:hint="eastAsia" w:cs="仿宋"/>
          <w:b/>
          <w:bCs/>
          <w:color w:val="auto"/>
          <w:highlight w:val="none"/>
          <w:lang w:val="en-US" w:eastAsia="zh-CN"/>
        </w:rPr>
        <w:t>乐</w:t>
      </w:r>
      <w:r>
        <w:rPr>
          <w:rFonts w:hint="eastAsia" w:ascii="仿宋" w:hAnsi="仿宋" w:eastAsia="仿宋" w:cs="仿宋"/>
          <w:b/>
          <w:bCs/>
          <w:color w:val="auto"/>
          <w:highlight w:val="none"/>
        </w:rPr>
        <w:t>采云供应商项目采购-电子招投标操作指南”及本招标文件要求制作、加密并递交。电子投标文件由资格文件、商务及技术文件和报价文件组成。</w:t>
      </w:r>
    </w:p>
    <w:p w14:paraId="4EF8CA8E">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1.资格文件</w:t>
      </w:r>
    </w:p>
    <w:p w14:paraId="708ADFF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cs="仿宋"/>
          <w:color w:val="auto"/>
          <w:highlight w:val="none"/>
          <w:lang w:eastAsia="zh-CN"/>
        </w:rPr>
        <w:t>（</w:t>
      </w:r>
      <w:r>
        <w:rPr>
          <w:rFonts w:hint="eastAsia" w:cs="仿宋"/>
          <w:color w:val="auto"/>
          <w:highlight w:val="none"/>
          <w:lang w:val="en-US" w:eastAsia="zh-CN"/>
        </w:rPr>
        <w:t>可不提供）</w:t>
      </w:r>
      <w:r>
        <w:rPr>
          <w:rFonts w:hint="eastAsia" w:ascii="仿宋" w:hAnsi="仿宋" w:eastAsia="仿宋" w:cs="仿宋"/>
          <w:color w:val="auto"/>
          <w:highlight w:val="none"/>
        </w:rPr>
        <w:t>；</w:t>
      </w:r>
    </w:p>
    <w:p w14:paraId="60FC4DA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F5966F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（2）符合参加采购活动应当具备的一般条件的承诺函（格式见附件）；</w:t>
      </w:r>
    </w:p>
    <w:p w14:paraId="366843F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（3）符合特定资格条件（如果项目要求）的有关证明材料（复印件）；</w:t>
      </w:r>
    </w:p>
    <w:p w14:paraId="47EF8551">
      <w:pPr>
        <w:wordWrap w:val="0"/>
        <w:topLinePunct/>
        <w:spacing w:line="440" w:lineRule="exact"/>
        <w:ind w:firstLine="480" w:firstLineChars="200"/>
        <w:rPr>
          <w:b/>
          <w:bCs/>
        </w:rPr>
      </w:pPr>
      <w:r>
        <w:rPr>
          <w:rFonts w:hint="eastAsia" w:ascii="仿宋" w:hAnsi="仿宋" w:eastAsia="仿宋" w:cs="仿宋"/>
          <w:color w:val="auto"/>
          <w:highlight w:val="none"/>
        </w:rPr>
        <w:t>（4）</w:t>
      </w:r>
      <w:r>
        <w:rPr>
          <w:rFonts w:hint="eastAsia" w:ascii="仿宋" w:hAnsi="仿宋" w:eastAsia="仿宋" w:cs="仿宋"/>
          <w:b/>
          <w:bCs/>
          <w:color w:val="auto"/>
          <w:highlight w:val="none"/>
        </w:rPr>
        <w:t>本项目的特定资格要求：</w:t>
      </w:r>
      <w:r>
        <w:rPr>
          <w:rFonts w:hint="eastAsia" w:ascii="宋体" w:hAnsi="宋体" w:cs="宋体"/>
          <w:b w:val="0"/>
          <w:color w:val="auto"/>
          <w:sz w:val="24"/>
          <w:szCs w:val="24"/>
          <w:highlight w:val="none"/>
          <w:lang w:val="en-US" w:eastAsia="zh-CN"/>
        </w:rPr>
        <w:t>电力工程施工总承包或建筑机电安装工程总承包（专业承包）叁级及以上，同时具有市政公用工程施工总承包叁级及以上和承装（修、试）电力设施许可证五级及以上。</w:t>
      </w:r>
    </w:p>
    <w:p w14:paraId="63F1E5C4">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2、商务技术文件</w:t>
      </w:r>
    </w:p>
    <w:p w14:paraId="43BE603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（1）提供有效的法定代表人授权委托书（格式见附件）；</w:t>
      </w:r>
    </w:p>
    <w:p w14:paraId="2697C2C9">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（如法定代表人直接参加投标并对相应文件签字的，只需提供其身份证复印件正反面）</w:t>
      </w:r>
    </w:p>
    <w:p w14:paraId="62248220">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▲投标文件中法定代表人授权委托书所载内容与本项目内容有异的，投标无效。</w:t>
      </w:r>
    </w:p>
    <w:p w14:paraId="4787E3A3">
      <w:pPr>
        <w:wordWrap w:val="0"/>
        <w:topLinePunct/>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（2）投标响应函</w:t>
      </w:r>
      <w:r>
        <w:rPr>
          <w:rFonts w:hint="eastAsia" w:ascii="仿宋" w:hAnsi="仿宋" w:eastAsia="仿宋" w:cs="仿宋"/>
          <w:color w:val="auto"/>
          <w:highlight w:val="none"/>
        </w:rPr>
        <w:t>（格式见附件）；</w:t>
      </w:r>
    </w:p>
    <w:p w14:paraId="748C50F5">
      <w:pPr>
        <w:wordWrap w:val="0"/>
        <w:topLinePunct/>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w:t>
      </w:r>
      <w:r>
        <w:rPr>
          <w:rFonts w:hint="eastAsia" w:ascii="仿宋" w:hAnsi="仿宋" w:eastAsia="仿宋" w:cs="仿宋"/>
          <w:color w:val="auto"/>
          <w:highlight w:val="none"/>
        </w:rPr>
        <w:t>采购供应商廉洁自律承诺书 （格式见附件）；</w:t>
      </w:r>
    </w:p>
    <w:p w14:paraId="7FA5D4BA">
      <w:pPr>
        <w:wordWrap w:val="0"/>
        <w:topLinePunct/>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（4）廉政承诺书</w:t>
      </w:r>
      <w:r>
        <w:rPr>
          <w:rFonts w:hint="eastAsia" w:ascii="仿宋" w:hAnsi="仿宋" w:eastAsia="仿宋" w:cs="仿宋"/>
          <w:color w:val="auto"/>
          <w:highlight w:val="none"/>
        </w:rPr>
        <w:t>（格式见附件）；</w:t>
      </w:r>
    </w:p>
    <w:p w14:paraId="7F715953">
      <w:pPr>
        <w:wordWrap w:val="0"/>
        <w:topLinePunct/>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（5）</w:t>
      </w:r>
      <w:r>
        <w:rPr>
          <w:rFonts w:hint="eastAsia" w:ascii="仿宋" w:hAnsi="仿宋" w:eastAsia="仿宋" w:cs="仿宋"/>
          <w:color w:val="auto"/>
          <w:highlight w:val="none"/>
        </w:rPr>
        <w:t>投标人情况介绍(格式见附件)；</w:t>
      </w:r>
    </w:p>
    <w:p w14:paraId="308CD8D0">
      <w:pPr>
        <w:wordWrap w:val="0"/>
        <w:topLinePunct/>
        <w:spacing w:line="440" w:lineRule="exact"/>
        <w:ind w:firstLine="480" w:firstLineChars="200"/>
        <w:rPr>
          <w:bCs/>
        </w:rPr>
      </w:pPr>
      <w:r>
        <w:rPr>
          <w:rFonts w:hint="eastAsia"/>
          <w:bCs/>
        </w:rPr>
        <w:t>（</w:t>
      </w:r>
      <w:r>
        <w:rPr>
          <w:rFonts w:hint="eastAsia"/>
          <w:bCs/>
          <w:lang w:val="en-US" w:eastAsia="zh-CN"/>
        </w:rPr>
        <w:t>6</w:t>
      </w:r>
      <w:r>
        <w:rPr>
          <w:rFonts w:hint="eastAsia"/>
          <w:bCs/>
        </w:rPr>
        <w:t>）投标人认为有必要提供的其他资信文件或说明。</w:t>
      </w:r>
    </w:p>
    <w:p w14:paraId="7BCA359E">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738260DA">
      <w:pPr>
        <w:wordWrap w:val="0"/>
        <w:topLinePunct/>
        <w:spacing w:line="440" w:lineRule="exact"/>
        <w:ind w:firstLine="480" w:firstLineChars="200"/>
        <w:rPr>
          <w:bCs/>
        </w:rPr>
      </w:pPr>
      <w:r>
        <w:rPr>
          <w:rFonts w:hint="eastAsia"/>
        </w:rPr>
        <w:t>（</w:t>
      </w:r>
      <w:r>
        <w:rPr>
          <w:rFonts w:hint="eastAsia"/>
          <w:lang w:val="en-US" w:eastAsia="zh-CN"/>
        </w:rPr>
        <w:t>7</w:t>
      </w:r>
      <w:r>
        <w:rPr>
          <w:rFonts w:hint="eastAsia"/>
        </w:rPr>
        <w:t>）相关体系认证证书、专利证书、荣誉或奖项、</w:t>
      </w:r>
      <w:r>
        <w:rPr>
          <w:rFonts w:hint="eastAsia"/>
          <w:bCs/>
        </w:rPr>
        <w:t>节能环保等的资质证书或文件</w:t>
      </w:r>
      <w:r>
        <w:rPr>
          <w:rFonts w:hint="eastAsia"/>
        </w:rPr>
        <w:t>（若有）；</w:t>
      </w:r>
    </w:p>
    <w:p w14:paraId="5C6FFC21">
      <w:pPr>
        <w:wordWrap w:val="0"/>
        <w:topLinePunct/>
        <w:spacing w:line="440" w:lineRule="exact"/>
        <w:ind w:firstLine="480" w:firstLineChars="200"/>
      </w:pPr>
      <w:r>
        <w:rPr>
          <w:rFonts w:hint="eastAsia"/>
        </w:rPr>
        <w:t>（</w:t>
      </w:r>
      <w:r>
        <w:rPr>
          <w:rFonts w:hint="eastAsia"/>
          <w:lang w:val="en-US" w:eastAsia="zh-CN"/>
        </w:rPr>
        <w:t>8</w:t>
      </w:r>
      <w:r>
        <w:rPr>
          <w:rFonts w:hint="eastAsia"/>
        </w:rPr>
        <w:t>）项目拟配置人员情况（主要从业人员及其技术资格）一览表(格式见附件)；</w:t>
      </w:r>
    </w:p>
    <w:p w14:paraId="6ECF2646">
      <w:pPr>
        <w:wordWrap w:val="0"/>
        <w:topLinePunct/>
        <w:spacing w:line="440" w:lineRule="exact"/>
        <w:ind w:firstLine="480" w:firstLineChars="200"/>
      </w:pPr>
      <w:r>
        <w:rPr>
          <w:rFonts w:hint="eastAsia"/>
        </w:rPr>
        <w:t>（</w:t>
      </w:r>
      <w:r>
        <w:rPr>
          <w:rFonts w:hint="eastAsia"/>
          <w:lang w:val="en-US" w:eastAsia="zh-CN"/>
        </w:rPr>
        <w:t>9</w:t>
      </w:r>
      <w:r>
        <w:rPr>
          <w:rFonts w:hint="eastAsia"/>
        </w:rPr>
        <w:t>）</w:t>
      </w:r>
      <w:r>
        <w:rPr>
          <w:rFonts w:hint="eastAsia"/>
          <w:bCs/>
        </w:rPr>
        <w:t>评标标准相应的商务技术资料；</w:t>
      </w:r>
    </w:p>
    <w:p w14:paraId="492C97AB">
      <w:pPr>
        <w:wordWrap w:val="0"/>
        <w:topLinePunct/>
        <w:spacing w:line="440" w:lineRule="exact"/>
        <w:ind w:firstLine="480" w:firstLineChars="200"/>
      </w:pPr>
      <w:r>
        <w:rPr>
          <w:rFonts w:hint="eastAsia"/>
        </w:rPr>
        <w:t>（</w:t>
      </w:r>
      <w:r>
        <w:rPr>
          <w:rFonts w:hint="eastAsia"/>
          <w:lang w:val="en-US" w:eastAsia="zh-CN"/>
        </w:rPr>
        <w:t>10</w:t>
      </w:r>
      <w:r>
        <w:rPr>
          <w:rFonts w:hint="eastAsia"/>
        </w:rPr>
        <w:t>）投标人同类项目实施业绩一览表(格式见附件)；</w:t>
      </w:r>
    </w:p>
    <w:p w14:paraId="7052CCE2">
      <w:pPr>
        <w:wordWrap w:val="0"/>
        <w:topLinePunct/>
        <w:spacing w:line="440" w:lineRule="exact"/>
        <w:ind w:firstLine="480" w:firstLineChars="200"/>
      </w:pPr>
      <w:r>
        <w:rPr>
          <w:rFonts w:hint="eastAsia"/>
        </w:rPr>
        <w:t>（1</w:t>
      </w:r>
      <w:r>
        <w:rPr>
          <w:rFonts w:hint="eastAsia"/>
          <w:lang w:val="en-US" w:eastAsia="zh-CN"/>
        </w:rPr>
        <w:t>1</w:t>
      </w:r>
      <w:r>
        <w:rPr>
          <w:rFonts w:hint="eastAsia"/>
        </w:rPr>
        <w:t>）投标人承诺给予采购人的各种优惠条件及特殊承诺；</w:t>
      </w:r>
    </w:p>
    <w:p w14:paraId="3CD75D74">
      <w:pPr>
        <w:wordWrap w:val="0"/>
        <w:topLinePunct/>
        <w:spacing w:line="440" w:lineRule="exact"/>
        <w:ind w:firstLine="480" w:firstLineChars="200"/>
        <w:rPr>
          <w:rFonts w:hint="eastAsia"/>
        </w:rPr>
      </w:pPr>
      <w:r>
        <w:rPr>
          <w:rFonts w:hint="eastAsia"/>
        </w:rPr>
        <w:t>（</w:t>
      </w:r>
      <w:r>
        <w:rPr>
          <w:rFonts w:hint="eastAsia"/>
          <w:lang w:val="en-US" w:eastAsia="zh-CN"/>
        </w:rPr>
        <w:t>12</w:t>
      </w:r>
      <w:r>
        <w:rPr>
          <w:rFonts w:hint="eastAsia"/>
        </w:rPr>
        <w:t>）投标人认为有必要提供的其他文件和说明（格式自拟）。</w:t>
      </w:r>
    </w:p>
    <w:p w14:paraId="22021AF5">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3.报价文件：</w:t>
      </w:r>
    </w:p>
    <w:p w14:paraId="032CD87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（1）开标一览表（格式见附件）；</w:t>
      </w:r>
    </w:p>
    <w:p w14:paraId="3F5EFD4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（2）报价明细表（格式见附件）；</w:t>
      </w:r>
    </w:p>
    <w:p w14:paraId="6C46596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3</w:t>
      </w:r>
      <w:r>
        <w:rPr>
          <w:rFonts w:hint="eastAsia" w:ascii="仿宋" w:hAnsi="仿宋" w:eastAsia="仿宋" w:cs="仿宋"/>
          <w:color w:val="auto"/>
          <w:highlight w:val="none"/>
        </w:rPr>
        <w:t>）投标人针对报价需要说明的其他文件和资料（格式自拟）。</w:t>
      </w:r>
    </w:p>
    <w:p w14:paraId="7199AD98">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（三）投标文件的编制、签署</w:t>
      </w:r>
    </w:p>
    <w:p w14:paraId="61545E45">
      <w:pPr>
        <w:wordWrap w:val="0"/>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组成投标文件的各项资料均应遵守本条：</w:t>
      </w:r>
    </w:p>
    <w:p w14:paraId="185D6AF7">
      <w:pPr>
        <w:wordWrap w:val="0"/>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1.投标文件的编制：</w:t>
      </w:r>
    </w:p>
    <w:p w14:paraId="1811851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2"/>
          <w:highlight w:val="none"/>
          <w:lang w:val="zh-CN"/>
        </w:rPr>
        <w:t>各投标人</w:t>
      </w:r>
      <w:r>
        <w:rPr>
          <w:rFonts w:hint="eastAsia" w:ascii="仿宋" w:hAnsi="仿宋" w:eastAsia="仿宋" w:cs="仿宋"/>
          <w:color w:val="auto"/>
          <w:kern w:val="0"/>
          <w:szCs w:val="22"/>
          <w:highlight w:val="none"/>
        </w:rPr>
        <w:t>应根据“政采云供应商项目采购-电子招投标操作指南”及本招标文件规定的格式和顺序编制电子投标文件并进行关联定位</w:t>
      </w:r>
      <w:r>
        <w:rPr>
          <w:rFonts w:hint="eastAsia" w:ascii="仿宋" w:hAnsi="仿宋" w:eastAsia="仿宋" w:cs="仿宋"/>
          <w:color w:val="auto"/>
          <w:kern w:val="0"/>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Cs w:val="22"/>
          <w:highlight w:val="none"/>
        </w:rPr>
        <w:t>▲投标文件未按规定的格式编制的，投标无效；</w:t>
      </w:r>
    </w:p>
    <w:p w14:paraId="5B3E6508">
      <w:pPr>
        <w:widowControl/>
        <w:snapToGrid w:val="0"/>
        <w:spacing w:before="156"/>
        <w:ind w:firstLine="480" w:firstLineChars="20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2.投标文件的签署、盖章：</w:t>
      </w:r>
    </w:p>
    <w:p w14:paraId="2EC87DE1">
      <w:pPr>
        <w:spacing w:line="440" w:lineRule="exact"/>
        <w:ind w:firstLine="480" w:firstLineChars="200"/>
        <w:rPr>
          <w:rFonts w:hint="eastAsia" w:ascii="仿宋" w:hAnsi="仿宋" w:eastAsia="仿宋" w:cs="仿宋"/>
          <w:b/>
          <w:bCs/>
          <w:color w:val="auto"/>
          <w:kern w:val="0"/>
          <w:szCs w:val="22"/>
          <w:highlight w:val="none"/>
        </w:rPr>
      </w:pPr>
      <w:r>
        <w:rPr>
          <w:rFonts w:hint="eastAsia" w:ascii="仿宋" w:hAnsi="仿宋" w:eastAsia="仿宋" w:cs="仿宋"/>
          <w:color w:val="auto"/>
          <w:kern w:val="0"/>
          <w:szCs w:val="22"/>
          <w:highlight w:val="none"/>
        </w:rPr>
        <w:t>投标文件按照招标文件格式要求进行签署、盖章，其中电子投标文件中所须加盖公章部分均采用CA签章。</w:t>
      </w:r>
      <w:r>
        <w:rPr>
          <w:rFonts w:hint="eastAsia" w:ascii="仿宋" w:hAnsi="仿宋" w:eastAsia="仿宋" w:cs="仿宋"/>
          <w:b/>
          <w:bCs/>
          <w:color w:val="auto"/>
          <w:highlight w:val="none"/>
        </w:rPr>
        <w:t>▲</w:t>
      </w:r>
      <w:r>
        <w:rPr>
          <w:rFonts w:hint="eastAsia" w:ascii="仿宋" w:hAnsi="仿宋" w:eastAsia="仿宋" w:cs="仿宋"/>
          <w:b/>
          <w:bCs/>
          <w:color w:val="auto"/>
          <w:kern w:val="0"/>
          <w:szCs w:val="22"/>
          <w:highlight w:val="none"/>
        </w:rPr>
        <w:t>投标人的投标文件未按照招标文件要求签署、盖章的，其投标无效。</w:t>
      </w:r>
    </w:p>
    <w:p w14:paraId="41FE7BED">
      <w:pPr>
        <w:snapToGrid w:val="0"/>
        <w:spacing w:before="156"/>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2"/>
          <w:highlight w:val="none"/>
        </w:rPr>
        <w:t>3.为确保网上操作合法、有效和安全，投标人应当在投标截止时间前完成在“政府采购云平台”的身份认证，确保在电子投标过程中能够对相关数据电文进行加密和使用电子签名。</w:t>
      </w:r>
    </w:p>
    <w:p w14:paraId="385473CE">
      <w:pPr>
        <w:ind w:firstLine="482" w:firstLineChars="200"/>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▲4.投标文件须由法定代表人或其授权代表签署。应由投标人法定代表人或授权代表签字的，须签名或电子签名，否则按无效标处理。</w:t>
      </w:r>
    </w:p>
    <w:p w14:paraId="1F7CF0DC">
      <w:pPr>
        <w:ind w:firstLine="482" w:firstLineChars="200"/>
        <w:rPr>
          <w:rFonts w:hint="eastAsia" w:ascii="仿宋" w:hAnsi="仿宋" w:eastAsia="仿宋" w:cs="仿宋"/>
          <w:color w:val="auto"/>
          <w:kern w:val="0"/>
          <w:highlight w:val="none"/>
        </w:rPr>
      </w:pPr>
      <w:r>
        <w:rPr>
          <w:rFonts w:hint="eastAsia" w:ascii="仿宋" w:hAnsi="仿宋" w:eastAsia="仿宋" w:cs="仿宋"/>
          <w:b/>
          <w:bCs/>
          <w:color w:val="auto"/>
          <w:highlight w:val="none"/>
        </w:rPr>
        <w:t>▲5</w:t>
      </w:r>
      <w:r>
        <w:rPr>
          <w:rFonts w:hint="eastAsia" w:ascii="仿宋" w:hAnsi="仿宋" w:eastAsia="仿宋" w:cs="仿宋"/>
          <w:b/>
          <w:bCs/>
          <w:color w:val="auto"/>
          <w:kern w:val="0"/>
          <w:highlight w:val="none"/>
        </w:rPr>
        <w:t>.</w:t>
      </w:r>
      <w:r>
        <w:rPr>
          <w:rFonts w:hint="eastAsia" w:ascii="仿宋" w:hAnsi="仿宋" w:eastAsia="仿宋" w:cs="仿宋"/>
          <w:b/>
          <w:color w:val="auto"/>
          <w:kern w:val="0"/>
          <w:highlight w:val="none"/>
        </w:rPr>
        <w:t>资格文件、商务及技术文件中不得出现投标报价等价格信息，否则按无效标处理。</w:t>
      </w:r>
    </w:p>
    <w:p w14:paraId="64F05E97">
      <w:pPr>
        <w:snapToGrid w:val="0"/>
        <w:spacing w:before="156"/>
        <w:ind w:firstLine="480" w:firstLineChars="200"/>
        <w:rPr>
          <w:rFonts w:hint="eastAsia" w:ascii="仿宋" w:hAnsi="仿宋" w:eastAsia="仿宋" w:cs="仿宋"/>
          <w:b/>
          <w:color w:val="auto"/>
          <w:kern w:val="0"/>
          <w:highlight w:val="none"/>
        </w:rPr>
      </w:pPr>
      <w:r>
        <w:rPr>
          <w:rFonts w:hint="eastAsia" w:ascii="仿宋" w:hAnsi="仿宋" w:eastAsia="仿宋" w:cs="仿宋"/>
          <w:color w:val="auto"/>
          <w:kern w:val="0"/>
          <w:highlight w:val="none"/>
        </w:rPr>
        <w:t>6.投标文件应字迹清楚、内容齐全、格式规范，如有修改，</w:t>
      </w:r>
      <w:r>
        <w:rPr>
          <w:rFonts w:hint="eastAsia" w:ascii="仿宋" w:hAnsi="仿宋" w:eastAsia="仿宋" w:cs="仿宋"/>
          <w:color w:val="auto"/>
          <w:highlight w:val="none"/>
        </w:rPr>
        <w:t>修改处须有法定代表人或其授权代表签名或电子签名并加盖投标人公章</w:t>
      </w:r>
      <w:r>
        <w:rPr>
          <w:rFonts w:hint="eastAsia" w:ascii="仿宋" w:hAnsi="仿宋" w:eastAsia="仿宋" w:cs="仿宋"/>
          <w:color w:val="auto"/>
          <w:kern w:val="0"/>
          <w:highlight w:val="none"/>
        </w:rPr>
        <w:t>。投标文件因字迹潦草或表达不清所引起的后果由投标人负责</w:t>
      </w:r>
      <w:r>
        <w:rPr>
          <w:rFonts w:hint="eastAsia" w:ascii="仿宋" w:hAnsi="仿宋" w:eastAsia="仿宋" w:cs="仿宋"/>
          <w:color w:val="auto"/>
          <w:kern w:val="0"/>
          <w:szCs w:val="22"/>
          <w:highlight w:val="none"/>
        </w:rPr>
        <w:t>。</w:t>
      </w:r>
    </w:p>
    <w:p w14:paraId="16273908">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（四）投标报价                                          </w:t>
      </w:r>
    </w:p>
    <w:p w14:paraId="567FD8D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1.所有投标报价均以人民币元为计算单位。投标报价应是唯一的，采购人将拒绝有选择的报价，投标报价应按招标文件中相关附表格式填报。</w:t>
      </w:r>
    </w:p>
    <w:p w14:paraId="20B6484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2.投标价格应该已经扣除所有同业折扣以及现金折扣。投标报价应包括所需缴纳的所有税费、项目实施所需的一切费用。</w:t>
      </w:r>
    </w:p>
    <w:p w14:paraId="6D2ED310">
      <w:pPr>
        <w:spacing w:line="440" w:lineRule="exact"/>
        <w:ind w:firstLine="470" w:firstLineChars="196"/>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3.投标报价的确认：采购代理机构在</w:t>
      </w:r>
      <w:r>
        <w:rPr>
          <w:rFonts w:hint="eastAsia" w:cs="仿宋"/>
          <w:b w:val="0"/>
          <w:bCs w:val="0"/>
          <w:color w:val="auto"/>
          <w:highlight w:val="none"/>
          <w:lang w:val="en-US" w:eastAsia="zh-CN"/>
        </w:rPr>
        <w:t>乐</w:t>
      </w:r>
      <w:r>
        <w:rPr>
          <w:rFonts w:hint="eastAsia" w:ascii="仿宋" w:hAnsi="仿宋" w:eastAsia="仿宋" w:cs="仿宋"/>
          <w:b w:val="0"/>
          <w:bCs w:val="0"/>
          <w:color w:val="auto"/>
          <w:highlight w:val="none"/>
        </w:rPr>
        <w:t>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E985E88">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（五）投标文件的递交、补充和修改</w:t>
      </w:r>
    </w:p>
    <w:p w14:paraId="281A572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14:paraId="0475320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2.投标文件的补充和修改</w:t>
      </w:r>
    </w:p>
    <w:p w14:paraId="56F50EFF">
      <w:pPr>
        <w:spacing w:line="440" w:lineRule="exact"/>
        <w:ind w:firstLine="470" w:firstLineChars="196"/>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EFDB8E6">
      <w:pPr>
        <w:pStyle w:val="480"/>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3.投标截止时间和有效时间</w:t>
      </w:r>
    </w:p>
    <w:p w14:paraId="6FB7A779">
      <w:pPr>
        <w:pStyle w:val="480"/>
        <w:wordWrap w:val="0"/>
        <w:topLinePunct/>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rPr>
        <w:t>投标截止时间见前附表</w:t>
      </w:r>
      <w:r>
        <w:rPr>
          <w:rFonts w:hint="eastAsia" w:ascii="仿宋" w:hAnsi="仿宋" w:eastAsia="仿宋" w:cs="仿宋"/>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2D0BF136">
      <w:pPr>
        <w:pStyle w:val="480"/>
        <w:wordWrap w:val="0"/>
        <w:topLinePunct/>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（2）投标截止时间后，投标人登录政采云平台，用“项目采购-开标评标”功能对电子投标文件进行在线解密。</w:t>
      </w:r>
      <w:r>
        <w:rPr>
          <w:rFonts w:hint="eastAsia" w:ascii="仿宋" w:hAnsi="仿宋" w:eastAsia="仿宋" w:cs="仿宋"/>
          <w:b/>
          <w:bCs/>
          <w:color w:val="auto"/>
          <w:highlight w:val="none"/>
        </w:rPr>
        <w:t>在线解密电子投标文件时间为开标时间起30分钟内。</w:t>
      </w:r>
    </w:p>
    <w:p w14:paraId="769739FB">
      <w:pPr>
        <w:pStyle w:val="480"/>
        <w:wordWrap w:val="0"/>
        <w:topLinePunct/>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b/>
          <w:bCs/>
          <w:color w:val="auto"/>
          <w:highlight w:val="none"/>
        </w:rPr>
        <w:t>投标有效期为从提交投标文件的截止之日起90天。</w:t>
      </w:r>
      <w:r>
        <w:rPr>
          <w:rFonts w:hint="eastAsia" w:ascii="仿宋" w:hAnsi="仿宋" w:eastAsia="仿宋" w:cs="仿宋"/>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48135C4E">
      <w:pPr>
        <w:pStyle w:val="2"/>
        <w:keepNext w:val="0"/>
        <w:keepLines w:val="0"/>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四、开标</w:t>
      </w:r>
    </w:p>
    <w:p w14:paraId="1E6694E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bCs/>
          <w:color w:val="auto"/>
          <w:highlight w:val="none"/>
        </w:rPr>
        <w:t>按照招标文件规定的时间地点通过电子交易平台组织开标，</w:t>
      </w:r>
      <w:r>
        <w:rPr>
          <w:rFonts w:hint="eastAsia" w:ascii="仿宋" w:hAnsi="仿宋" w:eastAsia="仿宋" w:cs="仿宋"/>
          <w:color w:val="auto"/>
          <w:highlight w:val="none"/>
        </w:rPr>
        <w:t>各投标人法定代表人（负责人）或其授权代表应准时参与在线电子投标，否则事后不得对采购相关人员、开标过程和开标结果提出异议。</w:t>
      </w:r>
      <w:r>
        <w:rPr>
          <w:rFonts w:hint="eastAsia" w:ascii="仿宋" w:hAnsi="仿宋" w:eastAsia="仿宋" w:cs="仿宋"/>
          <w:b/>
          <w:bCs/>
          <w:color w:val="auto"/>
          <w:highlight w:val="none"/>
        </w:rPr>
        <w:t>响应投标人不足3家的，不得开标。</w:t>
      </w:r>
    </w:p>
    <w:p w14:paraId="788F092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（一）开标会由采购代理机构主持，在电子交易平台进行。</w:t>
      </w:r>
    </w:p>
    <w:p w14:paraId="2C03AC8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ascii="仿宋" w:hAnsi="仿宋" w:eastAsia="仿宋" w:cs="仿宋"/>
          <w:b/>
          <w:bCs/>
          <w:color w:val="auto"/>
          <w:highlight w:val="none"/>
        </w:rPr>
        <w:t>30分钟内</w:t>
      </w:r>
      <w:r>
        <w:rPr>
          <w:rFonts w:hint="eastAsia" w:ascii="仿宋" w:hAnsi="仿宋" w:eastAsia="仿宋" w:cs="仿宋"/>
          <w:color w:val="auto"/>
          <w:highlight w:val="none"/>
        </w:rPr>
        <w:t>。所有投标人均应当准时在线参加</w:t>
      </w:r>
      <w:r>
        <w:rPr>
          <w:rFonts w:hint="eastAsia" w:ascii="仿宋" w:hAnsi="仿宋" w:eastAsia="仿宋" w:cs="仿宋"/>
          <w:b/>
          <w:bCs/>
          <w:color w:val="auto"/>
          <w:highlight w:val="none"/>
        </w:rPr>
        <w:t>。</w:t>
      </w:r>
    </w:p>
    <w:p w14:paraId="6D431A1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（三）开标解密后，采购人和（或）采购代理机构依法对投标人的资格进行审查，依据法律法规和招标文件的规定，对投标人的资格文件进行审查。</w:t>
      </w:r>
      <w:r>
        <w:rPr>
          <w:rFonts w:hint="eastAsia" w:ascii="仿宋" w:hAnsi="仿宋" w:eastAsia="仿宋" w:cs="仿宋"/>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highlight w:val="none"/>
        </w:rPr>
        <w:t>对未通过资格审查的投标人，采购人或采购代理机构告知其未通过的原因。评标委员会对通过资格审查的投标人的商务技术响应文件进行评审。</w:t>
      </w:r>
    </w:p>
    <w:p w14:paraId="54387A79">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（四）合格投标人不足3家的，不再评标。</w:t>
      </w:r>
    </w:p>
    <w:p w14:paraId="64DE6D2A">
      <w:pPr>
        <w:wordWrap w:val="0"/>
        <w:topLinePunct/>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特别说明：</w:t>
      </w:r>
    </w:p>
    <w:p w14:paraId="6BEFF5E9">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cs="仿宋"/>
          <w:b/>
          <w:bCs/>
          <w:color w:val="auto"/>
          <w:highlight w:val="none"/>
          <w:lang w:val="en-US" w:eastAsia="zh-CN"/>
        </w:rPr>
        <w:t>乐</w:t>
      </w:r>
      <w:r>
        <w:rPr>
          <w:rFonts w:hint="eastAsia" w:ascii="仿宋" w:hAnsi="仿宋" w:eastAsia="仿宋" w:cs="仿宋"/>
          <w:b/>
          <w:bCs/>
          <w:color w:val="auto"/>
          <w:highlight w:val="none"/>
        </w:rPr>
        <w:t>采云公司如对电子化开标及评审程序有调整的，按调整后的程序操作。</w:t>
      </w:r>
    </w:p>
    <w:p w14:paraId="0DAB7846">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2、采购全流程电子化交易，投标人须在规定时间内自行解密。</w:t>
      </w:r>
    </w:p>
    <w:p w14:paraId="79C3517C">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3、本项目原则上采用</w:t>
      </w:r>
      <w:r>
        <w:rPr>
          <w:rFonts w:hint="eastAsia" w:cs="仿宋"/>
          <w:b/>
          <w:bCs/>
          <w:color w:val="auto"/>
          <w:highlight w:val="none"/>
          <w:lang w:val="en-US" w:eastAsia="zh-CN"/>
        </w:rPr>
        <w:t>乐</w:t>
      </w:r>
      <w:r>
        <w:rPr>
          <w:rFonts w:hint="eastAsia" w:ascii="仿宋" w:hAnsi="仿宋" w:eastAsia="仿宋" w:cs="仿宋"/>
          <w:b/>
          <w:bCs/>
          <w:color w:val="auto"/>
          <w:highlight w:val="none"/>
        </w:rPr>
        <w:t>采云电子招投标开标及评审程序，但有下情形之一的，按以下情况处理：</w:t>
      </w:r>
    </w:p>
    <w:p w14:paraId="032D4272">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（1）若个别投标人在规定时间内无法解密或解密失败的，作无效投标处理。解密成功的投标人不足三家的，本项目重新组织采购活动。</w:t>
      </w:r>
    </w:p>
    <w:p w14:paraId="53213761">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（2）若因</w:t>
      </w:r>
      <w:r>
        <w:rPr>
          <w:rFonts w:hint="eastAsia" w:cs="仿宋"/>
          <w:b/>
          <w:bCs/>
          <w:color w:val="auto"/>
          <w:highlight w:val="none"/>
          <w:lang w:val="en-US" w:eastAsia="zh-CN"/>
        </w:rPr>
        <w:t>乐</w:t>
      </w:r>
      <w:r>
        <w:rPr>
          <w:rFonts w:hint="eastAsia" w:ascii="仿宋" w:hAnsi="仿宋" w:eastAsia="仿宋" w:cs="仿宋"/>
          <w:b/>
          <w:bCs/>
          <w:color w:val="auto"/>
          <w:highlight w:val="none"/>
        </w:rPr>
        <w:t>采云平台原因无法读取或电子开评标无法正常进行，采购代理机构将情况上报行业监管部门同意后，重新组织采购活动。</w:t>
      </w:r>
    </w:p>
    <w:p w14:paraId="078AE5CC">
      <w:pPr>
        <w:pStyle w:val="2"/>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五、评标</w:t>
      </w:r>
    </w:p>
    <w:p w14:paraId="5C3E7C68">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14:paraId="264135AF">
      <w:pPr>
        <w:wordWrap w:val="0"/>
        <w:topLinePunct/>
        <w:spacing w:line="440" w:lineRule="exact"/>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1.评标委员会的组成。</w:t>
      </w:r>
      <w:r>
        <w:rPr>
          <w:rFonts w:hint="eastAsia" w:ascii="仿宋" w:hAnsi="仿宋" w:eastAsia="仿宋" w:cs="仿宋"/>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372DF1E3">
      <w:pPr>
        <w:wordWrap w:val="0"/>
        <w:topLinePunct/>
        <w:spacing w:line="440" w:lineRule="exact"/>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2.评标委员会组成人员的回避。</w:t>
      </w:r>
      <w:r>
        <w:rPr>
          <w:rFonts w:hint="eastAsia" w:ascii="仿宋" w:hAnsi="仿宋" w:eastAsia="仿宋" w:cs="仿宋"/>
          <w:color w:val="auto"/>
          <w:highlight w:val="none"/>
        </w:rPr>
        <w:t>在采购活动中，评标委员会的组成人员与供应商有下列利害关系之一的，应当回避：</w:t>
      </w:r>
    </w:p>
    <w:p w14:paraId="4C6A776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（1）参加采购活动前3年内与供应商存在劳动关系；</w:t>
      </w:r>
    </w:p>
    <w:p w14:paraId="0DEF63F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（2）参加采购活动前3年内担任供应商的董事、监事；</w:t>
      </w:r>
    </w:p>
    <w:p w14:paraId="3EE8D96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（3）参加采购活动前3年内是供应商的控股股东或者实际控制人；</w:t>
      </w:r>
    </w:p>
    <w:p w14:paraId="7D70A45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（4）与供应商的法定代表人或者负责人有夫妻、直系血亲、三代以内旁系血亲或者近姻亲关系；</w:t>
      </w:r>
    </w:p>
    <w:p w14:paraId="4336A307">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（5）与供应商有其他可能影响采购活动公平、公正进行的关系。</w:t>
      </w:r>
    </w:p>
    <w:p w14:paraId="2A0B4984">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3.评标委员会负责具体评标事务，并独立履行下列职责：</w:t>
      </w:r>
    </w:p>
    <w:p w14:paraId="6BCD47F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（1）审查、评价投标文件是否符合招标文件的商务、技术等实质性要求；</w:t>
      </w:r>
    </w:p>
    <w:p w14:paraId="14EA9C5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（2）要求投标人对投标文件有关事项作出澄清或者说明；</w:t>
      </w:r>
    </w:p>
    <w:p w14:paraId="796A27F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w:t>
      </w:r>
    </w:p>
    <w:p w14:paraId="62B26283">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（4）确定中标候选人名单，以及根据采购人委托直接确定中标人；</w:t>
      </w:r>
    </w:p>
    <w:p w14:paraId="613E6124">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（5）向采购人或者有关部门报告评标中发现的违法行为；</w:t>
      </w:r>
    </w:p>
    <w:p w14:paraId="04A20CD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（6）法律、法规、规章、招标文件等规定的其它事项。</w:t>
      </w:r>
    </w:p>
    <w:p w14:paraId="3F6993FF">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4.评标委员会及其成员不得有下列行为：</w:t>
      </w:r>
    </w:p>
    <w:p w14:paraId="743172C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（1）确定参与评标至评标结束前私自接触投标人；</w:t>
      </w:r>
    </w:p>
    <w:p w14:paraId="21F1C23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（2）接受投标人提出的与投标文件不一致的澄清或者说明；</w:t>
      </w:r>
    </w:p>
    <w:p w14:paraId="1978BCE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（3）违反评标纪律发表倾向性意见或者征询采购人的倾向性意见；</w:t>
      </w:r>
    </w:p>
    <w:p w14:paraId="63C8AA8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（4）对需要专业判断的主观评审因素协商评分；</w:t>
      </w:r>
    </w:p>
    <w:p w14:paraId="64A2A87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（5）在评标过程中擅离职守，影响评标程序正常进行的；</w:t>
      </w:r>
    </w:p>
    <w:p w14:paraId="1004C86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（6）记录、复制或者带走任何评标资料；</w:t>
      </w:r>
    </w:p>
    <w:p w14:paraId="4DD35187">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（7）其他不遵守评标纪律的行为。评标委员会成员有（1）-（5）行为之一的，其评审意见无效，并不得获取评审劳务报酬和报销异地评审差旅费。</w:t>
      </w:r>
    </w:p>
    <w:p w14:paraId="705F0B49">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（二）评标原则</w:t>
      </w:r>
    </w:p>
    <w:p w14:paraId="6DA6FA3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1.评标委员会必须公平、公正、客观，不带任何倾向性和启发性；按照招标文件的要求和条件进行评标；客观、公正地对待所有投标人，对所有投标评审，均采用相同的程序和标准。</w:t>
      </w:r>
    </w:p>
    <w:p w14:paraId="0D47D183">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6D874B7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1C94935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4.在开标、评标期间，任何单位和个人不得干扰、影响评标的正常进行，投标人不得向评标委员会成员询问评标情况，不得进行旨在影响评标结果的活动，否则将废除其投标资格。</w:t>
      </w:r>
    </w:p>
    <w:p w14:paraId="570DDF8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5、评标方法及评分标准等，详见招标文件“第三章  评标办法及评分标准”。</w:t>
      </w:r>
    </w:p>
    <w:p w14:paraId="16AB5A94">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（三）评标程序</w:t>
      </w:r>
    </w:p>
    <w:p w14:paraId="137F1014">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本项目评标一般将按以下程序进行：投标文件初审、样品评审（若有）、投标文件的澄清、商务及技术文件的比较与评价、报价文件的比较与评审、推荐中标候选人和编写评标报告等。</w:t>
      </w:r>
    </w:p>
    <w:p w14:paraId="36754683">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1.投标文件初审</w:t>
      </w:r>
    </w:p>
    <w:p w14:paraId="24932A37">
      <w:pPr>
        <w:wordWrap w:val="0"/>
        <w:topLinePunct/>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（1）资格性审查</w:t>
      </w:r>
      <w:r>
        <w:rPr>
          <w:rFonts w:hint="eastAsia" w:ascii="仿宋" w:hAnsi="仿宋" w:eastAsia="仿宋" w:cs="仿宋"/>
          <w:color w:val="auto"/>
          <w:highlight w:val="none"/>
        </w:rPr>
        <w:t>：由评标小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ascii="仿宋" w:hAnsi="仿宋" w:eastAsia="仿宋" w:cs="仿宋"/>
          <w:b/>
          <w:bCs/>
          <w:color w:val="auto"/>
          <w:highlight w:val="none"/>
        </w:rPr>
        <w:t>信用信息的使用规则</w:t>
      </w:r>
      <w:r>
        <w:rPr>
          <w:rFonts w:hint="eastAsia" w:ascii="仿宋" w:hAnsi="仿宋" w:eastAsia="仿宋" w:cs="仿宋"/>
          <w:color w:val="auto"/>
          <w:highlight w:val="none"/>
        </w:rPr>
        <w:t>：经查询列入失信被执行人名单、重大税收违法失信主体、政府采购严重违法失信行为记录名单的投标人将被拒绝参与采购活动</w:t>
      </w:r>
      <w:r>
        <w:rPr>
          <w:rFonts w:hint="eastAsia" w:ascii="仿宋" w:hAnsi="仿宋" w:eastAsia="仿宋" w:cs="仿宋"/>
          <w:b/>
          <w:bCs/>
          <w:color w:val="auto"/>
          <w:kern w:val="0"/>
          <w:szCs w:val="22"/>
          <w:highlight w:val="none"/>
        </w:rPr>
        <w:t>。</w:t>
      </w:r>
    </w:p>
    <w:p w14:paraId="3912DB5F">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bCs/>
          <w:color w:val="auto"/>
          <w:kern w:val="0"/>
          <w:highlight w:val="none"/>
        </w:rPr>
        <w:t>▲</w:t>
      </w:r>
      <w:r>
        <w:rPr>
          <w:rFonts w:hint="eastAsia" w:ascii="仿宋" w:hAnsi="仿宋" w:eastAsia="仿宋" w:cs="仿宋"/>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177E35FA">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资格不符合的，应组织相关投标人代表进行陈述、澄清或申辩。资格性审查不合格的投标人则无须继续进行符合性审查，并且投标文件初审结论不合格。</w:t>
      </w:r>
    </w:p>
    <w:p w14:paraId="3175EF9E">
      <w:pPr>
        <w:wordWrap w:val="0"/>
        <w:topLinePunct/>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（2）符合性审查：</w:t>
      </w:r>
      <w:r>
        <w:rPr>
          <w:rFonts w:hint="eastAsia" w:ascii="仿宋" w:hAnsi="仿宋" w:eastAsia="仿宋" w:cs="仿宋"/>
          <w:color w:val="auto"/>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553F9EE7">
      <w:pPr>
        <w:wordWrap w:val="0"/>
        <w:topLinePunct/>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highlight w:val="none"/>
        </w:rPr>
        <w:t>投标文件的澄清</w:t>
      </w:r>
    </w:p>
    <w:p w14:paraId="21C1A8B4">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75B53F75">
      <w:pPr>
        <w:wordWrap w:val="0"/>
        <w:topLinePunct/>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3.商务及技术文件的比较与评价</w:t>
      </w:r>
    </w:p>
    <w:p w14:paraId="5841F97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284F1B92">
      <w:pPr>
        <w:pStyle w:val="7"/>
        <w:keepNext w:val="0"/>
        <w:keepLines w:val="0"/>
        <w:wordWrap w:val="0"/>
        <w:topLinePunct/>
        <w:spacing w:line="440" w:lineRule="exact"/>
        <w:ind w:left="0" w:firstLine="472" w:firstLineChars="196"/>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4.报价文件的比较与评审</w:t>
      </w:r>
    </w:p>
    <w:p w14:paraId="03BD44D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ascii="仿宋" w:hAnsi="仿宋" w:eastAsia="仿宋" w:cs="仿宋"/>
          <w:b/>
          <w:bCs/>
          <w:color w:val="auto"/>
          <w:highlight w:val="none"/>
        </w:rPr>
        <w:t>10分钟内</w:t>
      </w:r>
      <w:r>
        <w:rPr>
          <w:rFonts w:hint="eastAsia" w:ascii="仿宋" w:hAnsi="仿宋" w:eastAsia="仿宋" w:cs="仿宋"/>
          <w:color w:val="auto"/>
          <w:highlight w:val="none"/>
        </w:rPr>
        <w:t>进行在线核实的，视作无异议，不影响评标过程和结果。</w:t>
      </w:r>
    </w:p>
    <w:p w14:paraId="6E278401">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7D82D3F8">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投标文件报价出现前后不一致的，按照下列规定修正：</w:t>
      </w:r>
    </w:p>
    <w:p w14:paraId="25E407D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（1）投标文件中开标一览表内容与投标文件中相应内容不一致的，以开标一览表为准；</w:t>
      </w:r>
    </w:p>
    <w:p w14:paraId="2476AAC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（2）大写金额和小写金额不一致的，以大写金额为准；</w:t>
      </w:r>
    </w:p>
    <w:p w14:paraId="38F3F56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（3）单价金额小数点或者百分比有明显错位的，以开标一览表的总价为准，并修改单价；</w:t>
      </w:r>
    </w:p>
    <w:p w14:paraId="2EE49BF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（4）总价金额与按单价汇总金额不一致的，以单价金额计算结果为准；</w:t>
      </w:r>
    </w:p>
    <w:p w14:paraId="175B3AFC">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（5）政采云电子交易平台-开标记录模块的报价与投标响应文件中的报价不一致的，以投标响应文件中的报价为准。</w:t>
      </w:r>
    </w:p>
    <w:p w14:paraId="17D75F2F">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color w:val="auto"/>
          <w:highlight w:val="none"/>
        </w:rPr>
        <w:t>▲投标人对根据修正原则修正后的报价不确认的，投标无效。</w:t>
      </w:r>
    </w:p>
    <w:p w14:paraId="428A5AA3">
      <w:pPr>
        <w:wordWrap w:val="0"/>
        <w:topLinePunct/>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5.推荐中标候选人与编写评标报告</w:t>
      </w:r>
    </w:p>
    <w:p w14:paraId="52EFA4D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4661315A">
      <w:pPr>
        <w:wordWrap w:val="0"/>
        <w:topLinePunct/>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说明：供应商拒绝澄清或者澄清的内容改变了投标文件的实质性内容或者需要现场演示的授权代表未到场的，评标委员会有权对该投标文件作出不利于投标人的评判。</w:t>
      </w:r>
    </w:p>
    <w:p w14:paraId="52FD8171">
      <w:pPr>
        <w:spacing w:line="440" w:lineRule="exact"/>
        <w:ind w:firstLine="482"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3010FE">
      <w:pPr>
        <w:topLinePunct/>
        <w:spacing w:line="440" w:lineRule="exact"/>
        <w:ind w:firstLine="643" w:firstLineChars="200"/>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六、无效的投标</w:t>
      </w:r>
    </w:p>
    <w:p w14:paraId="5E759817">
      <w:pPr>
        <w:wordWrap w:val="0"/>
        <w:topLinePunct/>
        <w:spacing w:line="440" w:lineRule="exact"/>
        <w:ind w:firstLine="482" w:firstLineChars="200"/>
        <w:outlineLvl w:val="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发生下列情况之一的投标文件被视为无效：</w:t>
      </w:r>
    </w:p>
    <w:p w14:paraId="6326F7FA">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（一）未办理获取采购文件登记手续的；</w:t>
      </w:r>
    </w:p>
    <w:p w14:paraId="5A236168">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（二）投标人仅提交备份投标文件，没有在电子交易平台传输递交投标文件的，投标无效；</w:t>
      </w:r>
    </w:p>
    <w:p w14:paraId="49669406">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（三）投标文件组成漏项或未按规定的格式编制，内容不全或内容字迹模糊辨认不清影响评标的；</w:t>
      </w:r>
    </w:p>
    <w:p w14:paraId="25C98286">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（四）投标人未能通过资格审查的：未按照招标文件要求提供与基本资格条件、特定资格条件相应的有效资格证明材料的；</w:t>
      </w:r>
      <w:r>
        <w:rPr>
          <w:rFonts w:hint="eastAsia" w:ascii="仿宋" w:hAnsi="仿宋" w:eastAsia="仿宋" w:cs="仿宋"/>
          <w:color w:val="auto"/>
          <w:highlight w:val="none"/>
        </w:rPr>
        <w:t>如以联合体形式参加采购活动的，联合协议不符合招标文件规定的联合协议要求的。</w:t>
      </w:r>
    </w:p>
    <w:p w14:paraId="77F42D02">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五）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6B8580DB">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（六）</w:t>
      </w:r>
      <w:r>
        <w:rPr>
          <w:rFonts w:hint="eastAsia" w:ascii="仿宋" w:hAnsi="仿宋" w:eastAsia="仿宋" w:cs="仿宋"/>
          <w:color w:val="auto"/>
          <w:kern w:val="0"/>
          <w:highlight w:val="none"/>
          <w:lang w:val="zh-CN"/>
        </w:rPr>
        <w:t>投标人有</w:t>
      </w:r>
      <w:r>
        <w:rPr>
          <w:rFonts w:hint="eastAsia" w:ascii="仿宋" w:hAnsi="仿宋" w:eastAsia="仿宋" w:cs="仿宋"/>
          <w:color w:val="auto"/>
          <w:kern w:val="0"/>
          <w:highlight w:val="none"/>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kern w:val="0"/>
          <w:highlight w:val="none"/>
          <w:u w:val="single"/>
        </w:rPr>
        <w:t>可不对《符合参加政府采购活动应当具备的一般条件的承诺函》第（一）款第4点作出承诺</w:t>
      </w:r>
      <w:r>
        <w:rPr>
          <w:rFonts w:hint="eastAsia" w:ascii="仿宋" w:hAnsi="仿宋" w:eastAsia="仿宋" w:cs="仿宋"/>
          <w:color w:val="auto"/>
          <w:kern w:val="0"/>
          <w:highlight w:val="none"/>
        </w:rPr>
        <w:t>，但未详细说明失信记录的情况的。</w:t>
      </w:r>
    </w:p>
    <w:p w14:paraId="089FCE0B">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（七）</w:t>
      </w:r>
      <w:r>
        <w:rPr>
          <w:rFonts w:hint="eastAsia" w:ascii="仿宋" w:hAnsi="仿宋" w:eastAsia="仿宋" w:cs="仿宋"/>
          <w:color w:val="auto"/>
          <w:highlight w:val="none"/>
        </w:rPr>
        <w:t>递交两个或多个内容不同的投标方案的，或投标报价不是唯一的，有选择性的。</w:t>
      </w:r>
    </w:p>
    <w:p w14:paraId="432945D5">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3F90BB09">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（九）投标文件未按招标文件的最新澄清、修改的内容进行编制，又不符合实质性要求的；</w:t>
      </w:r>
    </w:p>
    <w:p w14:paraId="776F250D">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（十）技术规格/服务条款偏离表中内容与实际不符的；</w:t>
      </w:r>
    </w:p>
    <w:p w14:paraId="16524083">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（十一）</w:t>
      </w:r>
      <w:r>
        <w:rPr>
          <w:rFonts w:hint="eastAsia" w:ascii="仿宋" w:hAnsi="仿宋" w:eastAsia="仿宋" w:cs="仿宋"/>
          <w:color w:val="auto"/>
          <w:szCs w:val="24"/>
          <w:highlight w:val="none"/>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251DDD12">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（十二）投标文件必须由法定代表人或其授权代表签署部分，未进行签名或电子签名的；</w:t>
      </w:r>
    </w:p>
    <w:p w14:paraId="28A34195">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（十三）资格文件、商务及技术文件中出现投标价格信息的，或不符合报价文件规定要求的；</w:t>
      </w:r>
    </w:p>
    <w:p w14:paraId="3E32825C">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（十四）投标报价超过本项目采购预算价或最高限价的；</w:t>
      </w:r>
    </w:p>
    <w:p w14:paraId="1030EC73">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08003C57">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（十六）报价文件中有0报价的；</w:t>
      </w:r>
    </w:p>
    <w:p w14:paraId="74A45DED">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（十七）投标人对根据修正原则修正后的报价不确认的；</w:t>
      </w:r>
    </w:p>
    <w:p w14:paraId="6C8987FB">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（十八）商务及技术文件和报价文件中的投标产品或服务不一致的；</w:t>
      </w:r>
    </w:p>
    <w:p w14:paraId="4D61934D">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（十九）单位负责人为同一人或者存在直接控股、管理关系的不同供应商参加同一合同项下的采购活动的（均无效）；</w:t>
      </w:r>
    </w:p>
    <w:p w14:paraId="27CE91B3">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 xml:space="preserve">（二十）为采购项目提供整体设计、规范编制或者项目管理、监理、检测等服务的供应商再参加该采购项目的； </w:t>
      </w:r>
    </w:p>
    <w:p w14:paraId="1091FED8">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（二十一）采购人拟采购的产品属于政府强制采购的节能产品品目清单范围的，投标人未按招标文件要求提供国家确定的认证机构出具的、处于有效期之内的节能产品认证证书的；</w:t>
      </w:r>
    </w:p>
    <w:p w14:paraId="4A941DB4">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szCs w:val="24"/>
          <w:highlight w:val="none"/>
        </w:rPr>
        <w:t>（二十二）投标文件中承诺的投标有效期不足招标文件中载明的投标有效期的。</w:t>
      </w:r>
    </w:p>
    <w:p w14:paraId="3B92774D">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（二十三）投标人提供虚假材料投标的（包括但不限于以下情节）：</w:t>
      </w:r>
    </w:p>
    <w:p w14:paraId="0329F317">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1.使用伪造、变造的许可证件的；</w:t>
      </w:r>
    </w:p>
    <w:p w14:paraId="65B92681">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2.提供虚假的财务状况或者业绩的；</w:t>
      </w:r>
    </w:p>
    <w:p w14:paraId="71EBF353">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3.提供虚假的项目负责人或者主要技术人员简历、劳动关系证明的；</w:t>
      </w:r>
    </w:p>
    <w:p w14:paraId="4331112D">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4.提供虚假的信用状况的；</w:t>
      </w:r>
    </w:p>
    <w:p w14:paraId="2BC6B190">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5.其他弄虚作假的行为的。</w:t>
      </w:r>
    </w:p>
    <w:p w14:paraId="0F45A240">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（二十四）投标人有恶意串通、妨碍其他投标人的竞争行为、损害采购人或者其他投标人的合法权益情形的，有下列情形之一的，属于或视为恶意串通，其投标无效：</w:t>
      </w:r>
    </w:p>
    <w:p w14:paraId="68B38911">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1.供应商直接或者间接从采购人或者采购机构处获得其他供应商的相关情况并修改其投标文件或者响应文件的；</w:t>
      </w:r>
    </w:p>
    <w:p w14:paraId="545229AF">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2.供应商按照采购人或者采购机构的授意撤换、修改投标文件或者响应文件的；</w:t>
      </w:r>
    </w:p>
    <w:p w14:paraId="300B4360">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3.供应商之间协商报价、技术方案等投标文件或者响应文件的实质性内容的；</w:t>
      </w:r>
    </w:p>
    <w:p w14:paraId="6F1729CC">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4.属于同一集团、协会、商会等组织成员的供应商按照该组织要求协同参加采购活动的；</w:t>
      </w:r>
    </w:p>
    <w:p w14:paraId="517FD558">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5.供应商之间事先约定由某一特定供应商中标、成交的；</w:t>
      </w:r>
    </w:p>
    <w:p w14:paraId="330B4A59">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6.供应商之间商定部分供应商放弃参加采购活动或者放弃中标、成交的；</w:t>
      </w:r>
    </w:p>
    <w:p w14:paraId="357ED2E4">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7.供应商与采购人或者采购代理机构之间、供应商相互之间，为谋求特定供应商中标、成交或者排斥其他供应商的其他串通行为的。</w:t>
      </w:r>
    </w:p>
    <w:p w14:paraId="3D4F4CBE">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8.不同投标人的投标文件由同一单位或者个人编制的；</w:t>
      </w:r>
    </w:p>
    <w:p w14:paraId="1BC8AA76">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9.不同投标人委托同一单位或者个人办理投标事宜的；</w:t>
      </w:r>
    </w:p>
    <w:p w14:paraId="38A4B33E">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10.不同投标人的投标文件载明的项目管理成员或者联系人员为同一人的；</w:t>
      </w:r>
    </w:p>
    <w:p w14:paraId="4935D708">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11.不同投标人的投标文件异常一致或者投标报价呈规律性差异的；</w:t>
      </w:r>
    </w:p>
    <w:p w14:paraId="0189CDBE">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12.不同投标人的投标文件相互混装的；</w:t>
      </w:r>
    </w:p>
    <w:p w14:paraId="2F81B272">
      <w:pPr>
        <w:pStyle w:val="195"/>
        <w:wordWrap w:val="0"/>
        <w:topLinePunct/>
        <w:spacing w:before="0" w:line="440" w:lineRule="exact"/>
        <w:ind w:firstLine="480"/>
        <w:jc w:val="both"/>
        <w:outlineLvl w:val="0"/>
        <w:rPr>
          <w:rFonts w:hint="eastAsia"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（二十五）招</w:t>
      </w:r>
      <w:r>
        <w:rPr>
          <w:rFonts w:hint="eastAsia" w:ascii="仿宋" w:hAnsi="仿宋" w:eastAsia="仿宋" w:cs="仿宋"/>
          <w:color w:val="auto"/>
          <w:kern w:val="0"/>
          <w:highlight w:val="none"/>
        </w:rPr>
        <w:t>标文件有其他规定为无效投标情形的；</w:t>
      </w:r>
    </w:p>
    <w:p w14:paraId="0C44B6AC">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（二十六）出现影响采购公正的违法违规行为；</w:t>
      </w:r>
    </w:p>
    <w:p w14:paraId="6EDCA741">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（二十七）投标文件含有采购人不能接受的附加条件的；</w:t>
      </w:r>
    </w:p>
    <w:p w14:paraId="369195B2">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（二十八）</w:t>
      </w:r>
      <w:r>
        <w:rPr>
          <w:rFonts w:hint="eastAsia" w:ascii="仿宋" w:hAnsi="仿宋" w:eastAsia="仿宋" w:cs="仿宋"/>
          <w:color w:val="auto"/>
          <w:highlight w:val="none"/>
        </w:rPr>
        <w:t>法律、法规、规章（适用杭州市的）及省级以上规范性文件（适用本市的）规定的其他无效情形。</w:t>
      </w:r>
    </w:p>
    <w:p w14:paraId="7B3DEDEE">
      <w:pPr>
        <w:wordWrap w:val="0"/>
        <w:topLinePunct/>
        <w:spacing w:line="4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七.电子交易活动的中止</w:t>
      </w:r>
    </w:p>
    <w:p w14:paraId="6216C7E5">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266FBEA">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（一）电子交易平台发生故障而无法登录访问的； </w:t>
      </w:r>
    </w:p>
    <w:p w14:paraId="6D1BA21D">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（二）电子交易平台应用或数据库出现错误，不能进行正常操作的；</w:t>
      </w:r>
    </w:p>
    <w:p w14:paraId="600346FC">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（三）电子交易平台发现严重安全漏洞，有潜在泄密危险的；</w:t>
      </w:r>
    </w:p>
    <w:p w14:paraId="18B7C745">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（四）病毒发作导致不能进行正常操作的； </w:t>
      </w:r>
    </w:p>
    <w:p w14:paraId="41A6356F">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（五）其他无法保证电子交易的公平、公正和安全的情况。</w:t>
      </w:r>
    </w:p>
    <w:p w14:paraId="69D352BD">
      <w:pPr>
        <w:pStyle w:val="2"/>
        <w:keepNext w:val="0"/>
        <w:keepLines w:val="0"/>
        <w:topLinePunct/>
        <w:spacing w:before="0" w:after="0" w:line="440" w:lineRule="exact"/>
        <w:ind w:left="0"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出现以上情形，不影响采购公平、公正性的，采购代理机构可以待上述情形消除后继续</w:t>
      </w:r>
    </w:p>
    <w:p w14:paraId="12A532D9">
      <w:pPr>
        <w:pStyle w:val="2"/>
        <w:keepNext w:val="0"/>
        <w:keepLines w:val="0"/>
        <w:wordWrap w:val="0"/>
        <w:topLinePunct/>
        <w:spacing w:before="0" w:after="0" w:line="440" w:lineRule="exact"/>
        <w:ind w:left="0" w:firstLine="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组织电子交易活动，也可以决定某些环节以纸质形式进行；影响或可能影响采购公平、公正</w:t>
      </w:r>
    </w:p>
    <w:p w14:paraId="4A2AD5A1">
      <w:pPr>
        <w:pStyle w:val="2"/>
        <w:keepNext w:val="0"/>
        <w:keepLines w:val="0"/>
        <w:wordWrap w:val="0"/>
        <w:topLinePunct/>
        <w:spacing w:before="0" w:after="0" w:line="440" w:lineRule="exact"/>
        <w:ind w:left="0" w:firstLine="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性的，应当重新采购。</w:t>
      </w:r>
    </w:p>
    <w:p w14:paraId="50D637D1">
      <w:pPr>
        <w:pStyle w:val="2"/>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八、废标</w:t>
      </w:r>
    </w:p>
    <w:p w14:paraId="29451A8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在采购中，出现下列情形之一的，应予废标：</w:t>
      </w:r>
    </w:p>
    <w:p w14:paraId="263284DC">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（一）符合专业条件的供应商或者对采购文件作实质响应的供应商不足三家的；</w:t>
      </w:r>
    </w:p>
    <w:p w14:paraId="7E6E5F3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（二）出现影响采购公正的违法、违规行为的；</w:t>
      </w:r>
    </w:p>
    <w:p w14:paraId="4D26A90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（三）投标人的报价均超过了采购预算，采购人不能支付的；</w:t>
      </w:r>
    </w:p>
    <w:p w14:paraId="1EB768F2">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（四）因重大变故，采购任务取消的；</w:t>
      </w:r>
    </w:p>
    <w:p w14:paraId="7C32102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D8A6934">
      <w:pPr>
        <w:pStyle w:val="2"/>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九、重新组织采购</w:t>
      </w:r>
    </w:p>
    <w:p w14:paraId="78D03D3F">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599D0232">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（二）重新开展采购。有政府采购法第七十一条、第七十二条规定的违法行为之一，影响或者可能影响中标、成交结果的，依照下列规定处理：</w:t>
      </w:r>
    </w:p>
    <w:p w14:paraId="5016F41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1.未确定中标或者成交供应商的，终止本次采购活动，重新开展采购活动。</w:t>
      </w:r>
    </w:p>
    <w:p w14:paraId="721CB12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2.已确定中标或者成交供应商但尚未签订采购合同的，中标或者成交结果无效，从合格的中标或者成交候选人中另行确定中标或者成交供应商；没有合格的中标或者成交候选人的，重新开展采购活动。</w:t>
      </w:r>
    </w:p>
    <w:p w14:paraId="2FEC1CA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3.采购合同已签订但尚未履行的，撤销合同，从合格的中标或者成交候选人中另行确定中标或者成交供应商；没有合格的中标或者成交候选人的，重新开展采购活动。</w:t>
      </w:r>
    </w:p>
    <w:p w14:paraId="5A12FD2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4.采购合同已经履行，给采购人、供应商造成损失的，由责任人承担赔偿责任。</w:t>
      </w:r>
    </w:p>
    <w:p w14:paraId="37242A9C">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5.因质疑答复，改变原中标结果，重新开展采购活动。</w:t>
      </w:r>
    </w:p>
    <w:p w14:paraId="71835F7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6.采购当事人有其他违反采购法或者本条例规定的行为，经改正后仍然影响或者可能影响中标、成交结果或者依法被认定为中标、成交无效的，依照1-5条规定处理。</w:t>
      </w:r>
    </w:p>
    <w:p w14:paraId="3C24846D">
      <w:pPr>
        <w:pStyle w:val="2"/>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十、定标</w:t>
      </w:r>
    </w:p>
    <w:p w14:paraId="257533B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555C102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公告期限为1个工作日。</w:t>
      </w:r>
    </w:p>
    <w:p w14:paraId="71BD85FF">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（三）中标通知书发出后，若中标供应商放弃中标，应当承担相应的法律责任，中标通知书对采购人和中标供应商具有同等法律效力。</w:t>
      </w:r>
    </w:p>
    <w:p w14:paraId="021B664A">
      <w:pPr>
        <w:wordWrap w:val="0"/>
        <w:topLinePunct/>
        <w:spacing w:line="4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十一、评审过程的保密与录像</w:t>
      </w:r>
    </w:p>
    <w:p w14:paraId="1BCC2E32">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641F6357">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（二）录音录像。招标人对评审工作现场进行全过程录音录像，</w:t>
      </w:r>
      <w:r>
        <w:rPr>
          <w:rFonts w:hint="eastAsia" w:ascii="仿宋" w:hAnsi="仿宋" w:eastAsia="仿宋" w:cs="仿宋"/>
          <w:b/>
          <w:bCs/>
          <w:color w:val="auto"/>
          <w:highlight w:val="none"/>
        </w:rPr>
        <w:t>录音录像资料作为采购项目文件随其他文件一并存档。</w:t>
      </w:r>
    </w:p>
    <w:p w14:paraId="7692DCC6">
      <w:pPr>
        <w:pStyle w:val="2"/>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十二、合同签订及其他</w:t>
      </w:r>
    </w:p>
    <w:p w14:paraId="4D34F5B7">
      <w:pPr>
        <w:wordWrap w:val="0"/>
        <w:topLinePunct/>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（一）签订合同</w:t>
      </w:r>
    </w:p>
    <w:p w14:paraId="3F5BD1B8">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1.采购人与中标人应当在《中标通知书》发出之日起30日内按照招标文件及投标文件确定的事项尽快签订采购合同，并在规定时间内依法发布合同公告。</w:t>
      </w:r>
    </w:p>
    <w:p w14:paraId="6466DD7F">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2.招标文件、中标人的投标文件、澄清文件及中标通知书等，均为签订合同的依据。</w:t>
      </w:r>
    </w:p>
    <w:p w14:paraId="37F8BEBD">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中标人拖延、拒签合同的，或提出采购人不能接受的条件，致使合同无法签订，除按照合同条款处理外，采购人将书面报告主管部门。采购人将取消其中标资格，按照评审报告推荐的中标或者成交候选人名单排序，确定下一次序中标候选人签订合同或另行组织采购，也可以重新开展采购活动。</w:t>
      </w:r>
    </w:p>
    <w:p w14:paraId="387F75A8">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（二）履约保证金</w:t>
      </w:r>
    </w:p>
    <w:p w14:paraId="6FB61229">
      <w:pPr>
        <w:pStyle w:val="48"/>
        <w:snapToGrid w:val="0"/>
        <w:spacing w:beforeLines="0" w:afterLines="0" w:line="440" w:lineRule="exact"/>
        <w:ind w:firstLine="475" w:firstLineChars="198"/>
        <w:rPr>
          <w:rFonts w:hint="eastAsia" w:ascii="仿宋" w:hAnsi="仿宋" w:eastAsia="仿宋" w:cs="仿宋"/>
          <w:color w:val="auto"/>
          <w:highlight w:val="none"/>
        </w:rPr>
      </w:pPr>
      <w:r>
        <w:rPr>
          <w:rFonts w:hint="eastAsia" w:ascii="仿宋" w:hAnsi="仿宋" w:eastAsia="仿宋" w:cs="仿宋"/>
          <w:color w:val="auto"/>
          <w:highlight w:val="none"/>
        </w:rPr>
        <w:t>1.拟签订的合同文本要求中标人提交履约保证金的，供应商应当以支票、汇票、本票或者金融机构、担保机构出具的保函等非现金形式提交。签订合同时中标人应向采购人缴纳不超过采购合同总金额的</w:t>
      </w:r>
      <w:r>
        <w:rPr>
          <w:rFonts w:hint="eastAsia" w:ascii="仿宋" w:hAnsi="仿宋" w:cs="仿宋"/>
          <w:color w:val="auto"/>
          <w:highlight w:val="none"/>
          <w:lang w:val="en-US" w:eastAsia="zh-CN"/>
        </w:rPr>
        <w:t>2</w:t>
      </w:r>
      <w:r>
        <w:rPr>
          <w:rFonts w:hint="eastAsia" w:ascii="仿宋" w:hAnsi="仿宋" w:eastAsia="仿宋" w:cs="仿宋"/>
          <w:color w:val="auto"/>
          <w:highlight w:val="none"/>
        </w:rPr>
        <w:t>%作为履约保证金。履约期（验收合格）结束后5个工作日内，采购人无息退付履约保证金。鼓励和支持供应商以银行、保险公司出具的保函形式提供履约保证金。采购人不得拒收履约保函。</w:t>
      </w:r>
    </w:p>
    <w:p w14:paraId="740146FE">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（三）款项的结算</w:t>
      </w:r>
    </w:p>
    <w:p w14:paraId="26434758">
      <w:pPr>
        <w:ind w:firstLine="480" w:firstLineChars="200"/>
        <w:rPr>
          <w:rFonts w:hint="eastAsia" w:ascii="仿宋" w:hAnsi="仿宋" w:eastAsia="仿宋" w:cs="仿宋"/>
          <w:b/>
          <w:bCs/>
          <w:color w:val="auto"/>
          <w:highlight w:val="none"/>
        </w:rPr>
      </w:pPr>
      <w:r>
        <w:rPr>
          <w:rFonts w:hint="eastAsia" w:cs="仿宋"/>
          <w:color w:val="auto"/>
          <w:highlight w:val="none"/>
          <w:lang w:val="en-US" w:eastAsia="zh-CN"/>
        </w:rPr>
        <w:t>每个场站工程</w:t>
      </w:r>
      <w:r>
        <w:rPr>
          <w:rFonts w:hint="eastAsia" w:ascii="仿宋" w:hAnsi="仿宋" w:eastAsia="仿宋" w:cs="仿宋"/>
          <w:color w:val="auto"/>
          <w:highlight w:val="none"/>
        </w:rPr>
        <w:t>履行完毕，验收合格后供应商按双方约定条款要求办理资金结算手续。</w:t>
      </w:r>
    </w:p>
    <w:p w14:paraId="44A62977">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（四）验收：由采购人组织，成立验收工作小组进行验收。</w:t>
      </w:r>
    </w:p>
    <w:p w14:paraId="50F3C1EC">
      <w:pPr>
        <w:widowControl/>
        <w:spacing w:line="440" w:lineRule="exact"/>
        <w:ind w:firstLine="48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1.采购人应当根据项目特点制定验收方案，明确履约验收的时间、方式、程序等内容，并</w:t>
      </w:r>
      <w:r>
        <w:rPr>
          <w:rFonts w:hint="eastAsia" w:ascii="仿宋" w:hAnsi="仿宋" w:eastAsia="仿宋" w:cs="仿宋"/>
          <w:color w:val="auto"/>
          <w:highlight w:val="none"/>
        </w:rPr>
        <w:t>按照合同规定的</w:t>
      </w:r>
      <w:r>
        <w:rPr>
          <w:rFonts w:hint="eastAsia" w:ascii="仿宋" w:hAnsi="仿宋" w:eastAsia="仿宋" w:cs="仿宋"/>
          <w:color w:val="auto"/>
          <w:szCs w:val="22"/>
          <w:highlight w:val="none"/>
        </w:rPr>
        <w:t>验收方案</w:t>
      </w:r>
      <w:r>
        <w:rPr>
          <w:rFonts w:hint="eastAsia" w:ascii="仿宋" w:hAnsi="仿宋" w:eastAsia="仿宋" w:cs="仿宋"/>
          <w:color w:val="auto"/>
          <w:highlight w:val="none"/>
        </w:rPr>
        <w:t>对供应商履约情况进行验收。</w:t>
      </w:r>
    </w:p>
    <w:p w14:paraId="6E78B271">
      <w:pPr>
        <w:widowControl/>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2.采购人成立验收小组，</w:t>
      </w:r>
      <w:r>
        <w:rPr>
          <w:rFonts w:hint="eastAsia" w:ascii="仿宋" w:hAnsi="仿宋" w:eastAsia="仿宋" w:cs="仿宋"/>
          <w:color w:val="auto"/>
          <w:szCs w:val="22"/>
          <w:highlight w:val="none"/>
        </w:rPr>
        <w:t>供应商应积极配合。</w:t>
      </w:r>
      <w:r>
        <w:rPr>
          <w:rFonts w:hint="eastAsia" w:ascii="仿宋" w:hAnsi="仿宋" w:eastAsia="仿宋" w:cs="仿宋"/>
          <w:color w:val="auto"/>
          <w:highlight w:val="none"/>
        </w:rPr>
        <w:t>验收小组应当由五人以上单数组成，相关专业人员人数不得少于</w:t>
      </w:r>
      <w:r>
        <w:rPr>
          <w:rFonts w:hint="eastAsia" w:ascii="仿宋" w:hAnsi="仿宋" w:eastAsia="仿宋" w:cs="仿宋"/>
          <w:color w:val="auto"/>
          <w:szCs w:val="22"/>
          <w:highlight w:val="none"/>
        </w:rPr>
        <w:t>验收小组人员总数的三分之二。采购人可以邀请参加项目采购活动的其他供应商或者第三方机构参</w:t>
      </w:r>
      <w:r>
        <w:rPr>
          <w:rFonts w:hint="eastAsia" w:ascii="仿宋" w:hAnsi="仿宋" w:eastAsia="仿宋" w:cs="仿宋"/>
          <w:color w:val="auto"/>
          <w:highlight w:val="none"/>
        </w:rPr>
        <w:t>与对供应商的履约验收。参与验收的投标人或者第三方机构的意见作为验收书的参考资料一并存档。大型或者复杂的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Cs w:val="22"/>
          <w:highlight w:val="none"/>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2AF41CDD">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3.验收结束后，验收小组应当出具验收报告。验</w:t>
      </w:r>
      <w:r>
        <w:rPr>
          <w:rFonts w:hint="eastAsia" w:ascii="仿宋" w:hAnsi="仿宋" w:eastAsia="仿宋" w:cs="仿宋"/>
          <w:color w:val="auto"/>
          <w:szCs w:val="22"/>
          <w:highlight w:val="none"/>
        </w:rPr>
        <w:t>收小组成员应当在验收报告上签字，并承担相应的法律责任。</w:t>
      </w:r>
      <w:r>
        <w:rPr>
          <w:rFonts w:hint="eastAsia" w:ascii="仿宋" w:hAnsi="仿宋" w:eastAsia="仿宋" w:cs="仿宋"/>
          <w:color w:val="auto"/>
          <w:highlight w:val="none"/>
        </w:rPr>
        <w:t>采购人应当根据验收报告明确验收意见，并盖章确认。除涉密情形外，采购履约验收结果应在采购人评价后2个工作日内向社会公告。</w:t>
      </w:r>
      <w:r>
        <w:rPr>
          <w:rFonts w:hint="eastAsia" w:ascii="仿宋" w:hAnsi="仿宋" w:eastAsia="仿宋" w:cs="仿宋"/>
          <w:color w:val="auto"/>
          <w:szCs w:val="22"/>
          <w:highlight w:val="none"/>
        </w:rPr>
        <w:t>履约验收的各项资料应当存档备查。</w:t>
      </w:r>
    </w:p>
    <w:p w14:paraId="514ECB7C">
      <w:pPr>
        <w:spacing w:line="440" w:lineRule="exact"/>
        <w:ind w:firstLine="480" w:firstLineChars="200"/>
        <w:rPr>
          <w:rFonts w:hint="eastAsia" w:ascii="仿宋" w:hAnsi="仿宋" w:eastAsia="仿宋" w:cs="仿宋"/>
          <w:color w:val="auto"/>
          <w:szCs w:val="32"/>
          <w:highlight w:val="none"/>
        </w:rPr>
      </w:pPr>
      <w:r>
        <w:rPr>
          <w:rFonts w:hint="eastAsia" w:ascii="仿宋" w:hAnsi="仿宋" w:eastAsia="仿宋" w:cs="仿宋"/>
          <w:color w:val="auto"/>
          <w:szCs w:val="22"/>
          <w:highlight w:val="none"/>
        </w:rPr>
        <w:t>4.</w:t>
      </w:r>
      <w:r>
        <w:rPr>
          <w:rFonts w:hint="eastAsia" w:ascii="仿宋" w:hAnsi="仿宋" w:eastAsia="仿宋" w:cs="仿宋"/>
          <w:color w:val="auto"/>
          <w:szCs w:val="32"/>
          <w:highlight w:val="none"/>
        </w:rPr>
        <w:t>验收合格的项目，采购人应当根据采购合同的约定及时向供应商支付采购资金、退还履约保证金。验收不合格的项目，采购人应依法及时处理。</w:t>
      </w:r>
    </w:p>
    <w:p w14:paraId="58CA237F">
      <w:pPr>
        <w:widowControl/>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szCs w:val="32"/>
          <w:highlight w:val="none"/>
        </w:rPr>
        <w:t>5.采购合同的履行、违约责任和解决争议的方式等适用《中华人民共和国民法典》。供应商在履约过程中有采购法律法规规定的违法违规情形的，采购人应当及时报告本级财政部门。</w:t>
      </w:r>
    </w:p>
    <w:p w14:paraId="31AEE283">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（五）询问、质疑和投诉</w:t>
      </w:r>
    </w:p>
    <w:p w14:paraId="4D9F0FD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bookmarkStart w:id="3" w:name="_Toc830167605"/>
      <w:r>
        <w:rPr>
          <w:rFonts w:hint="eastAsia" w:ascii="仿宋" w:hAnsi="仿宋" w:eastAsia="仿宋" w:cs="仿宋"/>
          <w:color w:val="auto"/>
          <w:highlight w:val="none"/>
        </w:rPr>
        <w:t>1.供应商对采购活动事项有疑问的，可以向采购机构提出询问。</w:t>
      </w:r>
    </w:p>
    <w:p w14:paraId="0C4EB51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采购人提出质疑。质疑函范本、投诉书范本请到浙江政府采购网下载专区下载。</w:t>
      </w:r>
    </w:p>
    <w:p w14:paraId="0085A4B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3.供应商提交的质疑书需一式三份，由法定代表人签字（或盖章）并加盖单位公章。质疑书至少应包括下列主要内容：</w:t>
      </w:r>
    </w:p>
    <w:p w14:paraId="3F0088B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（1）质疑人的名称、地址、邮政编码、联系人、联系电话，以及被质疑人名称及联系方式；</w:t>
      </w:r>
    </w:p>
    <w:p w14:paraId="5F4D4BB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（2）被质疑采购项目名称、编号及采购内容；</w:t>
      </w:r>
    </w:p>
    <w:p w14:paraId="61B9B51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（3）具体的质疑事项及事实依据；</w:t>
      </w:r>
    </w:p>
    <w:p w14:paraId="05B0D2F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（4）认为自己合法权益受到损害或可能受到损害的相关证据材料；</w:t>
      </w:r>
    </w:p>
    <w:p w14:paraId="729B3EB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（5）提出质疑的日期</w:t>
      </w:r>
    </w:p>
    <w:p w14:paraId="40FDF19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采购人会在收到投标人的书面质疑后7个工作日内审查质疑事项，作出答复或相关处理决定，并以书面形式通知质疑投标人，但答复的内容涉及商业秘密的除外。若质疑涉及招标制度或程序，会被转交采购管理部门审查。</w:t>
      </w:r>
    </w:p>
    <w:p w14:paraId="413F61C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将不予受理。</w:t>
      </w:r>
    </w:p>
    <w:p w14:paraId="5B8DB9A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6.质疑投标人对采购人的答复不满意或采购人未在规定的时间内作出答复的，可以在答复期满后15个工作日内向本</w:t>
      </w:r>
      <w:r>
        <w:rPr>
          <w:rFonts w:hint="eastAsia" w:cs="仿宋"/>
          <w:color w:val="auto"/>
          <w:highlight w:val="none"/>
          <w:lang w:val="en-US" w:eastAsia="zh-CN"/>
        </w:rPr>
        <w:t>项目</w:t>
      </w:r>
      <w:r>
        <w:rPr>
          <w:rFonts w:hint="eastAsia" w:ascii="仿宋" w:hAnsi="仿宋" w:eastAsia="仿宋" w:cs="仿宋"/>
          <w:color w:val="auto"/>
          <w:highlight w:val="none"/>
        </w:rPr>
        <w:t>有关监督管理部门投诉。</w:t>
      </w:r>
    </w:p>
    <w:p w14:paraId="1D5C742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E59DF12">
      <w:pPr>
        <w:pStyle w:val="5"/>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第三章  评标办法及评分标准</w:t>
      </w:r>
      <w:bookmarkEnd w:id="3"/>
    </w:p>
    <w:p w14:paraId="17F6E622">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根据有关法律法规，遵循“公开、公平、公正”的原则，结合本项目的实际需求，制定本办法。</w:t>
      </w:r>
    </w:p>
    <w:p w14:paraId="4C15EC89">
      <w:pPr>
        <w:snapToGrid w:val="0"/>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一、总则</w:t>
      </w:r>
    </w:p>
    <w:p w14:paraId="0A54C157">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1.本次评标采用综合评分法，总分为100分。</w:t>
      </w:r>
    </w:p>
    <w:p w14:paraId="586FB4BF">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2.各合格投标人综合得分的计算公式为：</w:t>
      </w:r>
    </w:p>
    <w:p w14:paraId="1C2559D6">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投标人评标</w:t>
      </w:r>
      <w:r>
        <w:rPr>
          <w:rFonts w:hint="eastAsia" w:ascii="仿宋" w:hAnsi="仿宋" w:eastAsia="仿宋" w:cs="仿宋"/>
          <w:bCs/>
          <w:color w:val="auto"/>
          <w:highlight w:val="none"/>
        </w:rPr>
        <w:t>综合得分=商务技术得分＋投标价格得分。</w:t>
      </w:r>
    </w:p>
    <w:p w14:paraId="6F81F2C3">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14:paraId="6807B2CA">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4.综合得分排名第一的投标人为中标候选人，次高分的投标人为候补中标人，依次类推。</w:t>
      </w:r>
    </w:p>
    <w:p w14:paraId="678AA0CD">
      <w:pPr>
        <w:pStyle w:val="24"/>
        <w:snapToGrid w:val="0"/>
        <w:spacing w:line="440" w:lineRule="exact"/>
        <w:ind w:firstLine="434" w:firstLineChars="181"/>
        <w:rPr>
          <w:rFonts w:hint="eastAsia" w:ascii="仿宋" w:hAnsi="仿宋" w:eastAsia="仿宋" w:cs="仿宋"/>
          <w:b/>
          <w:color w:val="auto"/>
          <w:highlight w:val="none"/>
        </w:rPr>
      </w:pPr>
      <w:r>
        <w:rPr>
          <w:rFonts w:hint="eastAsia" w:ascii="仿宋" w:hAnsi="仿宋" w:eastAsia="仿宋" w:cs="仿宋"/>
          <w:color w:val="auto"/>
          <w:szCs w:val="24"/>
          <w:highlight w:val="none"/>
        </w:rPr>
        <w:t>5.评分过程中采用四舍五入法，</w:t>
      </w:r>
      <w:r>
        <w:rPr>
          <w:rFonts w:hint="eastAsia" w:ascii="仿宋" w:hAnsi="仿宋" w:eastAsia="仿宋" w:cs="仿宋"/>
          <w:bCs/>
          <w:color w:val="auto"/>
          <w:szCs w:val="24"/>
          <w:highlight w:val="none"/>
        </w:rPr>
        <w:t>并保留小数2位。</w:t>
      </w:r>
    </w:p>
    <w:p w14:paraId="16860130">
      <w:pPr>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二、评分内容及标准</w:t>
      </w:r>
    </w:p>
    <w:p w14:paraId="00D1EEC7">
      <w:pPr>
        <w:spacing w:line="440" w:lineRule="exact"/>
        <w:ind w:firstLine="482" w:firstLineChars="200"/>
        <w:rPr>
          <w:rFonts w:hint="eastAsia" w:ascii="仿宋" w:hAnsi="仿宋" w:eastAsia="仿宋" w:cs="仿宋"/>
          <w:b/>
          <w:color w:val="auto"/>
          <w:highlight w:val="none"/>
        </w:rPr>
      </w:pPr>
      <w:bookmarkStart w:id="4" w:name="_Toc425682676"/>
      <w:r>
        <w:rPr>
          <w:rFonts w:hint="eastAsia" w:ascii="仿宋" w:hAnsi="仿宋" w:eastAsia="仿宋" w:cs="仿宋"/>
          <w:b/>
          <w:color w:val="auto"/>
          <w:highlight w:val="none"/>
        </w:rPr>
        <w:t>（一）价格评分(</w:t>
      </w:r>
      <w:r>
        <w:rPr>
          <w:rFonts w:hint="eastAsia" w:cs="仿宋"/>
          <w:b/>
          <w:color w:val="auto"/>
          <w:highlight w:val="none"/>
          <w:lang w:val="en-US" w:eastAsia="zh-CN"/>
        </w:rPr>
        <w:t>3</w:t>
      </w:r>
      <w:r>
        <w:rPr>
          <w:rFonts w:hint="eastAsia" w:ascii="仿宋" w:hAnsi="仿宋" w:eastAsia="仿宋" w:cs="仿宋"/>
          <w:b/>
          <w:color w:val="auto"/>
          <w:highlight w:val="none"/>
        </w:rPr>
        <w:t>0分)</w:t>
      </w:r>
    </w:p>
    <w:p w14:paraId="2AC8BD87">
      <w:pPr>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1.报价的合理性：</w:t>
      </w:r>
      <w:r>
        <w:rPr>
          <w:rFonts w:hint="eastAsia" w:ascii="仿宋" w:hAnsi="仿宋" w:eastAsia="仿宋" w:cs="仿宋"/>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39A4CBE9">
      <w:pPr>
        <w:spacing w:line="440" w:lineRule="exact"/>
        <w:ind w:firstLine="482" w:firstLineChars="200"/>
        <w:rPr>
          <w:rFonts w:hint="eastAsia" w:ascii="仿宋" w:hAnsi="仿宋" w:eastAsia="仿宋" w:cs="仿宋"/>
          <w:color w:val="auto"/>
          <w:kern w:val="2"/>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zh-CN"/>
        </w:rPr>
        <w:t>价格分的计算：</w:t>
      </w:r>
      <w:r>
        <w:rPr>
          <w:rFonts w:hint="eastAsia" w:ascii="仿宋" w:hAnsi="仿宋" w:eastAsia="仿宋" w:cs="仿宋"/>
          <w:b/>
          <w:bCs/>
          <w:color w:val="auto"/>
          <w:highlight w:val="none"/>
        </w:rPr>
        <w:t xml:space="preserve"> </w:t>
      </w:r>
      <w:r>
        <w:rPr>
          <w:rFonts w:hint="eastAsia" w:ascii="仿宋" w:hAnsi="仿宋" w:eastAsia="仿宋" w:cs="仿宋"/>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s="仿宋"/>
          <w:color w:val="auto"/>
          <w:highlight w:val="none"/>
          <w:lang w:val="en-US" w:eastAsia="zh-CN"/>
        </w:rPr>
        <w:t>3</w:t>
      </w:r>
      <w:r>
        <w:rPr>
          <w:rFonts w:hint="eastAsia" w:ascii="仿宋" w:hAnsi="仿宋" w:eastAsia="仿宋" w:cs="仿宋"/>
          <w:color w:val="auto"/>
          <w:highlight w:val="none"/>
        </w:rPr>
        <w:t>0%×100；</w:t>
      </w:r>
    </w:p>
    <w:p w14:paraId="4FD0C07A">
      <w:pPr>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（二）商务及技术评分（</w:t>
      </w:r>
      <w:r>
        <w:rPr>
          <w:rFonts w:hint="eastAsia" w:cs="仿宋"/>
          <w:b/>
          <w:color w:val="auto"/>
          <w:highlight w:val="none"/>
          <w:lang w:val="en-US" w:eastAsia="zh-CN"/>
        </w:rPr>
        <w:t>7</w:t>
      </w:r>
      <w:r>
        <w:rPr>
          <w:rFonts w:hint="eastAsia" w:ascii="仿宋" w:hAnsi="仿宋" w:eastAsia="仿宋" w:cs="仿宋"/>
          <w:b/>
          <w:color w:val="auto"/>
          <w:highlight w:val="none"/>
        </w:rPr>
        <w:t>0分）</w:t>
      </w:r>
    </w:p>
    <w:p w14:paraId="772E7F41">
      <w:pPr>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1.商务及技术分的计算。</w:t>
      </w:r>
    </w:p>
    <w:p w14:paraId="6FEF327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商务及技术评分按照评标委员会成员的独立评分结果汇总后的算术平均分计算，计算公式为：商务及技术评分＝评标委员会所有成员评分合计数/评标委员会组成人员数。</w:t>
      </w:r>
    </w:p>
    <w:p w14:paraId="64924B95">
      <w:pPr>
        <w:pStyle w:val="9"/>
        <w:ind w:left="1150" w:leftChars="200" w:hanging="670" w:hangingChars="278"/>
        <w:rPr>
          <w:rFonts w:hint="eastAsia"/>
          <w:lang w:val="en-US" w:eastAsia="zh-CN"/>
        </w:rPr>
      </w:pPr>
      <w:r>
        <w:rPr>
          <w:rFonts w:hint="eastAsia" w:ascii="仿宋" w:hAnsi="仿宋" w:eastAsia="仿宋" w:cs="仿宋"/>
          <w:b/>
          <w:bCs/>
          <w:color w:val="auto"/>
          <w:kern w:val="3"/>
          <w:sz w:val="24"/>
          <w:szCs w:val="24"/>
          <w:highlight w:val="none"/>
          <w:lang w:val="en-US" w:eastAsia="zh-CN" w:bidi="ar-SA"/>
        </w:rPr>
        <w:t>评分细则</w:t>
      </w:r>
    </w:p>
    <w:tbl>
      <w:tblPr>
        <w:tblStyle w:val="89"/>
        <w:tblpPr w:leftFromText="181" w:rightFromText="181" w:vertAnchor="text" w:horzAnchor="page" w:tblpX="955" w:tblpY="470"/>
        <w:tblOverlap w:val="never"/>
        <w:tblW w:w="10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412"/>
        <w:gridCol w:w="7830"/>
        <w:gridCol w:w="720"/>
      </w:tblGrid>
      <w:tr w14:paraId="2A35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8" w:type="dxa"/>
            <w:vAlign w:val="center"/>
          </w:tcPr>
          <w:p w14:paraId="234DAAAD">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1412" w:type="dxa"/>
            <w:vAlign w:val="center"/>
          </w:tcPr>
          <w:p w14:paraId="4267715B">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评分项目</w:t>
            </w:r>
          </w:p>
        </w:tc>
        <w:tc>
          <w:tcPr>
            <w:tcW w:w="7830" w:type="dxa"/>
            <w:vAlign w:val="center"/>
          </w:tcPr>
          <w:p w14:paraId="5AEC9757">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评分内容</w:t>
            </w:r>
          </w:p>
        </w:tc>
        <w:tc>
          <w:tcPr>
            <w:tcW w:w="720" w:type="dxa"/>
            <w:vAlign w:val="center"/>
          </w:tcPr>
          <w:p w14:paraId="5A65FAFE">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分值</w:t>
            </w:r>
          </w:p>
        </w:tc>
      </w:tr>
      <w:tr w14:paraId="2131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8" w:type="dxa"/>
            <w:vAlign w:val="center"/>
          </w:tcPr>
          <w:p w14:paraId="38621DED">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p>
        </w:tc>
        <w:tc>
          <w:tcPr>
            <w:tcW w:w="1412" w:type="dxa"/>
            <w:vAlign w:val="center"/>
          </w:tcPr>
          <w:p w14:paraId="4D4638CD">
            <w:pPr>
              <w:widowControl/>
              <w:spacing w:line="440" w:lineRule="exact"/>
              <w:jc w:val="center"/>
              <w:rPr>
                <w:rFonts w:hint="default"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企业实力</w:t>
            </w:r>
          </w:p>
        </w:tc>
        <w:tc>
          <w:tcPr>
            <w:tcW w:w="7830" w:type="dxa"/>
            <w:vAlign w:val="center"/>
          </w:tcPr>
          <w:p w14:paraId="6B9D4E57">
            <w:pPr>
              <w:spacing w:line="240" w:lineRule="auto"/>
              <w:ind w:firstLine="0" w:firstLineChars="0"/>
              <w:rPr>
                <w:rFonts w:hint="eastAsia"/>
                <w:highlight w:val="none"/>
                <w:lang w:val="en-US" w:eastAsia="zh-CN"/>
              </w:rPr>
            </w:pPr>
            <w:r>
              <w:rPr>
                <w:rFonts w:hint="eastAsia"/>
                <w:highlight w:val="none"/>
                <w:lang w:val="en-US" w:eastAsia="zh-CN"/>
              </w:rPr>
              <w:t>1、投标人或投标人所投的充电桩产品供应商具备较强的技术研发实力，获得过省级及以上权威政府机构部门颁发的电力领域相关的科学技术奖励或表彰的得2分，否则不得分。（提供相关证明材料扫描件并加盖公章，否则不得分）</w:t>
            </w:r>
          </w:p>
          <w:p w14:paraId="77B4EB68">
            <w:pPr>
              <w:spacing w:line="240" w:lineRule="auto"/>
              <w:ind w:firstLine="0" w:firstLineChars="0"/>
              <w:rPr>
                <w:rFonts w:hint="eastAsia"/>
                <w:highlight w:val="none"/>
                <w:lang w:val="en-US" w:eastAsia="zh-CN"/>
              </w:rPr>
            </w:pPr>
            <w:r>
              <w:rPr>
                <w:rFonts w:hint="eastAsia"/>
                <w:highlight w:val="none"/>
                <w:lang w:val="en-US" w:eastAsia="zh-CN"/>
              </w:rPr>
              <w:t>2、投标品牌具有运营管理平台软件著作权证书 ，每提供一个得1分，最高2分。（提供相关证明材料扫描件并加盖公章，否则不得分）</w:t>
            </w:r>
          </w:p>
          <w:p w14:paraId="031D58F6">
            <w:pPr>
              <w:spacing w:line="240" w:lineRule="auto"/>
              <w:ind w:firstLine="0" w:firstLineChars="0"/>
              <w:rPr>
                <w:rFonts w:hint="eastAsia"/>
                <w:highlight w:val="none"/>
                <w:lang w:val="en-US" w:eastAsia="zh-CN"/>
              </w:rPr>
            </w:pPr>
            <w:r>
              <w:rPr>
                <w:rFonts w:hint="eastAsia"/>
                <w:highlight w:val="none"/>
                <w:lang w:val="en-US" w:eastAsia="zh-CN"/>
              </w:rPr>
              <w:t>3、投标人每具有1个发明专利的得0.25分，最高得分1分。专利内容需与充电系统或充电设备等内容相关，否则不得分。</w:t>
            </w:r>
            <w:bookmarkStart w:id="13" w:name="_GoBack"/>
            <w:bookmarkEnd w:id="13"/>
            <w:r>
              <w:rPr>
                <w:rFonts w:hint="eastAsia"/>
                <w:highlight w:val="none"/>
                <w:lang w:val="en-US" w:eastAsia="zh-CN"/>
              </w:rPr>
              <w:t>（提供相关证明材料扫描件并加盖公章，否则不得分）</w:t>
            </w:r>
          </w:p>
          <w:p w14:paraId="57627F32">
            <w:pPr>
              <w:spacing w:line="240" w:lineRule="auto"/>
              <w:ind w:firstLine="0" w:firstLineChars="0"/>
              <w:rPr>
                <w:rFonts w:hint="eastAsia"/>
                <w:highlight w:val="none"/>
                <w:lang w:val="en-US" w:eastAsia="zh-CN"/>
              </w:rPr>
            </w:pPr>
            <w:r>
              <w:rPr>
                <w:rFonts w:hint="eastAsia"/>
                <w:highlight w:val="none"/>
                <w:lang w:val="en-US" w:eastAsia="zh-CN"/>
              </w:rPr>
              <w:t>4、投标人同时具有有效的 ISO9001质量管理体系、ISO14001环境管理体系、ISO45001职业健康安全管理体系、ISO/IEC27001信息安全管理体系、ISO/IEC20000信息技术服务管理体系的得2分。（提供有效期内证书复印件或扫描件及全国认证认可信息公共服务平台查询截图并加盖公章，否则不得分。）</w:t>
            </w:r>
          </w:p>
          <w:p w14:paraId="45DE1624">
            <w:pPr>
              <w:spacing w:line="240" w:lineRule="auto"/>
              <w:ind w:firstLine="0" w:firstLineChars="0"/>
              <w:rPr>
                <w:rFonts w:hint="eastAsia"/>
                <w:highlight w:val="none"/>
                <w:lang w:val="en-US" w:eastAsia="zh-CN"/>
              </w:rPr>
            </w:pPr>
            <w:r>
              <w:rPr>
                <w:rFonts w:hint="eastAsia"/>
                <w:highlight w:val="none"/>
                <w:lang w:val="en-US" w:eastAsia="zh-CN"/>
              </w:rPr>
              <w:t>5、投标人具备完整、合理、成熟的售后服务评价体系，须满足GB/T27922-2011标准要求，满足五星服务能力的得1分。（提供有效期内证书复印件或扫描件及全国认证认可信息公共服务平台查询截图并加盖公章，否则不得分。）</w:t>
            </w:r>
          </w:p>
        </w:tc>
        <w:tc>
          <w:tcPr>
            <w:tcW w:w="720" w:type="dxa"/>
            <w:vAlign w:val="center"/>
          </w:tcPr>
          <w:p w14:paraId="3BF3B273">
            <w:pPr>
              <w:spacing w:line="240" w:lineRule="auto"/>
              <w:ind w:firstLine="0" w:firstLineChars="0"/>
              <w:jc w:val="center"/>
              <w:rPr>
                <w:rFonts w:hint="default"/>
                <w:highlight w:val="none"/>
                <w:lang w:val="en-US" w:eastAsia="zh-CN"/>
              </w:rPr>
            </w:pPr>
            <w:r>
              <w:rPr>
                <w:rFonts w:hint="eastAsia"/>
                <w:highlight w:val="none"/>
                <w:lang w:val="en-US" w:eastAsia="zh-CN"/>
              </w:rPr>
              <w:t>8</w:t>
            </w:r>
          </w:p>
        </w:tc>
      </w:tr>
      <w:tr w14:paraId="4127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68" w:type="dxa"/>
            <w:vAlign w:val="center"/>
          </w:tcPr>
          <w:p w14:paraId="1DAE26AB">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2</w:t>
            </w:r>
          </w:p>
        </w:tc>
        <w:tc>
          <w:tcPr>
            <w:tcW w:w="1412" w:type="dxa"/>
            <w:vAlign w:val="center"/>
          </w:tcPr>
          <w:p w14:paraId="667972C0">
            <w:pPr>
              <w:widowControl/>
              <w:spacing w:line="440" w:lineRule="exact"/>
              <w:jc w:val="left"/>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产品安全责任保险</w:t>
            </w:r>
          </w:p>
        </w:tc>
        <w:tc>
          <w:tcPr>
            <w:tcW w:w="7830" w:type="dxa"/>
            <w:vAlign w:val="center"/>
          </w:tcPr>
          <w:p w14:paraId="3EC95751">
            <w:pPr>
              <w:spacing w:line="240" w:lineRule="auto"/>
              <w:ind w:firstLine="0" w:firstLineChars="0"/>
              <w:rPr>
                <w:rFonts w:hint="eastAsia"/>
                <w:highlight w:val="none"/>
                <w:lang w:val="en-US" w:eastAsia="zh-CN"/>
              </w:rPr>
            </w:pPr>
            <w:r>
              <w:rPr>
                <w:rFonts w:hint="eastAsia"/>
                <w:highlight w:val="none"/>
                <w:lang w:val="en-US" w:eastAsia="zh-CN"/>
              </w:rPr>
              <w:t>所投品牌充电设备投保的产品责任险，年度累计赔偿限额≥5000万元（人民币）且每次事故赔偿限额≥500万元（人民币），得3分；3000万元≤年度累计赔偿限额&lt;5000万元（人民币）且每次事故赔偿限额≥300万元（人民币）得2分；1000万元≤年度累计赔偿限额&lt;3000万元（人民币）且每次事故赔偿限额≥100万元（人民币）得1分；其他不得分；注：产品有效责任险保险产品至少包含分体式直流充电机，否则不计分。注：提供产品有效责任险复印件，否则不计分。</w:t>
            </w:r>
          </w:p>
        </w:tc>
        <w:tc>
          <w:tcPr>
            <w:tcW w:w="720" w:type="dxa"/>
            <w:vAlign w:val="center"/>
          </w:tcPr>
          <w:p w14:paraId="5EEB1E23">
            <w:pPr>
              <w:spacing w:line="240" w:lineRule="auto"/>
              <w:ind w:firstLine="0" w:firstLineChars="0"/>
              <w:jc w:val="center"/>
              <w:rPr>
                <w:rFonts w:hint="default"/>
                <w:highlight w:val="none"/>
                <w:lang w:val="en-US" w:eastAsia="zh-CN"/>
              </w:rPr>
            </w:pPr>
            <w:r>
              <w:rPr>
                <w:rFonts w:hint="eastAsia"/>
                <w:highlight w:val="none"/>
                <w:lang w:val="en-US" w:eastAsia="zh-CN"/>
              </w:rPr>
              <w:t>3</w:t>
            </w:r>
          </w:p>
        </w:tc>
      </w:tr>
      <w:tr w14:paraId="7CF1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68" w:type="dxa"/>
            <w:vAlign w:val="center"/>
          </w:tcPr>
          <w:p w14:paraId="7A4DA254">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c>
          <w:tcPr>
            <w:tcW w:w="1412" w:type="dxa"/>
            <w:vAlign w:val="center"/>
          </w:tcPr>
          <w:p w14:paraId="2D4FBBCE">
            <w:pPr>
              <w:jc w:val="center"/>
              <w:rPr>
                <w:rFonts w:hint="eastAsia" w:ascii="仿宋" w:hAnsi="仿宋" w:eastAsia="仿宋" w:cs="仿宋"/>
                <w:kern w:val="3"/>
                <w:sz w:val="24"/>
                <w:szCs w:val="24"/>
                <w:highlight w:val="none"/>
                <w:lang w:val="en-US" w:eastAsia="zh-CN" w:bidi="ar-SA"/>
              </w:rPr>
            </w:pPr>
            <w:r>
              <w:rPr>
                <w:rFonts w:hint="eastAsia"/>
                <w:highlight w:val="none"/>
              </w:rPr>
              <w:t>业绩</w:t>
            </w:r>
          </w:p>
        </w:tc>
        <w:tc>
          <w:tcPr>
            <w:tcW w:w="7830" w:type="dxa"/>
            <w:vAlign w:val="center"/>
          </w:tcPr>
          <w:p w14:paraId="0F3B6B3A">
            <w:pPr>
              <w:spacing w:line="240" w:lineRule="auto"/>
              <w:ind w:firstLine="0" w:firstLineChars="0"/>
              <w:rPr>
                <w:rFonts w:hint="eastAsia"/>
                <w:highlight w:val="none"/>
                <w:lang w:val="en-US" w:eastAsia="zh-CN"/>
              </w:rPr>
            </w:pPr>
            <w:r>
              <w:rPr>
                <w:rFonts w:hint="eastAsia"/>
                <w:highlight w:val="none"/>
                <w:lang w:val="en-US" w:eastAsia="zh-CN"/>
              </w:rPr>
              <w:t>提供近三年（以合同签订时间为准）承接过类似业绩情况，每个案例得1分，最高得3分。</w:t>
            </w:r>
          </w:p>
          <w:p w14:paraId="5264F2F3">
            <w:pPr>
              <w:spacing w:line="240" w:lineRule="auto"/>
              <w:ind w:firstLine="0" w:firstLineChars="0"/>
              <w:rPr>
                <w:rFonts w:hint="eastAsia"/>
                <w:highlight w:val="none"/>
                <w:lang w:val="en-US" w:eastAsia="zh-CN"/>
              </w:rPr>
            </w:pPr>
            <w:r>
              <w:rPr>
                <w:rFonts w:hint="eastAsia"/>
                <w:highlight w:val="none"/>
                <w:lang w:val="en-US" w:eastAsia="zh-CN"/>
              </w:rPr>
              <w:t>须提供合同扫描件、中标通知书和验收证明，否则不得分。时间以合同签订时间为准。</w:t>
            </w:r>
          </w:p>
        </w:tc>
        <w:tc>
          <w:tcPr>
            <w:tcW w:w="720" w:type="dxa"/>
            <w:vAlign w:val="center"/>
          </w:tcPr>
          <w:p w14:paraId="3E709892">
            <w:pPr>
              <w:spacing w:line="240" w:lineRule="auto"/>
              <w:ind w:firstLine="0" w:firstLineChars="0"/>
              <w:jc w:val="center"/>
              <w:rPr>
                <w:rFonts w:hint="eastAsia"/>
                <w:highlight w:val="none"/>
                <w:lang w:val="en-US" w:eastAsia="zh-CN"/>
              </w:rPr>
            </w:pPr>
            <w:r>
              <w:rPr>
                <w:rFonts w:hint="eastAsia"/>
                <w:highlight w:val="none"/>
                <w:lang w:val="en-US" w:eastAsia="zh-CN"/>
              </w:rPr>
              <w:t>3</w:t>
            </w:r>
          </w:p>
        </w:tc>
      </w:tr>
      <w:tr w14:paraId="3357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68" w:type="dxa"/>
            <w:vAlign w:val="center"/>
          </w:tcPr>
          <w:p w14:paraId="18ADCD28">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4</w:t>
            </w:r>
          </w:p>
        </w:tc>
        <w:tc>
          <w:tcPr>
            <w:tcW w:w="1412" w:type="dxa"/>
            <w:vAlign w:val="center"/>
          </w:tcPr>
          <w:p w14:paraId="15C7DA6A">
            <w:pPr>
              <w:rPr>
                <w:rFonts w:hint="eastAsia" w:ascii="仿宋" w:hAnsi="仿宋" w:eastAsia="仿宋" w:cs="仿宋"/>
                <w:b w:val="0"/>
                <w:bCs w:val="0"/>
                <w:color w:val="auto"/>
                <w:kern w:val="3"/>
                <w:sz w:val="24"/>
                <w:szCs w:val="24"/>
                <w:highlight w:val="none"/>
                <w:lang w:val="en-US" w:eastAsia="zh-CN" w:bidi="ar-SA"/>
              </w:rPr>
            </w:pPr>
            <w:r>
              <w:rPr>
                <w:rFonts w:hint="eastAsia"/>
                <w:highlight w:val="none"/>
              </w:rPr>
              <w:t>满足本项目的采购需求</w:t>
            </w:r>
          </w:p>
        </w:tc>
        <w:tc>
          <w:tcPr>
            <w:tcW w:w="7830" w:type="dxa"/>
            <w:vAlign w:val="center"/>
          </w:tcPr>
          <w:p w14:paraId="413C5CA0">
            <w:pPr>
              <w:spacing w:line="240" w:lineRule="auto"/>
              <w:ind w:firstLine="0" w:firstLineChars="0"/>
              <w:rPr>
                <w:rFonts w:hint="eastAsia"/>
                <w:highlight w:val="none"/>
                <w:lang w:val="en-US" w:eastAsia="zh-CN"/>
              </w:rPr>
            </w:pPr>
            <w:r>
              <w:rPr>
                <w:rFonts w:hint="eastAsia"/>
                <w:highlight w:val="none"/>
                <w:lang w:val="en-US" w:eastAsia="zh-CN"/>
              </w:rPr>
              <w:t>针对招标文件“采购清单及技术参数”的响应程度；投标响应的基本功能、技术指标与需求的吻合程度和偏差情况，全部满足招标文件采购需求的得20分，带</w:t>
            </w:r>
            <w:r>
              <w:rPr>
                <w:rFonts w:hint="eastAsia" w:ascii="宋体" w:hAnsi="宋体" w:cs="宋体"/>
              </w:rPr>
              <w:t>★</w:t>
            </w:r>
            <w:r>
              <w:rPr>
                <w:rFonts w:hint="eastAsia"/>
                <w:highlight w:val="none"/>
                <w:lang w:val="en-US" w:eastAsia="zh-CN"/>
              </w:rPr>
              <w:t>为重要参数(须满足招标文件要求，提供相关证明材料。)，有负偏离或缺漏的，每项扣2分，扣完为止。其他参数有负偏离或缺漏的，每项扣1分，扣完为止。</w:t>
            </w:r>
          </w:p>
        </w:tc>
        <w:tc>
          <w:tcPr>
            <w:tcW w:w="720" w:type="dxa"/>
            <w:vAlign w:val="center"/>
          </w:tcPr>
          <w:p w14:paraId="153CB408">
            <w:pPr>
              <w:spacing w:line="240" w:lineRule="auto"/>
              <w:ind w:firstLine="0" w:firstLineChars="0"/>
              <w:jc w:val="center"/>
              <w:rPr>
                <w:rFonts w:hint="default"/>
                <w:highlight w:val="none"/>
                <w:lang w:val="en-US" w:eastAsia="zh-CN"/>
              </w:rPr>
            </w:pPr>
            <w:r>
              <w:rPr>
                <w:rFonts w:hint="eastAsia"/>
                <w:highlight w:val="none"/>
                <w:lang w:val="en-US" w:eastAsia="zh-CN"/>
              </w:rPr>
              <w:t>20</w:t>
            </w:r>
          </w:p>
        </w:tc>
      </w:tr>
      <w:tr w14:paraId="605B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568" w:type="dxa"/>
            <w:vAlign w:val="center"/>
          </w:tcPr>
          <w:p w14:paraId="119F7726">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5</w:t>
            </w:r>
          </w:p>
        </w:tc>
        <w:tc>
          <w:tcPr>
            <w:tcW w:w="1412" w:type="dxa"/>
            <w:vAlign w:val="center"/>
          </w:tcPr>
          <w:p w14:paraId="7DEDA617">
            <w:pPr>
              <w:widowControl/>
              <w:spacing w:line="440" w:lineRule="exact"/>
              <w:jc w:val="left"/>
              <w:rPr>
                <w:rFonts w:hint="eastAsia" w:ascii="宋体" w:hAnsi="宋体" w:eastAsia="仿宋" w:cs="宋体"/>
                <w:kern w:val="0"/>
                <w:sz w:val="24"/>
                <w:szCs w:val="24"/>
                <w:highlight w:val="none"/>
                <w:lang w:val="en-US" w:eastAsia="zh-CN" w:bidi="ar-SA"/>
              </w:rPr>
            </w:pPr>
            <w:r>
              <w:rPr>
                <w:rFonts w:hint="eastAsia" w:ascii="宋体" w:hAnsi="宋体" w:cs="宋体"/>
                <w:kern w:val="0"/>
                <w:highlight w:val="none"/>
                <w:lang w:val="zh-CN" w:eastAsia="zh-CN"/>
              </w:rPr>
              <w:t>设备供货</w:t>
            </w:r>
            <w:r>
              <w:rPr>
                <w:rFonts w:hint="eastAsia" w:ascii="宋体" w:hAnsi="宋体" w:cs="宋体"/>
                <w:kern w:val="0"/>
                <w:highlight w:val="none"/>
                <w:lang w:val="en-US" w:eastAsia="zh-CN"/>
              </w:rPr>
              <w:t>安装调试</w:t>
            </w:r>
            <w:r>
              <w:rPr>
                <w:rFonts w:hint="eastAsia" w:ascii="宋体" w:hAnsi="宋体" w:cs="宋体"/>
                <w:kern w:val="0"/>
                <w:highlight w:val="none"/>
                <w:lang w:val="zh-CN" w:eastAsia="zh-CN"/>
              </w:rPr>
              <w:t>及方案</w:t>
            </w:r>
          </w:p>
        </w:tc>
        <w:tc>
          <w:tcPr>
            <w:tcW w:w="7830" w:type="dxa"/>
            <w:vAlign w:val="center"/>
          </w:tcPr>
          <w:p w14:paraId="748E5981">
            <w:pPr>
              <w:spacing w:line="240" w:lineRule="auto"/>
              <w:ind w:firstLine="0" w:firstLineChars="0"/>
              <w:rPr>
                <w:rFonts w:hint="eastAsia"/>
                <w:highlight w:val="none"/>
                <w:lang w:val="en-US" w:eastAsia="zh-CN"/>
              </w:rPr>
            </w:pPr>
            <w:r>
              <w:rPr>
                <w:rFonts w:hint="eastAsia"/>
                <w:highlight w:val="none"/>
                <w:lang w:val="zh-CN" w:eastAsia="zh-CN"/>
              </w:rPr>
              <w:t>根据投标</w:t>
            </w:r>
            <w:r>
              <w:rPr>
                <w:rFonts w:hint="eastAsia"/>
                <w:highlight w:val="none"/>
                <w:lang w:val="en-US" w:eastAsia="zh-CN"/>
              </w:rPr>
              <w:t>人</w:t>
            </w:r>
            <w:r>
              <w:rPr>
                <w:rFonts w:hint="eastAsia"/>
                <w:highlight w:val="none"/>
                <w:lang w:val="zh-CN" w:eastAsia="zh-CN"/>
              </w:rPr>
              <w:t>提供的货物的供货、技术要求、组织实施方案情况（包括但不仅限于设备技术、供货、配合调试、验收标准及</w:t>
            </w:r>
            <w:r>
              <w:rPr>
                <w:rFonts w:hint="eastAsia"/>
                <w:highlight w:val="none"/>
                <w:lang w:val="en-US" w:eastAsia="zh-CN"/>
              </w:rPr>
              <w:t>应急</w:t>
            </w:r>
            <w:r>
              <w:rPr>
                <w:rFonts w:hint="eastAsia"/>
                <w:highlight w:val="none"/>
                <w:lang w:val="zh-CN" w:eastAsia="zh-CN"/>
              </w:rPr>
              <w:t>方案等内容）、整体项目实施方案高效合理性由评委进行打分。</w:t>
            </w:r>
            <w:r>
              <w:rPr>
                <w:rFonts w:hint="eastAsia" w:ascii="仿宋" w:hAnsi="仿宋" w:eastAsia="仿宋" w:cs="仿宋_GB2312"/>
                <w:sz w:val="24"/>
                <w:szCs w:val="24"/>
                <w:highlight w:val="none"/>
              </w:rPr>
              <w:t>【评分分值范围：</w:t>
            </w:r>
            <w:r>
              <w:rPr>
                <w:rFonts w:hint="eastAsia" w:cs="仿宋_GB2312"/>
                <w:sz w:val="24"/>
                <w:szCs w:val="24"/>
                <w:highlight w:val="none"/>
                <w:lang w:val="en-US" w:eastAsia="zh-CN"/>
              </w:rPr>
              <w:t>0-8分</w:t>
            </w:r>
            <w:r>
              <w:rPr>
                <w:rFonts w:hint="eastAsia" w:ascii="仿宋" w:hAnsi="仿宋" w:eastAsia="仿宋" w:cs="仿宋_GB2312"/>
                <w:sz w:val="24"/>
                <w:szCs w:val="24"/>
                <w:highlight w:val="none"/>
              </w:rPr>
              <w:t>】</w:t>
            </w:r>
          </w:p>
        </w:tc>
        <w:tc>
          <w:tcPr>
            <w:tcW w:w="720" w:type="dxa"/>
            <w:vAlign w:val="center"/>
          </w:tcPr>
          <w:p w14:paraId="63157864">
            <w:pPr>
              <w:spacing w:line="240" w:lineRule="auto"/>
              <w:ind w:firstLine="0" w:firstLineChars="0"/>
              <w:jc w:val="center"/>
              <w:rPr>
                <w:rFonts w:hint="default"/>
                <w:highlight w:val="none"/>
                <w:lang w:val="en-US" w:eastAsia="zh-CN"/>
              </w:rPr>
            </w:pPr>
            <w:r>
              <w:rPr>
                <w:rFonts w:hint="eastAsia"/>
                <w:highlight w:val="none"/>
                <w:lang w:val="en-US" w:eastAsia="zh-CN"/>
              </w:rPr>
              <w:t>8</w:t>
            </w:r>
          </w:p>
        </w:tc>
      </w:tr>
      <w:tr w14:paraId="34C0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68" w:type="dxa"/>
            <w:vAlign w:val="center"/>
          </w:tcPr>
          <w:p w14:paraId="34BCFD18">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6</w:t>
            </w:r>
          </w:p>
        </w:tc>
        <w:tc>
          <w:tcPr>
            <w:tcW w:w="1412" w:type="dxa"/>
            <w:vAlign w:val="center"/>
          </w:tcPr>
          <w:p w14:paraId="6C869CDB">
            <w:pPr>
              <w:widowControl/>
              <w:spacing w:line="440" w:lineRule="exact"/>
              <w:jc w:val="left"/>
              <w:rPr>
                <w:rFonts w:hint="default" w:ascii="宋体" w:hAnsi="宋体" w:cs="宋体"/>
                <w:kern w:val="0"/>
                <w:highlight w:val="none"/>
                <w:lang w:val="en-US" w:eastAsia="zh-CN"/>
              </w:rPr>
            </w:pPr>
            <w:r>
              <w:rPr>
                <w:rFonts w:hint="eastAsia" w:cs="仿宋"/>
                <w:b w:val="0"/>
                <w:bCs w:val="0"/>
                <w:color w:val="auto"/>
                <w:kern w:val="3"/>
                <w:sz w:val="24"/>
                <w:szCs w:val="24"/>
                <w:highlight w:val="none"/>
                <w:lang w:val="en-US" w:eastAsia="zh-CN" w:bidi="ar-SA"/>
              </w:rPr>
              <w:t>施工方案</w:t>
            </w:r>
          </w:p>
        </w:tc>
        <w:tc>
          <w:tcPr>
            <w:tcW w:w="7830" w:type="dxa"/>
            <w:vAlign w:val="center"/>
          </w:tcPr>
          <w:p w14:paraId="0E61CEF4">
            <w:pPr>
              <w:spacing w:line="240" w:lineRule="auto"/>
              <w:ind w:firstLine="0" w:firstLineChars="0"/>
              <w:rPr>
                <w:rFonts w:hint="eastAsia"/>
                <w:highlight w:val="none"/>
                <w:lang w:val="en-US" w:eastAsia="zh-CN"/>
              </w:rPr>
            </w:pPr>
            <w:r>
              <w:rPr>
                <w:rFonts w:hint="eastAsia"/>
                <w:highlight w:val="none"/>
                <w:lang w:val="en-US" w:eastAsia="zh-CN"/>
              </w:rPr>
              <w:t>根据投标人提供的施工方案情况合理性由评委进行打分。</w:t>
            </w:r>
            <w:r>
              <w:rPr>
                <w:rFonts w:hint="eastAsia" w:ascii="仿宋" w:hAnsi="仿宋" w:eastAsia="仿宋" w:cs="仿宋_GB2312"/>
                <w:sz w:val="24"/>
                <w:szCs w:val="24"/>
                <w:highlight w:val="none"/>
              </w:rPr>
              <w:t>【评分分值范围：</w:t>
            </w:r>
            <w:r>
              <w:rPr>
                <w:rFonts w:hint="eastAsia" w:cs="仿宋_GB2312"/>
                <w:sz w:val="24"/>
                <w:szCs w:val="24"/>
                <w:highlight w:val="none"/>
                <w:lang w:val="en-US" w:eastAsia="zh-CN"/>
              </w:rPr>
              <w:t>0-4</w:t>
            </w:r>
            <w:r>
              <w:rPr>
                <w:rFonts w:hint="eastAsia" w:ascii="仿宋" w:hAnsi="仿宋" w:eastAsia="仿宋" w:cs="仿宋_GB2312"/>
                <w:sz w:val="24"/>
                <w:szCs w:val="24"/>
                <w:highlight w:val="none"/>
              </w:rPr>
              <w:t>】</w:t>
            </w:r>
          </w:p>
        </w:tc>
        <w:tc>
          <w:tcPr>
            <w:tcW w:w="720" w:type="dxa"/>
            <w:vAlign w:val="center"/>
          </w:tcPr>
          <w:p w14:paraId="4AC83362">
            <w:pPr>
              <w:spacing w:line="240" w:lineRule="auto"/>
              <w:ind w:firstLine="0" w:firstLineChars="0"/>
              <w:jc w:val="center"/>
              <w:rPr>
                <w:rFonts w:hint="default"/>
                <w:highlight w:val="none"/>
                <w:lang w:val="en-US" w:eastAsia="zh-CN"/>
              </w:rPr>
            </w:pPr>
            <w:r>
              <w:rPr>
                <w:rFonts w:hint="eastAsia"/>
                <w:highlight w:val="none"/>
                <w:lang w:val="en-US" w:eastAsia="zh-CN"/>
              </w:rPr>
              <w:t>4</w:t>
            </w:r>
          </w:p>
        </w:tc>
      </w:tr>
      <w:tr w14:paraId="01E4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568" w:type="dxa"/>
            <w:vAlign w:val="center"/>
          </w:tcPr>
          <w:p w14:paraId="0D7F523A">
            <w:pPr>
              <w:widowControl/>
              <w:spacing w:line="440" w:lineRule="exact"/>
              <w:jc w:val="center"/>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7</w:t>
            </w:r>
          </w:p>
        </w:tc>
        <w:tc>
          <w:tcPr>
            <w:tcW w:w="1412" w:type="dxa"/>
            <w:vAlign w:val="center"/>
          </w:tcPr>
          <w:p w14:paraId="00CFC5D0">
            <w:pPr>
              <w:widowControl/>
              <w:spacing w:line="440" w:lineRule="exact"/>
              <w:jc w:val="left"/>
              <w:rPr>
                <w:rFonts w:hint="eastAsia"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运维技术方案</w:t>
            </w:r>
          </w:p>
        </w:tc>
        <w:tc>
          <w:tcPr>
            <w:tcW w:w="7830" w:type="dxa"/>
            <w:vAlign w:val="top"/>
          </w:tcPr>
          <w:p w14:paraId="5557FC7C">
            <w:pPr>
              <w:widowControl/>
              <w:spacing w:line="440" w:lineRule="exact"/>
              <w:jc w:val="left"/>
              <w:rPr>
                <w:rFonts w:hint="eastAsia"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投标人针对招标项目的理解,根据项目实际需求，提供符合本项目的运维技术方案，内容至少包括运维技术要点、运维明细清单、拟派运维技术人员的专业水平、设备检测方案（包括核心部件的全生命周期管理方案、远程升级方案、远程设置方案），评委根据投标人提供的方案内容综合评议进行打分。【评分分值范围：0-5分】</w:t>
            </w:r>
          </w:p>
        </w:tc>
        <w:tc>
          <w:tcPr>
            <w:tcW w:w="720" w:type="dxa"/>
            <w:vAlign w:val="center"/>
          </w:tcPr>
          <w:p w14:paraId="1D614500">
            <w:pPr>
              <w:spacing w:line="240" w:lineRule="auto"/>
              <w:ind w:firstLine="0" w:firstLineChars="0"/>
              <w:jc w:val="center"/>
              <w:rPr>
                <w:rFonts w:hint="eastAsia"/>
                <w:highlight w:val="none"/>
                <w:lang w:val="en-US" w:eastAsia="zh-CN"/>
              </w:rPr>
            </w:pPr>
            <w:r>
              <w:rPr>
                <w:rFonts w:hint="eastAsia"/>
                <w:lang w:val="en-US" w:eastAsia="zh-CN"/>
              </w:rPr>
              <w:t>5</w:t>
            </w:r>
          </w:p>
        </w:tc>
      </w:tr>
      <w:tr w14:paraId="7A85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68" w:type="dxa"/>
            <w:vAlign w:val="center"/>
          </w:tcPr>
          <w:p w14:paraId="46AB6356">
            <w:pPr>
              <w:widowControl/>
              <w:spacing w:line="440" w:lineRule="exact"/>
              <w:jc w:val="center"/>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8</w:t>
            </w:r>
          </w:p>
        </w:tc>
        <w:tc>
          <w:tcPr>
            <w:tcW w:w="1412" w:type="dxa"/>
            <w:vAlign w:val="center"/>
          </w:tcPr>
          <w:p w14:paraId="65AAC2FC">
            <w:pPr>
              <w:widowControl/>
              <w:spacing w:line="440" w:lineRule="exact"/>
              <w:jc w:val="left"/>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产品安全防护方案</w:t>
            </w:r>
          </w:p>
        </w:tc>
        <w:tc>
          <w:tcPr>
            <w:tcW w:w="7830" w:type="dxa"/>
            <w:vAlign w:val="top"/>
          </w:tcPr>
          <w:p w14:paraId="25288960">
            <w:pPr>
              <w:widowControl/>
              <w:spacing w:line="440" w:lineRule="exact"/>
              <w:jc w:val="left"/>
              <w:rPr>
                <w:rFonts w:hint="eastAsia" w:cs="仿宋"/>
                <w:b w:val="0"/>
                <w:bCs w:val="0"/>
                <w:color w:val="auto"/>
                <w:kern w:val="3"/>
                <w:sz w:val="24"/>
                <w:szCs w:val="24"/>
                <w:highlight w:val="none"/>
                <w:lang w:val="en-US" w:eastAsia="zh-CN" w:bidi="ar-SA"/>
              </w:rPr>
            </w:pPr>
            <w:r>
              <w:rPr>
                <w:rFonts w:hint="eastAsia" w:ascii="仿宋" w:hAnsi="仿宋" w:eastAsia="仿宋"/>
                <w:b w:val="0"/>
                <w:bCs/>
                <w:color w:val="FF0000"/>
                <w:sz w:val="24"/>
                <w:szCs w:val="24"/>
              </w:rPr>
              <w:t>投标人提供的充电设备应具备电池数据采集功能，支持实时监控电动汽车的充电状态，避免出现过压、短路、反接等情况，提供</w:t>
            </w:r>
            <w:r>
              <w:rPr>
                <w:rFonts w:hint="eastAsia" w:ascii="仿宋" w:hAnsi="仿宋" w:eastAsia="仿宋"/>
                <w:b w:val="0"/>
                <w:bCs/>
                <w:color w:val="FF0000"/>
                <w:sz w:val="24"/>
                <w:szCs w:val="24"/>
                <w:lang w:val="en-US" w:eastAsia="zh-CN"/>
              </w:rPr>
              <w:t>安全防护方案</w:t>
            </w:r>
            <w:r>
              <w:rPr>
                <w:rFonts w:hint="eastAsia" w:ascii="仿宋" w:hAnsi="仿宋" w:eastAsia="仿宋"/>
                <w:b w:val="0"/>
                <w:bCs/>
                <w:color w:val="FF0000"/>
                <w:sz w:val="24"/>
                <w:szCs w:val="24"/>
              </w:rPr>
              <w:t>由评委进行打分。</w:t>
            </w:r>
            <w:r>
              <w:rPr>
                <w:rFonts w:hint="eastAsia" w:cs="仿宋"/>
                <w:b w:val="0"/>
                <w:bCs w:val="0"/>
                <w:color w:val="auto"/>
                <w:kern w:val="3"/>
                <w:sz w:val="24"/>
                <w:szCs w:val="24"/>
                <w:highlight w:val="none"/>
                <w:lang w:val="en-US" w:eastAsia="zh-CN" w:bidi="ar-SA"/>
              </w:rPr>
              <w:t>【评分分值范围：0-5分】</w:t>
            </w:r>
          </w:p>
        </w:tc>
        <w:tc>
          <w:tcPr>
            <w:tcW w:w="720" w:type="dxa"/>
            <w:vAlign w:val="center"/>
          </w:tcPr>
          <w:p w14:paraId="1E61C691">
            <w:pPr>
              <w:spacing w:line="240" w:lineRule="auto"/>
              <w:ind w:firstLine="0" w:firstLineChars="0"/>
              <w:jc w:val="center"/>
              <w:rPr>
                <w:rFonts w:hint="default"/>
                <w:highlight w:val="none"/>
                <w:lang w:val="en-US" w:eastAsia="zh-CN"/>
              </w:rPr>
            </w:pPr>
            <w:r>
              <w:rPr>
                <w:rFonts w:hint="eastAsia"/>
                <w:highlight w:val="none"/>
                <w:lang w:val="en-US" w:eastAsia="zh-CN"/>
              </w:rPr>
              <w:t>5</w:t>
            </w:r>
          </w:p>
        </w:tc>
      </w:tr>
      <w:tr w14:paraId="43BD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8" w:type="dxa"/>
            <w:vAlign w:val="center"/>
          </w:tcPr>
          <w:p w14:paraId="4B805EBD">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9</w:t>
            </w:r>
          </w:p>
        </w:tc>
        <w:tc>
          <w:tcPr>
            <w:tcW w:w="1412" w:type="dxa"/>
            <w:vAlign w:val="center"/>
          </w:tcPr>
          <w:p w14:paraId="2C59462F">
            <w:pPr>
              <w:widowControl/>
              <w:spacing w:line="440" w:lineRule="exact"/>
              <w:jc w:val="center"/>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人员配置</w:t>
            </w:r>
          </w:p>
        </w:tc>
        <w:tc>
          <w:tcPr>
            <w:tcW w:w="7830" w:type="dxa"/>
            <w:vAlign w:val="center"/>
          </w:tcPr>
          <w:p w14:paraId="4522CFE2">
            <w:pPr>
              <w:spacing w:line="240" w:lineRule="auto"/>
              <w:ind w:firstLine="0" w:firstLineChars="0"/>
              <w:rPr>
                <w:rFonts w:hint="eastAsia"/>
                <w:lang w:val="en-US" w:eastAsia="zh-CN"/>
              </w:rPr>
            </w:pPr>
            <w:r>
              <w:rPr>
                <w:rFonts w:hint="eastAsia"/>
                <w:lang w:val="en-US" w:eastAsia="zh-CN"/>
              </w:rPr>
              <w:t>1、项目负责人具有</w:t>
            </w:r>
            <w:r>
              <w:rPr>
                <w:rFonts w:hint="eastAsia"/>
              </w:rPr>
              <w:t>机电专业</w:t>
            </w:r>
            <w:r>
              <w:rPr>
                <w:rFonts w:hint="eastAsia"/>
                <w:lang w:val="en-US" w:eastAsia="zh-CN"/>
              </w:rPr>
              <w:t>二</w:t>
            </w:r>
            <w:r>
              <w:rPr>
                <w:rFonts w:hint="eastAsia"/>
              </w:rPr>
              <w:t>级建造师证书</w:t>
            </w:r>
            <w:r>
              <w:rPr>
                <w:rFonts w:hint="eastAsia"/>
                <w:lang w:val="en-US" w:eastAsia="zh-CN"/>
              </w:rPr>
              <w:t>的得2分；具有电力相关类中级工程师得1分，不提供不得分；本项最高得3分。</w:t>
            </w:r>
          </w:p>
          <w:p w14:paraId="636558D8">
            <w:pPr>
              <w:spacing w:line="240" w:lineRule="auto"/>
              <w:ind w:firstLine="0" w:firstLineChars="0"/>
              <w:rPr>
                <w:rFonts w:hint="eastAsia"/>
                <w:lang w:val="en-US" w:eastAsia="zh-CN"/>
              </w:rPr>
            </w:pPr>
            <w:r>
              <w:rPr>
                <w:rFonts w:hint="eastAsia"/>
                <w:lang w:val="en-US" w:eastAsia="zh-CN"/>
              </w:rPr>
              <w:t>2、拟派项目技术负责人（除项目负责人外）具有电力类专业高级工程师得1分，中级工程师得0.5分，本项最高得1分。（需在项目组人员名单中明确拟派本项目技术负责人，未明确不得分）；</w:t>
            </w:r>
          </w:p>
          <w:p w14:paraId="2974D5D0">
            <w:pPr>
              <w:spacing w:line="240" w:lineRule="auto"/>
              <w:ind w:firstLine="0" w:firstLineChars="0"/>
              <w:rPr>
                <w:rFonts w:hint="eastAsia"/>
                <w:lang w:val="en-US" w:eastAsia="zh-CN"/>
              </w:rPr>
            </w:pPr>
            <w:r>
              <w:rPr>
                <w:rFonts w:hint="eastAsia"/>
                <w:lang w:val="en-US" w:eastAsia="zh-CN"/>
              </w:rPr>
              <w:t>3、拟派项目安装成员（除项目负责人及项目技术负责人外）持有维修电工证（或电工作业低压电工证）人员不少于3名，满足得1分，不满足不得分；</w:t>
            </w:r>
          </w:p>
          <w:p w14:paraId="525C58E0">
            <w:pPr>
              <w:spacing w:line="240" w:lineRule="auto"/>
              <w:ind w:firstLine="0" w:firstLineChars="0"/>
              <w:rPr>
                <w:rFonts w:hint="default"/>
                <w:lang w:val="en-US" w:eastAsia="zh-CN"/>
              </w:rPr>
            </w:pPr>
            <w:r>
              <w:rPr>
                <w:rFonts w:hint="eastAsia"/>
                <w:lang w:val="en-US" w:eastAsia="zh-CN"/>
              </w:rPr>
              <w:t>注：提供人员证书及开标前连续三个月的社保证明</w:t>
            </w:r>
          </w:p>
        </w:tc>
        <w:tc>
          <w:tcPr>
            <w:tcW w:w="720" w:type="dxa"/>
            <w:vAlign w:val="center"/>
          </w:tcPr>
          <w:p w14:paraId="05B089AA">
            <w:pPr>
              <w:spacing w:line="240" w:lineRule="auto"/>
              <w:ind w:firstLine="0" w:firstLineChars="0"/>
              <w:jc w:val="center"/>
              <w:rPr>
                <w:rFonts w:hint="default"/>
                <w:lang w:val="en-US" w:eastAsia="zh-CN"/>
              </w:rPr>
            </w:pPr>
            <w:r>
              <w:rPr>
                <w:rFonts w:hint="eastAsia"/>
                <w:lang w:val="en-US" w:eastAsia="zh-CN"/>
              </w:rPr>
              <w:t>5</w:t>
            </w:r>
          </w:p>
        </w:tc>
      </w:tr>
      <w:tr w14:paraId="7B53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8" w:type="dxa"/>
            <w:vMerge w:val="restart"/>
            <w:vAlign w:val="center"/>
          </w:tcPr>
          <w:p w14:paraId="1E805D6E">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10</w:t>
            </w:r>
          </w:p>
        </w:tc>
        <w:tc>
          <w:tcPr>
            <w:tcW w:w="1412" w:type="dxa"/>
            <w:vMerge w:val="restart"/>
            <w:vAlign w:val="center"/>
          </w:tcPr>
          <w:p w14:paraId="3147DEC9">
            <w:pPr>
              <w:spacing w:line="240" w:lineRule="auto"/>
              <w:ind w:firstLine="0" w:firstLineChars="0"/>
              <w:rPr>
                <w:rFonts w:hint="eastAsia"/>
                <w:lang w:val="en-US" w:eastAsia="zh-CN"/>
              </w:rPr>
            </w:pPr>
            <w:r>
              <w:rPr>
                <w:rFonts w:hint="eastAsia"/>
                <w:lang w:val="en-US" w:eastAsia="zh-CN"/>
              </w:rPr>
              <w:t>售后服务</w:t>
            </w:r>
          </w:p>
        </w:tc>
        <w:tc>
          <w:tcPr>
            <w:tcW w:w="7830" w:type="dxa"/>
            <w:vAlign w:val="center"/>
          </w:tcPr>
          <w:p w14:paraId="276F5671">
            <w:pPr>
              <w:spacing w:line="240" w:lineRule="auto"/>
              <w:ind w:firstLine="0" w:firstLineChars="0"/>
              <w:rPr>
                <w:rFonts w:hint="eastAsia"/>
                <w:lang w:val="en-US" w:eastAsia="zh-CN"/>
              </w:rPr>
            </w:pPr>
            <w:r>
              <w:rPr>
                <w:rFonts w:hint="eastAsia"/>
                <w:lang w:val="en-US" w:eastAsia="zh-CN"/>
              </w:rPr>
              <w:t>1、</w:t>
            </w:r>
            <w:r>
              <w:rPr>
                <w:rFonts w:hint="eastAsia"/>
                <w:lang w:eastAsia="zh-CN"/>
              </w:rPr>
              <w:t>投标人或投标人所投的充电桩产品供应商在项目实施地拥有售后维护机构</w:t>
            </w:r>
            <w:r>
              <w:rPr>
                <w:rFonts w:hint="eastAsia"/>
                <w:lang w:val="en-US" w:eastAsia="zh-CN"/>
              </w:rPr>
              <w:t>或承诺中标后1个月内设置售后机构。</w:t>
            </w:r>
          </w:p>
          <w:p w14:paraId="7FCEAF54">
            <w:pPr>
              <w:spacing w:line="240" w:lineRule="auto"/>
              <w:ind w:firstLine="0" w:firstLineChars="0"/>
              <w:rPr>
                <w:rFonts w:hint="eastAsia"/>
                <w:lang w:val="en-US" w:eastAsia="zh-CN"/>
              </w:rPr>
            </w:pPr>
            <w:r>
              <w:rPr>
                <w:rFonts w:hint="eastAsia"/>
                <w:lang w:eastAsia="zh-CN"/>
              </w:rPr>
              <w:t>提供办事处房产证明或租房合同复印件</w:t>
            </w:r>
            <w:r>
              <w:rPr>
                <w:rFonts w:hint="eastAsia"/>
                <w:lang w:val="en-US" w:eastAsia="zh-CN"/>
              </w:rPr>
              <w:t>或承诺书</w:t>
            </w:r>
            <w:r>
              <w:rPr>
                <w:rFonts w:hint="eastAsia"/>
                <w:lang w:eastAsia="zh-CN"/>
              </w:rPr>
              <w:t>并加盖投标人公章的得</w:t>
            </w:r>
            <w:r>
              <w:rPr>
                <w:rFonts w:hint="eastAsia"/>
                <w:lang w:val="en-US" w:eastAsia="zh-CN"/>
              </w:rPr>
              <w:t>2</w:t>
            </w:r>
            <w:r>
              <w:rPr>
                <w:rFonts w:hint="eastAsia"/>
                <w:lang w:eastAsia="zh-CN"/>
              </w:rPr>
              <w:t>分；</w:t>
            </w:r>
          </w:p>
        </w:tc>
        <w:tc>
          <w:tcPr>
            <w:tcW w:w="720" w:type="dxa"/>
            <w:vAlign w:val="center"/>
          </w:tcPr>
          <w:p w14:paraId="18D204BB">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r>
      <w:tr w14:paraId="5D00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8" w:type="dxa"/>
            <w:vMerge w:val="continue"/>
            <w:vAlign w:val="center"/>
          </w:tcPr>
          <w:p w14:paraId="536C7957">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p>
        </w:tc>
        <w:tc>
          <w:tcPr>
            <w:tcW w:w="1412" w:type="dxa"/>
            <w:vMerge w:val="continue"/>
            <w:vAlign w:val="center"/>
          </w:tcPr>
          <w:p w14:paraId="0AAECD53">
            <w:pPr>
              <w:spacing w:line="240" w:lineRule="auto"/>
              <w:ind w:firstLine="0" w:firstLineChars="0"/>
              <w:rPr>
                <w:rFonts w:hint="eastAsia"/>
                <w:lang w:val="en-US" w:eastAsia="zh-CN"/>
              </w:rPr>
            </w:pPr>
          </w:p>
        </w:tc>
        <w:tc>
          <w:tcPr>
            <w:tcW w:w="7830" w:type="dxa"/>
            <w:vAlign w:val="center"/>
          </w:tcPr>
          <w:p w14:paraId="7E179468">
            <w:pPr>
              <w:spacing w:line="240" w:lineRule="auto"/>
              <w:ind w:firstLine="0" w:firstLineChars="0"/>
              <w:rPr>
                <w:rFonts w:hint="eastAsia"/>
                <w:lang w:val="en-US" w:eastAsia="zh-CN"/>
              </w:rPr>
            </w:pPr>
            <w:r>
              <w:rPr>
                <w:rFonts w:hint="eastAsia"/>
                <w:highlight w:val="none"/>
                <w:lang w:val="en-US" w:eastAsia="zh-CN"/>
              </w:rPr>
              <w:t>2、</w:t>
            </w:r>
            <w:r>
              <w:rPr>
                <w:rFonts w:hint="eastAsia"/>
                <w:highlight w:val="none"/>
                <w:lang w:eastAsia="zh-CN"/>
              </w:rPr>
              <w:t>投标人结合本项目提供完善的售后服务方案及培训计划。</w:t>
            </w:r>
            <w:r>
              <w:rPr>
                <w:rFonts w:hint="eastAsia" w:ascii="仿宋" w:hAnsi="仿宋" w:eastAsia="仿宋" w:cs="仿宋_GB2312"/>
                <w:sz w:val="24"/>
                <w:szCs w:val="24"/>
                <w:highlight w:val="none"/>
              </w:rPr>
              <w:t>【评分分值范围：</w:t>
            </w:r>
            <w:r>
              <w:rPr>
                <w:rFonts w:hint="eastAsia" w:cs="仿宋_GB2312"/>
                <w:sz w:val="24"/>
                <w:szCs w:val="24"/>
                <w:highlight w:val="none"/>
                <w:lang w:val="en-US" w:eastAsia="zh-CN"/>
              </w:rPr>
              <w:t>0-2分</w:t>
            </w:r>
            <w:r>
              <w:rPr>
                <w:rFonts w:hint="eastAsia" w:ascii="仿宋" w:hAnsi="仿宋" w:eastAsia="仿宋" w:cs="仿宋_GB2312"/>
                <w:sz w:val="24"/>
                <w:szCs w:val="24"/>
                <w:highlight w:val="none"/>
              </w:rPr>
              <w:t>】</w:t>
            </w:r>
          </w:p>
        </w:tc>
        <w:tc>
          <w:tcPr>
            <w:tcW w:w="720" w:type="dxa"/>
            <w:vAlign w:val="center"/>
          </w:tcPr>
          <w:p w14:paraId="20732BAD">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r>
      <w:tr w14:paraId="1965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8" w:type="dxa"/>
            <w:vMerge w:val="continue"/>
            <w:vAlign w:val="center"/>
          </w:tcPr>
          <w:p w14:paraId="1ECF2EB0">
            <w:pPr>
              <w:widowControl/>
              <w:spacing w:line="460" w:lineRule="exact"/>
              <w:jc w:val="center"/>
              <w:rPr>
                <w:rFonts w:hint="default" w:ascii="宋体" w:hAnsi="宋体" w:eastAsia="宋体" w:cs="宋体"/>
                <w:b w:val="0"/>
                <w:color w:val="auto"/>
                <w:kern w:val="3"/>
                <w:sz w:val="24"/>
                <w:szCs w:val="24"/>
                <w:highlight w:val="none"/>
                <w:lang w:val="en-US" w:eastAsia="zh-CN" w:bidi="ar-SA"/>
              </w:rPr>
            </w:pPr>
          </w:p>
        </w:tc>
        <w:tc>
          <w:tcPr>
            <w:tcW w:w="1412" w:type="dxa"/>
            <w:vMerge w:val="continue"/>
            <w:vAlign w:val="center"/>
          </w:tcPr>
          <w:p w14:paraId="3F050E69">
            <w:pPr>
              <w:spacing w:line="240" w:lineRule="auto"/>
              <w:ind w:firstLine="0" w:firstLineChars="0"/>
              <w:rPr>
                <w:rFonts w:hint="default"/>
                <w:lang w:val="en-US" w:eastAsia="zh-CN"/>
              </w:rPr>
            </w:pPr>
          </w:p>
        </w:tc>
        <w:tc>
          <w:tcPr>
            <w:tcW w:w="7830" w:type="dxa"/>
            <w:vAlign w:val="center"/>
          </w:tcPr>
          <w:p w14:paraId="74375AFF">
            <w:pPr>
              <w:spacing w:line="240" w:lineRule="auto"/>
              <w:ind w:firstLine="0" w:firstLineChars="0"/>
              <w:rPr>
                <w:rFonts w:hint="eastAsia"/>
                <w:lang w:val="en-US" w:eastAsia="zh-CN"/>
              </w:rPr>
            </w:pPr>
            <w:r>
              <w:rPr>
                <w:rFonts w:hint="eastAsia"/>
                <w:lang w:val="en-US" w:eastAsia="zh-CN"/>
              </w:rPr>
              <w:t>3、</w:t>
            </w:r>
            <w:r>
              <w:rPr>
                <w:rFonts w:hint="eastAsia"/>
                <w:lang w:eastAsia="zh-CN"/>
              </w:rPr>
              <w:t>产品验收合格后</w:t>
            </w:r>
            <w:r>
              <w:rPr>
                <w:rFonts w:hint="eastAsia"/>
                <w:lang w:val="en-US" w:eastAsia="zh-CN"/>
              </w:rPr>
              <w:t>售后服务</w:t>
            </w:r>
            <w:r>
              <w:rPr>
                <w:rFonts w:hint="eastAsia"/>
                <w:lang w:eastAsia="zh-CN"/>
              </w:rPr>
              <w:t>≥</w:t>
            </w:r>
            <w:r>
              <w:rPr>
                <w:rFonts w:hint="eastAsia"/>
                <w:lang w:val="en-US" w:eastAsia="zh-CN"/>
              </w:rPr>
              <w:t>5</w:t>
            </w:r>
            <w:r>
              <w:rPr>
                <w:rFonts w:hint="eastAsia"/>
                <w:lang w:eastAsia="zh-CN"/>
              </w:rPr>
              <w:t>年，</w:t>
            </w:r>
            <w:r>
              <w:rPr>
                <w:rFonts w:hint="eastAsia"/>
                <w:lang w:val="en-US" w:eastAsia="zh-CN"/>
              </w:rPr>
              <w:t>售后服务</w:t>
            </w:r>
            <w:r>
              <w:rPr>
                <w:rFonts w:hint="eastAsia"/>
                <w:lang w:eastAsia="zh-CN"/>
              </w:rPr>
              <w:t>在</w:t>
            </w:r>
            <w:r>
              <w:rPr>
                <w:rFonts w:hint="eastAsia"/>
                <w:lang w:val="en-US" w:eastAsia="zh-CN"/>
              </w:rPr>
              <w:t>5</w:t>
            </w:r>
            <w:r>
              <w:rPr>
                <w:rFonts w:hint="eastAsia"/>
                <w:lang w:eastAsia="zh-CN"/>
              </w:rPr>
              <w:t>年基础上，每增加一年的得1分，最高得</w:t>
            </w:r>
            <w:r>
              <w:rPr>
                <w:rFonts w:hint="eastAsia"/>
                <w:lang w:val="en-US" w:eastAsia="zh-CN"/>
              </w:rPr>
              <w:t>3</w:t>
            </w:r>
            <w:r>
              <w:rPr>
                <w:rFonts w:hint="eastAsia"/>
                <w:lang w:eastAsia="zh-CN"/>
              </w:rPr>
              <w:t>分。</w:t>
            </w:r>
          </w:p>
        </w:tc>
        <w:tc>
          <w:tcPr>
            <w:tcW w:w="720" w:type="dxa"/>
            <w:vAlign w:val="center"/>
          </w:tcPr>
          <w:p w14:paraId="5F4099A4">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r>
      <w:tr w14:paraId="1C8F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8" w:type="dxa"/>
            <w:vAlign w:val="center"/>
          </w:tcPr>
          <w:p w14:paraId="445A2761">
            <w:pPr>
              <w:widowControl/>
              <w:spacing w:line="460" w:lineRule="exact"/>
              <w:jc w:val="center"/>
              <w:rPr>
                <w:rFonts w:hint="default" w:ascii="宋体" w:hAnsi="宋体" w:eastAsia="宋体" w:cs="宋体"/>
                <w:b w:val="0"/>
                <w:color w:val="auto"/>
                <w:kern w:val="3"/>
                <w:sz w:val="24"/>
                <w:szCs w:val="24"/>
                <w:highlight w:val="none"/>
                <w:lang w:val="en-US" w:eastAsia="zh-CN" w:bidi="ar-SA"/>
              </w:rPr>
            </w:pPr>
            <w:r>
              <w:rPr>
                <w:rFonts w:hint="eastAsia" w:ascii="宋体" w:hAnsi="宋体" w:eastAsia="宋体" w:cs="宋体"/>
                <w:b w:val="0"/>
                <w:color w:val="auto"/>
                <w:kern w:val="3"/>
                <w:sz w:val="24"/>
                <w:szCs w:val="24"/>
                <w:highlight w:val="none"/>
                <w:lang w:val="en-US" w:eastAsia="zh-CN" w:bidi="ar-SA"/>
              </w:rPr>
              <w:t>11</w:t>
            </w:r>
          </w:p>
        </w:tc>
        <w:tc>
          <w:tcPr>
            <w:tcW w:w="1412" w:type="dxa"/>
            <w:vAlign w:val="center"/>
          </w:tcPr>
          <w:p w14:paraId="48F977E1">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合理化建议</w:t>
            </w:r>
          </w:p>
        </w:tc>
        <w:tc>
          <w:tcPr>
            <w:tcW w:w="7830" w:type="dxa"/>
            <w:vAlign w:val="center"/>
          </w:tcPr>
          <w:p w14:paraId="54BDDB39">
            <w:pPr>
              <w:widowControl/>
              <w:spacing w:line="440" w:lineRule="exact"/>
              <w:jc w:val="left"/>
              <w:rPr>
                <w:rFonts w:hint="eastAsia" w:ascii="仿宋" w:hAnsi="仿宋" w:eastAsia="仿宋" w:cs="仿宋"/>
                <w:b w:val="0"/>
                <w:bCs w:val="0"/>
                <w:color w:val="auto"/>
                <w:kern w:val="3"/>
                <w:sz w:val="24"/>
                <w:szCs w:val="24"/>
                <w:highlight w:val="none"/>
                <w:lang w:val="en-US" w:eastAsia="zh-CN" w:bidi="ar-SA"/>
              </w:rPr>
            </w:pPr>
            <w:r>
              <w:rPr>
                <w:rFonts w:hint="eastAsia" w:hAnsi="宋体" w:cs="宋体"/>
                <w:highlight w:val="none"/>
              </w:rPr>
              <w:t>符合本项目实际要求和实施计划的具体合理化建议。每提供一条针对本项目可行的合理化建议的得1分，最高得</w:t>
            </w:r>
            <w:r>
              <w:rPr>
                <w:rFonts w:hint="eastAsia" w:hAnsi="宋体" w:cs="宋体"/>
                <w:highlight w:val="none"/>
                <w:lang w:val="en-US" w:eastAsia="zh-CN"/>
              </w:rPr>
              <w:t>2</w:t>
            </w:r>
            <w:r>
              <w:rPr>
                <w:rFonts w:hint="eastAsia" w:hAnsi="宋体" w:cs="宋体"/>
                <w:highlight w:val="none"/>
              </w:rPr>
              <w:t>分。</w:t>
            </w:r>
            <w:r>
              <w:rPr>
                <w:rFonts w:hint="eastAsia" w:ascii="仿宋" w:hAnsi="仿宋" w:eastAsia="仿宋" w:cs="仿宋_GB2312"/>
                <w:sz w:val="24"/>
                <w:szCs w:val="24"/>
                <w:highlight w:val="none"/>
              </w:rPr>
              <w:t>【评分分值范围：</w:t>
            </w:r>
            <w:r>
              <w:rPr>
                <w:rFonts w:hint="eastAsia" w:cs="仿宋_GB2312"/>
                <w:sz w:val="24"/>
                <w:szCs w:val="24"/>
                <w:highlight w:val="none"/>
                <w:lang w:val="en-US" w:eastAsia="zh-CN"/>
              </w:rPr>
              <w:t>0-2分</w:t>
            </w:r>
            <w:r>
              <w:rPr>
                <w:rFonts w:hint="eastAsia" w:ascii="仿宋" w:hAnsi="仿宋" w:eastAsia="仿宋" w:cs="仿宋_GB2312"/>
                <w:sz w:val="24"/>
                <w:szCs w:val="24"/>
                <w:highlight w:val="none"/>
              </w:rPr>
              <w:t>】</w:t>
            </w:r>
          </w:p>
        </w:tc>
        <w:tc>
          <w:tcPr>
            <w:tcW w:w="720" w:type="dxa"/>
            <w:vAlign w:val="center"/>
          </w:tcPr>
          <w:p w14:paraId="4E4F1205">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r>
    </w:tbl>
    <w:p w14:paraId="21FDFCAE">
      <w:pPr>
        <w:spacing w:line="440" w:lineRule="exact"/>
        <w:rPr>
          <w:rFonts w:hint="eastAsia" w:ascii="仿宋" w:hAnsi="仿宋" w:eastAsia="仿宋" w:cs="仿宋"/>
          <w:b/>
          <w:color w:val="auto"/>
          <w:highlight w:val="none"/>
        </w:rPr>
      </w:pPr>
    </w:p>
    <w:p w14:paraId="3D386497">
      <w:pPr>
        <w:spacing w:line="440" w:lineRule="exact"/>
        <w:rPr>
          <w:rStyle w:val="1032"/>
          <w:rFonts w:hint="eastAsia" w:ascii="仿宋" w:hAnsi="仿宋" w:eastAsia="仿宋" w:cs="仿宋"/>
          <w:color w:val="auto"/>
          <w:sz w:val="24"/>
          <w:highlight w:val="none"/>
        </w:rPr>
      </w:pPr>
      <w:r>
        <w:rPr>
          <w:rFonts w:hint="eastAsia" w:ascii="仿宋" w:hAnsi="仿宋" w:eastAsia="仿宋" w:cs="仿宋"/>
          <w:b/>
          <w:color w:val="auto"/>
          <w:highlight w:val="none"/>
        </w:rPr>
        <w:t>注：</w:t>
      </w:r>
      <w:r>
        <w:rPr>
          <w:rStyle w:val="1032"/>
          <w:rFonts w:hint="eastAsia" w:ascii="仿宋" w:hAnsi="仿宋" w:eastAsia="仿宋" w:cs="仿宋"/>
          <w:color w:val="auto"/>
          <w:sz w:val="24"/>
          <w:highlight w:val="none"/>
        </w:rPr>
        <w:t>1、</w:t>
      </w:r>
      <w:r>
        <w:rPr>
          <w:rFonts w:hint="eastAsia" w:ascii="仿宋" w:hAnsi="仿宋" w:eastAsia="仿宋" w:cs="仿宋"/>
          <w:color w:val="auto"/>
          <w:highlight w:val="none"/>
        </w:rPr>
        <w:t>▲</w:t>
      </w:r>
      <w:r>
        <w:rPr>
          <w:rStyle w:val="1032"/>
          <w:rFonts w:hint="eastAsia" w:ascii="仿宋" w:hAnsi="仿宋" w:eastAsia="仿宋" w:cs="仿宋"/>
          <w:color w:val="auto"/>
          <w:sz w:val="24"/>
          <w:highlight w:val="none"/>
        </w:rPr>
        <w:t>投标人承诺提供的所有评分内容的证明材料应真实有效，中标后采购人有权要求投标人提供证明材料原件，若发现投标人提供虚假材料骗取中标的，采购人有权取消其中标资格，并通报给监督部门。</w:t>
      </w:r>
    </w:p>
    <w:p w14:paraId="27EE2AB7">
      <w:pPr>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4D120618">
      <w:pPr>
        <w:pStyle w:val="5"/>
        <w:numPr>
          <w:ilvl w:val="0"/>
          <w:numId w:val="3"/>
        </w:num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采购需求</w:t>
      </w:r>
      <w:bookmarkEnd w:id="4"/>
      <w:bookmarkStart w:id="5" w:name="_Toc292375921"/>
      <w:bookmarkEnd w:id="5"/>
    </w:p>
    <w:p w14:paraId="36D7BA4D">
      <w:pPr>
        <w:spacing w:line="400" w:lineRule="exact"/>
        <w:rPr>
          <w:rFonts w:hint="eastAsia" w:ascii="仿宋" w:hAnsi="仿宋" w:eastAsia="仿宋" w:cs="仿宋"/>
          <w:b/>
          <w:color w:val="auto"/>
          <w:sz w:val="28"/>
          <w:szCs w:val="28"/>
          <w:highlight w:val="none"/>
        </w:rPr>
      </w:pPr>
    </w:p>
    <w:p w14:paraId="3AE9E102">
      <w:pPr>
        <w:spacing w:line="40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一、项目概述</w:t>
      </w:r>
    </w:p>
    <w:p w14:paraId="0B0B5ADD">
      <w:pPr>
        <w:ind w:firstLine="480" w:firstLineChars="200"/>
      </w:pPr>
      <w:bookmarkStart w:id="6" w:name="_Toc142579977"/>
      <w:bookmarkStart w:id="7" w:name="_Toc122017565"/>
      <w:r>
        <w:rPr>
          <w:rFonts w:hint="eastAsia"/>
          <w:lang w:eastAsia="zh-CN"/>
        </w:rPr>
        <w:t>桐庐畅桐新能源科技有限公司二期充电桩建设项目</w:t>
      </w:r>
      <w:r>
        <w:rPr>
          <w:rFonts w:hint="eastAsia"/>
        </w:rPr>
        <w:t>。建设</w:t>
      </w:r>
      <w:r>
        <w:rPr>
          <w:rFonts w:hint="eastAsia"/>
          <w:lang w:val="en-US" w:eastAsia="zh-CN"/>
        </w:rPr>
        <w:t>内容包括</w:t>
      </w:r>
      <w:r>
        <w:rPr>
          <w:rFonts w:hint="eastAsia"/>
        </w:rPr>
        <w:t>新能源汽车</w:t>
      </w:r>
      <w:r>
        <w:rPr>
          <w:rFonts w:hint="eastAsia"/>
          <w:lang w:val="en-US" w:eastAsia="zh-CN"/>
        </w:rPr>
        <w:t>分体式</w:t>
      </w:r>
      <w:r>
        <w:rPr>
          <w:rFonts w:hint="eastAsia"/>
        </w:rPr>
        <w:t>直流充电</w:t>
      </w:r>
      <w:r>
        <w:rPr>
          <w:rFonts w:hint="eastAsia"/>
          <w:lang w:val="en-US" w:eastAsia="zh-CN"/>
        </w:rPr>
        <w:t>机、</w:t>
      </w:r>
      <w:r>
        <w:rPr>
          <w:rFonts w:hint="eastAsia"/>
        </w:rPr>
        <w:t>直流充电终端、一体式直流充电机、箱式变电站、视频监控系统</w:t>
      </w:r>
      <w:r>
        <w:rPr>
          <w:rFonts w:hint="eastAsia"/>
          <w:lang w:val="en-US" w:eastAsia="zh-CN"/>
        </w:rPr>
        <w:t>及</w:t>
      </w:r>
      <w:r>
        <w:rPr>
          <w:rFonts w:hint="eastAsia"/>
        </w:rPr>
        <w:t>包含相关配套设施、相关土建等。</w:t>
      </w:r>
    </w:p>
    <w:p w14:paraId="61728265">
      <w:pPr>
        <w:spacing w:line="400" w:lineRule="exact"/>
        <w:rPr>
          <w:rFonts w:hint="eastAsia" w:cs="仿宋"/>
          <w:b/>
          <w:color w:val="auto"/>
          <w:sz w:val="28"/>
          <w:szCs w:val="28"/>
          <w:highlight w:val="none"/>
          <w:lang w:val="en-US" w:eastAsia="zh-CN"/>
        </w:rPr>
      </w:pPr>
    </w:p>
    <w:p w14:paraId="01A22618">
      <w:pPr>
        <w:spacing w:line="400" w:lineRule="exact"/>
        <w:rPr>
          <w:rFonts w:hint="eastAsia" w:ascii="仿宋" w:hAnsi="仿宋" w:eastAsia="仿宋" w:cs="仿宋"/>
          <w:b/>
          <w:color w:val="auto"/>
          <w:sz w:val="28"/>
          <w:szCs w:val="28"/>
          <w:highlight w:val="none"/>
        </w:rPr>
      </w:pPr>
      <w:r>
        <w:rPr>
          <w:rFonts w:hint="eastAsia" w:cs="仿宋"/>
          <w:b/>
          <w:color w:val="auto"/>
          <w:sz w:val="28"/>
          <w:szCs w:val="28"/>
          <w:highlight w:val="none"/>
          <w:lang w:val="en-US" w:eastAsia="zh-CN"/>
        </w:rPr>
        <w:t>二、</w:t>
      </w:r>
      <w:r>
        <w:rPr>
          <w:rFonts w:hint="eastAsia" w:ascii="仿宋" w:hAnsi="仿宋" w:eastAsia="仿宋" w:cs="仿宋"/>
          <w:b/>
          <w:color w:val="auto"/>
          <w:sz w:val="28"/>
          <w:szCs w:val="28"/>
          <w:highlight w:val="none"/>
        </w:rPr>
        <w:t>采用规范、标准及法规</w:t>
      </w:r>
      <w:bookmarkEnd w:id="6"/>
    </w:p>
    <w:p w14:paraId="7EC2D3BF">
      <w:pPr>
        <w:spacing w:line="360" w:lineRule="auto"/>
        <w:ind w:firstLine="480" w:firstLineChars="200"/>
        <w:textAlignment w:val="center"/>
        <w:rPr>
          <w:rFonts w:ascii="宋体" w:hAnsi="宋体"/>
        </w:rPr>
      </w:pPr>
      <w:r>
        <w:rPr>
          <w:rFonts w:hint="eastAsia" w:ascii="宋体" w:hAnsi="宋体"/>
        </w:rPr>
        <w:t>本技术规格书指定产品应遵循的规范、标准法规主要包括但不仅限于以下所列范围，其最新版本（包括所有的修改单）适用于本文件：</w:t>
      </w:r>
    </w:p>
    <w:tbl>
      <w:tblPr>
        <w:tblStyle w:val="89"/>
        <w:tblW w:w="89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6702"/>
      </w:tblGrid>
      <w:tr w14:paraId="78A6A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43167870">
            <w:pPr>
              <w:spacing w:line="360" w:lineRule="auto"/>
              <w:rPr>
                <w:rFonts w:hint="eastAsia" w:ascii="仿宋" w:hAnsi="仿宋" w:eastAsia="仿宋" w:cs="仿宋"/>
              </w:rPr>
            </w:pPr>
            <w:r>
              <w:rPr>
                <w:rFonts w:hint="eastAsia" w:ascii="仿宋" w:hAnsi="仿宋" w:eastAsia="仿宋" w:cs="仿宋"/>
              </w:rPr>
              <w:t>标准号</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3C010560">
            <w:pPr>
              <w:spacing w:line="360" w:lineRule="auto"/>
              <w:rPr>
                <w:rFonts w:hint="eastAsia" w:ascii="仿宋" w:hAnsi="仿宋" w:eastAsia="仿宋" w:cs="仿宋"/>
              </w:rPr>
            </w:pPr>
            <w:r>
              <w:rPr>
                <w:rFonts w:hint="eastAsia" w:ascii="仿宋" w:hAnsi="仿宋" w:eastAsia="仿宋" w:cs="仿宋"/>
              </w:rPr>
              <w:t>标准/规范名称</w:t>
            </w:r>
          </w:p>
        </w:tc>
      </w:tr>
      <w:tr w14:paraId="60FB3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193BC316">
            <w:pPr>
              <w:spacing w:line="360" w:lineRule="auto"/>
              <w:rPr>
                <w:rFonts w:hint="eastAsia" w:ascii="仿宋" w:hAnsi="仿宋" w:eastAsia="仿宋" w:cs="仿宋"/>
              </w:rPr>
            </w:pPr>
            <w:r>
              <w:rPr>
                <w:rFonts w:hint="eastAsia" w:ascii="仿宋" w:hAnsi="仿宋" w:eastAsia="仿宋" w:cs="仿宋"/>
              </w:rPr>
              <w:t>GB 50966-2014</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3E37D972">
            <w:pPr>
              <w:spacing w:line="360" w:lineRule="auto"/>
              <w:rPr>
                <w:rFonts w:hint="eastAsia" w:ascii="仿宋" w:hAnsi="仿宋" w:eastAsia="仿宋" w:cs="仿宋"/>
              </w:rPr>
            </w:pPr>
            <w:r>
              <w:rPr>
                <w:rFonts w:hint="eastAsia" w:ascii="仿宋" w:hAnsi="仿宋" w:eastAsia="仿宋" w:cs="仿宋"/>
              </w:rPr>
              <w:t>电动汽车充电站设计规范</w:t>
            </w:r>
          </w:p>
        </w:tc>
      </w:tr>
      <w:tr w14:paraId="1F5A3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7D18A1A4">
            <w:pPr>
              <w:spacing w:line="360" w:lineRule="auto"/>
              <w:rPr>
                <w:rFonts w:hint="eastAsia" w:ascii="仿宋" w:hAnsi="仿宋" w:eastAsia="仿宋" w:cs="仿宋"/>
              </w:rPr>
            </w:pPr>
            <w:r>
              <w:rPr>
                <w:rFonts w:hint="eastAsia" w:ascii="仿宋" w:hAnsi="仿宋" w:eastAsia="仿宋" w:cs="仿宋"/>
              </w:rPr>
              <w:t>GB/T 51313-2018</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6C4D9B95">
            <w:pPr>
              <w:spacing w:line="360" w:lineRule="auto"/>
              <w:rPr>
                <w:rFonts w:hint="eastAsia" w:ascii="仿宋" w:hAnsi="仿宋" w:eastAsia="仿宋" w:cs="仿宋"/>
              </w:rPr>
            </w:pPr>
            <w:r>
              <w:rPr>
                <w:rFonts w:hint="eastAsia" w:ascii="仿宋" w:hAnsi="仿宋" w:eastAsia="仿宋" w:cs="仿宋"/>
              </w:rPr>
              <w:t>电动汽车分散充电设施工程技术标准</w:t>
            </w:r>
          </w:p>
        </w:tc>
      </w:tr>
      <w:tr w14:paraId="64903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378DDC3C">
            <w:pPr>
              <w:spacing w:line="360" w:lineRule="auto"/>
              <w:rPr>
                <w:rFonts w:hint="eastAsia" w:ascii="仿宋" w:hAnsi="仿宋" w:eastAsia="仿宋" w:cs="仿宋"/>
              </w:rPr>
            </w:pPr>
            <w:r>
              <w:rPr>
                <w:rFonts w:hint="eastAsia" w:ascii="仿宋" w:hAnsi="仿宋" w:eastAsia="仿宋" w:cs="仿宋"/>
              </w:rPr>
              <w:t>GB/T 29781-2013</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37F33B19">
            <w:pPr>
              <w:spacing w:line="360" w:lineRule="auto"/>
              <w:rPr>
                <w:rFonts w:hint="eastAsia" w:ascii="仿宋" w:hAnsi="仿宋" w:eastAsia="仿宋" w:cs="仿宋"/>
              </w:rPr>
            </w:pPr>
            <w:r>
              <w:rPr>
                <w:rFonts w:hint="eastAsia" w:ascii="仿宋" w:hAnsi="仿宋" w:eastAsia="仿宋" w:cs="仿宋"/>
              </w:rPr>
              <w:t>电动汽车充电站通用要求</w:t>
            </w:r>
          </w:p>
        </w:tc>
      </w:tr>
      <w:tr w14:paraId="431F3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32B1A46F">
            <w:pPr>
              <w:spacing w:line="360" w:lineRule="auto"/>
              <w:rPr>
                <w:rFonts w:hint="eastAsia" w:ascii="仿宋" w:hAnsi="仿宋" w:eastAsia="仿宋" w:cs="仿宋"/>
              </w:rPr>
            </w:pPr>
            <w:r>
              <w:rPr>
                <w:rFonts w:hint="eastAsia" w:ascii="仿宋" w:hAnsi="仿宋" w:eastAsia="仿宋" w:cs="仿宋"/>
              </w:rPr>
              <w:t>GB/T 29316-2012</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7896707A">
            <w:pPr>
              <w:spacing w:line="360" w:lineRule="auto"/>
              <w:rPr>
                <w:rFonts w:hint="eastAsia" w:ascii="仿宋" w:hAnsi="仿宋" w:eastAsia="仿宋" w:cs="仿宋"/>
              </w:rPr>
            </w:pPr>
            <w:r>
              <w:rPr>
                <w:rFonts w:hint="eastAsia" w:ascii="仿宋" w:hAnsi="仿宋" w:eastAsia="仿宋" w:cs="仿宋"/>
              </w:rPr>
              <w:t>电动汽车充换电设施电能质量技术要求</w:t>
            </w:r>
          </w:p>
        </w:tc>
      </w:tr>
      <w:tr w14:paraId="5ACC2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6B561836">
            <w:pPr>
              <w:spacing w:line="360" w:lineRule="auto"/>
              <w:rPr>
                <w:rFonts w:hint="eastAsia" w:ascii="仿宋" w:hAnsi="仿宋" w:eastAsia="仿宋" w:cs="仿宋"/>
              </w:rPr>
            </w:pPr>
            <w:r>
              <w:rPr>
                <w:rFonts w:hint="eastAsia" w:ascii="仿宋" w:hAnsi="仿宋" w:eastAsia="仿宋" w:cs="仿宋"/>
              </w:rPr>
              <w:t>NB/T 33004-2020</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318215DA">
            <w:pPr>
              <w:spacing w:line="360" w:lineRule="auto"/>
              <w:rPr>
                <w:rFonts w:hint="eastAsia" w:ascii="仿宋" w:hAnsi="仿宋" w:eastAsia="仿宋" w:cs="仿宋"/>
              </w:rPr>
            </w:pPr>
            <w:r>
              <w:rPr>
                <w:rFonts w:hint="eastAsia" w:ascii="仿宋" w:hAnsi="仿宋" w:eastAsia="仿宋" w:cs="仿宋"/>
              </w:rPr>
              <w:t>电动汽车充换电设施工程施工和竣工验收规范</w:t>
            </w:r>
          </w:p>
        </w:tc>
      </w:tr>
      <w:tr w14:paraId="1356A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29CFB0E4">
            <w:pPr>
              <w:spacing w:line="360" w:lineRule="auto"/>
              <w:rPr>
                <w:rFonts w:hint="eastAsia" w:ascii="仿宋" w:hAnsi="仿宋" w:eastAsia="仿宋" w:cs="仿宋"/>
              </w:rPr>
            </w:pPr>
            <w:r>
              <w:rPr>
                <w:rFonts w:hint="eastAsia" w:ascii="仿宋" w:hAnsi="仿宋" w:eastAsia="仿宋" w:cs="仿宋"/>
              </w:rPr>
              <w:t>NB/T 33001-2018</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2AA3B37E">
            <w:pPr>
              <w:spacing w:line="360" w:lineRule="auto"/>
              <w:rPr>
                <w:rFonts w:hint="eastAsia" w:ascii="仿宋" w:hAnsi="仿宋" w:eastAsia="仿宋" w:cs="仿宋"/>
              </w:rPr>
            </w:pPr>
            <w:r>
              <w:rPr>
                <w:rFonts w:hint="eastAsia" w:ascii="仿宋" w:hAnsi="仿宋" w:eastAsia="仿宋" w:cs="仿宋"/>
              </w:rPr>
              <w:t>电动汽车非车载传导式充电机技术条件</w:t>
            </w:r>
          </w:p>
        </w:tc>
      </w:tr>
      <w:tr w14:paraId="35457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52473603">
            <w:pPr>
              <w:spacing w:line="360" w:lineRule="auto"/>
              <w:rPr>
                <w:rFonts w:hint="eastAsia" w:ascii="仿宋" w:hAnsi="仿宋" w:eastAsia="仿宋" w:cs="仿宋"/>
              </w:rPr>
            </w:pPr>
            <w:r>
              <w:rPr>
                <w:rFonts w:hint="eastAsia" w:ascii="仿宋" w:hAnsi="仿宋" w:eastAsia="仿宋" w:cs="仿宋"/>
              </w:rPr>
              <w:t>NB/T 33002-2018</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48D70CBC">
            <w:pPr>
              <w:spacing w:line="360" w:lineRule="auto"/>
              <w:rPr>
                <w:rFonts w:hint="eastAsia" w:ascii="仿宋" w:hAnsi="仿宋" w:eastAsia="仿宋" w:cs="仿宋"/>
              </w:rPr>
            </w:pPr>
            <w:r>
              <w:rPr>
                <w:rFonts w:hint="eastAsia" w:ascii="仿宋" w:hAnsi="仿宋" w:eastAsia="仿宋" w:cs="仿宋"/>
              </w:rPr>
              <w:t>电动汽车交流充电桩技术条件</w:t>
            </w:r>
          </w:p>
        </w:tc>
      </w:tr>
      <w:tr w14:paraId="1D870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402F9674">
            <w:pPr>
              <w:spacing w:line="360" w:lineRule="auto"/>
              <w:rPr>
                <w:rFonts w:hint="eastAsia" w:ascii="仿宋" w:hAnsi="仿宋" w:eastAsia="仿宋" w:cs="仿宋"/>
              </w:rPr>
            </w:pPr>
            <w:r>
              <w:rPr>
                <w:rFonts w:hint="eastAsia" w:ascii="仿宋" w:hAnsi="仿宋" w:eastAsia="仿宋" w:cs="仿宋"/>
              </w:rPr>
              <w:t>NB/T 33008.1-2018</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1C8198A8">
            <w:pPr>
              <w:spacing w:line="360" w:lineRule="auto"/>
              <w:rPr>
                <w:rFonts w:hint="eastAsia" w:ascii="仿宋" w:hAnsi="仿宋" w:eastAsia="仿宋" w:cs="仿宋"/>
              </w:rPr>
            </w:pPr>
            <w:r>
              <w:rPr>
                <w:rFonts w:hint="eastAsia" w:ascii="仿宋" w:hAnsi="仿宋" w:eastAsia="仿宋" w:cs="仿宋"/>
              </w:rPr>
              <w:t>电动汽车充电设备检验试验规范第一部分：非车载充电机</w:t>
            </w:r>
          </w:p>
        </w:tc>
      </w:tr>
      <w:tr w14:paraId="3275C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54E75821">
            <w:pPr>
              <w:spacing w:line="360" w:lineRule="auto"/>
              <w:rPr>
                <w:rFonts w:hint="eastAsia" w:ascii="仿宋" w:hAnsi="仿宋" w:eastAsia="仿宋" w:cs="仿宋"/>
              </w:rPr>
            </w:pPr>
            <w:r>
              <w:rPr>
                <w:rFonts w:hint="eastAsia" w:ascii="仿宋" w:hAnsi="仿宋" w:eastAsia="仿宋" w:cs="仿宋"/>
              </w:rPr>
              <w:t>NB_T 33008.2-2018</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0FEACC4D">
            <w:pPr>
              <w:spacing w:line="360" w:lineRule="auto"/>
              <w:rPr>
                <w:rFonts w:hint="eastAsia" w:ascii="仿宋" w:hAnsi="仿宋" w:eastAsia="仿宋" w:cs="仿宋"/>
              </w:rPr>
            </w:pPr>
            <w:r>
              <w:rPr>
                <w:rFonts w:hint="eastAsia" w:ascii="仿宋" w:hAnsi="仿宋" w:eastAsia="仿宋" w:cs="仿宋"/>
              </w:rPr>
              <w:t>电动汽车充电设备检验试验规范第二部分：交流充电桩</w:t>
            </w:r>
          </w:p>
        </w:tc>
      </w:tr>
      <w:tr w14:paraId="3702E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386BCB56">
            <w:pPr>
              <w:spacing w:line="360" w:lineRule="auto"/>
              <w:rPr>
                <w:rFonts w:hint="default" w:ascii="仿宋" w:hAnsi="仿宋" w:eastAsia="仿宋" w:cs="仿宋"/>
                <w:highlight w:val="none"/>
                <w:lang w:val="en-US" w:eastAsia="zh-CN"/>
              </w:rPr>
            </w:pPr>
            <w:r>
              <w:rPr>
                <w:rFonts w:hint="eastAsia" w:ascii="仿宋" w:hAnsi="仿宋" w:eastAsia="仿宋" w:cs="仿宋"/>
                <w:highlight w:val="none"/>
              </w:rPr>
              <w:t>GB/T 18487.1</w:t>
            </w:r>
            <w:r>
              <w:rPr>
                <w:rFonts w:hint="eastAsia" w:cs="仿宋"/>
                <w:highlight w:val="none"/>
                <w:lang w:val="en-US" w:eastAsia="zh-CN"/>
              </w:rPr>
              <w:t>-2015</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39974C57">
            <w:pPr>
              <w:spacing w:line="360" w:lineRule="auto"/>
              <w:rPr>
                <w:rFonts w:hint="eastAsia" w:ascii="仿宋" w:hAnsi="仿宋" w:eastAsia="仿宋" w:cs="仿宋"/>
                <w:highlight w:val="none"/>
              </w:rPr>
            </w:pPr>
            <w:r>
              <w:rPr>
                <w:rFonts w:hint="eastAsia" w:ascii="仿宋" w:hAnsi="仿宋" w:eastAsia="仿宋" w:cs="仿宋"/>
                <w:highlight w:val="none"/>
              </w:rPr>
              <w:t>电动汽车传导充电系统 第1部分 通用要求</w:t>
            </w:r>
          </w:p>
        </w:tc>
      </w:tr>
      <w:tr w14:paraId="6EAC9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50C6F9DD">
            <w:pPr>
              <w:spacing w:line="360" w:lineRule="auto"/>
              <w:rPr>
                <w:rFonts w:hint="eastAsia" w:ascii="仿宋" w:hAnsi="仿宋" w:eastAsia="仿宋" w:cs="仿宋"/>
              </w:rPr>
            </w:pPr>
            <w:r>
              <w:rPr>
                <w:rFonts w:hint="eastAsia" w:ascii="仿宋" w:hAnsi="仿宋" w:eastAsia="仿宋" w:cs="仿宋"/>
              </w:rPr>
              <w:t>GB/T 18487.2-2017</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683AB5AB">
            <w:pPr>
              <w:spacing w:line="360" w:lineRule="auto"/>
              <w:rPr>
                <w:rFonts w:hint="eastAsia" w:ascii="仿宋" w:hAnsi="仿宋" w:eastAsia="仿宋" w:cs="仿宋"/>
              </w:rPr>
            </w:pPr>
            <w:r>
              <w:rPr>
                <w:rFonts w:hint="eastAsia" w:ascii="仿宋" w:hAnsi="仿宋" w:eastAsia="仿宋" w:cs="仿宋"/>
              </w:rPr>
              <w:t>电动汽车传导充电系统 第2部分：非车载传导供电设备电磁兼容要求</w:t>
            </w:r>
          </w:p>
        </w:tc>
      </w:tr>
      <w:tr w14:paraId="3927D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0E7A8C0F">
            <w:pPr>
              <w:spacing w:line="360" w:lineRule="auto"/>
              <w:rPr>
                <w:rFonts w:hint="default" w:ascii="仿宋" w:hAnsi="仿宋" w:eastAsia="仿宋" w:cs="仿宋"/>
                <w:highlight w:val="none"/>
                <w:lang w:val="en-US" w:eastAsia="zh-CN"/>
              </w:rPr>
            </w:pPr>
            <w:r>
              <w:rPr>
                <w:rFonts w:hint="eastAsia" w:ascii="仿宋" w:hAnsi="仿宋" w:eastAsia="仿宋" w:cs="仿宋"/>
                <w:highlight w:val="none"/>
              </w:rPr>
              <w:t>GB/T 20234.1-</w:t>
            </w:r>
            <w:r>
              <w:rPr>
                <w:rFonts w:hint="eastAsia" w:cs="仿宋"/>
                <w:highlight w:val="none"/>
                <w:lang w:val="en-US" w:eastAsia="zh-CN"/>
              </w:rPr>
              <w:t>2015</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62CF9D6D">
            <w:pPr>
              <w:spacing w:line="360" w:lineRule="auto"/>
              <w:rPr>
                <w:rFonts w:hint="eastAsia" w:ascii="仿宋" w:hAnsi="仿宋" w:eastAsia="仿宋" w:cs="仿宋"/>
                <w:highlight w:val="none"/>
              </w:rPr>
            </w:pPr>
            <w:r>
              <w:rPr>
                <w:rFonts w:hint="eastAsia" w:ascii="仿宋" w:hAnsi="仿宋" w:eastAsia="仿宋" w:cs="仿宋"/>
                <w:highlight w:val="none"/>
              </w:rPr>
              <w:t>电动汽车传导充电用连接装置 第1部分：通用要求</w:t>
            </w:r>
          </w:p>
        </w:tc>
      </w:tr>
      <w:tr w14:paraId="36308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0CB7432A">
            <w:pPr>
              <w:spacing w:line="360" w:lineRule="auto"/>
              <w:rPr>
                <w:rFonts w:hint="eastAsia" w:ascii="仿宋" w:hAnsi="仿宋" w:eastAsia="仿宋" w:cs="仿宋"/>
                <w:highlight w:val="none"/>
              </w:rPr>
            </w:pPr>
            <w:r>
              <w:rPr>
                <w:rFonts w:hint="eastAsia" w:ascii="仿宋" w:hAnsi="仿宋" w:eastAsia="仿宋" w:cs="仿宋"/>
                <w:highlight w:val="none"/>
              </w:rPr>
              <w:t>GB/T 20234.2-2015</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79109F54">
            <w:pPr>
              <w:spacing w:line="360" w:lineRule="auto"/>
              <w:rPr>
                <w:rFonts w:hint="eastAsia" w:ascii="仿宋" w:hAnsi="仿宋" w:eastAsia="仿宋" w:cs="仿宋"/>
                <w:highlight w:val="none"/>
              </w:rPr>
            </w:pPr>
            <w:r>
              <w:rPr>
                <w:rFonts w:hint="eastAsia" w:ascii="仿宋" w:hAnsi="仿宋" w:eastAsia="仿宋" w:cs="仿宋"/>
                <w:highlight w:val="none"/>
              </w:rPr>
              <w:t>电动汽车传导充电用连接装置 第2部分：交流充电接口</w:t>
            </w:r>
          </w:p>
        </w:tc>
      </w:tr>
      <w:tr w14:paraId="070B9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75676792">
            <w:pPr>
              <w:spacing w:line="360" w:lineRule="auto"/>
              <w:rPr>
                <w:rFonts w:hint="default" w:ascii="仿宋" w:hAnsi="仿宋" w:eastAsia="仿宋" w:cs="仿宋"/>
                <w:highlight w:val="none"/>
                <w:lang w:val="en-US" w:eastAsia="zh-CN"/>
              </w:rPr>
            </w:pPr>
            <w:r>
              <w:rPr>
                <w:rFonts w:hint="eastAsia" w:ascii="仿宋" w:hAnsi="仿宋" w:eastAsia="仿宋" w:cs="仿宋"/>
                <w:highlight w:val="none"/>
              </w:rPr>
              <w:t>GB/T 20234.3-</w:t>
            </w:r>
            <w:r>
              <w:rPr>
                <w:rFonts w:hint="eastAsia" w:cs="仿宋"/>
                <w:highlight w:val="none"/>
                <w:lang w:val="en-US" w:eastAsia="zh-CN"/>
              </w:rPr>
              <w:t>2023</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6B3E46F8">
            <w:pPr>
              <w:spacing w:line="360" w:lineRule="auto"/>
              <w:rPr>
                <w:rFonts w:hint="eastAsia" w:ascii="仿宋" w:hAnsi="仿宋" w:eastAsia="仿宋" w:cs="仿宋"/>
                <w:highlight w:val="none"/>
              </w:rPr>
            </w:pPr>
            <w:r>
              <w:rPr>
                <w:rFonts w:hint="eastAsia" w:ascii="仿宋" w:hAnsi="仿宋" w:eastAsia="仿宋" w:cs="仿宋"/>
                <w:highlight w:val="none"/>
              </w:rPr>
              <w:t>电动汽车传导充电用连接装置 第3部分：直流充电接口</w:t>
            </w:r>
          </w:p>
        </w:tc>
      </w:tr>
      <w:tr w14:paraId="21D6D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3D85B268">
            <w:pPr>
              <w:spacing w:line="360" w:lineRule="auto"/>
              <w:rPr>
                <w:rFonts w:hint="eastAsia" w:ascii="仿宋" w:hAnsi="仿宋" w:eastAsia="仿宋" w:cs="仿宋"/>
              </w:rPr>
            </w:pPr>
            <w:r>
              <w:rPr>
                <w:rFonts w:hint="eastAsia" w:ascii="仿宋" w:hAnsi="仿宋" w:eastAsia="仿宋" w:cs="仿宋"/>
              </w:rPr>
              <w:t>JJG 1148-2022</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4C7AEDB7">
            <w:pPr>
              <w:spacing w:line="360" w:lineRule="auto"/>
              <w:rPr>
                <w:rFonts w:hint="eastAsia" w:ascii="仿宋" w:hAnsi="仿宋" w:eastAsia="仿宋" w:cs="仿宋"/>
              </w:rPr>
            </w:pPr>
            <w:r>
              <w:rPr>
                <w:rFonts w:hint="eastAsia" w:ascii="仿宋" w:hAnsi="仿宋" w:eastAsia="仿宋" w:cs="仿宋"/>
              </w:rPr>
              <w:t>电动汽车交流充电桩(试行)</w:t>
            </w:r>
          </w:p>
        </w:tc>
      </w:tr>
      <w:tr w14:paraId="68A49E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280677E8">
            <w:pPr>
              <w:spacing w:line="360" w:lineRule="auto"/>
              <w:rPr>
                <w:rFonts w:hint="eastAsia" w:ascii="仿宋" w:hAnsi="仿宋" w:eastAsia="仿宋" w:cs="仿宋"/>
              </w:rPr>
            </w:pPr>
            <w:r>
              <w:rPr>
                <w:rFonts w:hint="eastAsia" w:ascii="仿宋" w:hAnsi="仿宋" w:eastAsia="仿宋" w:cs="仿宋"/>
              </w:rPr>
              <w:t>JJG 1149-2022</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71EC7510">
            <w:pPr>
              <w:spacing w:line="360" w:lineRule="auto"/>
              <w:rPr>
                <w:rFonts w:hint="eastAsia" w:ascii="仿宋" w:hAnsi="仿宋" w:eastAsia="仿宋" w:cs="仿宋"/>
              </w:rPr>
            </w:pPr>
            <w:r>
              <w:rPr>
                <w:rFonts w:hint="eastAsia" w:ascii="仿宋" w:hAnsi="仿宋" w:eastAsia="仿宋" w:cs="仿宋"/>
              </w:rPr>
              <w:t>电动汽车非车载充电机(试行)</w:t>
            </w:r>
          </w:p>
        </w:tc>
      </w:tr>
      <w:tr w14:paraId="4AA68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16EB5B18">
            <w:pPr>
              <w:spacing w:line="360" w:lineRule="auto"/>
              <w:rPr>
                <w:rFonts w:hint="eastAsia" w:ascii="仿宋" w:hAnsi="仿宋" w:eastAsia="仿宋" w:cs="仿宋"/>
              </w:rPr>
            </w:pPr>
            <w:r>
              <w:rPr>
                <w:rFonts w:hint="eastAsia" w:ascii="仿宋" w:hAnsi="仿宋" w:eastAsia="仿宋" w:cs="仿宋"/>
              </w:rPr>
              <w:t>GB/T 27930-2015</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72915FD4">
            <w:pPr>
              <w:spacing w:line="360" w:lineRule="auto"/>
              <w:rPr>
                <w:rFonts w:hint="eastAsia" w:ascii="仿宋" w:hAnsi="仿宋" w:eastAsia="仿宋" w:cs="仿宋"/>
              </w:rPr>
            </w:pPr>
            <w:r>
              <w:rPr>
                <w:rFonts w:hint="eastAsia" w:ascii="仿宋" w:hAnsi="仿宋" w:eastAsia="仿宋" w:cs="仿宋"/>
              </w:rPr>
              <w:t>电动汽车非车载传导式充电机与电池管理系统之间的通信协议</w:t>
            </w:r>
          </w:p>
        </w:tc>
      </w:tr>
      <w:tr w14:paraId="5684E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669D92F9">
            <w:pPr>
              <w:spacing w:line="360" w:lineRule="auto"/>
              <w:rPr>
                <w:rFonts w:hint="eastAsia" w:ascii="仿宋" w:hAnsi="仿宋" w:eastAsia="仿宋" w:cs="仿宋"/>
              </w:rPr>
            </w:pPr>
            <w:r>
              <w:rPr>
                <w:rFonts w:hint="eastAsia" w:ascii="仿宋" w:hAnsi="仿宋" w:eastAsia="仿宋" w:cs="仿宋"/>
              </w:rPr>
              <w:t>GB/T 34657.1-2017</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57368560">
            <w:pPr>
              <w:spacing w:line="360" w:lineRule="auto"/>
              <w:rPr>
                <w:rFonts w:hint="eastAsia" w:ascii="仿宋" w:hAnsi="仿宋" w:eastAsia="仿宋" w:cs="仿宋"/>
              </w:rPr>
            </w:pPr>
            <w:r>
              <w:rPr>
                <w:rFonts w:hint="eastAsia" w:ascii="仿宋" w:hAnsi="仿宋" w:eastAsia="仿宋" w:cs="仿宋"/>
              </w:rPr>
              <w:t>电动汽车传导充电互操作性测试规范 第1部分：供电设备</w:t>
            </w:r>
          </w:p>
        </w:tc>
      </w:tr>
      <w:tr w14:paraId="79DA6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6EE63FD6">
            <w:pPr>
              <w:spacing w:line="360" w:lineRule="auto"/>
              <w:rPr>
                <w:rFonts w:hint="eastAsia" w:ascii="仿宋" w:hAnsi="仿宋" w:eastAsia="仿宋" w:cs="仿宋"/>
              </w:rPr>
            </w:pPr>
            <w:r>
              <w:rPr>
                <w:rFonts w:hint="eastAsia" w:ascii="仿宋" w:hAnsi="仿宋" w:eastAsia="仿宋" w:cs="仿宋"/>
              </w:rPr>
              <w:t>GB/T 34658-2017</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60BB0720">
            <w:pPr>
              <w:spacing w:line="360" w:lineRule="auto"/>
              <w:rPr>
                <w:rFonts w:hint="eastAsia" w:ascii="仿宋" w:hAnsi="仿宋" w:eastAsia="仿宋" w:cs="仿宋"/>
              </w:rPr>
            </w:pPr>
            <w:r>
              <w:rPr>
                <w:rFonts w:hint="eastAsia" w:ascii="仿宋" w:hAnsi="仿宋" w:eastAsia="仿宋" w:cs="仿宋"/>
              </w:rPr>
              <w:t>电动汽车非车载传导式充电机与电池管理系统之间的通信协议一致性测试</w:t>
            </w:r>
          </w:p>
        </w:tc>
      </w:tr>
      <w:tr w14:paraId="2CA20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657E3CBB">
            <w:pPr>
              <w:spacing w:line="360" w:lineRule="auto"/>
              <w:rPr>
                <w:rFonts w:hint="eastAsia" w:ascii="仿宋" w:hAnsi="仿宋" w:eastAsia="仿宋" w:cs="仿宋"/>
              </w:rPr>
            </w:pPr>
            <w:r>
              <w:rPr>
                <w:rFonts w:hint="eastAsia" w:ascii="仿宋" w:hAnsi="仿宋" w:eastAsia="仿宋" w:cs="仿宋"/>
              </w:rPr>
              <w:t>GB/T 39752-2021</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579DBF9E">
            <w:pPr>
              <w:spacing w:line="360" w:lineRule="auto"/>
              <w:rPr>
                <w:rFonts w:hint="eastAsia" w:ascii="仿宋" w:hAnsi="仿宋" w:eastAsia="仿宋" w:cs="仿宋"/>
              </w:rPr>
            </w:pPr>
            <w:r>
              <w:rPr>
                <w:rFonts w:hint="eastAsia" w:ascii="仿宋" w:hAnsi="仿宋" w:eastAsia="仿宋" w:cs="仿宋"/>
              </w:rPr>
              <w:t>电动汽车供电设备安全要求及试验规范</w:t>
            </w:r>
          </w:p>
        </w:tc>
      </w:tr>
      <w:tr w14:paraId="35535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6A6B2598">
            <w:pPr>
              <w:spacing w:line="360" w:lineRule="auto"/>
              <w:rPr>
                <w:rFonts w:hint="eastAsia" w:ascii="仿宋" w:hAnsi="仿宋" w:eastAsia="仿宋" w:cs="仿宋"/>
              </w:rPr>
            </w:pPr>
            <w:r>
              <w:rPr>
                <w:rFonts w:hint="eastAsia" w:ascii="仿宋" w:hAnsi="仿宋" w:eastAsia="仿宋" w:cs="仿宋"/>
              </w:rPr>
              <w:t>GB/T 29317-2021</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1DD3B02D">
            <w:pPr>
              <w:spacing w:line="360" w:lineRule="auto"/>
              <w:rPr>
                <w:rFonts w:hint="eastAsia" w:ascii="仿宋" w:hAnsi="仿宋" w:eastAsia="仿宋" w:cs="仿宋"/>
              </w:rPr>
            </w:pPr>
            <w:r>
              <w:rPr>
                <w:rFonts w:hint="eastAsia" w:ascii="仿宋" w:hAnsi="仿宋" w:eastAsia="仿宋" w:cs="仿宋"/>
              </w:rPr>
              <w:t>电动汽车充换电设施术语</w:t>
            </w:r>
          </w:p>
        </w:tc>
      </w:tr>
      <w:tr w14:paraId="596AA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4F68E781">
            <w:pPr>
              <w:spacing w:line="360" w:lineRule="auto"/>
              <w:rPr>
                <w:rFonts w:hint="eastAsia" w:ascii="仿宋" w:hAnsi="仿宋" w:eastAsia="仿宋" w:cs="仿宋"/>
              </w:rPr>
            </w:pPr>
            <w:r>
              <w:rPr>
                <w:rFonts w:hint="eastAsia" w:ascii="仿宋" w:hAnsi="仿宋" w:eastAsia="仿宋" w:cs="仿宋"/>
              </w:rPr>
              <w:t>DL/T 645-2007</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0193367C">
            <w:pPr>
              <w:spacing w:line="360" w:lineRule="auto"/>
              <w:rPr>
                <w:rFonts w:hint="eastAsia" w:ascii="仿宋" w:hAnsi="仿宋" w:eastAsia="仿宋" w:cs="仿宋"/>
              </w:rPr>
            </w:pPr>
            <w:r>
              <w:rPr>
                <w:rFonts w:hint="eastAsia" w:ascii="仿宋" w:hAnsi="仿宋" w:eastAsia="仿宋" w:cs="仿宋"/>
              </w:rPr>
              <w:t>多功能电能表通信协议</w:t>
            </w:r>
          </w:p>
        </w:tc>
      </w:tr>
      <w:tr w14:paraId="26C15E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72812752">
            <w:pPr>
              <w:spacing w:line="360" w:lineRule="auto"/>
              <w:rPr>
                <w:rFonts w:hint="eastAsia" w:ascii="仿宋" w:hAnsi="仿宋" w:eastAsia="仿宋" w:cs="仿宋"/>
              </w:rPr>
            </w:pPr>
            <w:r>
              <w:rPr>
                <w:rFonts w:hint="eastAsia" w:ascii="仿宋" w:hAnsi="仿宋" w:eastAsia="仿宋" w:cs="仿宋"/>
              </w:rPr>
              <w:t>T/CEC 365-2020</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40CF822C">
            <w:pPr>
              <w:spacing w:line="360" w:lineRule="auto"/>
              <w:rPr>
                <w:rFonts w:hint="eastAsia" w:ascii="仿宋" w:hAnsi="仿宋" w:eastAsia="仿宋" w:cs="仿宋"/>
              </w:rPr>
            </w:pPr>
            <w:r>
              <w:rPr>
                <w:rFonts w:hint="eastAsia" w:ascii="仿宋" w:hAnsi="仿宋" w:eastAsia="仿宋" w:cs="仿宋"/>
              </w:rPr>
              <w:t xml:space="preserve">《电动汽车柔性充电堆》 </w:t>
            </w:r>
          </w:p>
        </w:tc>
      </w:tr>
      <w:tr w14:paraId="7327F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713979BF">
            <w:pPr>
              <w:spacing w:line="360" w:lineRule="auto"/>
              <w:rPr>
                <w:rFonts w:hint="eastAsia" w:ascii="仿宋" w:hAnsi="仿宋" w:eastAsia="仿宋" w:cs="仿宋"/>
              </w:rPr>
            </w:pPr>
            <w:r>
              <w:rPr>
                <w:rFonts w:hint="eastAsia" w:ascii="仿宋" w:hAnsi="仿宋" w:eastAsia="仿宋" w:cs="仿宋"/>
              </w:rPr>
              <w:t>T/CEC 208-2019</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1140ED2A">
            <w:pPr>
              <w:spacing w:line="360" w:lineRule="auto"/>
              <w:rPr>
                <w:rFonts w:hint="eastAsia" w:ascii="仿宋" w:hAnsi="仿宋" w:eastAsia="仿宋" w:cs="仿宋"/>
              </w:rPr>
            </w:pPr>
            <w:r>
              <w:rPr>
                <w:rFonts w:hint="eastAsia" w:ascii="仿宋" w:hAnsi="仿宋" w:eastAsia="仿宋" w:cs="仿宋"/>
              </w:rPr>
              <w:t>电动汽车充电设施信息安全技术规范</w:t>
            </w:r>
          </w:p>
        </w:tc>
      </w:tr>
      <w:tr w14:paraId="52655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14:paraId="37C2954E">
            <w:pPr>
              <w:spacing w:line="360" w:lineRule="auto"/>
              <w:rPr>
                <w:rFonts w:hint="eastAsia" w:ascii="仿宋" w:hAnsi="仿宋" w:eastAsia="仿宋" w:cs="仿宋"/>
              </w:rPr>
            </w:pPr>
            <w:r>
              <w:rPr>
                <w:rFonts w:hint="eastAsia" w:ascii="仿宋" w:hAnsi="仿宋" w:eastAsia="仿宋" w:cs="仿宋"/>
              </w:rPr>
              <w:t>GB/T 4208-2017</w:t>
            </w:r>
          </w:p>
        </w:tc>
        <w:tc>
          <w:tcPr>
            <w:tcW w:w="6702" w:type="dxa"/>
            <w:tcBorders>
              <w:top w:val="single" w:color="auto" w:sz="4" w:space="0"/>
              <w:left w:val="single" w:color="auto" w:sz="4" w:space="0"/>
              <w:bottom w:val="single" w:color="auto" w:sz="4" w:space="0"/>
              <w:right w:val="single" w:color="auto" w:sz="8" w:space="0"/>
            </w:tcBorders>
            <w:noWrap w:val="0"/>
            <w:tcMar>
              <w:left w:w="0" w:type="dxa"/>
              <w:right w:w="0" w:type="dxa"/>
            </w:tcMar>
            <w:vAlign w:val="center"/>
          </w:tcPr>
          <w:p w14:paraId="67244011">
            <w:pPr>
              <w:spacing w:line="360" w:lineRule="auto"/>
              <w:rPr>
                <w:rFonts w:hint="eastAsia" w:ascii="仿宋" w:hAnsi="仿宋" w:eastAsia="仿宋" w:cs="仿宋"/>
              </w:rPr>
            </w:pPr>
            <w:r>
              <w:rPr>
                <w:rFonts w:hint="eastAsia" w:ascii="仿宋" w:hAnsi="仿宋" w:eastAsia="仿宋" w:cs="仿宋"/>
              </w:rPr>
              <w:t>外壳防护等级(IP代码)</w:t>
            </w:r>
          </w:p>
        </w:tc>
      </w:tr>
      <w:tr w14:paraId="46B93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Borders>
              <w:top w:val="single" w:color="auto" w:sz="4" w:space="0"/>
              <w:left w:val="single" w:color="auto" w:sz="8" w:space="0"/>
              <w:bottom w:val="single" w:color="auto" w:sz="8" w:space="0"/>
              <w:right w:val="single" w:color="auto" w:sz="4" w:space="0"/>
            </w:tcBorders>
            <w:noWrap w:val="0"/>
            <w:tcMar>
              <w:left w:w="0" w:type="dxa"/>
              <w:right w:w="0" w:type="dxa"/>
            </w:tcMar>
            <w:vAlign w:val="center"/>
          </w:tcPr>
          <w:p w14:paraId="6D9D55DC">
            <w:pPr>
              <w:spacing w:line="360" w:lineRule="auto"/>
              <w:rPr>
                <w:rFonts w:hint="eastAsia" w:ascii="仿宋" w:hAnsi="仿宋" w:eastAsia="仿宋" w:cs="仿宋"/>
              </w:rPr>
            </w:pPr>
            <w:r>
              <w:rPr>
                <w:rFonts w:hint="eastAsia" w:ascii="仿宋" w:hAnsi="仿宋" w:eastAsia="仿宋" w:cs="仿宋"/>
              </w:rPr>
              <w:t>GB/T 13384-2008</w:t>
            </w:r>
          </w:p>
        </w:tc>
        <w:tc>
          <w:tcPr>
            <w:tcW w:w="6702" w:type="dxa"/>
            <w:tcBorders>
              <w:top w:val="single" w:color="auto" w:sz="4" w:space="0"/>
              <w:left w:val="single" w:color="auto" w:sz="4" w:space="0"/>
              <w:bottom w:val="single" w:color="auto" w:sz="8" w:space="0"/>
              <w:right w:val="single" w:color="auto" w:sz="8" w:space="0"/>
            </w:tcBorders>
            <w:noWrap w:val="0"/>
            <w:tcMar>
              <w:left w:w="0" w:type="dxa"/>
              <w:right w:w="0" w:type="dxa"/>
            </w:tcMar>
            <w:vAlign w:val="center"/>
          </w:tcPr>
          <w:p w14:paraId="6DBF8E3D">
            <w:pPr>
              <w:spacing w:line="360" w:lineRule="auto"/>
              <w:rPr>
                <w:rFonts w:hint="eastAsia" w:ascii="仿宋" w:hAnsi="仿宋" w:eastAsia="仿宋" w:cs="仿宋"/>
              </w:rPr>
            </w:pPr>
            <w:r>
              <w:rPr>
                <w:rFonts w:hint="eastAsia" w:ascii="仿宋" w:hAnsi="仿宋" w:eastAsia="仿宋" w:cs="仿宋"/>
              </w:rPr>
              <w:t>机电产品包装通用技术条件</w:t>
            </w:r>
          </w:p>
        </w:tc>
      </w:tr>
    </w:tbl>
    <w:p w14:paraId="71338CA7">
      <w:pPr>
        <w:tabs>
          <w:tab w:val="left" w:pos="567"/>
        </w:tabs>
        <w:snapToGrid w:val="0"/>
        <w:spacing w:line="360" w:lineRule="auto"/>
        <w:ind w:firstLine="480" w:firstLineChars="200"/>
        <w:rPr>
          <w:rFonts w:hint="eastAsia" w:ascii="宋体" w:hAnsi="宋体"/>
        </w:rPr>
      </w:pPr>
      <w:r>
        <w:rPr>
          <w:rFonts w:hint="eastAsia" w:ascii="宋体" w:hAnsi="宋体"/>
        </w:rPr>
        <w:t>其他未列出的与本产品有关的规范和标准，供货商有义务主动向业主和设计提供。所有规范和标准均应为项目采购期时的有效版本。</w:t>
      </w:r>
    </w:p>
    <w:p w14:paraId="72749FE7">
      <w:pPr>
        <w:tabs>
          <w:tab w:val="left" w:pos="567"/>
        </w:tabs>
        <w:snapToGrid w:val="0"/>
        <w:spacing w:line="360" w:lineRule="auto"/>
        <w:ind w:firstLine="480" w:firstLineChars="200"/>
        <w:rPr>
          <w:rFonts w:hint="eastAsia" w:ascii="宋体" w:hAnsi="宋体"/>
        </w:rPr>
      </w:pPr>
      <w:r>
        <w:rPr>
          <w:rFonts w:hint="eastAsia" w:ascii="宋体" w:hAnsi="宋体"/>
        </w:rPr>
        <w:t>本技术规格书中已明确的按本技术规格书要求执行；凡本技术规格书中未提及，按有关国家标准及相关行业标准执行。凡本技术规格书中提出的指标低于有关国家标准及相关行业最新建议的，按有关国家标准及相关行业最新建议执行。</w:t>
      </w:r>
    </w:p>
    <w:bookmarkEnd w:id="7"/>
    <w:p w14:paraId="6F7DDD4D">
      <w:pPr>
        <w:rPr>
          <w:rFonts w:hint="eastAsia" w:cs="仿宋"/>
          <w:b/>
          <w:bCs/>
          <w:color w:val="auto"/>
          <w:sz w:val="28"/>
          <w:szCs w:val="28"/>
          <w:highlight w:val="none"/>
          <w:lang w:val="en-US" w:eastAsia="zh-CN"/>
        </w:rPr>
      </w:pPr>
    </w:p>
    <w:p w14:paraId="2D363AF0">
      <w:pPr>
        <w:rPr>
          <w:rFonts w:hint="eastAsia" w:ascii="仿宋" w:hAnsi="仿宋" w:eastAsia="仿宋" w:cs="仿宋"/>
          <w:b/>
          <w:bCs/>
          <w:color w:val="auto"/>
          <w:sz w:val="28"/>
          <w:szCs w:val="28"/>
          <w:highlight w:val="none"/>
        </w:rPr>
      </w:pPr>
      <w:r>
        <w:rPr>
          <w:rFonts w:hint="eastAsia"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en-US" w:eastAsia="zh-CN"/>
        </w:rPr>
        <w:t>采购清单</w:t>
      </w:r>
    </w:p>
    <w:p w14:paraId="2D8B3C71">
      <w:pPr>
        <w:ind w:firstLine="482" w:firstLineChars="200"/>
        <w:rPr>
          <w:rFonts w:hint="default"/>
          <w:b w:val="0"/>
          <w:bCs w:val="0"/>
          <w:sz w:val="24"/>
          <w:szCs w:val="24"/>
          <w:highlight w:val="none"/>
          <w:lang w:val="en-US" w:eastAsia="zh-CN"/>
        </w:rPr>
      </w:pPr>
      <w:r>
        <w:rPr>
          <w:rFonts w:hint="eastAsia" w:cs="仿宋"/>
          <w:b/>
          <w:bCs/>
          <w:color w:val="auto"/>
          <w:highlight w:val="none"/>
          <w:lang w:val="en-US" w:eastAsia="zh-CN"/>
        </w:rPr>
        <w:t>采购清单详见附件清单明细表，本项目核心产品为</w:t>
      </w:r>
      <w:r>
        <w:rPr>
          <w:rFonts w:hint="eastAsia" w:cs="仿宋"/>
          <w:b/>
          <w:bCs/>
          <w:color w:val="auto"/>
          <w:highlight w:val="none"/>
          <w:u w:val="single"/>
          <w:lang w:val="en-US" w:eastAsia="zh-CN"/>
        </w:rPr>
        <w:t>分体式直流充电机</w:t>
      </w:r>
      <w:r>
        <w:rPr>
          <w:rFonts w:hint="eastAsia" w:cs="仿宋"/>
          <w:b/>
          <w:bCs/>
          <w:color w:val="auto"/>
          <w:highlight w:val="none"/>
          <w:lang w:val="en-US" w:eastAsia="zh-CN"/>
        </w:rPr>
        <w:t>。</w:t>
      </w:r>
      <w:r>
        <w:rPr>
          <w:rFonts w:hint="eastAsia" w:cs="仿宋"/>
          <w:b/>
          <w:bCs/>
          <w:color w:val="auto"/>
          <w:highlight w:val="none"/>
          <w:lang w:val="en-US" w:eastAsia="zh-CN"/>
        </w:rPr>
        <w:br w:type="textWrapping"/>
      </w:r>
      <w:r>
        <w:rPr>
          <w:rFonts w:hint="eastAsia" w:cs="仿宋"/>
          <w:b w:val="0"/>
          <w:bCs w:val="0"/>
          <w:color w:val="auto"/>
          <w:highlight w:val="none"/>
          <w:lang w:val="en-US" w:eastAsia="zh-CN"/>
        </w:rPr>
        <w:t>项目实施过程中出现采购清单中未包括的子目，该子目的单价按如下原则处理：</w:t>
      </w:r>
      <w:r>
        <w:rPr>
          <w:rFonts w:hint="eastAsia" w:cs="仿宋"/>
          <w:b w:val="0"/>
          <w:bCs w:val="0"/>
          <w:color w:val="auto"/>
          <w:highlight w:val="none"/>
          <w:lang w:val="en-US" w:eastAsia="zh-CN"/>
        </w:rPr>
        <w:br w:type="textWrapping"/>
      </w:r>
      <w:r>
        <w:rPr>
          <w:rFonts w:hint="eastAsia" w:cs="仿宋"/>
          <w:b w:val="0"/>
          <w:bCs w:val="0"/>
          <w:color w:val="auto"/>
          <w:highlight w:val="none"/>
          <w:lang w:val="en-US" w:eastAsia="zh-CN"/>
        </w:rPr>
        <w:t>1、采购清单中无适用子目，但有类似子目的，参照类似子目的单价执行。</w:t>
      </w:r>
      <w:r>
        <w:rPr>
          <w:rFonts w:hint="eastAsia" w:cs="仿宋"/>
          <w:b w:val="0"/>
          <w:bCs w:val="0"/>
          <w:color w:val="auto"/>
          <w:highlight w:val="none"/>
          <w:lang w:val="en-US" w:eastAsia="zh-CN"/>
        </w:rPr>
        <w:br w:type="textWrapping"/>
      </w:r>
      <w:r>
        <w:rPr>
          <w:rFonts w:hint="eastAsia" w:cs="仿宋"/>
          <w:b w:val="0"/>
          <w:bCs w:val="0"/>
          <w:color w:val="auto"/>
          <w:highlight w:val="none"/>
          <w:lang w:val="en-US" w:eastAsia="zh-CN"/>
        </w:rPr>
        <w:t>2、采购清单中无适用或类似子目，可按照成本加合理利润的原则，由合同双方商定单价。工程量按实结算。</w:t>
      </w:r>
    </w:p>
    <w:p w14:paraId="16346EE8">
      <w:pPr>
        <w:rPr>
          <w:rFonts w:hint="eastAsia" w:cs="仿宋"/>
          <w:b/>
          <w:bCs/>
          <w:color w:val="auto"/>
          <w:sz w:val="28"/>
          <w:szCs w:val="28"/>
          <w:highlight w:val="none"/>
          <w:lang w:val="en-US" w:eastAsia="zh-CN"/>
        </w:rPr>
      </w:pPr>
    </w:p>
    <w:p w14:paraId="652B36E3">
      <w:pPr>
        <w:rPr>
          <w:rFonts w:hint="default" w:cs="仿宋"/>
          <w:b/>
          <w:bCs/>
          <w:color w:val="auto"/>
          <w:sz w:val="28"/>
          <w:szCs w:val="28"/>
          <w:highlight w:val="none"/>
          <w:lang w:val="en-US" w:eastAsia="zh-CN"/>
        </w:rPr>
      </w:pPr>
      <w:r>
        <w:rPr>
          <w:rFonts w:hint="eastAsia" w:cs="仿宋"/>
          <w:b/>
          <w:bCs/>
          <w:color w:val="auto"/>
          <w:sz w:val="28"/>
          <w:szCs w:val="28"/>
          <w:highlight w:val="none"/>
          <w:lang w:val="en-US" w:eastAsia="zh-CN"/>
        </w:rPr>
        <w:t>四、技术要求</w:t>
      </w:r>
    </w:p>
    <w:p w14:paraId="2560D8FD">
      <w:pPr>
        <w:rPr>
          <w:rFonts w:hint="eastAsia" w:cs="仿宋"/>
          <w:b/>
          <w:bCs/>
          <w:color w:val="auto"/>
          <w:highlight w:val="none"/>
          <w:lang w:val="en-US" w:eastAsia="zh-CN"/>
        </w:rPr>
      </w:pPr>
      <w:r>
        <w:rPr>
          <w:rFonts w:hint="eastAsia" w:cs="仿宋"/>
          <w:b/>
          <w:bCs/>
          <w:color w:val="auto"/>
          <w:highlight w:val="none"/>
          <w:lang w:val="en-US" w:eastAsia="zh-CN"/>
        </w:rPr>
        <w:t>（一）分体式直流充电机技术要求</w:t>
      </w:r>
    </w:p>
    <w:p w14:paraId="303303BB">
      <w:pPr>
        <w:pStyle w:val="7"/>
        <w:bidi w:val="0"/>
        <w:rPr>
          <w:sz w:val="24"/>
          <w:szCs w:val="24"/>
        </w:rPr>
      </w:pPr>
      <w:bookmarkStart w:id="8" w:name="_Toc1180707375"/>
      <w:r>
        <w:rPr>
          <w:sz w:val="24"/>
          <w:szCs w:val="24"/>
        </w:rPr>
        <w:t>基本构成</w:t>
      </w:r>
    </w:p>
    <w:p w14:paraId="3022FA98">
      <w:pPr>
        <w:ind w:firstLine="560"/>
        <w:rPr>
          <w:szCs w:val="21"/>
        </w:rPr>
      </w:pPr>
      <w:bookmarkStart w:id="9" w:name="_Hlk35935998"/>
      <w:r>
        <w:rPr>
          <w:rFonts w:hint="eastAsia" w:ascii="宋体" w:hAnsi="等线" w:cs="Times New Roman"/>
          <w:caps/>
          <w:szCs w:val="21"/>
          <w:lang w:bidi="ar"/>
        </w:rPr>
        <w:t>分体式直流充电机基本构成包括：动力电源输入单元、功率变换单元、充电控制单元、输出开关单元、计量单元、充电接口、人机交互等。</w:t>
      </w:r>
    </w:p>
    <w:bookmarkEnd w:id="9"/>
    <w:p w14:paraId="653994C2">
      <w:pPr>
        <w:ind w:firstLine="560"/>
        <w:rPr>
          <w:szCs w:val="21"/>
        </w:rPr>
      </w:pPr>
      <w:r>
        <w:rPr>
          <w:rFonts w:hint="eastAsia" w:ascii="宋体" w:hAnsi="等线" w:cs="Times New Roman"/>
          <w:caps/>
          <w:szCs w:val="21"/>
          <w:lang w:bidi="ar"/>
        </w:rPr>
        <w:t>分体式直流充电机由一台主机电源柜和多台直流充电终端（桩）组成，多台直流充电终端（桩）可同时输出电流，任意直流充电终端（桩）均可调用任意数量充电模块。</w:t>
      </w:r>
    </w:p>
    <w:p w14:paraId="1BF4582B">
      <w:pPr>
        <w:pStyle w:val="7"/>
        <w:bidi w:val="0"/>
        <w:rPr>
          <w:sz w:val="24"/>
          <w:szCs w:val="24"/>
        </w:rPr>
      </w:pPr>
      <w:r>
        <w:rPr>
          <w:sz w:val="24"/>
          <w:szCs w:val="24"/>
        </w:rPr>
        <w:t>功能要求</w:t>
      </w:r>
    </w:p>
    <w:p w14:paraId="07E726B1">
      <w:pPr>
        <w:ind w:firstLine="560"/>
        <w:rPr>
          <w:szCs w:val="21"/>
        </w:rPr>
      </w:pPr>
      <w:r>
        <w:rPr>
          <w:rFonts w:ascii="宋体" w:hAnsi="等线" w:cs="Times New Roman"/>
          <w:caps/>
          <w:szCs w:val="21"/>
          <w:lang w:bidi="ar"/>
        </w:rPr>
        <w:t>（1）</w:t>
      </w:r>
      <w:r>
        <w:rPr>
          <w:rFonts w:hint="eastAsia" w:ascii="宋体" w:hAnsi="等线" w:cs="Times New Roman"/>
          <w:caps/>
          <w:szCs w:val="21"/>
          <w:lang w:bidi="ar"/>
        </w:rPr>
        <w:t>充电控制功能</w:t>
      </w:r>
    </w:p>
    <w:p w14:paraId="49C40933">
      <w:pPr>
        <w:ind w:firstLine="560"/>
        <w:rPr>
          <w:szCs w:val="21"/>
        </w:rPr>
      </w:pPr>
      <w:r>
        <w:rPr>
          <w:rFonts w:hint="eastAsia" w:ascii="宋体" w:hAnsi="等线" w:cs="Times New Roman"/>
          <w:caps/>
          <w:szCs w:val="21"/>
          <w:lang w:bidi="ar"/>
        </w:rPr>
        <w:t>充电机应具备自动充电控制功能，可具备手动充电控制功能。充电控制单元具备系统运行、急停、门磁状态和机柜出风口温度的状态监测。</w:t>
      </w:r>
    </w:p>
    <w:p w14:paraId="00A1CC83">
      <w:pPr>
        <w:ind w:firstLine="560"/>
        <w:rPr>
          <w:szCs w:val="21"/>
        </w:rPr>
      </w:pPr>
      <w:r>
        <w:rPr>
          <w:rFonts w:ascii="宋体" w:hAnsi="等线" w:cs="Times New Roman"/>
          <w:caps/>
          <w:szCs w:val="21"/>
          <w:lang w:bidi="ar"/>
        </w:rPr>
        <w:t>（2）</w:t>
      </w:r>
      <w:r>
        <w:rPr>
          <w:rFonts w:hint="eastAsia" w:ascii="宋体" w:hAnsi="等线" w:cs="Times New Roman"/>
          <w:caps/>
          <w:szCs w:val="21"/>
          <w:lang w:bidi="ar"/>
        </w:rPr>
        <w:t>功率自动分配功能</w:t>
      </w:r>
    </w:p>
    <w:p w14:paraId="5A2F6F0B">
      <w:pPr>
        <w:ind w:firstLine="560"/>
        <w:rPr>
          <w:szCs w:val="21"/>
        </w:rPr>
      </w:pPr>
      <w:r>
        <w:rPr>
          <w:rFonts w:hint="eastAsia" w:ascii="宋体" w:hAnsi="等线" w:cs="Times New Roman"/>
          <w:caps/>
          <w:szCs w:val="21"/>
          <w:lang w:bidi="ar"/>
        </w:rPr>
        <w:t>充电机应具备动态功率分配功能。在充电过程中，充电机根据用户充电请求、电池充电需求、当前功率变换单元负荷状态、上级监控管理系统调控指令，系统具备输出电压、输出电流、枪头温度以及运行时间遥测数据实时监测。</w:t>
      </w:r>
    </w:p>
    <w:p w14:paraId="566657E9">
      <w:pPr>
        <w:ind w:firstLine="560"/>
        <w:rPr>
          <w:rFonts w:hint="eastAsia" w:ascii="宋体" w:hAnsi="等线" w:cs="Times New Roman"/>
          <w:caps/>
          <w:szCs w:val="21"/>
          <w:lang w:bidi="ar"/>
        </w:rPr>
      </w:pPr>
      <w:r>
        <w:rPr>
          <w:rFonts w:hint="eastAsia" w:ascii="宋体" w:hAnsi="等线" w:cs="Times New Roman"/>
          <w:caps/>
          <w:szCs w:val="21"/>
          <w:lang w:bidi="ar"/>
        </w:rPr>
        <w:t>★（</w:t>
      </w:r>
      <w:r>
        <w:rPr>
          <w:rFonts w:hint="eastAsia" w:ascii="宋体" w:hAnsi="等线" w:cs="Times New Roman"/>
          <w:caps/>
          <w:szCs w:val="21"/>
          <w:lang w:val="en-US" w:eastAsia="zh-CN" w:bidi="ar"/>
        </w:rPr>
        <w:t>3</w:t>
      </w:r>
      <w:r>
        <w:rPr>
          <w:rFonts w:hint="eastAsia" w:ascii="宋体" w:hAnsi="等线" w:cs="Times New Roman"/>
          <w:caps/>
          <w:szCs w:val="21"/>
          <w:lang w:bidi="ar"/>
        </w:rPr>
        <w:t>）主动防护功能</w:t>
      </w:r>
    </w:p>
    <w:p w14:paraId="5B24A790">
      <w:pPr>
        <w:ind w:firstLine="560"/>
        <w:rPr>
          <w:rFonts w:hint="eastAsia" w:ascii="宋体" w:hAnsi="等线" w:cs="Times New Roman"/>
          <w:caps/>
          <w:szCs w:val="21"/>
          <w:lang w:bidi="ar"/>
        </w:rPr>
      </w:pPr>
      <w:r>
        <w:rPr>
          <w:rFonts w:hint="eastAsia" w:ascii="宋体" w:hAnsi="等线" w:cs="Times New Roman"/>
          <w:caps/>
          <w:szCs w:val="21"/>
          <w:lang w:bidi="ar"/>
        </w:rPr>
        <w:t>充电机具备主动监测电动汽车BMS运行状态、电池特性参数及充电机自身运行状态等功能，须采用安全冗余设计，主动诊断并处理故障和异常，实现电动汽车充电过程的主动防护。</w:t>
      </w:r>
      <w:r>
        <w:rPr>
          <w:rFonts w:hint="eastAsia" w:ascii="宋体" w:hAnsi="等线" w:cs="Times New Roman"/>
          <w:b/>
          <w:bCs/>
          <w:caps/>
          <w:szCs w:val="21"/>
          <w:lang w:bidi="ar"/>
        </w:rPr>
        <w:t>（</w:t>
      </w:r>
      <w:r>
        <w:rPr>
          <w:rFonts w:hint="eastAsia" w:ascii="仿宋" w:hAnsi="仿宋" w:eastAsia="仿宋"/>
          <w:color w:val="FF0000"/>
          <w:sz w:val="24"/>
          <w:szCs w:val="24"/>
        </w:rPr>
        <w:t>提供投标产品厂家技术参数表或投标产品说明书或第三方</w:t>
      </w:r>
      <w:r>
        <w:rPr>
          <w:rFonts w:ascii="仿宋" w:hAnsi="仿宋" w:eastAsia="仿宋"/>
          <w:color w:val="FF0000"/>
          <w:sz w:val="24"/>
          <w:szCs w:val="24"/>
        </w:rPr>
        <w:t>CMA检测报告</w:t>
      </w:r>
      <w:r>
        <w:rPr>
          <w:rFonts w:hint="eastAsia" w:ascii="宋体" w:hAnsi="等线" w:cs="Times New Roman"/>
          <w:b/>
          <w:bCs/>
          <w:caps/>
          <w:szCs w:val="21"/>
          <w:lang w:bidi="ar"/>
        </w:rPr>
        <w:t>）</w:t>
      </w:r>
    </w:p>
    <w:p w14:paraId="4F4C06E2">
      <w:pPr>
        <w:ind w:firstLine="560"/>
        <w:rPr>
          <w:szCs w:val="21"/>
        </w:rPr>
      </w:pPr>
      <w:r>
        <w:rPr>
          <w:rFonts w:ascii="宋体" w:hAnsi="等线" w:cs="Times New Roman"/>
          <w:caps/>
          <w:szCs w:val="21"/>
          <w:lang w:bidi="ar"/>
        </w:rPr>
        <w:t>（4）</w:t>
      </w:r>
      <w:r>
        <w:rPr>
          <w:rFonts w:hint="eastAsia" w:ascii="宋体" w:hAnsi="等线" w:cs="Times New Roman"/>
          <w:caps/>
          <w:szCs w:val="21"/>
          <w:lang w:bidi="ar"/>
        </w:rPr>
        <w:t>通信功能</w:t>
      </w:r>
    </w:p>
    <w:p w14:paraId="32B0FE4B">
      <w:pPr>
        <w:ind w:firstLine="560"/>
        <w:rPr>
          <w:szCs w:val="21"/>
        </w:rPr>
      </w:pPr>
      <w:r>
        <w:rPr>
          <w:rFonts w:hint="eastAsia" w:ascii="宋体" w:hAnsi="等线" w:cs="Times New Roman"/>
          <w:caps/>
          <w:szCs w:val="21"/>
          <w:lang w:bidi="ar"/>
        </w:rPr>
        <w:t>充电机应具有与电动汽车BMS或车辆控制器通信的功能，判断充电机是否与电动汽车动力蓄电池系统正确连接；获得电动汽车BMS或车辆控制器充电参数和充电实时数据。充电机与BMS或车辆控制器之间的通信协议应符合GB/T 27930的规定。</w:t>
      </w:r>
    </w:p>
    <w:p w14:paraId="4B185631">
      <w:pPr>
        <w:ind w:firstLine="560"/>
        <w:rPr>
          <w:szCs w:val="21"/>
        </w:rPr>
      </w:pPr>
      <w:r>
        <w:rPr>
          <w:rFonts w:hint="eastAsia" w:ascii="宋体" w:hAnsi="等线" w:cs="Times New Roman"/>
          <w:caps/>
          <w:szCs w:val="21"/>
          <w:lang w:bidi="ar"/>
        </w:rPr>
        <w:t>充电机宜具有与上级监控系统或运营管理系统通信的功能。</w:t>
      </w:r>
    </w:p>
    <w:p w14:paraId="7FAF728F">
      <w:pPr>
        <w:ind w:firstLine="480" w:firstLineChars="200"/>
        <w:rPr>
          <w:rFonts w:ascii="宋体" w:hAnsi="等线" w:cs="Times New Roman"/>
          <w:caps/>
          <w:szCs w:val="21"/>
          <w:highlight w:val="none"/>
          <w:lang w:bidi="ar"/>
        </w:rPr>
      </w:pPr>
      <w:r>
        <w:rPr>
          <w:rFonts w:hint="eastAsia" w:ascii="Times New Roman" w:hAnsi="宋体" w:cs="Times New Roman"/>
          <w:caps/>
          <w:kern w:val="0"/>
          <w:szCs w:val="21"/>
          <w:highlight w:val="none"/>
        </w:rPr>
        <w:t>（5）</w:t>
      </w:r>
      <w:r>
        <w:rPr>
          <w:rFonts w:hint="eastAsia" w:ascii="宋体" w:hAnsi="等线" w:cs="Times New Roman"/>
          <w:caps/>
          <w:szCs w:val="21"/>
          <w:highlight w:val="none"/>
          <w:lang w:bidi="ar"/>
        </w:rPr>
        <w:t>断电自检功能</w:t>
      </w:r>
    </w:p>
    <w:p w14:paraId="08CAD336">
      <w:pPr>
        <w:rPr>
          <w:szCs w:val="21"/>
          <w:highlight w:val="none"/>
        </w:rPr>
      </w:pPr>
      <w:r>
        <w:rPr>
          <w:rFonts w:ascii="宋体" w:hAnsi="等线" w:cs="Times New Roman"/>
          <w:caps/>
          <w:szCs w:val="21"/>
          <w:highlight w:val="none"/>
          <w:lang w:bidi="ar"/>
        </w:rPr>
        <w:t xml:space="preserve">    </w:t>
      </w:r>
      <w:r>
        <w:rPr>
          <w:rFonts w:hint="eastAsia" w:ascii="宋体" w:hAnsi="等线" w:cs="Times New Roman"/>
          <w:caps/>
          <w:szCs w:val="21"/>
          <w:highlight w:val="none"/>
          <w:lang w:bidi="ar"/>
        </w:rPr>
        <w:t>充电机应具备断电自检功能，当用户停止充电后，充电机可启动断电自检，预防充电机未及时断电。</w:t>
      </w:r>
    </w:p>
    <w:p w14:paraId="48BF4CE0">
      <w:pPr>
        <w:ind w:firstLine="560"/>
        <w:rPr>
          <w:rFonts w:hint="eastAsia" w:ascii="宋体" w:hAnsi="等线" w:cs="Times New Roman"/>
          <w:caps/>
          <w:szCs w:val="21"/>
          <w:lang w:bidi="ar"/>
        </w:rPr>
      </w:pPr>
      <w:r>
        <w:rPr>
          <w:rFonts w:hint="eastAsia" w:ascii="宋体" w:hAnsi="等线" w:cs="Times New Roman"/>
          <w:caps/>
          <w:szCs w:val="21"/>
          <w:lang w:bidi="ar"/>
        </w:rPr>
        <w:t>（6）充电机高效充电功能</w:t>
      </w:r>
    </w:p>
    <w:p w14:paraId="3E67ADBE">
      <w:pPr>
        <w:rPr>
          <w:rFonts w:hint="eastAsia" w:ascii="宋体" w:hAnsi="等线" w:cs="Times New Roman"/>
          <w:caps/>
          <w:szCs w:val="21"/>
          <w:lang w:bidi="ar"/>
        </w:rPr>
      </w:pPr>
      <w:r>
        <w:rPr>
          <w:rFonts w:hint="eastAsia" w:ascii="宋体" w:hAnsi="等线" w:cs="Times New Roman"/>
          <w:caps/>
          <w:szCs w:val="21"/>
          <w:lang w:bidi="ar"/>
        </w:rPr>
        <w:t>充电机高效模式能实现功率的自主寻优算法，保证最大240kW或480kW输出功率，满足率达100%。</w:t>
      </w:r>
    </w:p>
    <w:p w14:paraId="0BC0A8E0">
      <w:pPr>
        <w:ind w:firstLine="560"/>
        <w:rPr>
          <w:szCs w:val="21"/>
        </w:rPr>
      </w:pPr>
      <w:r>
        <w:rPr>
          <w:rFonts w:ascii="宋体" w:hAnsi="等线" w:cs="Times New Roman"/>
          <w:caps/>
          <w:szCs w:val="21"/>
          <w:lang w:bidi="ar"/>
        </w:rPr>
        <w:t>（7）</w:t>
      </w:r>
      <w:r>
        <w:rPr>
          <w:rFonts w:hint="eastAsia" w:ascii="宋体" w:hAnsi="等线" w:cs="Times New Roman"/>
          <w:caps/>
          <w:szCs w:val="21"/>
          <w:lang w:bidi="ar"/>
        </w:rPr>
        <w:t>车辆插头锁止功能</w:t>
      </w:r>
    </w:p>
    <w:p w14:paraId="791B4162">
      <w:pPr>
        <w:ind w:firstLine="560"/>
        <w:rPr>
          <w:szCs w:val="21"/>
        </w:rPr>
      </w:pPr>
      <w:r>
        <w:rPr>
          <w:rFonts w:hint="eastAsia" w:ascii="宋体" w:hAnsi="等线" w:cs="Times New Roman"/>
          <w:caps/>
          <w:szCs w:val="21"/>
          <w:lang w:bidi="ar"/>
        </w:rPr>
        <w:t>充电机车辆插头应具备锁止装置，其功能应符合:</w:t>
      </w:r>
    </w:p>
    <w:p w14:paraId="25A84CA8">
      <w:pPr>
        <w:ind w:firstLine="560"/>
        <w:rPr>
          <w:szCs w:val="21"/>
        </w:rPr>
      </w:pPr>
      <w:r>
        <w:rPr>
          <w:rFonts w:hint="eastAsia" w:ascii="宋体" w:hAnsi="等线" w:cs="Times New Roman"/>
          <w:caps/>
          <w:szCs w:val="21"/>
          <w:lang w:bidi="ar"/>
        </w:rPr>
        <w:t>a)GB/T18487.1-2015中9.6的要求；</w:t>
      </w:r>
    </w:p>
    <w:p w14:paraId="44918CD7">
      <w:pPr>
        <w:ind w:firstLine="560"/>
        <w:rPr>
          <w:szCs w:val="21"/>
        </w:rPr>
      </w:pPr>
      <w:r>
        <w:rPr>
          <w:rFonts w:hint="eastAsia" w:ascii="宋体" w:hAnsi="等线" w:cs="Times New Roman"/>
          <w:caps/>
          <w:szCs w:val="21"/>
          <w:lang w:bidi="ar"/>
        </w:rPr>
        <w:t>b)GB/T 20234.1-2015中6.3的要求；</w:t>
      </w:r>
    </w:p>
    <w:p w14:paraId="1ED4FCB5">
      <w:pPr>
        <w:ind w:firstLine="560"/>
        <w:rPr>
          <w:szCs w:val="21"/>
        </w:rPr>
      </w:pPr>
      <w:r>
        <w:rPr>
          <w:rFonts w:hint="eastAsia" w:ascii="宋体" w:hAnsi="等线" w:cs="Times New Roman"/>
          <w:caps/>
          <w:szCs w:val="21"/>
          <w:lang w:bidi="ar"/>
        </w:rPr>
        <w:t>c)GB/T 20234.3-2015中附录A的要求。</w:t>
      </w:r>
    </w:p>
    <w:p w14:paraId="6BEF751B">
      <w:pPr>
        <w:ind w:firstLine="560"/>
        <w:rPr>
          <w:szCs w:val="21"/>
        </w:rPr>
      </w:pPr>
      <w:r>
        <w:rPr>
          <w:rFonts w:hint="eastAsia" w:ascii="宋体" w:hAnsi="等线" w:cs="Times New Roman"/>
          <w:caps/>
          <w:szCs w:val="21"/>
          <w:lang w:bidi="ar"/>
        </w:rPr>
        <w:t>在出现下列情况时，锁止装置应能解锁且解锁前车辆插头端口电压不应超过60V:</w:t>
      </w:r>
    </w:p>
    <w:p w14:paraId="5C6C8657">
      <w:pPr>
        <w:ind w:firstLine="560"/>
        <w:rPr>
          <w:szCs w:val="21"/>
        </w:rPr>
      </w:pPr>
      <w:r>
        <w:rPr>
          <w:rFonts w:hint="eastAsia" w:ascii="宋体" w:hAnsi="等线" w:cs="Times New Roman"/>
          <w:caps/>
          <w:szCs w:val="21"/>
          <w:lang w:bidi="ar"/>
        </w:rPr>
        <w:t>a)故障不能继续充电;</w:t>
      </w:r>
    </w:p>
    <w:p w14:paraId="4A6AA96C">
      <w:pPr>
        <w:ind w:firstLine="560"/>
        <w:rPr>
          <w:szCs w:val="21"/>
        </w:rPr>
      </w:pPr>
      <w:r>
        <w:rPr>
          <w:rFonts w:hint="eastAsia" w:ascii="宋体" w:hAnsi="等线" w:cs="Times New Roman"/>
          <w:caps/>
          <w:szCs w:val="21"/>
          <w:lang w:bidi="ar"/>
        </w:rPr>
        <w:t>b)充电完成。</w:t>
      </w:r>
    </w:p>
    <w:p w14:paraId="78F26AB3">
      <w:pPr>
        <w:ind w:firstLine="560"/>
        <w:rPr>
          <w:szCs w:val="21"/>
        </w:rPr>
      </w:pPr>
      <w:r>
        <w:rPr>
          <w:rFonts w:ascii="宋体" w:hAnsi="等线" w:cs="Times New Roman"/>
          <w:caps/>
          <w:szCs w:val="21"/>
          <w:lang w:bidi="ar"/>
        </w:rPr>
        <w:t>（8）</w:t>
      </w:r>
      <w:r>
        <w:rPr>
          <w:rFonts w:hint="eastAsia" w:ascii="宋体" w:hAnsi="等线" w:cs="Times New Roman"/>
          <w:caps/>
          <w:szCs w:val="21"/>
          <w:lang w:bidi="ar"/>
        </w:rPr>
        <w:t>模块灌胶功能：充电机内配置充电模块应采用独特的隔离风道100%灌胶设计以提高产品可靠性。</w:t>
      </w:r>
    </w:p>
    <w:p w14:paraId="06F44666">
      <w:pPr>
        <w:ind w:firstLine="560"/>
        <w:rPr>
          <w:szCs w:val="21"/>
        </w:rPr>
      </w:pPr>
      <w:r>
        <w:rPr>
          <w:rFonts w:ascii="宋体" w:hAnsi="等线" w:cs="Times New Roman"/>
          <w:caps/>
          <w:szCs w:val="21"/>
          <w:lang w:bidi="ar"/>
        </w:rPr>
        <w:t>（9）</w:t>
      </w:r>
      <w:r>
        <w:rPr>
          <w:rFonts w:hint="eastAsia" w:ascii="宋体" w:hAnsi="等线" w:cs="Times New Roman"/>
          <w:caps/>
          <w:szCs w:val="21"/>
          <w:lang w:bidi="ar"/>
        </w:rPr>
        <w:t>热拔插功能：充电机采用模块化设计，在任一充电模块或功率分配单元故障时，可通过热拔插维护，不影响整机工作。</w:t>
      </w:r>
    </w:p>
    <w:p w14:paraId="643D63C9">
      <w:pPr>
        <w:ind w:firstLine="560"/>
        <w:rPr>
          <w:szCs w:val="21"/>
        </w:rPr>
      </w:pPr>
      <w:r>
        <w:rPr>
          <w:rFonts w:ascii="宋体" w:hAnsi="等线" w:cs="Times New Roman"/>
          <w:caps/>
          <w:szCs w:val="21"/>
          <w:lang w:bidi="ar"/>
        </w:rPr>
        <w:t>（10）</w:t>
      </w:r>
      <w:r>
        <w:rPr>
          <w:rFonts w:hint="eastAsia" w:ascii="宋体" w:hAnsi="等线" w:cs="Times New Roman"/>
          <w:caps/>
          <w:szCs w:val="21"/>
          <w:lang w:bidi="ar"/>
        </w:rPr>
        <w:t>故障录波</w:t>
      </w:r>
    </w:p>
    <w:p w14:paraId="4BDE5E02">
      <w:pPr>
        <w:ind w:firstLine="560"/>
        <w:rPr>
          <w:rFonts w:hint="eastAsia" w:ascii="宋体" w:hAnsi="等线" w:cs="Times New Roman"/>
          <w:caps/>
          <w:szCs w:val="21"/>
          <w:lang w:bidi="ar"/>
        </w:rPr>
      </w:pPr>
      <w:r>
        <w:rPr>
          <w:rFonts w:hint="eastAsia" w:ascii="宋体" w:hAnsi="等线" w:cs="Times New Roman"/>
          <w:caps/>
          <w:szCs w:val="21"/>
          <w:lang w:bidi="ar"/>
        </w:rPr>
        <w:t>充电机在出现疑似故障特征或实际发生故障时，具备记录故障前后电池、充电机等关键信息的功能，满足GB/T27930标准下非必选项报文3</w:t>
      </w:r>
      <w:r>
        <w:rPr>
          <w:rFonts w:ascii="宋体" w:hAnsi="等线" w:cs="Times New Roman"/>
          <w:caps/>
          <w:szCs w:val="21"/>
          <w:lang w:bidi="ar"/>
        </w:rPr>
        <w:t>0</w:t>
      </w:r>
      <w:r>
        <w:rPr>
          <w:rFonts w:hint="eastAsia" w:ascii="宋体" w:hAnsi="等线" w:cs="Times New Roman"/>
          <w:caps/>
          <w:szCs w:val="21"/>
          <w:lang w:bidi="ar"/>
        </w:rPr>
        <w:t>项以上，必选报文6</w:t>
      </w:r>
      <w:r>
        <w:rPr>
          <w:rFonts w:ascii="宋体" w:hAnsi="等线" w:cs="Times New Roman"/>
          <w:caps/>
          <w:szCs w:val="21"/>
          <w:lang w:bidi="ar"/>
        </w:rPr>
        <w:t>0</w:t>
      </w:r>
      <w:r>
        <w:rPr>
          <w:rFonts w:hint="eastAsia" w:ascii="宋体" w:hAnsi="等线" w:cs="Times New Roman"/>
          <w:caps/>
          <w:szCs w:val="21"/>
          <w:lang w:bidi="ar"/>
        </w:rPr>
        <w:t>项以上。</w:t>
      </w:r>
    </w:p>
    <w:p w14:paraId="059972FB">
      <w:pPr>
        <w:ind w:firstLine="560"/>
        <w:rPr>
          <w:rFonts w:hint="eastAsia" w:ascii="宋体" w:hAnsi="等线" w:cs="Times New Roman"/>
          <w:caps/>
          <w:szCs w:val="21"/>
          <w:lang w:bidi="ar"/>
        </w:rPr>
      </w:pPr>
      <w:r>
        <w:rPr>
          <w:rFonts w:hint="eastAsia" w:ascii="宋体" w:hAnsi="等线" w:cs="Times New Roman"/>
          <w:caps/>
          <w:szCs w:val="21"/>
          <w:lang w:bidi="ar"/>
        </w:rPr>
        <w:t>★（</w:t>
      </w:r>
      <w:r>
        <w:rPr>
          <w:rFonts w:hint="eastAsia" w:ascii="宋体" w:hAnsi="等线" w:cs="Times New Roman"/>
          <w:caps/>
          <w:szCs w:val="21"/>
          <w:lang w:val="en-US" w:eastAsia="zh-CN" w:bidi="ar"/>
        </w:rPr>
        <w:t>11</w:t>
      </w:r>
      <w:r>
        <w:rPr>
          <w:rFonts w:hint="eastAsia" w:ascii="宋体" w:hAnsi="等线" w:cs="Times New Roman"/>
          <w:caps/>
          <w:szCs w:val="21"/>
          <w:lang w:bidi="ar"/>
        </w:rPr>
        <w:t>）集中管控功能</w:t>
      </w:r>
    </w:p>
    <w:p w14:paraId="3CAEEC26">
      <w:pPr>
        <w:ind w:firstLine="560"/>
        <w:rPr>
          <w:rFonts w:hint="eastAsia" w:ascii="宋体" w:hAnsi="等线" w:cs="Times New Roman"/>
          <w:b/>
          <w:bCs/>
          <w:caps/>
          <w:szCs w:val="21"/>
          <w:lang w:bidi="ar"/>
        </w:rPr>
      </w:pPr>
      <w:r>
        <w:rPr>
          <w:rFonts w:hint="eastAsia" w:ascii="宋体" w:hAnsi="等线" w:cs="Times New Roman"/>
          <w:caps/>
          <w:szCs w:val="21"/>
          <w:lang w:bidi="ar"/>
        </w:rPr>
        <w:t>在确保用电需求和配电安全前提下可自动控制充电功率来满足充电需求。</w:t>
      </w:r>
      <w:r>
        <w:rPr>
          <w:rFonts w:hint="eastAsia" w:ascii="宋体" w:hAnsi="等线" w:cs="Times New Roman"/>
          <w:b/>
          <w:bCs/>
          <w:caps/>
          <w:szCs w:val="21"/>
          <w:lang w:bidi="ar"/>
        </w:rPr>
        <w:t>（</w:t>
      </w:r>
      <w:r>
        <w:rPr>
          <w:rFonts w:hint="eastAsia" w:ascii="仿宋" w:hAnsi="仿宋" w:eastAsia="仿宋"/>
          <w:color w:val="FF0000"/>
          <w:sz w:val="24"/>
          <w:szCs w:val="24"/>
        </w:rPr>
        <w:t>提供投标产品厂家技术参数表或投标产品说明书或第三方</w:t>
      </w:r>
      <w:r>
        <w:rPr>
          <w:rFonts w:ascii="仿宋" w:hAnsi="仿宋" w:eastAsia="仿宋"/>
          <w:color w:val="FF0000"/>
          <w:sz w:val="24"/>
          <w:szCs w:val="24"/>
        </w:rPr>
        <w:t>CMA检测报告</w:t>
      </w:r>
      <w:r>
        <w:rPr>
          <w:rFonts w:hint="eastAsia" w:ascii="宋体" w:hAnsi="等线" w:cs="Times New Roman"/>
          <w:b/>
          <w:bCs/>
          <w:caps/>
          <w:szCs w:val="21"/>
          <w:lang w:bidi="ar"/>
        </w:rPr>
        <w:t>）</w:t>
      </w:r>
    </w:p>
    <w:p w14:paraId="11B68ACB">
      <w:pPr>
        <w:ind w:firstLine="560"/>
        <w:rPr>
          <w:rFonts w:hint="eastAsia" w:ascii="宋体" w:hAnsi="等线" w:cs="Times New Roman"/>
          <w:caps/>
          <w:szCs w:val="21"/>
          <w:lang w:bidi="ar"/>
        </w:rPr>
      </w:pPr>
      <w:r>
        <w:rPr>
          <w:rFonts w:hint="eastAsia" w:ascii="宋体" w:hAnsi="等线" w:cs="Times New Roman"/>
          <w:caps/>
          <w:szCs w:val="21"/>
          <w:lang w:bidi="ar"/>
        </w:rPr>
        <w:t>★（</w:t>
      </w:r>
      <w:r>
        <w:rPr>
          <w:rFonts w:hint="eastAsia" w:ascii="宋体" w:hAnsi="等线" w:cs="Times New Roman"/>
          <w:caps/>
          <w:szCs w:val="21"/>
          <w:lang w:val="en-US" w:eastAsia="zh-CN" w:bidi="ar"/>
        </w:rPr>
        <w:t>12</w:t>
      </w:r>
      <w:r>
        <w:rPr>
          <w:rFonts w:hint="eastAsia" w:ascii="宋体" w:hAnsi="等线" w:cs="Times New Roman"/>
          <w:caps/>
          <w:szCs w:val="21"/>
          <w:lang w:bidi="ar"/>
        </w:rPr>
        <w:t>）车充识别</w:t>
      </w:r>
    </w:p>
    <w:p w14:paraId="063CE15C">
      <w:pPr>
        <w:ind w:firstLine="560"/>
        <w:rPr>
          <w:rFonts w:hint="eastAsia" w:ascii="宋体" w:hAnsi="等线" w:cs="Times New Roman"/>
          <w:caps/>
          <w:szCs w:val="21"/>
          <w:lang w:bidi="ar"/>
        </w:rPr>
      </w:pPr>
      <w:r>
        <w:rPr>
          <w:rFonts w:hint="eastAsia" w:ascii="宋体" w:hAnsi="等线" w:cs="Times New Roman"/>
          <w:caps/>
          <w:szCs w:val="21"/>
          <w:lang w:bidi="ar"/>
        </w:rPr>
        <w:t>充电机支持VIN码自动识别</w:t>
      </w:r>
      <w:r>
        <w:rPr>
          <w:rFonts w:hint="eastAsia" w:ascii="宋体" w:hAnsi="等线" w:cs="Times New Roman"/>
          <w:caps/>
          <w:szCs w:val="21"/>
          <w:lang w:eastAsia="zh-CN" w:bidi="ar"/>
        </w:rPr>
        <w:t>、</w:t>
      </w:r>
      <w:r>
        <w:rPr>
          <w:rFonts w:hint="eastAsia" w:ascii="宋体" w:hAnsi="等线" w:cs="Times New Roman"/>
          <w:caps/>
          <w:szCs w:val="21"/>
          <w:lang w:val="en-US" w:eastAsia="zh-CN" w:bidi="ar"/>
        </w:rPr>
        <w:t>离网插枪</w:t>
      </w:r>
      <w:r>
        <w:rPr>
          <w:rFonts w:hint="eastAsia" w:ascii="宋体" w:hAnsi="等线" w:cs="Times New Roman"/>
          <w:caps/>
          <w:szCs w:val="21"/>
          <w:lang w:bidi="ar"/>
        </w:rPr>
        <w:t>，进行自动启动充电</w:t>
      </w:r>
      <w:r>
        <w:rPr>
          <w:rFonts w:hint="eastAsia" w:ascii="宋体" w:hAnsi="等线" w:cs="Times New Roman"/>
          <w:caps/>
          <w:szCs w:val="21"/>
          <w:lang w:val="en-US" w:eastAsia="zh-CN" w:bidi="ar"/>
        </w:rPr>
        <w:t>或插枪即充</w:t>
      </w:r>
      <w:r>
        <w:rPr>
          <w:rFonts w:hint="eastAsia" w:ascii="宋体" w:hAnsi="等线" w:cs="Times New Roman"/>
          <w:caps/>
          <w:szCs w:val="21"/>
          <w:lang w:bidi="ar"/>
        </w:rPr>
        <w:t>。</w:t>
      </w:r>
      <w:r>
        <w:rPr>
          <w:rFonts w:hint="eastAsia" w:ascii="宋体" w:hAnsi="等线" w:cs="Times New Roman"/>
          <w:b/>
          <w:bCs/>
          <w:caps/>
          <w:szCs w:val="21"/>
          <w:lang w:bidi="ar"/>
        </w:rPr>
        <w:t>（</w:t>
      </w:r>
      <w:r>
        <w:rPr>
          <w:rFonts w:hint="eastAsia" w:ascii="仿宋" w:hAnsi="仿宋" w:eastAsia="仿宋"/>
          <w:color w:val="FF0000"/>
          <w:sz w:val="24"/>
          <w:szCs w:val="24"/>
        </w:rPr>
        <w:t>提供投标产品厂家技术参数表或投标产品说明书或第三方</w:t>
      </w:r>
      <w:r>
        <w:rPr>
          <w:rFonts w:ascii="仿宋" w:hAnsi="仿宋" w:eastAsia="仿宋"/>
          <w:color w:val="FF0000"/>
          <w:sz w:val="24"/>
          <w:szCs w:val="24"/>
        </w:rPr>
        <w:t>CMA检测报告</w:t>
      </w:r>
      <w:r>
        <w:rPr>
          <w:rFonts w:hint="eastAsia" w:ascii="宋体" w:hAnsi="等线" w:cs="Times New Roman"/>
          <w:b/>
          <w:bCs/>
          <w:caps/>
          <w:szCs w:val="21"/>
          <w:lang w:bidi="ar"/>
        </w:rPr>
        <w:t>）</w:t>
      </w:r>
    </w:p>
    <w:p w14:paraId="7F6F70CE">
      <w:pPr>
        <w:ind w:firstLine="560"/>
        <w:rPr>
          <w:rFonts w:hint="eastAsia" w:ascii="宋体" w:hAnsi="等线" w:cs="Times New Roman"/>
          <w:caps/>
          <w:szCs w:val="21"/>
          <w:lang w:bidi="ar"/>
        </w:rPr>
      </w:pPr>
      <w:r>
        <w:rPr>
          <w:rFonts w:hint="eastAsia" w:ascii="宋体" w:hAnsi="等线" w:cs="Times New Roman"/>
          <w:caps/>
          <w:szCs w:val="21"/>
          <w:lang w:bidi="ar"/>
        </w:rPr>
        <w:t>★（1</w:t>
      </w:r>
      <w:r>
        <w:rPr>
          <w:rFonts w:hint="eastAsia" w:ascii="宋体" w:hAnsi="等线" w:cs="Times New Roman"/>
          <w:caps/>
          <w:szCs w:val="21"/>
          <w:lang w:val="en-US" w:eastAsia="zh-CN" w:bidi="ar"/>
        </w:rPr>
        <w:t>3</w:t>
      </w:r>
      <w:r>
        <w:rPr>
          <w:rFonts w:hint="eastAsia" w:ascii="宋体" w:hAnsi="等线" w:cs="Times New Roman"/>
          <w:caps/>
          <w:szCs w:val="21"/>
          <w:lang w:bidi="ar"/>
        </w:rPr>
        <w:t>）远程升级</w:t>
      </w:r>
    </w:p>
    <w:p w14:paraId="31D807DE">
      <w:pPr>
        <w:ind w:firstLine="560"/>
        <w:rPr>
          <w:rFonts w:hint="eastAsia" w:ascii="宋体" w:hAnsi="等线" w:cs="Times New Roman"/>
          <w:caps/>
          <w:szCs w:val="21"/>
          <w:lang w:bidi="ar"/>
        </w:rPr>
      </w:pPr>
      <w:r>
        <w:rPr>
          <w:rFonts w:hint="eastAsia" w:ascii="宋体" w:hAnsi="等线" w:cs="Times New Roman"/>
          <w:caps/>
          <w:szCs w:val="21"/>
          <w:lang w:bidi="ar"/>
        </w:rPr>
        <w:t>可通过</w:t>
      </w:r>
      <w:r>
        <w:rPr>
          <w:rFonts w:hint="eastAsia" w:ascii="宋体" w:hAnsi="等线" w:cs="Times New Roman"/>
          <w:caps/>
          <w:szCs w:val="21"/>
          <w:lang w:val="en-US" w:eastAsia="zh-CN" w:bidi="ar"/>
        </w:rPr>
        <w:t>集控进行远程升级，更新程序版本。</w:t>
      </w:r>
      <w:r>
        <w:rPr>
          <w:rFonts w:hint="eastAsia" w:ascii="宋体" w:hAnsi="等线" w:cs="Times New Roman"/>
          <w:b/>
          <w:bCs/>
          <w:caps/>
          <w:szCs w:val="21"/>
          <w:lang w:bidi="ar"/>
        </w:rPr>
        <w:t>（</w:t>
      </w:r>
      <w:r>
        <w:rPr>
          <w:rFonts w:hint="eastAsia" w:ascii="仿宋" w:hAnsi="仿宋" w:eastAsia="仿宋"/>
          <w:color w:val="FF0000"/>
          <w:sz w:val="24"/>
          <w:szCs w:val="24"/>
        </w:rPr>
        <w:t>提供投标产品厂家技术参数表或投标产品说明书或第三方</w:t>
      </w:r>
      <w:r>
        <w:rPr>
          <w:rFonts w:ascii="仿宋" w:hAnsi="仿宋" w:eastAsia="仿宋"/>
          <w:color w:val="FF0000"/>
          <w:sz w:val="24"/>
          <w:szCs w:val="24"/>
        </w:rPr>
        <w:t>CMA检测报告</w:t>
      </w:r>
      <w:r>
        <w:rPr>
          <w:rFonts w:hint="eastAsia" w:ascii="宋体" w:hAnsi="等线" w:cs="Times New Roman"/>
          <w:b/>
          <w:bCs/>
          <w:caps/>
          <w:szCs w:val="21"/>
          <w:lang w:bidi="ar"/>
        </w:rPr>
        <w:t>）</w:t>
      </w:r>
    </w:p>
    <w:p w14:paraId="78ED7D79">
      <w:pPr>
        <w:ind w:firstLine="560"/>
        <w:rPr>
          <w:rFonts w:hint="eastAsia" w:ascii="宋体" w:hAnsi="等线" w:cs="Times New Roman"/>
          <w:caps/>
          <w:szCs w:val="21"/>
          <w:lang w:bidi="ar"/>
        </w:rPr>
      </w:pPr>
      <w:r>
        <w:rPr>
          <w:rFonts w:hint="eastAsia" w:ascii="宋体" w:hAnsi="等线" w:cs="Times New Roman"/>
          <w:caps/>
          <w:szCs w:val="21"/>
          <w:lang w:bidi="ar"/>
        </w:rPr>
        <w:t>★（1</w:t>
      </w:r>
      <w:r>
        <w:rPr>
          <w:rFonts w:hint="eastAsia" w:ascii="宋体" w:hAnsi="等线" w:cs="Times New Roman"/>
          <w:caps/>
          <w:szCs w:val="21"/>
          <w:lang w:val="en-US" w:eastAsia="zh-CN" w:bidi="ar"/>
        </w:rPr>
        <w:t>4</w:t>
      </w:r>
      <w:r>
        <w:rPr>
          <w:rFonts w:hint="eastAsia" w:ascii="宋体" w:hAnsi="等线" w:cs="Times New Roman"/>
          <w:caps/>
          <w:szCs w:val="21"/>
          <w:lang w:bidi="ar"/>
        </w:rPr>
        <w:t>）远程断电</w:t>
      </w:r>
    </w:p>
    <w:p w14:paraId="33F9BD1A">
      <w:pPr>
        <w:ind w:firstLine="560"/>
        <w:rPr>
          <w:rFonts w:hint="eastAsia"/>
        </w:rPr>
      </w:pPr>
      <w:r>
        <w:rPr>
          <w:rFonts w:hint="eastAsia" w:ascii="宋体" w:hAnsi="等线" w:cs="Times New Roman"/>
          <w:caps/>
          <w:szCs w:val="21"/>
          <w:lang w:val="en-US" w:eastAsia="zh-CN" w:bidi="ar"/>
        </w:rPr>
        <w:t>通过后台或终端监控进行</w:t>
      </w:r>
      <w:r>
        <w:rPr>
          <w:rFonts w:hint="eastAsia" w:ascii="宋体" w:hAnsi="等线" w:cs="Times New Roman"/>
          <w:caps/>
          <w:szCs w:val="21"/>
          <w:lang w:bidi="ar"/>
        </w:rPr>
        <w:t>远程操作断电。</w:t>
      </w:r>
      <w:r>
        <w:rPr>
          <w:rFonts w:hint="eastAsia" w:ascii="宋体" w:hAnsi="等线" w:cs="Times New Roman"/>
          <w:b/>
          <w:bCs/>
          <w:caps/>
          <w:szCs w:val="21"/>
          <w:lang w:bidi="ar"/>
        </w:rPr>
        <w:t>（</w:t>
      </w:r>
      <w:r>
        <w:rPr>
          <w:rFonts w:hint="eastAsia" w:ascii="仿宋" w:hAnsi="仿宋" w:eastAsia="仿宋"/>
          <w:color w:val="FF0000"/>
          <w:sz w:val="24"/>
          <w:szCs w:val="24"/>
        </w:rPr>
        <w:t>提供投标产品厂家技术参数表或投标产品说明书或第三方</w:t>
      </w:r>
      <w:r>
        <w:rPr>
          <w:rFonts w:ascii="仿宋" w:hAnsi="仿宋" w:eastAsia="仿宋"/>
          <w:color w:val="FF0000"/>
          <w:sz w:val="24"/>
          <w:szCs w:val="24"/>
        </w:rPr>
        <w:t>CMA检测报告</w:t>
      </w:r>
      <w:r>
        <w:rPr>
          <w:rFonts w:hint="eastAsia" w:ascii="宋体" w:hAnsi="等线" w:cs="Times New Roman"/>
          <w:b/>
          <w:bCs/>
          <w:caps/>
          <w:szCs w:val="21"/>
          <w:lang w:bidi="ar"/>
        </w:rPr>
        <w:t>）</w:t>
      </w:r>
    </w:p>
    <w:p w14:paraId="3AB95A34">
      <w:pPr>
        <w:ind w:firstLine="560"/>
        <w:rPr>
          <w:rFonts w:hint="eastAsia" w:ascii="宋体" w:hAnsi="等线" w:cs="Times New Roman"/>
          <w:caps/>
          <w:szCs w:val="21"/>
          <w:lang w:bidi="ar"/>
        </w:rPr>
      </w:pPr>
      <w:r>
        <w:rPr>
          <w:rFonts w:hint="eastAsia" w:ascii="宋体" w:hAnsi="等线" w:cs="Times New Roman"/>
          <w:caps/>
          <w:szCs w:val="21"/>
          <w:lang w:bidi="ar"/>
        </w:rPr>
        <w:t>★</w:t>
      </w:r>
      <w:r>
        <w:rPr>
          <w:rFonts w:ascii="宋体" w:hAnsi="等线" w:cs="Times New Roman"/>
          <w:caps/>
          <w:szCs w:val="21"/>
          <w:lang w:bidi="ar"/>
        </w:rPr>
        <w:t>（1</w:t>
      </w:r>
      <w:r>
        <w:rPr>
          <w:rFonts w:hint="eastAsia" w:ascii="宋体" w:hAnsi="等线" w:cs="Times New Roman"/>
          <w:caps/>
          <w:szCs w:val="21"/>
          <w:lang w:val="en-US" w:eastAsia="zh-CN" w:bidi="ar"/>
        </w:rPr>
        <w:t>5</w:t>
      </w:r>
      <w:r>
        <w:rPr>
          <w:rFonts w:ascii="宋体" w:hAnsi="等线" w:cs="Times New Roman"/>
          <w:caps/>
          <w:szCs w:val="21"/>
          <w:lang w:bidi="ar"/>
        </w:rPr>
        <w:t>）</w:t>
      </w:r>
      <w:r>
        <w:rPr>
          <w:rFonts w:hint="eastAsia" w:ascii="宋体" w:hAnsi="等线" w:cs="Times New Roman"/>
          <w:caps/>
          <w:szCs w:val="21"/>
          <w:lang w:bidi="ar"/>
        </w:rPr>
        <w:t>节能功能</w:t>
      </w:r>
    </w:p>
    <w:p w14:paraId="3ECAECC6">
      <w:pPr>
        <w:ind w:firstLine="560"/>
        <w:rPr>
          <w:rFonts w:ascii="宋体" w:hAnsi="等线" w:cs="Times New Roman"/>
          <w:caps/>
          <w:szCs w:val="21"/>
          <w:lang w:bidi="ar"/>
        </w:rPr>
      </w:pPr>
      <w:r>
        <w:rPr>
          <w:rFonts w:hint="eastAsia" w:ascii="宋体" w:hAnsi="等线" w:cs="Times New Roman"/>
          <w:caps/>
          <w:szCs w:val="21"/>
          <w:lang w:bidi="ar"/>
        </w:rPr>
        <w:t>充电机交流输入侧应配置交流接触器，当设备检测未充电30分钟后，交流接触器自动分断，切断充电模块交流输入电源，降低损耗；当设备处于空闲（未充电）状态时，充电模块待机功耗为0W。</w:t>
      </w:r>
      <w:r>
        <w:rPr>
          <w:rFonts w:hint="eastAsia" w:ascii="仿宋" w:hAnsi="仿宋" w:eastAsia="仿宋"/>
          <w:color w:val="FF0000"/>
          <w:sz w:val="24"/>
          <w:szCs w:val="24"/>
        </w:rPr>
        <w:t>提供投标产品厂家技术参数表或投标产品说明书或第三方</w:t>
      </w:r>
      <w:r>
        <w:rPr>
          <w:rFonts w:ascii="仿宋" w:hAnsi="仿宋" w:eastAsia="仿宋"/>
          <w:color w:val="FF0000"/>
          <w:sz w:val="24"/>
          <w:szCs w:val="24"/>
        </w:rPr>
        <w:t>CMA检测报告</w:t>
      </w:r>
      <w:r>
        <w:rPr>
          <w:rFonts w:hint="eastAsia" w:ascii="宋体" w:hAnsi="等线" w:cs="Times New Roman"/>
          <w:b/>
          <w:bCs/>
          <w:caps/>
          <w:szCs w:val="21"/>
          <w:lang w:bidi="ar"/>
        </w:rPr>
        <w:t>。</w:t>
      </w:r>
    </w:p>
    <w:p w14:paraId="03B162EA">
      <w:pPr>
        <w:ind w:firstLine="560"/>
        <w:rPr>
          <w:szCs w:val="21"/>
        </w:rPr>
      </w:pPr>
      <w:r>
        <w:rPr>
          <w:rFonts w:ascii="宋体" w:hAnsi="等线" w:cs="Times New Roman"/>
          <w:caps/>
          <w:szCs w:val="21"/>
          <w:lang w:bidi="ar"/>
        </w:rPr>
        <w:t>（1</w:t>
      </w:r>
      <w:r>
        <w:rPr>
          <w:rFonts w:hint="eastAsia" w:ascii="宋体" w:hAnsi="等线" w:cs="Times New Roman"/>
          <w:caps/>
          <w:szCs w:val="21"/>
          <w:lang w:val="en-US" w:eastAsia="zh-CN" w:bidi="ar"/>
        </w:rPr>
        <w:t>6</w:t>
      </w:r>
      <w:r>
        <w:rPr>
          <w:rFonts w:ascii="宋体" w:hAnsi="等线" w:cs="Times New Roman"/>
          <w:caps/>
          <w:szCs w:val="21"/>
          <w:lang w:bidi="ar"/>
        </w:rPr>
        <w:t>）</w:t>
      </w:r>
      <w:r>
        <w:rPr>
          <w:rFonts w:hint="eastAsia" w:ascii="宋体" w:hAnsi="等线" w:cs="Times New Roman"/>
          <w:caps/>
          <w:szCs w:val="21"/>
          <w:lang w:bidi="ar"/>
        </w:rPr>
        <w:t>计量功能</w:t>
      </w:r>
    </w:p>
    <w:p w14:paraId="472C5053">
      <w:pPr>
        <w:ind w:firstLine="560"/>
        <w:rPr>
          <w:szCs w:val="21"/>
        </w:rPr>
      </w:pPr>
      <w:r>
        <w:rPr>
          <w:rFonts w:hint="eastAsia" w:ascii="宋体" w:hAnsi="等线" w:cs="Times New Roman"/>
          <w:caps/>
          <w:szCs w:val="21"/>
          <w:lang w:bidi="ar"/>
        </w:rPr>
        <w:t>充电机应具有对充电电能量进行计量的功能，计量功能应符合 GB/T 29318的规定，并具备直流电表数据的采样信号，当出现异常可自动发出告警信号。</w:t>
      </w:r>
    </w:p>
    <w:p w14:paraId="0A1250A9">
      <w:pPr>
        <w:ind w:firstLine="560"/>
        <w:rPr>
          <w:szCs w:val="21"/>
        </w:rPr>
      </w:pPr>
      <w:r>
        <w:rPr>
          <w:rFonts w:ascii="宋体" w:hAnsi="等线" w:cs="Times New Roman"/>
          <w:caps/>
          <w:szCs w:val="21"/>
          <w:lang w:bidi="ar"/>
        </w:rPr>
        <w:t>（1</w:t>
      </w:r>
      <w:r>
        <w:rPr>
          <w:rFonts w:hint="eastAsia" w:ascii="宋体" w:hAnsi="等线" w:cs="Times New Roman"/>
          <w:caps/>
          <w:szCs w:val="21"/>
          <w:lang w:val="en-US" w:eastAsia="zh-CN" w:bidi="ar"/>
        </w:rPr>
        <w:t>7</w:t>
      </w:r>
      <w:r>
        <w:rPr>
          <w:rFonts w:ascii="宋体" w:hAnsi="等线" w:cs="Times New Roman"/>
          <w:caps/>
          <w:szCs w:val="21"/>
          <w:lang w:bidi="ar"/>
        </w:rPr>
        <w:t>）</w:t>
      </w:r>
      <w:r>
        <w:rPr>
          <w:rFonts w:hint="eastAsia" w:ascii="宋体" w:hAnsi="等线" w:cs="Times New Roman"/>
          <w:caps/>
          <w:szCs w:val="21"/>
          <w:lang w:bidi="ar"/>
        </w:rPr>
        <w:t>急停功能</w:t>
      </w:r>
    </w:p>
    <w:p w14:paraId="7BAD2913">
      <w:pPr>
        <w:ind w:firstLine="560"/>
        <w:rPr>
          <w:szCs w:val="21"/>
        </w:rPr>
      </w:pPr>
      <w:r>
        <w:rPr>
          <w:rFonts w:hint="eastAsia" w:ascii="宋体" w:hAnsi="等线" w:cs="Times New Roman"/>
          <w:caps/>
          <w:szCs w:val="21"/>
          <w:lang w:bidi="ar"/>
        </w:rPr>
        <w:t>充电机应安装急停装置并具备信号采集接口。当启动急停装置时，分体式充电机应切断相应充电终端的直流输出。</w:t>
      </w:r>
    </w:p>
    <w:p w14:paraId="3D0DBB42">
      <w:pPr>
        <w:ind w:firstLine="560"/>
        <w:rPr>
          <w:szCs w:val="21"/>
        </w:rPr>
      </w:pPr>
      <w:r>
        <w:rPr>
          <w:rFonts w:ascii="宋体" w:hAnsi="等线" w:cs="Times New Roman"/>
          <w:caps/>
          <w:szCs w:val="21"/>
          <w:lang w:bidi="ar"/>
        </w:rPr>
        <w:t>（1</w:t>
      </w:r>
      <w:r>
        <w:rPr>
          <w:rFonts w:hint="eastAsia" w:ascii="宋体" w:hAnsi="等线" w:cs="Times New Roman"/>
          <w:caps/>
          <w:szCs w:val="21"/>
          <w:lang w:val="en-US" w:eastAsia="zh-CN" w:bidi="ar"/>
        </w:rPr>
        <w:t>8</w:t>
      </w:r>
      <w:r>
        <w:rPr>
          <w:rFonts w:ascii="宋体" w:hAnsi="等线" w:cs="Times New Roman"/>
          <w:caps/>
          <w:szCs w:val="21"/>
          <w:lang w:bidi="ar"/>
        </w:rPr>
        <w:t>）</w:t>
      </w:r>
      <w:r>
        <w:rPr>
          <w:rFonts w:hint="eastAsia" w:ascii="宋体" w:hAnsi="等线" w:cs="Times New Roman"/>
          <w:caps/>
          <w:szCs w:val="21"/>
          <w:lang w:bidi="ar"/>
        </w:rPr>
        <w:t>保护功能</w:t>
      </w:r>
    </w:p>
    <w:p w14:paraId="52D5A878">
      <w:pPr>
        <w:ind w:firstLine="560"/>
        <w:rPr>
          <w:szCs w:val="21"/>
        </w:rPr>
      </w:pPr>
      <w:r>
        <w:rPr>
          <w:rFonts w:hint="eastAsia" w:ascii="宋体" w:hAnsi="等线" w:cs="Times New Roman"/>
          <w:caps/>
          <w:szCs w:val="21"/>
          <w:lang w:bidi="ar"/>
        </w:rPr>
        <w:t>1）充电机应具备电源输入侧的过电压保护、欠电压保护。</w:t>
      </w:r>
    </w:p>
    <w:p w14:paraId="69ACE719">
      <w:pPr>
        <w:ind w:firstLine="560"/>
        <w:rPr>
          <w:szCs w:val="21"/>
        </w:rPr>
      </w:pPr>
      <w:r>
        <w:rPr>
          <w:rFonts w:hint="eastAsia" w:ascii="宋体" w:hAnsi="等线" w:cs="Times New Roman"/>
          <w:caps/>
          <w:szCs w:val="21"/>
          <w:lang w:bidi="ar"/>
        </w:rPr>
        <w:t>2）充电机应具备输出过电压保护。</w:t>
      </w:r>
    </w:p>
    <w:p w14:paraId="292A8C51">
      <w:pPr>
        <w:ind w:firstLine="560"/>
        <w:rPr>
          <w:szCs w:val="21"/>
        </w:rPr>
      </w:pPr>
      <w:r>
        <w:rPr>
          <w:rFonts w:hint="eastAsia" w:ascii="宋体" w:hAnsi="等线" w:cs="Times New Roman"/>
          <w:caps/>
          <w:szCs w:val="21"/>
          <w:lang w:bidi="ar"/>
        </w:rPr>
        <w:t>3）充电机应能够提供车辆侧供电回路及电缆的短路电流保护，短路保护设备的I²t值不应超过500000A²s。</w:t>
      </w:r>
    </w:p>
    <w:p w14:paraId="6055B7EC">
      <w:pPr>
        <w:ind w:firstLine="560"/>
        <w:rPr>
          <w:szCs w:val="21"/>
        </w:rPr>
      </w:pPr>
      <w:r>
        <w:rPr>
          <w:rFonts w:hint="eastAsia" w:ascii="宋体" w:hAnsi="等线" w:cs="Times New Roman"/>
          <w:caps/>
          <w:szCs w:val="21"/>
          <w:lang w:bidi="ar"/>
        </w:rPr>
        <w:t>4）充电机应具备过温保护，当内部温度达到保护阈值时，采取降功率或停止输出。</w:t>
      </w:r>
    </w:p>
    <w:p w14:paraId="537DB0ED">
      <w:pPr>
        <w:ind w:firstLine="560"/>
        <w:rPr>
          <w:szCs w:val="21"/>
        </w:rPr>
      </w:pPr>
      <w:r>
        <w:rPr>
          <w:rFonts w:hint="eastAsia" w:ascii="宋体" w:hAnsi="等线" w:cs="Times New Roman"/>
          <w:caps/>
          <w:szCs w:val="21"/>
          <w:lang w:bidi="ar"/>
        </w:rPr>
        <w:t>5）充电机应具备开门保护，当充电机门打开造成带电部分露出时，分体式充电机应切断相应部分的电源输入或输出。</w:t>
      </w:r>
    </w:p>
    <w:p w14:paraId="17F945EC">
      <w:pPr>
        <w:ind w:firstLine="560"/>
        <w:rPr>
          <w:szCs w:val="21"/>
        </w:rPr>
      </w:pPr>
      <w:r>
        <w:rPr>
          <w:rFonts w:hint="eastAsia" w:ascii="宋体" w:hAnsi="等线" w:cs="Times New Roman"/>
          <w:caps/>
          <w:szCs w:val="21"/>
          <w:lang w:bidi="ar"/>
        </w:rPr>
        <w:t>6）充电过程中当发生下列情况时，充电机应能在100ms内断开直流输出：</w:t>
      </w:r>
    </w:p>
    <w:p w14:paraId="50FC2FB2">
      <w:pPr>
        <w:ind w:firstLine="560"/>
        <w:rPr>
          <w:szCs w:val="21"/>
        </w:rPr>
      </w:pPr>
      <w:r>
        <w:rPr>
          <w:rFonts w:hint="eastAsia" w:ascii="宋体" w:hAnsi="等线" w:cs="Times New Roman"/>
          <w:caps/>
          <w:szCs w:val="21"/>
          <w:lang w:bidi="ar"/>
        </w:rPr>
        <w:t>a) 充电机启动急停装置；</w:t>
      </w:r>
    </w:p>
    <w:p w14:paraId="75BEAC02">
      <w:pPr>
        <w:ind w:firstLine="560"/>
        <w:rPr>
          <w:szCs w:val="21"/>
        </w:rPr>
      </w:pPr>
      <w:r>
        <w:rPr>
          <w:rFonts w:hint="eastAsia" w:ascii="宋体" w:hAnsi="等线" w:cs="Times New Roman"/>
          <w:caps/>
          <w:szCs w:val="21"/>
          <w:lang w:bidi="ar"/>
        </w:rPr>
        <w:t>b) 充电机与电动汽车间的保护接地线断开；</w:t>
      </w:r>
    </w:p>
    <w:p w14:paraId="2ED9BB98">
      <w:pPr>
        <w:ind w:firstLine="560"/>
        <w:rPr>
          <w:szCs w:val="21"/>
        </w:rPr>
      </w:pPr>
      <w:r>
        <w:rPr>
          <w:rFonts w:hint="eastAsia" w:ascii="宋体" w:hAnsi="等线" w:cs="Times New Roman"/>
          <w:caps/>
          <w:szCs w:val="21"/>
          <w:lang w:bidi="ar"/>
        </w:rPr>
        <w:t>c) 充电机与电动汽车间的连接检测信号线断开。</w:t>
      </w:r>
    </w:p>
    <w:p w14:paraId="71FE7B3A">
      <w:pPr>
        <w:ind w:firstLine="560"/>
        <w:rPr>
          <w:szCs w:val="21"/>
        </w:rPr>
      </w:pPr>
      <w:r>
        <w:rPr>
          <w:rFonts w:hint="eastAsia" w:ascii="宋体" w:hAnsi="等线" w:cs="Times New Roman"/>
          <w:caps/>
          <w:szCs w:val="21"/>
          <w:lang w:bidi="ar"/>
        </w:rPr>
        <w:t>7）充电机应具备限制输入电流过冲的能力，开机或启动充电时产生的输入电流过冲不应大于额定输入电流峰值的10%。</w:t>
      </w:r>
    </w:p>
    <w:p w14:paraId="4ACA4513">
      <w:pPr>
        <w:ind w:firstLine="560"/>
        <w:rPr>
          <w:szCs w:val="21"/>
        </w:rPr>
      </w:pPr>
      <w:r>
        <w:rPr>
          <w:rFonts w:hint="eastAsia" w:ascii="宋体" w:hAnsi="等线" w:cs="Times New Roman"/>
          <w:caps/>
          <w:szCs w:val="21"/>
          <w:lang w:bidi="ar"/>
        </w:rPr>
        <w:t>8）充电机直流输出接触器接通时发生的车辆到充电设备或充电设备到车辆的冲击电流(峰值)应控制在20A以下。</w:t>
      </w:r>
    </w:p>
    <w:p w14:paraId="4CC8BE0C">
      <w:pPr>
        <w:ind w:firstLine="560"/>
        <w:rPr>
          <w:szCs w:val="21"/>
        </w:rPr>
      </w:pPr>
      <w:r>
        <w:rPr>
          <w:rFonts w:hint="eastAsia" w:ascii="宋体" w:hAnsi="等线" w:cs="Times New Roman"/>
          <w:caps/>
          <w:szCs w:val="21"/>
          <w:lang w:bidi="ar"/>
        </w:rPr>
        <w:t>9）在启动充电阶段车辆侧接触器闭合后，充电机应对车辆电池电压进行检测，当出现下列情况时充电机应停止启动过程，并发出告警信息:</w:t>
      </w:r>
    </w:p>
    <w:p w14:paraId="4C2FAB86">
      <w:pPr>
        <w:ind w:firstLine="560"/>
        <w:rPr>
          <w:szCs w:val="21"/>
        </w:rPr>
      </w:pPr>
      <w:r>
        <w:rPr>
          <w:rFonts w:hint="eastAsia" w:ascii="宋体" w:hAnsi="等线" w:cs="Times New Roman"/>
          <w:caps/>
          <w:szCs w:val="21"/>
          <w:lang w:bidi="ar"/>
        </w:rPr>
        <w:t>a) 蓄电池反接；</w:t>
      </w:r>
    </w:p>
    <w:p w14:paraId="5BD4135D">
      <w:pPr>
        <w:ind w:firstLine="560"/>
        <w:rPr>
          <w:szCs w:val="21"/>
        </w:rPr>
      </w:pPr>
      <w:r>
        <w:rPr>
          <w:rFonts w:hint="eastAsia" w:ascii="宋体" w:hAnsi="等线" w:cs="Times New Roman"/>
          <w:caps/>
          <w:szCs w:val="21"/>
          <w:lang w:bidi="ar"/>
        </w:rPr>
        <w:t>b) 检测电压与通信报文电池电压之差的绝对值大于通信报文电池电压的5%；</w:t>
      </w:r>
    </w:p>
    <w:p w14:paraId="71F7AEE6">
      <w:pPr>
        <w:ind w:firstLine="560"/>
        <w:rPr>
          <w:szCs w:val="21"/>
        </w:rPr>
      </w:pPr>
      <w:r>
        <w:rPr>
          <w:rFonts w:hint="eastAsia" w:ascii="宋体" w:hAnsi="等线" w:cs="Times New Roman"/>
          <w:caps/>
          <w:szCs w:val="21"/>
          <w:lang w:bidi="ar"/>
        </w:rPr>
        <w:t>c) 检测电压小于充电机的最低输出电压或大于充电机的额定输出电压。</w:t>
      </w:r>
    </w:p>
    <w:p w14:paraId="45FD9EC5">
      <w:pPr>
        <w:ind w:firstLine="560"/>
        <w:rPr>
          <w:szCs w:val="21"/>
        </w:rPr>
      </w:pPr>
      <w:r>
        <w:rPr>
          <w:rFonts w:hint="eastAsia" w:ascii="宋体" w:hAnsi="等线" w:cs="Times New Roman"/>
          <w:caps/>
          <w:szCs w:val="21"/>
          <w:lang w:bidi="ar"/>
        </w:rPr>
        <w:t>（10）充电机应具对电动汽车动力蓄电池二重保护功能，在充电过程中，当检测到输出电压大于车辆最高允许充电总电压，或检测到输出电流大于车辆当前需求电流，充电机应在1s内断开直流输出，并发出告警信息。</w:t>
      </w:r>
    </w:p>
    <w:p w14:paraId="2DC0D717">
      <w:pPr>
        <w:ind w:firstLine="560"/>
        <w:rPr>
          <w:szCs w:val="21"/>
        </w:rPr>
      </w:pPr>
      <w:r>
        <w:rPr>
          <w:rFonts w:hint="eastAsia" w:ascii="宋体" w:hAnsi="等线" w:cs="Times New Roman"/>
          <w:caps/>
          <w:szCs w:val="21"/>
          <w:lang w:bidi="ar"/>
        </w:rPr>
        <w:t>注:充电机检测的输出电压或输出电流应考虑稳压精度或稳流精度范围加测量误差。</w:t>
      </w:r>
    </w:p>
    <w:p w14:paraId="5A0859EE">
      <w:pPr>
        <w:ind w:firstLine="560"/>
        <w:rPr>
          <w:szCs w:val="21"/>
        </w:rPr>
      </w:pPr>
      <w:r>
        <w:rPr>
          <w:rFonts w:hint="eastAsia" w:ascii="宋体" w:hAnsi="等线" w:cs="Times New Roman"/>
          <w:caps/>
          <w:szCs w:val="21"/>
          <w:lang w:bidi="ar"/>
        </w:rPr>
        <w:t>11）充电机应具备防逆流功能(如输出加二极管等)，防止蓄电池电流倒灌。</w:t>
      </w:r>
    </w:p>
    <w:p w14:paraId="0D6EF1BB">
      <w:pPr>
        <w:ind w:firstLine="560"/>
        <w:rPr>
          <w:szCs w:val="21"/>
        </w:rPr>
      </w:pPr>
      <w:r>
        <w:rPr>
          <w:rFonts w:hint="eastAsia" w:ascii="宋体" w:hAnsi="等线" w:cs="Times New Roman"/>
          <w:caps/>
          <w:szCs w:val="21"/>
          <w:lang w:bidi="ar"/>
        </w:rPr>
        <w:t>12）充电机应在启动充电前进行供电回路直流接触器触点粘连检测，也可以在直流接触器断开后进行触点粘连检测。当检测到任何一个直流接触器的主触点出现粘连情况时，充电机不应启动充电，并发出告警信息。</w:t>
      </w:r>
    </w:p>
    <w:p w14:paraId="743C467B">
      <w:pPr>
        <w:ind w:firstLine="560"/>
        <w:rPr>
          <w:szCs w:val="21"/>
        </w:rPr>
      </w:pPr>
      <w:r>
        <w:rPr>
          <w:rFonts w:hint="eastAsia" w:ascii="宋体" w:hAnsi="等线" w:cs="Times New Roman"/>
          <w:caps/>
          <w:szCs w:val="21"/>
          <w:lang w:bidi="ar"/>
        </w:rPr>
        <w:t>13）充电机在充电过程中，当检测到与电动汽车电池管理系统(battery management system，BMS)或车辆控制器发生通信中断时，充电机应停止充电，并发出告警信息。</w:t>
      </w:r>
    </w:p>
    <w:p w14:paraId="4768DBB0">
      <w:pPr>
        <w:ind w:firstLine="560"/>
        <w:rPr>
          <w:szCs w:val="21"/>
        </w:rPr>
      </w:pPr>
      <w:r>
        <w:rPr>
          <w:rFonts w:hint="eastAsia" w:ascii="宋体" w:hAnsi="等线" w:cs="Times New Roman"/>
          <w:caps/>
          <w:szCs w:val="21"/>
          <w:lang w:bidi="ar"/>
        </w:rPr>
        <w:t>14）充电机应在充电握手阶段判断电池管理系统BHM报文中的最高允许充电总电压值，当检测到该值小于充电机最低输出电压时，应停止绝缘监测进程，并发出告警信息。</w:t>
      </w:r>
    </w:p>
    <w:p w14:paraId="1CC0C449">
      <w:pPr>
        <w:ind w:firstLine="560"/>
        <w:rPr>
          <w:szCs w:val="21"/>
        </w:rPr>
      </w:pPr>
      <w:r>
        <w:rPr>
          <w:rFonts w:hint="eastAsia" w:ascii="宋体" w:hAnsi="等线" w:cs="Times New Roman"/>
          <w:caps/>
          <w:szCs w:val="21"/>
          <w:lang w:bidi="ar"/>
        </w:rPr>
        <w:t>15）充电机应在充电阶段实时判断电池管理系统BCL报文中的电压需求和电流需求值，当检测到该值大于车辆最高允许充电总电压或最高允许充电电流时，充电机应停止充电，并发出告警信息。</w:t>
      </w:r>
    </w:p>
    <w:p w14:paraId="2A36D3BA">
      <w:pPr>
        <w:ind w:firstLine="560"/>
        <w:rPr>
          <w:szCs w:val="21"/>
        </w:rPr>
      </w:pPr>
      <w:r>
        <w:rPr>
          <w:rFonts w:hint="eastAsia" w:ascii="宋体" w:hAnsi="等线" w:cs="Times New Roman"/>
          <w:caps/>
          <w:szCs w:val="21"/>
          <w:lang w:bidi="ar"/>
        </w:rPr>
        <w:t>16）充电机的雷电防护应符合GB/T18487.1-2015中11.7的规定</w:t>
      </w:r>
    </w:p>
    <w:p w14:paraId="14654AAF">
      <w:pPr>
        <w:ind w:firstLine="560"/>
        <w:rPr>
          <w:szCs w:val="21"/>
        </w:rPr>
      </w:pPr>
      <w:r>
        <w:rPr>
          <w:rFonts w:hint="eastAsia" w:ascii="宋体" w:hAnsi="等线" w:cs="Times New Roman"/>
          <w:caps/>
          <w:szCs w:val="21"/>
          <w:lang w:bidi="ar"/>
        </w:rPr>
        <w:t>17）充电机具备对集中控制器进行遥测数据采集，包括但不限于CPU使用率、内存使用率、存储空间使用率、系统负载、4G信号强度和信噪比等。</w:t>
      </w:r>
    </w:p>
    <w:p w14:paraId="0CEED353">
      <w:pPr>
        <w:ind w:firstLine="560"/>
        <w:rPr>
          <w:szCs w:val="21"/>
        </w:rPr>
      </w:pPr>
      <w:r>
        <w:rPr>
          <w:rFonts w:hint="eastAsia" w:ascii="宋体" w:hAnsi="等线" w:cs="Times New Roman"/>
          <w:caps/>
          <w:szCs w:val="21"/>
          <w:lang w:bidi="ar"/>
        </w:rPr>
        <w:t>18）壳体采用绝缘材质，减少意外触电风险。</w:t>
      </w:r>
    </w:p>
    <w:p w14:paraId="412DD006">
      <w:pPr>
        <w:ind w:firstLine="560"/>
        <w:rPr>
          <w:szCs w:val="21"/>
        </w:rPr>
      </w:pPr>
      <w:r>
        <w:rPr>
          <w:rFonts w:hint="eastAsia" w:ascii="宋体" w:hAnsi="等线" w:cs="Times New Roman"/>
          <w:caps/>
          <w:szCs w:val="21"/>
          <w:lang w:bidi="ar"/>
        </w:rPr>
        <w:t>19）当充电桩柜门打开等行为活动造成危险带电不见外漏、可触及时，充电机可在1S内切断输出。</w:t>
      </w:r>
    </w:p>
    <w:p w14:paraId="15924ADA">
      <w:pPr>
        <w:ind w:firstLine="560"/>
        <w:rPr>
          <w:szCs w:val="21"/>
        </w:rPr>
      </w:pPr>
      <w:r>
        <w:rPr>
          <w:rFonts w:hint="eastAsia" w:ascii="宋体" w:hAnsi="等线" w:cs="Times New Roman"/>
          <w:caps/>
          <w:szCs w:val="21"/>
          <w:lang w:bidi="ar"/>
        </w:rPr>
        <w:t>20）充电终端（桩）待机状态下输入电源电压应不高于36V。</w:t>
      </w:r>
    </w:p>
    <w:p w14:paraId="284E4A6A">
      <w:pPr>
        <w:pStyle w:val="7"/>
        <w:bidi w:val="0"/>
      </w:pPr>
      <w:r>
        <w:rPr>
          <w:rFonts w:hint="eastAsia"/>
        </w:rPr>
        <w:t>环境条件</w:t>
      </w:r>
    </w:p>
    <w:p w14:paraId="5E898758">
      <w:pPr>
        <w:ind w:firstLine="560"/>
        <w:rPr>
          <w:szCs w:val="21"/>
        </w:rPr>
      </w:pPr>
      <w:r>
        <w:rPr>
          <w:rFonts w:hint="eastAsia" w:ascii="宋体" w:hAnsi="等线" w:cs="Times New Roman"/>
          <w:caps/>
          <w:szCs w:val="21"/>
          <w:lang w:bidi="ar"/>
        </w:rPr>
        <w:t>环境温度：-</w:t>
      </w:r>
      <w:r>
        <w:rPr>
          <w:rFonts w:ascii="宋体" w:hAnsi="等线" w:cs="Times New Roman"/>
          <w:caps/>
          <w:szCs w:val="21"/>
          <w:lang w:bidi="ar"/>
        </w:rPr>
        <w:t>20</w:t>
      </w:r>
      <w:r>
        <w:rPr>
          <w:rFonts w:hint="eastAsia" w:ascii="宋体" w:hAnsi="等线" w:cs="Times New Roman"/>
          <w:caps/>
          <w:szCs w:val="21"/>
          <w:lang w:bidi="ar"/>
        </w:rPr>
        <w:t>℃～</w:t>
      </w:r>
      <w:r>
        <w:rPr>
          <w:rFonts w:ascii="宋体" w:hAnsi="等线" w:cs="Times New Roman"/>
          <w:caps/>
          <w:szCs w:val="21"/>
          <w:lang w:bidi="ar"/>
        </w:rPr>
        <w:t>60</w:t>
      </w:r>
      <w:r>
        <w:rPr>
          <w:rFonts w:hint="eastAsia" w:ascii="宋体" w:hAnsi="等线" w:cs="Times New Roman"/>
          <w:caps/>
          <w:szCs w:val="21"/>
          <w:lang w:bidi="ar"/>
        </w:rPr>
        <w:t>℃；</w:t>
      </w:r>
    </w:p>
    <w:p w14:paraId="5D1A15B5">
      <w:pPr>
        <w:ind w:firstLine="560"/>
        <w:rPr>
          <w:szCs w:val="21"/>
        </w:rPr>
      </w:pPr>
      <w:r>
        <w:rPr>
          <w:rFonts w:hint="eastAsia" w:ascii="宋体" w:hAnsi="等线" w:cs="Times New Roman"/>
          <w:caps/>
          <w:szCs w:val="21"/>
          <w:lang w:bidi="ar"/>
        </w:rPr>
        <w:t>相对湿度：5％～95％；</w:t>
      </w:r>
    </w:p>
    <w:p w14:paraId="4CBF9952">
      <w:pPr>
        <w:ind w:firstLine="560"/>
        <w:rPr>
          <w:szCs w:val="21"/>
        </w:rPr>
      </w:pPr>
      <w:r>
        <w:rPr>
          <w:rFonts w:hint="eastAsia" w:ascii="宋体" w:hAnsi="等线" w:cs="Times New Roman"/>
          <w:caps/>
          <w:szCs w:val="21"/>
          <w:lang w:bidi="ar"/>
        </w:rPr>
        <w:t>污染等级：3（室外使用），2（室内使用）</w:t>
      </w:r>
    </w:p>
    <w:p w14:paraId="6D69AD16">
      <w:pPr>
        <w:ind w:firstLine="560"/>
        <w:rPr>
          <w:szCs w:val="21"/>
        </w:rPr>
      </w:pPr>
      <w:r>
        <w:rPr>
          <w:rFonts w:hint="eastAsia" w:ascii="宋体" w:hAnsi="等线" w:cs="Times New Roman"/>
          <w:caps/>
          <w:szCs w:val="21"/>
          <w:lang w:bidi="ar"/>
        </w:rPr>
        <w:t>海拔高度：≤2000m；</w:t>
      </w:r>
    </w:p>
    <w:p w14:paraId="0A221E14">
      <w:pPr>
        <w:ind w:firstLine="560"/>
        <w:rPr>
          <w:szCs w:val="21"/>
        </w:rPr>
      </w:pPr>
      <w:r>
        <w:rPr>
          <w:rFonts w:hint="eastAsia" w:ascii="宋体" w:hAnsi="等线" w:cs="Times New Roman"/>
          <w:caps/>
          <w:szCs w:val="21"/>
          <w:lang w:bidi="ar"/>
        </w:rPr>
        <w:t>周围环境：使用地点不得有爆炸危险介质，周围介质不含有腐蚀金属和破坏绝缘的有害气体及导电介质。</w:t>
      </w:r>
    </w:p>
    <w:p w14:paraId="59E8AD1F">
      <w:pPr>
        <w:ind w:firstLine="560"/>
        <w:rPr>
          <w:szCs w:val="21"/>
        </w:rPr>
      </w:pPr>
      <w:r>
        <w:rPr>
          <w:rFonts w:hint="eastAsia" w:ascii="宋体" w:hAnsi="等线" w:cs="Times New Roman"/>
          <w:caps/>
          <w:szCs w:val="21"/>
          <w:lang w:bidi="ar"/>
        </w:rPr>
        <w:t>电源要求</w:t>
      </w:r>
    </w:p>
    <w:p w14:paraId="4E465F85">
      <w:pPr>
        <w:ind w:firstLine="560"/>
        <w:rPr>
          <w:szCs w:val="21"/>
        </w:rPr>
      </w:pPr>
      <w:r>
        <w:rPr>
          <w:rFonts w:hint="eastAsia" w:ascii="宋体" w:hAnsi="等线" w:cs="Times New Roman"/>
          <w:caps/>
          <w:szCs w:val="21"/>
          <w:lang w:bidi="ar"/>
        </w:rPr>
        <w:t>交流输入电压：380V±15％；</w:t>
      </w:r>
    </w:p>
    <w:p w14:paraId="7CCB424F">
      <w:pPr>
        <w:ind w:firstLine="560"/>
        <w:rPr>
          <w:szCs w:val="21"/>
        </w:rPr>
      </w:pPr>
      <w:r>
        <w:rPr>
          <w:rFonts w:hint="eastAsia" w:ascii="宋体" w:hAnsi="等线" w:cs="Times New Roman"/>
          <w:caps/>
          <w:szCs w:val="21"/>
          <w:lang w:bidi="ar"/>
        </w:rPr>
        <w:t>交流电源频率：45Hz～65Hz。</w:t>
      </w:r>
    </w:p>
    <w:p w14:paraId="1CBBDE77">
      <w:pPr>
        <w:pStyle w:val="7"/>
        <w:bidi w:val="0"/>
      </w:pPr>
      <w:r>
        <w:rPr>
          <w:rFonts w:hint="eastAsia"/>
        </w:rPr>
        <w:t>环境适应要求</w:t>
      </w:r>
    </w:p>
    <w:p w14:paraId="6E52482E">
      <w:pPr>
        <w:ind w:firstLine="560"/>
        <w:rPr>
          <w:szCs w:val="21"/>
        </w:rPr>
      </w:pPr>
      <w:r>
        <w:rPr>
          <w:rFonts w:hint="eastAsia" w:ascii="宋体" w:hAnsi="等线" w:cs="Times New Roman"/>
          <w:caps/>
          <w:szCs w:val="21"/>
          <w:lang w:bidi="ar"/>
        </w:rPr>
        <w:t>（1）防护等级</w:t>
      </w:r>
    </w:p>
    <w:p w14:paraId="65A7FB74">
      <w:pPr>
        <w:ind w:firstLine="560"/>
        <w:rPr>
          <w:szCs w:val="21"/>
        </w:rPr>
      </w:pPr>
      <w:r>
        <w:rPr>
          <w:rFonts w:hint="eastAsia" w:ascii="宋体" w:hAnsi="等线" w:cs="Times New Roman"/>
          <w:caps/>
          <w:szCs w:val="21"/>
          <w:lang w:bidi="ar"/>
        </w:rPr>
        <w:t>充电机外壳防护等级不应低于GB 4208中IP32（室内）或IP54（室外）的规定。</w:t>
      </w:r>
    </w:p>
    <w:p w14:paraId="78667CF6">
      <w:pPr>
        <w:ind w:firstLine="560"/>
        <w:rPr>
          <w:szCs w:val="21"/>
        </w:rPr>
      </w:pPr>
      <w:r>
        <w:rPr>
          <w:rFonts w:hint="eastAsia" w:ascii="宋体" w:hAnsi="等线" w:cs="Times New Roman"/>
          <w:caps/>
          <w:szCs w:val="21"/>
          <w:lang w:bidi="ar"/>
        </w:rPr>
        <w:t>（2）三防（防潮湿，防霉变，防盐雾）保护</w:t>
      </w:r>
    </w:p>
    <w:p w14:paraId="0ED4D1D2">
      <w:pPr>
        <w:ind w:firstLine="560"/>
        <w:rPr>
          <w:szCs w:val="21"/>
        </w:rPr>
      </w:pPr>
      <w:r>
        <w:rPr>
          <w:rFonts w:hint="eastAsia" w:ascii="宋体" w:hAnsi="等线" w:cs="Times New Roman"/>
          <w:caps/>
          <w:szCs w:val="21"/>
          <w:lang w:bidi="ar"/>
        </w:rPr>
        <w:t>充电机内印刷线路板、接插件等部件应进行防潮湿、防霉变、防盐雾处理。其中防霉变腐蚀试验参考GB/T 2423.16-2008中的试验方法1，长霉程度等级不低于标准中要求的2a；其中防盐雾腐蚀试验参考GB/T 2423.17-2008中第6章规定的试验方法，试验时间48h，试验后在15℃~40℃流水中用柔软的刷子清洗7min，干燥1h，产品应无赤/青锈、没有出现涂装掉落现象、涂装无鼓起。</w:t>
      </w:r>
    </w:p>
    <w:p w14:paraId="158220DC">
      <w:pPr>
        <w:ind w:firstLine="560"/>
        <w:rPr>
          <w:szCs w:val="21"/>
        </w:rPr>
      </w:pPr>
      <w:r>
        <w:rPr>
          <w:rFonts w:hint="eastAsia" w:ascii="宋体" w:hAnsi="等线" w:cs="Times New Roman"/>
          <w:caps/>
          <w:szCs w:val="21"/>
          <w:lang w:bidi="ar"/>
        </w:rPr>
        <w:t>（3）防锈（防氧化）保护</w:t>
      </w:r>
    </w:p>
    <w:p w14:paraId="3C335AE9">
      <w:pPr>
        <w:ind w:firstLine="560"/>
        <w:rPr>
          <w:szCs w:val="21"/>
        </w:rPr>
      </w:pPr>
      <w:r>
        <w:rPr>
          <w:rFonts w:hint="eastAsia" w:ascii="宋体" w:hAnsi="等线" w:cs="Times New Roman"/>
          <w:caps/>
          <w:szCs w:val="21"/>
          <w:lang w:bidi="ar"/>
        </w:rPr>
        <w:t>充电机铁质外壳和暴露的铁质支架、零件应采用双层防锈措施，非铁质的金属外壳也应具有防氧化保护膜或防氧化处理。</w:t>
      </w:r>
    </w:p>
    <w:p w14:paraId="19335EF5">
      <w:pPr>
        <w:ind w:firstLine="560"/>
        <w:rPr>
          <w:szCs w:val="21"/>
        </w:rPr>
      </w:pPr>
      <w:r>
        <w:rPr>
          <w:rFonts w:hint="eastAsia" w:ascii="宋体" w:hAnsi="等线" w:cs="Times New Roman"/>
          <w:caps/>
          <w:szCs w:val="21"/>
          <w:lang w:bidi="ar"/>
        </w:rPr>
        <w:t>（4）防风保护</w:t>
      </w:r>
    </w:p>
    <w:p w14:paraId="62CEAD53">
      <w:pPr>
        <w:ind w:firstLine="560"/>
        <w:rPr>
          <w:szCs w:val="21"/>
        </w:rPr>
      </w:pPr>
      <w:r>
        <w:rPr>
          <w:rFonts w:hint="eastAsia" w:ascii="宋体" w:hAnsi="等线" w:cs="Times New Roman"/>
          <w:caps/>
          <w:szCs w:val="21"/>
          <w:lang w:bidi="ar"/>
        </w:rPr>
        <w:t>户外型充电机应能承受GB/T4797.5规定的不同地区最大风速的侵袭。</w:t>
      </w:r>
    </w:p>
    <w:p w14:paraId="2DDC3E91">
      <w:pPr>
        <w:ind w:firstLine="560"/>
        <w:rPr>
          <w:szCs w:val="21"/>
        </w:rPr>
      </w:pPr>
      <w:r>
        <w:rPr>
          <w:rFonts w:hint="eastAsia" w:ascii="宋体" w:hAnsi="等线" w:cs="Times New Roman"/>
          <w:caps/>
          <w:szCs w:val="21"/>
          <w:lang w:bidi="ar"/>
        </w:rPr>
        <w:t>（5）防盗保护</w:t>
      </w:r>
    </w:p>
    <w:p w14:paraId="75590C5A">
      <w:pPr>
        <w:ind w:firstLine="560"/>
        <w:rPr>
          <w:szCs w:val="21"/>
        </w:rPr>
      </w:pPr>
      <w:r>
        <w:rPr>
          <w:rFonts w:hint="eastAsia" w:ascii="宋体" w:hAnsi="等线" w:cs="Times New Roman"/>
          <w:caps/>
          <w:szCs w:val="21"/>
          <w:lang w:bidi="ar"/>
        </w:rPr>
        <w:t>户外型充电机应具备防盗措施。</w:t>
      </w:r>
    </w:p>
    <w:p w14:paraId="743BC411">
      <w:pPr>
        <w:ind w:firstLine="560"/>
        <w:rPr>
          <w:szCs w:val="21"/>
        </w:rPr>
      </w:pPr>
      <w:r>
        <w:rPr>
          <w:rFonts w:ascii="宋体" w:hAnsi="等线" w:cs="Times New Roman"/>
          <w:caps/>
          <w:szCs w:val="21"/>
          <w:lang w:bidi="ar"/>
        </w:rPr>
        <w:t>（6）</w:t>
      </w:r>
      <w:r>
        <w:rPr>
          <w:rFonts w:hint="eastAsia" w:ascii="宋体" w:hAnsi="等线" w:cs="Times New Roman"/>
          <w:caps/>
          <w:szCs w:val="21"/>
          <w:lang w:bidi="ar"/>
        </w:rPr>
        <w:t>内部温升要求</w:t>
      </w:r>
    </w:p>
    <w:p w14:paraId="33DDA541">
      <w:pPr>
        <w:ind w:firstLine="560"/>
        <w:rPr>
          <w:szCs w:val="21"/>
        </w:rPr>
      </w:pPr>
      <w:r>
        <w:rPr>
          <w:rFonts w:hint="eastAsia" w:ascii="宋体" w:hAnsi="等线" w:cs="Times New Roman"/>
          <w:caps/>
          <w:szCs w:val="21"/>
          <w:lang w:bidi="ar"/>
        </w:rPr>
        <w:t>动力电源输入电流所流经的回路，如接线端子、输入断路器、输入接触器等;功率变换单元及其内部元器件、输入输出端子，直流输出电流所流经的回路，如接线端子、直流熔断器、直流接触器、功率电阻、电流采样分流器、车辆插头等。这些发热元器件及部件的最高温度小于等于元器件及部件最大耐受温度的90%，且不应影响周围元器件的正常工作和无元器件损坏。</w:t>
      </w:r>
    </w:p>
    <w:p w14:paraId="591989CD">
      <w:pPr>
        <w:ind w:firstLine="560"/>
        <w:rPr>
          <w:szCs w:val="21"/>
        </w:rPr>
      </w:pPr>
      <w:r>
        <w:rPr>
          <w:rFonts w:hint="eastAsia" w:ascii="宋体" w:hAnsi="等线" w:cs="Times New Roman"/>
          <w:caps/>
          <w:szCs w:val="21"/>
          <w:lang w:bidi="ar"/>
        </w:rPr>
        <w:t>在正常试验条件门下，输入为额定值，充电机在最大输出电流下长期运行，内部各发热元器件及各部位连接端子处的温升不应大于下表规定。</w:t>
      </w:r>
    </w:p>
    <w:p w14:paraId="43C8597C">
      <w:pPr>
        <w:ind w:firstLine="560"/>
        <w:rPr>
          <w:szCs w:val="21"/>
        </w:rPr>
      </w:pPr>
      <w:r>
        <w:rPr>
          <w:rFonts w:hint="eastAsia" w:ascii="宋体" w:hAnsi="等线" w:cs="Times New Roman"/>
          <w:caps/>
          <w:szCs w:val="21"/>
          <w:lang w:bidi="ar"/>
        </w:rPr>
        <w:t>充电机各部件极限温升</w:t>
      </w:r>
    </w:p>
    <w:tbl>
      <w:tblPr>
        <w:tblStyle w:val="89"/>
        <w:tblW w:w="5000" w:type="pct"/>
        <w:jc w:val="center"/>
        <w:tblLayout w:type="autofit"/>
        <w:tblCellMar>
          <w:top w:w="0" w:type="dxa"/>
          <w:left w:w="108" w:type="dxa"/>
          <w:bottom w:w="0" w:type="dxa"/>
          <w:right w:w="108" w:type="dxa"/>
        </w:tblCellMar>
      </w:tblPr>
      <w:tblGrid>
        <w:gridCol w:w="5361"/>
        <w:gridCol w:w="3755"/>
      </w:tblGrid>
      <w:tr w14:paraId="43E28631">
        <w:tblPrEx>
          <w:tblCellMar>
            <w:top w:w="0" w:type="dxa"/>
            <w:left w:w="108" w:type="dxa"/>
            <w:bottom w:w="0" w:type="dxa"/>
            <w:right w:w="108" w:type="dxa"/>
          </w:tblCellMar>
        </w:tblPrEx>
        <w:trPr>
          <w:trHeight w:val="327"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1DC5FB">
            <w:pPr>
              <w:ind w:firstLine="560"/>
              <w:rPr>
                <w:szCs w:val="21"/>
              </w:rPr>
            </w:pPr>
            <w:r>
              <w:rPr>
                <w:rFonts w:hint="eastAsia" w:ascii="宋体" w:hAnsi="等线" w:cs="Times New Roman"/>
                <w:caps/>
                <w:szCs w:val="21"/>
                <w:lang w:bidi="ar"/>
              </w:rPr>
              <w:t>内部测试点</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29412984">
            <w:pPr>
              <w:ind w:firstLine="560"/>
              <w:rPr>
                <w:szCs w:val="21"/>
              </w:rPr>
            </w:pPr>
            <w:r>
              <w:rPr>
                <w:rFonts w:hint="eastAsia" w:ascii="宋体" w:hAnsi="等线" w:cs="Times New Roman"/>
                <w:caps/>
                <w:szCs w:val="21"/>
                <w:lang w:bidi="ar"/>
              </w:rPr>
              <w:t>极</w:t>
            </w:r>
            <w:r>
              <w:rPr>
                <w:rFonts w:hint="eastAsia" w:ascii="宋体" w:hAnsi="等线" w:cs="等线"/>
                <w:caps/>
                <w:szCs w:val="21"/>
                <w:lang w:bidi="ar"/>
              </w:rPr>
              <w:t> </w:t>
            </w:r>
            <w:r>
              <w:rPr>
                <w:rFonts w:hint="eastAsia" w:ascii="宋体" w:hAnsi="等线" w:cs="Times New Roman"/>
                <w:caps/>
                <w:szCs w:val="21"/>
                <w:lang w:bidi="ar"/>
              </w:rPr>
              <w:t>限</w:t>
            </w:r>
            <w:r>
              <w:rPr>
                <w:rFonts w:hint="eastAsia" w:ascii="宋体" w:hAnsi="等线" w:cs="等线"/>
                <w:caps/>
                <w:szCs w:val="21"/>
                <w:lang w:bidi="ar"/>
              </w:rPr>
              <w:t> </w:t>
            </w:r>
            <w:r>
              <w:rPr>
                <w:rFonts w:hint="eastAsia" w:ascii="宋体" w:hAnsi="等线" w:cs="Times New Roman"/>
                <w:caps/>
                <w:szCs w:val="21"/>
                <w:lang w:bidi="ar"/>
              </w:rPr>
              <w:t>温</w:t>
            </w:r>
            <w:r>
              <w:rPr>
                <w:rFonts w:hint="eastAsia" w:ascii="宋体" w:hAnsi="等线" w:cs="等线"/>
                <w:caps/>
                <w:szCs w:val="21"/>
                <w:lang w:bidi="ar"/>
              </w:rPr>
              <w:t> </w:t>
            </w:r>
            <w:r>
              <w:rPr>
                <w:rFonts w:hint="eastAsia" w:ascii="宋体" w:hAnsi="等线" w:cs="Times New Roman"/>
                <w:caps/>
                <w:szCs w:val="21"/>
                <w:lang w:bidi="ar"/>
              </w:rPr>
              <w:t>升/K</w:t>
            </w:r>
          </w:p>
        </w:tc>
      </w:tr>
      <w:tr w14:paraId="25D6F3F2">
        <w:tblPrEx>
          <w:tblCellMar>
            <w:top w:w="0" w:type="dxa"/>
            <w:left w:w="108" w:type="dxa"/>
            <w:bottom w:w="0" w:type="dxa"/>
            <w:right w:w="108" w:type="dxa"/>
          </w:tblCellMar>
        </w:tblPrEx>
        <w:trPr>
          <w:trHeight w:val="291"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42EC73">
            <w:pPr>
              <w:ind w:firstLine="560"/>
              <w:rPr>
                <w:szCs w:val="21"/>
              </w:rPr>
            </w:pPr>
            <w:r>
              <w:rPr>
                <w:rFonts w:hint="eastAsia" w:ascii="宋体" w:hAnsi="等线" w:cs="Times New Roman"/>
                <w:caps/>
                <w:szCs w:val="21"/>
                <w:lang w:bidi="ar"/>
              </w:rPr>
              <w:t>动力电源输入端子</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7675F222">
            <w:pPr>
              <w:ind w:firstLine="560"/>
              <w:rPr>
                <w:szCs w:val="21"/>
              </w:rPr>
            </w:pPr>
            <w:r>
              <w:rPr>
                <w:rFonts w:hint="eastAsia" w:ascii="宋体" w:hAnsi="等线" w:cs="Times New Roman"/>
                <w:caps/>
                <w:szCs w:val="21"/>
                <w:lang w:bidi="ar"/>
              </w:rPr>
              <w:t>50</w:t>
            </w:r>
          </w:p>
        </w:tc>
      </w:tr>
      <w:tr w14:paraId="4D4820D5">
        <w:tblPrEx>
          <w:tblCellMar>
            <w:top w:w="0" w:type="dxa"/>
            <w:left w:w="108" w:type="dxa"/>
            <w:bottom w:w="0" w:type="dxa"/>
            <w:right w:w="108" w:type="dxa"/>
          </w:tblCellMar>
        </w:tblPrEx>
        <w:trPr>
          <w:trHeight w:val="291"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594C7A">
            <w:pPr>
              <w:ind w:firstLine="560"/>
              <w:rPr>
                <w:szCs w:val="21"/>
              </w:rPr>
            </w:pPr>
            <w:r>
              <w:rPr>
                <w:rFonts w:hint="eastAsia" w:ascii="宋体" w:hAnsi="等线" w:cs="Times New Roman"/>
                <w:caps/>
                <w:szCs w:val="21"/>
                <w:lang w:bidi="ar"/>
              </w:rPr>
              <w:t>输入断路器、接触器接线端子</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76D7BBAF">
            <w:pPr>
              <w:ind w:firstLine="560"/>
              <w:rPr>
                <w:szCs w:val="21"/>
              </w:rPr>
            </w:pPr>
            <w:r>
              <w:rPr>
                <w:rFonts w:hint="eastAsia" w:ascii="宋体" w:hAnsi="等线" w:cs="Times New Roman"/>
                <w:caps/>
                <w:szCs w:val="21"/>
                <w:lang w:bidi="ar"/>
              </w:rPr>
              <w:t>50</w:t>
            </w:r>
          </w:p>
        </w:tc>
      </w:tr>
      <w:tr w14:paraId="3923B3E3">
        <w:tblPrEx>
          <w:tblCellMar>
            <w:top w:w="0" w:type="dxa"/>
            <w:left w:w="108" w:type="dxa"/>
            <w:bottom w:w="0" w:type="dxa"/>
            <w:right w:w="108" w:type="dxa"/>
          </w:tblCellMar>
        </w:tblPrEx>
        <w:trPr>
          <w:trHeight w:val="291"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2079BF">
            <w:pPr>
              <w:ind w:firstLine="560"/>
              <w:rPr>
                <w:szCs w:val="21"/>
              </w:rPr>
            </w:pPr>
            <w:r>
              <w:rPr>
                <w:rFonts w:hint="eastAsia" w:ascii="宋体" w:hAnsi="等线" w:cs="Times New Roman"/>
                <w:caps/>
                <w:szCs w:val="21"/>
                <w:lang w:bidi="ar"/>
              </w:rPr>
              <w:t>塑料绝缘线</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6FEB8394">
            <w:pPr>
              <w:ind w:firstLine="560"/>
              <w:rPr>
                <w:szCs w:val="21"/>
              </w:rPr>
            </w:pPr>
            <w:r>
              <w:rPr>
                <w:rFonts w:hint="eastAsia" w:ascii="宋体" w:hAnsi="等线" w:cs="Times New Roman"/>
                <w:caps/>
                <w:szCs w:val="21"/>
                <w:lang w:bidi="ar"/>
              </w:rPr>
              <w:t>25</w:t>
            </w:r>
          </w:p>
        </w:tc>
      </w:tr>
      <w:tr w14:paraId="5C78D01A">
        <w:tblPrEx>
          <w:tblCellMar>
            <w:top w:w="0" w:type="dxa"/>
            <w:left w:w="108" w:type="dxa"/>
            <w:bottom w:w="0" w:type="dxa"/>
            <w:right w:w="108" w:type="dxa"/>
          </w:tblCellMar>
        </w:tblPrEx>
        <w:trPr>
          <w:trHeight w:val="291"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B8CD54">
            <w:pPr>
              <w:ind w:firstLine="560"/>
              <w:rPr>
                <w:szCs w:val="21"/>
              </w:rPr>
            </w:pPr>
            <w:r>
              <w:rPr>
                <w:rFonts w:hint="eastAsia" w:ascii="宋体" w:hAnsi="等线" w:cs="Times New Roman"/>
                <w:caps/>
                <w:szCs w:val="21"/>
                <w:lang w:bidi="ar"/>
              </w:rPr>
              <w:t>充电模块输入输出连接端子</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31A9DC65">
            <w:pPr>
              <w:ind w:firstLine="560"/>
              <w:rPr>
                <w:szCs w:val="21"/>
              </w:rPr>
            </w:pPr>
            <w:r>
              <w:rPr>
                <w:rFonts w:hint="eastAsia" w:ascii="宋体" w:hAnsi="等线" w:cs="Times New Roman"/>
                <w:caps/>
                <w:szCs w:val="21"/>
                <w:lang w:bidi="ar"/>
              </w:rPr>
              <w:t>50</w:t>
            </w:r>
          </w:p>
        </w:tc>
      </w:tr>
      <w:tr w14:paraId="6F1DE427">
        <w:tblPrEx>
          <w:tblCellMar>
            <w:top w:w="0" w:type="dxa"/>
            <w:left w:w="108" w:type="dxa"/>
            <w:bottom w:w="0" w:type="dxa"/>
            <w:right w:w="108" w:type="dxa"/>
          </w:tblCellMar>
        </w:tblPrEx>
        <w:trPr>
          <w:trHeight w:val="291"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D4653E">
            <w:pPr>
              <w:ind w:firstLine="560"/>
              <w:rPr>
                <w:szCs w:val="21"/>
              </w:rPr>
            </w:pPr>
            <w:r>
              <w:rPr>
                <w:rFonts w:hint="eastAsia" w:ascii="宋体" w:hAnsi="等线" w:cs="Times New Roman"/>
                <w:caps/>
                <w:szCs w:val="21"/>
                <w:lang w:bidi="ar"/>
              </w:rPr>
              <w:t>功率电阻</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6C3CAF4C">
            <w:pPr>
              <w:ind w:firstLine="560"/>
              <w:rPr>
                <w:szCs w:val="21"/>
              </w:rPr>
            </w:pPr>
            <w:r>
              <w:rPr>
                <w:rFonts w:hint="eastAsia" w:ascii="宋体" w:hAnsi="等线" w:cs="Times New Roman"/>
                <w:caps/>
                <w:szCs w:val="21"/>
                <w:lang w:bidi="ar"/>
              </w:rPr>
              <w:t>25（距外表30 mm处空间）</w:t>
            </w:r>
          </w:p>
        </w:tc>
      </w:tr>
      <w:tr w14:paraId="3F5B3ED3">
        <w:tblPrEx>
          <w:tblCellMar>
            <w:top w:w="0" w:type="dxa"/>
            <w:left w:w="108" w:type="dxa"/>
            <w:bottom w:w="0" w:type="dxa"/>
            <w:right w:w="108" w:type="dxa"/>
          </w:tblCellMar>
        </w:tblPrEx>
        <w:trPr>
          <w:trHeight w:val="291"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C69B96">
            <w:pPr>
              <w:ind w:firstLine="560"/>
              <w:rPr>
                <w:szCs w:val="21"/>
              </w:rPr>
            </w:pPr>
            <w:r>
              <w:rPr>
                <w:rFonts w:hint="eastAsia" w:ascii="宋体" w:hAnsi="等线" w:cs="Times New Roman"/>
                <w:caps/>
                <w:szCs w:val="21"/>
                <w:lang w:bidi="ar"/>
              </w:rPr>
              <w:t>电流采样分流器端子连接处</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264BA73B">
            <w:pPr>
              <w:ind w:firstLine="560"/>
              <w:rPr>
                <w:szCs w:val="21"/>
              </w:rPr>
            </w:pPr>
            <w:r>
              <w:rPr>
                <w:rFonts w:hint="eastAsia" w:ascii="宋体" w:hAnsi="等线" w:cs="Times New Roman"/>
                <w:caps/>
                <w:szCs w:val="21"/>
                <w:lang w:bidi="ar"/>
              </w:rPr>
              <w:t>70</w:t>
            </w:r>
          </w:p>
        </w:tc>
      </w:tr>
      <w:tr w14:paraId="38979948">
        <w:tblPrEx>
          <w:tblCellMar>
            <w:top w:w="0" w:type="dxa"/>
            <w:left w:w="108" w:type="dxa"/>
            <w:bottom w:w="0" w:type="dxa"/>
            <w:right w:w="108" w:type="dxa"/>
          </w:tblCellMar>
        </w:tblPrEx>
        <w:trPr>
          <w:trHeight w:val="291"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860DEE">
            <w:pPr>
              <w:ind w:firstLine="560"/>
              <w:rPr>
                <w:szCs w:val="21"/>
              </w:rPr>
            </w:pPr>
            <w:r>
              <w:rPr>
                <w:rFonts w:hint="eastAsia" w:ascii="宋体" w:hAnsi="等线" w:cs="Times New Roman"/>
                <w:caps/>
                <w:szCs w:val="21"/>
                <w:lang w:bidi="ar"/>
              </w:rPr>
              <w:t>熔断器端子连接处</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73D11ECD">
            <w:pPr>
              <w:ind w:firstLine="560"/>
              <w:rPr>
                <w:szCs w:val="21"/>
              </w:rPr>
            </w:pPr>
            <w:r>
              <w:rPr>
                <w:rFonts w:hint="eastAsia" w:ascii="宋体" w:hAnsi="等线" w:cs="Times New Roman"/>
                <w:caps/>
                <w:szCs w:val="21"/>
                <w:lang w:bidi="ar"/>
              </w:rPr>
              <w:t>70</w:t>
            </w:r>
          </w:p>
        </w:tc>
      </w:tr>
      <w:tr w14:paraId="4A815845">
        <w:tblPrEx>
          <w:tblCellMar>
            <w:top w:w="0" w:type="dxa"/>
            <w:left w:w="108" w:type="dxa"/>
            <w:bottom w:w="0" w:type="dxa"/>
            <w:right w:w="108" w:type="dxa"/>
          </w:tblCellMar>
        </w:tblPrEx>
        <w:trPr>
          <w:trHeight w:val="291"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E02DE8">
            <w:pPr>
              <w:ind w:firstLine="560"/>
              <w:rPr>
                <w:szCs w:val="21"/>
              </w:rPr>
            </w:pPr>
            <w:r>
              <w:rPr>
                <w:rFonts w:hint="eastAsia" w:ascii="宋体" w:hAnsi="等线" w:cs="Times New Roman"/>
                <w:caps/>
                <w:szCs w:val="21"/>
                <w:lang w:bidi="ar"/>
              </w:rPr>
              <w:t>直流接触器外壳与极柱</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754DF372">
            <w:pPr>
              <w:ind w:firstLine="560"/>
              <w:rPr>
                <w:szCs w:val="21"/>
              </w:rPr>
            </w:pPr>
            <w:r>
              <w:rPr>
                <w:rFonts w:hint="eastAsia" w:ascii="宋体" w:hAnsi="等线" w:cs="Times New Roman"/>
                <w:caps/>
                <w:szCs w:val="21"/>
                <w:lang w:bidi="ar"/>
              </w:rPr>
              <w:t>50</w:t>
            </w:r>
          </w:p>
        </w:tc>
      </w:tr>
      <w:tr w14:paraId="4845B8D1">
        <w:tblPrEx>
          <w:tblCellMar>
            <w:top w:w="0" w:type="dxa"/>
            <w:left w:w="108" w:type="dxa"/>
            <w:bottom w:w="0" w:type="dxa"/>
            <w:right w:w="108" w:type="dxa"/>
          </w:tblCellMar>
        </w:tblPrEx>
        <w:trPr>
          <w:trHeight w:val="291" w:hRule="atLeast"/>
          <w:jc w:val="center"/>
        </w:trPr>
        <w:tc>
          <w:tcPr>
            <w:tcW w:w="29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2432A5">
            <w:pPr>
              <w:ind w:firstLine="560"/>
              <w:rPr>
                <w:szCs w:val="21"/>
              </w:rPr>
            </w:pPr>
            <w:r>
              <w:rPr>
                <w:rFonts w:hint="eastAsia" w:ascii="宋体" w:hAnsi="等线" w:cs="Times New Roman"/>
                <w:caps/>
                <w:szCs w:val="21"/>
                <w:lang w:bidi="ar"/>
              </w:rPr>
              <w:t>直流输出接线端子</w:t>
            </w:r>
          </w:p>
        </w:tc>
        <w:tc>
          <w:tcPr>
            <w:tcW w:w="2059" w:type="pct"/>
            <w:tcBorders>
              <w:top w:val="single" w:color="000000" w:sz="8" w:space="0"/>
              <w:left w:val="nil"/>
              <w:bottom w:val="single" w:color="000000" w:sz="8" w:space="0"/>
              <w:right w:val="single" w:color="auto" w:sz="4" w:space="0"/>
            </w:tcBorders>
            <w:shd w:val="clear" w:color="auto" w:fill="auto"/>
            <w:vAlign w:val="center"/>
          </w:tcPr>
          <w:p w14:paraId="0AB7CD25">
            <w:pPr>
              <w:ind w:firstLine="560"/>
              <w:rPr>
                <w:szCs w:val="21"/>
              </w:rPr>
            </w:pPr>
            <w:r>
              <w:rPr>
                <w:rFonts w:hint="eastAsia" w:ascii="宋体" w:hAnsi="等线" w:cs="Times New Roman"/>
                <w:caps/>
                <w:szCs w:val="21"/>
                <w:lang w:bidi="ar"/>
              </w:rPr>
              <w:t>50</w:t>
            </w:r>
          </w:p>
        </w:tc>
      </w:tr>
    </w:tbl>
    <w:p w14:paraId="35D0027E">
      <w:pPr>
        <w:pStyle w:val="7"/>
        <w:bidi w:val="0"/>
      </w:pPr>
      <w:r>
        <w:rPr>
          <w:rFonts w:hint="eastAsia"/>
        </w:rPr>
        <w:t>安全要求</w:t>
      </w:r>
    </w:p>
    <w:p w14:paraId="07FC6A14">
      <w:pPr>
        <w:ind w:firstLine="560"/>
        <w:rPr>
          <w:szCs w:val="21"/>
        </w:rPr>
      </w:pPr>
      <w:r>
        <w:rPr>
          <w:rFonts w:hint="eastAsia" w:ascii="宋体" w:hAnsi="等线" w:cs="Times New Roman"/>
          <w:caps/>
          <w:szCs w:val="21"/>
          <w:lang w:bidi="ar"/>
        </w:rPr>
        <w:t>（1）允许温度</w:t>
      </w:r>
    </w:p>
    <w:p w14:paraId="797E2D9F">
      <w:pPr>
        <w:ind w:firstLine="560"/>
        <w:rPr>
          <w:szCs w:val="21"/>
        </w:rPr>
      </w:pPr>
      <w:r>
        <w:rPr>
          <w:rFonts w:hint="eastAsia" w:ascii="宋体" w:hAnsi="等线" w:cs="Times New Roman"/>
          <w:caps/>
          <w:szCs w:val="21"/>
          <w:lang w:bidi="ar"/>
        </w:rPr>
        <w:t>在40℃环境温度下，充电机可用手接触部分允许的最高温度应为：</w:t>
      </w:r>
    </w:p>
    <w:p w14:paraId="78A91AFA">
      <w:pPr>
        <w:ind w:firstLine="560"/>
        <w:rPr>
          <w:szCs w:val="21"/>
        </w:rPr>
      </w:pPr>
      <w:r>
        <w:rPr>
          <w:rFonts w:hint="eastAsia" w:ascii="宋体" w:hAnsi="等线" w:cs="Times New Roman"/>
          <w:caps/>
          <w:szCs w:val="21"/>
          <w:lang w:bidi="ar"/>
        </w:rPr>
        <w:t>——金属部分，50℃；</w:t>
      </w:r>
    </w:p>
    <w:p w14:paraId="0A7CF085">
      <w:pPr>
        <w:ind w:firstLine="560"/>
        <w:rPr>
          <w:szCs w:val="21"/>
        </w:rPr>
      </w:pPr>
      <w:r>
        <w:rPr>
          <w:rFonts w:hint="eastAsia" w:ascii="宋体" w:hAnsi="等线" w:cs="Times New Roman"/>
          <w:caps/>
          <w:szCs w:val="21"/>
          <w:lang w:bidi="ar"/>
        </w:rPr>
        <w:t>——非金属部分，60℃。</w:t>
      </w:r>
    </w:p>
    <w:p w14:paraId="7623CFFE">
      <w:pPr>
        <w:ind w:firstLine="560"/>
        <w:rPr>
          <w:szCs w:val="21"/>
        </w:rPr>
      </w:pPr>
      <w:r>
        <w:rPr>
          <w:rFonts w:hint="eastAsia" w:ascii="宋体" w:hAnsi="等线" w:cs="Times New Roman"/>
          <w:caps/>
          <w:szCs w:val="21"/>
          <w:lang w:bidi="ar"/>
        </w:rPr>
        <w:t>可以用手接触但不必紧握的部分，在同样条件下允许的最高温度应为：</w:t>
      </w:r>
    </w:p>
    <w:p w14:paraId="56EF2D85">
      <w:pPr>
        <w:ind w:firstLine="560"/>
        <w:rPr>
          <w:szCs w:val="21"/>
        </w:rPr>
      </w:pPr>
      <w:r>
        <w:rPr>
          <w:rFonts w:hint="eastAsia" w:ascii="宋体" w:hAnsi="等线" w:cs="Times New Roman"/>
          <w:caps/>
          <w:szCs w:val="21"/>
          <w:lang w:bidi="ar"/>
        </w:rPr>
        <w:t>——金属部分，60℃；</w:t>
      </w:r>
    </w:p>
    <w:p w14:paraId="30B23709">
      <w:pPr>
        <w:ind w:firstLine="560"/>
        <w:rPr>
          <w:szCs w:val="21"/>
        </w:rPr>
      </w:pPr>
      <w:r>
        <w:rPr>
          <w:rFonts w:hint="eastAsia" w:ascii="宋体" w:hAnsi="等线" w:cs="Times New Roman"/>
          <w:caps/>
          <w:szCs w:val="21"/>
          <w:lang w:bidi="ar"/>
        </w:rPr>
        <w:t>——非金属部分，85℃。</w:t>
      </w:r>
    </w:p>
    <w:p w14:paraId="3FF62771">
      <w:pPr>
        <w:ind w:firstLine="560"/>
        <w:rPr>
          <w:szCs w:val="21"/>
        </w:rPr>
      </w:pPr>
      <w:r>
        <w:rPr>
          <w:rFonts w:hint="eastAsia" w:ascii="宋体" w:hAnsi="等线" w:cs="Times New Roman"/>
          <w:caps/>
          <w:szCs w:val="21"/>
          <w:lang w:bidi="ar"/>
        </w:rPr>
        <w:t>（2）电击防护要求</w:t>
      </w:r>
    </w:p>
    <w:p w14:paraId="6153E55A">
      <w:pPr>
        <w:ind w:firstLine="560"/>
        <w:rPr>
          <w:szCs w:val="21"/>
        </w:rPr>
      </w:pPr>
      <w:r>
        <w:rPr>
          <w:rFonts w:hint="eastAsia" w:ascii="宋体" w:hAnsi="等线" w:cs="Times New Roman"/>
          <w:caps/>
          <w:szCs w:val="21"/>
          <w:lang w:bidi="ar"/>
        </w:rPr>
        <w:t>充电机的电击防护应符合GB/T 18487.1-2015中第7章的要求。</w:t>
      </w:r>
    </w:p>
    <w:p w14:paraId="6A929C96">
      <w:pPr>
        <w:ind w:firstLine="560"/>
        <w:rPr>
          <w:szCs w:val="21"/>
        </w:rPr>
      </w:pPr>
      <w:r>
        <w:rPr>
          <w:rFonts w:hint="eastAsia" w:ascii="宋体" w:hAnsi="等线" w:cs="Times New Roman"/>
          <w:caps/>
          <w:szCs w:val="21"/>
          <w:lang w:bidi="ar"/>
        </w:rPr>
        <w:t>（3）电气间隙和爬电距离</w:t>
      </w:r>
    </w:p>
    <w:p w14:paraId="158E201B">
      <w:pPr>
        <w:ind w:firstLine="560"/>
        <w:rPr>
          <w:szCs w:val="21"/>
        </w:rPr>
      </w:pPr>
      <w:r>
        <w:rPr>
          <w:rFonts w:hint="eastAsia" w:ascii="宋体" w:hAnsi="等线" w:cs="Times New Roman"/>
          <w:caps/>
          <w:szCs w:val="21"/>
          <w:lang w:bidi="ar"/>
        </w:rPr>
        <w:t>充电机的电气间隙和爬电距离应符合GB/T 18487.1-2015中10.4节的规定。</w:t>
      </w:r>
    </w:p>
    <w:p w14:paraId="087257B8">
      <w:pPr>
        <w:ind w:firstLine="560"/>
        <w:rPr>
          <w:szCs w:val="21"/>
        </w:rPr>
      </w:pPr>
      <w:r>
        <w:rPr>
          <w:rFonts w:hint="eastAsia" w:ascii="宋体" w:hAnsi="等线" w:cs="Times New Roman"/>
          <w:caps/>
          <w:szCs w:val="21"/>
          <w:lang w:bidi="ar"/>
        </w:rPr>
        <w:t>电气间隙和爬电距离</w:t>
      </w:r>
    </w:p>
    <w:tbl>
      <w:tblPr>
        <w:tblStyle w:val="8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3"/>
        <w:gridCol w:w="2891"/>
        <w:gridCol w:w="3040"/>
      </w:tblGrid>
      <w:tr w14:paraId="127C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tcBorders>
              <w:top w:val="single" w:color="auto" w:sz="4" w:space="0"/>
              <w:left w:val="single" w:color="auto" w:sz="4" w:space="0"/>
              <w:bottom w:val="single" w:color="auto" w:sz="4" w:space="0"/>
              <w:right w:val="single" w:color="auto" w:sz="4" w:space="0"/>
            </w:tcBorders>
            <w:shd w:val="clear" w:color="auto" w:fill="auto"/>
            <w:vAlign w:val="center"/>
          </w:tcPr>
          <w:p w14:paraId="259BF241">
            <w:pPr>
              <w:ind w:firstLine="560"/>
              <w:rPr>
                <w:szCs w:val="21"/>
              </w:rPr>
            </w:pPr>
            <w:bookmarkStart w:id="10" w:name="_Hlk103236953"/>
            <w:r>
              <w:rPr>
                <w:rFonts w:hint="eastAsia" w:ascii="宋体" w:hAnsi="等线" w:cs="Times New Roman"/>
                <w:caps/>
                <w:szCs w:val="21"/>
                <w:lang w:bidi="ar"/>
              </w:rPr>
              <w:t>额定绝缘电压Ui</w:t>
            </w:r>
          </w:p>
          <w:p w14:paraId="6AA97B3B">
            <w:pPr>
              <w:ind w:firstLine="560"/>
              <w:rPr>
                <w:szCs w:val="21"/>
              </w:rPr>
            </w:pPr>
            <w:r>
              <w:rPr>
                <w:rFonts w:hint="eastAsia" w:ascii="宋体" w:hAnsi="等线" w:cs="Times New Roman"/>
                <w:caps/>
                <w:szCs w:val="21"/>
                <w:lang w:bidi="ar"/>
              </w:rPr>
              <w:t>（V）</w:t>
            </w:r>
          </w:p>
        </w:tc>
        <w:tc>
          <w:tcPr>
            <w:tcW w:w="1586" w:type="pct"/>
            <w:tcBorders>
              <w:top w:val="single" w:color="auto" w:sz="4" w:space="0"/>
              <w:left w:val="single" w:color="auto" w:sz="4" w:space="0"/>
              <w:bottom w:val="single" w:color="auto" w:sz="4" w:space="0"/>
              <w:right w:val="single" w:color="auto" w:sz="4" w:space="0"/>
            </w:tcBorders>
            <w:shd w:val="clear" w:color="auto" w:fill="auto"/>
            <w:vAlign w:val="center"/>
          </w:tcPr>
          <w:p w14:paraId="02E97B8D">
            <w:pPr>
              <w:ind w:firstLine="560"/>
              <w:rPr>
                <w:szCs w:val="21"/>
              </w:rPr>
            </w:pPr>
            <w:r>
              <w:rPr>
                <w:rFonts w:hint="eastAsia" w:ascii="宋体" w:hAnsi="等线" w:cs="Times New Roman"/>
                <w:caps/>
                <w:szCs w:val="21"/>
                <w:lang w:bidi="ar"/>
              </w:rPr>
              <w:t>电气间隙</w:t>
            </w:r>
          </w:p>
          <w:p w14:paraId="52358007">
            <w:pPr>
              <w:ind w:firstLine="560"/>
              <w:rPr>
                <w:szCs w:val="21"/>
              </w:rPr>
            </w:pPr>
            <w:r>
              <w:rPr>
                <w:rFonts w:hint="eastAsia" w:ascii="宋体" w:hAnsi="等线" w:cs="Times New Roman"/>
                <w:caps/>
                <w:szCs w:val="21"/>
                <w:lang w:bidi="ar"/>
              </w:rPr>
              <w:t>（mm）</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697D6209">
            <w:pPr>
              <w:ind w:firstLine="560"/>
              <w:rPr>
                <w:szCs w:val="21"/>
              </w:rPr>
            </w:pPr>
            <w:r>
              <w:rPr>
                <w:rFonts w:hint="eastAsia" w:ascii="宋体" w:hAnsi="等线" w:cs="Times New Roman"/>
                <w:caps/>
                <w:szCs w:val="21"/>
                <w:lang w:bidi="ar"/>
              </w:rPr>
              <w:t>爬电距离</w:t>
            </w:r>
          </w:p>
          <w:p w14:paraId="0A26EDC8">
            <w:pPr>
              <w:ind w:firstLine="560"/>
              <w:rPr>
                <w:szCs w:val="21"/>
              </w:rPr>
            </w:pPr>
            <w:r>
              <w:rPr>
                <w:rFonts w:hint="eastAsia" w:ascii="宋体" w:hAnsi="等线" w:cs="Times New Roman"/>
                <w:caps/>
                <w:szCs w:val="21"/>
                <w:lang w:bidi="ar"/>
              </w:rPr>
              <w:t>（mm）</w:t>
            </w:r>
          </w:p>
        </w:tc>
      </w:tr>
      <w:tr w14:paraId="151A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746" w:type="pct"/>
            <w:tcBorders>
              <w:top w:val="single" w:color="auto" w:sz="4" w:space="0"/>
              <w:left w:val="single" w:color="auto" w:sz="4" w:space="0"/>
              <w:bottom w:val="single" w:color="auto" w:sz="4" w:space="0"/>
              <w:right w:val="single" w:color="auto" w:sz="4" w:space="0"/>
            </w:tcBorders>
            <w:shd w:val="clear" w:color="auto" w:fill="auto"/>
            <w:vAlign w:val="center"/>
          </w:tcPr>
          <w:p w14:paraId="57899C30">
            <w:pPr>
              <w:ind w:firstLine="560"/>
              <w:rPr>
                <w:szCs w:val="21"/>
              </w:rPr>
            </w:pPr>
            <w:r>
              <w:rPr>
                <w:rFonts w:hint="eastAsia" w:ascii="宋体" w:hAnsi="等线" w:cs="Times New Roman"/>
                <w:caps/>
                <w:szCs w:val="21"/>
                <w:lang w:bidi="ar"/>
              </w:rPr>
              <w:t>Ui≤60</w:t>
            </w:r>
          </w:p>
        </w:tc>
        <w:tc>
          <w:tcPr>
            <w:tcW w:w="1586" w:type="pct"/>
            <w:tcBorders>
              <w:top w:val="single" w:color="auto" w:sz="4" w:space="0"/>
              <w:left w:val="single" w:color="auto" w:sz="4" w:space="0"/>
              <w:bottom w:val="single" w:color="auto" w:sz="4" w:space="0"/>
              <w:right w:val="single" w:color="auto" w:sz="4" w:space="0"/>
            </w:tcBorders>
            <w:shd w:val="clear" w:color="auto" w:fill="auto"/>
            <w:vAlign w:val="center"/>
          </w:tcPr>
          <w:p w14:paraId="5539B58D">
            <w:pPr>
              <w:ind w:firstLine="560"/>
              <w:rPr>
                <w:szCs w:val="21"/>
              </w:rPr>
            </w:pPr>
            <w:r>
              <w:rPr>
                <w:rFonts w:hint="eastAsia" w:ascii="宋体" w:hAnsi="等线" w:cs="Times New Roman"/>
                <w:caps/>
                <w:szCs w:val="21"/>
                <w:lang w:bidi="ar"/>
              </w:rPr>
              <w:t>3.0</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21F6D371">
            <w:pPr>
              <w:ind w:firstLine="560"/>
              <w:rPr>
                <w:szCs w:val="21"/>
              </w:rPr>
            </w:pPr>
            <w:r>
              <w:rPr>
                <w:rFonts w:hint="eastAsia" w:ascii="宋体" w:hAnsi="等线" w:cs="Times New Roman"/>
                <w:caps/>
                <w:szCs w:val="21"/>
                <w:lang w:bidi="ar"/>
              </w:rPr>
              <w:t>3.0</w:t>
            </w:r>
          </w:p>
        </w:tc>
      </w:tr>
      <w:tr w14:paraId="2065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46" w:type="pct"/>
            <w:tcBorders>
              <w:top w:val="single" w:color="auto" w:sz="4" w:space="0"/>
              <w:left w:val="single" w:color="auto" w:sz="4" w:space="0"/>
              <w:bottom w:val="single" w:color="auto" w:sz="4" w:space="0"/>
              <w:right w:val="single" w:color="auto" w:sz="4" w:space="0"/>
            </w:tcBorders>
            <w:shd w:val="clear" w:color="auto" w:fill="auto"/>
            <w:vAlign w:val="center"/>
          </w:tcPr>
          <w:p w14:paraId="2F271353">
            <w:pPr>
              <w:ind w:firstLine="560"/>
              <w:rPr>
                <w:szCs w:val="21"/>
              </w:rPr>
            </w:pPr>
            <w:r>
              <w:rPr>
                <w:rFonts w:hint="eastAsia" w:ascii="宋体" w:hAnsi="等线" w:cs="Times New Roman"/>
                <w:caps/>
                <w:szCs w:val="21"/>
                <w:lang w:bidi="ar"/>
              </w:rPr>
              <w:t>60＜Ui≤300</w:t>
            </w:r>
          </w:p>
        </w:tc>
        <w:tc>
          <w:tcPr>
            <w:tcW w:w="1586" w:type="pct"/>
            <w:tcBorders>
              <w:top w:val="single" w:color="auto" w:sz="4" w:space="0"/>
              <w:left w:val="single" w:color="auto" w:sz="4" w:space="0"/>
              <w:bottom w:val="single" w:color="auto" w:sz="4" w:space="0"/>
              <w:right w:val="single" w:color="auto" w:sz="4" w:space="0"/>
            </w:tcBorders>
            <w:shd w:val="clear" w:color="auto" w:fill="auto"/>
            <w:vAlign w:val="center"/>
          </w:tcPr>
          <w:p w14:paraId="091D272E">
            <w:pPr>
              <w:ind w:firstLine="560"/>
              <w:rPr>
                <w:szCs w:val="21"/>
              </w:rPr>
            </w:pPr>
            <w:r>
              <w:rPr>
                <w:rFonts w:hint="eastAsia" w:ascii="宋体" w:hAnsi="等线" w:cs="Times New Roman"/>
                <w:caps/>
                <w:szCs w:val="21"/>
                <w:lang w:bidi="ar"/>
              </w:rPr>
              <w:t>5.0</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3E74C2E3">
            <w:pPr>
              <w:ind w:firstLine="560"/>
              <w:rPr>
                <w:szCs w:val="21"/>
              </w:rPr>
            </w:pPr>
            <w:r>
              <w:rPr>
                <w:rFonts w:hint="eastAsia" w:ascii="宋体" w:hAnsi="等线" w:cs="Times New Roman"/>
                <w:caps/>
                <w:szCs w:val="21"/>
                <w:lang w:bidi="ar"/>
              </w:rPr>
              <w:t>6.0</w:t>
            </w:r>
          </w:p>
        </w:tc>
      </w:tr>
      <w:tr w14:paraId="27D2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46" w:type="pct"/>
            <w:tcBorders>
              <w:top w:val="single" w:color="auto" w:sz="4" w:space="0"/>
              <w:left w:val="single" w:color="auto" w:sz="4" w:space="0"/>
              <w:bottom w:val="single" w:color="auto" w:sz="4" w:space="0"/>
              <w:right w:val="single" w:color="auto" w:sz="4" w:space="0"/>
            </w:tcBorders>
            <w:shd w:val="clear" w:color="auto" w:fill="auto"/>
            <w:vAlign w:val="center"/>
          </w:tcPr>
          <w:p w14:paraId="6B5295FF">
            <w:pPr>
              <w:ind w:firstLine="560"/>
              <w:rPr>
                <w:szCs w:val="21"/>
              </w:rPr>
            </w:pPr>
            <w:r>
              <w:rPr>
                <w:rFonts w:hint="eastAsia" w:ascii="宋体" w:hAnsi="等线" w:cs="Times New Roman"/>
                <w:caps/>
                <w:szCs w:val="21"/>
                <w:lang w:bidi="ar"/>
              </w:rPr>
              <w:t>300＜Ui≤700</w:t>
            </w:r>
          </w:p>
        </w:tc>
        <w:tc>
          <w:tcPr>
            <w:tcW w:w="1586" w:type="pct"/>
            <w:tcBorders>
              <w:top w:val="single" w:color="auto" w:sz="4" w:space="0"/>
              <w:left w:val="single" w:color="auto" w:sz="4" w:space="0"/>
              <w:bottom w:val="single" w:color="auto" w:sz="4" w:space="0"/>
              <w:right w:val="single" w:color="auto" w:sz="4" w:space="0"/>
            </w:tcBorders>
            <w:shd w:val="clear" w:color="auto" w:fill="auto"/>
            <w:vAlign w:val="center"/>
          </w:tcPr>
          <w:p w14:paraId="5A514ABA">
            <w:pPr>
              <w:ind w:firstLine="560"/>
              <w:rPr>
                <w:szCs w:val="21"/>
              </w:rPr>
            </w:pPr>
            <w:r>
              <w:rPr>
                <w:rFonts w:hint="eastAsia" w:ascii="宋体" w:hAnsi="等线" w:cs="Times New Roman"/>
                <w:caps/>
                <w:szCs w:val="21"/>
                <w:lang w:bidi="ar"/>
              </w:rPr>
              <w:t>8.0</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7BAC9B68">
            <w:pPr>
              <w:ind w:firstLine="560"/>
              <w:rPr>
                <w:szCs w:val="21"/>
              </w:rPr>
            </w:pPr>
            <w:r>
              <w:rPr>
                <w:rFonts w:hint="eastAsia" w:ascii="宋体" w:hAnsi="等线" w:cs="Times New Roman"/>
                <w:caps/>
                <w:szCs w:val="21"/>
                <w:lang w:bidi="ar"/>
              </w:rPr>
              <w:t>10.0</w:t>
            </w:r>
          </w:p>
        </w:tc>
      </w:tr>
      <w:tr w14:paraId="6F3F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46" w:type="pct"/>
            <w:tcBorders>
              <w:top w:val="single" w:color="auto" w:sz="4" w:space="0"/>
              <w:left w:val="single" w:color="auto" w:sz="4" w:space="0"/>
              <w:bottom w:val="single" w:color="auto" w:sz="4" w:space="0"/>
              <w:right w:val="single" w:color="auto" w:sz="4" w:space="0"/>
            </w:tcBorders>
            <w:shd w:val="clear" w:color="auto" w:fill="auto"/>
            <w:vAlign w:val="center"/>
          </w:tcPr>
          <w:p w14:paraId="5F6E1777">
            <w:pPr>
              <w:ind w:firstLine="560"/>
              <w:rPr>
                <w:szCs w:val="21"/>
              </w:rPr>
            </w:pPr>
            <w:r>
              <w:rPr>
                <w:rFonts w:hint="eastAsia" w:ascii="宋体" w:hAnsi="等线" w:cs="Times New Roman"/>
                <w:caps/>
                <w:szCs w:val="21"/>
                <w:lang w:bidi="ar"/>
              </w:rPr>
              <w:t>700＜Ui≤950</w:t>
            </w:r>
          </w:p>
        </w:tc>
        <w:tc>
          <w:tcPr>
            <w:tcW w:w="1586" w:type="pct"/>
            <w:tcBorders>
              <w:top w:val="single" w:color="auto" w:sz="4" w:space="0"/>
              <w:left w:val="single" w:color="auto" w:sz="4" w:space="0"/>
              <w:bottom w:val="single" w:color="auto" w:sz="4" w:space="0"/>
              <w:right w:val="single" w:color="auto" w:sz="4" w:space="0"/>
            </w:tcBorders>
            <w:shd w:val="clear" w:color="auto" w:fill="auto"/>
            <w:vAlign w:val="center"/>
          </w:tcPr>
          <w:p w14:paraId="1D870C65">
            <w:pPr>
              <w:ind w:firstLine="560"/>
              <w:rPr>
                <w:szCs w:val="21"/>
              </w:rPr>
            </w:pPr>
            <w:r>
              <w:rPr>
                <w:rFonts w:hint="eastAsia" w:ascii="宋体" w:hAnsi="等线" w:cs="Times New Roman"/>
                <w:caps/>
                <w:szCs w:val="21"/>
                <w:lang w:bidi="ar"/>
              </w:rPr>
              <w:t>14.0</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60F34233">
            <w:pPr>
              <w:ind w:firstLine="560"/>
              <w:rPr>
                <w:szCs w:val="21"/>
              </w:rPr>
            </w:pPr>
            <w:r>
              <w:rPr>
                <w:rFonts w:hint="eastAsia" w:ascii="宋体" w:hAnsi="等线" w:cs="Times New Roman"/>
                <w:caps/>
                <w:szCs w:val="21"/>
                <w:lang w:bidi="ar"/>
              </w:rPr>
              <w:t>16.0</w:t>
            </w:r>
          </w:p>
        </w:tc>
      </w:tr>
      <w:tr w14:paraId="2F58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C2343C">
            <w:pPr>
              <w:ind w:firstLine="560"/>
              <w:rPr>
                <w:szCs w:val="21"/>
              </w:rPr>
            </w:pPr>
            <w:r>
              <w:rPr>
                <w:rFonts w:hint="eastAsia" w:ascii="宋体" w:hAnsi="等线" w:cs="Times New Roman"/>
                <w:caps/>
                <w:szCs w:val="21"/>
                <w:lang w:bidi="ar"/>
              </w:rPr>
              <w:t>注1：当主电路与控制电路或辅助电路的额定绝缘电压不一致时，其电气间隙和爬电距离可分别按其额定值选取。</w:t>
            </w:r>
          </w:p>
          <w:p w14:paraId="595AD9E8">
            <w:pPr>
              <w:ind w:firstLine="560"/>
              <w:rPr>
                <w:szCs w:val="21"/>
              </w:rPr>
            </w:pPr>
            <w:r>
              <w:rPr>
                <w:rFonts w:hint="eastAsia" w:ascii="宋体" w:hAnsi="等线" w:cs="Times New Roman"/>
                <w:caps/>
                <w:szCs w:val="21"/>
                <w:lang w:bidi="ar"/>
              </w:rPr>
              <w:t>注2：具有不同额定值主电路或控制电路导电部分之间的电气间隙与爬电距离，应按最高额定绝缘电压选取。</w:t>
            </w:r>
          </w:p>
          <w:p w14:paraId="0D6679B8">
            <w:pPr>
              <w:ind w:firstLine="560"/>
              <w:rPr>
                <w:szCs w:val="21"/>
              </w:rPr>
            </w:pPr>
            <w:r>
              <w:rPr>
                <w:rFonts w:hint="eastAsia" w:ascii="宋体" w:hAnsi="等线" w:cs="Times New Roman"/>
                <w:caps/>
                <w:szCs w:val="21"/>
                <w:lang w:bidi="ar"/>
              </w:rPr>
              <w:t>注3：小母线、汇流排或不同级的裸露的带电导体之间，以及裸露的带电导体与未经绝缘的不带电导体之间的电气间隙不小于14mm，爬电距离不小于20mm。</w:t>
            </w:r>
          </w:p>
        </w:tc>
      </w:tr>
      <w:bookmarkEnd w:id="10"/>
    </w:tbl>
    <w:p w14:paraId="65983997">
      <w:pPr>
        <w:ind w:firstLine="560"/>
        <w:rPr>
          <w:szCs w:val="21"/>
        </w:rPr>
      </w:pPr>
      <w:r>
        <w:rPr>
          <w:rFonts w:hint="eastAsia" w:ascii="宋体" w:hAnsi="等线" w:cs="Times New Roman"/>
          <w:caps/>
          <w:szCs w:val="21"/>
          <w:lang w:bidi="ar"/>
        </w:rPr>
        <w:t>（4）接地要求</w:t>
      </w:r>
    </w:p>
    <w:p w14:paraId="1BE6450D">
      <w:pPr>
        <w:ind w:firstLine="560"/>
        <w:rPr>
          <w:szCs w:val="21"/>
        </w:rPr>
      </w:pPr>
      <w:r>
        <w:rPr>
          <w:rFonts w:hint="eastAsia" w:ascii="宋体" w:hAnsi="等线" w:cs="Times New Roman"/>
          <w:caps/>
          <w:szCs w:val="21"/>
          <w:lang w:bidi="ar"/>
        </w:rPr>
        <w:t>充电机的接地要求应能满足以下的规定：</w:t>
      </w:r>
    </w:p>
    <w:p w14:paraId="6BF3CC7A">
      <w:pPr>
        <w:ind w:firstLine="560"/>
        <w:rPr>
          <w:szCs w:val="21"/>
        </w:rPr>
      </w:pPr>
      <w:r>
        <w:rPr>
          <w:rFonts w:hint="eastAsia" w:ascii="宋体" w:hAnsi="等线" w:cs="Times New Roman"/>
          <w:caps/>
          <w:szCs w:val="21"/>
          <w:lang w:bidi="ar"/>
        </w:rPr>
        <w:t>充电机金属壳体应设置接地螺栓，其直径不得小于6mm，并应有接地标志。</w:t>
      </w:r>
    </w:p>
    <w:p w14:paraId="02F84C7A">
      <w:pPr>
        <w:ind w:firstLine="560"/>
        <w:rPr>
          <w:szCs w:val="21"/>
        </w:rPr>
      </w:pPr>
      <w:r>
        <w:rPr>
          <w:rFonts w:hint="eastAsia" w:ascii="宋体" w:hAnsi="等线" w:cs="Times New Roman"/>
          <w:caps/>
          <w:szCs w:val="21"/>
          <w:lang w:bidi="ar"/>
        </w:rPr>
        <w:t>所有作为隔离带电导体的金属隔板、电气元件的金属外壳以及金属手柄等均应有效接地，连续性电阻不应大于0.1Ω。</w:t>
      </w:r>
    </w:p>
    <w:p w14:paraId="0A9A8405">
      <w:pPr>
        <w:ind w:firstLine="560"/>
        <w:rPr>
          <w:szCs w:val="21"/>
        </w:rPr>
      </w:pPr>
      <w:r>
        <w:rPr>
          <w:rFonts w:hint="eastAsia" w:ascii="宋体" w:hAnsi="等线" w:cs="Times New Roman"/>
          <w:caps/>
          <w:szCs w:val="21"/>
          <w:lang w:bidi="ar"/>
        </w:rPr>
        <w:t>充电机的门、盖板、覆板和类似部件，应采用保护导体将这些部件和充电机主体框架连接，此保护导体的截面积不得小于2.5mm²。</w:t>
      </w:r>
    </w:p>
    <w:p w14:paraId="64C760EC">
      <w:pPr>
        <w:ind w:firstLine="560"/>
        <w:rPr>
          <w:szCs w:val="21"/>
        </w:rPr>
      </w:pPr>
      <w:r>
        <w:rPr>
          <w:rFonts w:hint="eastAsia" w:ascii="宋体" w:hAnsi="等线" w:cs="Times New Roman"/>
          <w:caps/>
          <w:szCs w:val="21"/>
          <w:lang w:bidi="ar"/>
        </w:rPr>
        <w:t>接地母线和柜体之间的所有连接应躲开（或穿透绝缘层）喷漆层，以保证有效的电气连接。</w:t>
      </w:r>
    </w:p>
    <w:p w14:paraId="4FDE3BE7">
      <w:pPr>
        <w:ind w:firstLine="560"/>
        <w:rPr>
          <w:szCs w:val="21"/>
        </w:rPr>
      </w:pPr>
      <w:r>
        <w:rPr>
          <w:rFonts w:hint="eastAsia" w:ascii="宋体" w:hAnsi="等线" w:cs="Times New Roman"/>
          <w:caps/>
          <w:szCs w:val="21"/>
          <w:lang w:bidi="ar"/>
        </w:rPr>
        <w:t>（5）超温断电要求</w:t>
      </w:r>
    </w:p>
    <w:p w14:paraId="1BACF957">
      <w:pPr>
        <w:ind w:firstLine="560"/>
        <w:rPr>
          <w:szCs w:val="21"/>
        </w:rPr>
      </w:pPr>
      <w:r>
        <w:rPr>
          <w:rFonts w:hint="eastAsia" w:ascii="宋体" w:hAnsi="等线" w:cs="Times New Roman"/>
          <w:caps/>
          <w:szCs w:val="21"/>
          <w:lang w:bidi="ar"/>
        </w:rPr>
        <w:t>要求充电终端带有超温断电功能及枪头温度信号采样点，提升设施防护安全性。</w:t>
      </w:r>
    </w:p>
    <w:p w14:paraId="55E65213">
      <w:pPr>
        <w:ind w:firstLine="560"/>
        <w:rPr>
          <w:szCs w:val="21"/>
        </w:rPr>
      </w:pPr>
      <w:r>
        <w:rPr>
          <w:rFonts w:hint="eastAsia" w:ascii="宋体" w:hAnsi="等线" w:cs="Times New Roman"/>
          <w:caps/>
          <w:szCs w:val="21"/>
          <w:lang w:bidi="ar"/>
        </w:rPr>
        <w:t>当确认充电枪头温度达到90℃两分钟后，充电机限制输出电流为当前直流电表检测值的90%；</w:t>
      </w:r>
    </w:p>
    <w:p w14:paraId="7FE78A13">
      <w:pPr>
        <w:ind w:firstLine="560"/>
        <w:rPr>
          <w:szCs w:val="21"/>
        </w:rPr>
      </w:pPr>
      <w:r>
        <w:rPr>
          <w:rFonts w:hint="eastAsia" w:ascii="宋体" w:hAnsi="等线" w:cs="Times New Roman"/>
          <w:caps/>
          <w:szCs w:val="21"/>
          <w:lang w:bidi="ar"/>
        </w:rPr>
        <w:t>当确认充电枪头温度达到95℃两分钟后，充电机限制输出电流为当前直流电表检测值的80%；</w:t>
      </w:r>
    </w:p>
    <w:p w14:paraId="70A8FFAC">
      <w:pPr>
        <w:ind w:firstLine="560"/>
        <w:rPr>
          <w:szCs w:val="21"/>
        </w:rPr>
      </w:pPr>
      <w:r>
        <w:rPr>
          <w:rFonts w:hint="eastAsia" w:ascii="宋体" w:hAnsi="等线" w:cs="Times New Roman"/>
          <w:caps/>
          <w:szCs w:val="21"/>
          <w:lang w:bidi="ar"/>
        </w:rPr>
        <w:t>当确认充电枪头温度达到100℃两分钟后，充电机限制输出电流为当前直流电表检测值的70%；</w:t>
      </w:r>
    </w:p>
    <w:p w14:paraId="1E656498">
      <w:pPr>
        <w:ind w:firstLine="560"/>
        <w:rPr>
          <w:szCs w:val="21"/>
        </w:rPr>
      </w:pPr>
      <w:r>
        <w:rPr>
          <w:rFonts w:hint="eastAsia" w:ascii="宋体" w:hAnsi="等线" w:cs="Times New Roman"/>
          <w:caps/>
          <w:szCs w:val="21"/>
          <w:lang w:bidi="ar"/>
        </w:rPr>
        <w:t>当确认充电枪头温度达到110℃两秒钟后，充电机应能发出过温故障报警信号。</w:t>
      </w:r>
    </w:p>
    <w:p w14:paraId="32D0DF7B">
      <w:pPr>
        <w:ind w:firstLine="560"/>
        <w:rPr>
          <w:szCs w:val="21"/>
        </w:rPr>
      </w:pPr>
      <w:r>
        <w:rPr>
          <w:rFonts w:hint="eastAsia" w:ascii="宋体" w:hAnsi="等线" w:cs="Times New Roman"/>
          <w:caps/>
          <w:szCs w:val="21"/>
          <w:lang w:bidi="ar"/>
        </w:rPr>
        <w:t>（6）电气隔离性能</w:t>
      </w:r>
    </w:p>
    <w:p w14:paraId="121A375F">
      <w:pPr>
        <w:ind w:firstLine="560"/>
        <w:rPr>
          <w:szCs w:val="21"/>
        </w:rPr>
      </w:pPr>
      <w:r>
        <w:rPr>
          <w:rFonts w:hint="eastAsia" w:ascii="宋体" w:hAnsi="等线" w:cs="Times New Roman"/>
          <w:caps/>
          <w:szCs w:val="21"/>
          <w:lang w:bidi="ar"/>
        </w:rPr>
        <w:t>充电机的动力电源输入和直流输出之间应采取电气隔离防护措施：对于一机多充式充电机，各直流输出接口之间也应采取电气隔离防护措施。</w:t>
      </w:r>
    </w:p>
    <w:p w14:paraId="12CAE825">
      <w:pPr>
        <w:pStyle w:val="7"/>
        <w:bidi w:val="0"/>
      </w:pPr>
      <w:r>
        <w:rPr>
          <w:rFonts w:hint="eastAsia"/>
        </w:rPr>
        <w:t>电气绝缘性能</w:t>
      </w:r>
    </w:p>
    <w:p w14:paraId="0D388280">
      <w:pPr>
        <w:ind w:firstLine="562"/>
        <w:rPr>
          <w:b/>
          <w:bCs/>
          <w:szCs w:val="21"/>
        </w:rPr>
      </w:pPr>
      <w:r>
        <w:rPr>
          <w:rFonts w:hint="eastAsia" w:ascii="宋体" w:hAnsi="等线" w:cs="Times New Roman"/>
          <w:b/>
          <w:bCs/>
          <w:caps/>
          <w:szCs w:val="21"/>
          <w:lang w:bidi="ar"/>
        </w:rPr>
        <w:t>（1）绝缘电阻</w:t>
      </w:r>
    </w:p>
    <w:p w14:paraId="4BF31EAC">
      <w:pPr>
        <w:ind w:firstLine="560"/>
        <w:rPr>
          <w:szCs w:val="21"/>
        </w:rPr>
      </w:pPr>
      <w:r>
        <w:rPr>
          <w:rFonts w:hint="eastAsia" w:ascii="宋体" w:hAnsi="等线" w:cs="Times New Roman"/>
          <w:caps/>
          <w:szCs w:val="21"/>
          <w:lang w:bidi="ar"/>
        </w:rPr>
        <w:t>用开路电压为下表规定电压的测试仪器测量，充电机非电气连接的各带电回路之间、各独立带电回路与地（金属外壳）之间绝缘电阻不应小于10MΩ。</w:t>
      </w:r>
    </w:p>
    <w:p w14:paraId="48EC92D6">
      <w:pPr>
        <w:ind w:firstLine="562"/>
        <w:rPr>
          <w:b/>
          <w:bCs/>
          <w:szCs w:val="21"/>
        </w:rPr>
      </w:pPr>
      <w:r>
        <w:rPr>
          <w:rFonts w:hint="eastAsia" w:ascii="宋体" w:hAnsi="等线" w:cs="Times New Roman"/>
          <w:b/>
          <w:bCs/>
          <w:caps/>
          <w:szCs w:val="21"/>
          <w:lang w:bidi="ar"/>
        </w:rPr>
        <w:t>（2）介电强度</w:t>
      </w:r>
    </w:p>
    <w:p w14:paraId="36C9FA3A">
      <w:pPr>
        <w:ind w:firstLine="560"/>
        <w:rPr>
          <w:szCs w:val="21"/>
        </w:rPr>
      </w:pPr>
      <w:r>
        <w:rPr>
          <w:rFonts w:hint="eastAsia" w:ascii="宋体" w:hAnsi="等线" w:cs="Times New Roman"/>
          <w:caps/>
          <w:szCs w:val="21"/>
          <w:lang w:bidi="ar"/>
        </w:rPr>
        <w:t>充电机非电气连接的各带电回路之间、各独立带电回路与地（金属外壳）之间，按其工作电压应能承受下表所规定历时1 min的工频耐压试验（也可采用直流电压，试验电压为交流电压有效值的1.4倍）。试验过程中应无绝缘击穿和闪络现象。</w:t>
      </w:r>
    </w:p>
    <w:p w14:paraId="7D915EC7">
      <w:pPr>
        <w:ind w:firstLine="562"/>
        <w:rPr>
          <w:b/>
          <w:bCs/>
          <w:szCs w:val="21"/>
        </w:rPr>
      </w:pPr>
      <w:r>
        <w:rPr>
          <w:rFonts w:hint="eastAsia" w:ascii="宋体" w:hAnsi="等线" w:cs="Times New Roman"/>
          <w:b/>
          <w:bCs/>
          <w:caps/>
          <w:szCs w:val="21"/>
          <w:lang w:bidi="ar"/>
        </w:rPr>
        <w:t>（3）冲击电压</w:t>
      </w:r>
    </w:p>
    <w:p w14:paraId="4CEE0515">
      <w:pPr>
        <w:ind w:firstLine="560"/>
        <w:rPr>
          <w:szCs w:val="21"/>
        </w:rPr>
      </w:pPr>
      <w:r>
        <w:rPr>
          <w:rFonts w:hint="eastAsia" w:ascii="宋体" w:hAnsi="等线" w:cs="Times New Roman"/>
          <w:caps/>
          <w:szCs w:val="21"/>
          <w:lang w:bidi="ar"/>
        </w:rPr>
        <w:t>充电机各带电回路、各带电电路对地（金属外壳）之间，按其工作电压应能承受下表所规定标准雷电波的短时冲击电压试验。试验过程中应无击穿放电。</w:t>
      </w:r>
    </w:p>
    <w:p w14:paraId="6245DC28">
      <w:pPr>
        <w:ind w:firstLine="560"/>
        <w:rPr>
          <w:szCs w:val="21"/>
        </w:rPr>
      </w:pPr>
      <w:r>
        <w:rPr>
          <w:rFonts w:hint="eastAsia" w:ascii="宋体" w:hAnsi="等线" w:cs="Times New Roman"/>
          <w:caps/>
          <w:szCs w:val="21"/>
          <w:lang w:bidi="ar"/>
        </w:rPr>
        <w:t>绝缘试验的试验等级</w:t>
      </w:r>
    </w:p>
    <w:tbl>
      <w:tblPr>
        <w:tblStyle w:val="8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878"/>
        <w:gridCol w:w="3011"/>
        <w:gridCol w:w="2159"/>
        <w:gridCol w:w="1962"/>
      </w:tblGrid>
      <w:tr w14:paraId="64F6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1042" w:type="pct"/>
            <w:tcBorders>
              <w:top w:val="single" w:color="auto" w:sz="4" w:space="0"/>
              <w:left w:val="single" w:color="auto" w:sz="4" w:space="0"/>
              <w:bottom w:val="single" w:color="auto" w:sz="4" w:space="0"/>
              <w:right w:val="single" w:color="auto" w:sz="4" w:space="0"/>
            </w:tcBorders>
            <w:shd w:val="clear" w:color="auto" w:fill="auto"/>
            <w:vAlign w:val="center"/>
          </w:tcPr>
          <w:p w14:paraId="2D1BC918">
            <w:pPr>
              <w:spacing w:line="240" w:lineRule="auto"/>
              <w:jc w:val="center"/>
              <w:rPr>
                <w:szCs w:val="21"/>
              </w:rPr>
            </w:pPr>
            <w:r>
              <w:rPr>
                <w:rFonts w:hint="eastAsia" w:ascii="宋体" w:hAnsi="等线" w:cs="Times New Roman"/>
                <w:caps/>
                <w:szCs w:val="21"/>
                <w:lang w:bidi="ar"/>
              </w:rPr>
              <w:t>额定绝缘电压Ui（V）</w:t>
            </w:r>
          </w:p>
        </w:tc>
        <w:tc>
          <w:tcPr>
            <w:tcW w:w="1671" w:type="pct"/>
            <w:tcBorders>
              <w:top w:val="single" w:color="auto" w:sz="4" w:space="0"/>
              <w:left w:val="single" w:color="auto" w:sz="4" w:space="0"/>
              <w:bottom w:val="single" w:color="auto" w:sz="4" w:space="0"/>
              <w:right w:val="single" w:color="auto" w:sz="4" w:space="0"/>
            </w:tcBorders>
            <w:shd w:val="clear" w:color="auto" w:fill="auto"/>
            <w:vAlign w:val="center"/>
          </w:tcPr>
          <w:p w14:paraId="1DFE5A0A">
            <w:pPr>
              <w:spacing w:line="240" w:lineRule="auto"/>
              <w:jc w:val="center"/>
              <w:rPr>
                <w:szCs w:val="21"/>
              </w:rPr>
            </w:pPr>
            <w:r>
              <w:rPr>
                <w:rFonts w:hint="eastAsia" w:ascii="宋体" w:hAnsi="等线" w:cs="Times New Roman"/>
                <w:caps/>
                <w:szCs w:val="21"/>
                <w:lang w:bidi="ar"/>
              </w:rPr>
              <w:t>绝缘电阻测试仪器的电压等级（V）</w:t>
            </w:r>
          </w:p>
        </w:tc>
        <w:tc>
          <w:tcPr>
            <w:tcW w:w="1198" w:type="pct"/>
            <w:tcBorders>
              <w:top w:val="single" w:color="auto" w:sz="4" w:space="0"/>
              <w:left w:val="single" w:color="auto" w:sz="4" w:space="0"/>
              <w:bottom w:val="single" w:color="auto" w:sz="4" w:space="0"/>
              <w:right w:val="single" w:color="auto" w:sz="4" w:space="0"/>
            </w:tcBorders>
            <w:shd w:val="clear" w:color="auto" w:fill="auto"/>
            <w:vAlign w:val="center"/>
          </w:tcPr>
          <w:p w14:paraId="41D0ED93">
            <w:pPr>
              <w:spacing w:line="240" w:lineRule="auto"/>
              <w:jc w:val="center"/>
              <w:rPr>
                <w:szCs w:val="21"/>
              </w:rPr>
            </w:pPr>
            <w:r>
              <w:rPr>
                <w:rFonts w:hint="eastAsia" w:ascii="宋体" w:hAnsi="等线" w:cs="Times New Roman"/>
                <w:caps/>
                <w:szCs w:val="21"/>
                <w:lang w:bidi="ar"/>
              </w:rPr>
              <w:t>工频耐压试验电压（kV）</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14:paraId="0737063C">
            <w:pPr>
              <w:spacing w:line="240" w:lineRule="auto"/>
              <w:jc w:val="center"/>
              <w:rPr>
                <w:szCs w:val="21"/>
              </w:rPr>
            </w:pPr>
            <w:r>
              <w:rPr>
                <w:rFonts w:hint="eastAsia" w:ascii="宋体" w:hAnsi="等线" w:cs="Times New Roman"/>
                <w:caps/>
                <w:szCs w:val="21"/>
                <w:lang w:bidi="ar"/>
              </w:rPr>
              <w:t>冲击耐压试验电压（kV）</w:t>
            </w:r>
          </w:p>
        </w:tc>
      </w:tr>
      <w:tr w14:paraId="62B1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 w:hRule="atLeast"/>
          <w:jc w:val="center"/>
        </w:trPr>
        <w:tc>
          <w:tcPr>
            <w:tcW w:w="104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D02FC0F">
            <w:pPr>
              <w:spacing w:line="240" w:lineRule="auto"/>
              <w:jc w:val="center"/>
              <w:rPr>
                <w:szCs w:val="21"/>
              </w:rPr>
            </w:pPr>
            <w:r>
              <w:rPr>
                <w:rFonts w:hint="eastAsia" w:ascii="宋体" w:hAnsi="等线" w:cs="Times New Roman"/>
                <w:caps/>
                <w:szCs w:val="21"/>
                <w:lang w:bidi="ar"/>
              </w:rPr>
              <w:t>≤ 60</w:t>
            </w:r>
          </w:p>
        </w:tc>
        <w:tc>
          <w:tcPr>
            <w:tcW w:w="16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8CAF41">
            <w:pPr>
              <w:spacing w:line="240" w:lineRule="auto"/>
              <w:jc w:val="center"/>
              <w:rPr>
                <w:szCs w:val="21"/>
              </w:rPr>
            </w:pPr>
            <w:r>
              <w:rPr>
                <w:rFonts w:hint="eastAsia" w:ascii="宋体" w:hAnsi="等线" w:cs="Times New Roman"/>
                <w:caps/>
                <w:szCs w:val="21"/>
                <w:lang w:bidi="ar"/>
              </w:rPr>
              <w:t>250</w:t>
            </w:r>
          </w:p>
        </w:tc>
        <w:tc>
          <w:tcPr>
            <w:tcW w:w="11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E2C285A">
            <w:pPr>
              <w:spacing w:line="240" w:lineRule="auto"/>
              <w:jc w:val="center"/>
              <w:rPr>
                <w:szCs w:val="21"/>
              </w:rPr>
            </w:pPr>
            <w:r>
              <w:rPr>
                <w:rFonts w:hint="eastAsia" w:ascii="宋体" w:hAnsi="等线" w:cs="Times New Roman"/>
                <w:caps/>
                <w:szCs w:val="21"/>
                <w:lang w:bidi="ar"/>
              </w:rPr>
              <w:t>1.0(1.4)</w:t>
            </w:r>
          </w:p>
        </w:tc>
        <w:tc>
          <w:tcPr>
            <w:tcW w:w="108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F14F96E">
            <w:pPr>
              <w:spacing w:line="240" w:lineRule="auto"/>
              <w:jc w:val="center"/>
              <w:rPr>
                <w:szCs w:val="21"/>
              </w:rPr>
            </w:pPr>
            <w:r>
              <w:rPr>
                <w:rFonts w:hint="eastAsia" w:ascii="宋体" w:hAnsi="等线" w:cs="Times New Roman"/>
                <w:caps/>
                <w:szCs w:val="21"/>
                <w:lang w:bidi="ar"/>
              </w:rPr>
              <w:t>1</w:t>
            </w:r>
          </w:p>
        </w:tc>
      </w:tr>
      <w:tr w14:paraId="0462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F7DAA01">
            <w:pPr>
              <w:spacing w:line="240" w:lineRule="auto"/>
              <w:jc w:val="center"/>
              <w:rPr>
                <w:szCs w:val="21"/>
              </w:rPr>
            </w:pPr>
            <w:r>
              <w:rPr>
                <w:rFonts w:hint="eastAsia" w:ascii="宋体" w:hAnsi="等线" w:cs="Times New Roman"/>
                <w:caps/>
                <w:szCs w:val="21"/>
                <w:lang w:bidi="ar"/>
              </w:rPr>
              <w:t>60 ＜ UI ≤ 300</w:t>
            </w:r>
          </w:p>
        </w:tc>
        <w:tc>
          <w:tcPr>
            <w:tcW w:w="16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EFC8B8">
            <w:pPr>
              <w:spacing w:line="240" w:lineRule="auto"/>
              <w:jc w:val="center"/>
              <w:rPr>
                <w:szCs w:val="21"/>
              </w:rPr>
            </w:pPr>
            <w:r>
              <w:rPr>
                <w:rFonts w:hint="eastAsia" w:ascii="宋体" w:hAnsi="等线" w:cs="Times New Roman"/>
                <w:caps/>
                <w:szCs w:val="21"/>
                <w:lang w:bidi="ar"/>
              </w:rPr>
              <w:t>500</w:t>
            </w:r>
          </w:p>
        </w:tc>
        <w:tc>
          <w:tcPr>
            <w:tcW w:w="11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3F42B4F">
            <w:pPr>
              <w:spacing w:line="240" w:lineRule="auto"/>
              <w:jc w:val="center"/>
              <w:rPr>
                <w:szCs w:val="21"/>
              </w:rPr>
            </w:pPr>
            <w:r>
              <w:rPr>
                <w:rFonts w:hint="eastAsia" w:ascii="宋体" w:hAnsi="等线" w:cs="Times New Roman"/>
                <w:caps/>
                <w:szCs w:val="21"/>
                <w:lang w:bidi="ar"/>
              </w:rPr>
              <w:t>2.0(2.8)</w:t>
            </w:r>
          </w:p>
        </w:tc>
        <w:tc>
          <w:tcPr>
            <w:tcW w:w="108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92E6843">
            <w:pPr>
              <w:spacing w:line="240" w:lineRule="auto"/>
              <w:jc w:val="center"/>
              <w:rPr>
                <w:szCs w:val="21"/>
              </w:rPr>
            </w:pPr>
            <w:r>
              <w:rPr>
                <w:rFonts w:hint="eastAsia" w:ascii="宋体" w:hAnsi="等线" w:cs="Times New Roman"/>
                <w:caps/>
                <w:szCs w:val="21"/>
                <w:lang w:bidi="ar"/>
              </w:rPr>
              <w:t>±2.5</w:t>
            </w:r>
          </w:p>
        </w:tc>
      </w:tr>
      <w:tr w14:paraId="6471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CA74217">
            <w:pPr>
              <w:spacing w:line="240" w:lineRule="auto"/>
              <w:jc w:val="center"/>
              <w:rPr>
                <w:szCs w:val="21"/>
              </w:rPr>
            </w:pPr>
            <w:r>
              <w:rPr>
                <w:rFonts w:hint="eastAsia" w:ascii="宋体" w:hAnsi="等线" w:cs="Times New Roman"/>
                <w:caps/>
                <w:szCs w:val="21"/>
                <w:lang w:bidi="ar"/>
              </w:rPr>
              <w:t>300 ＜ UI ≤ 700</w:t>
            </w:r>
          </w:p>
        </w:tc>
        <w:tc>
          <w:tcPr>
            <w:tcW w:w="16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79F45F9">
            <w:pPr>
              <w:spacing w:line="240" w:lineRule="auto"/>
              <w:jc w:val="center"/>
              <w:rPr>
                <w:szCs w:val="21"/>
              </w:rPr>
            </w:pPr>
            <w:r>
              <w:rPr>
                <w:rFonts w:hint="eastAsia" w:ascii="宋体" w:hAnsi="等线" w:cs="Times New Roman"/>
                <w:caps/>
                <w:szCs w:val="21"/>
                <w:lang w:bidi="ar"/>
              </w:rPr>
              <w:t>1000</w:t>
            </w:r>
          </w:p>
        </w:tc>
        <w:tc>
          <w:tcPr>
            <w:tcW w:w="11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4C1E39">
            <w:pPr>
              <w:spacing w:line="240" w:lineRule="auto"/>
              <w:jc w:val="center"/>
              <w:rPr>
                <w:szCs w:val="21"/>
              </w:rPr>
            </w:pPr>
            <w:r>
              <w:rPr>
                <w:rFonts w:hint="eastAsia" w:ascii="宋体" w:hAnsi="等线" w:cs="Times New Roman"/>
                <w:caps/>
                <w:szCs w:val="21"/>
                <w:lang w:bidi="ar"/>
              </w:rPr>
              <w:t>2.4(3.36)</w:t>
            </w:r>
          </w:p>
        </w:tc>
        <w:tc>
          <w:tcPr>
            <w:tcW w:w="108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7305677">
            <w:pPr>
              <w:spacing w:line="240" w:lineRule="auto"/>
              <w:jc w:val="center"/>
              <w:rPr>
                <w:szCs w:val="21"/>
              </w:rPr>
            </w:pPr>
            <w:r>
              <w:rPr>
                <w:rFonts w:hint="eastAsia" w:ascii="宋体" w:hAnsi="等线" w:cs="Times New Roman"/>
                <w:caps/>
                <w:szCs w:val="21"/>
                <w:lang w:bidi="ar"/>
              </w:rPr>
              <w:t>±6</w:t>
            </w:r>
          </w:p>
        </w:tc>
      </w:tr>
      <w:tr w14:paraId="2BF0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9F83568">
            <w:pPr>
              <w:spacing w:line="240" w:lineRule="auto"/>
              <w:jc w:val="center"/>
              <w:rPr>
                <w:szCs w:val="21"/>
              </w:rPr>
            </w:pPr>
            <w:r>
              <w:rPr>
                <w:rFonts w:hint="eastAsia" w:ascii="宋体" w:hAnsi="等线" w:cs="Times New Roman"/>
                <w:caps/>
                <w:szCs w:val="21"/>
                <w:lang w:bidi="ar"/>
              </w:rPr>
              <w:t>700 ＜ UI ≤ 950</w:t>
            </w:r>
          </w:p>
        </w:tc>
        <w:tc>
          <w:tcPr>
            <w:tcW w:w="16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225E093">
            <w:pPr>
              <w:spacing w:line="240" w:lineRule="auto"/>
              <w:jc w:val="center"/>
              <w:rPr>
                <w:szCs w:val="21"/>
              </w:rPr>
            </w:pPr>
            <w:r>
              <w:rPr>
                <w:rFonts w:hint="eastAsia" w:ascii="宋体" w:hAnsi="等线" w:cs="Times New Roman"/>
                <w:caps/>
                <w:szCs w:val="21"/>
                <w:lang w:bidi="ar"/>
              </w:rPr>
              <w:t>1000</w:t>
            </w:r>
          </w:p>
        </w:tc>
        <w:tc>
          <w:tcPr>
            <w:tcW w:w="11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22542BD">
            <w:pPr>
              <w:spacing w:line="240" w:lineRule="auto"/>
              <w:jc w:val="center"/>
              <w:rPr>
                <w:szCs w:val="21"/>
              </w:rPr>
            </w:pPr>
            <w:r>
              <w:rPr>
                <w:rFonts w:hint="eastAsia" w:ascii="宋体" w:hAnsi="等线" w:cs="Times New Roman"/>
                <w:caps/>
                <w:szCs w:val="21"/>
                <w:lang w:bidi="ar"/>
              </w:rPr>
              <w:t>2×UI +1.0</w:t>
            </w:r>
          </w:p>
          <w:p w14:paraId="2A7E369C">
            <w:pPr>
              <w:spacing w:line="240" w:lineRule="auto"/>
              <w:jc w:val="center"/>
              <w:rPr>
                <w:szCs w:val="21"/>
              </w:rPr>
            </w:pPr>
            <w:r>
              <w:rPr>
                <w:rFonts w:hint="eastAsia" w:ascii="宋体" w:hAnsi="等线" w:cs="Times New Roman"/>
                <w:caps/>
                <w:szCs w:val="21"/>
                <w:lang w:bidi="ar"/>
              </w:rPr>
              <w:t>(2.8×UI +1.4)</w:t>
            </w:r>
          </w:p>
        </w:tc>
        <w:tc>
          <w:tcPr>
            <w:tcW w:w="108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701D25E">
            <w:pPr>
              <w:spacing w:line="240" w:lineRule="auto"/>
              <w:jc w:val="center"/>
              <w:rPr>
                <w:szCs w:val="21"/>
              </w:rPr>
            </w:pPr>
            <w:r>
              <w:rPr>
                <w:rFonts w:hint="eastAsia" w:ascii="宋体" w:hAnsi="等线" w:cs="Times New Roman"/>
                <w:caps/>
                <w:szCs w:val="21"/>
                <w:lang w:bidi="ar"/>
              </w:rPr>
              <w:t>±6</w:t>
            </w:r>
          </w:p>
        </w:tc>
      </w:tr>
      <w:tr w14:paraId="514D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4F57B2">
            <w:pPr>
              <w:spacing w:line="240" w:lineRule="auto"/>
              <w:rPr>
                <w:szCs w:val="21"/>
              </w:rPr>
            </w:pPr>
            <w:r>
              <w:rPr>
                <w:rFonts w:hint="eastAsia" w:ascii="宋体" w:hAnsi="等线" w:cs="Times New Roman"/>
                <w:caps/>
                <w:szCs w:val="21"/>
                <w:lang w:bidi="ar"/>
              </w:rPr>
              <w:t>注1：括号内数据为直流介质强度试验值。</w:t>
            </w:r>
          </w:p>
          <w:p w14:paraId="33E41D88">
            <w:pPr>
              <w:spacing w:line="240" w:lineRule="auto"/>
              <w:rPr>
                <w:szCs w:val="21"/>
              </w:rPr>
            </w:pPr>
            <w:r>
              <w:rPr>
                <w:rFonts w:hint="eastAsia" w:ascii="宋体" w:hAnsi="等线" w:cs="Times New Roman"/>
                <w:caps/>
                <w:szCs w:val="21"/>
                <w:lang w:bidi="ar"/>
              </w:rPr>
              <w:t>注2：出厂试验时，介电强度试验允许试验电压高于表中规定值的10%，试验时间1s。</w:t>
            </w:r>
          </w:p>
        </w:tc>
      </w:tr>
    </w:tbl>
    <w:p w14:paraId="305A2BF5">
      <w:pPr>
        <w:pStyle w:val="7"/>
        <w:bidi w:val="0"/>
      </w:pPr>
      <w:r>
        <w:rPr>
          <w:rFonts w:hint="eastAsia"/>
        </w:rPr>
        <w:t>输出要求</w:t>
      </w:r>
    </w:p>
    <w:p w14:paraId="0E551060">
      <w:pPr>
        <w:ind w:firstLine="560"/>
        <w:rPr>
          <w:rFonts w:hint="default" w:eastAsia="仿宋"/>
          <w:szCs w:val="21"/>
          <w:lang w:val="en-US" w:eastAsia="zh-CN"/>
        </w:rPr>
      </w:pPr>
      <w:r>
        <w:rPr>
          <w:rFonts w:hint="eastAsia" w:ascii="宋体" w:hAnsi="等线" w:cs="Times New Roman"/>
          <w:caps/>
          <w:szCs w:val="21"/>
          <w:lang w:bidi="ar"/>
        </w:rPr>
        <w:t>（1）</w:t>
      </w:r>
      <w:r>
        <w:rPr>
          <w:rFonts w:hint="eastAsia" w:ascii="宋体" w:hAnsi="等线" w:cs="Times New Roman"/>
          <w:caps/>
          <w:szCs w:val="21"/>
          <w:lang w:val="en-US" w:eastAsia="zh-CN" w:bidi="ar"/>
        </w:rPr>
        <w:t>输出要求</w:t>
      </w:r>
    </w:p>
    <w:p w14:paraId="510C55BB">
      <w:pPr>
        <w:ind w:firstLine="560"/>
        <w:rPr>
          <w:szCs w:val="21"/>
        </w:rPr>
      </w:pPr>
      <w:r>
        <w:rPr>
          <w:rFonts w:hint="eastAsia" w:ascii="宋体" w:hAnsi="等线" w:cs="Times New Roman"/>
          <w:caps/>
          <w:szCs w:val="21"/>
          <w:lang w:bidi="ar"/>
        </w:rPr>
        <w:t>直流输出电压：</w:t>
      </w:r>
      <w:r>
        <w:rPr>
          <w:rFonts w:ascii="宋体" w:hAnsi="等线" w:cs="Times New Roman"/>
          <w:caps/>
          <w:szCs w:val="21"/>
          <w:lang w:bidi="ar"/>
        </w:rPr>
        <w:t>50</w:t>
      </w:r>
      <w:r>
        <w:rPr>
          <w:rFonts w:hint="eastAsia" w:ascii="宋体" w:hAnsi="等线" w:cs="Times New Roman"/>
          <w:caps/>
          <w:szCs w:val="21"/>
          <w:lang w:bidi="ar"/>
        </w:rPr>
        <w:t>～1000V；恒功率输出范围：300～1000V；单模块颗粒度为40kW，全灌胶工艺设计，可调用单模块40kW颗粒度进行功率分配，车辆需求满足率100%。</w:t>
      </w:r>
    </w:p>
    <w:p w14:paraId="6141CF02">
      <w:pPr>
        <w:ind w:firstLine="560"/>
        <w:rPr>
          <w:szCs w:val="21"/>
        </w:rPr>
      </w:pPr>
      <w:r>
        <w:rPr>
          <w:rFonts w:hint="eastAsia" w:ascii="宋体" w:hAnsi="等线" w:cs="Times New Roman"/>
          <w:caps/>
          <w:szCs w:val="21"/>
          <w:lang w:bidi="ar"/>
        </w:rPr>
        <w:t>（2）低压辅助电源</w:t>
      </w:r>
    </w:p>
    <w:p w14:paraId="34AF6508">
      <w:pPr>
        <w:ind w:firstLine="560"/>
        <w:rPr>
          <w:szCs w:val="21"/>
        </w:rPr>
      </w:pPr>
      <w:r>
        <w:rPr>
          <w:rFonts w:hint="eastAsia" w:ascii="宋体" w:hAnsi="等线" w:cs="Times New Roman"/>
          <w:caps/>
          <w:szCs w:val="21"/>
          <w:lang w:bidi="ar"/>
        </w:rPr>
        <w:t>充电机应能为电动汽车提供低压辅助电源，且具备过负荷、过压、过温保护功能。</w:t>
      </w:r>
    </w:p>
    <w:p w14:paraId="47C3AD90">
      <w:pPr>
        <w:ind w:firstLine="560"/>
        <w:rPr>
          <w:szCs w:val="21"/>
        </w:rPr>
      </w:pPr>
      <w:r>
        <w:rPr>
          <w:rFonts w:hint="eastAsia" w:ascii="宋体" w:hAnsi="等线" w:cs="Times New Roman"/>
          <w:caps/>
          <w:szCs w:val="21"/>
          <w:lang w:bidi="ar"/>
        </w:rPr>
        <w:t>辅助电源额定电压：12V；</w:t>
      </w:r>
    </w:p>
    <w:p w14:paraId="38E635FE">
      <w:pPr>
        <w:ind w:firstLine="560"/>
        <w:rPr>
          <w:szCs w:val="21"/>
        </w:rPr>
      </w:pPr>
      <w:r>
        <w:rPr>
          <w:rFonts w:hint="eastAsia" w:ascii="宋体" w:hAnsi="等线" w:cs="Times New Roman"/>
          <w:caps/>
          <w:szCs w:val="21"/>
          <w:lang w:bidi="ar"/>
        </w:rPr>
        <w:t>纹波峰值系数：不超过±1%。</w:t>
      </w:r>
    </w:p>
    <w:p w14:paraId="72B23274">
      <w:pPr>
        <w:ind w:firstLine="560"/>
        <w:rPr>
          <w:szCs w:val="21"/>
        </w:rPr>
      </w:pPr>
      <w:r>
        <w:rPr>
          <w:rFonts w:hint="eastAsia" w:ascii="宋体" w:hAnsi="等线" w:cs="Times New Roman"/>
          <w:caps/>
          <w:szCs w:val="21"/>
          <w:lang w:bidi="ar"/>
        </w:rPr>
        <w:t>（3）稳流精度</w:t>
      </w:r>
    </w:p>
    <w:p w14:paraId="39467C89">
      <w:pPr>
        <w:ind w:firstLine="560"/>
        <w:rPr>
          <w:szCs w:val="21"/>
        </w:rPr>
      </w:pPr>
      <w:r>
        <w:rPr>
          <w:rFonts w:hint="eastAsia" w:ascii="宋体" w:hAnsi="等线" w:cs="Times New Roman"/>
          <w:caps/>
          <w:szCs w:val="21"/>
          <w:lang w:bidi="ar"/>
        </w:rPr>
        <w:t>当交流电源电压在额定值的±15%范围内变化，直流输出电压在规定的相应范围内变化时，直流输出电流在规定的额定值的20%～100%范围内任一数值上，充电机的输出电流稳流精度不应超过±</w:t>
      </w:r>
      <w:r>
        <w:rPr>
          <w:rFonts w:ascii="宋体" w:hAnsi="等线" w:cs="Times New Roman"/>
          <w:caps/>
          <w:szCs w:val="21"/>
          <w:lang w:bidi="ar"/>
        </w:rPr>
        <w:t>0.5</w:t>
      </w:r>
      <w:r>
        <w:rPr>
          <w:rFonts w:hint="eastAsia" w:ascii="宋体" w:hAnsi="等线" w:cs="Times New Roman"/>
          <w:caps/>
          <w:szCs w:val="21"/>
          <w:lang w:bidi="ar"/>
        </w:rPr>
        <w:t>%。</w:t>
      </w:r>
    </w:p>
    <w:p w14:paraId="602458ED">
      <w:pPr>
        <w:ind w:firstLine="560"/>
        <w:rPr>
          <w:szCs w:val="21"/>
        </w:rPr>
      </w:pPr>
      <w:r>
        <w:rPr>
          <w:rFonts w:hint="eastAsia" w:ascii="宋体" w:hAnsi="等线" w:cs="Times New Roman"/>
          <w:caps/>
          <w:szCs w:val="21"/>
          <w:lang w:bidi="ar"/>
        </w:rPr>
        <w:t>（4）稳压精度</w:t>
      </w:r>
    </w:p>
    <w:p w14:paraId="6D746F09">
      <w:pPr>
        <w:ind w:firstLine="560"/>
        <w:rPr>
          <w:szCs w:val="21"/>
        </w:rPr>
      </w:pPr>
      <w:r>
        <w:rPr>
          <w:rFonts w:hint="eastAsia" w:ascii="宋体" w:hAnsi="等线" w:cs="Times New Roman"/>
          <w:caps/>
          <w:szCs w:val="21"/>
          <w:lang w:bidi="ar"/>
        </w:rPr>
        <w:t>当交流电源电压在额定值的±15%范围内变化，直流输出电流在规定的额定值的0～100%范围内变化时，输出直流电压在规定的相应调节范围内任一数值上，充电机的输出电压稳压精度不应超过±0.</w:t>
      </w:r>
      <w:r>
        <w:rPr>
          <w:rFonts w:ascii="宋体" w:hAnsi="等线" w:cs="Times New Roman"/>
          <w:caps/>
          <w:szCs w:val="21"/>
          <w:lang w:bidi="ar"/>
        </w:rPr>
        <w:t>2</w:t>
      </w:r>
      <w:r>
        <w:rPr>
          <w:rFonts w:hint="eastAsia" w:ascii="宋体" w:hAnsi="等线" w:cs="Times New Roman"/>
          <w:caps/>
          <w:szCs w:val="21"/>
          <w:lang w:bidi="ar"/>
        </w:rPr>
        <w:t>5%。</w:t>
      </w:r>
    </w:p>
    <w:p w14:paraId="26D49E89">
      <w:pPr>
        <w:ind w:firstLine="560"/>
        <w:rPr>
          <w:szCs w:val="21"/>
        </w:rPr>
      </w:pPr>
      <w:r>
        <w:rPr>
          <w:rFonts w:hint="eastAsia" w:ascii="宋体" w:hAnsi="等线" w:cs="Times New Roman"/>
          <w:caps/>
          <w:szCs w:val="21"/>
          <w:lang w:bidi="ar"/>
        </w:rPr>
        <w:t>（5）电压纹波因数</w:t>
      </w:r>
    </w:p>
    <w:p w14:paraId="45D2C7C2">
      <w:pPr>
        <w:ind w:firstLine="560"/>
        <w:rPr>
          <w:szCs w:val="21"/>
        </w:rPr>
      </w:pPr>
      <w:r>
        <w:rPr>
          <w:rFonts w:hint="eastAsia" w:ascii="宋体" w:hAnsi="等线" w:cs="Times New Roman"/>
          <w:caps/>
          <w:szCs w:val="21"/>
          <w:lang w:bidi="ar"/>
        </w:rPr>
        <w:t>当输入电源电压在额定值士15%范围内变化、输出直流电流在 0~最大输出电流值范围内变化时，输出直流电压在 7.7.1a)规定的相应调节范围内任一数值上，充电机输出电压纹波峰值因数不应大于1%。</w:t>
      </w:r>
    </w:p>
    <w:p w14:paraId="42463D16">
      <w:pPr>
        <w:ind w:firstLine="560"/>
        <w:rPr>
          <w:szCs w:val="21"/>
        </w:rPr>
      </w:pPr>
      <w:r>
        <w:rPr>
          <w:rFonts w:hint="eastAsia" w:ascii="宋体" w:hAnsi="等线" w:cs="Times New Roman"/>
          <w:caps/>
          <w:szCs w:val="21"/>
          <w:lang w:bidi="ar"/>
        </w:rPr>
        <w:t>（6）电流纹波</w:t>
      </w:r>
    </w:p>
    <w:p w14:paraId="1BA24624">
      <w:pPr>
        <w:ind w:firstLine="560"/>
        <w:rPr>
          <w:szCs w:val="21"/>
        </w:rPr>
      </w:pPr>
      <w:r>
        <w:rPr>
          <w:rFonts w:hint="eastAsia" w:ascii="宋体" w:hAnsi="等线" w:cs="Times New Roman"/>
          <w:caps/>
          <w:szCs w:val="21"/>
          <w:lang w:bidi="ar"/>
        </w:rPr>
        <w:t>在恒流状态下，当输入电源电压为额定值，输出直流电压在 7.7.1a)规定的相应调节范围内变化时输出直流电流设定为最大输出电流值，充电机输出电流纹波峰峰值不应大于下表规定。</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7FF3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Borders>
              <w:top w:val="single" w:color="auto" w:sz="4" w:space="0"/>
              <w:left w:val="single" w:color="auto" w:sz="4" w:space="0"/>
              <w:bottom w:val="single" w:color="auto" w:sz="4" w:space="0"/>
              <w:right w:val="single" w:color="auto" w:sz="4" w:space="0"/>
            </w:tcBorders>
            <w:shd w:val="clear" w:color="auto" w:fill="auto"/>
          </w:tcPr>
          <w:p w14:paraId="3B69A20E">
            <w:pPr>
              <w:jc w:val="center"/>
              <w:rPr>
                <w:szCs w:val="21"/>
              </w:rPr>
            </w:pPr>
            <w:r>
              <w:rPr>
                <w:rFonts w:hint="eastAsia" w:ascii="宋体" w:hAnsi="等线" w:cs="Times New Roman"/>
                <w:caps/>
                <w:szCs w:val="21"/>
                <w:lang w:bidi="ar"/>
              </w:rPr>
              <w:t>电流纹波峰峰值</w:t>
            </w:r>
          </w:p>
          <w:p w14:paraId="5E7AB7CB">
            <w:pPr>
              <w:jc w:val="center"/>
              <w:rPr>
                <w:szCs w:val="21"/>
              </w:rPr>
            </w:pPr>
            <w:r>
              <w:rPr>
                <w:rFonts w:hint="eastAsia" w:ascii="宋体" w:hAnsi="等线" w:cs="Times New Roman"/>
                <w:caps/>
                <w:szCs w:val="21"/>
                <w:lang w:bidi="ar"/>
              </w:rPr>
              <w:t>A</w:t>
            </w:r>
          </w:p>
        </w:tc>
        <w:tc>
          <w:tcPr>
            <w:tcW w:w="4151" w:type="dxa"/>
            <w:tcBorders>
              <w:top w:val="single" w:color="auto" w:sz="4" w:space="0"/>
              <w:left w:val="single" w:color="auto" w:sz="4" w:space="0"/>
              <w:bottom w:val="single" w:color="auto" w:sz="4" w:space="0"/>
              <w:right w:val="single" w:color="auto" w:sz="4" w:space="0"/>
            </w:tcBorders>
            <w:shd w:val="clear" w:color="auto" w:fill="auto"/>
          </w:tcPr>
          <w:p w14:paraId="24E9D63E">
            <w:pPr>
              <w:jc w:val="center"/>
              <w:rPr>
                <w:szCs w:val="21"/>
              </w:rPr>
            </w:pPr>
            <w:r>
              <w:rPr>
                <w:rFonts w:hint="eastAsia" w:ascii="宋体" w:hAnsi="等线" w:cs="Times New Roman"/>
                <w:caps/>
                <w:szCs w:val="21"/>
                <w:lang w:bidi="ar"/>
              </w:rPr>
              <w:t>电流纹波频率f</w:t>
            </w:r>
          </w:p>
          <w:p w14:paraId="39CCC6CA">
            <w:pPr>
              <w:jc w:val="center"/>
              <w:rPr>
                <w:szCs w:val="21"/>
              </w:rPr>
            </w:pPr>
            <w:r>
              <w:rPr>
                <w:rFonts w:hint="eastAsia" w:ascii="宋体" w:hAnsi="等线" w:cs="Times New Roman"/>
                <w:caps/>
                <w:szCs w:val="21"/>
                <w:lang w:bidi="ar"/>
              </w:rPr>
              <w:t>Hz</w:t>
            </w:r>
          </w:p>
        </w:tc>
      </w:tr>
      <w:tr w14:paraId="6A99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Borders>
              <w:top w:val="single" w:color="auto" w:sz="4" w:space="0"/>
              <w:left w:val="single" w:color="auto" w:sz="4" w:space="0"/>
              <w:bottom w:val="single" w:color="auto" w:sz="4" w:space="0"/>
              <w:right w:val="single" w:color="auto" w:sz="4" w:space="0"/>
            </w:tcBorders>
            <w:shd w:val="clear" w:color="auto" w:fill="auto"/>
          </w:tcPr>
          <w:p w14:paraId="29FBB922">
            <w:pPr>
              <w:jc w:val="center"/>
              <w:rPr>
                <w:szCs w:val="21"/>
              </w:rPr>
            </w:pPr>
            <w:r>
              <w:rPr>
                <w:rFonts w:hint="eastAsia" w:ascii="宋体" w:hAnsi="等线" w:cs="Times New Roman"/>
                <w:caps/>
                <w:szCs w:val="21"/>
                <w:lang w:bidi="ar"/>
              </w:rPr>
              <w:t>1.5</w:t>
            </w:r>
          </w:p>
        </w:tc>
        <w:tc>
          <w:tcPr>
            <w:tcW w:w="4151" w:type="dxa"/>
            <w:tcBorders>
              <w:top w:val="single" w:color="auto" w:sz="4" w:space="0"/>
              <w:left w:val="single" w:color="auto" w:sz="4" w:space="0"/>
              <w:bottom w:val="single" w:color="auto" w:sz="4" w:space="0"/>
              <w:right w:val="single" w:color="auto" w:sz="4" w:space="0"/>
            </w:tcBorders>
            <w:shd w:val="clear" w:color="auto" w:fill="auto"/>
          </w:tcPr>
          <w:p w14:paraId="38FA04E0">
            <w:pPr>
              <w:jc w:val="center"/>
              <w:rPr>
                <w:szCs w:val="21"/>
              </w:rPr>
            </w:pPr>
            <w:r>
              <w:rPr>
                <w:rFonts w:hint="eastAsia" w:ascii="宋体" w:hAnsi="等线" w:cs="Times New Roman"/>
                <w:caps/>
                <w:szCs w:val="21"/>
                <w:lang w:bidi="ar"/>
              </w:rPr>
              <w:t>f≤10</w:t>
            </w:r>
          </w:p>
        </w:tc>
      </w:tr>
      <w:tr w14:paraId="0531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Borders>
              <w:top w:val="single" w:color="auto" w:sz="4" w:space="0"/>
              <w:left w:val="single" w:color="auto" w:sz="4" w:space="0"/>
              <w:bottom w:val="single" w:color="auto" w:sz="4" w:space="0"/>
              <w:right w:val="single" w:color="auto" w:sz="4" w:space="0"/>
            </w:tcBorders>
            <w:shd w:val="clear" w:color="auto" w:fill="auto"/>
          </w:tcPr>
          <w:p w14:paraId="29C20D6D">
            <w:pPr>
              <w:jc w:val="center"/>
              <w:rPr>
                <w:szCs w:val="21"/>
              </w:rPr>
            </w:pPr>
            <w:r>
              <w:rPr>
                <w:rFonts w:hint="eastAsia" w:ascii="宋体" w:hAnsi="等线" w:cs="Times New Roman"/>
                <w:caps/>
                <w:szCs w:val="21"/>
                <w:lang w:bidi="ar"/>
              </w:rPr>
              <w:t>6</w:t>
            </w:r>
          </w:p>
        </w:tc>
        <w:tc>
          <w:tcPr>
            <w:tcW w:w="4151" w:type="dxa"/>
            <w:tcBorders>
              <w:top w:val="single" w:color="auto" w:sz="4" w:space="0"/>
              <w:left w:val="single" w:color="auto" w:sz="4" w:space="0"/>
              <w:bottom w:val="single" w:color="auto" w:sz="4" w:space="0"/>
              <w:right w:val="single" w:color="auto" w:sz="4" w:space="0"/>
            </w:tcBorders>
            <w:shd w:val="clear" w:color="auto" w:fill="auto"/>
          </w:tcPr>
          <w:p w14:paraId="1489CAB1">
            <w:pPr>
              <w:jc w:val="center"/>
              <w:rPr>
                <w:szCs w:val="21"/>
              </w:rPr>
            </w:pPr>
            <w:r>
              <w:rPr>
                <w:rFonts w:hint="eastAsia" w:ascii="宋体" w:hAnsi="等线" w:cs="Times New Roman"/>
                <w:caps/>
                <w:szCs w:val="21"/>
                <w:lang w:bidi="ar"/>
              </w:rPr>
              <w:t>f≤5000</w:t>
            </w:r>
          </w:p>
        </w:tc>
      </w:tr>
      <w:tr w14:paraId="6002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Borders>
              <w:top w:val="single" w:color="auto" w:sz="4" w:space="0"/>
              <w:left w:val="single" w:color="auto" w:sz="4" w:space="0"/>
              <w:bottom w:val="single" w:color="auto" w:sz="4" w:space="0"/>
              <w:right w:val="single" w:color="auto" w:sz="4" w:space="0"/>
            </w:tcBorders>
            <w:shd w:val="clear" w:color="auto" w:fill="auto"/>
          </w:tcPr>
          <w:p w14:paraId="5F148637">
            <w:pPr>
              <w:jc w:val="center"/>
              <w:rPr>
                <w:szCs w:val="21"/>
              </w:rPr>
            </w:pPr>
            <w:r>
              <w:rPr>
                <w:rFonts w:hint="eastAsia" w:ascii="宋体" w:hAnsi="等线" w:cs="Times New Roman"/>
                <w:caps/>
                <w:szCs w:val="21"/>
                <w:lang w:bidi="ar"/>
              </w:rPr>
              <w:t>9</w:t>
            </w:r>
          </w:p>
        </w:tc>
        <w:tc>
          <w:tcPr>
            <w:tcW w:w="4151" w:type="dxa"/>
            <w:tcBorders>
              <w:top w:val="single" w:color="auto" w:sz="4" w:space="0"/>
              <w:left w:val="single" w:color="auto" w:sz="4" w:space="0"/>
              <w:bottom w:val="single" w:color="auto" w:sz="4" w:space="0"/>
              <w:right w:val="single" w:color="auto" w:sz="4" w:space="0"/>
            </w:tcBorders>
            <w:shd w:val="clear" w:color="auto" w:fill="auto"/>
          </w:tcPr>
          <w:p w14:paraId="316DE54A">
            <w:pPr>
              <w:jc w:val="center"/>
              <w:rPr>
                <w:szCs w:val="21"/>
              </w:rPr>
            </w:pPr>
            <w:r>
              <w:rPr>
                <w:rFonts w:hint="eastAsia" w:ascii="宋体" w:hAnsi="等线" w:cs="Times New Roman"/>
                <w:caps/>
                <w:szCs w:val="21"/>
                <w:lang w:bidi="ar"/>
              </w:rPr>
              <w:t>f≤150000</w:t>
            </w:r>
          </w:p>
        </w:tc>
      </w:tr>
    </w:tbl>
    <w:p w14:paraId="4D44A2D6">
      <w:pPr>
        <w:ind w:firstLine="560"/>
        <w:rPr>
          <w:szCs w:val="21"/>
        </w:rPr>
      </w:pPr>
      <w:r>
        <w:rPr>
          <w:rFonts w:hint="eastAsia" w:ascii="宋体" w:hAnsi="等线" w:cs="Times New Roman"/>
          <w:caps/>
          <w:szCs w:val="21"/>
          <w:lang w:bidi="ar"/>
        </w:rPr>
        <w:t>（7）输出电流误差</w:t>
      </w:r>
    </w:p>
    <w:p w14:paraId="5D27BDDD">
      <w:pPr>
        <w:ind w:firstLine="560"/>
        <w:rPr>
          <w:szCs w:val="21"/>
        </w:rPr>
      </w:pPr>
      <w:r>
        <w:rPr>
          <w:rFonts w:hint="eastAsia" w:ascii="宋体" w:hAnsi="等线" w:cs="Times New Roman"/>
          <w:caps/>
          <w:szCs w:val="21"/>
          <w:lang w:bidi="ar"/>
        </w:rPr>
        <w:t>在恒流状态下，输出直流电流设定在规定的额定值的20%～100%范围内，在设定的直流输出电流≥30A时，充电机的输出电流误差不应超过±1%；在设定的输出电流&lt;30A时，充电机的输出电流误差不应超过±0.3A。</w:t>
      </w:r>
    </w:p>
    <w:p w14:paraId="58ABA41F">
      <w:pPr>
        <w:ind w:firstLine="560"/>
        <w:rPr>
          <w:szCs w:val="21"/>
        </w:rPr>
      </w:pPr>
      <w:r>
        <w:rPr>
          <w:rFonts w:hint="eastAsia" w:ascii="宋体" w:hAnsi="等线" w:cs="Times New Roman"/>
          <w:caps/>
          <w:szCs w:val="21"/>
          <w:lang w:bidi="ar"/>
        </w:rPr>
        <w:t>（8）输出电压误差</w:t>
      </w:r>
    </w:p>
    <w:p w14:paraId="4BC41520">
      <w:pPr>
        <w:ind w:firstLine="560"/>
        <w:rPr>
          <w:szCs w:val="21"/>
        </w:rPr>
      </w:pPr>
      <w:r>
        <w:rPr>
          <w:rFonts w:hint="eastAsia" w:ascii="宋体" w:hAnsi="等线" w:cs="Times New Roman"/>
          <w:caps/>
          <w:szCs w:val="21"/>
          <w:lang w:bidi="ar"/>
        </w:rPr>
        <w:t>在恒压状态下，直流输出电压设定在规定的相应调节范围内，充电机的输出电压误差不应超过±0.5％。</w:t>
      </w:r>
    </w:p>
    <w:p w14:paraId="3C6B3AA0">
      <w:pPr>
        <w:ind w:firstLine="560"/>
        <w:rPr>
          <w:szCs w:val="21"/>
        </w:rPr>
      </w:pPr>
      <w:r>
        <w:rPr>
          <w:rFonts w:hint="eastAsia" w:ascii="宋体" w:hAnsi="等线" w:cs="Times New Roman"/>
          <w:caps/>
          <w:szCs w:val="21"/>
          <w:lang w:bidi="ar"/>
        </w:rPr>
        <w:t>（9）限压、限流特性</w:t>
      </w:r>
    </w:p>
    <w:p w14:paraId="78B4E955">
      <w:pPr>
        <w:ind w:firstLine="560"/>
        <w:rPr>
          <w:szCs w:val="21"/>
        </w:rPr>
      </w:pPr>
      <w:r>
        <w:rPr>
          <w:rFonts w:hint="eastAsia" w:ascii="宋体" w:hAnsi="等线" w:cs="Times New Roman"/>
          <w:caps/>
          <w:szCs w:val="21"/>
          <w:lang w:bidi="ar"/>
        </w:rPr>
        <w:t>充电机在恒流状态下运行时，当直流输出电压超过限压整定值时，应能立即进入恒压充电状态，自动限制其输出电压的增加。</w:t>
      </w:r>
    </w:p>
    <w:p w14:paraId="4F686095">
      <w:pPr>
        <w:ind w:firstLine="560"/>
        <w:rPr>
          <w:szCs w:val="21"/>
        </w:rPr>
      </w:pPr>
      <w:r>
        <w:rPr>
          <w:rFonts w:hint="eastAsia" w:ascii="宋体" w:hAnsi="等线" w:cs="Times New Roman"/>
          <w:caps/>
          <w:szCs w:val="21"/>
          <w:lang w:bidi="ar"/>
        </w:rPr>
        <w:t>充电机在恒压状态下运行时，当直流输出电流超过限流整定值时，应能立即进入限流充电状态，自动限制其输出电流的增加。</w:t>
      </w:r>
    </w:p>
    <w:p w14:paraId="724E13F6">
      <w:pPr>
        <w:ind w:firstLine="560"/>
        <w:rPr>
          <w:szCs w:val="21"/>
        </w:rPr>
      </w:pPr>
      <w:r>
        <w:rPr>
          <w:rFonts w:hint="eastAsia" w:ascii="宋体" w:hAnsi="等线" w:cs="Times New Roman"/>
          <w:caps/>
          <w:szCs w:val="21"/>
          <w:lang w:bidi="ar"/>
        </w:rPr>
        <w:t>（10）输出响应要求</w:t>
      </w:r>
    </w:p>
    <w:p w14:paraId="3860AA6C">
      <w:pPr>
        <w:ind w:firstLine="560"/>
        <w:rPr>
          <w:szCs w:val="21"/>
        </w:rPr>
      </w:pPr>
      <w:r>
        <w:rPr>
          <w:rFonts w:hint="eastAsia" w:ascii="宋体" w:hAnsi="等线" w:cs="Times New Roman"/>
          <w:caps/>
          <w:szCs w:val="21"/>
          <w:lang w:bidi="ar"/>
        </w:rPr>
        <w:t>在充电阶段，车辆向充电机实时发送电池充电需求参数，充电机应最长在1s以内将充电电压和充电电流调整到与车辆发送的电池充电需求命令值相一致，充电机根据电池充电需求参数实时调整充电电压和充电电流。</w:t>
      </w:r>
    </w:p>
    <w:p w14:paraId="6F76B3FE">
      <w:pPr>
        <w:ind w:firstLine="560"/>
        <w:rPr>
          <w:szCs w:val="21"/>
        </w:rPr>
      </w:pPr>
      <w:r>
        <w:rPr>
          <w:rFonts w:hint="eastAsia" w:ascii="宋体" w:hAnsi="等线" w:cs="Times New Roman"/>
          <w:caps/>
          <w:szCs w:val="21"/>
          <w:lang w:bidi="ar"/>
        </w:rPr>
        <w:t>（11）输出电流停止速率</w:t>
      </w:r>
    </w:p>
    <w:p w14:paraId="37E41168">
      <w:pPr>
        <w:ind w:firstLine="560"/>
        <w:rPr>
          <w:szCs w:val="21"/>
        </w:rPr>
      </w:pPr>
      <w:r>
        <w:rPr>
          <w:rFonts w:hint="eastAsia" w:ascii="宋体" w:hAnsi="等线" w:cs="Times New Roman"/>
          <w:caps/>
          <w:szCs w:val="21"/>
          <w:lang w:bidi="ar"/>
        </w:rPr>
        <w:t>在充电状态下，当充电机达到正常充电结束条件或收到电池管理系统中止充电报文时，应能快速停止充电，输出电流的停止速率不应小于100A/s。</w:t>
      </w:r>
    </w:p>
    <w:p w14:paraId="437C9F9E">
      <w:pPr>
        <w:ind w:firstLine="560"/>
        <w:rPr>
          <w:szCs w:val="21"/>
        </w:rPr>
      </w:pPr>
      <w:r>
        <w:rPr>
          <w:rFonts w:hint="eastAsia" w:ascii="宋体" w:hAnsi="等线" w:cs="Times New Roman"/>
          <w:caps/>
          <w:szCs w:val="21"/>
          <w:lang w:bidi="ar"/>
        </w:rPr>
        <w:t>（12）启动输出过冲</w:t>
      </w:r>
    </w:p>
    <w:p w14:paraId="1F044C43">
      <w:pPr>
        <w:ind w:firstLine="560"/>
        <w:rPr>
          <w:szCs w:val="21"/>
        </w:rPr>
      </w:pPr>
      <w:r>
        <w:rPr>
          <w:rFonts w:hint="eastAsia" w:ascii="宋体" w:hAnsi="等线" w:cs="Times New Roman"/>
          <w:caps/>
          <w:szCs w:val="21"/>
          <w:lang w:bidi="ar"/>
        </w:rPr>
        <w:t>充电机应具备软启动功能，稳压工作开机启动过程中，输出电压过冲不应大于当前整定值的5%；稳流工作开机启动过程中，在设定的输出直流电流大于等于30A时，输出电流过冲不应大于当前整定值的5%；在设定的输出直流电流小于30A时，输出电流过冲不应大于1.5A。</w:t>
      </w:r>
    </w:p>
    <w:p w14:paraId="02EE7458">
      <w:pPr>
        <w:ind w:firstLine="560"/>
        <w:rPr>
          <w:szCs w:val="21"/>
        </w:rPr>
      </w:pPr>
      <w:r>
        <w:rPr>
          <w:rFonts w:hint="eastAsia" w:ascii="宋体" w:hAnsi="等线" w:cs="Times New Roman"/>
          <w:caps/>
          <w:szCs w:val="21"/>
          <w:lang w:bidi="ar"/>
        </w:rPr>
        <w:t>当充电机从暂停状态恢复充电状态时，应同样满足上述要求。</w:t>
      </w:r>
    </w:p>
    <w:p w14:paraId="10F20AD2">
      <w:pPr>
        <w:pStyle w:val="7"/>
        <w:bidi w:val="0"/>
        <w:rPr>
          <w:sz w:val="24"/>
          <w:szCs w:val="24"/>
        </w:rPr>
      </w:pPr>
      <w:r>
        <w:rPr>
          <w:rFonts w:hint="eastAsia"/>
          <w:sz w:val="24"/>
          <w:szCs w:val="24"/>
        </w:rPr>
        <w:t>电容耦合</w:t>
      </w:r>
    </w:p>
    <w:p w14:paraId="3095CC45">
      <w:pPr>
        <w:ind w:firstLine="560"/>
        <w:rPr>
          <w:szCs w:val="21"/>
        </w:rPr>
      </w:pPr>
      <w:r>
        <w:rPr>
          <w:rFonts w:hint="eastAsia" w:ascii="宋体" w:hAnsi="等线" w:cs="Times New Roman"/>
          <w:caps/>
          <w:szCs w:val="21"/>
          <w:lang w:bidi="ar"/>
        </w:rPr>
        <w:t>充电机直流输出正、负极与地之间的电容耦合由Y电容器和寄生电容产生，用于实现电磁兼容。为防止人员触电危险，对于额定输出电压不大于500V的充电机，其每个充电接口直流输出正、负极与地之间的总电容均不应大于0.4μF:对于额定输出电压大于500V的充电机，应满足下述条件之一:</w:t>
      </w:r>
    </w:p>
    <w:p w14:paraId="7DCA4376">
      <w:pPr>
        <w:ind w:firstLine="560"/>
        <w:rPr>
          <w:szCs w:val="21"/>
        </w:rPr>
      </w:pPr>
      <w:r>
        <w:rPr>
          <w:rFonts w:hint="eastAsia" w:ascii="宋体" w:hAnsi="等线" w:cs="Times New Roman"/>
          <w:caps/>
          <w:szCs w:val="21"/>
          <w:lang w:bidi="ar"/>
        </w:rPr>
        <w:t>a)充电机与电动汽车动力蓄电池连接在一起的直流正、负极与地之间的总电容在其最大工作电压时所存储的能量均不应大于0.2J；</w:t>
      </w:r>
    </w:p>
    <w:p w14:paraId="538B023F">
      <w:pPr>
        <w:ind w:firstLine="560"/>
        <w:rPr>
          <w:rFonts w:ascii="宋体" w:hAnsi="等线" w:cs="Times New Roman"/>
          <w:caps/>
          <w:szCs w:val="21"/>
          <w:lang w:bidi="ar"/>
        </w:rPr>
      </w:pPr>
      <w:r>
        <w:rPr>
          <w:rFonts w:hint="eastAsia" w:ascii="宋体" w:hAnsi="等线" w:cs="Times New Roman"/>
          <w:caps/>
          <w:szCs w:val="21"/>
          <w:lang w:bidi="ar"/>
        </w:rPr>
        <w:t>b)充电机直流输出回路采用双重绝缘或加强绝缘措施。</w:t>
      </w:r>
    </w:p>
    <w:p w14:paraId="0F2B7B60">
      <w:pPr>
        <w:pStyle w:val="7"/>
        <w:bidi w:val="0"/>
        <w:rPr>
          <w:sz w:val="24"/>
          <w:szCs w:val="24"/>
        </w:rPr>
      </w:pPr>
      <w:r>
        <w:rPr>
          <w:rFonts w:hint="eastAsia"/>
          <w:sz w:val="24"/>
          <w:szCs w:val="24"/>
        </w:rPr>
        <w:t>待机功耗</w:t>
      </w:r>
    </w:p>
    <w:p w14:paraId="51644803">
      <w:pPr>
        <w:adjustRightInd w:val="0"/>
        <w:snapToGrid w:val="0"/>
        <w:ind w:firstLine="480" w:firstLineChars="200"/>
        <w:rPr>
          <w:rFonts w:hint="eastAsia"/>
          <w:szCs w:val="21"/>
        </w:rPr>
      </w:pPr>
      <w:r>
        <w:rPr>
          <w:rFonts w:hint="eastAsia" w:ascii="宋体" w:hAnsi="宋体"/>
        </w:rPr>
        <w:t>在额定输入电压下，充电机的休眠待机功耗不应大于</w:t>
      </w:r>
      <w:r>
        <w:rPr>
          <w:rFonts w:ascii="宋体" w:hAnsi="宋体"/>
        </w:rPr>
        <w:t>N×5W。</w:t>
      </w:r>
      <w:r>
        <w:rPr>
          <w:rFonts w:hint="eastAsia" w:ascii="宋体" w:hAnsi="宋体"/>
        </w:rPr>
        <w:t>注</w:t>
      </w:r>
      <w:r>
        <w:rPr>
          <w:rFonts w:ascii="宋体" w:hAnsi="宋体"/>
        </w:rPr>
        <w:t>:N表示充电接口数量</w:t>
      </w:r>
      <w:r>
        <w:rPr>
          <w:rFonts w:hint="eastAsia" w:ascii="宋体" w:hAnsi="宋体"/>
        </w:rPr>
        <w:t>。</w:t>
      </w:r>
    </w:p>
    <w:p w14:paraId="16E218CF">
      <w:pPr>
        <w:pStyle w:val="7"/>
        <w:bidi w:val="0"/>
        <w:rPr>
          <w:sz w:val="24"/>
          <w:szCs w:val="24"/>
        </w:rPr>
      </w:pPr>
      <w:r>
        <w:rPr>
          <w:rFonts w:hint="eastAsia"/>
          <w:sz w:val="24"/>
          <w:szCs w:val="24"/>
        </w:rPr>
        <w:t>输出电压、电流测量误差</w:t>
      </w:r>
    </w:p>
    <w:p w14:paraId="7ADE8294">
      <w:pPr>
        <w:ind w:firstLine="560"/>
        <w:rPr>
          <w:szCs w:val="21"/>
        </w:rPr>
      </w:pPr>
      <w:r>
        <w:rPr>
          <w:rFonts w:hint="eastAsia" w:ascii="宋体" w:hAnsi="等线" w:cs="Times New Roman"/>
          <w:caps/>
          <w:szCs w:val="21"/>
          <w:lang w:bidi="ar"/>
        </w:rPr>
        <w:t>充电机输出电压测量误差不应超过±5V，输出电流测量误差不应超过±(1.5%</w:t>
      </w:r>
      <w:r>
        <w:rPr>
          <w:rFonts w:hint="eastAsia" w:ascii="宋体" w:hAnsi="等线" w:cs="等线"/>
          <w:caps/>
          <w:szCs w:val="21"/>
          <w:lang w:bidi="ar"/>
        </w:rPr>
        <w:t>×</w:t>
      </w:r>
      <w:r>
        <w:rPr>
          <w:rFonts w:hint="eastAsia" w:ascii="宋体" w:hAnsi="等线" w:cs="Times New Roman"/>
          <w:caps/>
          <w:szCs w:val="21"/>
          <w:lang w:bidi="ar"/>
        </w:rPr>
        <w:t>实际输出电流+1)A，测量值更新时间不大于1s。</w:t>
      </w:r>
    </w:p>
    <w:p w14:paraId="45446F9C">
      <w:pPr>
        <w:pStyle w:val="7"/>
        <w:bidi w:val="0"/>
        <w:rPr>
          <w:sz w:val="24"/>
          <w:szCs w:val="24"/>
        </w:rPr>
      </w:pPr>
      <w:r>
        <w:rPr>
          <w:rFonts w:hint="eastAsia"/>
          <w:sz w:val="24"/>
          <w:szCs w:val="24"/>
        </w:rPr>
        <w:t>充电机效率、输入功率因数</w:t>
      </w:r>
    </w:p>
    <w:p w14:paraId="6D7A99A6">
      <w:pPr>
        <w:ind w:firstLine="560"/>
        <w:rPr>
          <w:szCs w:val="21"/>
        </w:rPr>
      </w:pPr>
      <w:r>
        <w:rPr>
          <w:rFonts w:hint="eastAsia" w:ascii="宋体" w:hAnsi="等线" w:cs="Times New Roman"/>
          <w:caps/>
          <w:szCs w:val="21"/>
          <w:lang w:bidi="ar"/>
        </w:rPr>
        <w:t>在额定输入电压下，充电机效率、输入功率因数应符合下表的要求。</w:t>
      </w:r>
    </w:p>
    <w:p w14:paraId="13655750">
      <w:pPr>
        <w:jc w:val="center"/>
        <w:rPr>
          <w:szCs w:val="21"/>
        </w:rPr>
      </w:pPr>
      <w:r>
        <w:rPr>
          <w:rFonts w:hint="eastAsia" w:ascii="宋体" w:hAnsi="等线" w:cs="Times New Roman"/>
          <w:caps/>
          <w:szCs w:val="21"/>
          <w:lang w:bidi="ar"/>
        </w:rPr>
        <w:t>充电机效率、输入功率因数</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6"/>
        <w:gridCol w:w="2066"/>
        <w:gridCol w:w="3054"/>
      </w:tblGrid>
      <w:tr w14:paraId="7A7D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92" w:type="pct"/>
            <w:tcBorders>
              <w:top w:val="single" w:color="auto" w:sz="4" w:space="0"/>
              <w:left w:val="single" w:color="auto" w:sz="4" w:space="0"/>
              <w:bottom w:val="single" w:color="auto" w:sz="4" w:space="0"/>
              <w:right w:val="single" w:color="auto" w:sz="4" w:space="0"/>
            </w:tcBorders>
            <w:shd w:val="clear" w:color="auto" w:fill="auto"/>
            <w:vAlign w:val="center"/>
          </w:tcPr>
          <w:p w14:paraId="31D36205">
            <w:pPr>
              <w:spacing w:line="240" w:lineRule="auto"/>
              <w:ind w:firstLine="560"/>
              <w:rPr>
                <w:szCs w:val="21"/>
              </w:rPr>
            </w:pPr>
            <w:r>
              <w:rPr>
                <w:rFonts w:hint="eastAsia" w:ascii="宋体" w:hAnsi="等线" w:cs="Times New Roman"/>
                <w:caps/>
                <w:szCs w:val="21"/>
                <w:lang w:bidi="ar"/>
              </w:rPr>
              <w:t>实际输出功率PO /额定输出功率PN</w:t>
            </w:r>
          </w:p>
        </w:tc>
        <w:tc>
          <w:tcPr>
            <w:tcW w:w="1133" w:type="pct"/>
            <w:tcBorders>
              <w:top w:val="single" w:color="auto" w:sz="4" w:space="0"/>
              <w:left w:val="single" w:color="auto" w:sz="4" w:space="0"/>
              <w:bottom w:val="single" w:color="auto" w:sz="4" w:space="0"/>
              <w:right w:val="single" w:color="auto" w:sz="4" w:space="0"/>
            </w:tcBorders>
            <w:shd w:val="clear" w:color="auto" w:fill="auto"/>
            <w:vAlign w:val="center"/>
          </w:tcPr>
          <w:p w14:paraId="15641803">
            <w:pPr>
              <w:spacing w:line="240" w:lineRule="auto"/>
              <w:ind w:firstLine="560"/>
              <w:rPr>
                <w:szCs w:val="21"/>
              </w:rPr>
            </w:pPr>
            <w:r>
              <w:rPr>
                <w:rFonts w:hint="eastAsia" w:ascii="宋体" w:hAnsi="等线" w:cs="Times New Roman"/>
                <w:caps/>
                <w:szCs w:val="21"/>
                <w:lang w:bidi="ar"/>
              </w:rPr>
              <w:t>效率</w:t>
            </w:r>
          </w:p>
        </w:tc>
        <w:tc>
          <w:tcPr>
            <w:tcW w:w="1675" w:type="pct"/>
            <w:tcBorders>
              <w:top w:val="single" w:color="auto" w:sz="4" w:space="0"/>
              <w:left w:val="single" w:color="auto" w:sz="4" w:space="0"/>
              <w:bottom w:val="single" w:color="auto" w:sz="4" w:space="0"/>
              <w:right w:val="single" w:color="auto" w:sz="4" w:space="0"/>
            </w:tcBorders>
            <w:shd w:val="clear" w:color="auto" w:fill="auto"/>
            <w:vAlign w:val="center"/>
          </w:tcPr>
          <w:p w14:paraId="3BF9D56D">
            <w:pPr>
              <w:spacing w:line="240" w:lineRule="auto"/>
              <w:ind w:firstLine="560"/>
              <w:rPr>
                <w:szCs w:val="21"/>
              </w:rPr>
            </w:pPr>
            <w:r>
              <w:rPr>
                <w:rFonts w:hint="eastAsia" w:ascii="宋体" w:hAnsi="等线" w:cs="Times New Roman"/>
                <w:caps/>
                <w:szCs w:val="21"/>
                <w:lang w:bidi="ar"/>
              </w:rPr>
              <w:t>输入功率因数</w:t>
            </w:r>
          </w:p>
        </w:tc>
      </w:tr>
      <w:tr w14:paraId="683A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2" w:type="pct"/>
            <w:tcBorders>
              <w:top w:val="single" w:color="auto" w:sz="4" w:space="0"/>
              <w:left w:val="single" w:color="auto" w:sz="4" w:space="0"/>
              <w:bottom w:val="single" w:color="auto" w:sz="4" w:space="0"/>
              <w:right w:val="single" w:color="auto" w:sz="4" w:space="0"/>
            </w:tcBorders>
            <w:shd w:val="clear" w:color="auto" w:fill="auto"/>
            <w:vAlign w:val="center"/>
          </w:tcPr>
          <w:p w14:paraId="3BF5E310">
            <w:pPr>
              <w:spacing w:line="240" w:lineRule="auto"/>
              <w:ind w:firstLine="560"/>
              <w:rPr>
                <w:szCs w:val="21"/>
              </w:rPr>
            </w:pPr>
            <w:r>
              <w:rPr>
                <w:rFonts w:hint="eastAsia" w:ascii="宋体" w:hAnsi="等线" w:cs="Times New Roman"/>
                <w:caps/>
                <w:szCs w:val="21"/>
                <w:lang w:bidi="ar"/>
              </w:rPr>
              <w:t>20</w:t>
            </w:r>
            <w:r>
              <w:rPr>
                <w:rFonts w:hint="eastAsia" w:ascii="宋体" w:hAnsi="等线" w:cs="等线"/>
                <w:caps/>
                <w:szCs w:val="21"/>
                <w:lang w:bidi="ar"/>
              </w:rPr>
              <w:t> </w:t>
            </w:r>
            <w:r>
              <w:rPr>
                <w:rFonts w:hint="eastAsia" w:ascii="宋体" w:hAnsi="等线" w:cs="Times New Roman"/>
                <w:caps/>
                <w:szCs w:val="21"/>
                <w:lang w:bidi="ar"/>
              </w:rPr>
              <w:t>%≤PO/PN ≤50</w:t>
            </w:r>
            <w:r>
              <w:rPr>
                <w:rFonts w:hint="eastAsia" w:ascii="宋体" w:hAnsi="等线" w:cs="等线"/>
                <w:caps/>
                <w:szCs w:val="21"/>
                <w:lang w:bidi="ar"/>
              </w:rPr>
              <w:t> </w:t>
            </w:r>
            <w:r>
              <w:rPr>
                <w:rFonts w:hint="eastAsia" w:ascii="宋体" w:hAnsi="等线" w:cs="Times New Roman"/>
                <w:caps/>
                <w:szCs w:val="21"/>
                <w:lang w:bidi="ar"/>
              </w:rPr>
              <w:t>%</w:t>
            </w:r>
          </w:p>
        </w:tc>
        <w:tc>
          <w:tcPr>
            <w:tcW w:w="1133" w:type="pct"/>
            <w:tcBorders>
              <w:top w:val="single" w:color="auto" w:sz="4" w:space="0"/>
              <w:left w:val="single" w:color="auto" w:sz="4" w:space="0"/>
              <w:bottom w:val="single" w:color="auto" w:sz="4" w:space="0"/>
              <w:right w:val="single" w:color="auto" w:sz="4" w:space="0"/>
            </w:tcBorders>
            <w:shd w:val="clear" w:color="auto" w:fill="auto"/>
            <w:vAlign w:val="center"/>
          </w:tcPr>
          <w:p w14:paraId="6314A3C5">
            <w:pPr>
              <w:spacing w:line="240" w:lineRule="auto"/>
              <w:ind w:firstLine="560"/>
              <w:rPr>
                <w:szCs w:val="21"/>
              </w:rPr>
            </w:pPr>
            <w:r>
              <w:rPr>
                <w:rFonts w:hint="eastAsia" w:ascii="宋体" w:hAnsi="等线" w:cs="Times New Roman"/>
                <w:caps/>
                <w:szCs w:val="21"/>
                <w:lang w:bidi="ar"/>
              </w:rPr>
              <w:t>≥9</w:t>
            </w:r>
            <w:r>
              <w:rPr>
                <w:rFonts w:ascii="宋体" w:hAnsi="等线" w:cs="Times New Roman"/>
                <w:caps/>
                <w:szCs w:val="21"/>
                <w:lang w:bidi="ar"/>
              </w:rPr>
              <w:t>3</w:t>
            </w:r>
            <w:r>
              <w:rPr>
                <w:rFonts w:hint="eastAsia" w:ascii="宋体" w:hAnsi="等线" w:cs="Times New Roman"/>
                <w:caps/>
                <w:szCs w:val="21"/>
                <w:lang w:bidi="ar"/>
              </w:rPr>
              <w:t>%</w:t>
            </w:r>
          </w:p>
        </w:tc>
        <w:tc>
          <w:tcPr>
            <w:tcW w:w="1675" w:type="pct"/>
            <w:tcBorders>
              <w:top w:val="single" w:color="auto" w:sz="4" w:space="0"/>
              <w:left w:val="single" w:color="auto" w:sz="4" w:space="0"/>
              <w:bottom w:val="single" w:color="auto" w:sz="4" w:space="0"/>
              <w:right w:val="single" w:color="auto" w:sz="4" w:space="0"/>
            </w:tcBorders>
            <w:shd w:val="clear" w:color="auto" w:fill="auto"/>
            <w:vAlign w:val="center"/>
          </w:tcPr>
          <w:p w14:paraId="29DB96EE">
            <w:pPr>
              <w:spacing w:line="240" w:lineRule="auto"/>
              <w:ind w:firstLine="560"/>
              <w:rPr>
                <w:szCs w:val="21"/>
              </w:rPr>
            </w:pPr>
            <w:r>
              <w:rPr>
                <w:rFonts w:hint="eastAsia" w:ascii="宋体" w:hAnsi="等线" w:cs="Times New Roman"/>
                <w:caps/>
                <w:szCs w:val="21"/>
                <w:lang w:bidi="ar"/>
              </w:rPr>
              <w:t>≥0.99</w:t>
            </w:r>
          </w:p>
        </w:tc>
      </w:tr>
      <w:tr w14:paraId="7D96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2" w:type="pct"/>
            <w:tcBorders>
              <w:top w:val="single" w:color="auto" w:sz="4" w:space="0"/>
              <w:left w:val="single" w:color="auto" w:sz="4" w:space="0"/>
              <w:bottom w:val="single" w:color="auto" w:sz="4" w:space="0"/>
              <w:right w:val="single" w:color="auto" w:sz="4" w:space="0"/>
            </w:tcBorders>
            <w:shd w:val="clear" w:color="auto" w:fill="auto"/>
            <w:vAlign w:val="center"/>
          </w:tcPr>
          <w:p w14:paraId="14CD51C5">
            <w:pPr>
              <w:spacing w:line="240" w:lineRule="auto"/>
              <w:ind w:firstLine="560"/>
              <w:rPr>
                <w:szCs w:val="21"/>
              </w:rPr>
            </w:pPr>
            <w:r>
              <w:rPr>
                <w:rFonts w:hint="eastAsia" w:ascii="宋体" w:hAnsi="等线" w:cs="Times New Roman"/>
                <w:caps/>
                <w:szCs w:val="21"/>
                <w:lang w:bidi="ar"/>
              </w:rPr>
              <w:t>50</w:t>
            </w:r>
            <w:r>
              <w:rPr>
                <w:rFonts w:hint="eastAsia" w:ascii="宋体" w:hAnsi="等线" w:cs="等线"/>
                <w:caps/>
                <w:szCs w:val="21"/>
                <w:lang w:bidi="ar"/>
              </w:rPr>
              <w:t> </w:t>
            </w:r>
            <w:r>
              <w:rPr>
                <w:rFonts w:hint="eastAsia" w:ascii="宋体" w:hAnsi="等线" w:cs="Times New Roman"/>
                <w:caps/>
                <w:szCs w:val="21"/>
                <w:lang w:bidi="ar"/>
              </w:rPr>
              <w:t>%＜PO/PN ≤100</w:t>
            </w:r>
            <w:r>
              <w:rPr>
                <w:rFonts w:hint="eastAsia" w:ascii="宋体" w:hAnsi="等线" w:cs="等线"/>
                <w:caps/>
                <w:szCs w:val="21"/>
                <w:lang w:bidi="ar"/>
              </w:rPr>
              <w:t> </w:t>
            </w:r>
            <w:r>
              <w:rPr>
                <w:rFonts w:hint="eastAsia" w:ascii="宋体" w:hAnsi="等线" w:cs="Times New Roman"/>
                <w:caps/>
                <w:szCs w:val="21"/>
                <w:lang w:bidi="ar"/>
              </w:rPr>
              <w:t>%</w:t>
            </w:r>
          </w:p>
        </w:tc>
        <w:tc>
          <w:tcPr>
            <w:tcW w:w="1133" w:type="pct"/>
            <w:tcBorders>
              <w:top w:val="single" w:color="auto" w:sz="4" w:space="0"/>
              <w:left w:val="single" w:color="auto" w:sz="4" w:space="0"/>
              <w:bottom w:val="single" w:color="auto" w:sz="4" w:space="0"/>
              <w:right w:val="single" w:color="auto" w:sz="4" w:space="0"/>
            </w:tcBorders>
            <w:shd w:val="clear" w:color="auto" w:fill="auto"/>
            <w:vAlign w:val="center"/>
          </w:tcPr>
          <w:p w14:paraId="23C69D0E">
            <w:pPr>
              <w:spacing w:line="240" w:lineRule="auto"/>
              <w:ind w:firstLine="560"/>
              <w:rPr>
                <w:szCs w:val="21"/>
              </w:rPr>
            </w:pPr>
            <w:r>
              <w:rPr>
                <w:rFonts w:hint="eastAsia" w:ascii="宋体" w:hAnsi="等线" w:cs="Times New Roman"/>
                <w:caps/>
                <w:szCs w:val="21"/>
                <w:lang w:bidi="ar"/>
              </w:rPr>
              <w:t>≥9</w:t>
            </w:r>
            <w:r>
              <w:rPr>
                <w:rFonts w:ascii="宋体" w:hAnsi="等线" w:cs="Times New Roman"/>
                <w:caps/>
                <w:szCs w:val="21"/>
                <w:lang w:bidi="ar"/>
              </w:rPr>
              <w:t>6</w:t>
            </w:r>
            <w:r>
              <w:rPr>
                <w:rFonts w:hint="eastAsia" w:ascii="宋体" w:hAnsi="等线" w:cs="Times New Roman"/>
                <w:caps/>
                <w:szCs w:val="21"/>
                <w:lang w:bidi="ar"/>
              </w:rPr>
              <w:t>%</w:t>
            </w:r>
          </w:p>
        </w:tc>
        <w:tc>
          <w:tcPr>
            <w:tcW w:w="1675" w:type="pct"/>
            <w:tcBorders>
              <w:top w:val="single" w:color="auto" w:sz="4" w:space="0"/>
              <w:left w:val="single" w:color="auto" w:sz="4" w:space="0"/>
              <w:bottom w:val="single" w:color="auto" w:sz="4" w:space="0"/>
              <w:right w:val="single" w:color="auto" w:sz="4" w:space="0"/>
            </w:tcBorders>
            <w:shd w:val="clear" w:color="auto" w:fill="auto"/>
            <w:vAlign w:val="center"/>
          </w:tcPr>
          <w:p w14:paraId="1583D531">
            <w:pPr>
              <w:spacing w:line="240" w:lineRule="auto"/>
              <w:ind w:firstLine="560"/>
              <w:rPr>
                <w:szCs w:val="21"/>
              </w:rPr>
            </w:pPr>
            <w:r>
              <w:rPr>
                <w:rFonts w:hint="eastAsia" w:ascii="宋体" w:hAnsi="等线" w:cs="Times New Roman"/>
                <w:caps/>
                <w:szCs w:val="21"/>
                <w:lang w:bidi="ar"/>
              </w:rPr>
              <w:t>≥0.99</w:t>
            </w:r>
          </w:p>
        </w:tc>
      </w:tr>
      <w:tr w14:paraId="14BE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12797D">
            <w:pPr>
              <w:spacing w:line="240" w:lineRule="auto"/>
              <w:ind w:firstLine="560"/>
              <w:rPr>
                <w:szCs w:val="21"/>
              </w:rPr>
            </w:pPr>
            <w:r>
              <w:rPr>
                <w:rFonts w:hint="eastAsia" w:ascii="宋体" w:hAnsi="等线" w:cs="Times New Roman"/>
                <w:caps/>
                <w:szCs w:val="21"/>
                <w:lang w:bidi="ar"/>
              </w:rPr>
              <w:t>注 1:输入功率因最要求仅适用于交流供电充电机。</w:t>
            </w:r>
          </w:p>
          <w:p w14:paraId="75CB5665">
            <w:pPr>
              <w:spacing w:line="240" w:lineRule="auto"/>
              <w:ind w:firstLine="560"/>
              <w:rPr>
                <w:szCs w:val="21"/>
              </w:rPr>
            </w:pPr>
            <w:r>
              <w:rPr>
                <w:rFonts w:hint="eastAsia" w:ascii="宋体" w:hAnsi="等线" w:cs="Times New Roman"/>
                <w:caps/>
                <w:szCs w:val="21"/>
                <w:lang w:bidi="ar"/>
              </w:rPr>
              <w:t>注 2:具备恒功率输出特性的充电机，效率测试点应至少涵盖充电机每个恒功率段的输出电压最大值、中间值、最小值三点。</w:t>
            </w:r>
          </w:p>
        </w:tc>
      </w:tr>
    </w:tbl>
    <w:p w14:paraId="09E69563">
      <w:pPr>
        <w:ind w:firstLine="560"/>
        <w:rPr>
          <w:szCs w:val="21"/>
        </w:rPr>
      </w:pPr>
      <w:r>
        <w:rPr>
          <w:rFonts w:hint="eastAsia" w:ascii="宋体" w:hAnsi="等线" w:cs="Times New Roman"/>
          <w:caps/>
          <w:szCs w:val="21"/>
          <w:lang w:bidi="ar"/>
        </w:rPr>
        <w:t>充电机应采用GB/T 20234.1-2015附录A中规定的充电模式4、连接方式C对电动汽车进行充电。车辆插头应符合GB/T 20234.1-2015和GBT20234.3-2015的规定。</w:t>
      </w:r>
    </w:p>
    <w:p w14:paraId="6DFDB767">
      <w:pPr>
        <w:pStyle w:val="7"/>
        <w:bidi w:val="0"/>
        <w:rPr>
          <w:sz w:val="24"/>
          <w:szCs w:val="24"/>
        </w:rPr>
      </w:pPr>
      <w:r>
        <w:rPr>
          <w:rFonts w:hint="eastAsia"/>
          <w:sz w:val="24"/>
          <w:szCs w:val="24"/>
        </w:rPr>
        <w:t>控制导引电路</w:t>
      </w:r>
    </w:p>
    <w:p w14:paraId="3971CC5A">
      <w:pPr>
        <w:ind w:firstLine="560"/>
        <w:rPr>
          <w:szCs w:val="21"/>
        </w:rPr>
      </w:pPr>
      <w:r>
        <w:rPr>
          <w:rFonts w:hint="eastAsia" w:ascii="宋体" w:hAnsi="等线" w:cs="Times New Roman"/>
          <w:caps/>
          <w:szCs w:val="21"/>
          <w:lang w:bidi="ar"/>
        </w:rPr>
        <w:t>充电机的控制导引电路应符合GB/T 18487.1-2015中B1和B2的规定。</w:t>
      </w:r>
    </w:p>
    <w:p w14:paraId="5DB95BC1">
      <w:pPr>
        <w:pStyle w:val="7"/>
        <w:bidi w:val="0"/>
        <w:rPr>
          <w:sz w:val="24"/>
          <w:szCs w:val="24"/>
        </w:rPr>
      </w:pPr>
      <w:r>
        <w:rPr>
          <w:rFonts w:hint="eastAsia"/>
          <w:sz w:val="24"/>
          <w:szCs w:val="24"/>
        </w:rPr>
        <w:t>充电控制时序与流程</w:t>
      </w:r>
    </w:p>
    <w:p w14:paraId="2B01EAC2">
      <w:pPr>
        <w:ind w:firstLine="560"/>
        <w:rPr>
          <w:szCs w:val="21"/>
        </w:rPr>
      </w:pPr>
      <w:r>
        <w:rPr>
          <w:rFonts w:hint="eastAsia" w:ascii="宋体" w:hAnsi="等线" w:cs="Times New Roman"/>
          <w:caps/>
          <w:szCs w:val="21"/>
          <w:lang w:bidi="ar"/>
        </w:rPr>
        <w:t>充电机与电动汽车充电控制时序与流程，应符合GB/T 18487.1-2015中B.3、B.4、B.5、B.6的规定。</w:t>
      </w:r>
    </w:p>
    <w:p w14:paraId="0397E0AF">
      <w:pPr>
        <w:pStyle w:val="7"/>
        <w:bidi w:val="0"/>
      </w:pPr>
      <w:r>
        <w:rPr>
          <w:rFonts w:hint="eastAsia"/>
          <w:sz w:val="24"/>
          <w:szCs w:val="24"/>
        </w:rPr>
        <w:t>可靠性指标</w:t>
      </w:r>
    </w:p>
    <w:p w14:paraId="749342A2">
      <w:pPr>
        <w:ind w:firstLine="560"/>
        <w:rPr>
          <w:szCs w:val="21"/>
        </w:rPr>
      </w:pPr>
      <w:r>
        <w:rPr>
          <w:rFonts w:hint="eastAsia" w:ascii="宋体" w:hAnsi="等线" w:cs="Times New Roman"/>
          <w:caps/>
          <w:szCs w:val="21"/>
          <w:lang w:bidi="ar"/>
        </w:rPr>
        <w:t>充电机平均故障间隔时间（MTBF）应大于等于26280h。</w:t>
      </w:r>
    </w:p>
    <w:p w14:paraId="50702F5F">
      <w:pPr>
        <w:ind w:firstLine="560"/>
        <w:rPr>
          <w:szCs w:val="21"/>
        </w:rPr>
      </w:pPr>
      <w:r>
        <w:rPr>
          <w:rFonts w:hint="eastAsia" w:ascii="宋体" w:hAnsi="等线" w:cs="Times New Roman"/>
          <w:caps/>
          <w:szCs w:val="21"/>
          <w:lang w:bidi="ar"/>
        </w:rPr>
        <w:t>充电枪寿命：充电桩配套插头的空载插拔次数不低于2万次。</w:t>
      </w:r>
    </w:p>
    <w:p w14:paraId="048A388B">
      <w:pPr>
        <w:pStyle w:val="7"/>
        <w:bidi w:val="0"/>
        <w:rPr>
          <w:rFonts w:ascii="Times New Roman"/>
          <w:sz w:val="24"/>
        </w:rPr>
      </w:pPr>
      <w:r>
        <w:rPr>
          <w:rFonts w:hint="eastAsia" w:ascii="宋体" w:hAnsi="等线" w:cs="Times New Roman"/>
          <w:caps/>
          <w:szCs w:val="21"/>
          <w:lang w:bidi="ar"/>
        </w:rPr>
        <w:t>★</w:t>
      </w:r>
      <w:r>
        <w:rPr>
          <w:rFonts w:hint="eastAsia" w:ascii="Times New Roman"/>
          <w:sz w:val="24"/>
        </w:rPr>
        <w:t>机械强度</w:t>
      </w:r>
    </w:p>
    <w:p w14:paraId="45A7EB10">
      <w:pPr>
        <w:ind w:firstLine="560"/>
        <w:rPr>
          <w:rFonts w:hint="eastAsia" w:eastAsia="仿宋"/>
          <w:szCs w:val="21"/>
          <w:lang w:val="en-US" w:eastAsia="zh-CN"/>
        </w:rPr>
      </w:pPr>
      <w:r>
        <w:rPr>
          <w:rFonts w:hint="eastAsia" w:ascii="宋体" w:hAnsi="等线" w:cs="Times New Roman"/>
          <w:caps/>
          <w:szCs w:val="21"/>
          <w:lang w:bidi="ar"/>
        </w:rPr>
        <w:t>充电机应能通过撞击元件调整相对高度获得</w:t>
      </w:r>
      <w:r>
        <w:rPr>
          <w:rFonts w:hint="eastAsia" w:ascii="宋体" w:hAnsi="等线" w:cs="Times New Roman"/>
          <w:caps/>
          <w:color w:val="FF0000"/>
          <w:szCs w:val="21"/>
          <w:lang w:val="en-US" w:eastAsia="zh-CN" w:bidi="ar"/>
        </w:rPr>
        <w:t>20</w:t>
      </w:r>
      <w:r>
        <w:rPr>
          <w:rFonts w:hint="eastAsia" w:ascii="宋体" w:hAnsi="等线" w:cs="Times New Roman"/>
          <w:caps/>
          <w:color w:val="FF0000"/>
          <w:szCs w:val="21"/>
          <w:lang w:bidi="ar"/>
        </w:rPr>
        <w:t>J</w:t>
      </w:r>
      <w:r>
        <w:rPr>
          <w:rFonts w:hint="eastAsia" w:ascii="宋体" w:hAnsi="等线" w:cs="Times New Roman"/>
          <w:caps/>
          <w:szCs w:val="21"/>
          <w:lang w:bidi="ar"/>
        </w:rPr>
        <w:t>或更高撞击能量施加与受施外壳表面</w:t>
      </w:r>
      <w:r>
        <w:rPr>
          <w:rFonts w:ascii="宋体" w:hAnsi="等线" w:cs="Times New Roman"/>
          <w:caps/>
          <w:szCs w:val="21"/>
          <w:lang w:bidi="ar"/>
        </w:rPr>
        <w:t>，</w:t>
      </w:r>
      <w:r>
        <w:rPr>
          <w:rFonts w:hint="eastAsia" w:ascii="宋体" w:hAnsi="等线" w:cs="Times New Roman"/>
          <w:caps/>
          <w:szCs w:val="21"/>
          <w:lang w:bidi="ar"/>
        </w:rPr>
        <w:t>试验结果设备完好无损坏</w:t>
      </w:r>
      <w:r>
        <w:rPr>
          <w:rFonts w:ascii="宋体" w:hAnsi="等线" w:cs="Times New Roman"/>
          <w:caps/>
          <w:szCs w:val="21"/>
          <w:lang w:bidi="ar"/>
        </w:rPr>
        <w:t>且满足IK10级</w:t>
      </w:r>
      <w:r>
        <w:rPr>
          <w:rFonts w:hint="eastAsia" w:ascii="宋体" w:hAnsi="等线" w:cs="Times New Roman"/>
          <w:caps/>
          <w:szCs w:val="21"/>
          <w:lang w:bidi="ar"/>
        </w:rPr>
        <w:t>。</w:t>
      </w:r>
      <w:r>
        <w:rPr>
          <w:rFonts w:hint="eastAsia" w:ascii="宋体" w:hAnsi="等线" w:cs="Times New Roman"/>
          <w:caps/>
          <w:szCs w:val="21"/>
          <w:lang w:eastAsia="zh-CN" w:bidi="ar"/>
        </w:rPr>
        <w:t>（</w:t>
      </w:r>
      <w:r>
        <w:rPr>
          <w:rFonts w:hint="eastAsia" w:ascii="仿宋" w:hAnsi="仿宋" w:eastAsia="仿宋"/>
          <w:color w:val="FF0000"/>
          <w:sz w:val="24"/>
          <w:szCs w:val="24"/>
        </w:rPr>
        <w:t>提供投标产品厂家技术参数表或投标产品说明书或第三方</w:t>
      </w:r>
      <w:r>
        <w:rPr>
          <w:rFonts w:ascii="仿宋" w:hAnsi="仿宋" w:eastAsia="仿宋"/>
          <w:color w:val="FF0000"/>
          <w:sz w:val="24"/>
          <w:szCs w:val="24"/>
        </w:rPr>
        <w:t>CMA检测报告</w:t>
      </w:r>
      <w:r>
        <w:rPr>
          <w:rFonts w:hint="eastAsia"/>
          <w:color w:val="FF0000"/>
          <w:sz w:val="24"/>
          <w:szCs w:val="24"/>
          <w:lang w:eastAsia="zh-CN"/>
        </w:rPr>
        <w:t>。</w:t>
      </w:r>
      <w:r>
        <w:rPr>
          <w:rFonts w:hint="eastAsia"/>
          <w:color w:val="FF0000"/>
          <w:sz w:val="24"/>
          <w:szCs w:val="24"/>
          <w:lang w:val="en-US" w:eastAsia="zh-CN"/>
        </w:rPr>
        <w:t>)</w:t>
      </w:r>
    </w:p>
    <w:p w14:paraId="55F191FD">
      <w:pPr>
        <w:pStyle w:val="7"/>
        <w:bidi w:val="0"/>
        <w:rPr>
          <w:sz w:val="24"/>
          <w:szCs w:val="24"/>
        </w:rPr>
      </w:pPr>
      <w:r>
        <w:rPr>
          <w:rFonts w:hint="eastAsia"/>
          <w:sz w:val="24"/>
          <w:szCs w:val="24"/>
        </w:rPr>
        <w:t>噪声</w:t>
      </w:r>
    </w:p>
    <w:p w14:paraId="2F7A7432">
      <w:pPr>
        <w:ind w:firstLine="560"/>
        <w:rPr>
          <w:szCs w:val="21"/>
        </w:rPr>
      </w:pPr>
      <w:r>
        <w:rPr>
          <w:rFonts w:hint="eastAsia" w:ascii="宋体" w:hAnsi="等线" w:cs="Times New Roman"/>
          <w:caps/>
          <w:szCs w:val="21"/>
          <w:lang w:bidi="ar"/>
        </w:rPr>
        <w:t>正常试验条件下，交流输入为额定值，充电机在额定输出功率下且内部温度稳定后，在周围环境噪声不大于40dB的条件下，距离充电机水平位置1m处，终端噪声不大于40dB。</w:t>
      </w:r>
    </w:p>
    <w:p w14:paraId="07C8817A">
      <w:pPr>
        <w:pStyle w:val="7"/>
        <w:bidi w:val="0"/>
        <w:rPr>
          <w:sz w:val="24"/>
          <w:szCs w:val="24"/>
        </w:rPr>
      </w:pPr>
      <w:r>
        <w:rPr>
          <w:rFonts w:hint="eastAsia"/>
          <w:sz w:val="24"/>
          <w:szCs w:val="24"/>
        </w:rPr>
        <w:t>高低温和湿热性能</w:t>
      </w:r>
    </w:p>
    <w:p w14:paraId="321BDA98">
      <w:pPr>
        <w:ind w:firstLine="560"/>
        <w:rPr>
          <w:szCs w:val="21"/>
        </w:rPr>
      </w:pPr>
      <w:r>
        <w:rPr>
          <w:rFonts w:hint="eastAsia" w:ascii="宋体" w:hAnsi="等线" w:cs="Times New Roman"/>
          <w:caps/>
          <w:szCs w:val="21"/>
          <w:lang w:bidi="ar"/>
        </w:rPr>
        <w:t>（1）低温性能</w:t>
      </w:r>
    </w:p>
    <w:p w14:paraId="719DD8AD">
      <w:pPr>
        <w:ind w:firstLine="560"/>
        <w:rPr>
          <w:szCs w:val="21"/>
        </w:rPr>
      </w:pPr>
      <w:r>
        <w:rPr>
          <w:rFonts w:hint="eastAsia" w:ascii="宋体" w:hAnsi="等线" w:cs="Times New Roman"/>
          <w:caps/>
          <w:szCs w:val="21"/>
          <w:lang w:bidi="ar"/>
        </w:rPr>
        <w:t>按GB/T 2423.1-2008中试验Ad规定的方法进行试验，试验温度不低于-</w:t>
      </w:r>
      <w:r>
        <w:rPr>
          <w:rFonts w:ascii="宋体" w:hAnsi="等线" w:cs="Times New Roman"/>
          <w:caps/>
          <w:szCs w:val="21"/>
          <w:lang w:bidi="ar"/>
        </w:rPr>
        <w:t>20</w:t>
      </w:r>
      <w:r>
        <w:rPr>
          <w:rFonts w:hint="eastAsia" w:ascii="宋体" w:hAnsi="等线" w:cs="Times New Roman"/>
          <w:caps/>
          <w:szCs w:val="21"/>
          <w:lang w:bidi="ar"/>
        </w:rPr>
        <w:t>℃，待达到试验温度后启动充电机，充电机应能正常工作。试验温度持续2小时后，测试充电机的稳流精度应符合规定。</w:t>
      </w:r>
    </w:p>
    <w:p w14:paraId="4F8E4E6C">
      <w:pPr>
        <w:ind w:firstLine="560"/>
        <w:rPr>
          <w:szCs w:val="21"/>
        </w:rPr>
      </w:pPr>
      <w:r>
        <w:rPr>
          <w:rFonts w:hint="eastAsia" w:ascii="宋体" w:hAnsi="等线" w:cs="Times New Roman"/>
          <w:caps/>
          <w:szCs w:val="21"/>
          <w:lang w:bidi="ar"/>
        </w:rPr>
        <w:t>（2）高温性能</w:t>
      </w:r>
    </w:p>
    <w:p w14:paraId="21635C87">
      <w:pPr>
        <w:ind w:firstLine="560"/>
        <w:rPr>
          <w:szCs w:val="21"/>
        </w:rPr>
      </w:pPr>
      <w:r>
        <w:rPr>
          <w:rFonts w:hint="eastAsia" w:ascii="宋体" w:hAnsi="等线" w:cs="Times New Roman"/>
          <w:caps/>
          <w:szCs w:val="21"/>
          <w:lang w:bidi="ar"/>
        </w:rPr>
        <w:t>按GB/T 2423.2-2008中试验Bd规定的方法进行试验，试验温度不低于6</w:t>
      </w:r>
      <w:r>
        <w:rPr>
          <w:rFonts w:ascii="宋体" w:hAnsi="等线" w:cs="Times New Roman"/>
          <w:caps/>
          <w:szCs w:val="21"/>
          <w:lang w:bidi="ar"/>
        </w:rPr>
        <w:t>0</w:t>
      </w:r>
      <w:r>
        <w:rPr>
          <w:rFonts w:hint="eastAsia" w:ascii="宋体" w:hAnsi="等线" w:cs="Times New Roman"/>
          <w:caps/>
          <w:szCs w:val="21"/>
          <w:lang w:bidi="ar"/>
        </w:rPr>
        <w:t>℃，待达到试验温度后启动充电机，充电机应能正常工作。试验温度持续2小时后，测试充电机的稳流精度应符合规定。</w:t>
      </w:r>
    </w:p>
    <w:p w14:paraId="297FBA99">
      <w:pPr>
        <w:pStyle w:val="24"/>
        <w:rPr>
          <w:rFonts w:hint="eastAsia" w:ascii="宋体" w:hAnsi="等线" w:eastAsia="宋体"/>
          <w:kern w:val="2"/>
          <w:sz w:val="24"/>
          <w:szCs w:val="24"/>
          <w:lang w:bidi="ar"/>
        </w:rPr>
      </w:pPr>
      <w:r>
        <w:rPr>
          <w:rFonts w:hint="eastAsia" w:ascii="宋体" w:hAnsi="等线" w:eastAsia="宋体"/>
          <w:kern w:val="2"/>
          <w:sz w:val="24"/>
          <w:szCs w:val="24"/>
          <w:lang w:bidi="ar"/>
        </w:rPr>
        <w:t>（3）湿热性能</w:t>
      </w:r>
    </w:p>
    <w:p w14:paraId="12DE2983">
      <w:pPr>
        <w:pStyle w:val="24"/>
        <w:rPr>
          <w:sz w:val="24"/>
          <w:szCs w:val="24"/>
        </w:rPr>
      </w:pPr>
      <w:r>
        <w:rPr>
          <w:rFonts w:hint="eastAsia" w:ascii="宋体" w:hAnsi="等线" w:eastAsia="宋体"/>
          <w:kern w:val="2"/>
          <w:sz w:val="24"/>
          <w:szCs w:val="24"/>
          <w:lang w:bidi="ar"/>
        </w:rPr>
        <w:t>按GB/T 2423.4-2008中试验Db规定的方法进行试验，试验温度为不低于</w:t>
      </w:r>
      <w:r>
        <w:rPr>
          <w:rFonts w:hint="eastAsia" w:ascii="宋体" w:hAnsi="等线" w:eastAsia="宋体"/>
          <w:kern w:val="2"/>
          <w:sz w:val="24"/>
          <w:szCs w:val="24"/>
          <w:lang w:val="en-US" w:eastAsia="zh-CN" w:bidi="ar"/>
        </w:rPr>
        <w:t>45</w:t>
      </w:r>
      <w:r>
        <w:rPr>
          <w:rFonts w:hint="eastAsia" w:ascii="宋体" w:hAnsi="等线" w:eastAsia="宋体"/>
          <w:kern w:val="2"/>
          <w:sz w:val="24"/>
          <w:szCs w:val="24"/>
          <w:lang w:bidi="ar"/>
        </w:rPr>
        <w:t>℃，循环次数不低于</w:t>
      </w:r>
      <w:r>
        <w:rPr>
          <w:rFonts w:hint="eastAsia" w:ascii="宋体" w:hAnsi="等线" w:eastAsia="宋体"/>
          <w:kern w:val="2"/>
          <w:sz w:val="24"/>
          <w:szCs w:val="24"/>
          <w:lang w:val="en-US" w:eastAsia="zh-CN" w:bidi="ar"/>
        </w:rPr>
        <w:t>2</w:t>
      </w:r>
      <w:r>
        <w:rPr>
          <w:rFonts w:hint="eastAsia" w:ascii="宋体" w:hAnsi="等线" w:eastAsia="宋体"/>
          <w:kern w:val="2"/>
          <w:sz w:val="24"/>
          <w:szCs w:val="24"/>
          <w:lang w:bidi="ar"/>
        </w:rPr>
        <w:t>次，在试验结束前2h进行绝缘电阻和介电强度检测，其中绝缘电阻不应小于1MΩ，介电强度按表2规定值的75％施加测量电压。试验结束后，恢复至正常大气条件，通电后检查充电机各项功能应正常。</w:t>
      </w:r>
    </w:p>
    <w:p w14:paraId="6FEB4826">
      <w:pPr>
        <w:pStyle w:val="7"/>
        <w:bidi w:val="0"/>
        <w:rPr>
          <w:sz w:val="24"/>
          <w:szCs w:val="24"/>
        </w:rPr>
      </w:pPr>
      <w:r>
        <w:rPr>
          <w:rFonts w:hint="eastAsia"/>
          <w:sz w:val="24"/>
          <w:szCs w:val="24"/>
        </w:rPr>
        <w:t>电磁兼容</w:t>
      </w:r>
    </w:p>
    <w:p w14:paraId="303BD789">
      <w:pPr>
        <w:ind w:firstLine="560"/>
        <w:rPr>
          <w:szCs w:val="21"/>
        </w:rPr>
      </w:pPr>
      <w:r>
        <w:rPr>
          <w:rFonts w:hint="eastAsia" w:ascii="宋体" w:hAnsi="等线" w:cs="Times New Roman"/>
          <w:caps/>
          <w:szCs w:val="21"/>
          <w:lang w:bidi="ar"/>
        </w:rPr>
        <w:t>（1）抗扰度要求</w:t>
      </w:r>
    </w:p>
    <w:p w14:paraId="02C874D2">
      <w:pPr>
        <w:ind w:firstLine="560"/>
        <w:rPr>
          <w:szCs w:val="21"/>
        </w:rPr>
      </w:pPr>
      <w:r>
        <w:rPr>
          <w:rFonts w:hint="eastAsia" w:ascii="宋体" w:hAnsi="等线" w:cs="Times New Roman"/>
          <w:caps/>
          <w:szCs w:val="21"/>
          <w:lang w:bidi="ar"/>
        </w:rPr>
        <w:t>静电放电抗扰度：充电机应能承受GB/T 17626.2-2006中第5章规定的试验等级为</w:t>
      </w:r>
      <w:r>
        <w:rPr>
          <w:rFonts w:ascii="宋体" w:hAnsi="等线" w:cs="Times New Roman"/>
          <w:caps/>
          <w:szCs w:val="21"/>
          <w:lang w:bidi="ar"/>
        </w:rPr>
        <w:t>4</w:t>
      </w:r>
      <w:r>
        <w:rPr>
          <w:rFonts w:hint="eastAsia" w:ascii="宋体" w:hAnsi="等线" w:cs="Times New Roman"/>
          <w:caps/>
          <w:szCs w:val="21"/>
          <w:lang w:bidi="ar"/>
        </w:rPr>
        <w:t>级的静电放电抗扰度试验。</w:t>
      </w:r>
    </w:p>
    <w:p w14:paraId="41068ABB">
      <w:pPr>
        <w:ind w:firstLine="560"/>
        <w:rPr>
          <w:szCs w:val="21"/>
        </w:rPr>
      </w:pPr>
      <w:r>
        <w:rPr>
          <w:rFonts w:hint="eastAsia" w:ascii="宋体" w:hAnsi="等线" w:cs="Times New Roman"/>
          <w:caps/>
          <w:szCs w:val="21"/>
          <w:lang w:bidi="ar"/>
        </w:rPr>
        <w:t>电快速瞬变脉冲群抗扰度 ：充电机应能承受GB/T 17626.4-2008中第5章规定的试验等级为</w:t>
      </w:r>
      <w:r>
        <w:rPr>
          <w:rFonts w:ascii="宋体" w:hAnsi="等线" w:cs="Times New Roman"/>
          <w:caps/>
          <w:szCs w:val="21"/>
          <w:lang w:bidi="ar"/>
        </w:rPr>
        <w:t>4</w:t>
      </w:r>
      <w:r>
        <w:rPr>
          <w:rFonts w:hint="eastAsia" w:ascii="宋体" w:hAnsi="等线" w:cs="Times New Roman"/>
          <w:caps/>
          <w:szCs w:val="21"/>
          <w:lang w:bidi="ar"/>
        </w:rPr>
        <w:t>级的电快速瞬变脉冲群抗扰度试验。</w:t>
      </w:r>
    </w:p>
    <w:p w14:paraId="33050C90">
      <w:pPr>
        <w:ind w:firstLine="560"/>
        <w:rPr>
          <w:szCs w:val="21"/>
        </w:rPr>
      </w:pPr>
      <w:r>
        <w:rPr>
          <w:rFonts w:hint="eastAsia" w:ascii="宋体" w:hAnsi="等线" w:cs="Times New Roman"/>
          <w:caps/>
          <w:szCs w:val="21"/>
          <w:lang w:bidi="ar"/>
        </w:rPr>
        <w:t>浪涌（冲击）抗扰度：充电机应能承受GB/T 17626.5-2008中第5章规定的试验等级为</w:t>
      </w:r>
      <w:r>
        <w:rPr>
          <w:rFonts w:ascii="宋体" w:hAnsi="等线" w:cs="Times New Roman"/>
          <w:caps/>
          <w:szCs w:val="21"/>
          <w:lang w:bidi="ar"/>
        </w:rPr>
        <w:t>4</w:t>
      </w:r>
      <w:r>
        <w:rPr>
          <w:rFonts w:hint="eastAsia" w:ascii="宋体" w:hAnsi="等线" w:cs="Times New Roman"/>
          <w:caps/>
          <w:szCs w:val="21"/>
          <w:lang w:bidi="ar"/>
        </w:rPr>
        <w:t>级的浪涌（冲击）抗扰度试验。</w:t>
      </w:r>
    </w:p>
    <w:p w14:paraId="4F67AF97">
      <w:pPr>
        <w:ind w:firstLine="560"/>
        <w:rPr>
          <w:szCs w:val="21"/>
        </w:rPr>
      </w:pPr>
      <w:r>
        <w:rPr>
          <w:rFonts w:hint="eastAsia" w:ascii="宋体" w:hAnsi="等线" w:cs="Times New Roman"/>
          <w:caps/>
          <w:szCs w:val="21"/>
          <w:lang w:bidi="ar"/>
        </w:rPr>
        <w:t>（2）电磁发射限制要求</w:t>
      </w:r>
    </w:p>
    <w:p w14:paraId="57C811AA">
      <w:pPr>
        <w:ind w:firstLine="560"/>
        <w:rPr>
          <w:szCs w:val="21"/>
        </w:rPr>
      </w:pPr>
      <w:r>
        <w:rPr>
          <w:rFonts w:hint="eastAsia" w:ascii="宋体" w:hAnsi="等线" w:cs="Times New Roman"/>
          <w:caps/>
          <w:szCs w:val="21"/>
          <w:lang w:bidi="ar"/>
        </w:rPr>
        <w:t>传导和辐射发射限值要求：充电机的电源端口应符合表5规定的传导发射限值，外壳端口应符合下表规定的辐射发射限值。</w:t>
      </w:r>
    </w:p>
    <w:p w14:paraId="315A907C">
      <w:pPr>
        <w:ind w:firstLine="560"/>
        <w:rPr>
          <w:szCs w:val="21"/>
        </w:rPr>
      </w:pPr>
      <w:r>
        <w:rPr>
          <w:rFonts w:hint="eastAsia" w:ascii="宋体" w:hAnsi="等线" w:cs="Times New Roman"/>
          <w:caps/>
          <w:szCs w:val="21"/>
          <w:lang w:bidi="ar"/>
        </w:rPr>
        <w:t>传导发射限值</w:t>
      </w:r>
    </w:p>
    <w:tbl>
      <w:tblPr>
        <w:tblStyle w:val="8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2932"/>
        <w:gridCol w:w="2957"/>
      </w:tblGrid>
      <w:tr w14:paraId="66B6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65A3D5">
            <w:pPr>
              <w:ind w:firstLine="560"/>
              <w:rPr>
                <w:szCs w:val="21"/>
              </w:rPr>
            </w:pPr>
            <w:r>
              <w:rPr>
                <w:rFonts w:hint="eastAsia" w:ascii="宋体" w:hAnsi="等线" w:cs="Times New Roman"/>
                <w:caps/>
                <w:szCs w:val="21"/>
                <w:lang w:bidi="ar"/>
              </w:rPr>
              <w:t>频率范围（MHz）</w:t>
            </w:r>
          </w:p>
        </w:tc>
        <w:tc>
          <w:tcPr>
            <w:tcW w:w="32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4B2AD3">
            <w:pPr>
              <w:ind w:firstLine="560"/>
              <w:rPr>
                <w:szCs w:val="21"/>
              </w:rPr>
            </w:pPr>
            <w:r>
              <w:rPr>
                <w:rFonts w:hint="eastAsia" w:ascii="宋体" w:hAnsi="等线" w:cs="Times New Roman"/>
                <w:caps/>
                <w:szCs w:val="21"/>
                <w:lang w:bidi="ar"/>
              </w:rPr>
              <w:t>发射限值dB(μV)</w:t>
            </w:r>
          </w:p>
        </w:tc>
      </w:tr>
      <w:tr w14:paraId="5127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7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A14B6">
            <w:pPr>
              <w:rPr>
                <w:rFonts w:ascii="Times New Roman" w:hAnsi="Times New Roman" w:cs="Times New Roman"/>
                <w:szCs w:val="21"/>
              </w:rPr>
            </w:pPr>
          </w:p>
        </w:tc>
        <w:tc>
          <w:tcPr>
            <w:tcW w:w="1608" w:type="pct"/>
            <w:tcBorders>
              <w:top w:val="single" w:color="auto" w:sz="4" w:space="0"/>
              <w:left w:val="single" w:color="auto" w:sz="4" w:space="0"/>
              <w:bottom w:val="single" w:color="auto" w:sz="4" w:space="0"/>
              <w:right w:val="single" w:color="auto" w:sz="4" w:space="0"/>
            </w:tcBorders>
            <w:shd w:val="clear" w:color="auto" w:fill="auto"/>
            <w:vAlign w:val="center"/>
          </w:tcPr>
          <w:p w14:paraId="288930B5">
            <w:pPr>
              <w:ind w:firstLine="560"/>
              <w:rPr>
                <w:szCs w:val="21"/>
              </w:rPr>
            </w:pPr>
            <w:r>
              <w:rPr>
                <w:rFonts w:hint="eastAsia" w:ascii="宋体" w:hAnsi="等线" w:cs="Times New Roman"/>
                <w:caps/>
                <w:szCs w:val="21"/>
                <w:lang w:bidi="ar"/>
              </w:rPr>
              <w:t>准峰值</w:t>
            </w:r>
          </w:p>
        </w:tc>
        <w:tc>
          <w:tcPr>
            <w:tcW w:w="1621" w:type="pct"/>
            <w:tcBorders>
              <w:top w:val="single" w:color="auto" w:sz="4" w:space="0"/>
              <w:left w:val="single" w:color="auto" w:sz="4" w:space="0"/>
              <w:bottom w:val="single" w:color="auto" w:sz="4" w:space="0"/>
              <w:right w:val="single" w:color="auto" w:sz="4" w:space="0"/>
            </w:tcBorders>
            <w:shd w:val="clear" w:color="auto" w:fill="auto"/>
            <w:vAlign w:val="center"/>
          </w:tcPr>
          <w:p w14:paraId="321E5823">
            <w:pPr>
              <w:ind w:firstLine="560"/>
              <w:rPr>
                <w:szCs w:val="21"/>
              </w:rPr>
            </w:pPr>
            <w:r>
              <w:rPr>
                <w:rFonts w:hint="eastAsia" w:ascii="宋体" w:hAnsi="等线" w:cs="Times New Roman"/>
                <w:caps/>
                <w:szCs w:val="21"/>
                <w:lang w:bidi="ar"/>
              </w:rPr>
              <w:t>平均值</w:t>
            </w:r>
          </w:p>
        </w:tc>
      </w:tr>
      <w:tr w14:paraId="114C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769" w:type="pct"/>
            <w:tcBorders>
              <w:top w:val="single" w:color="auto" w:sz="4" w:space="0"/>
              <w:left w:val="single" w:color="auto" w:sz="4" w:space="0"/>
              <w:bottom w:val="single" w:color="auto" w:sz="4" w:space="0"/>
              <w:right w:val="single" w:color="auto" w:sz="4" w:space="0"/>
            </w:tcBorders>
            <w:shd w:val="clear" w:color="auto" w:fill="auto"/>
            <w:vAlign w:val="center"/>
          </w:tcPr>
          <w:p w14:paraId="05FC4CB2">
            <w:pPr>
              <w:ind w:firstLine="560"/>
              <w:rPr>
                <w:szCs w:val="21"/>
              </w:rPr>
            </w:pPr>
            <w:r>
              <w:rPr>
                <w:rFonts w:hint="eastAsia" w:ascii="宋体" w:hAnsi="等线" w:cs="Times New Roman"/>
                <w:caps/>
                <w:szCs w:val="21"/>
                <w:lang w:bidi="ar"/>
              </w:rPr>
              <w:t>0.15～0.5（不含0.5）</w:t>
            </w:r>
          </w:p>
        </w:tc>
        <w:tc>
          <w:tcPr>
            <w:tcW w:w="1608" w:type="pct"/>
            <w:tcBorders>
              <w:top w:val="single" w:color="auto" w:sz="4" w:space="0"/>
              <w:left w:val="single" w:color="auto" w:sz="4" w:space="0"/>
              <w:bottom w:val="single" w:color="auto" w:sz="4" w:space="0"/>
              <w:right w:val="single" w:color="auto" w:sz="4" w:space="0"/>
            </w:tcBorders>
            <w:shd w:val="clear" w:color="auto" w:fill="auto"/>
            <w:vAlign w:val="center"/>
          </w:tcPr>
          <w:p w14:paraId="3B170C53">
            <w:pPr>
              <w:ind w:firstLine="560"/>
              <w:rPr>
                <w:szCs w:val="21"/>
              </w:rPr>
            </w:pPr>
            <w:r>
              <w:rPr>
                <w:rFonts w:hint="eastAsia" w:ascii="宋体" w:hAnsi="等线" w:cs="Times New Roman"/>
                <w:caps/>
                <w:szCs w:val="21"/>
                <w:lang w:bidi="ar"/>
              </w:rPr>
              <w:t>79</w:t>
            </w:r>
          </w:p>
        </w:tc>
        <w:tc>
          <w:tcPr>
            <w:tcW w:w="1621" w:type="pct"/>
            <w:tcBorders>
              <w:top w:val="single" w:color="auto" w:sz="4" w:space="0"/>
              <w:left w:val="single" w:color="auto" w:sz="4" w:space="0"/>
              <w:bottom w:val="single" w:color="auto" w:sz="4" w:space="0"/>
              <w:right w:val="single" w:color="auto" w:sz="4" w:space="0"/>
            </w:tcBorders>
            <w:shd w:val="clear" w:color="auto" w:fill="auto"/>
            <w:vAlign w:val="center"/>
          </w:tcPr>
          <w:p w14:paraId="7E40A6D0">
            <w:pPr>
              <w:ind w:firstLine="560"/>
              <w:rPr>
                <w:szCs w:val="21"/>
              </w:rPr>
            </w:pPr>
            <w:r>
              <w:rPr>
                <w:rFonts w:hint="eastAsia" w:ascii="宋体" w:hAnsi="等线" w:cs="Times New Roman"/>
                <w:caps/>
                <w:szCs w:val="21"/>
                <w:lang w:bidi="ar"/>
              </w:rPr>
              <w:t>66</w:t>
            </w:r>
          </w:p>
        </w:tc>
      </w:tr>
      <w:tr w14:paraId="2971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769" w:type="pct"/>
            <w:tcBorders>
              <w:top w:val="single" w:color="auto" w:sz="4" w:space="0"/>
              <w:left w:val="single" w:color="auto" w:sz="4" w:space="0"/>
              <w:bottom w:val="single" w:color="auto" w:sz="4" w:space="0"/>
              <w:right w:val="single" w:color="auto" w:sz="4" w:space="0"/>
            </w:tcBorders>
            <w:shd w:val="clear" w:color="auto" w:fill="auto"/>
            <w:vAlign w:val="center"/>
          </w:tcPr>
          <w:p w14:paraId="3CABF42D">
            <w:pPr>
              <w:ind w:firstLine="560"/>
              <w:rPr>
                <w:szCs w:val="21"/>
              </w:rPr>
            </w:pPr>
            <w:r>
              <w:rPr>
                <w:rFonts w:hint="eastAsia" w:ascii="宋体" w:hAnsi="等线" w:cs="Times New Roman"/>
                <w:caps/>
                <w:szCs w:val="21"/>
                <w:lang w:bidi="ar"/>
              </w:rPr>
              <w:t>0.5～30</w:t>
            </w:r>
          </w:p>
        </w:tc>
        <w:tc>
          <w:tcPr>
            <w:tcW w:w="1608" w:type="pct"/>
            <w:tcBorders>
              <w:top w:val="single" w:color="auto" w:sz="4" w:space="0"/>
              <w:left w:val="single" w:color="auto" w:sz="4" w:space="0"/>
              <w:bottom w:val="single" w:color="auto" w:sz="4" w:space="0"/>
              <w:right w:val="single" w:color="auto" w:sz="4" w:space="0"/>
            </w:tcBorders>
            <w:shd w:val="clear" w:color="auto" w:fill="auto"/>
            <w:vAlign w:val="center"/>
          </w:tcPr>
          <w:p w14:paraId="2BC33BAA">
            <w:pPr>
              <w:ind w:firstLine="560"/>
              <w:rPr>
                <w:szCs w:val="21"/>
              </w:rPr>
            </w:pPr>
            <w:r>
              <w:rPr>
                <w:rFonts w:hint="eastAsia" w:ascii="宋体" w:hAnsi="等线" w:cs="Times New Roman"/>
                <w:caps/>
                <w:szCs w:val="21"/>
                <w:lang w:bidi="ar"/>
              </w:rPr>
              <w:t>73</w:t>
            </w:r>
          </w:p>
        </w:tc>
        <w:tc>
          <w:tcPr>
            <w:tcW w:w="1621" w:type="pct"/>
            <w:tcBorders>
              <w:top w:val="single" w:color="auto" w:sz="4" w:space="0"/>
              <w:left w:val="single" w:color="auto" w:sz="4" w:space="0"/>
              <w:bottom w:val="single" w:color="auto" w:sz="4" w:space="0"/>
              <w:right w:val="single" w:color="auto" w:sz="4" w:space="0"/>
            </w:tcBorders>
            <w:shd w:val="clear" w:color="auto" w:fill="auto"/>
            <w:vAlign w:val="center"/>
          </w:tcPr>
          <w:p w14:paraId="7BD4B003">
            <w:pPr>
              <w:ind w:firstLine="560"/>
              <w:rPr>
                <w:szCs w:val="21"/>
              </w:rPr>
            </w:pPr>
            <w:r>
              <w:rPr>
                <w:rFonts w:hint="eastAsia" w:ascii="宋体" w:hAnsi="等线" w:cs="Times New Roman"/>
                <w:caps/>
                <w:szCs w:val="21"/>
                <w:lang w:bidi="ar"/>
              </w:rPr>
              <w:t>60</w:t>
            </w:r>
          </w:p>
        </w:tc>
      </w:tr>
    </w:tbl>
    <w:p w14:paraId="7C7CB744">
      <w:pPr>
        <w:ind w:firstLine="560"/>
        <w:rPr>
          <w:szCs w:val="21"/>
        </w:rPr>
      </w:pPr>
      <w:r>
        <w:rPr>
          <w:rFonts w:hint="eastAsia" w:ascii="宋体" w:hAnsi="等线" w:cs="Times New Roman"/>
          <w:caps/>
          <w:szCs w:val="21"/>
          <w:lang w:bidi="ar"/>
        </w:rPr>
        <w:t>辐射发射限值</w:t>
      </w:r>
    </w:p>
    <w:tbl>
      <w:tblPr>
        <w:tblStyle w:val="8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5889"/>
      </w:tblGrid>
      <w:tr w14:paraId="40C8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7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8F9E0B">
            <w:pPr>
              <w:ind w:firstLine="560"/>
              <w:rPr>
                <w:szCs w:val="21"/>
              </w:rPr>
            </w:pPr>
            <w:r>
              <w:rPr>
                <w:rFonts w:hint="eastAsia" w:ascii="宋体" w:hAnsi="等线" w:cs="Times New Roman"/>
                <w:caps/>
                <w:szCs w:val="21"/>
                <w:lang w:bidi="ar"/>
              </w:rPr>
              <w:t>频率范围（MHz）</w:t>
            </w:r>
          </w:p>
        </w:tc>
        <w:tc>
          <w:tcPr>
            <w:tcW w:w="3230" w:type="pct"/>
            <w:tcBorders>
              <w:top w:val="single" w:color="auto" w:sz="4" w:space="0"/>
              <w:left w:val="single" w:color="auto" w:sz="4" w:space="0"/>
              <w:bottom w:val="single" w:color="auto" w:sz="4" w:space="0"/>
              <w:right w:val="single" w:color="auto" w:sz="4" w:space="0"/>
            </w:tcBorders>
            <w:shd w:val="clear" w:color="auto" w:fill="auto"/>
            <w:vAlign w:val="center"/>
          </w:tcPr>
          <w:p w14:paraId="3BAEED07">
            <w:pPr>
              <w:ind w:firstLine="560"/>
              <w:rPr>
                <w:szCs w:val="21"/>
              </w:rPr>
            </w:pPr>
            <w:r>
              <w:rPr>
                <w:rFonts w:hint="eastAsia" w:ascii="宋体" w:hAnsi="等线" w:cs="Times New Roman"/>
                <w:caps/>
                <w:szCs w:val="21"/>
                <w:lang w:bidi="ar"/>
              </w:rPr>
              <w:t>在10 m测量距离处辐射发射限值dB(μV/m)</w:t>
            </w:r>
          </w:p>
        </w:tc>
      </w:tr>
      <w:tr w14:paraId="6AA7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7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7B566">
            <w:pPr>
              <w:rPr>
                <w:rFonts w:ascii="Times New Roman" w:hAnsi="Times New Roman" w:cs="Times New Roman"/>
                <w:szCs w:val="21"/>
              </w:rPr>
            </w:pPr>
          </w:p>
        </w:tc>
        <w:tc>
          <w:tcPr>
            <w:tcW w:w="3230" w:type="pct"/>
            <w:tcBorders>
              <w:top w:val="single" w:color="auto" w:sz="4" w:space="0"/>
              <w:left w:val="single" w:color="auto" w:sz="4" w:space="0"/>
              <w:bottom w:val="single" w:color="auto" w:sz="4" w:space="0"/>
              <w:right w:val="single" w:color="auto" w:sz="4" w:space="0"/>
            </w:tcBorders>
            <w:shd w:val="clear" w:color="auto" w:fill="auto"/>
            <w:vAlign w:val="center"/>
          </w:tcPr>
          <w:p w14:paraId="5826FC3F">
            <w:pPr>
              <w:ind w:firstLine="560"/>
              <w:rPr>
                <w:szCs w:val="21"/>
              </w:rPr>
            </w:pPr>
            <w:r>
              <w:rPr>
                <w:rFonts w:hint="eastAsia" w:ascii="宋体" w:hAnsi="等线" w:cs="Times New Roman"/>
                <w:caps/>
                <w:szCs w:val="21"/>
                <w:lang w:bidi="ar"/>
              </w:rPr>
              <w:t>准峰值</w:t>
            </w:r>
          </w:p>
        </w:tc>
      </w:tr>
      <w:tr w14:paraId="0F16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769" w:type="pct"/>
            <w:tcBorders>
              <w:top w:val="single" w:color="auto" w:sz="4" w:space="0"/>
              <w:left w:val="single" w:color="auto" w:sz="4" w:space="0"/>
              <w:bottom w:val="single" w:color="auto" w:sz="4" w:space="0"/>
              <w:right w:val="single" w:color="auto" w:sz="4" w:space="0"/>
            </w:tcBorders>
            <w:shd w:val="clear" w:color="auto" w:fill="auto"/>
            <w:vAlign w:val="center"/>
          </w:tcPr>
          <w:p w14:paraId="42DCFB24">
            <w:pPr>
              <w:ind w:firstLine="560"/>
              <w:rPr>
                <w:szCs w:val="21"/>
              </w:rPr>
            </w:pPr>
            <w:r>
              <w:rPr>
                <w:rFonts w:hint="eastAsia" w:ascii="宋体" w:hAnsi="等线" w:cs="Times New Roman"/>
                <w:caps/>
                <w:szCs w:val="21"/>
                <w:lang w:bidi="ar"/>
              </w:rPr>
              <w:t>30～230</w:t>
            </w:r>
          </w:p>
        </w:tc>
        <w:tc>
          <w:tcPr>
            <w:tcW w:w="3230" w:type="pct"/>
            <w:tcBorders>
              <w:top w:val="single" w:color="auto" w:sz="4" w:space="0"/>
              <w:left w:val="single" w:color="auto" w:sz="4" w:space="0"/>
              <w:bottom w:val="single" w:color="auto" w:sz="4" w:space="0"/>
              <w:right w:val="single" w:color="auto" w:sz="4" w:space="0"/>
            </w:tcBorders>
            <w:shd w:val="clear" w:color="auto" w:fill="auto"/>
            <w:vAlign w:val="center"/>
          </w:tcPr>
          <w:p w14:paraId="329B68F9">
            <w:pPr>
              <w:ind w:firstLine="560"/>
              <w:rPr>
                <w:szCs w:val="21"/>
              </w:rPr>
            </w:pPr>
            <w:r>
              <w:rPr>
                <w:rFonts w:hint="eastAsia" w:ascii="宋体" w:hAnsi="等线" w:cs="Times New Roman"/>
                <w:caps/>
                <w:szCs w:val="21"/>
                <w:lang w:bidi="ar"/>
              </w:rPr>
              <w:t>40</w:t>
            </w:r>
          </w:p>
        </w:tc>
      </w:tr>
      <w:tr w14:paraId="7FDB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769" w:type="pct"/>
            <w:tcBorders>
              <w:top w:val="single" w:color="auto" w:sz="4" w:space="0"/>
              <w:left w:val="single" w:color="auto" w:sz="4" w:space="0"/>
              <w:bottom w:val="single" w:color="auto" w:sz="4" w:space="0"/>
              <w:right w:val="single" w:color="auto" w:sz="4" w:space="0"/>
            </w:tcBorders>
            <w:shd w:val="clear" w:color="auto" w:fill="auto"/>
            <w:vAlign w:val="center"/>
          </w:tcPr>
          <w:p w14:paraId="7D320C99">
            <w:pPr>
              <w:ind w:firstLine="560"/>
              <w:rPr>
                <w:szCs w:val="21"/>
              </w:rPr>
            </w:pPr>
            <w:r>
              <w:rPr>
                <w:rFonts w:hint="eastAsia" w:ascii="宋体" w:hAnsi="等线" w:cs="Times New Roman"/>
                <w:caps/>
                <w:szCs w:val="21"/>
                <w:lang w:bidi="ar"/>
              </w:rPr>
              <w:t>230～1000（不含230）</w:t>
            </w:r>
          </w:p>
        </w:tc>
        <w:tc>
          <w:tcPr>
            <w:tcW w:w="3230" w:type="pct"/>
            <w:tcBorders>
              <w:top w:val="single" w:color="auto" w:sz="4" w:space="0"/>
              <w:left w:val="single" w:color="auto" w:sz="4" w:space="0"/>
              <w:bottom w:val="single" w:color="auto" w:sz="4" w:space="0"/>
              <w:right w:val="single" w:color="auto" w:sz="4" w:space="0"/>
            </w:tcBorders>
            <w:shd w:val="clear" w:color="auto" w:fill="auto"/>
            <w:vAlign w:val="center"/>
          </w:tcPr>
          <w:p w14:paraId="041A4BD0">
            <w:pPr>
              <w:ind w:firstLine="560"/>
              <w:rPr>
                <w:szCs w:val="21"/>
              </w:rPr>
            </w:pPr>
            <w:r>
              <w:rPr>
                <w:rFonts w:hint="eastAsia" w:ascii="宋体" w:hAnsi="等线" w:cs="Times New Roman"/>
                <w:caps/>
                <w:szCs w:val="21"/>
                <w:lang w:bidi="ar"/>
              </w:rPr>
              <w:t>47</w:t>
            </w:r>
          </w:p>
        </w:tc>
      </w:tr>
    </w:tbl>
    <w:p w14:paraId="125BCB7C">
      <w:pPr>
        <w:ind w:firstLine="560"/>
        <w:rPr>
          <w:szCs w:val="21"/>
        </w:rPr>
      </w:pPr>
      <w:r>
        <w:rPr>
          <w:rFonts w:hint="eastAsia" w:ascii="宋体" w:hAnsi="等线" w:cs="Times New Roman"/>
          <w:caps/>
          <w:szCs w:val="21"/>
          <w:lang w:bidi="ar"/>
        </w:rPr>
        <w:t>谐波电流限值要求：当输出功率为额定功率的50%～100%时，充电机总谐波电流含有率不应大于5%。</w:t>
      </w:r>
    </w:p>
    <w:p w14:paraId="6699FDEE">
      <w:pPr>
        <w:pStyle w:val="7"/>
        <w:bidi w:val="0"/>
        <w:rPr>
          <w:sz w:val="24"/>
          <w:szCs w:val="24"/>
        </w:rPr>
      </w:pPr>
      <w:r>
        <w:rPr>
          <w:rFonts w:hint="eastAsia"/>
          <w:sz w:val="24"/>
          <w:szCs w:val="24"/>
        </w:rPr>
        <w:t>充电机其它要求</w:t>
      </w:r>
    </w:p>
    <w:p w14:paraId="3CAF81E8">
      <w:pPr>
        <w:ind w:firstLine="560"/>
        <w:rPr>
          <w:szCs w:val="21"/>
        </w:rPr>
      </w:pPr>
      <w:r>
        <w:rPr>
          <w:rFonts w:hint="eastAsia" w:ascii="宋体" w:hAnsi="等线" w:cs="Times New Roman"/>
          <w:caps/>
          <w:szCs w:val="21"/>
          <w:lang w:bidi="ar"/>
        </w:rPr>
        <w:t>充电机柜体（桩体）应外观线条流畅、整体紧凑、简洁时尚，与安装地点周边环境相协调。</w:t>
      </w:r>
    </w:p>
    <w:p w14:paraId="34177115">
      <w:pPr>
        <w:ind w:firstLine="560"/>
        <w:rPr>
          <w:szCs w:val="21"/>
        </w:rPr>
      </w:pPr>
      <w:r>
        <w:rPr>
          <w:rFonts w:hint="eastAsia" w:ascii="宋体" w:hAnsi="等线" w:cs="Times New Roman"/>
          <w:caps/>
          <w:szCs w:val="21"/>
          <w:lang w:bidi="ar"/>
        </w:rPr>
        <w:t>充电机柜体（桩体）应具备安装4G通信模块天线的位置，并确保壳体不对通信模块接收信号产生负面影响。</w:t>
      </w:r>
    </w:p>
    <w:p w14:paraId="0259F744">
      <w:pPr>
        <w:ind w:firstLine="560"/>
        <w:rPr>
          <w:szCs w:val="21"/>
        </w:rPr>
      </w:pPr>
      <w:r>
        <w:rPr>
          <w:rFonts w:hint="eastAsia" w:ascii="宋体" w:hAnsi="等线" w:cs="Times New Roman"/>
          <w:caps/>
          <w:szCs w:val="21"/>
          <w:lang w:bidi="ar"/>
        </w:rPr>
        <w:t>充电机柜体（桩体）内部线束，应排布整齐、规整，标识清楚，捆扎牢固。</w:t>
      </w:r>
    </w:p>
    <w:p w14:paraId="506FADDD">
      <w:pPr>
        <w:ind w:firstLine="560"/>
        <w:rPr>
          <w:szCs w:val="21"/>
        </w:rPr>
      </w:pPr>
      <w:r>
        <w:rPr>
          <w:rFonts w:hint="eastAsia" w:ascii="宋体" w:hAnsi="等线" w:cs="Times New Roman"/>
          <w:caps/>
          <w:szCs w:val="21"/>
          <w:lang w:bidi="ar"/>
        </w:rPr>
        <w:t>充电机柜体（桩体）内元器件应模块化设计，布局合理，易耗易损元件方便更换。</w:t>
      </w:r>
    </w:p>
    <w:p w14:paraId="676DE009">
      <w:pPr>
        <w:ind w:firstLine="560"/>
        <w:rPr>
          <w:szCs w:val="21"/>
        </w:rPr>
      </w:pPr>
      <w:r>
        <w:rPr>
          <w:rFonts w:hint="eastAsia" w:ascii="宋体" w:hAnsi="等线" w:cs="Times New Roman"/>
          <w:caps/>
          <w:szCs w:val="21"/>
          <w:lang w:bidi="ar"/>
        </w:rPr>
        <w:t>充电机柜体（桩体）安装于户外时，应便于特殊天气条件下的日常维护。</w:t>
      </w:r>
    </w:p>
    <w:p w14:paraId="0181278B">
      <w:pPr>
        <w:ind w:firstLine="560"/>
        <w:rPr>
          <w:szCs w:val="21"/>
        </w:rPr>
      </w:pPr>
      <w:r>
        <w:rPr>
          <w:rFonts w:hint="eastAsia" w:ascii="宋体" w:hAnsi="等线" w:cs="Times New Roman"/>
          <w:caps/>
          <w:szCs w:val="21"/>
          <w:lang w:bidi="ar"/>
        </w:rPr>
        <w:t>充电机和终端（桩）外壳应采用抗冲击力强、抗老化的非金属高强度复合材料。</w:t>
      </w:r>
    </w:p>
    <w:p w14:paraId="52D6A615">
      <w:pPr>
        <w:ind w:firstLine="560"/>
        <w:rPr>
          <w:szCs w:val="21"/>
        </w:rPr>
      </w:pPr>
      <w:r>
        <w:rPr>
          <w:rFonts w:hint="eastAsia" w:ascii="宋体" w:hAnsi="等线" w:cs="Times New Roman"/>
          <w:caps/>
          <w:szCs w:val="21"/>
          <w:lang w:bidi="ar"/>
        </w:rPr>
        <w:t>充电机柜体（桩体）采用表面涂覆色泽层应均匀光洁，不起泡、不龟裂、不脱落、无腐蚀。</w:t>
      </w:r>
    </w:p>
    <w:p w14:paraId="0FAE6261">
      <w:pPr>
        <w:ind w:firstLine="560"/>
        <w:rPr>
          <w:szCs w:val="21"/>
        </w:rPr>
      </w:pPr>
      <w:r>
        <w:rPr>
          <w:rFonts w:hint="eastAsia" w:ascii="宋体" w:hAnsi="等线" w:cs="Times New Roman"/>
          <w:caps/>
          <w:szCs w:val="21"/>
          <w:lang w:bidi="ar"/>
        </w:rPr>
        <w:t>非绝缘材料外壳应可靠接地，结构上应防止操作人员触及带电部件。</w:t>
      </w:r>
    </w:p>
    <w:p w14:paraId="3000CDA6">
      <w:pPr>
        <w:ind w:firstLine="560"/>
        <w:rPr>
          <w:szCs w:val="21"/>
        </w:rPr>
      </w:pPr>
      <w:r>
        <w:rPr>
          <w:rFonts w:hint="eastAsia" w:ascii="宋体" w:hAnsi="等线" w:cs="Times New Roman"/>
          <w:caps/>
          <w:szCs w:val="21"/>
          <w:lang w:bidi="ar"/>
        </w:rPr>
        <w:t>充电机数据通信接线应采用屏蔽线保护，屏蔽层应在桩体内可靠接地。</w:t>
      </w:r>
    </w:p>
    <w:p w14:paraId="29DE2BCD">
      <w:pPr>
        <w:widowControl/>
        <w:rPr>
          <w:rFonts w:ascii="宋体" w:hAnsi="宋体" w:cs="宋体"/>
          <w:caps/>
          <w:szCs w:val="21"/>
          <w:lang w:bidi="ar"/>
        </w:rPr>
      </w:pPr>
      <w:r>
        <w:rPr>
          <w:rFonts w:hint="eastAsia" w:ascii="宋体" w:hAnsi="等线" w:cs="Times New Roman"/>
          <w:caps/>
          <w:szCs w:val="21"/>
          <w:lang w:bidi="ar"/>
        </w:rPr>
        <w:t>充电机柜体（桩体）在开门处应设置安全警示标识。</w:t>
      </w:r>
    </w:p>
    <w:p w14:paraId="56B017C9">
      <w:pPr>
        <w:widowControl/>
        <w:ind w:firstLine="420" w:firstLineChars="200"/>
        <w:rPr>
          <w:rFonts w:hint="eastAsia" w:cs="仿宋"/>
          <w:b/>
          <w:bCs/>
          <w:color w:val="auto"/>
          <w:highlight w:val="none"/>
          <w:lang w:val="en-US" w:eastAsia="zh-CN"/>
        </w:rPr>
      </w:pPr>
      <w:r>
        <w:rPr>
          <w:rFonts w:hint="eastAsia" w:ascii="宋体" w:hAnsi="宋体" w:cstheme="minorEastAsia"/>
          <w:sz w:val="21"/>
          <w:szCs w:val="21"/>
          <w:shd w:val="clear" w:color="auto" w:fill="FFFFFF"/>
          <w:lang w:eastAsia="zh-CN"/>
        </w:rPr>
        <w:t>★</w:t>
      </w:r>
      <w:r>
        <w:rPr>
          <w:rFonts w:hint="eastAsia" w:ascii="宋体" w:hAnsi="等线" w:cs="Times New Roman"/>
          <w:caps/>
          <w:szCs w:val="21"/>
          <w:lang w:bidi="ar"/>
        </w:rPr>
        <w:t>充电机柜体（桩体）和终端外壳应具备防腐蚀或耐候性能。</w:t>
      </w:r>
      <w:r>
        <w:rPr>
          <w:rFonts w:hAnsi="宋体" w:cs="Times New Roman"/>
          <w:b/>
          <w:bCs/>
          <w:caps/>
          <w:kern w:val="0"/>
        </w:rPr>
        <w:t>（</w:t>
      </w:r>
      <w:r>
        <w:rPr>
          <w:rFonts w:hint="eastAsia" w:ascii="仿宋" w:hAnsi="仿宋" w:eastAsia="仿宋"/>
          <w:color w:val="FF0000"/>
          <w:sz w:val="24"/>
          <w:szCs w:val="24"/>
        </w:rPr>
        <w:t>提供投标产品厂家技术参数表或投标产品说明书或第三方</w:t>
      </w:r>
      <w:r>
        <w:rPr>
          <w:rFonts w:ascii="仿宋" w:hAnsi="仿宋" w:eastAsia="仿宋"/>
          <w:color w:val="FF0000"/>
          <w:sz w:val="24"/>
          <w:szCs w:val="24"/>
        </w:rPr>
        <w:t>CMA检测报告</w:t>
      </w:r>
      <w:r>
        <w:rPr>
          <w:rFonts w:hint="eastAsia"/>
          <w:color w:val="FF0000"/>
          <w:sz w:val="24"/>
          <w:szCs w:val="24"/>
          <w:lang w:eastAsia="zh-CN"/>
        </w:rPr>
        <w:t>。</w:t>
      </w:r>
      <w:r>
        <w:rPr>
          <w:rFonts w:hAnsi="宋体" w:cs="Times New Roman"/>
          <w:b/>
          <w:bCs/>
          <w:caps/>
          <w:kern w:val="0"/>
        </w:rPr>
        <w:t>）</w:t>
      </w:r>
    </w:p>
    <w:p w14:paraId="6E14BB0D">
      <w:pPr>
        <w:rPr>
          <w:rFonts w:hint="eastAsia" w:cs="仿宋"/>
          <w:b/>
          <w:bCs/>
          <w:color w:val="auto"/>
          <w:highlight w:val="none"/>
          <w:lang w:val="en-US" w:eastAsia="zh-CN"/>
        </w:rPr>
      </w:pPr>
      <w:r>
        <w:rPr>
          <w:rFonts w:hint="eastAsia" w:cs="仿宋"/>
          <w:b/>
          <w:bCs/>
          <w:color w:val="auto"/>
          <w:highlight w:val="none"/>
          <w:lang w:val="en-US" w:eastAsia="zh-CN"/>
        </w:rPr>
        <w:t>（二）直流充电终端（桩）技术要求</w:t>
      </w:r>
    </w:p>
    <w:p w14:paraId="6BB37CA3">
      <w:pPr>
        <w:rPr>
          <w:rFonts w:ascii="宋体" w:hAnsi="宋体"/>
        </w:rPr>
      </w:pPr>
      <w:r>
        <w:rPr>
          <w:rFonts w:hint="eastAsia" w:ascii="宋体" w:hAnsi="宋体"/>
        </w:rPr>
        <w:t>（1）技术参数</w:t>
      </w:r>
    </w:p>
    <w:p w14:paraId="5FC16F73">
      <w:pPr>
        <w:rPr>
          <w:rFonts w:ascii="宋体" w:hAnsi="宋体"/>
        </w:rPr>
      </w:pPr>
      <w:r>
        <w:rPr>
          <w:rFonts w:hint="eastAsia" w:ascii="宋体" w:hAnsi="宋体"/>
        </w:rPr>
        <w:t>环境温度：-20℃～50℃；</w:t>
      </w:r>
    </w:p>
    <w:p w14:paraId="1ADD80E5">
      <w:pPr>
        <w:rPr>
          <w:rFonts w:ascii="宋体" w:hAnsi="宋体"/>
        </w:rPr>
      </w:pPr>
      <w:r>
        <w:rPr>
          <w:rFonts w:hint="eastAsia" w:ascii="宋体" w:hAnsi="宋体"/>
        </w:rPr>
        <w:t>相对湿度：5％～95％；</w:t>
      </w:r>
    </w:p>
    <w:p w14:paraId="3EA69D2B">
      <w:pPr>
        <w:rPr>
          <w:rFonts w:ascii="宋体" w:hAnsi="宋体"/>
        </w:rPr>
      </w:pPr>
      <w:r>
        <w:rPr>
          <w:rFonts w:hint="eastAsia" w:ascii="宋体" w:hAnsi="宋体"/>
        </w:rPr>
        <w:t>海拔：≤2000m；</w:t>
      </w:r>
    </w:p>
    <w:p w14:paraId="18E85B82">
      <w:pPr>
        <w:rPr>
          <w:rFonts w:ascii="宋体" w:hAnsi="宋体"/>
        </w:rPr>
      </w:pPr>
      <w:r>
        <w:rPr>
          <w:rFonts w:hint="eastAsia" w:ascii="宋体" w:hAnsi="宋体"/>
        </w:rPr>
        <w:t>大气压强：80kPa～110kPa；</w:t>
      </w:r>
    </w:p>
    <w:p w14:paraId="250B3862">
      <w:pPr>
        <w:rPr>
          <w:rFonts w:ascii="宋体" w:hAnsi="宋体"/>
        </w:rPr>
      </w:pPr>
      <w:r>
        <w:rPr>
          <w:rFonts w:hint="eastAsia" w:ascii="宋体" w:hAnsi="宋体"/>
        </w:rPr>
        <w:t>（2）结构要求</w:t>
      </w:r>
    </w:p>
    <w:p w14:paraId="3A7EDD3F">
      <w:pPr>
        <w:rPr>
          <w:rFonts w:ascii="宋体" w:hAnsi="宋体"/>
        </w:rPr>
      </w:pPr>
      <w:r>
        <w:rPr>
          <w:rFonts w:hint="eastAsia" w:ascii="宋体" w:hAnsi="宋体"/>
        </w:rPr>
        <w:t>直流充电终端（桩）挂有充电枪线，枪线长度不小于</w:t>
      </w:r>
      <w:r>
        <w:rPr>
          <w:rFonts w:ascii="宋体" w:hAnsi="宋体"/>
        </w:rPr>
        <w:t>4</w:t>
      </w:r>
      <w:r>
        <w:rPr>
          <w:rFonts w:hint="eastAsia" w:ascii="宋体" w:hAnsi="宋体"/>
        </w:rPr>
        <w:t>米，载流能力250A。</w:t>
      </w:r>
    </w:p>
    <w:p w14:paraId="2FFA84F7">
      <w:pPr>
        <w:rPr>
          <w:rFonts w:ascii="宋体" w:hAnsi="宋体"/>
        </w:rPr>
      </w:pPr>
      <w:r>
        <w:rPr>
          <w:rFonts w:hint="eastAsia" w:ascii="宋体" w:hAnsi="宋体"/>
        </w:rPr>
        <w:t>液冷直流充电终端（桩）枪线长度不小于</w:t>
      </w:r>
      <w:r>
        <w:rPr>
          <w:rFonts w:ascii="宋体" w:hAnsi="宋体"/>
        </w:rPr>
        <w:t>3</w:t>
      </w:r>
      <w:r>
        <w:rPr>
          <w:rFonts w:hint="eastAsia" w:ascii="宋体" w:hAnsi="宋体"/>
        </w:rPr>
        <w:t>米，载流能力</w:t>
      </w:r>
      <w:r>
        <w:rPr>
          <w:rFonts w:hint="eastAsia" w:ascii="宋体" w:hAnsi="宋体"/>
          <w:lang w:val="en-US" w:eastAsia="zh-CN"/>
        </w:rPr>
        <w:t>400</w:t>
      </w:r>
      <w:r>
        <w:rPr>
          <w:rFonts w:hint="eastAsia" w:ascii="宋体" w:hAnsi="宋体"/>
        </w:rPr>
        <w:t>A。</w:t>
      </w:r>
    </w:p>
    <w:p w14:paraId="7E395F73">
      <w:pPr>
        <w:rPr>
          <w:rFonts w:ascii="宋体" w:hAnsi="宋体"/>
        </w:rPr>
      </w:pPr>
      <w:r>
        <w:rPr>
          <w:rFonts w:hint="eastAsia" w:ascii="宋体" w:hAnsi="宋体"/>
        </w:rPr>
        <w:t>（3）耐气候环境要求</w:t>
      </w:r>
    </w:p>
    <w:p w14:paraId="7A0FB649">
      <w:pPr>
        <w:rPr>
          <w:rFonts w:ascii="宋体" w:hAnsi="宋体"/>
        </w:rPr>
      </w:pPr>
      <w:r>
        <w:rPr>
          <w:rFonts w:hint="eastAsia" w:ascii="宋体" w:hAnsi="宋体"/>
        </w:rPr>
        <w:t>防护等级</w:t>
      </w:r>
    </w:p>
    <w:p w14:paraId="47D103EF">
      <w:pPr>
        <w:rPr>
          <w:rFonts w:ascii="宋体" w:hAnsi="宋体"/>
        </w:rPr>
      </w:pPr>
      <w:r>
        <w:rPr>
          <w:rFonts w:hint="eastAsia" w:ascii="宋体" w:hAnsi="宋体"/>
        </w:rPr>
        <w:t>充电桩（终端）防护等级不应低于GB 4208-2008中IP54（室外）的规定。</w:t>
      </w:r>
    </w:p>
    <w:p w14:paraId="3890B394">
      <w:pPr>
        <w:rPr>
          <w:rFonts w:ascii="宋体" w:hAnsi="宋体"/>
        </w:rPr>
      </w:pPr>
      <w:r>
        <w:rPr>
          <w:rFonts w:hint="eastAsia" w:ascii="宋体" w:hAnsi="宋体"/>
        </w:rPr>
        <w:t>防盐雾保护</w:t>
      </w:r>
    </w:p>
    <w:p w14:paraId="224600BF">
      <w:pPr>
        <w:rPr>
          <w:rFonts w:ascii="宋体" w:hAnsi="宋体"/>
        </w:rPr>
      </w:pPr>
      <w:r>
        <w:rPr>
          <w:rFonts w:hint="eastAsia" w:ascii="宋体" w:hAnsi="宋体"/>
        </w:rPr>
        <w:t>充电桩（终端）应进行防盐雾处理。</w:t>
      </w:r>
    </w:p>
    <w:p w14:paraId="729759E7">
      <w:pPr>
        <w:rPr>
          <w:rFonts w:ascii="宋体" w:hAnsi="宋体"/>
        </w:rPr>
      </w:pPr>
      <w:r>
        <w:rPr>
          <w:rFonts w:hint="eastAsia" w:ascii="宋体" w:hAnsi="宋体"/>
        </w:rPr>
        <w:t>防锈（防氧化）保护</w:t>
      </w:r>
    </w:p>
    <w:p w14:paraId="3360EDCD">
      <w:pPr>
        <w:rPr>
          <w:rFonts w:ascii="宋体" w:hAnsi="宋体"/>
        </w:rPr>
      </w:pPr>
      <w:r>
        <w:rPr>
          <w:rFonts w:hint="eastAsia" w:ascii="宋体" w:hAnsi="宋体"/>
        </w:rPr>
        <w:t>充电堆（机）铁质外壳和暴露在外的铁质支架、零件应采取双层防锈措施，非铁质的金属外壳也应具有防氧化保护膜或进行防氧化处理。</w:t>
      </w:r>
    </w:p>
    <w:p w14:paraId="6E842032">
      <w:pPr>
        <w:rPr>
          <w:rFonts w:hint="eastAsia" w:cs="仿宋"/>
          <w:b/>
          <w:bCs/>
          <w:color w:val="auto"/>
          <w:highlight w:val="none"/>
          <w:lang w:val="en-US" w:eastAsia="zh-CN"/>
        </w:rPr>
      </w:pPr>
    </w:p>
    <w:p w14:paraId="19C25771">
      <w:pPr>
        <w:rPr>
          <w:rFonts w:hint="eastAsia" w:cs="仿宋"/>
          <w:b/>
          <w:bCs/>
          <w:color w:val="auto"/>
          <w:highlight w:val="none"/>
          <w:lang w:val="en-US" w:eastAsia="zh-CN"/>
        </w:rPr>
      </w:pPr>
      <w:r>
        <w:rPr>
          <w:rFonts w:hint="eastAsia" w:cs="仿宋"/>
          <w:b/>
          <w:bCs/>
          <w:color w:val="auto"/>
          <w:highlight w:val="none"/>
          <w:lang w:val="en-US" w:eastAsia="zh-CN"/>
        </w:rPr>
        <w:t>（三）一体式直流充电机技术要求</w:t>
      </w:r>
    </w:p>
    <w:p w14:paraId="2A0AF4FA">
      <w:pPr>
        <w:ind w:firstLine="480" w:firstLineChars="200"/>
        <w:rPr>
          <w:rFonts w:ascii="宋体" w:hAnsi="宋体" w:cs="宋体"/>
          <w:sz w:val="24"/>
          <w:szCs w:val="24"/>
        </w:rPr>
      </w:pPr>
      <w:r>
        <w:rPr>
          <w:rFonts w:hint="eastAsia" w:ascii="宋体" w:hAnsi="宋体" w:cs="宋体"/>
          <w:sz w:val="24"/>
          <w:szCs w:val="24"/>
        </w:rPr>
        <w:t>一体式直流充电机为160kW 双枪。具体参数要求 如下：</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23"/>
        <w:gridCol w:w="2907"/>
        <w:gridCol w:w="729"/>
        <w:gridCol w:w="2729"/>
      </w:tblGrid>
      <w:tr w14:paraId="2F61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0164F4D0">
            <w:pPr>
              <w:spacing w:line="240" w:lineRule="auto"/>
              <w:rPr>
                <w:rFonts w:ascii="宋体" w:hAnsi="宋体" w:cs="宋体"/>
                <w:sz w:val="21"/>
                <w:szCs w:val="21"/>
              </w:rPr>
            </w:pPr>
            <w:r>
              <w:rPr>
                <w:rFonts w:hint="eastAsia" w:ascii="宋体" w:hAnsi="宋体" w:cs="宋体"/>
                <w:sz w:val="21"/>
                <w:szCs w:val="21"/>
              </w:rPr>
              <w:t>序号</w:t>
            </w:r>
          </w:p>
        </w:tc>
        <w:tc>
          <w:tcPr>
            <w:tcW w:w="1323" w:type="dxa"/>
            <w:shd w:val="clear" w:color="auto" w:fill="auto"/>
          </w:tcPr>
          <w:p w14:paraId="191088CF">
            <w:pPr>
              <w:spacing w:line="240" w:lineRule="auto"/>
              <w:rPr>
                <w:rFonts w:ascii="宋体" w:hAnsi="宋体" w:cs="宋体"/>
                <w:sz w:val="21"/>
                <w:szCs w:val="21"/>
              </w:rPr>
            </w:pPr>
            <w:r>
              <w:rPr>
                <w:rFonts w:hint="eastAsia" w:ascii="宋体" w:hAnsi="宋体" w:cs="宋体"/>
                <w:sz w:val="21"/>
                <w:szCs w:val="21"/>
              </w:rPr>
              <w:t>名称</w:t>
            </w:r>
          </w:p>
        </w:tc>
        <w:tc>
          <w:tcPr>
            <w:tcW w:w="2907" w:type="dxa"/>
            <w:shd w:val="clear" w:color="auto" w:fill="auto"/>
          </w:tcPr>
          <w:p w14:paraId="2A5D3E59">
            <w:pPr>
              <w:spacing w:line="240" w:lineRule="auto"/>
              <w:rPr>
                <w:rFonts w:ascii="宋体" w:hAnsi="宋体" w:cs="宋体"/>
                <w:sz w:val="21"/>
                <w:szCs w:val="21"/>
              </w:rPr>
            </w:pPr>
            <w:r>
              <w:rPr>
                <w:rFonts w:hint="eastAsia" w:ascii="宋体" w:hAnsi="宋体" w:cs="宋体"/>
                <w:sz w:val="21"/>
                <w:szCs w:val="21"/>
              </w:rPr>
              <w:t>项目</w:t>
            </w:r>
          </w:p>
        </w:tc>
        <w:tc>
          <w:tcPr>
            <w:tcW w:w="729" w:type="dxa"/>
            <w:shd w:val="clear" w:color="auto" w:fill="auto"/>
          </w:tcPr>
          <w:p w14:paraId="562DB6CF">
            <w:pPr>
              <w:spacing w:line="240" w:lineRule="auto"/>
              <w:rPr>
                <w:rFonts w:ascii="宋体" w:hAnsi="宋体" w:cs="宋体"/>
                <w:sz w:val="21"/>
                <w:szCs w:val="21"/>
              </w:rPr>
            </w:pPr>
            <w:r>
              <w:rPr>
                <w:rFonts w:hint="eastAsia" w:ascii="宋体" w:hAnsi="宋体" w:cs="宋体"/>
                <w:sz w:val="21"/>
                <w:szCs w:val="21"/>
              </w:rPr>
              <w:t>单位</w:t>
            </w:r>
          </w:p>
        </w:tc>
        <w:tc>
          <w:tcPr>
            <w:tcW w:w="2729" w:type="dxa"/>
            <w:shd w:val="clear" w:color="auto" w:fill="auto"/>
          </w:tcPr>
          <w:p w14:paraId="32CAF68F">
            <w:pPr>
              <w:spacing w:line="240" w:lineRule="auto"/>
              <w:rPr>
                <w:rFonts w:ascii="宋体" w:hAnsi="宋体" w:cs="宋体"/>
                <w:sz w:val="21"/>
                <w:szCs w:val="21"/>
              </w:rPr>
            </w:pPr>
            <w:r>
              <w:rPr>
                <w:rFonts w:hint="eastAsia" w:ascii="宋体" w:hAnsi="宋体" w:cs="宋体"/>
                <w:sz w:val="21"/>
                <w:szCs w:val="21"/>
              </w:rPr>
              <w:t>技术参数要求</w:t>
            </w:r>
          </w:p>
        </w:tc>
      </w:tr>
      <w:tr w14:paraId="686B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4DB2441E">
            <w:pPr>
              <w:spacing w:line="240" w:lineRule="auto"/>
              <w:jc w:val="center"/>
              <w:rPr>
                <w:rFonts w:ascii="宋体" w:hAnsi="宋体" w:cs="宋体"/>
                <w:sz w:val="21"/>
                <w:szCs w:val="21"/>
              </w:rPr>
            </w:pPr>
            <w:r>
              <w:rPr>
                <w:rFonts w:hint="eastAsia" w:ascii="宋体" w:hAnsi="宋体" w:cs="宋体"/>
                <w:sz w:val="21"/>
                <w:szCs w:val="21"/>
              </w:rPr>
              <w:t>1</w:t>
            </w:r>
          </w:p>
        </w:tc>
        <w:tc>
          <w:tcPr>
            <w:tcW w:w="1323" w:type="dxa"/>
            <w:vMerge w:val="restart"/>
            <w:shd w:val="clear" w:color="auto" w:fill="auto"/>
            <w:vAlign w:val="center"/>
          </w:tcPr>
          <w:p w14:paraId="4AEC1833">
            <w:pPr>
              <w:spacing w:line="240" w:lineRule="auto"/>
              <w:jc w:val="center"/>
              <w:rPr>
                <w:rFonts w:ascii="宋体" w:hAnsi="宋体" w:cs="宋体"/>
                <w:sz w:val="21"/>
                <w:szCs w:val="21"/>
              </w:rPr>
            </w:pPr>
            <w:r>
              <w:rPr>
                <w:rFonts w:hint="eastAsia" w:ascii="宋体" w:hAnsi="宋体" w:cs="宋体"/>
                <w:sz w:val="21"/>
                <w:szCs w:val="21"/>
              </w:rPr>
              <w:t>一体式直流充电机</w:t>
            </w:r>
          </w:p>
        </w:tc>
        <w:tc>
          <w:tcPr>
            <w:tcW w:w="2907" w:type="dxa"/>
            <w:shd w:val="clear" w:color="auto" w:fill="auto"/>
          </w:tcPr>
          <w:p w14:paraId="5E694C8B">
            <w:pPr>
              <w:spacing w:line="240" w:lineRule="auto"/>
              <w:rPr>
                <w:rFonts w:ascii="宋体" w:hAnsi="宋体" w:cs="宋体"/>
                <w:sz w:val="21"/>
                <w:szCs w:val="21"/>
              </w:rPr>
            </w:pPr>
            <w:r>
              <w:rPr>
                <w:rFonts w:hint="eastAsia" w:ascii="宋体" w:hAnsi="宋体" w:cs="宋体"/>
                <w:sz w:val="21"/>
                <w:szCs w:val="21"/>
              </w:rPr>
              <w:t>交流输入电压</w:t>
            </w:r>
          </w:p>
        </w:tc>
        <w:tc>
          <w:tcPr>
            <w:tcW w:w="729" w:type="dxa"/>
            <w:shd w:val="clear" w:color="auto" w:fill="auto"/>
          </w:tcPr>
          <w:p w14:paraId="08AA5F8B">
            <w:pPr>
              <w:spacing w:line="240" w:lineRule="auto"/>
              <w:rPr>
                <w:rFonts w:ascii="宋体" w:hAnsi="宋体" w:cs="宋体"/>
                <w:sz w:val="21"/>
                <w:szCs w:val="21"/>
              </w:rPr>
            </w:pPr>
            <w:r>
              <w:rPr>
                <w:rFonts w:hint="eastAsia" w:ascii="宋体" w:hAnsi="宋体" w:cs="宋体"/>
                <w:sz w:val="21"/>
                <w:szCs w:val="21"/>
              </w:rPr>
              <w:t>V</w:t>
            </w:r>
          </w:p>
        </w:tc>
        <w:tc>
          <w:tcPr>
            <w:tcW w:w="2729" w:type="dxa"/>
            <w:shd w:val="clear" w:color="auto" w:fill="auto"/>
          </w:tcPr>
          <w:p w14:paraId="0B201251">
            <w:pPr>
              <w:spacing w:line="240" w:lineRule="auto"/>
              <w:rPr>
                <w:rFonts w:ascii="宋体" w:hAnsi="宋体" w:cs="宋体"/>
                <w:sz w:val="21"/>
                <w:szCs w:val="21"/>
              </w:rPr>
            </w:pPr>
            <w:r>
              <w:rPr>
                <w:rFonts w:hint="eastAsia" w:ascii="宋体" w:hAnsi="宋体" w:cs="宋体"/>
                <w:sz w:val="21"/>
                <w:szCs w:val="21"/>
              </w:rPr>
              <w:t>三相 380： 323～437</w:t>
            </w:r>
          </w:p>
        </w:tc>
      </w:tr>
      <w:tr w14:paraId="470C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7DD288A9">
            <w:pPr>
              <w:spacing w:line="240" w:lineRule="auto"/>
              <w:jc w:val="center"/>
              <w:rPr>
                <w:rFonts w:ascii="宋体" w:hAnsi="宋体" w:cs="宋体"/>
                <w:sz w:val="21"/>
                <w:szCs w:val="21"/>
              </w:rPr>
            </w:pPr>
            <w:r>
              <w:rPr>
                <w:rFonts w:hint="eastAsia" w:ascii="宋体" w:hAnsi="宋体" w:cs="宋体"/>
                <w:sz w:val="21"/>
                <w:szCs w:val="21"/>
              </w:rPr>
              <w:t>2</w:t>
            </w:r>
          </w:p>
        </w:tc>
        <w:tc>
          <w:tcPr>
            <w:tcW w:w="1323" w:type="dxa"/>
            <w:vMerge w:val="continue"/>
            <w:shd w:val="clear" w:color="auto" w:fill="auto"/>
          </w:tcPr>
          <w:p w14:paraId="10D1AE56">
            <w:pPr>
              <w:spacing w:line="240" w:lineRule="auto"/>
              <w:rPr>
                <w:rFonts w:ascii="宋体" w:hAnsi="宋体" w:cs="宋体"/>
                <w:sz w:val="21"/>
                <w:szCs w:val="21"/>
              </w:rPr>
            </w:pPr>
          </w:p>
        </w:tc>
        <w:tc>
          <w:tcPr>
            <w:tcW w:w="2907" w:type="dxa"/>
            <w:shd w:val="clear" w:color="auto" w:fill="auto"/>
          </w:tcPr>
          <w:p w14:paraId="5719E54B">
            <w:pPr>
              <w:spacing w:line="240" w:lineRule="auto"/>
              <w:rPr>
                <w:rFonts w:ascii="宋体" w:hAnsi="宋体" w:cs="宋体"/>
                <w:sz w:val="21"/>
                <w:szCs w:val="21"/>
              </w:rPr>
            </w:pPr>
            <w:r>
              <w:rPr>
                <w:rFonts w:hint="eastAsia" w:ascii="宋体" w:hAnsi="宋体" w:cs="宋体"/>
                <w:sz w:val="21"/>
                <w:szCs w:val="21"/>
              </w:rPr>
              <w:t>交流电源频率</w:t>
            </w:r>
          </w:p>
        </w:tc>
        <w:tc>
          <w:tcPr>
            <w:tcW w:w="729" w:type="dxa"/>
            <w:shd w:val="clear" w:color="auto" w:fill="auto"/>
          </w:tcPr>
          <w:p w14:paraId="177E5619">
            <w:pPr>
              <w:spacing w:line="240" w:lineRule="auto"/>
              <w:rPr>
                <w:rFonts w:ascii="宋体" w:hAnsi="宋体" w:cs="宋体"/>
                <w:sz w:val="21"/>
                <w:szCs w:val="21"/>
              </w:rPr>
            </w:pPr>
            <w:r>
              <w:rPr>
                <w:rFonts w:hint="eastAsia" w:ascii="宋体" w:hAnsi="宋体" w:cs="宋体"/>
                <w:sz w:val="21"/>
                <w:szCs w:val="21"/>
              </w:rPr>
              <w:t>Hz</w:t>
            </w:r>
          </w:p>
        </w:tc>
        <w:tc>
          <w:tcPr>
            <w:tcW w:w="2729" w:type="dxa"/>
            <w:shd w:val="clear" w:color="auto" w:fill="auto"/>
          </w:tcPr>
          <w:p w14:paraId="64B9CD7A">
            <w:pPr>
              <w:spacing w:line="240" w:lineRule="auto"/>
              <w:rPr>
                <w:rFonts w:ascii="宋体" w:hAnsi="宋体" w:cs="宋体"/>
                <w:sz w:val="21"/>
                <w:szCs w:val="21"/>
              </w:rPr>
            </w:pPr>
            <w:r>
              <w:rPr>
                <w:rFonts w:hint="eastAsia" w:ascii="宋体" w:hAnsi="宋体" w:cs="宋体"/>
                <w:sz w:val="21"/>
                <w:szCs w:val="21"/>
              </w:rPr>
              <w:t>45～65</w:t>
            </w:r>
          </w:p>
        </w:tc>
      </w:tr>
      <w:tr w14:paraId="46CA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4ED669F2">
            <w:pPr>
              <w:spacing w:line="240" w:lineRule="auto"/>
              <w:jc w:val="center"/>
              <w:rPr>
                <w:rFonts w:ascii="宋体" w:hAnsi="宋体" w:cs="宋体"/>
                <w:sz w:val="21"/>
                <w:szCs w:val="21"/>
              </w:rPr>
            </w:pPr>
            <w:r>
              <w:rPr>
                <w:rFonts w:hint="eastAsia" w:ascii="宋体" w:hAnsi="宋体" w:cs="宋体"/>
                <w:sz w:val="21"/>
                <w:szCs w:val="21"/>
              </w:rPr>
              <w:t>3</w:t>
            </w:r>
          </w:p>
        </w:tc>
        <w:tc>
          <w:tcPr>
            <w:tcW w:w="1323" w:type="dxa"/>
            <w:vMerge w:val="continue"/>
            <w:shd w:val="clear" w:color="auto" w:fill="auto"/>
          </w:tcPr>
          <w:p w14:paraId="12AB54AA">
            <w:pPr>
              <w:spacing w:line="240" w:lineRule="auto"/>
              <w:rPr>
                <w:rFonts w:ascii="宋体" w:hAnsi="宋体" w:cs="宋体"/>
                <w:sz w:val="21"/>
                <w:szCs w:val="21"/>
              </w:rPr>
            </w:pPr>
          </w:p>
        </w:tc>
        <w:tc>
          <w:tcPr>
            <w:tcW w:w="2907" w:type="dxa"/>
            <w:shd w:val="clear" w:color="auto" w:fill="auto"/>
          </w:tcPr>
          <w:p w14:paraId="51DBB8E0">
            <w:pPr>
              <w:spacing w:line="240" w:lineRule="auto"/>
              <w:rPr>
                <w:rFonts w:ascii="宋体" w:hAnsi="宋体" w:cs="宋体"/>
                <w:sz w:val="21"/>
                <w:szCs w:val="21"/>
              </w:rPr>
            </w:pPr>
            <w:r>
              <w:rPr>
                <w:rFonts w:hint="eastAsia" w:ascii="宋体" w:hAnsi="宋体" w:cs="宋体"/>
                <w:sz w:val="21"/>
                <w:szCs w:val="21"/>
              </w:rPr>
              <w:t>交流输入电流</w:t>
            </w:r>
          </w:p>
        </w:tc>
        <w:tc>
          <w:tcPr>
            <w:tcW w:w="729" w:type="dxa"/>
            <w:shd w:val="clear" w:color="auto" w:fill="auto"/>
          </w:tcPr>
          <w:p w14:paraId="75504F46">
            <w:pPr>
              <w:spacing w:line="240" w:lineRule="auto"/>
              <w:rPr>
                <w:rFonts w:ascii="宋体" w:hAnsi="宋体" w:cs="宋体"/>
                <w:sz w:val="21"/>
                <w:szCs w:val="21"/>
              </w:rPr>
            </w:pPr>
            <w:r>
              <w:rPr>
                <w:rFonts w:hint="eastAsia" w:ascii="宋体" w:hAnsi="宋体" w:cs="宋体"/>
                <w:sz w:val="21"/>
                <w:szCs w:val="21"/>
              </w:rPr>
              <w:t>A</w:t>
            </w:r>
          </w:p>
        </w:tc>
        <w:tc>
          <w:tcPr>
            <w:tcW w:w="2729" w:type="dxa"/>
            <w:shd w:val="clear" w:color="auto" w:fill="auto"/>
          </w:tcPr>
          <w:p w14:paraId="24FE31D5">
            <w:pPr>
              <w:spacing w:line="240" w:lineRule="auto"/>
              <w:rPr>
                <w:rFonts w:ascii="宋体" w:hAnsi="宋体" w:cs="宋体"/>
                <w:sz w:val="21"/>
                <w:szCs w:val="21"/>
              </w:rPr>
            </w:pPr>
            <w:r>
              <w:rPr>
                <w:rFonts w:hint="eastAsia" w:ascii="宋体" w:hAnsi="宋体" w:cs="宋体"/>
                <w:sz w:val="21"/>
                <w:szCs w:val="21"/>
              </w:rPr>
              <w:t>228</w:t>
            </w:r>
          </w:p>
        </w:tc>
      </w:tr>
      <w:tr w14:paraId="42DB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34" w:type="dxa"/>
            <w:shd w:val="clear" w:color="auto" w:fill="auto"/>
          </w:tcPr>
          <w:p w14:paraId="6297D430">
            <w:pPr>
              <w:spacing w:line="240" w:lineRule="auto"/>
              <w:jc w:val="center"/>
              <w:rPr>
                <w:rFonts w:ascii="宋体" w:hAnsi="宋体" w:cs="宋体"/>
                <w:sz w:val="21"/>
                <w:szCs w:val="21"/>
              </w:rPr>
            </w:pPr>
            <w:r>
              <w:rPr>
                <w:rFonts w:hint="eastAsia" w:ascii="宋体" w:hAnsi="宋体" w:cs="宋体"/>
                <w:sz w:val="21"/>
                <w:szCs w:val="21"/>
              </w:rPr>
              <w:t>4</w:t>
            </w:r>
          </w:p>
        </w:tc>
        <w:tc>
          <w:tcPr>
            <w:tcW w:w="1323" w:type="dxa"/>
            <w:vMerge w:val="continue"/>
            <w:shd w:val="clear" w:color="auto" w:fill="auto"/>
          </w:tcPr>
          <w:p w14:paraId="75B42BE5">
            <w:pPr>
              <w:spacing w:line="240" w:lineRule="auto"/>
              <w:rPr>
                <w:rFonts w:ascii="宋体" w:hAnsi="宋体" w:cs="宋体"/>
                <w:sz w:val="21"/>
                <w:szCs w:val="21"/>
              </w:rPr>
            </w:pPr>
          </w:p>
        </w:tc>
        <w:tc>
          <w:tcPr>
            <w:tcW w:w="2907" w:type="dxa"/>
            <w:shd w:val="clear" w:color="auto" w:fill="auto"/>
            <w:vAlign w:val="center"/>
          </w:tcPr>
          <w:p w14:paraId="1C04F711">
            <w:pPr>
              <w:spacing w:line="240" w:lineRule="auto"/>
              <w:rPr>
                <w:rFonts w:ascii="宋体" w:hAnsi="宋体" w:cs="宋体"/>
                <w:sz w:val="21"/>
                <w:szCs w:val="21"/>
              </w:rPr>
            </w:pPr>
            <w:r>
              <w:rPr>
                <w:rFonts w:hint="eastAsia" w:ascii="宋体" w:hAnsi="宋体" w:cs="宋体"/>
                <w:sz w:val="21"/>
                <w:szCs w:val="21"/>
              </w:rPr>
              <w:t>输入功率因数</w:t>
            </w:r>
          </w:p>
        </w:tc>
        <w:tc>
          <w:tcPr>
            <w:tcW w:w="729" w:type="dxa"/>
            <w:shd w:val="clear" w:color="auto" w:fill="auto"/>
            <w:vAlign w:val="center"/>
          </w:tcPr>
          <w:p w14:paraId="0586F8DB">
            <w:pPr>
              <w:spacing w:line="240" w:lineRule="auto"/>
              <w:rPr>
                <w:rFonts w:ascii="宋体" w:hAnsi="宋体" w:cs="宋体"/>
                <w:sz w:val="21"/>
                <w:szCs w:val="21"/>
              </w:rPr>
            </w:pPr>
          </w:p>
        </w:tc>
        <w:tc>
          <w:tcPr>
            <w:tcW w:w="2729" w:type="dxa"/>
            <w:shd w:val="clear" w:color="auto" w:fill="auto"/>
            <w:vAlign w:val="center"/>
          </w:tcPr>
          <w:p w14:paraId="2605AD72">
            <w:pPr>
              <w:spacing w:line="240" w:lineRule="auto"/>
              <w:rPr>
                <w:rFonts w:ascii="宋体" w:hAnsi="宋体" w:cs="宋体"/>
                <w:sz w:val="21"/>
                <w:szCs w:val="21"/>
              </w:rPr>
            </w:pPr>
            <w:r>
              <w:rPr>
                <w:rFonts w:hint="eastAsia" w:ascii="宋体" w:hAnsi="宋体" w:cs="宋体"/>
                <w:sz w:val="21"/>
                <w:szCs w:val="21"/>
              </w:rPr>
              <w:t>≥0 99</w:t>
            </w:r>
          </w:p>
        </w:tc>
      </w:tr>
      <w:tr w14:paraId="1E35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02201400">
            <w:pPr>
              <w:spacing w:line="240" w:lineRule="auto"/>
              <w:jc w:val="center"/>
              <w:rPr>
                <w:rFonts w:ascii="宋体" w:hAnsi="宋体" w:cs="宋体"/>
                <w:sz w:val="21"/>
                <w:szCs w:val="21"/>
              </w:rPr>
            </w:pPr>
            <w:r>
              <w:rPr>
                <w:rFonts w:hint="eastAsia" w:ascii="宋体" w:hAnsi="宋体" w:cs="宋体"/>
                <w:sz w:val="21"/>
                <w:szCs w:val="21"/>
              </w:rPr>
              <w:t>5</w:t>
            </w:r>
          </w:p>
        </w:tc>
        <w:tc>
          <w:tcPr>
            <w:tcW w:w="1323" w:type="dxa"/>
            <w:vMerge w:val="continue"/>
            <w:shd w:val="clear" w:color="auto" w:fill="auto"/>
          </w:tcPr>
          <w:p w14:paraId="23ABF12F">
            <w:pPr>
              <w:spacing w:line="240" w:lineRule="auto"/>
              <w:rPr>
                <w:rFonts w:ascii="宋体" w:hAnsi="宋体" w:cs="宋体"/>
                <w:sz w:val="21"/>
                <w:szCs w:val="21"/>
              </w:rPr>
            </w:pPr>
          </w:p>
        </w:tc>
        <w:tc>
          <w:tcPr>
            <w:tcW w:w="2907" w:type="dxa"/>
            <w:shd w:val="clear" w:color="auto" w:fill="auto"/>
          </w:tcPr>
          <w:p w14:paraId="16505FDC">
            <w:pPr>
              <w:spacing w:line="240" w:lineRule="auto"/>
              <w:rPr>
                <w:rFonts w:ascii="宋体" w:hAnsi="宋体" w:cs="宋体"/>
                <w:sz w:val="21"/>
                <w:szCs w:val="21"/>
              </w:rPr>
            </w:pPr>
            <w:r>
              <w:rPr>
                <w:rFonts w:hint="eastAsia" w:ascii="宋体" w:hAnsi="宋体" w:cs="宋体"/>
                <w:sz w:val="21"/>
                <w:szCs w:val="21"/>
              </w:rPr>
              <w:t>直流电压调节范围</w:t>
            </w:r>
          </w:p>
        </w:tc>
        <w:tc>
          <w:tcPr>
            <w:tcW w:w="729" w:type="dxa"/>
            <w:shd w:val="clear" w:color="auto" w:fill="auto"/>
          </w:tcPr>
          <w:p w14:paraId="247A45DA">
            <w:pPr>
              <w:spacing w:line="240" w:lineRule="auto"/>
              <w:rPr>
                <w:rFonts w:ascii="宋体" w:hAnsi="宋体" w:cs="宋体"/>
                <w:sz w:val="21"/>
                <w:szCs w:val="21"/>
              </w:rPr>
            </w:pPr>
            <w:r>
              <w:rPr>
                <w:rFonts w:hint="eastAsia" w:ascii="宋体" w:hAnsi="宋体" w:cs="宋体"/>
                <w:sz w:val="21"/>
                <w:szCs w:val="21"/>
              </w:rPr>
              <w:t>V</w:t>
            </w:r>
          </w:p>
        </w:tc>
        <w:tc>
          <w:tcPr>
            <w:tcW w:w="2729" w:type="dxa"/>
            <w:shd w:val="clear" w:color="auto" w:fill="auto"/>
          </w:tcPr>
          <w:p w14:paraId="01D68840">
            <w:pPr>
              <w:spacing w:line="240"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0-1000V</w:t>
            </w:r>
          </w:p>
        </w:tc>
      </w:tr>
      <w:tr w14:paraId="2DF5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0F2FE310">
            <w:pPr>
              <w:spacing w:line="240" w:lineRule="auto"/>
              <w:jc w:val="center"/>
              <w:rPr>
                <w:rFonts w:ascii="宋体" w:hAnsi="宋体" w:cs="宋体"/>
                <w:sz w:val="21"/>
                <w:szCs w:val="21"/>
              </w:rPr>
            </w:pPr>
            <w:r>
              <w:rPr>
                <w:rFonts w:hint="eastAsia" w:ascii="宋体" w:hAnsi="宋体" w:cs="宋体"/>
                <w:sz w:val="21"/>
                <w:szCs w:val="21"/>
              </w:rPr>
              <w:t>6</w:t>
            </w:r>
          </w:p>
        </w:tc>
        <w:tc>
          <w:tcPr>
            <w:tcW w:w="1323" w:type="dxa"/>
            <w:vMerge w:val="continue"/>
            <w:shd w:val="clear" w:color="auto" w:fill="auto"/>
          </w:tcPr>
          <w:p w14:paraId="3B26A378">
            <w:pPr>
              <w:spacing w:line="240" w:lineRule="auto"/>
              <w:rPr>
                <w:rFonts w:ascii="宋体" w:hAnsi="宋体" w:cs="宋体"/>
                <w:sz w:val="21"/>
                <w:szCs w:val="21"/>
              </w:rPr>
            </w:pPr>
          </w:p>
        </w:tc>
        <w:tc>
          <w:tcPr>
            <w:tcW w:w="2907" w:type="dxa"/>
            <w:shd w:val="clear" w:color="auto" w:fill="auto"/>
          </w:tcPr>
          <w:p w14:paraId="545A1772">
            <w:pPr>
              <w:spacing w:line="240" w:lineRule="auto"/>
              <w:rPr>
                <w:rFonts w:ascii="宋体" w:hAnsi="宋体" w:cs="宋体"/>
                <w:sz w:val="21"/>
                <w:szCs w:val="21"/>
              </w:rPr>
            </w:pPr>
            <w:r>
              <w:rPr>
                <w:rFonts w:hint="eastAsia" w:ascii="宋体" w:hAnsi="宋体" w:cs="宋体"/>
                <w:sz w:val="21"/>
                <w:szCs w:val="21"/>
              </w:rPr>
              <w:t>总输出功率</w:t>
            </w:r>
          </w:p>
        </w:tc>
        <w:tc>
          <w:tcPr>
            <w:tcW w:w="729" w:type="dxa"/>
            <w:shd w:val="clear" w:color="auto" w:fill="auto"/>
          </w:tcPr>
          <w:p w14:paraId="1F425CFD">
            <w:pPr>
              <w:spacing w:line="240" w:lineRule="auto"/>
              <w:rPr>
                <w:rFonts w:ascii="宋体" w:hAnsi="宋体" w:cs="宋体"/>
                <w:sz w:val="21"/>
                <w:szCs w:val="21"/>
              </w:rPr>
            </w:pPr>
            <w:r>
              <w:rPr>
                <w:rFonts w:hint="eastAsia" w:ascii="宋体" w:hAnsi="宋体" w:cs="宋体"/>
                <w:sz w:val="21"/>
                <w:szCs w:val="21"/>
              </w:rPr>
              <w:t>kW</w:t>
            </w:r>
          </w:p>
        </w:tc>
        <w:tc>
          <w:tcPr>
            <w:tcW w:w="2729" w:type="dxa"/>
            <w:shd w:val="clear" w:color="auto" w:fill="auto"/>
          </w:tcPr>
          <w:p w14:paraId="4FF610F4">
            <w:pPr>
              <w:spacing w:line="240" w:lineRule="auto"/>
              <w:rPr>
                <w:rFonts w:ascii="宋体" w:hAnsi="宋体" w:cs="宋体"/>
                <w:sz w:val="21"/>
                <w:szCs w:val="21"/>
              </w:rPr>
            </w:pPr>
            <w:r>
              <w:rPr>
                <w:rFonts w:hint="eastAsia" w:ascii="宋体" w:hAnsi="宋体" w:cs="宋体"/>
                <w:sz w:val="21"/>
                <w:szCs w:val="21"/>
              </w:rPr>
              <w:t>160kW</w:t>
            </w:r>
          </w:p>
        </w:tc>
      </w:tr>
      <w:tr w14:paraId="7FB3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3494C990">
            <w:pPr>
              <w:spacing w:line="240" w:lineRule="auto"/>
              <w:jc w:val="center"/>
              <w:rPr>
                <w:rFonts w:ascii="宋体" w:hAnsi="宋体" w:cs="宋体"/>
                <w:sz w:val="21"/>
                <w:szCs w:val="21"/>
              </w:rPr>
            </w:pPr>
            <w:r>
              <w:rPr>
                <w:rFonts w:hint="eastAsia" w:ascii="宋体" w:hAnsi="宋体" w:cs="宋体"/>
                <w:sz w:val="21"/>
                <w:szCs w:val="21"/>
              </w:rPr>
              <w:t>7</w:t>
            </w:r>
          </w:p>
        </w:tc>
        <w:tc>
          <w:tcPr>
            <w:tcW w:w="1323" w:type="dxa"/>
            <w:vMerge w:val="continue"/>
            <w:shd w:val="clear" w:color="auto" w:fill="auto"/>
          </w:tcPr>
          <w:p w14:paraId="4B056703">
            <w:pPr>
              <w:spacing w:line="240" w:lineRule="auto"/>
              <w:rPr>
                <w:rFonts w:ascii="宋体" w:hAnsi="宋体" w:cs="宋体"/>
                <w:sz w:val="21"/>
                <w:szCs w:val="21"/>
              </w:rPr>
            </w:pPr>
          </w:p>
        </w:tc>
        <w:tc>
          <w:tcPr>
            <w:tcW w:w="2907" w:type="dxa"/>
            <w:shd w:val="clear" w:color="auto" w:fill="auto"/>
          </w:tcPr>
          <w:p w14:paraId="294DC5CB">
            <w:pPr>
              <w:spacing w:line="240" w:lineRule="auto"/>
              <w:rPr>
                <w:rFonts w:ascii="宋体" w:hAnsi="宋体" w:cs="宋体"/>
                <w:sz w:val="21"/>
                <w:szCs w:val="21"/>
              </w:rPr>
            </w:pPr>
            <w:r>
              <w:rPr>
                <w:rFonts w:hint="eastAsia" w:ascii="宋体" w:hAnsi="宋体" w:cs="宋体"/>
                <w:sz w:val="21"/>
                <w:szCs w:val="21"/>
              </w:rPr>
              <w:t>电压设定误差</w:t>
            </w:r>
          </w:p>
        </w:tc>
        <w:tc>
          <w:tcPr>
            <w:tcW w:w="729" w:type="dxa"/>
            <w:shd w:val="clear" w:color="auto" w:fill="auto"/>
          </w:tcPr>
          <w:p w14:paraId="27A9BF36">
            <w:pPr>
              <w:spacing w:line="240" w:lineRule="auto"/>
              <w:rPr>
                <w:rFonts w:ascii="宋体" w:hAnsi="宋体" w:cs="宋体"/>
                <w:sz w:val="21"/>
                <w:szCs w:val="21"/>
              </w:rPr>
            </w:pPr>
          </w:p>
        </w:tc>
        <w:tc>
          <w:tcPr>
            <w:tcW w:w="2729" w:type="dxa"/>
            <w:shd w:val="clear" w:color="auto" w:fill="auto"/>
          </w:tcPr>
          <w:p w14:paraId="36193284">
            <w:pPr>
              <w:spacing w:line="240" w:lineRule="auto"/>
              <w:rPr>
                <w:rFonts w:ascii="宋体" w:hAnsi="宋体" w:cs="宋体"/>
                <w:sz w:val="21"/>
                <w:szCs w:val="21"/>
              </w:rPr>
            </w:pPr>
            <w:r>
              <w:rPr>
                <w:rFonts w:hint="eastAsia" w:ascii="宋体" w:hAnsi="宋体" w:cs="宋体"/>
                <w:sz w:val="21"/>
                <w:szCs w:val="21"/>
              </w:rPr>
              <w:t>≤±0.5%</w:t>
            </w:r>
          </w:p>
        </w:tc>
      </w:tr>
      <w:tr w14:paraId="1C64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2CC3DD45">
            <w:pPr>
              <w:spacing w:line="240" w:lineRule="auto"/>
              <w:jc w:val="center"/>
              <w:rPr>
                <w:rFonts w:ascii="宋体" w:hAnsi="宋体" w:cs="宋体"/>
                <w:sz w:val="21"/>
                <w:szCs w:val="21"/>
              </w:rPr>
            </w:pPr>
            <w:r>
              <w:rPr>
                <w:rFonts w:hint="eastAsia" w:ascii="宋体" w:hAnsi="宋体" w:cs="宋体"/>
                <w:sz w:val="21"/>
                <w:szCs w:val="21"/>
              </w:rPr>
              <w:t>8</w:t>
            </w:r>
          </w:p>
        </w:tc>
        <w:tc>
          <w:tcPr>
            <w:tcW w:w="1323" w:type="dxa"/>
            <w:vMerge w:val="continue"/>
            <w:shd w:val="clear" w:color="auto" w:fill="auto"/>
          </w:tcPr>
          <w:p w14:paraId="710C5E08">
            <w:pPr>
              <w:spacing w:line="240" w:lineRule="auto"/>
              <w:rPr>
                <w:rFonts w:ascii="宋体" w:hAnsi="宋体" w:cs="宋体"/>
                <w:sz w:val="21"/>
                <w:szCs w:val="21"/>
              </w:rPr>
            </w:pPr>
          </w:p>
        </w:tc>
        <w:tc>
          <w:tcPr>
            <w:tcW w:w="2907" w:type="dxa"/>
            <w:shd w:val="clear" w:color="auto" w:fill="auto"/>
          </w:tcPr>
          <w:p w14:paraId="02803B11">
            <w:pPr>
              <w:spacing w:line="240" w:lineRule="auto"/>
              <w:rPr>
                <w:rFonts w:ascii="宋体" w:hAnsi="宋体" w:cs="宋体"/>
                <w:sz w:val="21"/>
                <w:szCs w:val="21"/>
              </w:rPr>
            </w:pPr>
            <w:r>
              <w:rPr>
                <w:rFonts w:hint="eastAsia" w:ascii="宋体" w:hAnsi="宋体" w:cs="宋体"/>
                <w:sz w:val="21"/>
                <w:szCs w:val="21"/>
              </w:rPr>
              <w:t>电流设定误差</w:t>
            </w:r>
          </w:p>
        </w:tc>
        <w:tc>
          <w:tcPr>
            <w:tcW w:w="729" w:type="dxa"/>
            <w:shd w:val="clear" w:color="auto" w:fill="auto"/>
          </w:tcPr>
          <w:p w14:paraId="0C66ACDB">
            <w:pPr>
              <w:spacing w:line="240" w:lineRule="auto"/>
              <w:rPr>
                <w:rFonts w:ascii="宋体" w:hAnsi="宋体" w:cs="宋体"/>
                <w:sz w:val="21"/>
                <w:szCs w:val="21"/>
              </w:rPr>
            </w:pPr>
          </w:p>
        </w:tc>
        <w:tc>
          <w:tcPr>
            <w:tcW w:w="2729" w:type="dxa"/>
            <w:shd w:val="clear" w:color="auto" w:fill="auto"/>
          </w:tcPr>
          <w:p w14:paraId="5A021172">
            <w:pPr>
              <w:spacing w:line="240" w:lineRule="auto"/>
              <w:rPr>
                <w:rFonts w:ascii="宋体" w:hAnsi="宋体" w:cs="宋体"/>
                <w:sz w:val="21"/>
                <w:szCs w:val="21"/>
              </w:rPr>
            </w:pPr>
            <w:r>
              <w:rPr>
                <w:rFonts w:hint="eastAsia" w:ascii="宋体" w:hAnsi="宋体" w:cs="宋体"/>
                <w:sz w:val="21"/>
                <w:szCs w:val="21"/>
              </w:rPr>
              <w:t>≤±0.2A（输出电流＜30A） ≤±0.5%（输出电流≥30A）</w:t>
            </w:r>
          </w:p>
        </w:tc>
      </w:tr>
      <w:tr w14:paraId="43F4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4890B448">
            <w:pPr>
              <w:spacing w:line="240" w:lineRule="auto"/>
              <w:jc w:val="center"/>
              <w:rPr>
                <w:rFonts w:ascii="宋体" w:hAnsi="宋体" w:cs="宋体"/>
                <w:sz w:val="21"/>
                <w:szCs w:val="21"/>
              </w:rPr>
            </w:pPr>
            <w:r>
              <w:rPr>
                <w:rFonts w:hint="eastAsia" w:ascii="宋体" w:hAnsi="宋体" w:cs="宋体"/>
                <w:sz w:val="21"/>
                <w:szCs w:val="21"/>
              </w:rPr>
              <w:t>9</w:t>
            </w:r>
          </w:p>
        </w:tc>
        <w:tc>
          <w:tcPr>
            <w:tcW w:w="1323" w:type="dxa"/>
            <w:vMerge w:val="continue"/>
            <w:shd w:val="clear" w:color="auto" w:fill="auto"/>
          </w:tcPr>
          <w:p w14:paraId="7261006D">
            <w:pPr>
              <w:spacing w:line="240" w:lineRule="auto"/>
              <w:rPr>
                <w:rFonts w:ascii="宋体" w:hAnsi="宋体" w:cs="宋体"/>
                <w:sz w:val="21"/>
                <w:szCs w:val="21"/>
              </w:rPr>
            </w:pPr>
          </w:p>
        </w:tc>
        <w:tc>
          <w:tcPr>
            <w:tcW w:w="2907" w:type="dxa"/>
            <w:shd w:val="clear" w:color="auto" w:fill="auto"/>
          </w:tcPr>
          <w:p w14:paraId="0E5A4060">
            <w:pPr>
              <w:spacing w:line="240" w:lineRule="auto"/>
              <w:rPr>
                <w:rFonts w:ascii="宋体" w:hAnsi="宋体" w:cs="宋体"/>
                <w:sz w:val="21"/>
                <w:szCs w:val="21"/>
              </w:rPr>
            </w:pPr>
            <w:r>
              <w:rPr>
                <w:rFonts w:hint="eastAsia" w:ascii="宋体" w:hAnsi="宋体" w:cs="宋体"/>
                <w:sz w:val="21"/>
                <w:szCs w:val="21"/>
              </w:rPr>
              <w:t>稳压精度</w:t>
            </w:r>
          </w:p>
        </w:tc>
        <w:tc>
          <w:tcPr>
            <w:tcW w:w="729" w:type="dxa"/>
            <w:shd w:val="clear" w:color="auto" w:fill="auto"/>
          </w:tcPr>
          <w:p w14:paraId="37645035">
            <w:pPr>
              <w:spacing w:line="240" w:lineRule="auto"/>
              <w:rPr>
                <w:rFonts w:ascii="宋体" w:hAnsi="宋体" w:cs="宋体"/>
                <w:sz w:val="21"/>
                <w:szCs w:val="21"/>
              </w:rPr>
            </w:pPr>
          </w:p>
        </w:tc>
        <w:tc>
          <w:tcPr>
            <w:tcW w:w="2729" w:type="dxa"/>
            <w:shd w:val="clear" w:color="auto" w:fill="auto"/>
          </w:tcPr>
          <w:p w14:paraId="1E65D6F9">
            <w:pPr>
              <w:spacing w:line="240" w:lineRule="auto"/>
              <w:rPr>
                <w:rFonts w:ascii="宋体" w:hAnsi="宋体" w:cs="宋体"/>
                <w:sz w:val="21"/>
                <w:szCs w:val="21"/>
              </w:rPr>
            </w:pPr>
            <w:r>
              <w:rPr>
                <w:rFonts w:hint="eastAsia" w:ascii="宋体" w:hAnsi="宋体" w:cs="宋体"/>
                <w:sz w:val="21"/>
                <w:szCs w:val="21"/>
              </w:rPr>
              <w:t>≤±0.5%</w:t>
            </w:r>
          </w:p>
        </w:tc>
      </w:tr>
      <w:tr w14:paraId="0C42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24558ABC">
            <w:pPr>
              <w:spacing w:line="240" w:lineRule="auto"/>
              <w:jc w:val="center"/>
              <w:rPr>
                <w:rFonts w:ascii="宋体" w:hAnsi="宋体" w:cs="宋体"/>
                <w:sz w:val="21"/>
                <w:szCs w:val="21"/>
              </w:rPr>
            </w:pPr>
            <w:r>
              <w:rPr>
                <w:rFonts w:hint="eastAsia" w:ascii="宋体" w:hAnsi="宋体" w:cs="宋体"/>
                <w:sz w:val="21"/>
                <w:szCs w:val="21"/>
              </w:rPr>
              <w:t>10</w:t>
            </w:r>
          </w:p>
        </w:tc>
        <w:tc>
          <w:tcPr>
            <w:tcW w:w="1323" w:type="dxa"/>
            <w:vMerge w:val="continue"/>
            <w:shd w:val="clear" w:color="auto" w:fill="auto"/>
          </w:tcPr>
          <w:p w14:paraId="00B807EC">
            <w:pPr>
              <w:spacing w:line="240" w:lineRule="auto"/>
              <w:rPr>
                <w:rFonts w:ascii="宋体" w:hAnsi="宋体" w:cs="宋体"/>
                <w:sz w:val="21"/>
                <w:szCs w:val="21"/>
              </w:rPr>
            </w:pPr>
          </w:p>
        </w:tc>
        <w:tc>
          <w:tcPr>
            <w:tcW w:w="2907" w:type="dxa"/>
            <w:shd w:val="clear" w:color="auto" w:fill="auto"/>
          </w:tcPr>
          <w:p w14:paraId="2F149000">
            <w:pPr>
              <w:spacing w:line="240" w:lineRule="auto"/>
              <w:rPr>
                <w:rFonts w:ascii="宋体" w:hAnsi="宋体" w:cs="宋体"/>
                <w:sz w:val="21"/>
                <w:szCs w:val="21"/>
              </w:rPr>
            </w:pPr>
            <w:r>
              <w:rPr>
                <w:rFonts w:hint="eastAsia" w:ascii="宋体" w:hAnsi="宋体" w:cs="宋体"/>
                <w:sz w:val="21"/>
                <w:szCs w:val="21"/>
              </w:rPr>
              <w:t>稳流精度</w:t>
            </w:r>
          </w:p>
        </w:tc>
        <w:tc>
          <w:tcPr>
            <w:tcW w:w="729" w:type="dxa"/>
            <w:shd w:val="clear" w:color="auto" w:fill="auto"/>
          </w:tcPr>
          <w:p w14:paraId="42E50A5F">
            <w:pPr>
              <w:spacing w:line="240" w:lineRule="auto"/>
              <w:rPr>
                <w:rFonts w:ascii="宋体" w:hAnsi="宋体" w:cs="宋体"/>
                <w:sz w:val="21"/>
                <w:szCs w:val="21"/>
              </w:rPr>
            </w:pPr>
          </w:p>
        </w:tc>
        <w:tc>
          <w:tcPr>
            <w:tcW w:w="2729" w:type="dxa"/>
            <w:shd w:val="clear" w:color="auto" w:fill="auto"/>
          </w:tcPr>
          <w:p w14:paraId="67CBB098">
            <w:pPr>
              <w:spacing w:line="240" w:lineRule="auto"/>
              <w:rPr>
                <w:rFonts w:ascii="宋体" w:hAnsi="宋体" w:cs="宋体"/>
                <w:sz w:val="21"/>
                <w:szCs w:val="21"/>
              </w:rPr>
            </w:pPr>
            <w:r>
              <w:rPr>
                <w:rFonts w:hint="eastAsia" w:ascii="宋体" w:hAnsi="宋体" w:cs="宋体"/>
                <w:sz w:val="21"/>
                <w:szCs w:val="21"/>
              </w:rPr>
              <w:t>≤±0 5%</w:t>
            </w:r>
          </w:p>
        </w:tc>
      </w:tr>
      <w:tr w14:paraId="02C1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738F7DEB">
            <w:pPr>
              <w:spacing w:line="240" w:lineRule="auto"/>
              <w:jc w:val="center"/>
              <w:rPr>
                <w:rFonts w:ascii="宋体" w:hAnsi="宋体" w:cs="宋体"/>
                <w:sz w:val="21"/>
                <w:szCs w:val="21"/>
              </w:rPr>
            </w:pPr>
            <w:r>
              <w:rPr>
                <w:rFonts w:hint="eastAsia" w:ascii="宋体" w:hAnsi="宋体" w:cs="宋体"/>
                <w:sz w:val="21"/>
                <w:szCs w:val="21"/>
              </w:rPr>
              <w:t>11</w:t>
            </w:r>
          </w:p>
        </w:tc>
        <w:tc>
          <w:tcPr>
            <w:tcW w:w="1323" w:type="dxa"/>
            <w:vMerge w:val="continue"/>
            <w:shd w:val="clear" w:color="auto" w:fill="auto"/>
          </w:tcPr>
          <w:p w14:paraId="62DE836D">
            <w:pPr>
              <w:spacing w:line="240" w:lineRule="auto"/>
              <w:rPr>
                <w:rFonts w:ascii="宋体" w:hAnsi="宋体" w:cs="宋体"/>
                <w:sz w:val="21"/>
                <w:szCs w:val="21"/>
              </w:rPr>
            </w:pPr>
          </w:p>
        </w:tc>
        <w:tc>
          <w:tcPr>
            <w:tcW w:w="2907" w:type="dxa"/>
            <w:shd w:val="clear" w:color="auto" w:fill="auto"/>
          </w:tcPr>
          <w:p w14:paraId="0D64CB89">
            <w:pPr>
              <w:spacing w:line="240" w:lineRule="auto"/>
              <w:rPr>
                <w:rFonts w:ascii="宋体" w:hAnsi="宋体" w:cs="宋体"/>
                <w:sz w:val="21"/>
                <w:szCs w:val="21"/>
              </w:rPr>
            </w:pPr>
            <w:r>
              <w:rPr>
                <w:rFonts w:hint="eastAsia" w:ascii="宋体" w:hAnsi="宋体" w:cs="宋体"/>
                <w:sz w:val="21"/>
                <w:szCs w:val="21"/>
              </w:rPr>
              <w:t>纹波系数</w:t>
            </w:r>
          </w:p>
        </w:tc>
        <w:tc>
          <w:tcPr>
            <w:tcW w:w="729" w:type="dxa"/>
            <w:shd w:val="clear" w:color="auto" w:fill="auto"/>
          </w:tcPr>
          <w:p w14:paraId="6EE0FF90">
            <w:pPr>
              <w:spacing w:line="240" w:lineRule="auto"/>
              <w:rPr>
                <w:rFonts w:ascii="宋体" w:hAnsi="宋体" w:cs="宋体"/>
                <w:sz w:val="21"/>
                <w:szCs w:val="21"/>
              </w:rPr>
            </w:pPr>
          </w:p>
        </w:tc>
        <w:tc>
          <w:tcPr>
            <w:tcW w:w="2729" w:type="dxa"/>
            <w:shd w:val="clear" w:color="auto" w:fill="auto"/>
          </w:tcPr>
          <w:p w14:paraId="48B92B60">
            <w:pPr>
              <w:spacing w:line="240" w:lineRule="auto"/>
              <w:rPr>
                <w:rFonts w:ascii="宋体" w:hAnsi="宋体" w:cs="宋体"/>
                <w:sz w:val="21"/>
                <w:szCs w:val="21"/>
              </w:rPr>
            </w:pPr>
            <w:r>
              <w:rPr>
                <w:rFonts w:hint="eastAsia" w:ascii="宋体" w:hAnsi="宋体" w:cs="宋体"/>
                <w:sz w:val="21"/>
                <w:szCs w:val="21"/>
              </w:rPr>
              <w:t>峰值： ≤±1%</w:t>
            </w:r>
          </w:p>
        </w:tc>
      </w:tr>
      <w:tr w14:paraId="4EF0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642D7519">
            <w:pPr>
              <w:spacing w:line="240" w:lineRule="auto"/>
              <w:jc w:val="center"/>
              <w:rPr>
                <w:rFonts w:ascii="宋体" w:hAnsi="宋体" w:cs="宋体"/>
                <w:sz w:val="21"/>
                <w:szCs w:val="21"/>
              </w:rPr>
            </w:pPr>
            <w:r>
              <w:rPr>
                <w:rFonts w:hint="eastAsia" w:ascii="宋体" w:hAnsi="宋体" w:cs="宋体"/>
                <w:sz w:val="21"/>
                <w:szCs w:val="21"/>
              </w:rPr>
              <w:t>12</w:t>
            </w:r>
          </w:p>
        </w:tc>
        <w:tc>
          <w:tcPr>
            <w:tcW w:w="1323" w:type="dxa"/>
            <w:vMerge w:val="continue"/>
            <w:shd w:val="clear" w:color="auto" w:fill="auto"/>
          </w:tcPr>
          <w:p w14:paraId="3EF21A39">
            <w:pPr>
              <w:spacing w:line="240" w:lineRule="auto"/>
              <w:rPr>
                <w:rFonts w:ascii="宋体" w:hAnsi="宋体" w:cs="宋体"/>
                <w:sz w:val="21"/>
                <w:szCs w:val="21"/>
              </w:rPr>
            </w:pPr>
          </w:p>
        </w:tc>
        <w:tc>
          <w:tcPr>
            <w:tcW w:w="2907" w:type="dxa"/>
            <w:shd w:val="clear" w:color="auto" w:fill="auto"/>
          </w:tcPr>
          <w:p w14:paraId="68E4DAE4">
            <w:pPr>
              <w:spacing w:line="240" w:lineRule="auto"/>
              <w:rPr>
                <w:rFonts w:ascii="宋体" w:hAnsi="宋体" w:cs="宋体"/>
                <w:sz w:val="21"/>
                <w:szCs w:val="21"/>
              </w:rPr>
            </w:pPr>
            <w:r>
              <w:rPr>
                <w:rFonts w:hint="eastAsia" w:ascii="宋体" w:hAnsi="宋体" w:cs="宋体"/>
                <w:sz w:val="21"/>
                <w:szCs w:val="21"/>
              </w:rPr>
              <w:t>输入冲击电流</w:t>
            </w:r>
          </w:p>
        </w:tc>
        <w:tc>
          <w:tcPr>
            <w:tcW w:w="729" w:type="dxa"/>
            <w:shd w:val="clear" w:color="auto" w:fill="auto"/>
          </w:tcPr>
          <w:p w14:paraId="2EAE4308">
            <w:pPr>
              <w:spacing w:line="240" w:lineRule="auto"/>
              <w:rPr>
                <w:rFonts w:ascii="宋体" w:hAnsi="宋体" w:cs="宋体"/>
                <w:sz w:val="21"/>
                <w:szCs w:val="21"/>
              </w:rPr>
            </w:pPr>
            <w:r>
              <w:rPr>
                <w:rFonts w:hint="eastAsia" w:ascii="宋体" w:hAnsi="宋体" w:cs="宋体"/>
                <w:sz w:val="21"/>
                <w:szCs w:val="21"/>
              </w:rPr>
              <w:t>A</w:t>
            </w:r>
          </w:p>
        </w:tc>
        <w:tc>
          <w:tcPr>
            <w:tcW w:w="2729" w:type="dxa"/>
            <w:shd w:val="clear" w:color="auto" w:fill="auto"/>
          </w:tcPr>
          <w:p w14:paraId="6E4E5A74">
            <w:pPr>
              <w:spacing w:line="240" w:lineRule="auto"/>
              <w:rPr>
                <w:rFonts w:ascii="宋体" w:hAnsi="宋体" w:cs="宋体"/>
                <w:sz w:val="21"/>
                <w:szCs w:val="21"/>
              </w:rPr>
            </w:pPr>
            <w:r>
              <w:rPr>
                <w:rFonts w:hint="eastAsia" w:ascii="宋体" w:hAnsi="宋体" w:cs="宋体"/>
                <w:sz w:val="21"/>
                <w:szCs w:val="21"/>
              </w:rPr>
              <w:t>≤110%额定输入电流</w:t>
            </w:r>
          </w:p>
        </w:tc>
      </w:tr>
      <w:tr w14:paraId="42DB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0D6A968D">
            <w:pPr>
              <w:spacing w:line="240" w:lineRule="auto"/>
              <w:jc w:val="center"/>
              <w:rPr>
                <w:rFonts w:ascii="宋体" w:hAnsi="宋体" w:cs="宋体"/>
                <w:sz w:val="21"/>
                <w:szCs w:val="21"/>
              </w:rPr>
            </w:pPr>
            <w:r>
              <w:rPr>
                <w:rFonts w:hint="eastAsia" w:ascii="宋体" w:hAnsi="宋体" w:cs="宋体"/>
                <w:sz w:val="21"/>
                <w:szCs w:val="21"/>
              </w:rPr>
              <w:t>13</w:t>
            </w:r>
          </w:p>
        </w:tc>
        <w:tc>
          <w:tcPr>
            <w:tcW w:w="1323" w:type="dxa"/>
            <w:vMerge w:val="continue"/>
            <w:shd w:val="clear" w:color="auto" w:fill="auto"/>
          </w:tcPr>
          <w:p w14:paraId="4D1E4CEE">
            <w:pPr>
              <w:spacing w:line="240" w:lineRule="auto"/>
              <w:rPr>
                <w:rFonts w:ascii="宋体" w:hAnsi="宋体" w:cs="宋体"/>
                <w:sz w:val="21"/>
                <w:szCs w:val="21"/>
              </w:rPr>
            </w:pPr>
          </w:p>
        </w:tc>
        <w:tc>
          <w:tcPr>
            <w:tcW w:w="2907" w:type="dxa"/>
            <w:shd w:val="clear" w:color="auto" w:fill="auto"/>
          </w:tcPr>
          <w:p w14:paraId="1E7A18A9">
            <w:pPr>
              <w:spacing w:line="240" w:lineRule="auto"/>
              <w:rPr>
                <w:rFonts w:ascii="宋体" w:hAnsi="宋体" w:cs="宋体"/>
                <w:sz w:val="21"/>
                <w:szCs w:val="21"/>
              </w:rPr>
            </w:pPr>
            <w:r>
              <w:rPr>
                <w:rFonts w:hint="eastAsia" w:ascii="宋体" w:hAnsi="宋体" w:cs="宋体"/>
                <w:sz w:val="21"/>
                <w:szCs w:val="21"/>
              </w:rPr>
              <w:t>效率</w:t>
            </w:r>
          </w:p>
        </w:tc>
        <w:tc>
          <w:tcPr>
            <w:tcW w:w="729" w:type="dxa"/>
            <w:shd w:val="clear" w:color="auto" w:fill="auto"/>
          </w:tcPr>
          <w:p w14:paraId="4D10C8D6">
            <w:pPr>
              <w:spacing w:line="240" w:lineRule="auto"/>
              <w:rPr>
                <w:rFonts w:ascii="宋体" w:hAnsi="宋体" w:cs="宋体"/>
                <w:sz w:val="21"/>
                <w:szCs w:val="21"/>
              </w:rPr>
            </w:pPr>
          </w:p>
        </w:tc>
        <w:tc>
          <w:tcPr>
            <w:tcW w:w="2729" w:type="dxa"/>
            <w:shd w:val="clear" w:color="auto" w:fill="auto"/>
          </w:tcPr>
          <w:p w14:paraId="17F5917C">
            <w:pPr>
              <w:spacing w:line="240" w:lineRule="auto"/>
              <w:rPr>
                <w:rFonts w:ascii="宋体" w:hAnsi="宋体" w:cs="宋体"/>
                <w:sz w:val="21"/>
                <w:szCs w:val="21"/>
              </w:rPr>
            </w:pPr>
            <w:r>
              <w:rPr>
                <w:rFonts w:hint="eastAsia" w:ascii="宋体" w:hAnsi="宋体" w:cs="宋体"/>
                <w:sz w:val="21"/>
                <w:szCs w:val="21"/>
              </w:rPr>
              <w:t>≥95%</w:t>
            </w:r>
          </w:p>
        </w:tc>
      </w:tr>
      <w:tr w14:paraId="79B2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6911D8EC">
            <w:pPr>
              <w:spacing w:line="240" w:lineRule="auto"/>
              <w:jc w:val="center"/>
              <w:rPr>
                <w:rFonts w:ascii="宋体" w:hAnsi="宋体" w:cs="宋体"/>
                <w:sz w:val="21"/>
                <w:szCs w:val="21"/>
              </w:rPr>
            </w:pPr>
            <w:r>
              <w:rPr>
                <w:rFonts w:hint="eastAsia" w:ascii="宋体" w:hAnsi="宋体" w:cs="宋体"/>
                <w:sz w:val="21"/>
                <w:szCs w:val="21"/>
              </w:rPr>
              <w:t>14</w:t>
            </w:r>
          </w:p>
        </w:tc>
        <w:tc>
          <w:tcPr>
            <w:tcW w:w="1323" w:type="dxa"/>
            <w:vMerge w:val="continue"/>
            <w:shd w:val="clear" w:color="auto" w:fill="auto"/>
          </w:tcPr>
          <w:p w14:paraId="6CBBBFD5">
            <w:pPr>
              <w:spacing w:line="240" w:lineRule="auto"/>
              <w:rPr>
                <w:rFonts w:ascii="宋体" w:hAnsi="宋体" w:cs="宋体"/>
                <w:sz w:val="21"/>
                <w:szCs w:val="21"/>
              </w:rPr>
            </w:pPr>
          </w:p>
        </w:tc>
        <w:tc>
          <w:tcPr>
            <w:tcW w:w="2907" w:type="dxa"/>
            <w:shd w:val="clear" w:color="auto" w:fill="auto"/>
          </w:tcPr>
          <w:p w14:paraId="79BB3002">
            <w:pPr>
              <w:spacing w:line="240" w:lineRule="auto"/>
              <w:rPr>
                <w:rFonts w:ascii="宋体" w:hAnsi="宋体" w:cs="宋体"/>
                <w:sz w:val="21"/>
                <w:szCs w:val="21"/>
              </w:rPr>
            </w:pPr>
            <w:r>
              <w:rPr>
                <w:rFonts w:hint="eastAsia" w:ascii="宋体" w:hAnsi="宋体" w:cs="宋体"/>
                <w:sz w:val="21"/>
                <w:szCs w:val="21"/>
              </w:rPr>
              <w:t>噪声</w:t>
            </w:r>
          </w:p>
        </w:tc>
        <w:tc>
          <w:tcPr>
            <w:tcW w:w="729" w:type="dxa"/>
            <w:shd w:val="clear" w:color="auto" w:fill="auto"/>
          </w:tcPr>
          <w:p w14:paraId="1D2DB0A5">
            <w:pPr>
              <w:spacing w:line="240" w:lineRule="auto"/>
              <w:rPr>
                <w:rFonts w:ascii="宋体" w:hAnsi="宋体" w:cs="宋体"/>
                <w:sz w:val="21"/>
                <w:szCs w:val="21"/>
              </w:rPr>
            </w:pPr>
            <w:r>
              <w:rPr>
                <w:rFonts w:hint="eastAsia" w:ascii="宋体" w:hAnsi="宋体" w:cs="宋体"/>
                <w:sz w:val="21"/>
                <w:szCs w:val="21"/>
              </w:rPr>
              <w:t>dB</w:t>
            </w:r>
          </w:p>
        </w:tc>
        <w:tc>
          <w:tcPr>
            <w:tcW w:w="2729" w:type="dxa"/>
            <w:shd w:val="clear" w:color="auto" w:fill="auto"/>
          </w:tcPr>
          <w:p w14:paraId="7CDE5D6A">
            <w:pPr>
              <w:spacing w:line="240" w:lineRule="auto"/>
              <w:rPr>
                <w:rFonts w:ascii="宋体" w:hAnsi="宋体" w:cs="宋体"/>
                <w:sz w:val="21"/>
                <w:szCs w:val="21"/>
              </w:rPr>
            </w:pPr>
            <w:r>
              <w:rPr>
                <w:rFonts w:hint="eastAsia" w:ascii="宋体" w:hAnsi="宋体" w:cs="宋体"/>
                <w:sz w:val="21"/>
                <w:szCs w:val="21"/>
              </w:rPr>
              <w:t>65</w:t>
            </w:r>
          </w:p>
        </w:tc>
      </w:tr>
      <w:tr w14:paraId="2A61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5538E509">
            <w:pPr>
              <w:spacing w:line="240" w:lineRule="auto"/>
              <w:jc w:val="center"/>
              <w:rPr>
                <w:rFonts w:ascii="宋体" w:hAnsi="宋体" w:cs="宋体"/>
                <w:sz w:val="21"/>
                <w:szCs w:val="21"/>
              </w:rPr>
            </w:pPr>
            <w:r>
              <w:rPr>
                <w:rFonts w:hint="eastAsia" w:ascii="宋体" w:hAnsi="宋体" w:cs="宋体"/>
                <w:sz w:val="21"/>
                <w:szCs w:val="21"/>
              </w:rPr>
              <w:t>15</w:t>
            </w:r>
          </w:p>
        </w:tc>
        <w:tc>
          <w:tcPr>
            <w:tcW w:w="1323" w:type="dxa"/>
            <w:vMerge w:val="continue"/>
            <w:shd w:val="clear" w:color="auto" w:fill="auto"/>
          </w:tcPr>
          <w:p w14:paraId="02B76683">
            <w:pPr>
              <w:spacing w:line="240" w:lineRule="auto"/>
              <w:rPr>
                <w:rFonts w:ascii="宋体" w:hAnsi="宋体" w:cs="宋体"/>
                <w:sz w:val="21"/>
                <w:szCs w:val="21"/>
              </w:rPr>
            </w:pPr>
          </w:p>
        </w:tc>
        <w:tc>
          <w:tcPr>
            <w:tcW w:w="2907" w:type="dxa"/>
            <w:shd w:val="clear" w:color="auto" w:fill="auto"/>
          </w:tcPr>
          <w:p w14:paraId="50E453B4">
            <w:pPr>
              <w:spacing w:line="240" w:lineRule="auto"/>
              <w:rPr>
                <w:rFonts w:ascii="宋体" w:hAnsi="宋体" w:cs="宋体"/>
                <w:sz w:val="21"/>
                <w:szCs w:val="21"/>
              </w:rPr>
            </w:pPr>
            <w:r>
              <w:rPr>
                <w:rFonts w:hint="eastAsia" w:ascii="宋体" w:hAnsi="宋体" w:cs="宋体"/>
                <w:sz w:val="21"/>
                <w:szCs w:val="21"/>
              </w:rPr>
              <w:t>谐波电流限值要求（THD）</w:t>
            </w:r>
          </w:p>
        </w:tc>
        <w:tc>
          <w:tcPr>
            <w:tcW w:w="729" w:type="dxa"/>
            <w:shd w:val="clear" w:color="auto" w:fill="auto"/>
          </w:tcPr>
          <w:p w14:paraId="626C0F5C">
            <w:pPr>
              <w:spacing w:line="240" w:lineRule="auto"/>
              <w:rPr>
                <w:rFonts w:ascii="宋体" w:hAnsi="宋体" w:cs="宋体"/>
                <w:sz w:val="21"/>
                <w:szCs w:val="21"/>
              </w:rPr>
            </w:pPr>
          </w:p>
        </w:tc>
        <w:tc>
          <w:tcPr>
            <w:tcW w:w="2729" w:type="dxa"/>
            <w:shd w:val="clear" w:color="auto" w:fill="auto"/>
          </w:tcPr>
          <w:p w14:paraId="66962DA3">
            <w:pPr>
              <w:spacing w:line="240" w:lineRule="auto"/>
              <w:rPr>
                <w:rFonts w:ascii="宋体" w:hAnsi="宋体" w:cs="宋体"/>
                <w:sz w:val="21"/>
                <w:szCs w:val="21"/>
              </w:rPr>
            </w:pPr>
            <w:r>
              <w:rPr>
                <w:rFonts w:hint="eastAsia" w:ascii="宋体" w:hAnsi="宋体" w:cs="宋体"/>
                <w:sz w:val="21"/>
                <w:szCs w:val="21"/>
              </w:rPr>
              <w:t>≤5</w:t>
            </w:r>
          </w:p>
        </w:tc>
      </w:tr>
      <w:tr w14:paraId="0BF1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00E98C5F">
            <w:pPr>
              <w:spacing w:line="240" w:lineRule="auto"/>
              <w:jc w:val="center"/>
              <w:rPr>
                <w:rFonts w:ascii="宋体" w:hAnsi="宋体" w:cs="宋体"/>
                <w:sz w:val="21"/>
                <w:szCs w:val="21"/>
              </w:rPr>
            </w:pPr>
            <w:r>
              <w:rPr>
                <w:rFonts w:hint="eastAsia" w:ascii="宋体" w:hAnsi="宋体" w:cs="宋体"/>
                <w:sz w:val="21"/>
                <w:szCs w:val="21"/>
              </w:rPr>
              <w:t>16</w:t>
            </w:r>
          </w:p>
        </w:tc>
        <w:tc>
          <w:tcPr>
            <w:tcW w:w="1323" w:type="dxa"/>
            <w:vMerge w:val="continue"/>
            <w:shd w:val="clear" w:color="auto" w:fill="auto"/>
          </w:tcPr>
          <w:p w14:paraId="1ABAC22D">
            <w:pPr>
              <w:spacing w:line="240" w:lineRule="auto"/>
              <w:rPr>
                <w:rFonts w:ascii="宋体" w:hAnsi="宋体" w:cs="宋体"/>
                <w:sz w:val="21"/>
                <w:szCs w:val="21"/>
              </w:rPr>
            </w:pPr>
          </w:p>
        </w:tc>
        <w:tc>
          <w:tcPr>
            <w:tcW w:w="2907" w:type="dxa"/>
            <w:shd w:val="clear" w:color="auto" w:fill="auto"/>
          </w:tcPr>
          <w:p w14:paraId="09B7EB87">
            <w:pPr>
              <w:spacing w:line="240" w:lineRule="auto"/>
              <w:rPr>
                <w:rFonts w:ascii="宋体" w:hAnsi="宋体" w:cs="宋体"/>
                <w:sz w:val="21"/>
                <w:szCs w:val="21"/>
              </w:rPr>
            </w:pPr>
            <w:r>
              <w:rPr>
                <w:rFonts w:hint="eastAsia" w:ascii="宋体" w:hAnsi="宋体" w:cs="宋体"/>
                <w:sz w:val="21"/>
                <w:szCs w:val="21"/>
              </w:rPr>
              <w:t>枪线长度</w:t>
            </w:r>
          </w:p>
        </w:tc>
        <w:tc>
          <w:tcPr>
            <w:tcW w:w="729" w:type="dxa"/>
            <w:shd w:val="clear" w:color="auto" w:fill="auto"/>
          </w:tcPr>
          <w:p w14:paraId="6FD35B57">
            <w:pPr>
              <w:spacing w:line="240" w:lineRule="auto"/>
              <w:rPr>
                <w:rFonts w:ascii="宋体" w:hAnsi="宋体" w:cs="宋体"/>
                <w:sz w:val="21"/>
                <w:szCs w:val="21"/>
              </w:rPr>
            </w:pPr>
            <w:r>
              <w:rPr>
                <w:rFonts w:hint="eastAsia" w:ascii="宋体" w:hAnsi="宋体" w:cs="宋体"/>
                <w:sz w:val="21"/>
                <w:szCs w:val="21"/>
              </w:rPr>
              <w:t>米</w:t>
            </w:r>
          </w:p>
        </w:tc>
        <w:tc>
          <w:tcPr>
            <w:tcW w:w="2729" w:type="dxa"/>
            <w:shd w:val="clear" w:color="auto" w:fill="auto"/>
          </w:tcPr>
          <w:p w14:paraId="1A641121">
            <w:pPr>
              <w:spacing w:line="240" w:lineRule="auto"/>
              <w:rPr>
                <w:rFonts w:ascii="宋体" w:hAnsi="宋体" w:cs="宋体"/>
                <w:sz w:val="21"/>
                <w:szCs w:val="21"/>
              </w:rPr>
            </w:pPr>
            <w:r>
              <w:rPr>
                <w:rFonts w:hint="eastAsia" w:ascii="宋体" w:hAnsi="宋体" w:cs="宋体"/>
                <w:sz w:val="21"/>
                <w:szCs w:val="21"/>
              </w:rPr>
              <w:t>≥4</w:t>
            </w:r>
          </w:p>
        </w:tc>
      </w:tr>
      <w:tr w14:paraId="6129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5B00C46A">
            <w:pPr>
              <w:spacing w:line="240" w:lineRule="auto"/>
              <w:jc w:val="center"/>
              <w:rPr>
                <w:rFonts w:ascii="宋体" w:hAnsi="宋体" w:cs="宋体"/>
                <w:sz w:val="21"/>
                <w:szCs w:val="21"/>
              </w:rPr>
            </w:pPr>
            <w:r>
              <w:rPr>
                <w:rFonts w:hint="eastAsia" w:ascii="宋体" w:hAnsi="宋体" w:cs="宋体"/>
                <w:sz w:val="21"/>
                <w:szCs w:val="21"/>
              </w:rPr>
              <w:t>17</w:t>
            </w:r>
          </w:p>
        </w:tc>
        <w:tc>
          <w:tcPr>
            <w:tcW w:w="1323" w:type="dxa"/>
            <w:vMerge w:val="continue"/>
            <w:shd w:val="clear" w:color="auto" w:fill="auto"/>
          </w:tcPr>
          <w:p w14:paraId="477BF1B2">
            <w:pPr>
              <w:spacing w:line="240" w:lineRule="auto"/>
              <w:rPr>
                <w:rFonts w:ascii="宋体" w:hAnsi="宋体" w:cs="宋体"/>
                <w:sz w:val="21"/>
                <w:szCs w:val="21"/>
              </w:rPr>
            </w:pPr>
          </w:p>
        </w:tc>
        <w:tc>
          <w:tcPr>
            <w:tcW w:w="2907" w:type="dxa"/>
            <w:shd w:val="clear" w:color="auto" w:fill="auto"/>
          </w:tcPr>
          <w:p w14:paraId="78F415AC">
            <w:pPr>
              <w:spacing w:line="240" w:lineRule="auto"/>
              <w:rPr>
                <w:rFonts w:ascii="宋体" w:hAnsi="宋体" w:cs="宋体"/>
                <w:sz w:val="21"/>
                <w:szCs w:val="21"/>
              </w:rPr>
            </w:pPr>
            <w:r>
              <w:rPr>
                <w:rFonts w:hint="eastAsia" w:ascii="宋体" w:hAnsi="宋体" w:cs="宋体"/>
                <w:sz w:val="21"/>
                <w:szCs w:val="21"/>
              </w:rPr>
              <w:t>屏幕</w:t>
            </w:r>
          </w:p>
        </w:tc>
        <w:tc>
          <w:tcPr>
            <w:tcW w:w="729" w:type="dxa"/>
            <w:shd w:val="clear" w:color="auto" w:fill="auto"/>
          </w:tcPr>
          <w:p w14:paraId="46F069C9">
            <w:pPr>
              <w:spacing w:line="240" w:lineRule="auto"/>
              <w:rPr>
                <w:rFonts w:ascii="宋体" w:hAnsi="宋体" w:cs="宋体"/>
                <w:sz w:val="21"/>
                <w:szCs w:val="21"/>
              </w:rPr>
            </w:pPr>
          </w:p>
        </w:tc>
        <w:tc>
          <w:tcPr>
            <w:tcW w:w="2729" w:type="dxa"/>
            <w:shd w:val="clear" w:color="auto" w:fill="auto"/>
          </w:tcPr>
          <w:p w14:paraId="10171911">
            <w:pPr>
              <w:spacing w:line="240" w:lineRule="auto"/>
              <w:rPr>
                <w:rFonts w:ascii="宋体" w:hAnsi="宋体" w:cs="宋体"/>
                <w:sz w:val="21"/>
                <w:szCs w:val="21"/>
              </w:rPr>
            </w:pPr>
            <w:r>
              <w:rPr>
                <w:rFonts w:hint="eastAsia" w:ascii="宋体" w:hAnsi="宋体" w:cs="宋体"/>
                <w:sz w:val="21"/>
                <w:szCs w:val="21"/>
              </w:rPr>
              <w:t>触摸屏</w:t>
            </w:r>
          </w:p>
        </w:tc>
      </w:tr>
      <w:tr w14:paraId="3421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0A8FF19C">
            <w:pPr>
              <w:spacing w:line="240" w:lineRule="auto"/>
              <w:jc w:val="center"/>
              <w:rPr>
                <w:rFonts w:ascii="宋体" w:hAnsi="宋体" w:cs="宋体"/>
                <w:sz w:val="21"/>
                <w:szCs w:val="21"/>
              </w:rPr>
            </w:pPr>
            <w:r>
              <w:rPr>
                <w:rFonts w:hint="eastAsia" w:ascii="宋体" w:hAnsi="宋体" w:cs="宋体"/>
                <w:sz w:val="21"/>
                <w:szCs w:val="21"/>
              </w:rPr>
              <w:t>18</w:t>
            </w:r>
          </w:p>
        </w:tc>
        <w:tc>
          <w:tcPr>
            <w:tcW w:w="1323" w:type="dxa"/>
            <w:vMerge w:val="continue"/>
            <w:shd w:val="clear" w:color="auto" w:fill="auto"/>
          </w:tcPr>
          <w:p w14:paraId="4F34A3EB">
            <w:pPr>
              <w:spacing w:line="240" w:lineRule="auto"/>
              <w:rPr>
                <w:rFonts w:ascii="宋体" w:hAnsi="宋体" w:cs="宋体"/>
                <w:sz w:val="21"/>
                <w:szCs w:val="21"/>
              </w:rPr>
            </w:pPr>
          </w:p>
        </w:tc>
        <w:tc>
          <w:tcPr>
            <w:tcW w:w="2907" w:type="dxa"/>
            <w:shd w:val="clear" w:color="auto" w:fill="auto"/>
          </w:tcPr>
          <w:p w14:paraId="31815BB1">
            <w:pPr>
              <w:spacing w:line="240" w:lineRule="auto"/>
              <w:rPr>
                <w:rFonts w:ascii="宋体" w:hAnsi="宋体" w:cs="宋体"/>
                <w:sz w:val="21"/>
                <w:szCs w:val="21"/>
              </w:rPr>
            </w:pPr>
            <w:r>
              <w:rPr>
                <w:rFonts w:hint="eastAsia" w:ascii="宋体" w:hAnsi="宋体" w:cs="宋体"/>
                <w:sz w:val="21"/>
                <w:szCs w:val="21"/>
              </w:rPr>
              <w:t>有源功率因数校正电路</w:t>
            </w:r>
          </w:p>
        </w:tc>
        <w:tc>
          <w:tcPr>
            <w:tcW w:w="729" w:type="dxa"/>
            <w:shd w:val="clear" w:color="auto" w:fill="auto"/>
          </w:tcPr>
          <w:p w14:paraId="4AA76FAA">
            <w:pPr>
              <w:spacing w:line="240" w:lineRule="auto"/>
              <w:rPr>
                <w:rFonts w:ascii="宋体" w:hAnsi="宋体" w:cs="宋体"/>
                <w:sz w:val="21"/>
                <w:szCs w:val="21"/>
              </w:rPr>
            </w:pPr>
          </w:p>
        </w:tc>
        <w:tc>
          <w:tcPr>
            <w:tcW w:w="2729" w:type="dxa"/>
            <w:shd w:val="clear" w:color="auto" w:fill="auto"/>
          </w:tcPr>
          <w:p w14:paraId="1473A8D9">
            <w:pPr>
              <w:spacing w:line="240" w:lineRule="auto"/>
              <w:rPr>
                <w:rFonts w:ascii="宋体" w:hAnsi="宋体" w:cs="宋体"/>
                <w:sz w:val="21"/>
                <w:szCs w:val="21"/>
              </w:rPr>
            </w:pPr>
            <w:r>
              <w:rPr>
                <w:rFonts w:hint="eastAsia" w:ascii="宋体" w:hAnsi="宋体" w:cs="宋体"/>
                <w:sz w:val="21"/>
                <w:szCs w:val="21"/>
              </w:rPr>
              <w:t>带</w:t>
            </w:r>
          </w:p>
        </w:tc>
      </w:tr>
      <w:tr w14:paraId="460B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7C08B8B8">
            <w:pPr>
              <w:spacing w:line="240" w:lineRule="auto"/>
              <w:jc w:val="center"/>
              <w:rPr>
                <w:rFonts w:ascii="宋体" w:hAnsi="宋体" w:cs="宋体"/>
                <w:sz w:val="21"/>
                <w:szCs w:val="21"/>
              </w:rPr>
            </w:pPr>
            <w:r>
              <w:rPr>
                <w:rFonts w:hint="eastAsia" w:ascii="宋体" w:hAnsi="宋体" w:cs="宋体"/>
                <w:sz w:val="21"/>
                <w:szCs w:val="21"/>
              </w:rPr>
              <w:t>19</w:t>
            </w:r>
          </w:p>
        </w:tc>
        <w:tc>
          <w:tcPr>
            <w:tcW w:w="1323" w:type="dxa"/>
            <w:vMerge w:val="continue"/>
            <w:shd w:val="clear" w:color="auto" w:fill="auto"/>
          </w:tcPr>
          <w:p w14:paraId="75A36AAB">
            <w:pPr>
              <w:spacing w:line="240" w:lineRule="auto"/>
              <w:rPr>
                <w:rFonts w:ascii="宋体" w:hAnsi="宋体" w:cs="宋体"/>
                <w:sz w:val="21"/>
                <w:szCs w:val="21"/>
              </w:rPr>
            </w:pPr>
          </w:p>
        </w:tc>
        <w:tc>
          <w:tcPr>
            <w:tcW w:w="2907" w:type="dxa"/>
            <w:shd w:val="clear" w:color="auto" w:fill="auto"/>
          </w:tcPr>
          <w:p w14:paraId="19401DD5">
            <w:pPr>
              <w:spacing w:line="240" w:lineRule="auto"/>
              <w:rPr>
                <w:rFonts w:ascii="宋体" w:hAnsi="宋体" w:cs="宋体"/>
                <w:sz w:val="21"/>
                <w:szCs w:val="21"/>
              </w:rPr>
            </w:pPr>
            <w:r>
              <w:rPr>
                <w:rFonts w:hint="eastAsia" w:ascii="宋体" w:hAnsi="宋体" w:cs="宋体"/>
                <w:sz w:val="21"/>
                <w:szCs w:val="21"/>
              </w:rPr>
              <w:t>直流输出接口</w:t>
            </w:r>
          </w:p>
        </w:tc>
        <w:tc>
          <w:tcPr>
            <w:tcW w:w="729" w:type="dxa"/>
            <w:shd w:val="clear" w:color="auto" w:fill="auto"/>
          </w:tcPr>
          <w:p w14:paraId="4BC523A9">
            <w:pPr>
              <w:spacing w:line="240" w:lineRule="auto"/>
              <w:rPr>
                <w:rFonts w:ascii="宋体" w:hAnsi="宋体" w:cs="宋体"/>
                <w:sz w:val="21"/>
                <w:szCs w:val="21"/>
              </w:rPr>
            </w:pPr>
          </w:p>
        </w:tc>
        <w:tc>
          <w:tcPr>
            <w:tcW w:w="2729" w:type="dxa"/>
            <w:shd w:val="clear" w:color="auto" w:fill="auto"/>
          </w:tcPr>
          <w:p w14:paraId="64F5D579">
            <w:pPr>
              <w:spacing w:line="240" w:lineRule="auto"/>
              <w:rPr>
                <w:rFonts w:ascii="宋体" w:hAnsi="宋体" w:cs="宋体"/>
                <w:sz w:val="21"/>
                <w:szCs w:val="21"/>
              </w:rPr>
            </w:pPr>
            <w:r>
              <w:rPr>
                <w:rFonts w:hint="eastAsia" w:ascii="宋体" w:hAnsi="宋体" w:cs="宋体"/>
                <w:sz w:val="21"/>
                <w:szCs w:val="21"/>
              </w:rPr>
              <w:t>GB／T20234.3-2015</w:t>
            </w:r>
          </w:p>
        </w:tc>
      </w:tr>
      <w:tr w14:paraId="7A7A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shd w:val="clear" w:color="auto" w:fill="auto"/>
          </w:tcPr>
          <w:p w14:paraId="3CF98F86">
            <w:pPr>
              <w:spacing w:line="240" w:lineRule="auto"/>
              <w:jc w:val="center"/>
              <w:rPr>
                <w:rFonts w:ascii="宋体" w:hAnsi="宋体" w:cs="宋体"/>
                <w:sz w:val="21"/>
                <w:szCs w:val="21"/>
              </w:rPr>
            </w:pPr>
            <w:r>
              <w:rPr>
                <w:rFonts w:hint="eastAsia" w:ascii="宋体" w:hAnsi="宋体" w:cs="宋体"/>
                <w:sz w:val="21"/>
                <w:szCs w:val="21"/>
              </w:rPr>
              <w:t>20</w:t>
            </w:r>
          </w:p>
        </w:tc>
        <w:tc>
          <w:tcPr>
            <w:tcW w:w="1323" w:type="dxa"/>
            <w:vMerge w:val="continue"/>
            <w:shd w:val="clear" w:color="auto" w:fill="auto"/>
          </w:tcPr>
          <w:p w14:paraId="4D03D8D4">
            <w:pPr>
              <w:spacing w:line="240" w:lineRule="auto"/>
              <w:rPr>
                <w:rFonts w:ascii="宋体" w:hAnsi="宋体" w:cs="宋体"/>
                <w:sz w:val="21"/>
                <w:szCs w:val="21"/>
              </w:rPr>
            </w:pPr>
          </w:p>
        </w:tc>
        <w:tc>
          <w:tcPr>
            <w:tcW w:w="2907" w:type="dxa"/>
            <w:shd w:val="clear" w:color="auto" w:fill="auto"/>
          </w:tcPr>
          <w:p w14:paraId="27A20BFE">
            <w:pPr>
              <w:spacing w:line="240" w:lineRule="auto"/>
              <w:rPr>
                <w:rFonts w:ascii="宋体" w:hAnsi="宋体" w:cs="宋体"/>
                <w:sz w:val="21"/>
                <w:szCs w:val="21"/>
              </w:rPr>
            </w:pPr>
            <w:r>
              <w:rPr>
                <w:rFonts w:hint="eastAsia" w:ascii="宋体" w:hAnsi="宋体" w:cs="宋体"/>
                <w:sz w:val="21"/>
                <w:szCs w:val="21"/>
              </w:rPr>
              <w:t>平均无故障时间</w:t>
            </w:r>
          </w:p>
        </w:tc>
        <w:tc>
          <w:tcPr>
            <w:tcW w:w="729" w:type="dxa"/>
            <w:shd w:val="clear" w:color="auto" w:fill="auto"/>
          </w:tcPr>
          <w:p w14:paraId="0EB2D3FC">
            <w:pPr>
              <w:spacing w:line="240" w:lineRule="auto"/>
              <w:rPr>
                <w:rFonts w:ascii="宋体" w:hAnsi="宋体" w:cs="宋体"/>
                <w:sz w:val="21"/>
                <w:szCs w:val="21"/>
              </w:rPr>
            </w:pPr>
            <w:r>
              <w:rPr>
                <w:rFonts w:hint="eastAsia" w:ascii="宋体" w:hAnsi="宋体" w:cs="宋体"/>
                <w:sz w:val="21"/>
                <w:szCs w:val="21"/>
              </w:rPr>
              <w:t>h</w:t>
            </w:r>
          </w:p>
        </w:tc>
        <w:tc>
          <w:tcPr>
            <w:tcW w:w="2729" w:type="dxa"/>
            <w:shd w:val="clear" w:color="auto" w:fill="auto"/>
          </w:tcPr>
          <w:p w14:paraId="7D7B33AC">
            <w:pPr>
              <w:spacing w:line="240" w:lineRule="auto"/>
              <w:rPr>
                <w:rFonts w:ascii="宋体" w:hAnsi="宋体" w:cs="宋体"/>
                <w:sz w:val="21"/>
                <w:szCs w:val="21"/>
              </w:rPr>
            </w:pPr>
            <w:r>
              <w:rPr>
                <w:rFonts w:hint="eastAsia" w:ascii="宋体" w:hAnsi="宋体" w:cs="宋体"/>
                <w:sz w:val="21"/>
                <w:szCs w:val="21"/>
              </w:rPr>
              <w:t>≥26280h</w:t>
            </w:r>
          </w:p>
        </w:tc>
      </w:tr>
    </w:tbl>
    <w:p w14:paraId="0B624470">
      <w:pPr>
        <w:rPr>
          <w:rFonts w:hint="eastAsia" w:ascii="仿宋" w:hAnsi="仿宋" w:eastAsia="仿宋" w:cs="仿宋"/>
          <w:caps/>
          <w:sz w:val="24"/>
          <w:szCs w:val="24"/>
          <w:lang w:bidi="ar"/>
        </w:rPr>
      </w:pPr>
      <w:r>
        <w:rPr>
          <w:rFonts w:hint="eastAsia" w:ascii="仿宋" w:hAnsi="仿宋" w:eastAsia="仿宋" w:cs="仿宋"/>
          <w:caps/>
          <w:sz w:val="24"/>
          <w:szCs w:val="24"/>
          <w:lang w:bidi="ar"/>
        </w:rPr>
        <w:t>1）耐候性：一体式充电机主功率模块及辅助电源采用灌胶工艺。</w:t>
      </w:r>
    </w:p>
    <w:p w14:paraId="5CFAC872">
      <w:pPr>
        <w:rPr>
          <w:rFonts w:hint="default" w:eastAsia="宋体"/>
          <w:lang w:val="en-US" w:eastAsia="zh-CN"/>
        </w:rPr>
      </w:pPr>
      <w:r>
        <w:rPr>
          <w:rFonts w:hint="eastAsia" w:ascii="仿宋" w:hAnsi="仿宋" w:eastAsia="仿宋" w:cs="仿宋"/>
          <w:caps/>
          <w:sz w:val="24"/>
          <w:szCs w:val="24"/>
          <w:lang w:bidi="ar"/>
        </w:rPr>
        <w:t>2）主动防护功能：充电机具备主动安全防护65项以上，包括但不限于监测电动汽车BMS运行状态、电池特性参数及充电机自身运行状态等功能，主动诊断并处理故障和异常，实现电动汽车充电过程的主动防护。</w:t>
      </w:r>
    </w:p>
    <w:p w14:paraId="123C8A73">
      <w:pPr>
        <w:rPr>
          <w:rFonts w:hint="eastAsia" w:cs="仿宋"/>
          <w:b/>
          <w:bCs/>
          <w:color w:val="auto"/>
          <w:highlight w:val="none"/>
          <w:lang w:val="en-US" w:eastAsia="zh-CN"/>
        </w:rPr>
      </w:pPr>
    </w:p>
    <w:p w14:paraId="77A9D96D">
      <w:pPr>
        <w:rPr>
          <w:rFonts w:hint="eastAsia" w:cs="仿宋"/>
          <w:b/>
          <w:bCs/>
          <w:color w:val="auto"/>
          <w:highlight w:val="none"/>
          <w:lang w:val="en-US" w:eastAsia="zh-CN"/>
        </w:rPr>
      </w:pPr>
      <w:r>
        <w:rPr>
          <w:rFonts w:hint="eastAsia" w:cs="仿宋"/>
          <w:b/>
          <w:bCs/>
          <w:color w:val="auto"/>
          <w:highlight w:val="none"/>
          <w:lang w:val="en-US" w:eastAsia="zh-CN"/>
        </w:rPr>
        <w:t>（四）视频监控系统技术要求</w:t>
      </w:r>
    </w:p>
    <w:p w14:paraId="547057C6">
      <w:pPr>
        <w:ind w:firstLine="480" w:firstLineChars="200"/>
        <w:rPr>
          <w:rFonts w:hint="eastAsia" w:ascii="仿宋" w:hAnsi="仿宋" w:eastAsia="仿宋" w:cs="仿宋"/>
          <w:sz w:val="24"/>
          <w:szCs w:val="24"/>
        </w:rPr>
      </w:pPr>
      <w:r>
        <w:rPr>
          <w:rFonts w:hint="eastAsia" w:ascii="仿宋" w:hAnsi="仿宋" w:eastAsia="仿宋" w:cs="仿宋"/>
          <w:sz w:val="24"/>
          <w:szCs w:val="24"/>
        </w:rPr>
        <w:t>视频监控系统应按照全面覆盖设计，总体和局部全覆盖，具备车牌充电全过程录像，和人员活 动自动抓拍功能，并将视频监控数据实时上传至现有视频集中监控平台，并在投标文件中提供成熟 的实施方案。</w:t>
      </w:r>
    </w:p>
    <w:p w14:paraId="74E41826">
      <w:pPr>
        <w:ind w:firstLine="482" w:firstLineChars="200"/>
        <w:rPr>
          <w:rFonts w:hint="eastAsia" w:ascii="仿宋" w:hAnsi="仿宋" w:eastAsia="仿宋" w:cs="仿宋"/>
          <w:b/>
          <w:bCs/>
          <w:sz w:val="24"/>
          <w:szCs w:val="24"/>
        </w:rPr>
      </w:pPr>
      <w:r>
        <w:rPr>
          <w:rFonts w:hint="eastAsia" w:cs="仿宋"/>
          <w:b/>
          <w:bCs/>
          <w:sz w:val="24"/>
          <w:szCs w:val="24"/>
          <w:lang w:eastAsia="zh-CN"/>
        </w:rPr>
        <w:t>（</w:t>
      </w:r>
      <w:r>
        <w:rPr>
          <w:rFonts w:hint="eastAsia" w:cs="仿宋"/>
          <w:b/>
          <w:bCs/>
          <w:sz w:val="24"/>
          <w:szCs w:val="24"/>
          <w:lang w:val="en-US" w:eastAsia="zh-CN"/>
        </w:rPr>
        <w:t>1</w:t>
      </w:r>
      <w:r>
        <w:rPr>
          <w:rFonts w:hint="eastAsia" w:cs="仿宋"/>
          <w:b/>
          <w:bCs/>
          <w:sz w:val="24"/>
          <w:szCs w:val="24"/>
          <w:lang w:eastAsia="zh-CN"/>
        </w:rPr>
        <w:t>）</w:t>
      </w:r>
      <w:r>
        <w:rPr>
          <w:rFonts w:hint="eastAsia" w:ascii="仿宋" w:hAnsi="仿宋" w:eastAsia="仿宋" w:cs="仿宋"/>
          <w:b/>
          <w:bCs/>
          <w:sz w:val="24"/>
          <w:szCs w:val="24"/>
        </w:rPr>
        <w:t>整体架构</w:t>
      </w:r>
    </w:p>
    <w:p w14:paraId="6D7F661C">
      <w:pPr>
        <w:ind w:firstLine="480" w:firstLineChars="200"/>
        <w:rPr>
          <w:rFonts w:hint="eastAsia" w:ascii="仿宋" w:hAnsi="仿宋" w:eastAsia="仿宋" w:cs="仿宋"/>
          <w:sz w:val="24"/>
          <w:szCs w:val="24"/>
        </w:rPr>
      </w:pPr>
      <w:r>
        <w:rPr>
          <w:rFonts w:hint="eastAsia" w:ascii="仿宋" w:hAnsi="仿宋" w:eastAsia="仿宋" w:cs="仿宋"/>
          <w:sz w:val="24"/>
          <w:szCs w:val="24"/>
        </w:rPr>
        <w:t>对充电场站内充电堆（机）及配套设施的运行状态进行监控，确保充电过程的安全可靠，实时监测充 电场站内的突发情况，如充电堆（机）被破坏、恶劣天气、 自然灾害等实时监控，方便及时判断并作出应对措施。摄像机能够满足夜间正常监测，且满足雾霾等恶劣天气下的正常使用。</w:t>
      </w:r>
    </w:p>
    <w:p w14:paraId="4B7D273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（2）视频监控方案功能配置要求</w:t>
      </w:r>
    </w:p>
    <w:tbl>
      <w:tblPr>
        <w:tblStyle w:val="89"/>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9"/>
        <w:gridCol w:w="5749"/>
        <w:gridCol w:w="1899"/>
      </w:tblGrid>
      <w:tr w14:paraId="32AE2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blHeader/>
        </w:trPr>
        <w:tc>
          <w:tcPr>
            <w:tcW w:w="801" w:type="pct"/>
            <w:tcBorders>
              <w:top w:val="single" w:color="000000" w:sz="4" w:space="0"/>
              <w:left w:val="single" w:color="000000" w:sz="4" w:space="0"/>
              <w:bottom w:val="single" w:color="000000" w:sz="4" w:space="0"/>
              <w:right w:val="single" w:color="000000" w:sz="4" w:space="0"/>
            </w:tcBorders>
            <w:shd w:val="clear" w:color="auto" w:fill="D8D8D8"/>
            <w:vAlign w:val="center"/>
          </w:tcPr>
          <w:p w14:paraId="1B55A014">
            <w:pPr>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功能需求</w:t>
            </w:r>
          </w:p>
        </w:tc>
        <w:tc>
          <w:tcPr>
            <w:tcW w:w="3155" w:type="pct"/>
            <w:tcBorders>
              <w:top w:val="single" w:color="000000" w:sz="4" w:space="0"/>
              <w:left w:val="single" w:color="000000" w:sz="4" w:space="0"/>
              <w:bottom w:val="single" w:color="000000" w:sz="4" w:space="0"/>
              <w:right w:val="single" w:color="000000" w:sz="4" w:space="0"/>
            </w:tcBorders>
            <w:shd w:val="clear" w:color="auto" w:fill="D8D8D8"/>
            <w:vAlign w:val="center"/>
          </w:tcPr>
          <w:p w14:paraId="3EEADCDB">
            <w:pPr>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功能描述</w:t>
            </w:r>
          </w:p>
        </w:tc>
        <w:tc>
          <w:tcPr>
            <w:tcW w:w="1042" w:type="pct"/>
            <w:tcBorders>
              <w:top w:val="single" w:color="000000" w:sz="4" w:space="0"/>
              <w:left w:val="single" w:color="000000" w:sz="4" w:space="0"/>
              <w:bottom w:val="single" w:color="000000" w:sz="4" w:space="0"/>
              <w:right w:val="single" w:color="000000" w:sz="4" w:space="0"/>
            </w:tcBorders>
            <w:shd w:val="clear" w:color="auto" w:fill="D8D8D8"/>
            <w:vAlign w:val="center"/>
          </w:tcPr>
          <w:p w14:paraId="5327A33C">
            <w:pPr>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设备配置</w:t>
            </w:r>
          </w:p>
        </w:tc>
      </w:tr>
      <w:tr w14:paraId="68A35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01" w:type="pct"/>
            <w:tcBorders>
              <w:top w:val="single" w:color="000000" w:sz="4" w:space="0"/>
              <w:left w:val="single" w:color="000000" w:sz="4" w:space="0"/>
              <w:bottom w:val="single" w:color="000000" w:sz="4" w:space="0"/>
              <w:right w:val="single" w:color="000000" w:sz="4" w:space="0"/>
            </w:tcBorders>
            <w:vAlign w:val="center"/>
          </w:tcPr>
          <w:p w14:paraId="5D4014AF">
            <w:pPr>
              <w:spacing w:line="240" w:lineRule="auto"/>
              <w:jc w:val="center"/>
              <w:rPr>
                <w:rFonts w:ascii="宋体" w:hAnsi="宋体" w:cs="宋体"/>
                <w:color w:val="000000"/>
                <w:sz w:val="21"/>
                <w:szCs w:val="21"/>
              </w:rPr>
            </w:pPr>
            <w:r>
              <w:rPr>
                <w:rFonts w:hint="eastAsia" w:ascii="宋体" w:hAnsi="宋体" w:cs="宋体"/>
                <w:color w:val="000000"/>
                <w:sz w:val="21"/>
                <w:szCs w:val="21"/>
              </w:rPr>
              <w:t>充电设备监控</w:t>
            </w:r>
          </w:p>
        </w:tc>
        <w:tc>
          <w:tcPr>
            <w:tcW w:w="3155" w:type="pct"/>
            <w:tcBorders>
              <w:top w:val="single" w:color="000000" w:sz="4" w:space="0"/>
              <w:left w:val="single" w:color="000000" w:sz="4" w:space="0"/>
              <w:bottom w:val="single" w:color="000000" w:sz="4" w:space="0"/>
              <w:right w:val="single" w:color="000000" w:sz="4" w:space="0"/>
            </w:tcBorders>
            <w:vAlign w:val="center"/>
          </w:tcPr>
          <w:p w14:paraId="7E6660A0">
            <w:pPr>
              <w:spacing w:line="240" w:lineRule="auto"/>
              <w:jc w:val="left"/>
              <w:rPr>
                <w:rFonts w:ascii="宋体" w:hAnsi="宋体" w:cs="宋体"/>
                <w:color w:val="000000"/>
                <w:sz w:val="21"/>
                <w:szCs w:val="21"/>
              </w:rPr>
            </w:pPr>
            <w:r>
              <w:rPr>
                <w:rFonts w:hint="eastAsia" w:ascii="宋体" w:hAnsi="宋体" w:cs="宋体"/>
                <w:color w:val="000000"/>
                <w:sz w:val="21"/>
                <w:szCs w:val="21"/>
              </w:rPr>
              <w:t>实时监控充电桩及配套设施，支持透雾、星光级超级照度，可满足夜间、雾霾等恶劣条件下实时监控需求。</w:t>
            </w:r>
          </w:p>
        </w:tc>
        <w:tc>
          <w:tcPr>
            <w:tcW w:w="1042" w:type="pct"/>
            <w:tcBorders>
              <w:top w:val="single" w:color="000000" w:sz="4" w:space="0"/>
              <w:left w:val="single" w:color="000000" w:sz="4" w:space="0"/>
              <w:bottom w:val="single" w:color="000000" w:sz="4" w:space="0"/>
              <w:right w:val="single" w:color="000000" w:sz="4" w:space="0"/>
            </w:tcBorders>
            <w:vAlign w:val="center"/>
          </w:tcPr>
          <w:p w14:paraId="3895DF46">
            <w:pPr>
              <w:spacing w:line="240" w:lineRule="auto"/>
              <w:jc w:val="center"/>
              <w:rPr>
                <w:rFonts w:ascii="宋体" w:hAnsi="宋体" w:cs="宋体"/>
                <w:color w:val="000000"/>
                <w:sz w:val="21"/>
                <w:szCs w:val="21"/>
              </w:rPr>
            </w:pPr>
            <w:r>
              <w:rPr>
                <w:rFonts w:hint="eastAsia" w:ascii="宋体" w:hAnsi="宋体" w:cs="宋体"/>
                <w:color w:val="000000"/>
                <w:sz w:val="21"/>
                <w:szCs w:val="21"/>
              </w:rPr>
              <w:t>红外摄像机</w:t>
            </w:r>
          </w:p>
        </w:tc>
      </w:tr>
      <w:tr w14:paraId="3682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801" w:type="pct"/>
            <w:tcBorders>
              <w:top w:val="single" w:color="000000" w:sz="4" w:space="0"/>
              <w:left w:val="single" w:color="000000" w:sz="4" w:space="0"/>
              <w:bottom w:val="single" w:color="000000" w:sz="4" w:space="0"/>
              <w:right w:val="single" w:color="000000" w:sz="4" w:space="0"/>
            </w:tcBorders>
            <w:vAlign w:val="center"/>
          </w:tcPr>
          <w:p w14:paraId="5C83297B">
            <w:pPr>
              <w:spacing w:line="240" w:lineRule="auto"/>
              <w:jc w:val="center"/>
              <w:rPr>
                <w:rFonts w:ascii="宋体" w:hAnsi="宋体" w:cs="宋体"/>
                <w:color w:val="000000"/>
                <w:sz w:val="21"/>
                <w:szCs w:val="21"/>
              </w:rPr>
            </w:pPr>
            <w:r>
              <w:rPr>
                <w:rFonts w:hint="eastAsia" w:ascii="宋体" w:hAnsi="宋体" w:cs="宋体"/>
                <w:color w:val="000000"/>
                <w:sz w:val="21"/>
                <w:szCs w:val="21"/>
              </w:rPr>
              <w:t>录像存储</w:t>
            </w:r>
          </w:p>
        </w:tc>
        <w:tc>
          <w:tcPr>
            <w:tcW w:w="3155" w:type="pct"/>
            <w:tcBorders>
              <w:top w:val="single" w:color="000000" w:sz="4" w:space="0"/>
              <w:left w:val="single" w:color="000000" w:sz="4" w:space="0"/>
              <w:bottom w:val="single" w:color="000000" w:sz="4" w:space="0"/>
              <w:right w:val="single" w:color="000000" w:sz="4" w:space="0"/>
            </w:tcBorders>
            <w:vAlign w:val="center"/>
          </w:tcPr>
          <w:p w14:paraId="2EDB3684">
            <w:pPr>
              <w:spacing w:line="240" w:lineRule="auto"/>
              <w:jc w:val="left"/>
              <w:rPr>
                <w:rFonts w:ascii="宋体" w:hAnsi="宋体" w:cs="宋体"/>
                <w:color w:val="000000"/>
                <w:sz w:val="21"/>
                <w:szCs w:val="21"/>
              </w:rPr>
            </w:pPr>
            <w:r>
              <w:rPr>
                <w:rFonts w:hint="eastAsia" w:ascii="宋体" w:hAnsi="宋体" w:cs="宋体"/>
                <w:color w:val="000000"/>
                <w:sz w:val="21"/>
                <w:szCs w:val="21"/>
              </w:rPr>
              <w:t>要求单路设备码流3M，存储时间需要至少满足30天。</w:t>
            </w:r>
          </w:p>
        </w:tc>
        <w:tc>
          <w:tcPr>
            <w:tcW w:w="1042" w:type="pct"/>
            <w:tcBorders>
              <w:top w:val="single" w:color="000000" w:sz="4" w:space="0"/>
              <w:left w:val="single" w:color="000000" w:sz="4" w:space="0"/>
              <w:bottom w:val="single" w:color="000000" w:sz="4" w:space="0"/>
              <w:right w:val="single" w:color="000000" w:sz="4" w:space="0"/>
            </w:tcBorders>
            <w:vAlign w:val="center"/>
          </w:tcPr>
          <w:p w14:paraId="2AC72FD6">
            <w:pPr>
              <w:spacing w:line="240" w:lineRule="auto"/>
              <w:jc w:val="center"/>
              <w:rPr>
                <w:rFonts w:ascii="宋体" w:hAnsi="宋体" w:cs="宋体"/>
                <w:color w:val="000000"/>
                <w:sz w:val="21"/>
                <w:szCs w:val="21"/>
              </w:rPr>
            </w:pPr>
            <w:r>
              <w:rPr>
                <w:rFonts w:hint="eastAsia" w:ascii="宋体" w:hAnsi="宋体" w:cs="宋体"/>
                <w:color w:val="000000"/>
                <w:sz w:val="21"/>
                <w:szCs w:val="21"/>
              </w:rPr>
              <w:t>硬盘录像机，硬盘</w:t>
            </w:r>
          </w:p>
        </w:tc>
      </w:tr>
      <w:tr w14:paraId="748F6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01" w:type="pct"/>
            <w:tcBorders>
              <w:top w:val="single" w:color="000000" w:sz="4" w:space="0"/>
              <w:left w:val="single" w:color="000000" w:sz="4" w:space="0"/>
              <w:bottom w:val="single" w:color="000000" w:sz="4" w:space="0"/>
              <w:right w:val="single" w:color="000000" w:sz="4" w:space="0"/>
            </w:tcBorders>
            <w:vAlign w:val="center"/>
          </w:tcPr>
          <w:p w14:paraId="553D678C">
            <w:pPr>
              <w:spacing w:line="240" w:lineRule="auto"/>
              <w:jc w:val="center"/>
              <w:rPr>
                <w:rFonts w:ascii="宋体" w:hAnsi="宋体" w:cs="宋体"/>
                <w:color w:val="000000"/>
                <w:sz w:val="21"/>
                <w:szCs w:val="21"/>
              </w:rPr>
            </w:pPr>
            <w:r>
              <w:rPr>
                <w:rFonts w:hint="eastAsia" w:ascii="宋体" w:hAnsi="宋体" w:cs="宋体"/>
                <w:color w:val="000000"/>
                <w:sz w:val="21"/>
                <w:szCs w:val="21"/>
              </w:rPr>
              <w:t>本地监视</w:t>
            </w:r>
          </w:p>
        </w:tc>
        <w:tc>
          <w:tcPr>
            <w:tcW w:w="3155" w:type="pct"/>
            <w:tcBorders>
              <w:top w:val="single" w:color="000000" w:sz="4" w:space="0"/>
              <w:left w:val="single" w:color="000000" w:sz="4" w:space="0"/>
              <w:bottom w:val="single" w:color="000000" w:sz="4" w:space="0"/>
              <w:right w:val="single" w:color="000000" w:sz="4" w:space="0"/>
            </w:tcBorders>
            <w:vAlign w:val="center"/>
          </w:tcPr>
          <w:p w14:paraId="2FBA5761">
            <w:pPr>
              <w:spacing w:line="240" w:lineRule="auto"/>
              <w:jc w:val="left"/>
              <w:rPr>
                <w:rFonts w:ascii="宋体" w:hAnsi="宋体" w:cs="宋体"/>
                <w:color w:val="000000"/>
                <w:sz w:val="21"/>
                <w:szCs w:val="21"/>
              </w:rPr>
            </w:pPr>
            <w:r>
              <w:rPr>
                <w:rFonts w:hint="eastAsia" w:ascii="宋体" w:hAnsi="宋体" w:cs="宋体"/>
                <w:color w:val="000000"/>
                <w:sz w:val="21"/>
                <w:szCs w:val="21"/>
              </w:rPr>
              <w:t>配置本地管理软件，方便本地查看、回放、图片抓拍、指定时间的视频保存等功能。</w:t>
            </w:r>
          </w:p>
        </w:tc>
        <w:tc>
          <w:tcPr>
            <w:tcW w:w="1042" w:type="pct"/>
            <w:tcBorders>
              <w:top w:val="single" w:color="000000" w:sz="4" w:space="0"/>
              <w:left w:val="single" w:color="000000" w:sz="4" w:space="0"/>
              <w:bottom w:val="single" w:color="000000" w:sz="4" w:space="0"/>
              <w:right w:val="single" w:color="000000" w:sz="4" w:space="0"/>
            </w:tcBorders>
            <w:vAlign w:val="center"/>
          </w:tcPr>
          <w:p w14:paraId="1AB6DED6">
            <w:pPr>
              <w:spacing w:line="240" w:lineRule="auto"/>
              <w:jc w:val="center"/>
              <w:rPr>
                <w:rFonts w:ascii="宋体" w:hAnsi="宋体" w:cs="宋体"/>
                <w:color w:val="000000"/>
                <w:sz w:val="21"/>
                <w:szCs w:val="21"/>
              </w:rPr>
            </w:pPr>
            <w:r>
              <w:rPr>
                <w:rFonts w:hint="eastAsia" w:ascii="宋体" w:hAnsi="宋体" w:cs="宋体"/>
                <w:color w:val="000000"/>
                <w:sz w:val="21"/>
                <w:szCs w:val="21"/>
              </w:rPr>
              <w:t>监视器</w:t>
            </w:r>
          </w:p>
        </w:tc>
      </w:tr>
      <w:tr w14:paraId="5260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01" w:type="pct"/>
            <w:tcBorders>
              <w:top w:val="single" w:color="000000" w:sz="4" w:space="0"/>
              <w:left w:val="single" w:color="000000" w:sz="4" w:space="0"/>
              <w:bottom w:val="single" w:color="000000" w:sz="4" w:space="0"/>
              <w:right w:val="single" w:color="000000" w:sz="4" w:space="0"/>
            </w:tcBorders>
            <w:vAlign w:val="center"/>
          </w:tcPr>
          <w:p w14:paraId="3D50522C">
            <w:pPr>
              <w:spacing w:line="240" w:lineRule="auto"/>
              <w:jc w:val="center"/>
              <w:rPr>
                <w:rFonts w:ascii="宋体" w:hAnsi="宋体" w:cs="宋体"/>
                <w:color w:val="000000"/>
                <w:sz w:val="21"/>
                <w:szCs w:val="21"/>
              </w:rPr>
            </w:pPr>
            <w:r>
              <w:rPr>
                <w:rFonts w:hint="eastAsia" w:ascii="宋体" w:hAnsi="宋体" w:cs="宋体"/>
                <w:color w:val="000000"/>
                <w:sz w:val="21"/>
                <w:szCs w:val="21"/>
              </w:rPr>
              <w:t>传输网络</w:t>
            </w:r>
          </w:p>
        </w:tc>
        <w:tc>
          <w:tcPr>
            <w:tcW w:w="3155" w:type="pct"/>
            <w:tcBorders>
              <w:top w:val="single" w:color="000000" w:sz="4" w:space="0"/>
              <w:left w:val="single" w:color="000000" w:sz="4" w:space="0"/>
              <w:bottom w:val="single" w:color="000000" w:sz="4" w:space="0"/>
              <w:right w:val="single" w:color="000000" w:sz="4" w:space="0"/>
            </w:tcBorders>
            <w:vAlign w:val="center"/>
          </w:tcPr>
          <w:p w14:paraId="4D6D2D70">
            <w:pPr>
              <w:spacing w:line="240" w:lineRule="auto"/>
              <w:jc w:val="left"/>
              <w:rPr>
                <w:rFonts w:ascii="宋体" w:hAnsi="宋体" w:cs="宋体"/>
                <w:color w:val="000000"/>
                <w:sz w:val="21"/>
                <w:szCs w:val="21"/>
              </w:rPr>
            </w:pPr>
            <w:r>
              <w:rPr>
                <w:rFonts w:hint="eastAsia" w:ascii="宋体" w:hAnsi="宋体" w:cs="宋体"/>
                <w:color w:val="000000"/>
                <w:sz w:val="21"/>
                <w:szCs w:val="21"/>
              </w:rPr>
              <w:t>用于前端与平台之间的通信，前端系统的视音频信息可上传至供应商平台。</w:t>
            </w:r>
          </w:p>
        </w:tc>
        <w:tc>
          <w:tcPr>
            <w:tcW w:w="1042" w:type="pct"/>
            <w:tcBorders>
              <w:top w:val="single" w:color="000000" w:sz="4" w:space="0"/>
              <w:left w:val="single" w:color="000000" w:sz="4" w:space="0"/>
              <w:bottom w:val="single" w:color="000000" w:sz="4" w:space="0"/>
              <w:right w:val="single" w:color="000000" w:sz="4" w:space="0"/>
            </w:tcBorders>
            <w:vAlign w:val="center"/>
          </w:tcPr>
          <w:p w14:paraId="7074F827">
            <w:pPr>
              <w:spacing w:line="240" w:lineRule="auto"/>
              <w:jc w:val="center"/>
              <w:rPr>
                <w:rFonts w:ascii="宋体" w:hAnsi="宋体" w:cs="宋体"/>
                <w:color w:val="000000"/>
                <w:sz w:val="21"/>
                <w:szCs w:val="21"/>
              </w:rPr>
            </w:pPr>
            <w:r>
              <w:rPr>
                <w:rFonts w:hint="eastAsia" w:ascii="宋体" w:hAnsi="宋体" w:cs="宋体"/>
                <w:color w:val="000000"/>
                <w:sz w:val="21"/>
                <w:szCs w:val="21"/>
              </w:rPr>
              <w:t>交换机、路由器等</w:t>
            </w:r>
          </w:p>
        </w:tc>
      </w:tr>
      <w:tr w14:paraId="58BE3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5" w:hRule="atLeast"/>
        </w:trPr>
        <w:tc>
          <w:tcPr>
            <w:tcW w:w="801" w:type="pct"/>
            <w:tcBorders>
              <w:top w:val="single" w:color="000000" w:sz="4" w:space="0"/>
              <w:left w:val="single" w:color="000000" w:sz="4" w:space="0"/>
              <w:bottom w:val="single" w:color="000000" w:sz="4" w:space="0"/>
              <w:right w:val="single" w:color="000000" w:sz="4" w:space="0"/>
            </w:tcBorders>
            <w:vAlign w:val="center"/>
          </w:tcPr>
          <w:p w14:paraId="69B917DD">
            <w:pPr>
              <w:spacing w:line="240" w:lineRule="auto"/>
              <w:jc w:val="center"/>
              <w:rPr>
                <w:rFonts w:ascii="宋体" w:hAnsi="宋体" w:cs="宋体"/>
                <w:color w:val="000000"/>
                <w:sz w:val="21"/>
                <w:szCs w:val="21"/>
              </w:rPr>
            </w:pPr>
            <w:r>
              <w:rPr>
                <w:rFonts w:hint="eastAsia" w:ascii="宋体" w:hAnsi="宋体" w:cs="宋体"/>
                <w:color w:val="000000"/>
                <w:sz w:val="21"/>
                <w:szCs w:val="21"/>
              </w:rPr>
              <w:t>中心云平台</w:t>
            </w:r>
          </w:p>
          <w:p w14:paraId="7CD563FB">
            <w:pPr>
              <w:spacing w:line="240" w:lineRule="auto"/>
              <w:jc w:val="center"/>
              <w:rPr>
                <w:rFonts w:ascii="宋体" w:hAnsi="宋体" w:cs="宋体"/>
                <w:color w:val="000000"/>
                <w:sz w:val="21"/>
                <w:szCs w:val="21"/>
              </w:rPr>
            </w:pPr>
            <w:r>
              <w:rPr>
                <w:rFonts w:hint="eastAsia" w:ascii="宋体" w:hAnsi="宋体" w:cs="宋体"/>
                <w:color w:val="000000"/>
                <w:sz w:val="21"/>
                <w:szCs w:val="21"/>
              </w:rPr>
              <w:t>管理</w:t>
            </w:r>
          </w:p>
        </w:tc>
        <w:tc>
          <w:tcPr>
            <w:tcW w:w="3155" w:type="pct"/>
            <w:tcBorders>
              <w:top w:val="single" w:color="000000" w:sz="4" w:space="0"/>
              <w:left w:val="single" w:color="000000" w:sz="4" w:space="0"/>
              <w:bottom w:val="single" w:color="000000" w:sz="4" w:space="0"/>
              <w:right w:val="single" w:color="000000" w:sz="4" w:space="0"/>
            </w:tcBorders>
            <w:vAlign w:val="center"/>
          </w:tcPr>
          <w:p w14:paraId="21698733">
            <w:pPr>
              <w:spacing w:line="240" w:lineRule="auto"/>
              <w:jc w:val="left"/>
              <w:rPr>
                <w:rFonts w:ascii="宋体" w:hAnsi="宋体" w:cs="宋体"/>
                <w:color w:val="000000"/>
                <w:sz w:val="21"/>
                <w:szCs w:val="21"/>
              </w:rPr>
            </w:pPr>
            <w:r>
              <w:rPr>
                <w:rFonts w:hint="eastAsia" w:ascii="宋体" w:hAnsi="宋体" w:cs="宋体"/>
                <w:color w:val="000000"/>
                <w:sz w:val="21"/>
                <w:szCs w:val="21"/>
              </w:rPr>
              <w:t>通过平台软件能够进行全方位管理，提供中心管理、Web服务、认证授权、日志管理、资产管理、地图管理、流媒体服务、云台代理、存储管理、文件备份、设备代理、移动服务、报警管理、电视墙代理、网管服务等系统服务，实现通过云平台、本地监控屏、手机/PAD/PC等形式，支持实时查看、回放、云平台控制（转向、变焦）、图片抓拍，指定时间的视频上传与保存等功能。</w:t>
            </w:r>
          </w:p>
        </w:tc>
        <w:tc>
          <w:tcPr>
            <w:tcW w:w="1042" w:type="pct"/>
            <w:tcBorders>
              <w:top w:val="single" w:color="000000" w:sz="4" w:space="0"/>
              <w:left w:val="single" w:color="000000" w:sz="4" w:space="0"/>
              <w:bottom w:val="single" w:color="000000" w:sz="4" w:space="0"/>
              <w:right w:val="single" w:color="000000" w:sz="4" w:space="0"/>
            </w:tcBorders>
            <w:vAlign w:val="center"/>
          </w:tcPr>
          <w:p w14:paraId="68748279">
            <w:pPr>
              <w:spacing w:line="240" w:lineRule="auto"/>
              <w:jc w:val="center"/>
              <w:rPr>
                <w:rFonts w:ascii="宋体" w:hAnsi="宋体" w:cs="宋体"/>
                <w:color w:val="000000"/>
                <w:sz w:val="21"/>
                <w:szCs w:val="21"/>
              </w:rPr>
            </w:pPr>
          </w:p>
        </w:tc>
      </w:tr>
    </w:tbl>
    <w:p w14:paraId="1492BFBE">
      <w:pPr>
        <w:ind w:firstLine="482" w:firstLineChars="200"/>
        <w:rPr>
          <w:rFonts w:ascii="宋体" w:hAnsi="宋体" w:cs="宋体"/>
          <w:b/>
          <w:bCs/>
          <w:sz w:val="24"/>
          <w:szCs w:val="24"/>
        </w:rPr>
      </w:pPr>
      <w:r>
        <w:rPr>
          <w:rFonts w:hint="eastAsia" w:ascii="宋体" w:hAnsi="宋体" w:cs="宋体"/>
          <w:b/>
          <w:bCs/>
          <w:sz w:val="24"/>
          <w:szCs w:val="24"/>
        </w:rPr>
        <w:t>（3）视频监控设备性能配置要求</w:t>
      </w:r>
    </w:p>
    <w:tbl>
      <w:tblPr>
        <w:tblStyle w:val="8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5847"/>
        <w:gridCol w:w="1336"/>
      </w:tblGrid>
      <w:tr w14:paraId="1931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1058" w:type="pct"/>
            <w:shd w:val="clear" w:color="auto" w:fill="D9D9D9"/>
            <w:noWrap/>
            <w:vAlign w:val="center"/>
          </w:tcPr>
          <w:p w14:paraId="5CD287C8">
            <w:pPr>
              <w:widowControl/>
              <w:adjustRightInd w:val="0"/>
              <w:snapToGrid w:val="0"/>
              <w:spacing w:line="240" w:lineRule="auto"/>
              <w:ind w:left="240" w:leftChars="100"/>
              <w:jc w:val="center"/>
              <w:rPr>
                <w:rFonts w:ascii="宋体" w:hAnsi="宋体" w:cs="宋体"/>
                <w:b/>
                <w:sz w:val="21"/>
                <w:szCs w:val="21"/>
              </w:rPr>
            </w:pPr>
            <w:r>
              <w:rPr>
                <w:rFonts w:hint="eastAsia" w:ascii="宋体" w:hAnsi="宋体" w:cs="宋体"/>
                <w:b/>
                <w:sz w:val="21"/>
                <w:szCs w:val="21"/>
              </w:rPr>
              <w:t>设备名称</w:t>
            </w:r>
          </w:p>
        </w:tc>
        <w:tc>
          <w:tcPr>
            <w:tcW w:w="3209" w:type="pct"/>
            <w:shd w:val="clear" w:color="auto" w:fill="D9D9D9"/>
            <w:vAlign w:val="center"/>
          </w:tcPr>
          <w:p w14:paraId="13AFE07F">
            <w:pPr>
              <w:widowControl/>
              <w:adjustRightInd w:val="0"/>
              <w:snapToGrid w:val="0"/>
              <w:spacing w:line="240" w:lineRule="auto"/>
              <w:ind w:left="240" w:leftChars="100"/>
              <w:jc w:val="center"/>
              <w:rPr>
                <w:rFonts w:ascii="宋体" w:hAnsi="宋体" w:cs="宋体"/>
                <w:b/>
                <w:sz w:val="21"/>
                <w:szCs w:val="21"/>
              </w:rPr>
            </w:pPr>
            <w:r>
              <w:rPr>
                <w:rFonts w:hint="eastAsia" w:ascii="宋体" w:hAnsi="宋体" w:cs="宋体"/>
                <w:b/>
                <w:sz w:val="21"/>
                <w:szCs w:val="21"/>
              </w:rPr>
              <w:t>关键参数</w:t>
            </w:r>
          </w:p>
        </w:tc>
        <w:tc>
          <w:tcPr>
            <w:tcW w:w="733" w:type="pct"/>
            <w:shd w:val="clear" w:color="auto" w:fill="D9D9D9"/>
            <w:vAlign w:val="center"/>
          </w:tcPr>
          <w:p w14:paraId="5D441DA2">
            <w:pPr>
              <w:widowControl/>
              <w:adjustRightInd w:val="0"/>
              <w:snapToGrid w:val="0"/>
              <w:spacing w:line="240" w:lineRule="auto"/>
              <w:ind w:left="240" w:leftChars="100"/>
              <w:jc w:val="center"/>
              <w:rPr>
                <w:rFonts w:ascii="宋体" w:hAnsi="宋体" w:cs="宋体"/>
                <w:b/>
                <w:sz w:val="21"/>
                <w:szCs w:val="21"/>
              </w:rPr>
            </w:pPr>
            <w:r>
              <w:rPr>
                <w:rFonts w:hint="eastAsia" w:ascii="宋体" w:hAnsi="宋体" w:cs="宋体"/>
                <w:b/>
                <w:sz w:val="21"/>
                <w:szCs w:val="21"/>
              </w:rPr>
              <w:t>备注</w:t>
            </w:r>
          </w:p>
        </w:tc>
      </w:tr>
      <w:tr w14:paraId="7E2F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vMerge w:val="restart"/>
            <w:shd w:val="clear" w:color="auto" w:fill="auto"/>
            <w:noWrap/>
            <w:vAlign w:val="center"/>
          </w:tcPr>
          <w:p w14:paraId="25414F31">
            <w:pPr>
              <w:spacing w:line="240" w:lineRule="auto"/>
              <w:jc w:val="center"/>
              <w:rPr>
                <w:rFonts w:ascii="宋体" w:hAnsi="宋体" w:cs="宋体"/>
                <w:color w:val="000000"/>
                <w:sz w:val="21"/>
                <w:szCs w:val="21"/>
              </w:rPr>
            </w:pPr>
            <w:r>
              <w:rPr>
                <w:rFonts w:hint="eastAsia" w:ascii="宋体" w:hAnsi="宋体" w:cs="宋体"/>
                <w:color w:val="000000"/>
                <w:sz w:val="21"/>
                <w:szCs w:val="21"/>
              </w:rPr>
              <w:t>红外摄像机</w:t>
            </w:r>
          </w:p>
        </w:tc>
        <w:tc>
          <w:tcPr>
            <w:tcW w:w="3209" w:type="pct"/>
            <w:shd w:val="clear" w:color="auto" w:fill="auto"/>
            <w:vAlign w:val="center"/>
          </w:tcPr>
          <w:p w14:paraId="5587E324">
            <w:pPr>
              <w:spacing w:line="240" w:lineRule="auto"/>
              <w:jc w:val="center"/>
              <w:rPr>
                <w:rFonts w:ascii="宋体" w:hAnsi="宋体" w:cs="宋体"/>
                <w:color w:val="000000"/>
                <w:sz w:val="21"/>
                <w:szCs w:val="21"/>
              </w:rPr>
            </w:pPr>
            <w:r>
              <w:rPr>
                <w:rFonts w:hint="eastAsia" w:ascii="宋体" w:hAnsi="宋体" w:cs="宋体"/>
                <w:color w:val="000000"/>
                <w:sz w:val="21"/>
                <w:szCs w:val="21"/>
              </w:rPr>
              <w:t>低照度</w:t>
            </w:r>
            <w:r>
              <w:rPr>
                <w:rFonts w:hint="eastAsia" w:ascii="宋体" w:hAnsi="宋体" w:cs="宋体"/>
                <w:color w:val="000000"/>
                <w:sz w:val="21"/>
                <w:szCs w:val="21"/>
                <w:lang w:val="en-US" w:eastAsia="zh-CN"/>
              </w:rPr>
              <w:t>4</w:t>
            </w:r>
            <w:r>
              <w:rPr>
                <w:rFonts w:hint="eastAsia" w:ascii="宋体" w:hAnsi="宋体" w:cs="宋体"/>
                <w:color w:val="000000"/>
                <w:sz w:val="21"/>
                <w:szCs w:val="21"/>
              </w:rPr>
              <w:t>00万1/2.8英寸CMOS图像传感器；</w:t>
            </w:r>
          </w:p>
        </w:tc>
        <w:tc>
          <w:tcPr>
            <w:tcW w:w="733" w:type="pct"/>
            <w:vMerge w:val="restart"/>
            <w:shd w:val="clear" w:color="auto" w:fill="auto"/>
            <w:vAlign w:val="center"/>
          </w:tcPr>
          <w:p w14:paraId="5921BBD6">
            <w:pPr>
              <w:spacing w:line="240" w:lineRule="auto"/>
              <w:jc w:val="center"/>
              <w:rPr>
                <w:rFonts w:ascii="宋体" w:hAnsi="宋体" w:cs="宋体"/>
                <w:color w:val="000000"/>
                <w:sz w:val="21"/>
                <w:szCs w:val="21"/>
              </w:rPr>
            </w:pPr>
            <w:r>
              <w:rPr>
                <w:rFonts w:hint="eastAsia" w:ascii="宋体" w:hAnsi="宋体" w:cs="宋体"/>
                <w:color w:val="000000"/>
                <w:sz w:val="21"/>
                <w:szCs w:val="21"/>
              </w:rPr>
              <w:t>POE供电</w:t>
            </w:r>
          </w:p>
        </w:tc>
      </w:tr>
      <w:tr w14:paraId="4B72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vMerge w:val="continue"/>
            <w:shd w:val="clear" w:color="auto" w:fill="auto"/>
            <w:vAlign w:val="center"/>
          </w:tcPr>
          <w:p w14:paraId="0DAA8EC0">
            <w:pPr>
              <w:spacing w:line="240" w:lineRule="auto"/>
              <w:jc w:val="center"/>
              <w:rPr>
                <w:rFonts w:ascii="宋体" w:hAnsi="宋体" w:cs="宋体"/>
                <w:color w:val="000000"/>
                <w:sz w:val="21"/>
                <w:szCs w:val="21"/>
              </w:rPr>
            </w:pPr>
          </w:p>
        </w:tc>
        <w:tc>
          <w:tcPr>
            <w:tcW w:w="3209" w:type="pct"/>
            <w:shd w:val="clear" w:color="auto" w:fill="auto"/>
            <w:vAlign w:val="center"/>
          </w:tcPr>
          <w:p w14:paraId="63332135">
            <w:pPr>
              <w:spacing w:line="240" w:lineRule="auto"/>
              <w:jc w:val="center"/>
              <w:rPr>
                <w:rFonts w:ascii="宋体" w:hAnsi="宋体" w:cs="宋体"/>
                <w:color w:val="000000"/>
                <w:sz w:val="21"/>
                <w:szCs w:val="21"/>
              </w:rPr>
            </w:pPr>
            <w:r>
              <w:rPr>
                <w:rFonts w:hint="eastAsia" w:ascii="宋体" w:hAnsi="宋体" w:cs="宋体"/>
                <w:color w:val="000000"/>
                <w:sz w:val="21"/>
                <w:szCs w:val="21"/>
              </w:rPr>
              <w:t>最大分辨率</w:t>
            </w:r>
            <w:r>
              <w:rPr>
                <w:rFonts w:hint="eastAsia" w:ascii="宋体" w:hAnsi="宋体" w:cs="宋体"/>
                <w:color w:val="000000"/>
                <w:sz w:val="21"/>
                <w:szCs w:val="21"/>
                <w:lang w:val="en-US" w:eastAsia="zh-CN"/>
              </w:rPr>
              <w:t>4</w:t>
            </w:r>
            <w:r>
              <w:rPr>
                <w:rFonts w:hint="eastAsia" w:ascii="宋体" w:hAnsi="宋体" w:cs="宋体"/>
                <w:color w:val="000000"/>
                <w:sz w:val="21"/>
                <w:szCs w:val="21"/>
              </w:rPr>
              <w:t>00W；</w:t>
            </w:r>
          </w:p>
        </w:tc>
        <w:tc>
          <w:tcPr>
            <w:tcW w:w="733" w:type="pct"/>
            <w:vMerge w:val="continue"/>
            <w:shd w:val="clear" w:color="auto" w:fill="auto"/>
            <w:vAlign w:val="center"/>
          </w:tcPr>
          <w:p w14:paraId="3B8DD6B4">
            <w:pPr>
              <w:spacing w:line="240" w:lineRule="auto"/>
              <w:jc w:val="center"/>
              <w:rPr>
                <w:rFonts w:ascii="宋体" w:hAnsi="宋体" w:cs="宋体"/>
                <w:color w:val="000000"/>
                <w:sz w:val="21"/>
                <w:szCs w:val="21"/>
              </w:rPr>
            </w:pPr>
          </w:p>
        </w:tc>
      </w:tr>
      <w:tr w14:paraId="5CC4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vMerge w:val="continue"/>
            <w:shd w:val="clear" w:color="auto" w:fill="auto"/>
            <w:vAlign w:val="center"/>
          </w:tcPr>
          <w:p w14:paraId="066B0867">
            <w:pPr>
              <w:spacing w:line="240" w:lineRule="auto"/>
              <w:jc w:val="center"/>
              <w:rPr>
                <w:rFonts w:ascii="宋体" w:hAnsi="宋体" w:cs="宋体"/>
                <w:color w:val="000000"/>
                <w:sz w:val="21"/>
                <w:szCs w:val="21"/>
              </w:rPr>
            </w:pPr>
          </w:p>
        </w:tc>
        <w:tc>
          <w:tcPr>
            <w:tcW w:w="3209" w:type="pct"/>
            <w:shd w:val="clear" w:color="auto" w:fill="auto"/>
            <w:vAlign w:val="center"/>
          </w:tcPr>
          <w:p w14:paraId="532DFB9C">
            <w:pPr>
              <w:spacing w:line="240" w:lineRule="auto"/>
              <w:jc w:val="center"/>
              <w:rPr>
                <w:rFonts w:ascii="宋体" w:hAnsi="宋体" w:cs="宋体"/>
                <w:color w:val="000000"/>
                <w:sz w:val="21"/>
                <w:szCs w:val="21"/>
              </w:rPr>
            </w:pPr>
            <w:r>
              <w:rPr>
                <w:rFonts w:hint="eastAsia" w:ascii="宋体" w:hAnsi="宋体" w:cs="宋体"/>
                <w:color w:val="000000"/>
                <w:sz w:val="21"/>
                <w:szCs w:val="21"/>
              </w:rPr>
              <w:t>红外距离不小于50米；</w:t>
            </w:r>
          </w:p>
        </w:tc>
        <w:tc>
          <w:tcPr>
            <w:tcW w:w="733" w:type="pct"/>
            <w:vMerge w:val="continue"/>
            <w:shd w:val="clear" w:color="auto" w:fill="auto"/>
            <w:vAlign w:val="center"/>
          </w:tcPr>
          <w:p w14:paraId="261A5F3F">
            <w:pPr>
              <w:spacing w:line="240" w:lineRule="auto"/>
              <w:jc w:val="center"/>
              <w:rPr>
                <w:rFonts w:ascii="宋体" w:hAnsi="宋体" w:cs="宋体"/>
                <w:color w:val="000000"/>
                <w:sz w:val="21"/>
                <w:szCs w:val="21"/>
              </w:rPr>
            </w:pPr>
          </w:p>
        </w:tc>
      </w:tr>
      <w:tr w14:paraId="449C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vMerge w:val="continue"/>
            <w:shd w:val="clear" w:color="auto" w:fill="auto"/>
            <w:vAlign w:val="center"/>
          </w:tcPr>
          <w:p w14:paraId="048570B6">
            <w:pPr>
              <w:spacing w:line="240" w:lineRule="auto"/>
              <w:jc w:val="center"/>
              <w:rPr>
                <w:rFonts w:ascii="宋体" w:hAnsi="宋体" w:cs="宋体"/>
                <w:color w:val="000000"/>
                <w:sz w:val="21"/>
                <w:szCs w:val="21"/>
              </w:rPr>
            </w:pPr>
          </w:p>
        </w:tc>
        <w:tc>
          <w:tcPr>
            <w:tcW w:w="3209" w:type="pct"/>
            <w:shd w:val="clear" w:color="auto" w:fill="auto"/>
            <w:vAlign w:val="center"/>
          </w:tcPr>
          <w:p w14:paraId="0E41B762">
            <w:pPr>
              <w:spacing w:line="240" w:lineRule="auto"/>
              <w:jc w:val="center"/>
              <w:rPr>
                <w:rFonts w:ascii="宋体" w:hAnsi="宋体" w:cs="宋体"/>
                <w:color w:val="000000"/>
                <w:sz w:val="21"/>
                <w:szCs w:val="21"/>
              </w:rPr>
            </w:pPr>
            <w:r>
              <w:rPr>
                <w:rFonts w:hint="eastAsia" w:ascii="宋体" w:hAnsi="宋体" w:cs="宋体"/>
                <w:color w:val="000000"/>
                <w:sz w:val="21"/>
                <w:szCs w:val="21"/>
              </w:rPr>
              <w:t>镜头焦距3.6mm、6mm、8mm、12mm可选；</w:t>
            </w:r>
          </w:p>
        </w:tc>
        <w:tc>
          <w:tcPr>
            <w:tcW w:w="733" w:type="pct"/>
            <w:vMerge w:val="continue"/>
            <w:shd w:val="clear" w:color="auto" w:fill="auto"/>
            <w:vAlign w:val="center"/>
          </w:tcPr>
          <w:p w14:paraId="0A24E619">
            <w:pPr>
              <w:spacing w:line="240" w:lineRule="auto"/>
              <w:jc w:val="center"/>
              <w:rPr>
                <w:rFonts w:ascii="宋体" w:hAnsi="宋体" w:cs="宋体"/>
                <w:color w:val="000000"/>
                <w:sz w:val="21"/>
                <w:szCs w:val="21"/>
              </w:rPr>
            </w:pPr>
          </w:p>
        </w:tc>
      </w:tr>
      <w:tr w14:paraId="1CEA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vMerge w:val="continue"/>
            <w:shd w:val="clear" w:color="auto" w:fill="auto"/>
            <w:vAlign w:val="center"/>
          </w:tcPr>
          <w:p w14:paraId="3115F0E1">
            <w:pPr>
              <w:spacing w:line="240" w:lineRule="auto"/>
              <w:jc w:val="center"/>
              <w:rPr>
                <w:rFonts w:ascii="宋体" w:hAnsi="宋体" w:cs="宋体"/>
                <w:color w:val="000000"/>
                <w:sz w:val="21"/>
                <w:szCs w:val="21"/>
              </w:rPr>
            </w:pPr>
          </w:p>
        </w:tc>
        <w:tc>
          <w:tcPr>
            <w:tcW w:w="3209" w:type="pct"/>
            <w:shd w:val="clear" w:color="auto" w:fill="auto"/>
            <w:vAlign w:val="center"/>
          </w:tcPr>
          <w:p w14:paraId="31C6B7B0">
            <w:pPr>
              <w:spacing w:line="240" w:lineRule="auto"/>
              <w:jc w:val="center"/>
              <w:rPr>
                <w:rFonts w:ascii="宋体" w:hAnsi="宋体" w:cs="宋体"/>
                <w:color w:val="000000"/>
                <w:sz w:val="21"/>
                <w:szCs w:val="21"/>
              </w:rPr>
            </w:pPr>
            <w:r>
              <w:rPr>
                <w:rFonts w:hint="eastAsia" w:ascii="宋体" w:hAnsi="宋体" w:cs="宋体"/>
                <w:color w:val="000000"/>
                <w:sz w:val="21"/>
                <w:szCs w:val="21"/>
              </w:rPr>
              <w:t>星光支持；</w:t>
            </w:r>
          </w:p>
        </w:tc>
        <w:tc>
          <w:tcPr>
            <w:tcW w:w="733" w:type="pct"/>
            <w:vMerge w:val="continue"/>
            <w:shd w:val="clear" w:color="auto" w:fill="auto"/>
            <w:vAlign w:val="center"/>
          </w:tcPr>
          <w:p w14:paraId="2F81AD83">
            <w:pPr>
              <w:spacing w:line="240" w:lineRule="auto"/>
              <w:jc w:val="center"/>
              <w:rPr>
                <w:rFonts w:ascii="宋体" w:hAnsi="宋体" w:cs="宋体"/>
                <w:color w:val="000000"/>
                <w:sz w:val="21"/>
                <w:szCs w:val="21"/>
              </w:rPr>
            </w:pPr>
          </w:p>
        </w:tc>
      </w:tr>
      <w:tr w14:paraId="10B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vMerge w:val="continue"/>
            <w:shd w:val="clear" w:color="auto" w:fill="auto"/>
            <w:vAlign w:val="center"/>
          </w:tcPr>
          <w:p w14:paraId="5FED48B9">
            <w:pPr>
              <w:spacing w:line="240" w:lineRule="auto"/>
              <w:jc w:val="center"/>
              <w:rPr>
                <w:rFonts w:ascii="宋体" w:hAnsi="宋体" w:cs="宋体"/>
                <w:color w:val="000000"/>
                <w:sz w:val="21"/>
                <w:szCs w:val="21"/>
              </w:rPr>
            </w:pPr>
          </w:p>
        </w:tc>
        <w:tc>
          <w:tcPr>
            <w:tcW w:w="3209" w:type="pct"/>
            <w:shd w:val="clear" w:color="auto" w:fill="auto"/>
            <w:vAlign w:val="center"/>
          </w:tcPr>
          <w:p w14:paraId="2D0BD7D2">
            <w:pPr>
              <w:spacing w:line="240" w:lineRule="auto"/>
              <w:jc w:val="center"/>
              <w:rPr>
                <w:rFonts w:ascii="宋体" w:hAnsi="宋体" w:cs="宋体"/>
                <w:color w:val="000000"/>
                <w:sz w:val="21"/>
                <w:szCs w:val="21"/>
              </w:rPr>
            </w:pPr>
            <w:r>
              <w:rPr>
                <w:rFonts w:hint="eastAsia" w:ascii="宋体" w:hAnsi="宋体" w:cs="宋体"/>
                <w:color w:val="000000"/>
                <w:sz w:val="21"/>
                <w:szCs w:val="21"/>
              </w:rPr>
              <w:t>H.265支持；</w:t>
            </w:r>
          </w:p>
        </w:tc>
        <w:tc>
          <w:tcPr>
            <w:tcW w:w="733" w:type="pct"/>
            <w:vMerge w:val="continue"/>
            <w:shd w:val="clear" w:color="auto" w:fill="auto"/>
            <w:vAlign w:val="center"/>
          </w:tcPr>
          <w:p w14:paraId="3A635B5F">
            <w:pPr>
              <w:spacing w:line="240" w:lineRule="auto"/>
              <w:jc w:val="center"/>
              <w:rPr>
                <w:rFonts w:ascii="宋体" w:hAnsi="宋体" w:cs="宋体"/>
                <w:color w:val="000000"/>
                <w:sz w:val="21"/>
                <w:szCs w:val="21"/>
              </w:rPr>
            </w:pPr>
          </w:p>
        </w:tc>
      </w:tr>
      <w:tr w14:paraId="764E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058" w:type="pct"/>
            <w:vMerge w:val="continue"/>
            <w:shd w:val="clear" w:color="auto" w:fill="auto"/>
            <w:vAlign w:val="center"/>
          </w:tcPr>
          <w:p w14:paraId="0EE590B3">
            <w:pPr>
              <w:spacing w:line="240" w:lineRule="auto"/>
              <w:jc w:val="center"/>
              <w:rPr>
                <w:rFonts w:ascii="宋体" w:hAnsi="宋体" w:cs="宋体"/>
                <w:color w:val="000000"/>
                <w:sz w:val="21"/>
                <w:szCs w:val="21"/>
              </w:rPr>
            </w:pPr>
          </w:p>
        </w:tc>
        <w:tc>
          <w:tcPr>
            <w:tcW w:w="3209" w:type="pct"/>
            <w:shd w:val="clear" w:color="auto" w:fill="auto"/>
            <w:vAlign w:val="center"/>
          </w:tcPr>
          <w:p w14:paraId="17ECE531">
            <w:pPr>
              <w:spacing w:line="240" w:lineRule="auto"/>
              <w:jc w:val="center"/>
              <w:rPr>
                <w:rFonts w:ascii="宋体" w:hAnsi="宋体" w:cs="宋体"/>
                <w:color w:val="000000"/>
                <w:sz w:val="21"/>
                <w:szCs w:val="21"/>
              </w:rPr>
            </w:pPr>
            <w:r>
              <w:rPr>
                <w:rFonts w:hint="eastAsia" w:ascii="宋体" w:hAnsi="宋体" w:cs="宋体"/>
                <w:color w:val="000000"/>
                <w:sz w:val="21"/>
                <w:szCs w:val="21"/>
              </w:rPr>
              <w:t>防护等级IP67</w:t>
            </w:r>
          </w:p>
        </w:tc>
        <w:tc>
          <w:tcPr>
            <w:tcW w:w="733" w:type="pct"/>
            <w:vMerge w:val="continue"/>
            <w:shd w:val="clear" w:color="auto" w:fill="auto"/>
            <w:vAlign w:val="center"/>
          </w:tcPr>
          <w:p w14:paraId="76214B2F">
            <w:pPr>
              <w:spacing w:line="240" w:lineRule="auto"/>
              <w:jc w:val="center"/>
              <w:rPr>
                <w:rFonts w:ascii="宋体" w:hAnsi="宋体" w:cs="宋体"/>
                <w:color w:val="000000"/>
                <w:sz w:val="21"/>
                <w:szCs w:val="21"/>
              </w:rPr>
            </w:pPr>
          </w:p>
        </w:tc>
      </w:tr>
      <w:tr w14:paraId="5AB7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shd w:val="clear" w:color="auto" w:fill="auto"/>
            <w:noWrap/>
            <w:vAlign w:val="center"/>
          </w:tcPr>
          <w:p w14:paraId="34229BF0">
            <w:pPr>
              <w:spacing w:line="240" w:lineRule="auto"/>
              <w:jc w:val="center"/>
              <w:rPr>
                <w:rFonts w:ascii="宋体" w:hAnsi="宋体" w:cs="宋体"/>
                <w:color w:val="000000"/>
                <w:sz w:val="21"/>
                <w:szCs w:val="21"/>
              </w:rPr>
            </w:pPr>
            <w:r>
              <w:rPr>
                <w:rFonts w:hint="eastAsia" w:ascii="宋体" w:hAnsi="宋体" w:cs="宋体"/>
                <w:color w:val="000000"/>
                <w:sz w:val="21"/>
                <w:szCs w:val="21"/>
              </w:rPr>
              <w:t>监控立杆</w:t>
            </w:r>
          </w:p>
        </w:tc>
        <w:tc>
          <w:tcPr>
            <w:tcW w:w="3209" w:type="pct"/>
            <w:shd w:val="clear" w:color="auto" w:fill="auto"/>
            <w:vAlign w:val="center"/>
          </w:tcPr>
          <w:p w14:paraId="2EC51949">
            <w:pPr>
              <w:spacing w:line="240" w:lineRule="auto"/>
              <w:jc w:val="left"/>
              <w:rPr>
                <w:rFonts w:ascii="宋体" w:hAnsi="宋体" w:cs="宋体"/>
                <w:color w:val="000000"/>
                <w:sz w:val="21"/>
                <w:szCs w:val="21"/>
              </w:rPr>
            </w:pPr>
            <w:r>
              <w:rPr>
                <w:rFonts w:hint="eastAsia" w:ascii="宋体" w:hAnsi="宋体" w:cs="宋体"/>
                <w:color w:val="000000"/>
                <w:sz w:val="21"/>
                <w:szCs w:val="21"/>
              </w:rPr>
              <w:t>监控立杆要求摄像机离地面高度一般不低于4米，挑臂长度0.4-1米，监控立杆下端管径应在220mm±10mm、上端管径应在150 mm±5mm，管壁厚度应≥4mm，表面防腐、抗台风。监控立杆基础深度不低于1.5米，基础直径大于0.6米，预埋地笼，采用C25混凝土灌筑，以确保立杆的牢固度，立杆铁制件需采用热度锌处理，热度锌层符合GB/T9790、GBJ36011 和GB/T11373的规定，厚度不小于65毫米。监控立杆整体喷塑，外观应无鼓包，针孔，裂纹或漏喷现象表面光滑色泽一致标准，符合国家标准GB4054及行业标准QB1551-92的标准。</w:t>
            </w:r>
          </w:p>
        </w:tc>
        <w:tc>
          <w:tcPr>
            <w:tcW w:w="733" w:type="pct"/>
            <w:shd w:val="clear" w:color="auto" w:fill="auto"/>
            <w:vAlign w:val="center"/>
          </w:tcPr>
          <w:p w14:paraId="5A67C9DA">
            <w:pPr>
              <w:spacing w:line="240" w:lineRule="auto"/>
              <w:jc w:val="center"/>
              <w:rPr>
                <w:rFonts w:ascii="宋体" w:hAnsi="宋体" w:cs="宋体"/>
                <w:color w:val="000000"/>
                <w:sz w:val="21"/>
                <w:szCs w:val="21"/>
              </w:rPr>
            </w:pPr>
          </w:p>
        </w:tc>
      </w:tr>
      <w:tr w14:paraId="5970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noWrap/>
            <w:vAlign w:val="center"/>
          </w:tcPr>
          <w:p w14:paraId="51FD217D">
            <w:pPr>
              <w:spacing w:line="240" w:lineRule="auto"/>
              <w:jc w:val="center"/>
              <w:rPr>
                <w:rFonts w:ascii="宋体" w:hAnsi="宋体" w:cs="宋体"/>
                <w:color w:val="000000"/>
                <w:sz w:val="21"/>
                <w:szCs w:val="21"/>
              </w:rPr>
            </w:pPr>
            <w:r>
              <w:rPr>
                <w:rFonts w:hint="eastAsia" w:ascii="宋体" w:hAnsi="宋体" w:cs="宋体"/>
                <w:color w:val="000000"/>
                <w:sz w:val="21"/>
                <w:szCs w:val="21"/>
              </w:rPr>
              <w:t>网络硬盘录像机</w:t>
            </w:r>
          </w:p>
        </w:tc>
        <w:tc>
          <w:tcPr>
            <w:tcW w:w="3209" w:type="pct"/>
            <w:vAlign w:val="center"/>
          </w:tcPr>
          <w:p w14:paraId="76FA8E33">
            <w:pPr>
              <w:spacing w:line="240" w:lineRule="auto"/>
              <w:jc w:val="left"/>
              <w:rPr>
                <w:rFonts w:ascii="宋体" w:hAnsi="宋体" w:cs="宋体"/>
                <w:color w:val="000000"/>
                <w:sz w:val="21"/>
                <w:szCs w:val="21"/>
              </w:rPr>
            </w:pPr>
            <w:r>
              <w:rPr>
                <w:rFonts w:hint="eastAsia" w:ascii="宋体" w:hAnsi="宋体" w:cs="宋体"/>
                <w:color w:val="000000"/>
                <w:sz w:val="21"/>
                <w:szCs w:val="21"/>
              </w:rPr>
              <w:t>工业级嵌入式微控制器；嵌入式Linux实时操作系统；支持智能分析；网络视频接入不低于4路；IPC分辨率12M/4K/5M/3M/1080P/UXGA/1.3M/720P，支持1080P@60帧；1路VGA输出，1路HDMI输出，视频压缩标准H.265/H.264/MPEG4/MJPEG；不低于2个SATA接口，单盘容量支持8TB。2个RJ45 10/100/1000Mbps自适应以太网口；</w:t>
            </w:r>
          </w:p>
        </w:tc>
        <w:tc>
          <w:tcPr>
            <w:tcW w:w="733" w:type="pct"/>
            <w:vAlign w:val="center"/>
          </w:tcPr>
          <w:p w14:paraId="052E39E9">
            <w:pPr>
              <w:spacing w:line="240" w:lineRule="auto"/>
              <w:jc w:val="center"/>
              <w:rPr>
                <w:rFonts w:ascii="宋体" w:hAnsi="宋体" w:cs="宋体"/>
                <w:color w:val="000000"/>
                <w:sz w:val="21"/>
                <w:szCs w:val="21"/>
              </w:rPr>
            </w:pPr>
          </w:p>
        </w:tc>
      </w:tr>
      <w:tr w14:paraId="15D0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ign w:val="center"/>
          </w:tcPr>
          <w:p w14:paraId="43FB2BE7">
            <w:pPr>
              <w:spacing w:line="240" w:lineRule="auto"/>
              <w:jc w:val="center"/>
              <w:rPr>
                <w:rFonts w:hint="eastAsia" w:ascii="宋体" w:hAnsi="宋体" w:eastAsia="仿宋" w:cs="宋体"/>
                <w:color w:val="000000"/>
                <w:sz w:val="21"/>
                <w:szCs w:val="21"/>
                <w:lang w:val="en-US" w:eastAsia="zh-CN"/>
              </w:rPr>
            </w:pPr>
            <w:r>
              <w:rPr>
                <w:rFonts w:hint="eastAsia" w:ascii="宋体" w:hAnsi="宋体" w:cs="宋体"/>
                <w:color w:val="000000"/>
                <w:sz w:val="21"/>
                <w:szCs w:val="21"/>
              </w:rPr>
              <w:t>推荐品牌或厂家</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国产优质</w:t>
            </w:r>
          </w:p>
        </w:tc>
      </w:tr>
    </w:tbl>
    <w:p w14:paraId="66D980D4">
      <w:pPr>
        <w:jc w:val="center"/>
        <w:rPr>
          <w:b/>
          <w:bCs/>
        </w:rPr>
      </w:pPr>
      <w:r>
        <w:rPr>
          <w:rFonts w:hint="eastAsia"/>
          <w:b/>
          <w:bCs/>
        </w:rPr>
        <w:t>场站智能预警系统</w:t>
      </w:r>
    </w:p>
    <w:p w14:paraId="153C2C8B">
      <w:pPr>
        <w:numPr>
          <w:ilvl w:val="0"/>
          <w:numId w:val="4"/>
        </w:num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充电站聚合场站数据/AI算法/充电设备，打造出安全预警解决方案；</w:t>
      </w:r>
    </w:p>
    <w:p w14:paraId="408596DB">
      <w:pPr>
        <w:numPr>
          <w:ilvl w:val="0"/>
          <w:numId w:val="4"/>
        </w:num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依托云边端协同架构及场站监控图像，可完成实时识别场站异常、预警信息推送、充电设备联动控制，助力无人值守充电站全时感知和实时响；</w:t>
      </w:r>
    </w:p>
    <w:p w14:paraId="5FF9188A">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（3）基于充电平台海量的安全行为数据及设备状态数据通过机器学习平台的自学习及模型评估生成基于充电站原生场景图像识别算法，结合算力层场站部署的AI安全预警系统</w:t>
      </w:r>
    </w:p>
    <w:p w14:paraId="722F3CD2">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及平台形成能保证预警效率和保证高精度的云边协同识别机制。出现预警时通过设备管理中心及安全告警中心保证安全预警高效触达客户，最终实现多样算法在充电多样场景的应用和落地。</w:t>
      </w:r>
    </w:p>
    <w:p w14:paraId="193D4A90">
      <w:pPr>
        <w:pStyle w:val="82"/>
        <w:spacing w:before="0" w:beforeAutospacing="0" w:after="0" w:afterAutospacing="0"/>
        <w:ind w:firstLine="480" w:firstLineChars="200"/>
        <w:rPr>
          <w:rFonts w:hint="eastAsia" w:ascii="仿宋" w:hAnsi="仿宋" w:eastAsia="仿宋" w:cs="仿宋"/>
          <w:color w:val="auto"/>
          <w:kern w:val="2"/>
          <w:sz w:val="24"/>
          <w:szCs w:val="24"/>
          <w:shd w:val="clear" w:color="auto" w:fill="FFFFFF"/>
        </w:rPr>
      </w:pPr>
      <w:r>
        <w:rPr>
          <w:rFonts w:hint="eastAsia" w:ascii="仿宋" w:hAnsi="仿宋" w:eastAsia="仿宋" w:cs="仿宋"/>
          <w:color w:val="auto"/>
          <w:kern w:val="2"/>
          <w:sz w:val="24"/>
          <w:szCs w:val="24"/>
          <w:shd w:val="clear" w:color="auto" w:fill="FFFFFF"/>
        </w:rPr>
        <w:t>1数据档案层：基于充电场景安全行为及设备状态的海量数据；</w:t>
      </w:r>
    </w:p>
    <w:p w14:paraId="5F623CF8">
      <w:pPr>
        <w:pStyle w:val="82"/>
        <w:spacing w:before="0" w:beforeAutospacing="0" w:after="0" w:afterAutospacing="0"/>
        <w:ind w:firstLine="480" w:firstLineChars="200"/>
        <w:rPr>
          <w:rFonts w:hint="eastAsia" w:ascii="仿宋" w:hAnsi="仿宋" w:eastAsia="仿宋" w:cs="仿宋"/>
          <w:color w:val="auto"/>
          <w:kern w:val="2"/>
          <w:sz w:val="24"/>
          <w:szCs w:val="24"/>
          <w:shd w:val="clear" w:color="auto" w:fill="FFFFFF"/>
        </w:rPr>
      </w:pPr>
      <w:r>
        <w:rPr>
          <w:rFonts w:hint="eastAsia" w:ascii="仿宋" w:hAnsi="仿宋" w:eastAsia="仿宋" w:cs="仿宋"/>
          <w:color w:val="auto"/>
          <w:kern w:val="2"/>
          <w:sz w:val="24"/>
          <w:szCs w:val="24"/>
          <w:shd w:val="clear" w:color="auto" w:fill="FFFFFF"/>
        </w:rPr>
        <w:t>2算力层：边缘侧算力；</w:t>
      </w:r>
    </w:p>
    <w:p w14:paraId="56C9DAF2">
      <w:pPr>
        <w:pStyle w:val="82"/>
        <w:spacing w:before="0" w:beforeAutospacing="0" w:after="0" w:afterAutospacing="0"/>
        <w:ind w:firstLine="480" w:firstLineChars="200"/>
        <w:rPr>
          <w:rFonts w:hint="eastAsia" w:ascii="仿宋" w:hAnsi="仿宋" w:eastAsia="仿宋" w:cs="仿宋"/>
          <w:color w:val="auto"/>
          <w:kern w:val="2"/>
          <w:sz w:val="24"/>
          <w:szCs w:val="24"/>
          <w:shd w:val="clear" w:color="auto" w:fill="FFFFFF"/>
        </w:rPr>
      </w:pPr>
      <w:r>
        <w:rPr>
          <w:rFonts w:hint="eastAsia" w:ascii="仿宋" w:hAnsi="仿宋" w:eastAsia="仿宋" w:cs="仿宋"/>
          <w:color w:val="auto"/>
          <w:kern w:val="2"/>
          <w:sz w:val="24"/>
          <w:szCs w:val="24"/>
          <w:shd w:val="clear" w:color="auto" w:fill="FFFFFF"/>
        </w:rPr>
        <w:t>3平台支撑层：集成算法训练、设备管理、预警通知，支撑极目系列端到端的打通；</w:t>
      </w:r>
    </w:p>
    <w:p w14:paraId="18E1627D">
      <w:pPr>
        <w:pStyle w:val="82"/>
        <w:spacing w:before="0" w:beforeAutospacing="0" w:after="0" w:afterAutospacing="0"/>
        <w:ind w:firstLine="480" w:firstLineChars="200"/>
        <w:rPr>
          <w:rFonts w:hint="eastAsia" w:ascii="仿宋" w:hAnsi="仿宋" w:eastAsia="仿宋" w:cs="仿宋"/>
          <w:color w:val="auto"/>
          <w:sz w:val="24"/>
          <w:szCs w:val="24"/>
          <w:shd w:val="clear" w:color="auto" w:fill="FFFFFF"/>
        </w:rPr>
      </w:pPr>
      <w:r>
        <w:rPr>
          <w:rFonts w:hint="eastAsia" w:ascii="仿宋" w:hAnsi="仿宋" w:eastAsia="仿宋" w:cs="仿宋"/>
          <w:color w:val="auto"/>
          <w:kern w:val="2"/>
          <w:sz w:val="24"/>
          <w:szCs w:val="24"/>
          <w:shd w:val="clear" w:color="auto" w:fill="FFFFFF"/>
        </w:rPr>
        <w:t>4算法层：高度贴合充电运营场景的原生算法池</w:t>
      </w:r>
    </w:p>
    <w:p w14:paraId="198C1075">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（4）系统特点参数</w:t>
      </w:r>
    </w:p>
    <w:p w14:paraId="2D601114">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1)支持原有安防利旧及个性化规则配置，支持海康、大华（满足onvif协议）等主流品牌摄像头，可实现利用场站原有摄像头进行智能化升级，降低部署成本；</w:t>
      </w:r>
    </w:p>
    <w:p w14:paraId="597BE50F">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2)基于充电站原生场景海量素材的算法池，可实现充电场景的无缝衔接，减少不同场景对识别精度的损失，保证产业应用的高精度，同时与充电平台自用算法池共享，享受实时OTA带来的更高精度；</w:t>
      </w:r>
    </w:p>
    <w:p w14:paraId="010F6484">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3)所有算法均专注于保障充电场站人身安全及公共安全，避免由于影响个人信息安全所产生的法律风险及纠纷；</w:t>
      </w:r>
    </w:p>
    <w:p w14:paraId="468FDD4A">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4)支持设备及协同识别，边缘侧AI 系统可通过本地识别保证预警的实时性，平台侧识别大幅提升识别精度，减少误报对管理人员的干扰；</w:t>
      </w:r>
    </w:p>
    <w:p w14:paraId="182948B6">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5）电话、短信、微信、现场语音告警多种通知方式，做到告警的高效触达；</w:t>
      </w:r>
    </w:p>
    <w:p w14:paraId="02D7317B">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6)支持充电设备、语音播报等外设联动，对无人值守场站安全管理进行有效补充，具有告警功能；</w:t>
      </w:r>
    </w:p>
    <w:p w14:paraId="1491FA7A">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7)微秒接入并支持多种模型同时识别</w:t>
      </w:r>
    </w:p>
    <w:p w14:paraId="63D2B01B">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8)安全预警设备至少具备1 个Type-C 端口、1 个Lan 端口、1 个AUDIO 接口，满足日常使用需求。</w:t>
      </w:r>
    </w:p>
    <w:p w14:paraId="3F42D60A">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（5）详细功能</w:t>
      </w:r>
    </w:p>
    <w:p w14:paraId="021A2590">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1）预警功能</w:t>
      </w:r>
    </w:p>
    <w:p w14:paraId="401FB651">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主要功能包括火焰监测、烟雾监测、吸烟姿态监测、人员倒地监测、设备破坏监测、改装车充电异常监测、儿童逗留监测、充电枪归位监测等，上述安全预警算法可涵盖充电区域绝大多数危险源，其他特殊需求可通过定制算法扩展相应功能，同时在订阅系统权益后可享受算法精度持续提升。</w:t>
      </w:r>
    </w:p>
    <w:p w14:paraId="1BA21354">
      <w:pPr>
        <w:spacing w:line="240" w:lineRule="auto"/>
        <w:ind w:firstLine="480" w:firstLineChars="200"/>
        <w:rPr>
          <w:rFonts w:hint="eastAsia" w:ascii="仿宋" w:hAnsi="仿宋" w:eastAsia="仿宋" w:cs="仿宋"/>
          <w:sz w:val="24"/>
          <w:szCs w:val="24"/>
          <w:shd w:val="clear" w:color="auto" w:fill="FFFFFF"/>
          <w:lang w:val="en-US" w:eastAsia="zh-CN"/>
        </w:rPr>
      </w:pPr>
      <w:r>
        <w:rPr>
          <w:rFonts w:hint="eastAsia" w:cs="仿宋"/>
          <w:sz w:val="24"/>
          <w:szCs w:val="24"/>
          <w:shd w:val="clear" w:color="auto" w:fill="FFFFFF"/>
          <w:lang w:eastAsia="zh-CN"/>
        </w:rPr>
        <w:t>★</w:t>
      </w:r>
      <w:r>
        <w:rPr>
          <w:rFonts w:hint="eastAsia" w:ascii="仿宋" w:hAnsi="仿宋" w:eastAsia="仿宋" w:cs="仿宋"/>
          <w:sz w:val="24"/>
          <w:szCs w:val="24"/>
          <w:shd w:val="clear" w:color="auto" w:fill="FFFFFF"/>
        </w:rPr>
        <w:t>2）联动控制</w:t>
      </w:r>
      <w:r>
        <w:rPr>
          <w:rFonts w:hint="eastAsia" w:ascii="仿宋" w:hAnsi="仿宋" w:eastAsia="仿宋" w:cs="仿宋"/>
          <w:sz w:val="24"/>
          <w:szCs w:val="24"/>
          <w:shd w:val="clear" w:color="auto" w:fill="FFFFFF"/>
          <w:lang w:val="en-US" w:eastAsia="zh-CN"/>
        </w:rPr>
        <w:t>及预警通知功能</w:t>
      </w:r>
    </w:p>
    <w:p w14:paraId="083FD558">
      <w:pPr>
        <w:spacing w:line="240" w:lineRule="auto"/>
        <w:ind w:firstLine="480" w:firstLineChars="200"/>
        <w:rPr>
          <w:rFonts w:hint="eastAsia" w:ascii="仿宋" w:hAnsi="仿宋" w:eastAsia="仿宋" w:cs="仿宋"/>
          <w:b/>
          <w:bCs/>
          <w:sz w:val="24"/>
          <w:szCs w:val="24"/>
          <w:shd w:val="clear" w:color="auto" w:fill="FFFFFF"/>
        </w:rPr>
      </w:pPr>
      <w:r>
        <w:rPr>
          <w:rFonts w:hint="eastAsia" w:ascii="仿宋" w:hAnsi="仿宋" w:eastAsia="仿宋" w:cs="仿宋"/>
          <w:color w:val="FF0000"/>
          <w:sz w:val="24"/>
          <w:szCs w:val="24"/>
          <w:shd w:val="clear" w:color="auto" w:fill="FFFFFF"/>
        </w:rPr>
        <w:t>安全预警设备可进行以下预警：人员跌倒预警、枪未归位预警、抽烟(烟雾)预警</w:t>
      </w:r>
      <w:r>
        <w:rPr>
          <w:rFonts w:hint="eastAsia" w:cs="仿宋"/>
          <w:color w:val="FF0000"/>
          <w:sz w:val="24"/>
          <w:szCs w:val="24"/>
          <w:shd w:val="clear" w:color="auto" w:fill="FFFFFF"/>
          <w:lang w:val="en-US" w:eastAsia="zh-CN"/>
        </w:rPr>
        <w:t>等</w:t>
      </w:r>
      <w:r>
        <w:rPr>
          <w:rFonts w:hint="eastAsia" w:ascii="仿宋" w:hAnsi="仿宋" w:eastAsia="仿宋" w:cs="仿宋"/>
          <w:color w:val="FF0000"/>
          <w:sz w:val="24"/>
          <w:szCs w:val="24"/>
          <w:shd w:val="clear" w:color="auto" w:fill="FFFFFF"/>
        </w:rPr>
        <w:t>，并发送通知至平台。</w:t>
      </w:r>
      <w:r>
        <w:rPr>
          <w:rFonts w:hint="eastAsia" w:ascii="仿宋" w:hAnsi="仿宋" w:eastAsia="仿宋" w:cs="仿宋"/>
          <w:b/>
          <w:bCs/>
          <w:sz w:val="24"/>
          <w:szCs w:val="24"/>
          <w:shd w:val="clear" w:color="auto" w:fill="FFFFFF"/>
        </w:rPr>
        <w:t>（</w:t>
      </w:r>
      <w:r>
        <w:rPr>
          <w:rFonts w:hint="eastAsia" w:ascii="仿宋" w:hAnsi="仿宋" w:eastAsia="仿宋"/>
          <w:color w:val="FF0000"/>
          <w:sz w:val="24"/>
          <w:szCs w:val="24"/>
        </w:rPr>
        <w:t>提供投标产品厂家技术参数表或投标产品说明书或第三方</w:t>
      </w:r>
      <w:r>
        <w:rPr>
          <w:rFonts w:ascii="仿宋" w:hAnsi="仿宋" w:eastAsia="仿宋"/>
          <w:color w:val="FF0000"/>
          <w:sz w:val="24"/>
          <w:szCs w:val="24"/>
        </w:rPr>
        <w:t>CMA检测报告</w:t>
      </w:r>
      <w:r>
        <w:rPr>
          <w:rFonts w:hint="eastAsia"/>
          <w:color w:val="FF0000"/>
          <w:sz w:val="24"/>
          <w:szCs w:val="24"/>
          <w:lang w:eastAsia="zh-CN"/>
        </w:rPr>
        <w:t>。</w:t>
      </w:r>
      <w:r>
        <w:rPr>
          <w:rFonts w:hint="eastAsia" w:ascii="仿宋" w:hAnsi="仿宋" w:eastAsia="仿宋" w:cs="仿宋"/>
          <w:b/>
          <w:bCs/>
          <w:sz w:val="24"/>
          <w:szCs w:val="24"/>
          <w:shd w:val="clear" w:color="auto" w:fill="FFFFFF"/>
        </w:rPr>
        <w:t>）</w:t>
      </w:r>
    </w:p>
    <w:p w14:paraId="4337B528">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3</w:t>
      </w:r>
      <w:r>
        <w:rPr>
          <w:rFonts w:hint="eastAsia" w:ascii="仿宋" w:hAnsi="仿宋" w:eastAsia="仿宋" w:cs="仿宋"/>
          <w:sz w:val="24"/>
          <w:szCs w:val="24"/>
          <w:shd w:val="clear" w:color="auto" w:fill="FFFFFF"/>
        </w:rPr>
        <w:t>）精度保障</w:t>
      </w:r>
    </w:p>
    <w:p w14:paraId="4B2D9DCA">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现有的平台部署识别，通过边缘侧的协同去实现实时性与高精度，算法经过约1年以上的训练及在试点充电站的调优，精度大于85%。</w:t>
      </w:r>
    </w:p>
    <w:p w14:paraId="300B3B8E">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rPr>
        <w:t>）摄像头配合方案</w:t>
      </w:r>
    </w:p>
    <w:p w14:paraId="39F88303">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由于项目摄像头角度、焦距等布置对AI图像识别功能完全实现存在影响，确保摄像头能满足以下要求：</w:t>
      </w:r>
    </w:p>
    <w:p w14:paraId="0DC6EE6C">
      <w:pPr>
        <w:pStyle w:val="596"/>
        <w:numPr>
          <w:ilvl w:val="0"/>
          <w:numId w:val="5"/>
        </w:numPr>
        <w:ind w:left="0" w:firstLine="42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摄像头支持onvif等协议</w:t>
      </w:r>
    </w:p>
    <w:p w14:paraId="23B56107">
      <w:pPr>
        <w:pStyle w:val="596"/>
        <w:numPr>
          <w:ilvl w:val="0"/>
          <w:numId w:val="5"/>
        </w:numPr>
        <w:ind w:left="0" w:firstLine="42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摄像头视角能实现以下效果</w:t>
      </w:r>
    </w:p>
    <w:tbl>
      <w:tblPr>
        <w:tblStyle w:val="89"/>
        <w:tblW w:w="0" w:type="auto"/>
        <w:tblInd w:w="78" w:type="dxa"/>
        <w:tblLayout w:type="autofit"/>
        <w:tblCellMar>
          <w:top w:w="0" w:type="dxa"/>
          <w:left w:w="108" w:type="dxa"/>
          <w:bottom w:w="0" w:type="dxa"/>
          <w:right w:w="108" w:type="dxa"/>
        </w:tblCellMar>
      </w:tblPr>
      <w:tblGrid>
        <w:gridCol w:w="1459"/>
        <w:gridCol w:w="2319"/>
        <w:gridCol w:w="5260"/>
      </w:tblGrid>
      <w:tr w14:paraId="7148531B">
        <w:tblPrEx>
          <w:tblCellMar>
            <w:top w:w="0" w:type="dxa"/>
            <w:left w:w="108" w:type="dxa"/>
            <w:bottom w:w="0" w:type="dxa"/>
            <w:right w:w="108" w:type="dxa"/>
          </w:tblCellMar>
        </w:tblPrEx>
        <w:trPr>
          <w:trHeight w:val="805" w:hRule="atLeast"/>
        </w:trPr>
        <w:tc>
          <w:tcPr>
            <w:tcW w:w="0" w:type="auto"/>
            <w:tcBorders>
              <w:top w:val="single" w:color="000000" w:sz="6" w:space="0"/>
              <w:left w:val="single" w:color="000000" w:sz="6" w:space="0"/>
              <w:bottom w:val="single" w:color="000000" w:sz="6" w:space="0"/>
              <w:right w:val="single" w:color="000000" w:sz="6" w:space="0"/>
              <w:tl2br w:val="nil"/>
              <w:tr2bl w:val="nil"/>
            </w:tcBorders>
          </w:tcPr>
          <w:p w14:paraId="55FAA0E0">
            <w:pPr>
              <w:jc w:val="left"/>
              <w:rPr>
                <w:spacing w:val="1"/>
                <w:sz w:val="18"/>
                <w:szCs w:val="18"/>
              </w:rPr>
            </w:pPr>
            <w:r>
              <w:rPr>
                <w:rFonts w:hint="eastAsia"/>
                <w:spacing w:val="1"/>
                <w:sz w:val="18"/>
                <w:szCs w:val="18"/>
              </w:rPr>
              <w:t>覆盖角度</w:t>
            </w:r>
          </w:p>
        </w:tc>
        <w:tc>
          <w:tcPr>
            <w:tcW w:w="2319" w:type="dxa"/>
            <w:tcBorders>
              <w:top w:val="single" w:color="000000" w:sz="6" w:space="0"/>
              <w:left w:val="single" w:color="000000" w:sz="6" w:space="0"/>
              <w:bottom w:val="single" w:color="000000" w:sz="6" w:space="0"/>
              <w:right w:val="single" w:color="000000" w:sz="6" w:space="0"/>
              <w:tl2br w:val="nil"/>
              <w:tr2bl w:val="nil"/>
            </w:tcBorders>
          </w:tcPr>
          <w:p w14:paraId="0458BB13">
            <w:pPr>
              <w:jc w:val="left"/>
              <w:rPr>
                <w:spacing w:val="1"/>
                <w:sz w:val="18"/>
                <w:szCs w:val="18"/>
              </w:rPr>
            </w:pPr>
            <w:r>
              <w:rPr>
                <w:rFonts w:hint="eastAsia"/>
                <w:spacing w:val="1"/>
                <w:sz w:val="18"/>
                <w:szCs w:val="18"/>
              </w:rPr>
              <w:t>根据所需模型应用场景覆盖摄像头的角度小于30度</w:t>
            </w:r>
          </w:p>
        </w:tc>
        <w:tc>
          <w:tcPr>
            <w:tcW w:w="5260" w:type="dxa"/>
            <w:tcBorders>
              <w:top w:val="single" w:color="000000" w:sz="6" w:space="0"/>
              <w:left w:val="single" w:color="000000" w:sz="6" w:space="0"/>
              <w:bottom w:val="single" w:color="000000" w:sz="6" w:space="0"/>
              <w:right w:val="single" w:color="000000" w:sz="6" w:space="0"/>
              <w:tl2br w:val="nil"/>
              <w:tr2bl w:val="nil"/>
            </w:tcBorders>
          </w:tcPr>
          <w:p w14:paraId="09F697DB">
            <w:pPr>
              <w:jc w:val="left"/>
              <w:rPr>
                <w:spacing w:val="1"/>
                <w:sz w:val="18"/>
                <w:szCs w:val="18"/>
              </w:rPr>
            </w:pPr>
          </w:p>
        </w:tc>
      </w:tr>
      <w:tr w14:paraId="4FBE28B1">
        <w:tblPrEx>
          <w:tblCellMar>
            <w:top w:w="0" w:type="dxa"/>
            <w:left w:w="108" w:type="dxa"/>
            <w:bottom w:w="0" w:type="dxa"/>
            <w:right w:w="108" w:type="dxa"/>
          </w:tblCellMar>
        </w:tblPrEx>
        <w:trPr>
          <w:trHeight w:val="1600" w:hRule="atLeast"/>
        </w:trPr>
        <w:tc>
          <w:tcPr>
            <w:tcW w:w="0" w:type="auto"/>
            <w:tcBorders>
              <w:top w:val="single" w:color="000000" w:sz="6" w:space="0"/>
              <w:left w:val="single" w:color="000000" w:sz="6" w:space="0"/>
              <w:bottom w:val="single" w:color="000000" w:sz="6" w:space="0"/>
              <w:right w:val="single" w:color="000000" w:sz="6" w:space="0"/>
              <w:tl2br w:val="nil"/>
              <w:tr2bl w:val="nil"/>
            </w:tcBorders>
          </w:tcPr>
          <w:p w14:paraId="752A1BAB">
            <w:pPr>
              <w:jc w:val="left"/>
              <w:rPr>
                <w:spacing w:val="1"/>
                <w:sz w:val="18"/>
                <w:szCs w:val="18"/>
              </w:rPr>
            </w:pPr>
            <w:r>
              <w:rPr>
                <w:rFonts w:hint="eastAsia"/>
                <w:spacing w:val="1"/>
                <w:sz w:val="18"/>
                <w:szCs w:val="18"/>
              </w:rPr>
              <w:t>覆盖距离</w:t>
            </w:r>
          </w:p>
        </w:tc>
        <w:tc>
          <w:tcPr>
            <w:tcW w:w="2319" w:type="dxa"/>
            <w:tcBorders>
              <w:top w:val="single" w:color="000000" w:sz="6" w:space="0"/>
              <w:left w:val="single" w:color="000000" w:sz="6" w:space="0"/>
              <w:bottom w:val="single" w:color="000000" w:sz="6" w:space="0"/>
              <w:right w:val="single" w:color="000000" w:sz="6" w:space="0"/>
              <w:tl2br w:val="nil"/>
              <w:tr2bl w:val="nil"/>
            </w:tcBorders>
          </w:tcPr>
          <w:p w14:paraId="6A5EEA2A">
            <w:pPr>
              <w:jc w:val="left"/>
              <w:rPr>
                <w:spacing w:val="1"/>
                <w:sz w:val="18"/>
                <w:szCs w:val="18"/>
              </w:rPr>
            </w:pPr>
            <w:r>
              <w:rPr>
                <w:rFonts w:hint="eastAsia"/>
                <w:spacing w:val="1"/>
                <w:sz w:val="18"/>
                <w:szCs w:val="18"/>
              </w:rPr>
              <w:t>根据所需模型应用场景覆盖200万像素根据摄像头焦距判定一般不超过10米400万像素根据摄像头焦距判定一般不超过18米</w:t>
            </w:r>
          </w:p>
        </w:tc>
        <w:tc>
          <w:tcPr>
            <w:tcW w:w="5260" w:type="dxa"/>
            <w:tcBorders>
              <w:top w:val="single" w:color="000000" w:sz="6" w:space="0"/>
              <w:left w:val="single" w:color="000000" w:sz="6" w:space="0"/>
              <w:bottom w:val="single" w:color="000000" w:sz="6" w:space="0"/>
              <w:right w:val="single" w:color="000000" w:sz="6" w:space="0"/>
              <w:tl2br w:val="nil"/>
              <w:tr2bl w:val="nil"/>
            </w:tcBorders>
          </w:tcPr>
          <w:p w14:paraId="0C3AB71D">
            <w:pPr>
              <w:jc w:val="left"/>
              <w:rPr>
                <w:spacing w:val="1"/>
                <w:sz w:val="18"/>
                <w:szCs w:val="18"/>
              </w:rPr>
            </w:pPr>
            <w:r>
              <w:rPr>
                <w:rFonts w:hint="eastAsia"/>
                <w:spacing w:val="1"/>
                <w:sz w:val="18"/>
                <w:szCs w:val="18"/>
              </w:rPr>
              <w:t>*200万像素、可4车位布置一个安防相机*400万像素、可7个车位布置一个安防相机</w:t>
            </w:r>
          </w:p>
        </w:tc>
      </w:tr>
      <w:tr w14:paraId="40A25966">
        <w:tblPrEx>
          <w:tblCellMar>
            <w:top w:w="0" w:type="dxa"/>
            <w:left w:w="108" w:type="dxa"/>
            <w:bottom w:w="0" w:type="dxa"/>
            <w:right w:w="108" w:type="dxa"/>
          </w:tblCellMar>
        </w:tblPrEx>
        <w:trPr>
          <w:trHeight w:val="2202" w:hRule="atLeast"/>
        </w:trPr>
        <w:tc>
          <w:tcPr>
            <w:tcW w:w="0" w:type="auto"/>
            <w:tcBorders>
              <w:top w:val="single" w:color="000000" w:sz="6" w:space="0"/>
              <w:left w:val="single" w:color="000000" w:sz="6" w:space="0"/>
              <w:bottom w:val="single" w:color="000000" w:sz="6" w:space="0"/>
              <w:right w:val="single" w:color="000000" w:sz="6" w:space="0"/>
              <w:tl2br w:val="nil"/>
              <w:tr2bl w:val="nil"/>
            </w:tcBorders>
          </w:tcPr>
          <w:p w14:paraId="2CA0D9E4">
            <w:pPr>
              <w:jc w:val="left"/>
              <w:rPr>
                <w:spacing w:val="1"/>
                <w:sz w:val="18"/>
                <w:szCs w:val="18"/>
              </w:rPr>
            </w:pPr>
            <w:r>
              <w:rPr>
                <w:rFonts w:hint="eastAsia"/>
                <w:spacing w:val="1"/>
                <w:sz w:val="18"/>
                <w:szCs w:val="18"/>
              </w:rPr>
              <w:t>摄像焦距选型型指导</w:t>
            </w:r>
          </w:p>
        </w:tc>
        <w:tc>
          <w:tcPr>
            <w:tcW w:w="2319" w:type="dxa"/>
            <w:tcBorders>
              <w:top w:val="single" w:color="000000" w:sz="6" w:space="0"/>
              <w:left w:val="single" w:color="000000" w:sz="6" w:space="0"/>
              <w:bottom w:val="single" w:color="000000" w:sz="6" w:space="0"/>
              <w:right w:val="single" w:color="000000" w:sz="6" w:space="0"/>
              <w:tl2br w:val="nil"/>
              <w:tr2bl w:val="nil"/>
            </w:tcBorders>
          </w:tcPr>
          <w:p w14:paraId="1CAE1A73">
            <w:pPr>
              <w:jc w:val="left"/>
              <w:rPr>
                <w:spacing w:val="1"/>
                <w:sz w:val="18"/>
                <w:szCs w:val="18"/>
              </w:rPr>
            </w:pPr>
            <w:r>
              <w:rPr>
                <w:rFonts w:hint="eastAsia"/>
                <w:spacing w:val="1"/>
                <w:sz w:val="18"/>
                <w:szCs w:val="18"/>
              </w:rPr>
              <w:t>看清人脸、体貌的最大监</w:t>
            </w:r>
          </w:p>
          <w:p w14:paraId="190039F8">
            <w:pPr>
              <w:jc w:val="left"/>
              <w:rPr>
                <w:spacing w:val="1"/>
                <w:sz w:val="18"/>
                <w:szCs w:val="18"/>
              </w:rPr>
            </w:pPr>
            <w:r>
              <w:rPr>
                <w:rFonts w:hint="eastAsia"/>
                <w:spacing w:val="1"/>
                <w:sz w:val="18"/>
                <w:szCs w:val="18"/>
              </w:rPr>
              <w:t>控距离</w:t>
            </w:r>
          </w:p>
        </w:tc>
        <w:tc>
          <w:tcPr>
            <w:tcW w:w="5260" w:type="dxa"/>
            <w:tcBorders>
              <w:top w:val="single" w:color="000000" w:sz="6" w:space="0"/>
              <w:left w:val="single" w:color="000000" w:sz="6" w:space="0"/>
              <w:bottom w:val="single" w:color="000000" w:sz="6" w:space="0"/>
              <w:right w:val="single" w:color="000000" w:sz="6" w:space="0"/>
              <w:tl2br w:val="nil"/>
              <w:tr2bl w:val="nil"/>
            </w:tcBorders>
          </w:tcPr>
          <w:p w14:paraId="54C07DB6">
            <w:pPr>
              <w:jc w:val="left"/>
              <w:rPr>
                <w:spacing w:val="1"/>
                <w:sz w:val="18"/>
                <w:szCs w:val="18"/>
              </w:rPr>
            </w:pPr>
            <w:r>
              <w:rPr>
                <w:rFonts w:hint="eastAsia"/>
                <w:spacing w:val="1"/>
                <w:sz w:val="18"/>
                <w:szCs w:val="18"/>
              </w:rPr>
              <w:t>例 ：</w:t>
            </w:r>
          </w:p>
          <w:p w14:paraId="6803D7EE">
            <w:pPr>
              <w:jc w:val="left"/>
              <w:rPr>
                <w:spacing w:val="1"/>
                <w:sz w:val="18"/>
                <w:szCs w:val="18"/>
              </w:rPr>
            </w:pPr>
            <w:r>
              <w:rPr>
                <w:rFonts w:hint="eastAsia"/>
                <w:spacing w:val="1"/>
                <w:sz w:val="18"/>
                <w:szCs w:val="18"/>
              </w:rPr>
              <w:t>摄像头安装位置距高充电桩(要识别是否有人员抽烟)10米，想要看清进出充电人员的脸部特征判断是否抽烟，推荐选择200万像素6mm及以上焦距、400万像素4mm及以上的摄像头。</w:t>
            </w:r>
          </w:p>
        </w:tc>
      </w:tr>
      <w:tr w14:paraId="4DF29A44">
        <w:tblPrEx>
          <w:tblCellMar>
            <w:top w:w="0" w:type="dxa"/>
            <w:left w:w="108" w:type="dxa"/>
            <w:bottom w:w="0" w:type="dxa"/>
            <w:right w:w="108" w:type="dxa"/>
          </w:tblCellMar>
        </w:tblPrEx>
        <w:trPr>
          <w:trHeight w:val="1166" w:hRule="atLeast"/>
        </w:trPr>
        <w:tc>
          <w:tcPr>
            <w:tcW w:w="0" w:type="auto"/>
            <w:tcBorders>
              <w:top w:val="single" w:color="000000" w:sz="6" w:space="0"/>
              <w:left w:val="single" w:color="000000" w:sz="6" w:space="0"/>
              <w:bottom w:val="single" w:color="000000" w:sz="6" w:space="0"/>
              <w:right w:val="single" w:color="000000" w:sz="6" w:space="0"/>
              <w:tl2br w:val="nil"/>
              <w:tr2bl w:val="nil"/>
            </w:tcBorders>
          </w:tcPr>
          <w:p w14:paraId="4187523F">
            <w:pPr>
              <w:jc w:val="left"/>
              <w:rPr>
                <w:spacing w:val="1"/>
                <w:sz w:val="18"/>
                <w:szCs w:val="18"/>
              </w:rPr>
            </w:pPr>
          </w:p>
        </w:tc>
        <w:tc>
          <w:tcPr>
            <w:tcW w:w="2319" w:type="dxa"/>
            <w:tcBorders>
              <w:top w:val="single" w:color="000000" w:sz="6" w:space="0"/>
              <w:left w:val="single" w:color="000000" w:sz="6" w:space="0"/>
              <w:bottom w:val="single" w:color="000000" w:sz="6" w:space="0"/>
              <w:right w:val="single" w:color="000000" w:sz="6" w:space="0"/>
              <w:tl2br w:val="nil"/>
              <w:tr2bl w:val="nil"/>
            </w:tcBorders>
          </w:tcPr>
          <w:p w14:paraId="076A3C5B">
            <w:pPr>
              <w:jc w:val="left"/>
              <w:rPr>
                <w:spacing w:val="1"/>
                <w:sz w:val="18"/>
                <w:szCs w:val="18"/>
              </w:rPr>
            </w:pPr>
            <w:r>
              <w:rPr>
                <w:rFonts w:hint="eastAsia"/>
                <w:spacing w:val="1"/>
                <w:sz w:val="18"/>
                <w:szCs w:val="18"/>
              </w:rPr>
              <w:t>看清充电设施及环境信息</w:t>
            </w:r>
          </w:p>
          <w:p w14:paraId="1430DECF">
            <w:pPr>
              <w:jc w:val="left"/>
              <w:rPr>
                <w:spacing w:val="1"/>
                <w:sz w:val="18"/>
                <w:szCs w:val="18"/>
              </w:rPr>
            </w:pPr>
            <w:r>
              <w:rPr>
                <w:rFonts w:hint="eastAsia"/>
                <w:spacing w:val="1"/>
                <w:sz w:val="18"/>
                <w:szCs w:val="18"/>
              </w:rPr>
              <w:t>的预警相关识别监控距高</w:t>
            </w:r>
          </w:p>
        </w:tc>
        <w:tc>
          <w:tcPr>
            <w:tcW w:w="5260" w:type="dxa"/>
            <w:tcBorders>
              <w:top w:val="single" w:color="000000" w:sz="6" w:space="0"/>
              <w:left w:val="single" w:color="000000" w:sz="6" w:space="0"/>
              <w:bottom w:val="single" w:color="000000" w:sz="6" w:space="0"/>
              <w:right w:val="single" w:color="000000" w:sz="6" w:space="0"/>
              <w:tl2br w:val="nil"/>
              <w:tr2bl w:val="nil"/>
            </w:tcBorders>
          </w:tcPr>
          <w:p w14:paraId="319085AD">
            <w:pPr>
              <w:jc w:val="left"/>
              <w:rPr>
                <w:spacing w:val="1"/>
                <w:sz w:val="18"/>
                <w:szCs w:val="18"/>
              </w:rPr>
            </w:pPr>
            <w:r>
              <w:rPr>
                <w:rFonts w:hint="eastAsia"/>
                <w:spacing w:val="1"/>
                <w:sz w:val="18"/>
                <w:szCs w:val="18"/>
              </w:rPr>
              <w:t>根据环境、车位及充电桩的尺寸，基于测试</w:t>
            </w:r>
          </w:p>
          <w:p w14:paraId="56674D4E">
            <w:pPr>
              <w:jc w:val="left"/>
              <w:rPr>
                <w:spacing w:val="1"/>
                <w:sz w:val="18"/>
                <w:szCs w:val="18"/>
              </w:rPr>
            </w:pPr>
            <w:r>
              <w:rPr>
                <w:rFonts w:hint="eastAsia"/>
                <w:spacing w:val="1"/>
                <w:sz w:val="18"/>
                <w:szCs w:val="18"/>
              </w:rPr>
              <w:t>数据得出以下推荐配置方案。</w:t>
            </w:r>
          </w:p>
          <w:p w14:paraId="5E018C21">
            <w:pPr>
              <w:jc w:val="left"/>
              <w:rPr>
                <w:spacing w:val="1"/>
                <w:sz w:val="18"/>
                <w:szCs w:val="18"/>
              </w:rPr>
            </w:pPr>
            <w:r>
              <w:rPr>
                <w:spacing w:val="1"/>
                <w:sz w:val="18"/>
                <w:szCs w:val="18"/>
              </w:rPr>
              <w:t xml:space="preserve">          100Wa      30W      0W      50W</w:t>
            </w:r>
          </w:p>
          <w:p w14:paraId="57F9091F">
            <w:pPr>
              <w:jc w:val="left"/>
              <w:rPr>
                <w:spacing w:val="1"/>
                <w:sz w:val="18"/>
                <w:szCs w:val="18"/>
              </w:rPr>
            </w:pPr>
            <w:r>
              <w:rPr>
                <w:spacing w:val="1"/>
                <w:sz w:val="18"/>
                <w:szCs w:val="18"/>
              </w:rPr>
              <w:t xml:space="preserve">   2Jm       4辆      1am      10n</w:t>
            </w:r>
          </w:p>
          <w:p w14:paraId="46301B49">
            <w:pPr>
              <w:jc w:val="left"/>
              <w:rPr>
                <w:spacing w:val="1"/>
                <w:sz w:val="18"/>
                <w:szCs w:val="18"/>
              </w:rPr>
            </w:pPr>
            <w:r>
              <w:rPr>
                <w:spacing w:val="1"/>
                <w:sz w:val="18"/>
                <w:szCs w:val="18"/>
              </w:rPr>
              <w:t xml:space="preserve">   4hm      1m       1m       19n</w:t>
            </w:r>
          </w:p>
          <w:p w14:paraId="747D693B">
            <w:pPr>
              <w:jc w:val="left"/>
              <w:rPr>
                <w:spacing w:val="1"/>
                <w:sz w:val="18"/>
                <w:szCs w:val="18"/>
              </w:rPr>
            </w:pPr>
            <w:r>
              <w:rPr>
                <w:spacing w:val="1"/>
                <w:sz w:val="18"/>
                <w:szCs w:val="18"/>
              </w:rPr>
              <w:t xml:space="preserve">   Gnm      2m       2hm     34n    琳机实世</w:t>
            </w:r>
          </w:p>
          <w:p w14:paraId="40191AC7">
            <w:pPr>
              <w:jc w:val="left"/>
              <w:rPr>
                <w:spacing w:val="1"/>
                <w:sz w:val="18"/>
                <w:szCs w:val="18"/>
              </w:rPr>
            </w:pPr>
            <w:r>
              <w:rPr>
                <w:spacing w:val="1"/>
                <w:sz w:val="18"/>
                <w:szCs w:val="18"/>
              </w:rPr>
              <w:t xml:space="preserve">   Bnm      n        Jim     Gn</w:t>
            </w:r>
          </w:p>
          <w:p w14:paraId="2535DD18">
            <w:pPr>
              <w:jc w:val="left"/>
              <w:rPr>
                <w:spacing w:val="1"/>
                <w:sz w:val="18"/>
                <w:szCs w:val="18"/>
              </w:rPr>
            </w:pPr>
            <w:r>
              <w:rPr>
                <w:rFonts w:hint="eastAsia"/>
                <w:spacing w:val="1"/>
                <w:sz w:val="18"/>
                <w:szCs w:val="18"/>
              </w:rPr>
              <w:t>例</w:t>
            </w:r>
            <w:r>
              <w:rPr>
                <w:spacing w:val="1"/>
                <w:sz w:val="18"/>
                <w:szCs w:val="18"/>
              </w:rPr>
              <w:t xml:space="preserve"> </w:t>
            </w:r>
            <w:r>
              <w:rPr>
                <w:rFonts w:hint="eastAsia"/>
                <w:spacing w:val="1"/>
                <w:sz w:val="18"/>
                <w:szCs w:val="18"/>
              </w:rPr>
              <w:t>：</w:t>
            </w:r>
            <w:r>
              <w:rPr>
                <w:spacing w:val="1"/>
                <w:sz w:val="18"/>
                <w:szCs w:val="18"/>
              </w:rPr>
              <w:t>12mm       50m      6m      74m</w:t>
            </w:r>
          </w:p>
          <w:p w14:paraId="67BD91CE">
            <w:pPr>
              <w:jc w:val="left"/>
              <w:rPr>
                <w:spacing w:val="1"/>
                <w:sz w:val="18"/>
                <w:szCs w:val="18"/>
              </w:rPr>
            </w:pPr>
            <w:r>
              <w:rPr>
                <w:rFonts w:hint="eastAsia"/>
                <w:spacing w:val="1"/>
                <w:sz w:val="18"/>
                <w:szCs w:val="18"/>
              </w:rPr>
              <w:t>某加油站、燃气站摄像头需要监控到</w:t>
            </w:r>
            <w:r>
              <w:rPr>
                <w:spacing w:val="1"/>
                <w:sz w:val="18"/>
                <w:szCs w:val="18"/>
              </w:rPr>
              <w:t>10米范围内</w:t>
            </w:r>
          </w:p>
          <w:p w14:paraId="208D6A89">
            <w:pPr>
              <w:jc w:val="left"/>
              <w:rPr>
                <w:spacing w:val="1"/>
                <w:sz w:val="18"/>
                <w:szCs w:val="18"/>
              </w:rPr>
            </w:pPr>
            <w:r>
              <w:rPr>
                <w:rFonts w:hint="eastAsia"/>
                <w:spacing w:val="1"/>
                <w:sz w:val="18"/>
                <w:szCs w:val="18"/>
              </w:rPr>
              <w:t>的烟雾火灾、设各损坏，推荐选择</w:t>
            </w:r>
            <w:r>
              <w:rPr>
                <w:spacing w:val="1"/>
                <w:sz w:val="18"/>
                <w:szCs w:val="18"/>
              </w:rPr>
              <w:t>200万像素</w:t>
            </w:r>
          </w:p>
          <w:p w14:paraId="3AA9366B">
            <w:pPr>
              <w:jc w:val="left"/>
              <w:rPr>
                <w:spacing w:val="1"/>
                <w:sz w:val="18"/>
                <w:szCs w:val="18"/>
              </w:rPr>
            </w:pPr>
            <w:r>
              <w:rPr>
                <w:spacing w:val="1"/>
                <w:sz w:val="18"/>
                <w:szCs w:val="18"/>
              </w:rPr>
              <w:t>4mm及以上焦距、300万像素2.8mm及以上焦距</w:t>
            </w:r>
          </w:p>
          <w:p w14:paraId="0CFA44DA">
            <w:pPr>
              <w:jc w:val="left"/>
              <w:rPr>
                <w:spacing w:val="1"/>
                <w:sz w:val="18"/>
                <w:szCs w:val="18"/>
              </w:rPr>
            </w:pPr>
            <w:r>
              <w:rPr>
                <w:rFonts w:hint="eastAsia"/>
                <w:spacing w:val="1"/>
                <w:sz w:val="18"/>
                <w:szCs w:val="18"/>
              </w:rPr>
              <w:t>或</w:t>
            </w:r>
            <w:r>
              <w:rPr>
                <w:spacing w:val="1"/>
                <w:sz w:val="18"/>
                <w:szCs w:val="18"/>
              </w:rPr>
              <w:t>400万像素2.8mm及以上焦距的摄像头。</w:t>
            </w:r>
          </w:p>
        </w:tc>
      </w:tr>
    </w:tbl>
    <w:p w14:paraId="21476339">
      <w:pPr>
        <w:spacing w:line="240" w:lineRule="auto"/>
        <w:jc w:val="both"/>
        <w:rPr>
          <w:rFonts w:ascii="宋体" w:hAnsi="宋体" w:cstheme="minorEastAsia"/>
          <w:sz w:val="21"/>
          <w:szCs w:val="21"/>
        </w:rPr>
      </w:pPr>
    </w:p>
    <w:p w14:paraId="50077BA3">
      <w:pPr>
        <w:spacing w:line="24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）安装及维护</w:t>
      </w:r>
    </w:p>
    <w:p w14:paraId="612A9A42">
      <w:pPr>
        <w:rPr>
          <w:rFonts w:hint="eastAsia" w:ascii="仿宋" w:hAnsi="仿宋" w:eastAsia="仿宋" w:cs="仿宋"/>
          <w:b/>
          <w:bCs/>
          <w:color w:val="auto"/>
          <w:sz w:val="24"/>
          <w:szCs w:val="24"/>
          <w:highlight w:val="none"/>
          <w:lang w:val="en-US" w:eastAsia="zh-CN"/>
        </w:rPr>
      </w:pPr>
      <w:r>
        <w:rPr>
          <w:rFonts w:hint="eastAsia" w:ascii="仿宋" w:hAnsi="仿宋" w:eastAsia="仿宋" w:cs="仿宋"/>
          <w:sz w:val="24"/>
          <w:szCs w:val="24"/>
          <w:shd w:val="clear" w:color="auto" w:fill="FFFFFF"/>
        </w:rPr>
        <w:t>考虑用户的使用体验，采用通过监控交换机快速接入和免维护的设计，完成IP配置、确保网络良好及设备在线的情况即可正常使用，同时考虑硬件异常和算法精度的问题，在选购质保权益的基础上在质保期内可进行硬件更换及算法升级。</w:t>
      </w:r>
    </w:p>
    <w:p w14:paraId="28FC4E2D">
      <w:pPr>
        <w:rPr>
          <w:rFonts w:hint="eastAsia" w:cs="仿宋"/>
          <w:b/>
          <w:bCs/>
          <w:color w:val="auto"/>
          <w:highlight w:val="none"/>
          <w:lang w:val="en-US" w:eastAsia="zh-CN"/>
        </w:rPr>
      </w:pPr>
    </w:p>
    <w:p w14:paraId="6B66E067">
      <w:pPr>
        <w:rPr>
          <w:rFonts w:hint="eastAsia" w:cs="仿宋"/>
          <w:b/>
          <w:bCs/>
          <w:color w:val="auto"/>
          <w:highlight w:val="none"/>
          <w:lang w:val="en-US" w:eastAsia="zh-CN"/>
        </w:rPr>
      </w:pPr>
      <w:r>
        <w:rPr>
          <w:rFonts w:hint="eastAsia" w:cs="仿宋"/>
          <w:b/>
          <w:bCs/>
          <w:color w:val="auto"/>
          <w:highlight w:val="none"/>
          <w:lang w:val="en-US" w:eastAsia="zh-CN"/>
        </w:rPr>
        <w:t>（五）10kV箱式变电站技术要求</w:t>
      </w:r>
    </w:p>
    <w:p w14:paraId="33760DD1">
      <w:pPr>
        <w:pStyle w:val="7"/>
        <w:bidi w:val="0"/>
        <w:rPr>
          <w:rFonts w:hint="eastAsia" w:ascii="仿宋" w:hAnsi="仿宋" w:eastAsia="仿宋" w:cs="仿宋"/>
          <w:sz w:val="24"/>
          <w:szCs w:val="24"/>
        </w:rPr>
      </w:pPr>
      <w:r>
        <w:rPr>
          <w:rFonts w:hint="eastAsia" w:ascii="仿宋" w:hAnsi="仿宋" w:eastAsia="仿宋" w:cs="仿宋"/>
          <w:sz w:val="24"/>
          <w:szCs w:val="24"/>
        </w:rPr>
        <w:t>基本要求</w:t>
      </w:r>
    </w:p>
    <w:p w14:paraId="52FCCB10">
      <w:pPr>
        <w:pStyle w:val="24"/>
        <w:spacing w:line="360" w:lineRule="auto"/>
        <w:rPr>
          <w:rFonts w:hint="eastAsia" w:ascii="仿宋" w:hAnsi="仿宋" w:eastAsia="仿宋" w:cs="仿宋"/>
          <w:sz w:val="24"/>
          <w:szCs w:val="24"/>
          <w:highlight w:val="none"/>
        </w:rPr>
      </w:pPr>
      <w:r>
        <w:rPr>
          <w:rFonts w:hint="eastAsia" w:ascii="仿宋" w:hAnsi="仿宋" w:eastAsia="仿宋" w:cs="仿宋"/>
          <w:sz w:val="24"/>
          <w:szCs w:val="24"/>
        </w:rPr>
        <w:t>箱式</w:t>
      </w:r>
      <w:r>
        <w:rPr>
          <w:rFonts w:hint="eastAsia" w:ascii="仿宋" w:hAnsi="仿宋" w:eastAsia="仿宋" w:cs="仿宋"/>
          <w:sz w:val="24"/>
          <w:szCs w:val="24"/>
          <w:highlight w:val="none"/>
        </w:rPr>
        <w:t>变电站由高压柜体、配电变压器、低压配电柜及外壳四部分组成。</w:t>
      </w:r>
    </w:p>
    <w:p w14:paraId="4707113C">
      <w:pPr>
        <w:pStyle w:val="2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高压单元采用630A母线、电缆带电指示装置，其他绝缘部分采用加强绝缘型，并采用加强绝缘材料。</w:t>
      </w:r>
    </w:p>
    <w:p w14:paraId="752CFE44">
      <w:pPr>
        <w:pStyle w:val="2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变压器选用</w:t>
      </w:r>
      <w:r>
        <w:rPr>
          <w:rFonts w:hint="eastAsia" w:ascii="仿宋" w:hAnsi="仿宋" w:eastAsia="仿宋" w:cs="仿宋"/>
          <w:sz w:val="24"/>
          <w:szCs w:val="24"/>
          <w:highlight w:val="none"/>
          <w:lang w:val="en-US" w:eastAsia="zh-CN"/>
        </w:rPr>
        <w:t>S13-M型油浸式</w:t>
      </w:r>
      <w:r>
        <w:rPr>
          <w:rFonts w:hint="eastAsia" w:ascii="仿宋" w:hAnsi="仿宋" w:eastAsia="仿宋" w:cs="仿宋"/>
          <w:sz w:val="24"/>
          <w:szCs w:val="24"/>
          <w:highlight w:val="none"/>
        </w:rPr>
        <w:t>铜芯变压器。</w:t>
      </w:r>
    </w:p>
    <w:p w14:paraId="5A235DE1">
      <w:pPr>
        <w:pStyle w:val="2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高、低压进出线均采用电缆进出线。</w:t>
      </w:r>
    </w:p>
    <w:p w14:paraId="19D55F3A">
      <w:pPr>
        <w:pStyle w:val="2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具体设计由厂家根据使用需求配置确定，符合当地验收规范。</w:t>
      </w:r>
    </w:p>
    <w:p w14:paraId="29B2E96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后期采购人有其他设备电源接入需求，投标人应预留配电槽位，其增加费用应考虑在本次投标总价内，中标后不进行调整。</w:t>
      </w:r>
    </w:p>
    <w:p w14:paraId="4FB1944C">
      <w:pPr>
        <w:pStyle w:val="7"/>
        <w:bidi w:val="0"/>
        <w:rPr>
          <w:rFonts w:hint="eastAsia" w:ascii="仿宋" w:hAnsi="仿宋" w:eastAsia="仿宋" w:cs="仿宋"/>
          <w:sz w:val="24"/>
          <w:szCs w:val="24"/>
        </w:rPr>
      </w:pPr>
      <w:r>
        <w:rPr>
          <w:rFonts w:hint="eastAsia" w:ascii="仿宋" w:hAnsi="仿宋" w:eastAsia="仿宋" w:cs="仿宋"/>
          <w:sz w:val="24"/>
          <w:szCs w:val="24"/>
        </w:rPr>
        <w:t>高压开关柜要求</w:t>
      </w:r>
    </w:p>
    <w:p w14:paraId="23C1B439">
      <w:pPr>
        <w:spacing w:line="360" w:lineRule="auto"/>
        <w:ind w:firstLine="480" w:firstLineChars="200"/>
        <w:rPr>
          <w:rFonts w:hint="eastAsia" w:ascii="仿宋" w:hAnsi="仿宋" w:eastAsia="仿宋" w:cs="仿宋"/>
          <w:caps/>
          <w:color w:val="000000" w:themeColor="text1"/>
          <w:kern w:val="0"/>
          <w:sz w:val="24"/>
          <w:szCs w:val="24"/>
          <w:highlight w:val="none"/>
          <w14:textFill>
            <w14:solidFill>
              <w14:schemeClr w14:val="tx1"/>
            </w14:solidFill>
          </w14:textFill>
        </w:rPr>
      </w:pPr>
      <w:r>
        <w:rPr>
          <w:rFonts w:hint="eastAsia" w:ascii="仿宋" w:hAnsi="仿宋" w:eastAsia="仿宋" w:cs="仿宋"/>
          <w:color w:val="auto"/>
          <w:sz w:val="24"/>
          <w:szCs w:val="24"/>
          <w:highlight w:val="none"/>
        </w:rPr>
        <w:t>进线开关选用</w:t>
      </w:r>
      <w:r>
        <w:rPr>
          <w:rFonts w:hint="eastAsia" w:ascii="仿宋" w:hAnsi="仿宋" w:eastAsia="仿宋" w:cs="仿宋"/>
          <w:caps/>
          <w:color w:val="auto"/>
          <w:kern w:val="0"/>
          <w:sz w:val="24"/>
          <w:szCs w:val="24"/>
          <w:highlight w:val="none"/>
          <w:lang w:eastAsia="zh-CN"/>
        </w:rPr>
        <w:t>真</w:t>
      </w:r>
      <w:r>
        <w:rPr>
          <w:rFonts w:hint="eastAsia" w:ascii="仿宋" w:hAnsi="仿宋" w:eastAsia="仿宋" w:cs="仿宋"/>
          <w:caps/>
          <w:color w:val="auto"/>
          <w:kern w:val="0"/>
          <w:sz w:val="24"/>
          <w:szCs w:val="24"/>
          <w:highlight w:val="none"/>
        </w:rPr>
        <w:t>空</w:t>
      </w:r>
      <w:r>
        <w:rPr>
          <w:rFonts w:hint="eastAsia" w:ascii="仿宋" w:hAnsi="仿宋" w:eastAsia="仿宋" w:cs="仿宋"/>
          <w:color w:val="auto"/>
          <w:sz w:val="24"/>
          <w:szCs w:val="24"/>
          <w:highlight w:val="none"/>
        </w:rPr>
        <w:t>断路器</w:t>
      </w:r>
      <w:r>
        <w:rPr>
          <w:rFonts w:hint="eastAsia" w:ascii="仿宋" w:hAnsi="仿宋" w:eastAsia="仿宋" w:cs="仿宋"/>
          <w:color w:val="000000"/>
          <w:sz w:val="24"/>
          <w:szCs w:val="24"/>
          <w:highlight w:val="none"/>
        </w:rPr>
        <w:t>，变压器出线</w:t>
      </w:r>
      <w:r>
        <w:rPr>
          <w:rFonts w:hint="eastAsia" w:ascii="仿宋" w:hAnsi="仿宋" w:eastAsia="仿宋" w:cs="仿宋"/>
          <w:color w:val="000000"/>
          <w:sz w:val="24"/>
          <w:szCs w:val="24"/>
          <w:highlight w:val="none"/>
          <w:lang w:val="en-US" w:eastAsia="zh-CN"/>
        </w:rPr>
        <w:t>总</w:t>
      </w:r>
      <w:r>
        <w:rPr>
          <w:rFonts w:hint="eastAsia" w:ascii="仿宋" w:hAnsi="仿宋" w:eastAsia="仿宋" w:cs="仿宋"/>
          <w:color w:val="000000"/>
          <w:sz w:val="24"/>
          <w:szCs w:val="24"/>
          <w:highlight w:val="none"/>
        </w:rPr>
        <w:t>开关选用</w:t>
      </w:r>
      <w:r>
        <w:rPr>
          <w:rFonts w:hint="eastAsia" w:ascii="仿宋" w:hAnsi="仿宋" w:eastAsia="仿宋" w:cs="仿宋"/>
          <w:color w:val="auto"/>
          <w:sz w:val="24"/>
          <w:szCs w:val="24"/>
          <w:highlight w:val="none"/>
          <w:lang w:val="en-US" w:eastAsia="zh-CN"/>
        </w:rPr>
        <w:t>框架</w:t>
      </w:r>
      <w:r>
        <w:rPr>
          <w:rFonts w:hint="eastAsia" w:ascii="仿宋" w:hAnsi="仿宋" w:eastAsia="仿宋" w:cs="仿宋"/>
          <w:color w:val="auto"/>
          <w:sz w:val="24"/>
          <w:szCs w:val="24"/>
          <w:highlight w:val="none"/>
        </w:rPr>
        <w:t>断路器</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500kVA及以上变压器配置高压进</w:t>
      </w:r>
      <w:r>
        <w:rPr>
          <w:rFonts w:hint="eastAsia" w:ascii="仿宋" w:hAnsi="仿宋" w:eastAsia="仿宋" w:cs="仿宋"/>
          <w:color w:val="000000" w:themeColor="text1"/>
          <w:sz w:val="24"/>
          <w:szCs w:val="24"/>
          <w:highlight w:val="none"/>
          <w:lang w:val="en-US" w:eastAsia="zh-CN"/>
          <w14:textFill>
            <w14:solidFill>
              <w14:schemeClr w14:val="tx1"/>
            </w14:solidFill>
          </w14:textFill>
        </w:rPr>
        <w:t>线柜需</w:t>
      </w:r>
      <w:r>
        <w:rPr>
          <w:rFonts w:hint="eastAsia" w:ascii="仿宋" w:hAnsi="仿宋" w:eastAsia="仿宋" w:cs="仿宋"/>
          <w:color w:val="000000" w:themeColor="text1"/>
          <w:sz w:val="24"/>
          <w:szCs w:val="24"/>
          <w:highlight w:val="none"/>
          <w14:textFill>
            <w14:solidFill>
              <w14:schemeClr w14:val="tx1"/>
            </w14:solidFill>
          </w14:textFill>
        </w:rPr>
        <w:t>安装</w:t>
      </w:r>
      <w:r>
        <w:rPr>
          <w:rFonts w:hint="eastAsia" w:ascii="仿宋" w:hAnsi="仿宋" w:eastAsia="仿宋" w:cs="仿宋"/>
          <w:color w:val="000000" w:themeColor="text1"/>
          <w:sz w:val="24"/>
          <w:szCs w:val="24"/>
          <w:highlight w:val="none"/>
          <w:lang w:eastAsia="zh-CN"/>
          <w14:textFill>
            <w14:solidFill>
              <w14:schemeClr w14:val="tx1"/>
            </w14:solidFill>
          </w14:textFill>
        </w:rPr>
        <w:t>微机</w:t>
      </w:r>
      <w:r>
        <w:rPr>
          <w:rFonts w:hint="eastAsia" w:ascii="仿宋" w:hAnsi="仿宋" w:eastAsia="仿宋" w:cs="仿宋"/>
          <w:color w:val="000000" w:themeColor="text1"/>
          <w:sz w:val="24"/>
          <w:szCs w:val="24"/>
          <w:highlight w:val="none"/>
          <w14:textFill>
            <w14:solidFill>
              <w14:schemeClr w14:val="tx1"/>
            </w14:solidFill>
          </w14:textFill>
        </w:rPr>
        <w:t>保护装置。</w:t>
      </w:r>
      <w:r>
        <w:rPr>
          <w:rFonts w:hint="eastAsia" w:ascii="仿宋" w:hAnsi="仿宋" w:eastAsia="仿宋" w:cs="仿宋"/>
          <w:caps/>
          <w:color w:val="000000" w:themeColor="text1"/>
          <w:kern w:val="0"/>
          <w:sz w:val="24"/>
          <w:szCs w:val="24"/>
          <w:highlight w:val="none"/>
          <w14:textFill>
            <w14:solidFill>
              <w14:schemeClr w14:val="tx1"/>
            </w14:solidFill>
          </w14:textFill>
        </w:rPr>
        <w:t>其额定参数，技术要求，型式试验项目和方式、标志、包装、运输、储存等要求、产品性能符合相关规定。</w:t>
      </w:r>
    </w:p>
    <w:p w14:paraId="019942F9">
      <w:pPr>
        <w:pStyle w:val="24"/>
        <w:spacing w:line="360" w:lineRule="auto"/>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高压选用</w:t>
      </w:r>
      <w:r>
        <w:rPr>
          <w:rFonts w:hint="eastAsia" w:ascii="仿宋" w:hAnsi="仿宋" w:eastAsia="仿宋" w:cs="仿宋"/>
          <w:color w:val="000000" w:themeColor="text1"/>
          <w:sz w:val="24"/>
          <w:szCs w:val="24"/>
          <w:highlight w:val="none"/>
          <w:lang w:eastAsia="zh-CN"/>
          <w14:textFill>
            <w14:solidFill>
              <w14:schemeClr w14:val="tx1"/>
            </w14:solidFill>
          </w14:textFill>
        </w:rPr>
        <w:t>真</w:t>
      </w:r>
      <w:r>
        <w:rPr>
          <w:rFonts w:hint="eastAsia" w:ascii="仿宋" w:hAnsi="仿宋" w:eastAsia="仿宋" w:cs="仿宋"/>
          <w:color w:val="000000" w:themeColor="text1"/>
          <w:sz w:val="24"/>
          <w:szCs w:val="24"/>
          <w:highlight w:val="none"/>
          <w14:textFill>
            <w14:solidFill>
              <w14:schemeClr w14:val="tx1"/>
            </w14:solidFill>
          </w14:textFill>
        </w:rPr>
        <w:t>空式绝</w:t>
      </w:r>
      <w:r>
        <w:rPr>
          <w:rFonts w:hint="eastAsia" w:ascii="仿宋" w:hAnsi="仿宋" w:eastAsia="仿宋" w:cs="仿宋"/>
          <w:sz w:val="24"/>
          <w:szCs w:val="24"/>
          <w:highlight w:val="none"/>
        </w:rPr>
        <w:t>缘开关设备，防护等级达到IP</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X。其额定参数，技术要求，型式试验项目和方式、标志、包装、运输、储存等要求、产品性能符合相关规定。</w:t>
      </w:r>
    </w:p>
    <w:p w14:paraId="6FAAF47D">
      <w:pPr>
        <w:pStyle w:val="82"/>
        <w:tabs>
          <w:tab w:val="left" w:pos="525"/>
        </w:tabs>
        <w:adjustRightInd w:val="0"/>
        <w:snapToGrid w:val="0"/>
        <w:spacing w:line="360" w:lineRule="auto"/>
        <w:ind w:firstLine="480" w:firstLineChars="200"/>
        <w:rPr>
          <w:rFonts w:hint="eastAsia" w:ascii="仿宋" w:hAnsi="仿宋" w:eastAsia="仿宋" w:cs="仿宋"/>
          <w:caps/>
          <w:kern w:val="0"/>
          <w:sz w:val="24"/>
          <w:szCs w:val="24"/>
          <w:highlight w:val="none"/>
        </w:rPr>
      </w:pPr>
      <w:r>
        <w:rPr>
          <w:rFonts w:hint="eastAsia" w:ascii="仿宋" w:hAnsi="仿宋" w:eastAsia="仿宋" w:cs="仿宋"/>
          <w:caps/>
          <w:kern w:val="0"/>
          <w:sz w:val="24"/>
          <w:szCs w:val="24"/>
          <w:highlight w:val="none"/>
        </w:rPr>
        <w:t>高压柜铭牌标识清晰。内部安装的高压电器组件,如:断路器、互感器、避雷器等，均具有耐久而清晰的铭牌，铭牌安装在运行或检修时易于观察的位置。分合闸指示牌应清晰可见、易于观察，寿命同断路器。</w:t>
      </w:r>
    </w:p>
    <w:p w14:paraId="0C725BCC">
      <w:pPr>
        <w:pStyle w:val="82"/>
        <w:tabs>
          <w:tab w:val="left" w:pos="525"/>
        </w:tabs>
        <w:adjustRightInd w:val="0"/>
        <w:snapToGrid w:val="0"/>
        <w:spacing w:line="360" w:lineRule="auto"/>
        <w:ind w:firstLine="480" w:firstLineChars="200"/>
        <w:rPr>
          <w:rFonts w:hint="eastAsia" w:ascii="仿宋" w:hAnsi="仿宋" w:eastAsia="仿宋" w:cs="仿宋"/>
          <w:caps/>
          <w:kern w:val="0"/>
          <w:sz w:val="24"/>
          <w:szCs w:val="24"/>
          <w:highlight w:val="none"/>
        </w:rPr>
      </w:pPr>
      <w:r>
        <w:rPr>
          <w:rFonts w:hint="eastAsia" w:ascii="仿宋" w:hAnsi="仿宋" w:eastAsia="仿宋" w:cs="仿宋"/>
          <w:caps/>
          <w:kern w:val="0"/>
          <w:sz w:val="24"/>
          <w:szCs w:val="24"/>
          <w:highlight w:val="none"/>
        </w:rPr>
        <w:t>高压开关柜内、外表面颜色应协调一致，柜门上均应有明显的带电警示标志</w:t>
      </w:r>
    </w:p>
    <w:p w14:paraId="1A384DD8">
      <w:pPr>
        <w:pStyle w:val="82"/>
        <w:tabs>
          <w:tab w:val="left" w:pos="525"/>
        </w:tabs>
        <w:adjustRightInd w:val="0"/>
        <w:snapToGrid w:val="0"/>
        <w:spacing w:line="360" w:lineRule="auto"/>
        <w:ind w:firstLine="480" w:firstLineChars="200"/>
        <w:rPr>
          <w:rFonts w:hint="eastAsia" w:ascii="仿宋" w:hAnsi="仿宋" w:eastAsia="仿宋" w:cs="仿宋"/>
          <w:caps/>
          <w:kern w:val="0"/>
          <w:sz w:val="24"/>
          <w:szCs w:val="24"/>
          <w:highlight w:val="none"/>
        </w:rPr>
      </w:pPr>
      <w:r>
        <w:rPr>
          <w:rFonts w:hint="eastAsia" w:ascii="仿宋" w:hAnsi="仿宋" w:eastAsia="仿宋" w:cs="仿宋"/>
          <w:caps/>
          <w:kern w:val="0"/>
          <w:sz w:val="24"/>
          <w:szCs w:val="24"/>
          <w:highlight w:val="none"/>
        </w:rPr>
        <w:t>高压柜应标出主回路的线路图，同时应注明操作程序和注意事项。信号灯及仪表的装设位置应易于观察和安全地更换。电缆室的高度应满足安装、试验、维修的要求。操作机构：电操。</w:t>
      </w:r>
    </w:p>
    <w:p w14:paraId="7D0F1BCD">
      <w:pPr>
        <w:pStyle w:val="82"/>
        <w:tabs>
          <w:tab w:val="left" w:pos="525"/>
        </w:tabs>
        <w:adjustRightInd w:val="0"/>
        <w:snapToGrid w:val="0"/>
        <w:spacing w:line="360" w:lineRule="auto"/>
        <w:ind w:firstLine="480" w:firstLineChars="200"/>
        <w:rPr>
          <w:rFonts w:hint="eastAsia" w:ascii="仿宋" w:hAnsi="仿宋" w:eastAsia="仿宋" w:cs="仿宋"/>
          <w:caps/>
          <w:kern w:val="0"/>
          <w:sz w:val="24"/>
          <w:szCs w:val="24"/>
          <w:highlight w:val="none"/>
        </w:rPr>
      </w:pPr>
      <w:r>
        <w:rPr>
          <w:rFonts w:hint="eastAsia" w:ascii="仿宋" w:hAnsi="仿宋" w:eastAsia="仿宋" w:cs="仿宋"/>
          <w:caps/>
          <w:kern w:val="0"/>
          <w:sz w:val="24"/>
          <w:szCs w:val="24"/>
          <w:highlight w:val="none"/>
        </w:rPr>
        <w:t>高压单元安装带电显示器，其安装位置应便于观察。</w:t>
      </w:r>
    </w:p>
    <w:p w14:paraId="47AA7A7D">
      <w:pPr>
        <w:pStyle w:val="82"/>
        <w:tabs>
          <w:tab w:val="left" w:pos="525"/>
        </w:tabs>
        <w:adjustRightInd w:val="0"/>
        <w:snapToGrid w:val="0"/>
        <w:spacing w:line="360" w:lineRule="auto"/>
        <w:ind w:firstLine="480" w:firstLineChars="200"/>
        <w:rPr>
          <w:rFonts w:hint="eastAsia" w:ascii="仿宋" w:hAnsi="仿宋" w:eastAsia="仿宋" w:cs="仿宋"/>
          <w:caps/>
          <w:kern w:val="0"/>
          <w:sz w:val="24"/>
          <w:szCs w:val="24"/>
          <w:highlight w:val="none"/>
        </w:rPr>
      </w:pPr>
      <w:r>
        <w:rPr>
          <w:rFonts w:hint="eastAsia" w:ascii="仿宋" w:hAnsi="仿宋" w:eastAsia="仿宋" w:cs="仿宋"/>
          <w:caps/>
          <w:kern w:val="0"/>
          <w:sz w:val="24"/>
          <w:szCs w:val="24"/>
          <w:highlight w:val="none"/>
        </w:rPr>
        <w:t>电力电缆隔室与电缆沟连接处设置防止小动物进入的措施。</w:t>
      </w:r>
    </w:p>
    <w:p w14:paraId="7229E05A">
      <w:pPr>
        <w:pStyle w:val="82"/>
        <w:tabs>
          <w:tab w:val="left" w:pos="525"/>
        </w:tabs>
        <w:adjustRightInd w:val="0"/>
        <w:snapToGrid w:val="0"/>
        <w:spacing w:line="360" w:lineRule="auto"/>
        <w:ind w:firstLine="480" w:firstLineChars="200"/>
        <w:rPr>
          <w:rFonts w:hint="eastAsia" w:ascii="仿宋" w:hAnsi="仿宋" w:eastAsia="仿宋" w:cs="仿宋"/>
          <w:caps/>
          <w:strike/>
          <w:dstrike w:val="0"/>
          <w:kern w:val="0"/>
          <w:sz w:val="24"/>
          <w:szCs w:val="24"/>
          <w:highlight w:val="none"/>
        </w:rPr>
      </w:pPr>
      <w:r>
        <w:rPr>
          <w:rFonts w:hint="eastAsia" w:ascii="仿宋" w:hAnsi="仿宋" w:eastAsia="仿宋" w:cs="仿宋"/>
          <w:caps/>
          <w:kern w:val="0"/>
          <w:sz w:val="24"/>
          <w:szCs w:val="24"/>
          <w:highlight w:val="none"/>
        </w:rPr>
        <w:t>高压进出线方式采用电缆连接</w:t>
      </w:r>
      <w:r>
        <w:rPr>
          <w:rFonts w:hint="eastAsia" w:ascii="仿宋" w:hAnsi="仿宋" w:eastAsia="仿宋" w:cs="仿宋"/>
          <w:caps/>
          <w:kern w:val="0"/>
          <w:sz w:val="24"/>
          <w:szCs w:val="24"/>
          <w:highlight w:val="none"/>
          <w:lang w:eastAsia="zh-CN"/>
        </w:rPr>
        <w:t>。</w:t>
      </w:r>
    </w:p>
    <w:p w14:paraId="4B90DFD2">
      <w:pPr>
        <w:pStyle w:val="7"/>
        <w:bidi w:val="0"/>
        <w:rPr>
          <w:rFonts w:hint="eastAsia" w:ascii="仿宋" w:hAnsi="仿宋" w:eastAsia="仿宋" w:cs="仿宋"/>
          <w:sz w:val="24"/>
          <w:szCs w:val="24"/>
        </w:rPr>
      </w:pPr>
      <w:r>
        <w:rPr>
          <w:rFonts w:hint="eastAsia" w:ascii="仿宋" w:hAnsi="仿宋" w:eastAsia="仿宋" w:cs="仿宋"/>
          <w:sz w:val="24"/>
          <w:szCs w:val="24"/>
        </w:rPr>
        <w:t>变压器要求</w:t>
      </w:r>
    </w:p>
    <w:p w14:paraId="0FE75056">
      <w:pPr>
        <w:pStyle w:val="24"/>
        <w:spacing w:line="360" w:lineRule="auto"/>
        <w:rPr>
          <w:rFonts w:hint="eastAsia" w:ascii="仿宋" w:hAnsi="仿宋" w:eastAsia="仿宋" w:cs="仿宋"/>
          <w:sz w:val="24"/>
          <w:szCs w:val="24"/>
          <w:highlight w:val="none"/>
        </w:rPr>
      </w:pPr>
      <w:bookmarkStart w:id="11" w:name="_Hlk152074340"/>
      <w:r>
        <w:rPr>
          <w:rFonts w:hint="eastAsia" w:ascii="仿宋" w:hAnsi="仿宋" w:eastAsia="仿宋" w:cs="仿宋"/>
          <w:sz w:val="24"/>
          <w:szCs w:val="24"/>
          <w:highlight w:val="none"/>
        </w:rPr>
        <w:t>变压器选用S13</w:t>
      </w:r>
      <w:r>
        <w:rPr>
          <w:rFonts w:hint="eastAsia" w:ascii="仿宋" w:hAnsi="仿宋" w:eastAsia="仿宋" w:cs="仿宋"/>
          <w:sz w:val="24"/>
          <w:szCs w:val="24"/>
          <w:highlight w:val="none"/>
          <w:lang w:val="en-US" w:eastAsia="zh-CN"/>
        </w:rPr>
        <w:t>-M油浸式</w:t>
      </w:r>
      <w:r>
        <w:rPr>
          <w:rFonts w:hint="eastAsia" w:ascii="仿宋" w:hAnsi="仿宋" w:eastAsia="仿宋" w:cs="仿宋"/>
          <w:sz w:val="24"/>
          <w:szCs w:val="24"/>
          <w:highlight w:val="none"/>
        </w:rPr>
        <w:t>铜芯变压器，参数如下表所示：</w:t>
      </w:r>
    </w:p>
    <w:tbl>
      <w:tblPr>
        <w:tblStyle w:val="8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932"/>
        <w:gridCol w:w="1085"/>
        <w:gridCol w:w="3177"/>
      </w:tblGrid>
      <w:tr w14:paraId="1CE7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328" w:type="dxa"/>
            <w:vAlign w:val="center"/>
          </w:tcPr>
          <w:p w14:paraId="3801ACF0">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932" w:type="dxa"/>
            <w:vAlign w:val="center"/>
          </w:tcPr>
          <w:p w14:paraId="335447C8">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参数名称</w:t>
            </w:r>
          </w:p>
        </w:tc>
        <w:tc>
          <w:tcPr>
            <w:tcW w:w="1085" w:type="dxa"/>
            <w:vAlign w:val="center"/>
          </w:tcPr>
          <w:p w14:paraId="4352A045">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3177" w:type="dxa"/>
            <w:vAlign w:val="center"/>
          </w:tcPr>
          <w:p w14:paraId="53DB3E06">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4E15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8" w:type="dxa"/>
            <w:vAlign w:val="center"/>
          </w:tcPr>
          <w:p w14:paraId="6F8A1E95">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932" w:type="dxa"/>
            <w:vAlign w:val="center"/>
          </w:tcPr>
          <w:p w14:paraId="20C41D09">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变压器容量</w:t>
            </w:r>
          </w:p>
        </w:tc>
        <w:tc>
          <w:tcPr>
            <w:tcW w:w="1085" w:type="dxa"/>
            <w:vAlign w:val="center"/>
          </w:tcPr>
          <w:p w14:paraId="1E9AB31F">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kVA</w:t>
            </w:r>
          </w:p>
        </w:tc>
        <w:tc>
          <w:tcPr>
            <w:tcW w:w="3177" w:type="dxa"/>
            <w:vAlign w:val="center"/>
          </w:tcPr>
          <w:p w14:paraId="2FD65F5D">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250</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00，具体详见清单配置</w:t>
            </w:r>
          </w:p>
        </w:tc>
      </w:tr>
      <w:tr w14:paraId="775A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8" w:type="dxa"/>
            <w:vAlign w:val="center"/>
          </w:tcPr>
          <w:p w14:paraId="21772FD1">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932" w:type="dxa"/>
            <w:vAlign w:val="center"/>
          </w:tcPr>
          <w:p w14:paraId="74723146">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额定电压</w:t>
            </w:r>
          </w:p>
        </w:tc>
        <w:tc>
          <w:tcPr>
            <w:tcW w:w="1085" w:type="dxa"/>
            <w:vAlign w:val="center"/>
          </w:tcPr>
          <w:p w14:paraId="5BD94E27">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kV</w:t>
            </w:r>
          </w:p>
        </w:tc>
        <w:tc>
          <w:tcPr>
            <w:tcW w:w="3177" w:type="dxa"/>
            <w:vAlign w:val="center"/>
          </w:tcPr>
          <w:p w14:paraId="3A981498">
            <w:pPr>
              <w:topLinePunct/>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10</w:t>
            </w:r>
            <w:r>
              <w:rPr>
                <w:rFonts w:hint="eastAsia" w:ascii="仿宋" w:hAnsi="仿宋" w:eastAsia="仿宋" w:cs="仿宋"/>
                <w:sz w:val="21"/>
                <w:szCs w:val="21"/>
                <w:highlight w:val="none"/>
                <w:lang w:val="en-US" w:eastAsia="zh-CN"/>
              </w:rPr>
              <w:t>/0.4</w:t>
            </w:r>
          </w:p>
        </w:tc>
      </w:tr>
      <w:tr w14:paraId="6368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8" w:type="dxa"/>
            <w:vAlign w:val="center"/>
          </w:tcPr>
          <w:p w14:paraId="76CFCE13">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932" w:type="dxa"/>
            <w:vAlign w:val="center"/>
          </w:tcPr>
          <w:p w14:paraId="1D2195C8">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最高工作电压</w:t>
            </w:r>
          </w:p>
        </w:tc>
        <w:tc>
          <w:tcPr>
            <w:tcW w:w="1085" w:type="dxa"/>
            <w:vAlign w:val="center"/>
          </w:tcPr>
          <w:p w14:paraId="2C7BDC45">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kV</w:t>
            </w:r>
          </w:p>
        </w:tc>
        <w:tc>
          <w:tcPr>
            <w:tcW w:w="3177" w:type="dxa"/>
            <w:vAlign w:val="center"/>
          </w:tcPr>
          <w:p w14:paraId="26BE08E7">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r>
      <w:tr w14:paraId="71C3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8" w:type="dxa"/>
            <w:vAlign w:val="center"/>
          </w:tcPr>
          <w:p w14:paraId="32181639">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932" w:type="dxa"/>
            <w:vAlign w:val="center"/>
          </w:tcPr>
          <w:p w14:paraId="611965FE">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额定频率</w:t>
            </w:r>
          </w:p>
        </w:tc>
        <w:tc>
          <w:tcPr>
            <w:tcW w:w="1085" w:type="dxa"/>
            <w:vAlign w:val="center"/>
          </w:tcPr>
          <w:p w14:paraId="266AA096">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Hz</w:t>
            </w:r>
          </w:p>
        </w:tc>
        <w:tc>
          <w:tcPr>
            <w:tcW w:w="3177" w:type="dxa"/>
            <w:vAlign w:val="center"/>
          </w:tcPr>
          <w:p w14:paraId="639F4FC4">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w:t>
            </w:r>
          </w:p>
        </w:tc>
      </w:tr>
      <w:tr w14:paraId="04D1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8" w:type="dxa"/>
            <w:vAlign w:val="center"/>
          </w:tcPr>
          <w:p w14:paraId="051AC9F9">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932" w:type="dxa"/>
            <w:vAlign w:val="center"/>
          </w:tcPr>
          <w:p w14:paraId="6FC30662">
            <w:pPr>
              <w:topLinePunct/>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分接范围</w:t>
            </w:r>
          </w:p>
        </w:tc>
        <w:tc>
          <w:tcPr>
            <w:tcW w:w="1085" w:type="dxa"/>
            <w:vAlign w:val="center"/>
          </w:tcPr>
          <w:p w14:paraId="27D8CEE5">
            <w:pPr>
              <w:topLinePunct/>
              <w:adjustRightInd w:val="0"/>
              <w:snapToGrid w:val="0"/>
              <w:jc w:val="center"/>
              <w:rPr>
                <w:rFonts w:hint="eastAsia" w:ascii="仿宋" w:hAnsi="仿宋" w:eastAsia="仿宋" w:cs="仿宋"/>
                <w:sz w:val="21"/>
                <w:szCs w:val="21"/>
                <w:highlight w:val="none"/>
              </w:rPr>
            </w:pPr>
          </w:p>
        </w:tc>
        <w:tc>
          <w:tcPr>
            <w:tcW w:w="3177" w:type="dxa"/>
            <w:vAlign w:val="center"/>
          </w:tcPr>
          <w:p w14:paraId="4385F33E">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w:t>
            </w:r>
          </w:p>
        </w:tc>
      </w:tr>
      <w:tr w14:paraId="16FD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8" w:type="dxa"/>
            <w:vAlign w:val="center"/>
          </w:tcPr>
          <w:p w14:paraId="732A2845">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932" w:type="dxa"/>
            <w:vAlign w:val="center"/>
          </w:tcPr>
          <w:p w14:paraId="3357DB73">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连接组标号</w:t>
            </w:r>
          </w:p>
        </w:tc>
        <w:tc>
          <w:tcPr>
            <w:tcW w:w="1085" w:type="dxa"/>
            <w:vAlign w:val="center"/>
          </w:tcPr>
          <w:p w14:paraId="4C8A9255">
            <w:pPr>
              <w:topLinePunct/>
              <w:adjustRightInd w:val="0"/>
              <w:snapToGrid w:val="0"/>
              <w:jc w:val="center"/>
              <w:rPr>
                <w:rFonts w:hint="eastAsia" w:ascii="仿宋" w:hAnsi="仿宋" w:eastAsia="仿宋" w:cs="仿宋"/>
                <w:sz w:val="21"/>
                <w:szCs w:val="21"/>
                <w:highlight w:val="none"/>
              </w:rPr>
            </w:pPr>
          </w:p>
        </w:tc>
        <w:tc>
          <w:tcPr>
            <w:tcW w:w="3177" w:type="dxa"/>
            <w:vAlign w:val="center"/>
          </w:tcPr>
          <w:p w14:paraId="7B1CB29F">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Dyn11</w:t>
            </w:r>
          </w:p>
        </w:tc>
      </w:tr>
      <w:tr w14:paraId="02CC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8" w:type="dxa"/>
            <w:vAlign w:val="center"/>
          </w:tcPr>
          <w:p w14:paraId="16FB714A">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2932" w:type="dxa"/>
            <w:vAlign w:val="center"/>
          </w:tcPr>
          <w:p w14:paraId="4735DF87">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短路阻抗</w:t>
            </w:r>
          </w:p>
        </w:tc>
        <w:tc>
          <w:tcPr>
            <w:tcW w:w="1085" w:type="dxa"/>
            <w:vAlign w:val="center"/>
          </w:tcPr>
          <w:p w14:paraId="78CD07FE">
            <w:pPr>
              <w:topLinePunct/>
              <w:adjustRightInd w:val="0"/>
              <w:snapToGrid w:val="0"/>
              <w:jc w:val="center"/>
              <w:rPr>
                <w:rFonts w:hint="eastAsia" w:ascii="仿宋" w:hAnsi="仿宋" w:eastAsia="仿宋" w:cs="仿宋"/>
                <w:sz w:val="21"/>
                <w:szCs w:val="21"/>
                <w:highlight w:val="none"/>
              </w:rPr>
            </w:pPr>
          </w:p>
        </w:tc>
        <w:tc>
          <w:tcPr>
            <w:tcW w:w="3177" w:type="dxa"/>
            <w:vAlign w:val="center"/>
          </w:tcPr>
          <w:p w14:paraId="6CB8A630">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按照国标要求</w:t>
            </w:r>
          </w:p>
        </w:tc>
      </w:tr>
      <w:tr w14:paraId="4B4B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8" w:type="dxa"/>
            <w:vAlign w:val="center"/>
          </w:tcPr>
          <w:p w14:paraId="78F097D7">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8</w:t>
            </w:r>
          </w:p>
        </w:tc>
        <w:tc>
          <w:tcPr>
            <w:tcW w:w="2932" w:type="dxa"/>
            <w:vAlign w:val="center"/>
          </w:tcPr>
          <w:p w14:paraId="40FE15A2">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绝缘等级</w:t>
            </w:r>
          </w:p>
        </w:tc>
        <w:tc>
          <w:tcPr>
            <w:tcW w:w="1085" w:type="dxa"/>
            <w:vAlign w:val="center"/>
          </w:tcPr>
          <w:p w14:paraId="6E90C270">
            <w:pPr>
              <w:topLinePunct/>
              <w:adjustRightInd w:val="0"/>
              <w:snapToGrid w:val="0"/>
              <w:jc w:val="center"/>
              <w:rPr>
                <w:rFonts w:hint="eastAsia" w:ascii="仿宋" w:hAnsi="仿宋" w:eastAsia="仿宋" w:cs="仿宋"/>
                <w:sz w:val="21"/>
                <w:szCs w:val="21"/>
                <w:highlight w:val="none"/>
              </w:rPr>
            </w:pPr>
          </w:p>
        </w:tc>
        <w:tc>
          <w:tcPr>
            <w:tcW w:w="3177" w:type="dxa"/>
            <w:vAlign w:val="center"/>
          </w:tcPr>
          <w:p w14:paraId="428033AE">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H</w:t>
            </w:r>
          </w:p>
        </w:tc>
      </w:tr>
      <w:tr w14:paraId="37B2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8" w:type="dxa"/>
            <w:vAlign w:val="center"/>
          </w:tcPr>
          <w:p w14:paraId="28316E16">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9</w:t>
            </w:r>
          </w:p>
        </w:tc>
        <w:tc>
          <w:tcPr>
            <w:tcW w:w="2932" w:type="dxa"/>
            <w:vAlign w:val="center"/>
          </w:tcPr>
          <w:p w14:paraId="0B5910E5">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最高温升</w:t>
            </w:r>
          </w:p>
        </w:tc>
        <w:tc>
          <w:tcPr>
            <w:tcW w:w="1085" w:type="dxa"/>
            <w:vAlign w:val="center"/>
          </w:tcPr>
          <w:p w14:paraId="72E9DEEE">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K</w:t>
            </w:r>
          </w:p>
        </w:tc>
        <w:tc>
          <w:tcPr>
            <w:tcW w:w="3177" w:type="dxa"/>
            <w:vAlign w:val="center"/>
          </w:tcPr>
          <w:p w14:paraId="111A4414">
            <w:pPr>
              <w:topLinePunct/>
              <w:adjustRightInd w:val="0"/>
              <w:snapToGrid w:val="0"/>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125</w:t>
            </w:r>
          </w:p>
        </w:tc>
      </w:tr>
    </w:tbl>
    <w:p w14:paraId="53AEC697">
      <w:pPr>
        <w:pStyle w:val="24"/>
        <w:spacing w:line="360" w:lineRule="auto"/>
        <w:rPr>
          <w:rFonts w:hint="eastAsia" w:ascii="仿宋" w:hAnsi="仿宋" w:eastAsia="仿宋" w:cs="仿宋"/>
          <w:sz w:val="24"/>
          <w:szCs w:val="24"/>
        </w:rPr>
      </w:pPr>
      <w:r>
        <w:rPr>
          <w:rFonts w:hint="eastAsia" w:ascii="仿宋" w:hAnsi="仿宋" w:eastAsia="仿宋" w:cs="仿宋"/>
          <w:sz w:val="24"/>
          <w:szCs w:val="24"/>
          <w:highlight w:val="none"/>
        </w:rPr>
        <w:t>变压器室设置两道防护门，外防护门安装离心风机，确保温度过高情况下</w:t>
      </w:r>
      <w:r>
        <w:rPr>
          <w:rFonts w:hint="eastAsia" w:ascii="仿宋" w:hAnsi="仿宋" w:eastAsia="仿宋" w:cs="仿宋"/>
          <w:sz w:val="24"/>
          <w:szCs w:val="24"/>
        </w:rPr>
        <w:t>风机自动启动，降低变压器室温度。内隔网门装设行程开关，打开隔网时，为防止误入带电间隔，立即跳开变压器出线开关。</w:t>
      </w:r>
    </w:p>
    <w:bookmarkEnd w:id="11"/>
    <w:p w14:paraId="730566BE">
      <w:pPr>
        <w:pStyle w:val="7"/>
        <w:bidi w:val="0"/>
        <w:rPr>
          <w:rFonts w:hint="eastAsia" w:ascii="仿宋" w:hAnsi="仿宋" w:eastAsia="仿宋" w:cs="仿宋"/>
          <w:sz w:val="24"/>
          <w:szCs w:val="24"/>
        </w:rPr>
      </w:pPr>
      <w:r>
        <w:rPr>
          <w:rFonts w:hint="eastAsia" w:ascii="仿宋" w:hAnsi="仿宋" w:eastAsia="仿宋" w:cs="仿宋"/>
          <w:sz w:val="24"/>
          <w:szCs w:val="24"/>
        </w:rPr>
        <w:t>低压开关柜</w:t>
      </w:r>
    </w:p>
    <w:p w14:paraId="314389B3">
      <w:pPr>
        <w:pStyle w:val="24"/>
        <w:spacing w:line="360" w:lineRule="auto"/>
        <w:rPr>
          <w:rFonts w:hint="eastAsia" w:ascii="仿宋" w:hAnsi="仿宋" w:eastAsia="仿宋" w:cs="仿宋"/>
          <w:sz w:val="24"/>
          <w:szCs w:val="24"/>
        </w:rPr>
      </w:pPr>
      <w:r>
        <w:rPr>
          <w:rFonts w:hint="eastAsia" w:ascii="仿宋" w:hAnsi="仿宋" w:eastAsia="仿宋" w:cs="仿宋"/>
          <w:sz w:val="24"/>
          <w:szCs w:val="24"/>
        </w:rPr>
        <w:t>柜体：选用低压固定柜柜型，防护等级： IP3X，柜体进行可靠的防锈处理后，使用耐久性喷塑处理。</w:t>
      </w:r>
    </w:p>
    <w:p w14:paraId="0706697A">
      <w:pPr>
        <w:pStyle w:val="24"/>
        <w:spacing w:line="360" w:lineRule="auto"/>
        <w:rPr>
          <w:rFonts w:hint="eastAsia" w:ascii="仿宋" w:hAnsi="仿宋" w:eastAsia="仿宋" w:cs="仿宋"/>
          <w:sz w:val="24"/>
          <w:szCs w:val="24"/>
        </w:rPr>
      </w:pPr>
      <w:r>
        <w:rPr>
          <w:rFonts w:hint="eastAsia" w:ascii="仿宋" w:hAnsi="仿宋" w:eastAsia="仿宋" w:cs="仿宋"/>
          <w:sz w:val="24"/>
          <w:szCs w:val="24"/>
        </w:rPr>
        <w:t>柜体仪表门上安装指示灯、按钮、测量仪表等元器件，应排列整齐、层次分明、便于维修和拆装。</w:t>
      </w:r>
    </w:p>
    <w:p w14:paraId="1C0931CF">
      <w:pPr>
        <w:pStyle w:val="24"/>
        <w:spacing w:line="360" w:lineRule="auto"/>
        <w:rPr>
          <w:rFonts w:hint="eastAsia" w:ascii="仿宋" w:hAnsi="仿宋" w:eastAsia="仿宋" w:cs="仿宋"/>
          <w:sz w:val="24"/>
          <w:szCs w:val="24"/>
        </w:rPr>
      </w:pPr>
      <w:r>
        <w:rPr>
          <w:rFonts w:hint="eastAsia" w:ascii="仿宋" w:hAnsi="仿宋" w:eastAsia="仿宋" w:cs="仿宋"/>
          <w:sz w:val="24"/>
          <w:szCs w:val="24"/>
        </w:rPr>
        <w:t>柜内配线：柜内配线采用聚氯乙烯绝缘电线，铜芯，可动部分过渡应柔软，并能承受住挠曲而不致疲劳损伤，柜内配线应有相应的线号。电流线采用2.5mm²，电压线采用1.5mm²，其他线采用1.0mm²。计量用电流线采用4mm²，电压线采用2.5mm²</w:t>
      </w:r>
    </w:p>
    <w:p w14:paraId="27C8866D">
      <w:pPr>
        <w:pStyle w:val="24"/>
        <w:spacing w:line="360" w:lineRule="auto"/>
        <w:rPr>
          <w:rFonts w:hint="eastAsia" w:ascii="仿宋" w:hAnsi="仿宋" w:eastAsia="仿宋" w:cs="仿宋"/>
          <w:sz w:val="24"/>
          <w:szCs w:val="24"/>
        </w:rPr>
      </w:pPr>
      <w:r>
        <w:rPr>
          <w:rFonts w:hint="eastAsia" w:ascii="仿宋" w:hAnsi="仿宋" w:eastAsia="仿宋" w:cs="仿宋"/>
          <w:sz w:val="24"/>
          <w:szCs w:val="24"/>
        </w:rPr>
        <w:t>端子排的设置：</w:t>
      </w:r>
    </w:p>
    <w:p w14:paraId="52D9CE3A">
      <w:pPr>
        <w:pStyle w:val="24"/>
        <w:spacing w:line="360" w:lineRule="auto"/>
        <w:rPr>
          <w:rFonts w:hint="eastAsia" w:ascii="仿宋" w:hAnsi="仿宋" w:eastAsia="仿宋" w:cs="仿宋"/>
          <w:sz w:val="24"/>
          <w:szCs w:val="24"/>
        </w:rPr>
      </w:pPr>
      <w:r>
        <w:rPr>
          <w:rFonts w:hint="eastAsia" w:ascii="仿宋" w:hAnsi="仿宋" w:eastAsia="仿宋" w:cs="仿宋"/>
          <w:sz w:val="24"/>
          <w:szCs w:val="24"/>
        </w:rPr>
        <w:t>1）端子排距屏顶及地面均不小于200mm，端子排间距不小于150mm。</w:t>
      </w:r>
    </w:p>
    <w:p w14:paraId="08C95D9E">
      <w:pPr>
        <w:pStyle w:val="24"/>
        <w:spacing w:line="360" w:lineRule="auto"/>
        <w:rPr>
          <w:rFonts w:hint="eastAsia" w:ascii="仿宋" w:hAnsi="仿宋" w:eastAsia="仿宋" w:cs="仿宋"/>
          <w:sz w:val="24"/>
          <w:szCs w:val="24"/>
        </w:rPr>
      </w:pPr>
      <w:r>
        <w:rPr>
          <w:rFonts w:hint="eastAsia" w:ascii="仿宋" w:hAnsi="仿宋" w:eastAsia="仿宋" w:cs="仿宋"/>
          <w:sz w:val="24"/>
          <w:szCs w:val="24"/>
        </w:rPr>
        <w:t>2）端子排的设置应使运行、检修、调试方便，应考虑设备与端子排的位置对应。端子排导电部分为铜质，端子的选用应根据回路载流量和所接电缆截面确定。</w:t>
      </w:r>
    </w:p>
    <w:p w14:paraId="30192202">
      <w:pPr>
        <w:pStyle w:val="24"/>
        <w:spacing w:line="360" w:lineRule="auto"/>
        <w:rPr>
          <w:rFonts w:hint="eastAsia" w:ascii="仿宋" w:hAnsi="仿宋" w:eastAsia="仿宋" w:cs="仿宋"/>
          <w:sz w:val="24"/>
          <w:szCs w:val="24"/>
        </w:rPr>
      </w:pPr>
      <w:r>
        <w:rPr>
          <w:rFonts w:hint="eastAsia" w:ascii="仿宋" w:hAnsi="仿宋" w:eastAsia="仿宋" w:cs="仿宋"/>
          <w:sz w:val="24"/>
          <w:szCs w:val="24"/>
        </w:rPr>
        <w:t>3）柜内应有安全接地构件，连接处应保证可靠接地并有明显接地标记。</w:t>
      </w:r>
    </w:p>
    <w:p w14:paraId="4F3A75A0">
      <w:pPr>
        <w:pStyle w:val="24"/>
        <w:spacing w:line="360" w:lineRule="auto"/>
        <w:rPr>
          <w:rFonts w:hint="eastAsia" w:ascii="仿宋" w:hAnsi="仿宋" w:eastAsia="仿宋" w:cs="仿宋"/>
          <w:sz w:val="24"/>
          <w:szCs w:val="24"/>
        </w:rPr>
      </w:pPr>
      <w:r>
        <w:rPr>
          <w:rFonts w:hint="eastAsia" w:ascii="仿宋" w:hAnsi="仿宋" w:eastAsia="仿宋" w:cs="仿宋"/>
          <w:sz w:val="24"/>
          <w:szCs w:val="24"/>
        </w:rPr>
        <w:t>低压主进框架抽屉式断路器（电动操作）</w:t>
      </w:r>
    </w:p>
    <w:p w14:paraId="10BF5F3B">
      <w:pPr>
        <w:pStyle w:val="24"/>
        <w:spacing w:line="360" w:lineRule="auto"/>
        <w:rPr>
          <w:rFonts w:hint="eastAsia" w:ascii="仿宋" w:hAnsi="仿宋" w:eastAsia="仿宋" w:cs="仿宋"/>
          <w:sz w:val="24"/>
          <w:szCs w:val="24"/>
        </w:rPr>
      </w:pPr>
      <w:r>
        <w:rPr>
          <w:rFonts w:hint="eastAsia" w:ascii="仿宋" w:hAnsi="仿宋" w:eastAsia="仿宋" w:cs="仿宋"/>
          <w:sz w:val="24"/>
          <w:szCs w:val="24"/>
        </w:rPr>
        <w:t>1）额定电压: 400V。</w:t>
      </w:r>
    </w:p>
    <w:p w14:paraId="18B527B0">
      <w:pPr>
        <w:pStyle w:val="24"/>
        <w:spacing w:line="360" w:lineRule="auto"/>
        <w:rPr>
          <w:rFonts w:hint="eastAsia" w:ascii="仿宋" w:hAnsi="仿宋" w:eastAsia="仿宋" w:cs="仿宋"/>
          <w:sz w:val="24"/>
          <w:szCs w:val="24"/>
        </w:rPr>
      </w:pPr>
      <w:r>
        <w:rPr>
          <w:rFonts w:hint="eastAsia" w:ascii="仿宋" w:hAnsi="仿宋" w:eastAsia="仿宋" w:cs="仿宋"/>
          <w:sz w:val="24"/>
          <w:szCs w:val="24"/>
        </w:rPr>
        <w:t>2）额定频率：50Hz。</w:t>
      </w:r>
    </w:p>
    <w:p w14:paraId="78C048D3">
      <w:pPr>
        <w:pStyle w:val="24"/>
        <w:spacing w:line="360" w:lineRule="auto"/>
        <w:rPr>
          <w:rFonts w:hint="eastAsia" w:ascii="仿宋" w:hAnsi="仿宋" w:eastAsia="仿宋" w:cs="仿宋"/>
          <w:sz w:val="24"/>
          <w:szCs w:val="24"/>
        </w:rPr>
      </w:pPr>
      <w:r>
        <w:rPr>
          <w:rFonts w:hint="eastAsia" w:ascii="仿宋" w:hAnsi="仿宋" w:eastAsia="仿宋" w:cs="仿宋"/>
          <w:sz w:val="24"/>
          <w:szCs w:val="24"/>
        </w:rPr>
        <w:t>3）额定电流:厂家提供。</w:t>
      </w:r>
    </w:p>
    <w:p w14:paraId="03B6C835">
      <w:pPr>
        <w:pStyle w:val="24"/>
        <w:spacing w:line="360" w:lineRule="auto"/>
        <w:rPr>
          <w:rFonts w:hint="eastAsia" w:ascii="仿宋" w:hAnsi="仿宋" w:eastAsia="仿宋" w:cs="仿宋"/>
          <w:sz w:val="24"/>
          <w:szCs w:val="24"/>
        </w:rPr>
      </w:pPr>
      <w:r>
        <w:rPr>
          <w:rFonts w:hint="eastAsia" w:ascii="仿宋" w:hAnsi="仿宋" w:eastAsia="仿宋" w:cs="仿宋"/>
          <w:sz w:val="24"/>
          <w:szCs w:val="24"/>
        </w:rPr>
        <w:t>出线开关（手动操作）</w:t>
      </w:r>
    </w:p>
    <w:p w14:paraId="162B4EFB">
      <w:pPr>
        <w:pStyle w:val="24"/>
        <w:spacing w:line="360" w:lineRule="auto"/>
        <w:rPr>
          <w:rFonts w:hint="eastAsia" w:ascii="仿宋" w:hAnsi="仿宋" w:eastAsia="仿宋" w:cs="仿宋"/>
          <w:sz w:val="24"/>
          <w:szCs w:val="24"/>
        </w:rPr>
      </w:pPr>
      <w:r>
        <w:rPr>
          <w:rFonts w:hint="eastAsia" w:ascii="仿宋" w:hAnsi="仿宋" w:eastAsia="仿宋" w:cs="仿宋"/>
          <w:sz w:val="24"/>
          <w:szCs w:val="24"/>
        </w:rPr>
        <w:t>1）额定电压: 400V。</w:t>
      </w:r>
    </w:p>
    <w:p w14:paraId="1681AFBA">
      <w:pPr>
        <w:pStyle w:val="24"/>
        <w:spacing w:line="360" w:lineRule="auto"/>
        <w:rPr>
          <w:rFonts w:hint="eastAsia" w:ascii="仿宋" w:hAnsi="仿宋" w:eastAsia="仿宋" w:cs="仿宋"/>
          <w:sz w:val="24"/>
          <w:szCs w:val="24"/>
        </w:rPr>
      </w:pPr>
      <w:r>
        <w:rPr>
          <w:rFonts w:hint="eastAsia" w:ascii="仿宋" w:hAnsi="仿宋" w:eastAsia="仿宋" w:cs="仿宋"/>
          <w:sz w:val="24"/>
          <w:szCs w:val="24"/>
        </w:rPr>
        <w:t>2）额定频率：50Hz。</w:t>
      </w:r>
    </w:p>
    <w:p w14:paraId="083F436C">
      <w:pPr>
        <w:pStyle w:val="24"/>
        <w:spacing w:line="360" w:lineRule="auto"/>
        <w:rPr>
          <w:rFonts w:hint="eastAsia" w:ascii="仿宋" w:hAnsi="仿宋" w:eastAsia="仿宋" w:cs="仿宋"/>
          <w:sz w:val="24"/>
          <w:szCs w:val="24"/>
        </w:rPr>
      </w:pPr>
      <w:r>
        <w:rPr>
          <w:rFonts w:hint="eastAsia" w:ascii="仿宋" w:hAnsi="仿宋" w:eastAsia="仿宋" w:cs="仿宋"/>
          <w:sz w:val="24"/>
          <w:szCs w:val="24"/>
        </w:rPr>
        <w:t>3）额定电流:厂家提供。</w:t>
      </w:r>
    </w:p>
    <w:p w14:paraId="7E0A3955">
      <w:pPr>
        <w:pStyle w:val="24"/>
        <w:spacing w:line="360" w:lineRule="auto"/>
        <w:rPr>
          <w:rFonts w:hint="eastAsia" w:ascii="仿宋" w:hAnsi="仿宋" w:eastAsia="仿宋" w:cs="仿宋"/>
          <w:sz w:val="24"/>
          <w:szCs w:val="24"/>
        </w:rPr>
      </w:pPr>
      <w:r>
        <w:rPr>
          <w:rFonts w:hint="eastAsia" w:ascii="仿宋" w:hAnsi="仿宋" w:eastAsia="仿宋" w:cs="仿宋"/>
          <w:sz w:val="24"/>
          <w:szCs w:val="24"/>
        </w:rPr>
        <w:t>无功补偿</w:t>
      </w:r>
    </w:p>
    <w:p w14:paraId="69466D6F">
      <w:pPr>
        <w:pStyle w:val="24"/>
        <w:spacing w:line="360" w:lineRule="auto"/>
        <w:rPr>
          <w:rFonts w:hint="eastAsia" w:ascii="仿宋" w:hAnsi="仿宋" w:eastAsia="仿宋" w:cs="仿宋"/>
          <w:sz w:val="24"/>
          <w:szCs w:val="24"/>
        </w:rPr>
      </w:pPr>
      <w:r>
        <w:rPr>
          <w:rFonts w:hint="eastAsia" w:ascii="仿宋" w:hAnsi="仿宋" w:eastAsia="仿宋" w:cs="仿宋"/>
          <w:sz w:val="24"/>
          <w:szCs w:val="24"/>
        </w:rPr>
        <w:t>厂家需选用 SVG 补偿方案，容量要求≥30kVar，符合当地电力接入要求。</w:t>
      </w:r>
    </w:p>
    <w:p w14:paraId="4DE12965">
      <w:pPr>
        <w:pStyle w:val="7"/>
        <w:bidi w:val="0"/>
        <w:rPr>
          <w:rFonts w:hint="eastAsia" w:ascii="仿宋" w:hAnsi="仿宋" w:eastAsia="仿宋" w:cs="仿宋"/>
          <w:sz w:val="24"/>
          <w:szCs w:val="24"/>
        </w:rPr>
      </w:pPr>
      <w:r>
        <w:rPr>
          <w:rFonts w:hint="eastAsia" w:ascii="仿宋" w:hAnsi="仿宋" w:eastAsia="仿宋" w:cs="仿宋"/>
          <w:sz w:val="24"/>
          <w:szCs w:val="24"/>
        </w:rPr>
        <w:t>箱体要求</w:t>
      </w:r>
    </w:p>
    <w:p w14:paraId="51FDDB0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箱体底座采用高精度焊接式结构。顶盖采用非金属玻璃钢材质：环境适应性强，集成通风过滤功能，户外温度40℃整机输出不降功率；风道设计4道防水，封闭率100%；耐候性户外寿命≥20年；防护等级IP54；阻燃性能垂直燃烧级别可达V-0级。运行噪音满足25℃≤55dB，35℃≤65dB,40℃≤72dB。内部采用钢板及阻燃绝缘隔板严密分割成高压室、变压器室、低压室，各室防护等级为IP3X。箱体外壳门板都采用1.5mm厚度及以上的优质冷轧钢板制作，箱体框架为组装式结构，外表无焊道，整机无外漏螺栓，立柱采用1.5mm厚度及以上的优质冷轧钢板制作。</w:t>
      </w:r>
    </w:p>
    <w:p w14:paraId="12C7DB55">
      <w:pPr>
        <w:pStyle w:val="24"/>
        <w:spacing w:line="360" w:lineRule="auto"/>
        <w:rPr>
          <w:rFonts w:hint="eastAsia" w:ascii="仿宋" w:hAnsi="仿宋" w:eastAsia="仿宋" w:cs="仿宋"/>
          <w:sz w:val="24"/>
          <w:szCs w:val="24"/>
        </w:rPr>
      </w:pPr>
      <w:r>
        <w:rPr>
          <w:rFonts w:hint="eastAsia" w:ascii="仿宋" w:hAnsi="仿宋" w:eastAsia="仿宋" w:cs="仿宋"/>
          <w:sz w:val="24"/>
          <w:szCs w:val="24"/>
        </w:rPr>
        <w:t>箱变应具备结构稳定的设计，按照当地气候条件，在11级风（28.5~32.6m/s）工况条件下持续风吹1个小时，设备无可见异常变形，柜门保持正常的开启、关闭和锁固</w:t>
      </w:r>
      <w:r>
        <w:rPr>
          <w:rFonts w:hint="eastAsia" w:ascii="仿宋" w:hAnsi="仿宋" w:eastAsia="仿宋" w:cs="仿宋"/>
          <w:sz w:val="24"/>
          <w:szCs w:val="24"/>
          <w:highlight w:val="none"/>
        </w:rPr>
        <w:t>。</w:t>
      </w:r>
    </w:p>
    <w:p w14:paraId="18360C2C">
      <w:pPr>
        <w:pStyle w:val="24"/>
        <w:spacing w:line="360" w:lineRule="auto"/>
        <w:rPr>
          <w:rFonts w:hint="eastAsia" w:ascii="仿宋" w:hAnsi="仿宋" w:eastAsia="仿宋" w:cs="仿宋"/>
          <w:sz w:val="24"/>
          <w:szCs w:val="24"/>
        </w:rPr>
      </w:pPr>
      <w:r>
        <w:rPr>
          <w:rFonts w:hint="eastAsia" w:ascii="仿宋" w:hAnsi="仿宋" w:eastAsia="仿宋" w:cs="仿宋"/>
          <w:sz w:val="24"/>
          <w:szCs w:val="24"/>
        </w:rPr>
        <w:t>箱体采用冷轧钢板电弧喷锌工艺做为底层，锌丝纯度99.9%，锌层厚度&gt;100μm，在锌层上喷中涂漆，面漆为丙烯酸聚胺脂双组份面漆。金属材料经防腐处理后表面覆盖层应有牢固的附着力，并均匀一致。箱体底架槽钢必须经过喷砂、喷锌处理后，采用沥青漆重度防腐处理，保证壳体20年内不退色、不氧化、不粉化，40年不锈蚀。</w:t>
      </w:r>
    </w:p>
    <w:p w14:paraId="6C7DA19D">
      <w:pPr>
        <w:pStyle w:val="24"/>
        <w:spacing w:line="360" w:lineRule="auto"/>
        <w:rPr>
          <w:rFonts w:hint="eastAsia" w:ascii="仿宋" w:hAnsi="仿宋" w:eastAsia="仿宋" w:cs="仿宋"/>
          <w:sz w:val="24"/>
          <w:szCs w:val="24"/>
        </w:rPr>
      </w:pPr>
      <w:r>
        <w:rPr>
          <w:rFonts w:hint="eastAsia" w:ascii="仿宋" w:hAnsi="仿宋" w:eastAsia="仿宋" w:cs="仿宋"/>
          <w:sz w:val="24"/>
          <w:szCs w:val="24"/>
        </w:rPr>
        <w:t>箱体密封所采用的密封条必须是长寿命、高弹性产品，高压和低压的进出线电缆孔采用方便于密封的敲落孔并配有足够数量的密封胶圈。</w:t>
      </w:r>
    </w:p>
    <w:p w14:paraId="2AADF5A1">
      <w:pPr>
        <w:pStyle w:val="24"/>
        <w:spacing w:line="360" w:lineRule="auto"/>
        <w:rPr>
          <w:rFonts w:hint="eastAsia" w:ascii="仿宋" w:hAnsi="仿宋" w:eastAsia="仿宋" w:cs="仿宋"/>
          <w:sz w:val="24"/>
          <w:szCs w:val="24"/>
        </w:rPr>
      </w:pPr>
      <w:r>
        <w:rPr>
          <w:rFonts w:hint="eastAsia" w:ascii="仿宋" w:hAnsi="仿宋" w:eastAsia="仿宋" w:cs="仿宋"/>
          <w:sz w:val="24"/>
          <w:szCs w:val="24"/>
        </w:rPr>
        <w:t>箱体外壳必须设计足够的机械强度，在起吊、运输和隧道内搬运、安装时不会变形或损伤；箱变外壳必须设计有方便钩挂的吊装机构，并保证吊装机构与箱体重心的协调，不会导致吊装过程中箱变倾斜；设计的外壳形状应不易积尘、积水；尽量少用外露紧固件，以免螺钉穿通外壳使水导入壳内；对穿通外壳的孔，均应采取相应的密封措施；外壳应防水、防震、防腐、防尘、防电燃。</w:t>
      </w:r>
    </w:p>
    <w:p w14:paraId="6EB4E30C">
      <w:pPr>
        <w:pStyle w:val="24"/>
        <w:spacing w:line="360" w:lineRule="auto"/>
        <w:rPr>
          <w:rFonts w:hint="eastAsia" w:ascii="仿宋" w:hAnsi="仿宋" w:eastAsia="仿宋" w:cs="仿宋"/>
          <w:sz w:val="24"/>
          <w:szCs w:val="24"/>
        </w:rPr>
      </w:pPr>
      <w:r>
        <w:rPr>
          <w:rFonts w:hint="eastAsia" w:ascii="仿宋" w:hAnsi="仿宋" w:eastAsia="仿宋" w:cs="仿宋"/>
          <w:sz w:val="24"/>
          <w:szCs w:val="24"/>
        </w:rPr>
        <w:t>所有门应向外开，开启角度大于100°，并设置定位装置。门有密封措施，并装有把手和暗锁，门的设计尺寸与所装设备的尺寸相配合。设门控自动开闭的照明设施。箱体顶盖应有明显散水坡度，不应小于5°，顶盖边沿应设有滴水沿，防止雨水回流进入箱体。</w:t>
      </w:r>
    </w:p>
    <w:p w14:paraId="2C774117">
      <w:pPr>
        <w:pStyle w:val="24"/>
        <w:spacing w:line="360" w:lineRule="auto"/>
        <w:rPr>
          <w:rFonts w:hint="eastAsia" w:ascii="仿宋" w:hAnsi="仿宋" w:eastAsia="仿宋" w:cs="仿宋"/>
          <w:sz w:val="24"/>
          <w:szCs w:val="24"/>
        </w:rPr>
      </w:pPr>
      <w:r>
        <w:rPr>
          <w:rFonts w:hint="eastAsia" w:ascii="仿宋" w:hAnsi="仿宋" w:eastAsia="仿宋" w:cs="仿宋"/>
          <w:sz w:val="24"/>
          <w:szCs w:val="24"/>
        </w:rPr>
        <w:t>箱变内设置检修走廊，宽度≥700mm，预留下人井，检修走廊通道须配置LED照明灯，并保证足够的照度，方便箱体内部的检修和试验。</w:t>
      </w:r>
    </w:p>
    <w:p w14:paraId="7608E166">
      <w:pPr>
        <w:pStyle w:val="24"/>
        <w:spacing w:line="360" w:lineRule="auto"/>
        <w:rPr>
          <w:rFonts w:hint="eastAsia" w:ascii="仿宋" w:hAnsi="仿宋" w:eastAsia="仿宋" w:cs="仿宋"/>
          <w:sz w:val="24"/>
          <w:szCs w:val="24"/>
        </w:rPr>
      </w:pPr>
      <w:r>
        <w:rPr>
          <w:rFonts w:hint="eastAsia" w:ascii="仿宋" w:hAnsi="仿宋" w:eastAsia="仿宋" w:cs="仿宋"/>
          <w:sz w:val="24"/>
          <w:szCs w:val="24"/>
        </w:rPr>
        <w:t>变压器室采用通风结构，门板带有为防尘通风防水百叶窗门。</w:t>
      </w:r>
    </w:p>
    <w:p w14:paraId="1A843AAC">
      <w:pPr>
        <w:rPr>
          <w:rFonts w:hint="eastAsia" w:ascii="仿宋" w:hAnsi="仿宋" w:eastAsia="仿宋" w:cs="仿宋"/>
          <w:b/>
          <w:bCs/>
          <w:color w:val="auto"/>
          <w:sz w:val="24"/>
          <w:szCs w:val="24"/>
          <w:highlight w:val="none"/>
          <w:lang w:val="en-US" w:eastAsia="zh-CN"/>
        </w:rPr>
      </w:pPr>
      <w:r>
        <w:rPr>
          <w:rFonts w:hint="eastAsia" w:ascii="仿宋" w:hAnsi="仿宋" w:eastAsia="仿宋" w:cs="仿宋"/>
          <w:sz w:val="24"/>
          <w:szCs w:val="24"/>
        </w:rPr>
        <w:t>箱式变电站的箱体应设专用接地导体，高低压接地贯通，该接地导体上应设有与接地网相连接的固定接地端子，箱变内部各个隔室接地端子数量不少于2个，箱变外部接地端子数量不少于四个，并应有明显的接地标志。接地端子为直径不小于12mm的钢质螺栓。箱式变电站的金属骨架，高压配电装置、低压配电装置和变压器室的金属支架均应有符合技术条件的接地端子，并与专用接地导体可靠地连接在一起，箱变的接地电阻阻值符合标准。</w:t>
      </w:r>
    </w:p>
    <w:p w14:paraId="440C7D10">
      <w:pPr>
        <w:rPr>
          <w:rFonts w:hint="eastAsia" w:cs="仿宋"/>
          <w:b/>
          <w:bCs/>
          <w:color w:val="auto"/>
          <w:highlight w:val="none"/>
          <w:lang w:val="en-US" w:eastAsia="zh-CN"/>
        </w:rPr>
      </w:pPr>
    </w:p>
    <w:p w14:paraId="3513017C">
      <w:pPr>
        <w:rPr>
          <w:rFonts w:hint="eastAsia" w:cs="仿宋"/>
          <w:b/>
          <w:bCs/>
          <w:color w:val="auto"/>
          <w:highlight w:val="none"/>
          <w:lang w:val="en-US" w:eastAsia="zh-CN"/>
        </w:rPr>
      </w:pPr>
      <w:r>
        <w:rPr>
          <w:rFonts w:hint="eastAsia" w:cs="仿宋"/>
          <w:b/>
          <w:bCs/>
          <w:color w:val="auto"/>
          <w:highlight w:val="none"/>
          <w:lang w:val="en-US" w:eastAsia="zh-CN"/>
        </w:rPr>
        <w:t>（六）电缆要求</w:t>
      </w:r>
    </w:p>
    <w:p w14:paraId="71F1E34A">
      <w:r>
        <w:rPr>
          <w:rFonts w:hint="eastAsia"/>
        </w:rPr>
        <w:t>（1）项目</w:t>
      </w:r>
      <w:r>
        <w:rPr>
          <w:rFonts w:hint="eastAsia"/>
          <w:lang w:val="en-US" w:eastAsia="zh-CN"/>
        </w:rPr>
        <w:t>铜芯</w:t>
      </w:r>
      <w:r>
        <w:rPr>
          <w:rFonts w:hint="eastAsia"/>
        </w:rPr>
        <w:t>电缆包含箱式变电站进线电缆、分体式充电机主进线电缆、直流充电桩（终端）连接电缆等；</w:t>
      </w:r>
    </w:p>
    <w:p w14:paraId="18B1C5B9">
      <w:r>
        <w:rPr>
          <w:rFonts w:hint="eastAsia"/>
        </w:rPr>
        <w:t>（2）聚氯乙烯绝缘</w:t>
      </w:r>
      <w:r>
        <w:rPr>
          <w:rFonts w:hint="eastAsia"/>
          <w:lang w:val="en-US" w:eastAsia="zh-CN"/>
        </w:rPr>
        <w:t>铜芯</w:t>
      </w:r>
      <w:r>
        <w:rPr>
          <w:rFonts w:hint="eastAsia"/>
        </w:rPr>
        <w:t>电缆必须符合标准GB/T 5023的规定或JB/T 8734的规定；</w:t>
      </w:r>
    </w:p>
    <w:p w14:paraId="7AB988E1">
      <w:r>
        <w:rPr>
          <w:rFonts w:hint="eastAsia"/>
        </w:rPr>
        <w:t>（3）所有额定电压1kV~35kV的电缆须符合标准GB/T 12706的规定；</w:t>
      </w:r>
    </w:p>
    <w:p w14:paraId="500EAB52">
      <w:r>
        <w:rPr>
          <w:rFonts w:hint="eastAsia"/>
        </w:rPr>
        <w:t>（4）所有型号的</w:t>
      </w:r>
      <w:r>
        <w:rPr>
          <w:rFonts w:hint="eastAsia"/>
          <w:lang w:val="en-US" w:eastAsia="zh-CN"/>
        </w:rPr>
        <w:t>铜芯</w:t>
      </w:r>
      <w:r>
        <w:rPr>
          <w:rFonts w:hint="eastAsia"/>
        </w:rPr>
        <w:t>电缆须满足《电线电缆产品许可证可实施细则》的规定。</w:t>
      </w:r>
    </w:p>
    <w:p w14:paraId="55D1755D">
      <w:pPr>
        <w:rPr>
          <w:rFonts w:hint="default"/>
          <w:lang w:val="en-US" w:eastAsia="zh-CN"/>
        </w:rPr>
      </w:pPr>
      <w:r>
        <w:rPr>
          <w:rFonts w:hint="eastAsia"/>
        </w:rPr>
        <w:t>（5）项目所需</w:t>
      </w:r>
      <w:r>
        <w:rPr>
          <w:rFonts w:hint="eastAsia"/>
          <w:lang w:val="en-US" w:eastAsia="zh-CN"/>
        </w:rPr>
        <w:t>铜芯</w:t>
      </w:r>
      <w:r>
        <w:rPr>
          <w:rFonts w:hint="eastAsia"/>
        </w:rPr>
        <w:t>电缆型号与长度由投标人根据现场实际安装环境自行选择确认，同时需满足当地供电局验收标准规范。</w:t>
      </w:r>
    </w:p>
    <w:p w14:paraId="6FAFD6AE">
      <w:pPr>
        <w:rPr>
          <w:rFonts w:hint="eastAsia" w:cs="仿宋"/>
          <w:b/>
          <w:bCs/>
          <w:color w:val="auto"/>
          <w:highlight w:val="none"/>
          <w:lang w:val="en-US" w:eastAsia="zh-CN"/>
        </w:rPr>
      </w:pPr>
    </w:p>
    <w:p w14:paraId="0ED9696A">
      <w:pPr>
        <w:rPr>
          <w:rFonts w:hint="eastAsia" w:cs="仿宋"/>
          <w:b/>
          <w:bCs/>
          <w:color w:val="auto"/>
          <w:highlight w:val="none"/>
          <w:lang w:val="en-US" w:eastAsia="zh-CN"/>
        </w:rPr>
      </w:pPr>
      <w:r>
        <w:rPr>
          <w:rFonts w:hint="eastAsia" w:cs="仿宋"/>
          <w:b/>
          <w:bCs/>
          <w:color w:val="auto"/>
          <w:highlight w:val="none"/>
          <w:lang w:val="en-US" w:eastAsia="zh-CN"/>
        </w:rPr>
        <w:t>（七）其他要求</w:t>
      </w:r>
    </w:p>
    <w:p w14:paraId="3254B9D0">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1.总则</w:t>
      </w:r>
    </w:p>
    <w:p w14:paraId="15C1C1BD">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1.1一般规定</w:t>
      </w:r>
    </w:p>
    <w:p w14:paraId="635DCB15">
      <w:pPr>
        <w:ind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rPr>
        <w:t>1.1.1本项目采购范围，供应商负责</w:t>
      </w:r>
      <w:r>
        <w:rPr>
          <w:rFonts w:hint="eastAsia" w:ascii="仿宋" w:hAnsi="仿宋" w:eastAsia="仿宋" w:cs="仿宋"/>
          <w:color w:val="auto"/>
          <w:highlight w:val="none"/>
          <w:lang w:val="en-US" w:eastAsia="zh-CN"/>
        </w:rPr>
        <w:t>所有的安装建设。</w:t>
      </w:r>
    </w:p>
    <w:p w14:paraId="10D7C6A2">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1.1.2本技术规范书适用三相380V电压等级电动汽车非车载充电设备，它提出了该设备本体及附属设备的功能设计、结构、性能、安装和试验等方面的技术要求。</w:t>
      </w:r>
    </w:p>
    <w:p w14:paraId="7B067A4A">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1.1.3须满足国家有关安全、环保等强制性标准要求。供应商所提供的设计、设备和相关文件应使用国际单位制（SI）。供应商提交的文件和资料，包括与项目有关事宜联系的所有来往函电，以及技术服务、技术培训时所使用的工作语言均应使用中文。</w:t>
      </w:r>
    </w:p>
    <w:p w14:paraId="51EFFD47">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1.1.4投标供应商有技术偏离却未列明，调试验收过程中发现产品不能满足招标需求的，采购人有权解除合同，要求中标供应商退回预付款并退货处理，采购人保留追究违约责任的权利。</w:t>
      </w:r>
    </w:p>
    <w:p w14:paraId="23441686">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1.2随设备提供的资料</w:t>
      </w:r>
    </w:p>
    <w:p w14:paraId="0979B8E4">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投标供应商应免费随设备提供给采购人相关资料，包括设备及配套软件的安装手册、管理维护手册以及参数配置手册等以及配套软件的安装介质。</w:t>
      </w:r>
    </w:p>
    <w:p w14:paraId="57379E08">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1.3到货验收及工期</w:t>
      </w:r>
    </w:p>
    <w:p w14:paraId="46C4E7F0">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1.3.1投标供应商负责将合同设备运送到采购人指定的安装、调试地点。</w:t>
      </w:r>
    </w:p>
    <w:p w14:paraId="723B2004">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1.3.2采购人依投标供应商在投标文件中的承诺对全部设备的型号、规格、数量、外形、外观、包装及资料、文件（包括装箱单、保修单、随箱介质等）等进行验收。</w:t>
      </w:r>
    </w:p>
    <w:p w14:paraId="7161FB31">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1.3.3双方对设备到货后共同配合进行开箱检查，出现损坏、数量不全或产品不对等问题时，由投标供应商负责解决。</w:t>
      </w:r>
    </w:p>
    <w:p w14:paraId="4F599217">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1.3.4在采购人指定的地点和环境下，投标供应商负责对合同设备进行调试（所有部件模块的功能能够正常运行和使用），加电实现正常运行，并达到投标供应商在投标文件中承诺的技术指标和性能。</w:t>
      </w:r>
    </w:p>
    <w:p w14:paraId="557ED73C">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1.3.5设备到货验收及加电验收中出现性能指标或功能上不符合投标供应商在投标文件中的承诺、产品质量问题以及合同要求时，采购人有拒收的权利并取消投标供应商中标资格。</w:t>
      </w:r>
    </w:p>
    <w:p w14:paraId="2A1B0D02">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w:t>
      </w:r>
      <w:r>
        <w:rPr>
          <w:rFonts w:hint="eastAsia" w:cs="仿宋"/>
          <w:color w:val="auto"/>
          <w:highlight w:val="none"/>
          <w:lang w:val="en-US" w:eastAsia="zh-CN"/>
        </w:rPr>
        <w:t>6</w:t>
      </w:r>
      <w:r>
        <w:rPr>
          <w:rFonts w:hint="eastAsia" w:ascii="仿宋" w:hAnsi="仿宋" w:eastAsia="仿宋" w:cs="仿宋"/>
          <w:color w:val="auto"/>
          <w:highlight w:val="none"/>
        </w:rPr>
        <w:t>因制造或施工不合格造成整改，耽误工期，将按照合同总价每日1‰扣除违约金。</w:t>
      </w:r>
    </w:p>
    <w:p w14:paraId="02B3D9B0">
      <w:pPr>
        <w:ind w:firstLine="480" w:firstLineChars="200"/>
        <w:rPr>
          <w:rFonts w:hint="eastAsia" w:cs="仿宋"/>
          <w:b/>
          <w:bCs/>
          <w:color w:val="auto"/>
          <w:highlight w:val="none"/>
          <w:lang w:val="en-US" w:eastAsia="zh-CN"/>
        </w:rPr>
      </w:pPr>
      <w:r>
        <w:rPr>
          <w:rFonts w:hint="eastAsia" w:ascii="仿宋" w:hAnsi="仿宋" w:eastAsia="仿宋" w:cs="仿宋"/>
          <w:color w:val="auto"/>
          <w:highlight w:val="none"/>
        </w:rPr>
        <w:t>1.3.</w:t>
      </w:r>
      <w:r>
        <w:rPr>
          <w:rFonts w:hint="eastAsia" w:cs="仿宋"/>
          <w:color w:val="auto"/>
          <w:highlight w:val="none"/>
          <w:lang w:val="en-US" w:eastAsia="zh-CN"/>
        </w:rPr>
        <w:t>7</w:t>
      </w:r>
      <w:r>
        <w:rPr>
          <w:rFonts w:hint="eastAsia" w:ascii="仿宋" w:hAnsi="仿宋" w:eastAsia="仿宋" w:cs="仿宋"/>
          <w:color w:val="auto"/>
          <w:highlight w:val="none"/>
        </w:rPr>
        <w:t>工期：</w:t>
      </w:r>
      <w:r>
        <w:rPr>
          <w:rFonts w:hint="eastAsia" w:cs="仿宋"/>
          <w:b/>
          <w:bCs/>
          <w:color w:val="auto"/>
          <w:highlight w:val="none"/>
          <w:lang w:val="en-US" w:eastAsia="zh-CN"/>
        </w:rPr>
        <w:t>每个场站开出开工报告</w:t>
      </w:r>
      <w:r>
        <w:rPr>
          <w:rFonts w:hint="eastAsia" w:ascii="仿宋" w:hAnsi="仿宋" w:eastAsia="仿宋" w:cs="仿宋"/>
          <w:b/>
          <w:bCs/>
          <w:color w:val="auto"/>
          <w:highlight w:val="none"/>
          <w:lang w:eastAsia="zh-CN"/>
        </w:rPr>
        <w:t>后</w:t>
      </w:r>
      <w:r>
        <w:rPr>
          <w:rFonts w:hint="eastAsia" w:cs="仿宋"/>
          <w:b/>
          <w:bCs/>
          <w:color w:val="auto"/>
          <w:highlight w:val="none"/>
          <w:lang w:val="en-US" w:eastAsia="zh-CN"/>
        </w:rPr>
        <w:t>120</w:t>
      </w:r>
      <w:r>
        <w:rPr>
          <w:rFonts w:hint="eastAsia" w:ascii="仿宋" w:hAnsi="仿宋" w:eastAsia="仿宋" w:cs="仿宋"/>
          <w:b/>
          <w:bCs/>
          <w:color w:val="auto"/>
          <w:highlight w:val="none"/>
          <w:lang w:eastAsia="zh-CN"/>
        </w:rPr>
        <w:t>天内完成安装调试工作。</w:t>
      </w:r>
    </w:p>
    <w:p w14:paraId="020B0B3F">
      <w:pPr>
        <w:ind w:firstLine="480" w:firstLineChars="200"/>
        <w:rPr>
          <w:rFonts w:hint="eastAsia" w:cs="仿宋"/>
          <w:color w:val="auto"/>
          <w:highlight w:val="none"/>
          <w:lang w:val="en-US" w:eastAsia="zh-CN"/>
        </w:rPr>
      </w:pPr>
      <w:r>
        <w:rPr>
          <w:rFonts w:hint="eastAsia" w:ascii="仿宋" w:hAnsi="仿宋" w:eastAsia="仿宋" w:cs="仿宋"/>
          <w:color w:val="auto"/>
          <w:highlight w:val="none"/>
        </w:rPr>
        <w:t>1.3.</w:t>
      </w:r>
      <w:r>
        <w:rPr>
          <w:rFonts w:hint="eastAsia" w:cs="仿宋"/>
          <w:color w:val="auto"/>
          <w:highlight w:val="none"/>
          <w:lang w:val="en-US" w:eastAsia="zh-CN"/>
        </w:rPr>
        <w:t>8本次招标项目充电站的快充充电桩投标品牌应具有自主开发的运营平台，能独立完成运营维护服务技术支持且为同一品牌和同一运营平台,慢充为同一品牌,否则按无效投标处理。。</w:t>
      </w:r>
    </w:p>
    <w:p w14:paraId="2F683BEF">
      <w:pPr>
        <w:ind w:firstLine="480" w:firstLineChars="200"/>
        <w:rPr>
          <w:rFonts w:hint="eastAsia" w:cs="仿宋"/>
          <w:b w:val="0"/>
          <w:bCs w:val="0"/>
          <w:color w:val="auto"/>
          <w:highlight w:val="none"/>
          <w:lang w:val="en-US" w:eastAsia="zh-CN"/>
        </w:rPr>
      </w:pPr>
      <w:r>
        <w:rPr>
          <w:rFonts w:hint="eastAsia" w:ascii="仿宋" w:hAnsi="仿宋" w:eastAsia="仿宋" w:cs="仿宋"/>
          <w:color w:val="auto"/>
          <w:highlight w:val="none"/>
        </w:rPr>
        <w:t>1.3.</w:t>
      </w:r>
      <w:r>
        <w:rPr>
          <w:rFonts w:hint="eastAsia" w:cs="仿宋"/>
          <w:color w:val="auto"/>
          <w:highlight w:val="none"/>
          <w:lang w:val="en-US" w:eastAsia="zh-CN"/>
        </w:rPr>
        <w:t>9</w:t>
      </w:r>
      <w:r>
        <w:rPr>
          <w:rFonts w:hint="eastAsia" w:cs="仿宋"/>
          <w:b w:val="0"/>
          <w:bCs w:val="0"/>
          <w:color w:val="auto"/>
          <w:highlight w:val="none"/>
          <w:lang w:val="en-US" w:eastAsia="zh-CN"/>
        </w:rPr>
        <w:t>计量表要求符合浙江省计量强制性标准。</w:t>
      </w:r>
    </w:p>
    <w:p w14:paraId="3ADE4A45">
      <w:pPr>
        <w:ind w:firstLine="480" w:firstLineChars="200"/>
        <w:rPr>
          <w:rFonts w:hint="eastAsia" w:cs="仿宋"/>
          <w:b w:val="0"/>
          <w:bCs w:val="0"/>
          <w:color w:val="auto"/>
          <w:highlight w:val="none"/>
          <w:lang w:val="en-US" w:eastAsia="zh-CN"/>
        </w:rPr>
      </w:pPr>
      <w:r>
        <w:rPr>
          <w:rFonts w:hint="eastAsia" w:ascii="仿宋" w:hAnsi="仿宋" w:eastAsia="仿宋" w:cs="仿宋"/>
          <w:color w:val="auto"/>
          <w:highlight w:val="none"/>
        </w:rPr>
        <w:t>1.3.</w:t>
      </w:r>
      <w:r>
        <w:rPr>
          <w:rFonts w:hint="eastAsia" w:cs="仿宋"/>
          <w:color w:val="auto"/>
          <w:highlight w:val="none"/>
          <w:lang w:val="en-US" w:eastAsia="zh-CN"/>
        </w:rPr>
        <w:t>10</w:t>
      </w:r>
      <w:r>
        <w:rPr>
          <w:rFonts w:hint="eastAsia" w:cs="仿宋"/>
          <w:b w:val="0"/>
          <w:bCs w:val="0"/>
          <w:color w:val="auto"/>
          <w:highlight w:val="none"/>
          <w:lang w:val="en-US" w:eastAsia="zh-CN"/>
        </w:rPr>
        <w:t>所供应的充电设备终端必须根据甲方要求印有的LOGO商标，要求商标图样清晰，位于充电桩显眼位置。</w:t>
      </w:r>
    </w:p>
    <w:p w14:paraId="68AE779D">
      <w:pPr>
        <w:ind w:firstLine="480" w:firstLineChars="200"/>
        <w:rPr>
          <w:rFonts w:hint="eastAsia" w:cs="仿宋"/>
          <w:b w:val="0"/>
          <w:bCs w:val="0"/>
          <w:color w:val="auto"/>
          <w:highlight w:val="none"/>
          <w:lang w:val="en-US" w:eastAsia="zh-CN"/>
        </w:rPr>
      </w:pPr>
      <w:r>
        <w:rPr>
          <w:rFonts w:hint="eastAsia" w:ascii="仿宋" w:hAnsi="仿宋" w:eastAsia="仿宋" w:cs="仿宋"/>
          <w:color w:val="auto"/>
          <w:highlight w:val="none"/>
        </w:rPr>
        <w:t>1.3.</w:t>
      </w:r>
      <w:r>
        <w:rPr>
          <w:rFonts w:hint="eastAsia" w:cs="仿宋"/>
          <w:color w:val="auto"/>
          <w:highlight w:val="none"/>
          <w:lang w:val="en-US" w:eastAsia="zh-CN"/>
        </w:rPr>
        <w:t>11</w:t>
      </w:r>
      <w:r>
        <w:rPr>
          <w:rFonts w:hint="eastAsia" w:cs="仿宋"/>
          <w:b w:val="0"/>
          <w:bCs w:val="0"/>
          <w:color w:val="auto"/>
          <w:highlight w:val="none"/>
          <w:lang w:val="en-US" w:eastAsia="zh-CN"/>
        </w:rPr>
        <w:t>本次项目涉及供电、市政等政策处理均由中标单位负责。</w:t>
      </w:r>
    </w:p>
    <w:p w14:paraId="53146981">
      <w:pPr>
        <w:rPr>
          <w:rFonts w:hint="eastAsia" w:ascii="仿宋" w:hAnsi="仿宋" w:eastAsia="仿宋" w:cs="仿宋"/>
          <w:color w:val="auto"/>
          <w:highlight w:val="none"/>
        </w:rPr>
      </w:pPr>
      <w:r>
        <w:rPr>
          <w:rFonts w:hint="eastAsia" w:ascii="仿宋" w:hAnsi="仿宋" w:eastAsia="仿宋" w:cs="仿宋"/>
          <w:color w:val="auto"/>
          <w:highlight w:val="none"/>
        </w:rPr>
        <w:t>1.3.12★按照财政部、工业和信息化部、交通运输部《关于开展县域充换电设施补短板试点工作的通知》（财建〔2024〕57 号）政策要求，充换电基础设施 运行数据应实时上传至清算平台要求充电桩支持同时接入自有运营平台和通过物联网直接接入清算平台功能，即充电桩应具备双通道数据传输功能，且具备较高的信息安全防护能力。</w:t>
      </w:r>
      <w:r>
        <w:rPr>
          <w:rFonts w:hint="eastAsia" w:ascii="仿宋" w:hAnsi="仿宋" w:eastAsia="仿宋" w:cs="仿宋"/>
          <w:b/>
          <w:bCs/>
          <w:color w:val="auto"/>
          <w:highlight w:val="none"/>
        </w:rPr>
        <w:t>投标时投标人须提供国家充换电设施数据对接测试平台自身已完成过的项目案例的相关材料（包括但不限于已完成项目中标通知书、国家充换电设施数据对接测试平台联调报告中数据格式质量验证通过截图、用户设备对接成功确认函且需盖双方公章。不提供不得分）</w:t>
      </w:r>
    </w:p>
    <w:p w14:paraId="4A944A48">
      <w:pPr>
        <w:rPr>
          <w:sz w:val="28"/>
          <w:szCs w:val="28"/>
        </w:rPr>
      </w:pPr>
      <w:r>
        <w:rPr>
          <w:rFonts w:hint="eastAsia"/>
          <w:sz w:val="28"/>
          <w:szCs w:val="28"/>
        </w:rPr>
        <w:t>五、商务要求</w:t>
      </w:r>
    </w:p>
    <w:p w14:paraId="364F3617">
      <w:r>
        <w:rPr>
          <w:rFonts w:hint="eastAsia"/>
        </w:rPr>
        <w:t>1.项目投标报价要求</w:t>
      </w:r>
    </w:p>
    <w:p w14:paraId="411CE4F9">
      <w:r>
        <w:rPr>
          <w:rFonts w:hint="eastAsia"/>
        </w:rPr>
        <w:t xml:space="preserve">1.1报价应包含为所有采购货物运至甲方指定地点并完成合同约定的相应服务应支付的各项金额之和，该总价包括但不限于所需的深化设计费、材料设备制造或购置费、包装费、装卸费、运输费、安装及调试费（地面开挖、施工预埋、路面硬化、路面修复、安全文明施工费）、验收、现场勘察费用、施工期间（发生的水、电、垃圾）清运费、保修期内的售后保修及服务费（拆改费用、电缆、开关、电源接线、辅材、开补孔）、利润、管理费、税金、政策性文件规定及合同包含的所有风险、责任及质保期内配件及服务等一切不可预见的各项应有的费用，即完成本项目涉及的全部费用。采购文件未列明，而供应商认为必需的费用也需列入报价。由于供应商自身原因引起的缺漏项计入其他费用中，无论其是否列明，中标后均不增加。平台使用费用需包含在报价中，采购人不再另行支付任何费用。在合同服务期间内不得违反国家相关政策规定。 </w:t>
      </w:r>
    </w:p>
    <w:p w14:paraId="04EF915B">
      <w:r>
        <w:rPr>
          <w:rFonts w:hint="eastAsia"/>
        </w:rPr>
        <w:t>1.2投标方须在《开标一览表》上写明投标货物的单价和投标总价。如果大写金额和小写金额不一致的，以大写金额为准；单价金额小数点或者百分比有明显错误的，以开标一览表的总价为准，并修改单价；总价金额与按单价汇总金额不一致的，以单价金额计算结果为准。</w:t>
      </w:r>
    </w:p>
    <w:p w14:paraId="4A3B68E4">
      <w:r>
        <w:rPr>
          <w:rFonts w:hint="eastAsia"/>
        </w:rPr>
        <w:t>1.3中标后，中标人所填写的单价在合同实施期间不因市场变化因素而变动；投标人在计算报价时应考虑一定的风险系数。因设计与工程因素引起实际施工中发生设计变更、修改、调整、完善等情况，修改部分则按其投标书相应部分货物及施工的单价同口径计算。</w:t>
      </w:r>
    </w:p>
    <w:p w14:paraId="29601B3C">
      <w:r>
        <w:rPr>
          <w:rFonts w:hint="eastAsia"/>
        </w:rPr>
        <w:t>1.4投标人应按招标文件规定的报价格式进行投标报价。投标人对每种货物只允许有一个报价，采购人不接受任何有选择性的报价。</w:t>
      </w:r>
    </w:p>
    <w:p w14:paraId="79E16AE9">
      <w:r>
        <w:rPr>
          <w:rFonts w:hint="eastAsia"/>
        </w:rPr>
        <w:t>1.5投标人按照上述要求编制投标报价。一旦确认某一投标人中标，除合同规定的可调整内容外，中标人不得要求追加任何费用。</w:t>
      </w:r>
    </w:p>
    <w:p w14:paraId="31FB0FDF">
      <w:r>
        <w:rPr>
          <w:rFonts w:hint="eastAsia"/>
        </w:rPr>
        <w:t>1.6须由中标单位增值税专用发票。</w:t>
      </w:r>
    </w:p>
    <w:p w14:paraId="5F0B2EEE">
      <w:r>
        <w:rPr>
          <w:rFonts w:hint="eastAsia"/>
        </w:rPr>
        <w:t>1.7供货单位要包质量、包数量、包运输和包安装。所投产品必须是全新的、未使用过的、符合有关质量检测标准的。</w:t>
      </w:r>
    </w:p>
    <w:p w14:paraId="01F04389">
      <w:r>
        <w:rPr>
          <w:rFonts w:hint="eastAsia"/>
        </w:rPr>
        <w:t>1.8投标人报价超过最高限价的投标作无效标处理。</w:t>
      </w:r>
    </w:p>
    <w:p w14:paraId="629C356A">
      <w:r>
        <w:rPr>
          <w:rFonts w:hint="eastAsia"/>
        </w:rPr>
        <w:t>1.9中标人应与所有相关的部门相联系，获得相关认可，以便货物能及时投入使用。</w:t>
      </w:r>
    </w:p>
    <w:p w14:paraId="2858F51C">
      <w:r>
        <w:rPr>
          <w:rFonts w:hint="eastAsia"/>
        </w:rPr>
        <w:t>1.10在安装期间，中标人应遵守有关部门的管理，并遵照相关规定。</w:t>
      </w:r>
    </w:p>
    <w:p w14:paraId="01308963">
      <w:r>
        <w:rPr>
          <w:rFonts w:hint="eastAsia"/>
        </w:rPr>
        <w:t>1.11招标文件中规定由投标单位承担并支付的相关费用在投标报价时应一并考虑。</w:t>
      </w:r>
    </w:p>
    <w:p w14:paraId="5A5D803D">
      <w:r>
        <w:rPr>
          <w:rFonts w:hint="eastAsia"/>
        </w:rPr>
        <w:t>1.12投标人应按招标项目的相关要求，根据项目特点和企业条件确定投标报价。投标报价为投标方所能承受的最低、最终一次性报价。</w:t>
      </w:r>
    </w:p>
    <w:p w14:paraId="7B4589F8">
      <w:r>
        <w:rPr>
          <w:rFonts w:hint="eastAsia"/>
        </w:rPr>
        <w:t>1.13按国家规定由投标人缴纳的各种税收已包含在投标总价内，由投标人向税务机关缴纳。</w:t>
      </w:r>
    </w:p>
    <w:p w14:paraId="07BF26AE">
      <w:r>
        <w:rPr>
          <w:rFonts w:hint="eastAsia"/>
        </w:rPr>
        <w:t>2.售后服务要求</w:t>
      </w:r>
    </w:p>
    <w:p w14:paraId="1C3B2421">
      <w:r>
        <w:rPr>
          <w:rFonts w:hint="eastAsia"/>
        </w:rPr>
        <w:t>2.1本次投标的整体设备（含配件）要求五年（7*24）小时质保，自项目建设完成验收合格之日起计算，质保期内应免费提供产品保修服务和远程支持服务。</w:t>
      </w:r>
    </w:p>
    <w:p w14:paraId="14D4BBB1">
      <w:r>
        <w:rPr>
          <w:rFonts w:hint="eastAsia"/>
        </w:rPr>
        <w:t>3.故障响应时间：设备</w:t>
      </w:r>
      <w:r>
        <w:rPr>
          <w:rFonts w:hint="eastAsia"/>
          <w:lang w:val="en-US" w:eastAsia="zh-CN"/>
        </w:rPr>
        <w:t>软硬件</w:t>
      </w:r>
      <w:r>
        <w:rPr>
          <w:rFonts w:hint="eastAsia"/>
        </w:rPr>
        <w:t>出现故障后必须在</w:t>
      </w:r>
      <w:r>
        <w:t>0.5</w:t>
      </w:r>
      <w:r>
        <w:rPr>
          <w:rFonts w:hint="eastAsia"/>
        </w:rPr>
        <w:t>小时内对采购方所提出的维修要求做出响应，</w:t>
      </w:r>
      <w:r>
        <w:t>1</w:t>
      </w:r>
      <w:r>
        <w:rPr>
          <w:rFonts w:hint="eastAsia"/>
        </w:rPr>
        <w:t>小时内需安排技术人员至现场。</w:t>
      </w:r>
    </w:p>
    <w:p w14:paraId="701F57E3">
      <w:r>
        <w:rPr>
          <w:rFonts w:hint="eastAsia"/>
        </w:rPr>
        <w:t>4.在质保期内，设备出现质量问题，中标方须在2天内无偿更换损坏的零部件，无法修复的需更换全新设备。</w:t>
      </w:r>
    </w:p>
    <w:p w14:paraId="510BE6CD">
      <w:r>
        <w:rPr>
          <w:rFonts w:hint="eastAsia"/>
        </w:rPr>
        <w:t>5.如未在规定时间做出响应，给招标人造成损失的，由中标方承担相关费用，其费用招标方有权在余款（合同总价的10%）中扣除或通过法律途径维权。</w:t>
      </w:r>
    </w:p>
    <w:p w14:paraId="1C10FE1C">
      <w:r>
        <w:rPr>
          <w:rFonts w:hint="eastAsia"/>
        </w:rPr>
        <w:t>6.在质保期内，更换后的故障存储介质未经拷贝并删除后，不得带离采购方现场。</w:t>
      </w:r>
    </w:p>
    <w:p w14:paraId="0F1D0128">
      <w:r>
        <w:rPr>
          <w:rFonts w:hint="eastAsia"/>
        </w:rPr>
        <w:t>7.投标方应终身提供良好的技术支持及零部件持续供应的优惠供应。</w:t>
      </w:r>
    </w:p>
    <w:p w14:paraId="26EFE41B">
      <w:r>
        <w:rPr>
          <w:rFonts w:hint="eastAsia"/>
        </w:rPr>
        <w:t>8.以上售后服务事项需投标方提供书面承诺材料并加盖公章。</w:t>
      </w:r>
    </w:p>
    <w:p w14:paraId="00A45947">
      <w:pPr>
        <w:rPr>
          <w:b/>
          <w:bCs/>
        </w:rPr>
      </w:pPr>
      <w:r>
        <w:rPr>
          <w:rFonts w:hint="eastAsia"/>
          <w:b/>
          <w:bCs/>
        </w:rPr>
        <w:t>3.付款方式</w:t>
      </w:r>
    </w:p>
    <w:p w14:paraId="3F18782F">
      <w:pPr>
        <w:rPr>
          <w:rFonts w:cs="宋体"/>
          <w:kern w:val="0"/>
        </w:rPr>
      </w:pPr>
      <w:r>
        <w:rPr>
          <w:rFonts w:hint="eastAsia"/>
          <w:b/>
          <w:bCs/>
          <w:highlight w:val="none"/>
        </w:rPr>
        <w:t>合同签订后15日内预付合同金额的30%，</w:t>
      </w:r>
      <w:r>
        <w:rPr>
          <w:rFonts w:hint="eastAsia"/>
          <w:b/>
          <w:bCs/>
          <w:highlight w:val="none"/>
          <w:lang w:val="en-US" w:eastAsia="zh-CN"/>
        </w:rPr>
        <w:t>每个场站</w:t>
      </w:r>
      <w:r>
        <w:rPr>
          <w:rFonts w:hint="eastAsia"/>
          <w:b/>
          <w:bCs/>
          <w:highlight w:val="none"/>
        </w:rPr>
        <w:t>充电桩设备现场完成安装调试运营3</w:t>
      </w:r>
      <w:r>
        <w:rPr>
          <w:b/>
          <w:bCs/>
          <w:highlight w:val="none"/>
        </w:rPr>
        <w:t>0</w:t>
      </w:r>
      <w:r>
        <w:rPr>
          <w:rFonts w:hint="eastAsia"/>
          <w:b/>
          <w:bCs/>
          <w:highlight w:val="none"/>
        </w:rPr>
        <w:t>日，经招标人确认在调试运营期间设备无问题</w:t>
      </w:r>
      <w:r>
        <w:rPr>
          <w:rFonts w:hint="eastAsia"/>
          <w:b/>
          <w:bCs/>
          <w:highlight w:val="none"/>
          <w:lang w:eastAsia="zh-CN"/>
        </w:rPr>
        <w:t>，</w:t>
      </w:r>
      <w:r>
        <w:rPr>
          <w:rFonts w:hint="eastAsia"/>
          <w:b/>
          <w:bCs/>
          <w:highlight w:val="none"/>
          <w:lang w:val="en-US" w:eastAsia="zh-CN"/>
        </w:rPr>
        <w:t>场站</w:t>
      </w:r>
      <w:r>
        <w:rPr>
          <w:rFonts w:hint="eastAsia"/>
          <w:b/>
          <w:bCs/>
          <w:highlight w:val="none"/>
        </w:rPr>
        <w:t>验收合格后付到</w:t>
      </w:r>
      <w:r>
        <w:rPr>
          <w:rFonts w:hint="eastAsia"/>
          <w:b/>
          <w:bCs/>
          <w:highlight w:val="none"/>
          <w:lang w:val="en-US" w:eastAsia="zh-CN"/>
        </w:rPr>
        <w:t>单个场站</w:t>
      </w:r>
      <w:r>
        <w:rPr>
          <w:rFonts w:hint="eastAsia"/>
          <w:b/>
          <w:bCs/>
          <w:highlight w:val="none"/>
        </w:rPr>
        <w:t>结算价款</w:t>
      </w:r>
      <w:r>
        <w:rPr>
          <w:rFonts w:hint="eastAsia"/>
          <w:b/>
          <w:bCs/>
          <w:highlight w:val="none"/>
          <w:lang w:val="en-US" w:eastAsia="zh-CN"/>
        </w:rPr>
        <w:t>9</w:t>
      </w:r>
      <w:r>
        <w:rPr>
          <w:rFonts w:hint="eastAsia"/>
          <w:b/>
          <w:bCs/>
          <w:highlight w:val="none"/>
        </w:rPr>
        <w:t>0%，完成</w:t>
      </w:r>
      <w:r>
        <w:rPr>
          <w:rFonts w:hint="eastAsia"/>
          <w:b/>
          <w:bCs/>
          <w:highlight w:val="none"/>
          <w:lang w:val="en-US" w:eastAsia="zh-CN"/>
        </w:rPr>
        <w:t>项目</w:t>
      </w:r>
      <w:r>
        <w:rPr>
          <w:rFonts w:hint="eastAsia"/>
          <w:b/>
          <w:bCs/>
          <w:highlight w:val="none"/>
        </w:rPr>
        <w:t>建设资金申请备案后支付合同款的100%。</w:t>
      </w:r>
      <w:r>
        <w:rPr>
          <w:rFonts w:hint="eastAsia" w:cs="宋体"/>
          <w:kern w:val="0"/>
        </w:rPr>
        <w:t xml:space="preserve"> </w:t>
      </w:r>
    </w:p>
    <w:p w14:paraId="68844E7A">
      <w:r>
        <w:rPr>
          <w:rFonts w:hint="eastAsia"/>
        </w:rPr>
        <w:t>4.现场指导及培训</w:t>
      </w:r>
    </w:p>
    <w:p w14:paraId="31D8EE25">
      <w:r>
        <w:rPr>
          <w:rFonts w:hint="eastAsia"/>
        </w:rPr>
        <w:t>4.1根据采购人需求，提供完整系统的培训（理论、实践）使招标人今后能自行操作、维护。</w:t>
      </w:r>
    </w:p>
    <w:p w14:paraId="0F27CDC6">
      <w:r>
        <w:rPr>
          <w:rFonts w:hint="eastAsia"/>
        </w:rPr>
        <w:t>4.2中标方纯电动车辆使用前期，为保障充电设备正常使用，应安排专门技术人员上门指导，直至招标方充电人员能自行安全使用。</w:t>
      </w:r>
    </w:p>
    <w:p w14:paraId="1BE3F8F8">
      <w:r>
        <w:rPr>
          <w:rFonts w:hint="eastAsia"/>
        </w:rPr>
        <w:t>4.3中标方应编写培训手册，本手册内容包括：充电系统操作，后台软件操作、设备日常使用相关注意事项、维修维护相关知识等内容，每台充电桩不少于1册。</w:t>
      </w:r>
    </w:p>
    <w:p w14:paraId="40F06321">
      <w:r>
        <w:rPr>
          <w:rFonts w:hint="eastAsia"/>
        </w:rPr>
        <w:t>4.4提供全面的技术支持和维护咨询。</w:t>
      </w:r>
    </w:p>
    <w:p w14:paraId="075F27FB">
      <w:pPr>
        <w:rPr>
          <w:rFonts w:hint="eastAsia" w:eastAsia="仿宋"/>
          <w:lang w:eastAsia="zh-CN"/>
        </w:rPr>
      </w:pPr>
      <w:r>
        <w:rPr>
          <w:rFonts w:hint="eastAsia"/>
        </w:rPr>
        <w:t>4.5中标方其它服务培训措施</w:t>
      </w:r>
      <w:r>
        <w:rPr>
          <w:rFonts w:hint="eastAsia"/>
          <w:lang w:eastAsia="zh-CN"/>
        </w:rPr>
        <w:t>。</w:t>
      </w:r>
    </w:p>
    <w:p w14:paraId="0039F6CE">
      <w:pPr>
        <w:pStyle w:val="5"/>
        <w:spacing w:line="440" w:lineRule="exact"/>
        <w:rPr>
          <w:rFonts w:hint="eastAsia"/>
        </w:rPr>
      </w:pPr>
    </w:p>
    <w:p w14:paraId="69CE035D">
      <w:pPr>
        <w:pStyle w:val="5"/>
        <w:spacing w:line="440" w:lineRule="exact"/>
        <w:rPr>
          <w:rFonts w:hint="eastAsia"/>
        </w:rPr>
      </w:pPr>
    </w:p>
    <w:p w14:paraId="766CA2B2">
      <w:pPr>
        <w:pStyle w:val="5"/>
        <w:spacing w:line="440" w:lineRule="exact"/>
        <w:rPr>
          <w:rFonts w:hint="eastAsia"/>
        </w:rPr>
      </w:pPr>
    </w:p>
    <w:p w14:paraId="3DC9C61E">
      <w:pPr>
        <w:pStyle w:val="5"/>
        <w:spacing w:line="440" w:lineRule="exact"/>
        <w:rPr>
          <w:rFonts w:hint="eastAsia"/>
        </w:rPr>
      </w:pPr>
    </w:p>
    <w:p w14:paraId="3A1C8696">
      <w:pPr>
        <w:pStyle w:val="5"/>
        <w:spacing w:line="440" w:lineRule="exact"/>
        <w:rPr>
          <w:rFonts w:hint="eastAsia"/>
        </w:rPr>
      </w:pPr>
    </w:p>
    <w:p w14:paraId="486E658D">
      <w:pPr>
        <w:pStyle w:val="5"/>
        <w:spacing w:line="440" w:lineRule="exact"/>
        <w:rPr>
          <w:rFonts w:hint="eastAsia"/>
        </w:rPr>
      </w:pPr>
    </w:p>
    <w:p w14:paraId="27A66344">
      <w:pPr>
        <w:rPr>
          <w:rFonts w:hint="eastAsia" w:ascii="仿宋" w:hAnsi="仿宋" w:eastAsia="仿宋" w:cs="仿宋"/>
          <w:color w:val="auto"/>
          <w:highlight w:val="none"/>
        </w:rPr>
      </w:pPr>
    </w:p>
    <w:p w14:paraId="0FED92A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A67BEAD">
      <w:pPr>
        <w:pStyle w:val="5"/>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第五章  杭州市桐庐县采购合同主要条款</w:t>
      </w:r>
      <w:bookmarkEnd w:id="8"/>
    </w:p>
    <w:p w14:paraId="3E2D6758">
      <w:pPr>
        <w:widowControl/>
        <w:wordWrap w:val="0"/>
        <w:topLinePunct/>
        <w:adjustRightInd w:val="0"/>
        <w:spacing w:line="440" w:lineRule="exact"/>
        <w:jc w:val="center"/>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（本合同为合同样稿，最终稿由三方协商后确定）</w:t>
      </w:r>
    </w:p>
    <w:p w14:paraId="4E50BFDA">
      <w:pPr>
        <w:wordWrap w:val="0"/>
        <w:topLinePunct/>
        <w:adjustRightInd w:val="0"/>
        <w:spacing w:line="440" w:lineRule="exact"/>
        <w:ind w:firstLine="480" w:firstLineChars="200"/>
        <w:rPr>
          <w:rFonts w:hint="eastAsia" w:ascii="仿宋" w:hAnsi="仿宋" w:eastAsia="仿宋" w:cs="仿宋"/>
          <w:bCs/>
          <w:color w:val="auto"/>
          <w:kern w:val="0"/>
          <w:highlight w:val="none"/>
        </w:rPr>
      </w:pPr>
      <w:bookmarkStart w:id="12" w:name="_Toc1399953345"/>
    </w:p>
    <w:p w14:paraId="5A7F2F46">
      <w:pPr>
        <w:wordWrap w:val="0"/>
        <w:topLinePunct/>
        <w:adjustRightIn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甲  方（采购人）：</w:t>
      </w:r>
    </w:p>
    <w:p w14:paraId="70E52A74">
      <w:pPr>
        <w:wordWrap w:val="0"/>
        <w:topLinePunct/>
        <w:adjustRightIn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乙  方（中标人）：</w:t>
      </w:r>
    </w:p>
    <w:p w14:paraId="23C8A2B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经过公开招标采购（编号：      ），确定***********为中标人，</w:t>
      </w:r>
      <w:r>
        <w:rPr>
          <w:rFonts w:hint="eastAsia" w:ascii="仿宋" w:hAnsi="仿宋" w:eastAsia="仿宋" w:cs="仿宋"/>
          <w:color w:val="auto"/>
          <w:highlight w:val="none"/>
          <w:lang w:val="zh-CN"/>
        </w:rPr>
        <w:t>根据相关法律法规之规定，按照平等、自愿、公平、诚实信用和绿色的原则，经</w:t>
      </w:r>
      <w:r>
        <w:rPr>
          <w:rFonts w:hint="eastAsia" w:ascii="仿宋" w:hAnsi="仿宋" w:eastAsia="仿宋" w:cs="仿宋"/>
          <w:color w:val="auto"/>
          <w:highlight w:val="none"/>
        </w:rPr>
        <w:t>甲乙双方</w:t>
      </w:r>
      <w:r>
        <w:rPr>
          <w:rFonts w:hint="eastAsia" w:ascii="仿宋" w:hAnsi="仿宋" w:eastAsia="仿宋" w:cs="仿宋"/>
          <w:color w:val="auto"/>
          <w:highlight w:val="none"/>
          <w:lang w:val="zh-CN"/>
        </w:rPr>
        <w:t>协商一致，约定以下合同</w:t>
      </w:r>
      <w:r>
        <w:rPr>
          <w:rFonts w:hint="eastAsia" w:ascii="仿宋" w:hAnsi="仿宋" w:eastAsia="仿宋" w:cs="仿宋"/>
          <w:color w:val="auto"/>
          <w:highlight w:val="none"/>
        </w:rPr>
        <w:t>条款，以兹共同遵守、全面履行。</w:t>
      </w:r>
    </w:p>
    <w:p w14:paraId="56B543DA">
      <w:pPr>
        <w:shd w:val="clear" w:color="auto" w:fill="FFFFFF"/>
        <w:wordWrap w:val="0"/>
        <w:topLinePunct/>
        <w:adjustRightInd w:val="0"/>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第一条：采购清单及合同价格</w:t>
      </w:r>
    </w:p>
    <w:p w14:paraId="08B4585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本合同总价为：人民币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元人民币）</w:t>
      </w:r>
    </w:p>
    <w:p w14:paraId="11F03C4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659C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F5CA499">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149" w:type="dxa"/>
          </w:tcPr>
          <w:p w14:paraId="62F3ED06">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标的名称</w:t>
            </w:r>
          </w:p>
        </w:tc>
        <w:tc>
          <w:tcPr>
            <w:tcW w:w="2898" w:type="dxa"/>
          </w:tcPr>
          <w:p w14:paraId="78E362C5">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规格型号（或服务需求）</w:t>
            </w:r>
          </w:p>
        </w:tc>
        <w:tc>
          <w:tcPr>
            <w:tcW w:w="1449" w:type="dxa"/>
          </w:tcPr>
          <w:p w14:paraId="7C16A0C2">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449" w:type="dxa"/>
          </w:tcPr>
          <w:p w14:paraId="7ED70183">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单价</w:t>
            </w:r>
          </w:p>
        </w:tc>
      </w:tr>
      <w:tr w14:paraId="4C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74DE54C9">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49" w:type="dxa"/>
          </w:tcPr>
          <w:p w14:paraId="559936E5">
            <w:pPr>
              <w:spacing w:line="440" w:lineRule="exact"/>
              <w:rPr>
                <w:rFonts w:hint="eastAsia" w:ascii="仿宋" w:hAnsi="仿宋" w:eastAsia="仿宋" w:cs="仿宋"/>
                <w:color w:val="auto"/>
                <w:highlight w:val="none"/>
              </w:rPr>
            </w:pPr>
          </w:p>
        </w:tc>
        <w:tc>
          <w:tcPr>
            <w:tcW w:w="2898" w:type="dxa"/>
          </w:tcPr>
          <w:p w14:paraId="13A93B0B">
            <w:pPr>
              <w:spacing w:line="440" w:lineRule="exact"/>
              <w:rPr>
                <w:rFonts w:hint="eastAsia" w:ascii="仿宋" w:hAnsi="仿宋" w:eastAsia="仿宋" w:cs="仿宋"/>
                <w:color w:val="auto"/>
                <w:highlight w:val="none"/>
              </w:rPr>
            </w:pPr>
          </w:p>
        </w:tc>
        <w:tc>
          <w:tcPr>
            <w:tcW w:w="1449" w:type="dxa"/>
          </w:tcPr>
          <w:p w14:paraId="38B4F023">
            <w:pPr>
              <w:spacing w:line="440" w:lineRule="exact"/>
              <w:rPr>
                <w:rFonts w:hint="eastAsia" w:ascii="仿宋" w:hAnsi="仿宋" w:eastAsia="仿宋" w:cs="仿宋"/>
                <w:color w:val="auto"/>
                <w:highlight w:val="none"/>
              </w:rPr>
            </w:pPr>
          </w:p>
        </w:tc>
        <w:tc>
          <w:tcPr>
            <w:tcW w:w="1449" w:type="dxa"/>
          </w:tcPr>
          <w:p w14:paraId="422AB9B5">
            <w:pPr>
              <w:spacing w:line="440" w:lineRule="exact"/>
              <w:rPr>
                <w:rFonts w:hint="eastAsia" w:ascii="仿宋" w:hAnsi="仿宋" w:eastAsia="仿宋" w:cs="仿宋"/>
                <w:color w:val="auto"/>
                <w:highlight w:val="none"/>
              </w:rPr>
            </w:pPr>
          </w:p>
        </w:tc>
      </w:tr>
      <w:tr w14:paraId="3643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A3098BD">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49" w:type="dxa"/>
          </w:tcPr>
          <w:p w14:paraId="6852F3D5">
            <w:pPr>
              <w:spacing w:line="440" w:lineRule="exact"/>
              <w:rPr>
                <w:rFonts w:hint="eastAsia" w:ascii="仿宋" w:hAnsi="仿宋" w:eastAsia="仿宋" w:cs="仿宋"/>
                <w:color w:val="auto"/>
                <w:highlight w:val="none"/>
              </w:rPr>
            </w:pPr>
          </w:p>
        </w:tc>
        <w:tc>
          <w:tcPr>
            <w:tcW w:w="2898" w:type="dxa"/>
          </w:tcPr>
          <w:p w14:paraId="0578CCDA">
            <w:pPr>
              <w:spacing w:line="440" w:lineRule="exact"/>
              <w:rPr>
                <w:rFonts w:hint="eastAsia" w:ascii="仿宋" w:hAnsi="仿宋" w:eastAsia="仿宋" w:cs="仿宋"/>
                <w:color w:val="auto"/>
                <w:highlight w:val="none"/>
              </w:rPr>
            </w:pPr>
          </w:p>
        </w:tc>
        <w:tc>
          <w:tcPr>
            <w:tcW w:w="1449" w:type="dxa"/>
          </w:tcPr>
          <w:p w14:paraId="6F43FCD3">
            <w:pPr>
              <w:spacing w:line="440" w:lineRule="exact"/>
              <w:rPr>
                <w:rFonts w:hint="eastAsia" w:ascii="仿宋" w:hAnsi="仿宋" w:eastAsia="仿宋" w:cs="仿宋"/>
                <w:color w:val="auto"/>
                <w:highlight w:val="none"/>
              </w:rPr>
            </w:pPr>
          </w:p>
        </w:tc>
        <w:tc>
          <w:tcPr>
            <w:tcW w:w="1449" w:type="dxa"/>
          </w:tcPr>
          <w:p w14:paraId="0F1B2126">
            <w:pPr>
              <w:spacing w:line="440" w:lineRule="exact"/>
              <w:rPr>
                <w:rFonts w:hint="eastAsia" w:ascii="仿宋" w:hAnsi="仿宋" w:eastAsia="仿宋" w:cs="仿宋"/>
                <w:color w:val="auto"/>
                <w:highlight w:val="none"/>
              </w:rPr>
            </w:pPr>
          </w:p>
        </w:tc>
      </w:tr>
      <w:tr w14:paraId="5725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2771FBF">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149" w:type="dxa"/>
          </w:tcPr>
          <w:p w14:paraId="651D4F77">
            <w:pPr>
              <w:spacing w:line="440" w:lineRule="exact"/>
              <w:rPr>
                <w:rFonts w:hint="eastAsia" w:ascii="仿宋" w:hAnsi="仿宋" w:eastAsia="仿宋" w:cs="仿宋"/>
                <w:color w:val="auto"/>
                <w:highlight w:val="none"/>
              </w:rPr>
            </w:pPr>
          </w:p>
        </w:tc>
        <w:tc>
          <w:tcPr>
            <w:tcW w:w="2898" w:type="dxa"/>
          </w:tcPr>
          <w:p w14:paraId="6A0709BD">
            <w:pPr>
              <w:spacing w:line="440" w:lineRule="exact"/>
              <w:rPr>
                <w:rFonts w:hint="eastAsia" w:ascii="仿宋" w:hAnsi="仿宋" w:eastAsia="仿宋" w:cs="仿宋"/>
                <w:color w:val="auto"/>
                <w:highlight w:val="none"/>
              </w:rPr>
            </w:pPr>
          </w:p>
        </w:tc>
        <w:tc>
          <w:tcPr>
            <w:tcW w:w="1449" w:type="dxa"/>
          </w:tcPr>
          <w:p w14:paraId="00B1B2FC">
            <w:pPr>
              <w:spacing w:line="440" w:lineRule="exact"/>
              <w:rPr>
                <w:rFonts w:hint="eastAsia" w:ascii="仿宋" w:hAnsi="仿宋" w:eastAsia="仿宋" w:cs="仿宋"/>
                <w:color w:val="auto"/>
                <w:highlight w:val="none"/>
              </w:rPr>
            </w:pPr>
          </w:p>
        </w:tc>
        <w:tc>
          <w:tcPr>
            <w:tcW w:w="1449" w:type="dxa"/>
          </w:tcPr>
          <w:p w14:paraId="1D266DD1">
            <w:pPr>
              <w:spacing w:line="440" w:lineRule="exact"/>
              <w:rPr>
                <w:rFonts w:hint="eastAsia" w:ascii="仿宋" w:hAnsi="仿宋" w:eastAsia="仿宋" w:cs="仿宋"/>
                <w:color w:val="auto"/>
                <w:highlight w:val="none"/>
              </w:rPr>
            </w:pPr>
          </w:p>
        </w:tc>
      </w:tr>
      <w:tr w14:paraId="46B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06040532">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合同总价（人民币大写）：              元整</w:t>
            </w:r>
          </w:p>
        </w:tc>
      </w:tr>
    </w:tbl>
    <w:p w14:paraId="33E309B7">
      <w:pPr>
        <w:wordWrap w:val="0"/>
        <w:topLinePunct/>
        <w:adjustRightIn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color w:val="auto"/>
          <w:kern w:val="0"/>
          <w:highlight w:val="none"/>
        </w:rPr>
        <w:t>注：</w:t>
      </w:r>
      <w:r>
        <w:rPr>
          <w:rFonts w:hint="eastAsia" w:ascii="仿宋" w:hAnsi="仿宋" w:eastAsia="仿宋" w:cs="仿宋"/>
          <w:bCs/>
          <w:color w:val="auto"/>
          <w:kern w:val="0"/>
          <w:highlight w:val="none"/>
        </w:rPr>
        <w:t>以上合同总价包含产品到达用户并能正常使用所需的一切费用。乙方需提供本项目采购明细清单（若项目要求）。</w:t>
      </w:r>
    </w:p>
    <w:p w14:paraId="0F11F3CD">
      <w:pPr>
        <w:wordWrap w:val="0"/>
        <w:topLinePunct/>
        <w:adjustRightIn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合同形式：固定单价合同。</w:t>
      </w:r>
    </w:p>
    <w:p w14:paraId="3DF5D66C">
      <w:pPr>
        <w:wordWrap w:val="0"/>
        <w:topLinePunct/>
        <w:adjustRightInd w:val="0"/>
        <w:spacing w:line="440" w:lineRule="exact"/>
        <w:ind w:firstLine="480" w:firstLineChars="200"/>
        <w:rPr>
          <w:rFonts w:hint="eastAsia" w:ascii="仿宋" w:hAnsi="仿宋" w:eastAsia="仿宋" w:cs="仿宋"/>
          <w:bCs/>
          <w:color w:val="auto"/>
          <w:kern w:val="0"/>
          <w:highlight w:val="none"/>
          <w:lang w:val="en-US" w:eastAsia="zh-CN"/>
        </w:rPr>
      </w:pPr>
      <w:r>
        <w:rPr>
          <w:rFonts w:hint="eastAsia" w:ascii="仿宋" w:hAnsi="仿宋" w:eastAsia="仿宋" w:cs="仿宋"/>
          <w:bCs/>
          <w:color w:val="auto"/>
          <w:kern w:val="0"/>
          <w:highlight w:val="none"/>
          <w:lang w:val="en-US" w:eastAsia="zh-CN"/>
        </w:rPr>
        <w:t>合同期限：</w:t>
      </w:r>
      <w:r>
        <w:rPr>
          <w:rFonts w:hint="eastAsia" w:ascii="仿宋" w:hAnsi="仿宋" w:eastAsia="仿宋" w:cs="仿宋"/>
          <w:bCs/>
          <w:color w:val="auto"/>
          <w:kern w:val="0"/>
          <w:highlight w:val="none"/>
        </w:rPr>
        <w:t>。</w:t>
      </w:r>
    </w:p>
    <w:p w14:paraId="42E6610B">
      <w:pPr>
        <w:wordWrap w:val="0"/>
        <w:topLinePunct/>
        <w:adjustRightInd w:val="0"/>
        <w:spacing w:line="44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第二条：质量保证</w:t>
      </w:r>
    </w:p>
    <w:p w14:paraId="34AC27AF">
      <w:pPr>
        <w:numPr>
          <w:ilvl w:val="0"/>
          <w:numId w:val="6"/>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本项目标的物的质保期为：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6C413234">
      <w:pPr>
        <w:numPr>
          <w:ilvl w:val="0"/>
          <w:numId w:val="6"/>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乙方应建立和完善履行合同的内部质量保证体系，并提供相关内部规章制度给甲方，以便甲方进行监督检查；</w:t>
      </w:r>
    </w:p>
    <w:p w14:paraId="417BB510">
      <w:pPr>
        <w:numPr>
          <w:ilvl w:val="0"/>
          <w:numId w:val="6"/>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乙方应保证履行合同的人员数量和素质、软件和硬件设备的配置、场地、环境和设施等满足全面履行合同的要求，并应接受甲方的监督检查。</w:t>
      </w:r>
    </w:p>
    <w:p w14:paraId="292ABA01">
      <w:pPr>
        <w:numPr>
          <w:ilvl w:val="0"/>
          <w:numId w:val="6"/>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乙方应确保项目技术人员的数量和水平与投标文件一致。未经甲方书面同意，乙方不得擅自更换投标文件中注明的项目经理和技术负责人。否则甲方有权放弃或终止合同，并没收履约保证金。</w:t>
      </w:r>
    </w:p>
    <w:p w14:paraId="2ADC0A7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因乙方原因造成甲方其他系统不能正常运行，酿成重大事故（工作日系统中断一天以上）的，乙方应承担全部法律责任，并赔偿经济损失，赔偿金额为项目总价的30%。    </w:t>
      </w:r>
    </w:p>
    <w:p w14:paraId="61B671D5">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kern w:val="0"/>
          <w:highlight w:val="none"/>
        </w:rPr>
        <w:t>第三条：</w:t>
      </w:r>
      <w:r>
        <w:rPr>
          <w:rFonts w:hint="eastAsia" w:ascii="仿宋" w:hAnsi="仿宋" w:eastAsia="仿宋" w:cs="仿宋"/>
          <w:b/>
          <w:bCs/>
          <w:color w:val="auto"/>
          <w:highlight w:val="none"/>
        </w:rPr>
        <w:t>标的物交付期限、地点、方式</w:t>
      </w:r>
    </w:p>
    <w:p w14:paraId="477C827F">
      <w:pPr>
        <w:spacing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交付期限：</w:t>
      </w:r>
      <w:r>
        <w:rPr>
          <w:rFonts w:hint="eastAsia" w:ascii="仿宋" w:hAnsi="仿宋" w:eastAsia="仿宋" w:cs="仿宋"/>
          <w:color w:val="auto"/>
          <w:highlight w:val="none"/>
          <w:u w:val="single"/>
        </w:rPr>
        <w:t xml:space="preserve">                                 </w:t>
      </w:r>
    </w:p>
    <w:p w14:paraId="4A055BBC">
      <w:pPr>
        <w:spacing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交付地点：</w:t>
      </w:r>
      <w:r>
        <w:rPr>
          <w:rFonts w:hint="eastAsia" w:ascii="仿宋" w:hAnsi="仿宋" w:eastAsia="仿宋" w:cs="仿宋"/>
          <w:color w:val="auto"/>
          <w:highlight w:val="none"/>
          <w:u w:val="single"/>
        </w:rPr>
        <w:t xml:space="preserve">                                 </w:t>
      </w:r>
    </w:p>
    <w:p w14:paraId="19D62D1A">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交付方式：</w:t>
      </w:r>
      <w:r>
        <w:rPr>
          <w:rFonts w:hint="eastAsia" w:ascii="仿宋" w:hAnsi="仿宋" w:eastAsia="仿宋" w:cs="仿宋"/>
          <w:color w:val="auto"/>
          <w:highlight w:val="none"/>
          <w:u w:val="single"/>
        </w:rPr>
        <w:t xml:space="preserve">                                 </w:t>
      </w:r>
    </w:p>
    <w:p w14:paraId="2E167560">
      <w:pPr>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交付说明：</w:t>
      </w:r>
      <w:r>
        <w:rPr>
          <w:rFonts w:hint="eastAsia" w:ascii="仿宋" w:hAnsi="仿宋" w:eastAsia="仿宋" w:cs="仿宋"/>
          <w:color w:val="auto"/>
          <w:highlight w:val="none"/>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79A5B6FF">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第四条：技术规范</w:t>
      </w:r>
    </w:p>
    <w:p w14:paraId="01EFEFF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7F1F0E26">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第五条：知识产权</w:t>
      </w:r>
    </w:p>
    <w:p w14:paraId="2D2268BF">
      <w:pPr>
        <w:numPr>
          <w:ilvl w:val="0"/>
          <w:numId w:val="7"/>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CD2283A">
      <w:pPr>
        <w:numPr>
          <w:ilvl w:val="0"/>
          <w:numId w:val="7"/>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具有知识产权的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等标的物的知识产权归属，详见以下专用条款：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E97C94B">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第六条：技术资料和保密义务</w:t>
      </w:r>
    </w:p>
    <w:p w14:paraId="37A1A6FA">
      <w:pPr>
        <w:numPr>
          <w:ilvl w:val="0"/>
          <w:numId w:val="8"/>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乙方有权依据合同约定和项目需要，向甲方了解有关情况，调阅有关资料等，甲方应予积极配合；</w:t>
      </w:r>
    </w:p>
    <w:p w14:paraId="2A6BAB35">
      <w:pPr>
        <w:numPr>
          <w:ilvl w:val="0"/>
          <w:numId w:val="8"/>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乙方有义务妥善保管和保护由甲方提供的前款信息和资料等；</w:t>
      </w:r>
    </w:p>
    <w:p w14:paraId="2F6D3921">
      <w:pPr>
        <w:numPr>
          <w:ilvl w:val="0"/>
          <w:numId w:val="8"/>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4DF003B">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第七条：包装和运输（货物类）</w:t>
      </w:r>
    </w:p>
    <w:p w14:paraId="26F1FC58">
      <w:pPr>
        <w:spacing w:line="440" w:lineRule="exact"/>
        <w:ind w:firstLine="480" w:firstLineChars="200"/>
        <w:rPr>
          <w:rFonts w:hint="eastAsia" w:ascii="仿宋" w:hAnsi="仿宋" w:eastAsia="仿宋" w:cs="仿宋"/>
          <w:b/>
          <w:bCs/>
          <w:color w:val="auto"/>
          <w:kern w:val="0"/>
          <w:highlight w:val="none"/>
        </w:rPr>
      </w:pPr>
      <w:r>
        <w:rPr>
          <w:rFonts w:hint="eastAsia" w:ascii="仿宋" w:hAnsi="仿宋" w:eastAsia="仿宋" w:cs="仿宋"/>
          <w:color w:val="auto"/>
          <w:highlight w:val="none"/>
        </w:rPr>
        <w:t>除合同另有约定外，乙方交付的全部标的物，均应采用本行业通用的方式进行包装，没有通用方式的，应当采取足以保护标的物的包装方式，且该包装应符合国家有关包装的法律、法规的规定。 如有必要，包装应适用于远距离运输、防潮、防震、防锈和防粗暴装卸，确保标的物安全无损地运抵现场。由于包装不善所引起的标的物锈蚀、损坏和损失等一切风险均由乙方承担。</w:t>
      </w:r>
    </w:p>
    <w:p w14:paraId="7867150E">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kern w:val="0"/>
          <w:highlight w:val="none"/>
        </w:rPr>
        <w:t>第八条：</w:t>
      </w:r>
      <w:r>
        <w:rPr>
          <w:rFonts w:hint="eastAsia" w:ascii="仿宋" w:hAnsi="仿宋" w:eastAsia="仿宋" w:cs="仿宋"/>
          <w:b/>
          <w:bCs/>
          <w:color w:val="auto"/>
          <w:highlight w:val="none"/>
        </w:rPr>
        <w:t>检验和验收</w:t>
      </w:r>
    </w:p>
    <w:p w14:paraId="7B8EC68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0AEE13B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2.合同履行期间，甲方有权将履行过程中出现的问题反馈给乙方，双方当事人应以书面形式约定需要完善和改进的内容。</w:t>
      </w:r>
    </w:p>
    <w:p w14:paraId="28F3C870">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12BB6D9D">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6186DB1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5.检验和验收的时间、方案及标准、程序、费用等具体内容以及前述验收报告的效力如下：                               </w:t>
      </w:r>
    </w:p>
    <w:p w14:paraId="76A3A0F5">
      <w:pPr>
        <w:spacing w:line="440" w:lineRule="exact"/>
        <w:ind w:left="480" w:leftChars="2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（特别说明：请参考采购文件要求。）</w:t>
      </w:r>
    </w:p>
    <w:p w14:paraId="5DCD39ED">
      <w:pPr>
        <w:wordWrap w:val="0"/>
        <w:topLinePunct/>
        <w:adjustRightInd w:val="0"/>
        <w:spacing w:line="44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第九条：合同款的支付</w:t>
      </w:r>
    </w:p>
    <w:p w14:paraId="2797E0CF">
      <w:pPr>
        <w:spacing w:line="440" w:lineRule="exact"/>
        <w:ind w:firstLine="482" w:firstLineChars="200"/>
        <w:rPr>
          <w:rFonts w:hint="eastAsia" w:ascii="仿宋" w:hAnsi="仿宋" w:eastAsia="仿宋" w:cs="仿宋"/>
          <w:color w:val="auto"/>
          <w:highlight w:val="none"/>
        </w:rPr>
      </w:pPr>
      <w:r>
        <w:rPr>
          <w:rFonts w:hint="eastAsia"/>
          <w:b/>
          <w:bCs/>
          <w:highlight w:val="none"/>
        </w:rPr>
        <w:t>合同签订后15日内预付合同金额的30%，</w:t>
      </w:r>
      <w:r>
        <w:rPr>
          <w:rFonts w:hint="eastAsia"/>
          <w:b/>
          <w:bCs/>
          <w:highlight w:val="none"/>
          <w:lang w:val="en-US" w:eastAsia="zh-CN"/>
        </w:rPr>
        <w:t>每个场站</w:t>
      </w:r>
      <w:r>
        <w:rPr>
          <w:rFonts w:hint="eastAsia"/>
          <w:b/>
          <w:bCs/>
          <w:highlight w:val="none"/>
        </w:rPr>
        <w:t>充电桩设备现场完成安装调试运营3</w:t>
      </w:r>
      <w:r>
        <w:rPr>
          <w:b/>
          <w:bCs/>
          <w:highlight w:val="none"/>
        </w:rPr>
        <w:t>0</w:t>
      </w:r>
      <w:r>
        <w:rPr>
          <w:rFonts w:hint="eastAsia"/>
          <w:b/>
          <w:bCs/>
          <w:highlight w:val="none"/>
        </w:rPr>
        <w:t>日，经招标人确认在调试运营期间设备无问题</w:t>
      </w:r>
      <w:r>
        <w:rPr>
          <w:rFonts w:hint="eastAsia"/>
          <w:b/>
          <w:bCs/>
          <w:highlight w:val="none"/>
          <w:lang w:eastAsia="zh-CN"/>
        </w:rPr>
        <w:t>，</w:t>
      </w:r>
      <w:r>
        <w:rPr>
          <w:rFonts w:hint="eastAsia"/>
          <w:b/>
          <w:bCs/>
          <w:highlight w:val="none"/>
          <w:lang w:val="en-US" w:eastAsia="zh-CN"/>
        </w:rPr>
        <w:t>场站</w:t>
      </w:r>
      <w:r>
        <w:rPr>
          <w:rFonts w:hint="eastAsia"/>
          <w:b/>
          <w:bCs/>
          <w:highlight w:val="none"/>
        </w:rPr>
        <w:t>验收合格后付到</w:t>
      </w:r>
      <w:r>
        <w:rPr>
          <w:rFonts w:hint="eastAsia"/>
          <w:b/>
          <w:bCs/>
          <w:highlight w:val="none"/>
          <w:lang w:val="en-US" w:eastAsia="zh-CN"/>
        </w:rPr>
        <w:t>单个场站</w:t>
      </w:r>
      <w:r>
        <w:rPr>
          <w:rFonts w:hint="eastAsia"/>
          <w:b/>
          <w:bCs/>
          <w:highlight w:val="none"/>
        </w:rPr>
        <w:t>结算价款</w:t>
      </w:r>
      <w:r>
        <w:rPr>
          <w:rFonts w:hint="eastAsia"/>
          <w:b/>
          <w:bCs/>
          <w:highlight w:val="none"/>
          <w:lang w:val="en-US" w:eastAsia="zh-CN"/>
        </w:rPr>
        <w:t>9</w:t>
      </w:r>
      <w:r>
        <w:rPr>
          <w:rFonts w:hint="eastAsia"/>
          <w:b/>
          <w:bCs/>
          <w:highlight w:val="none"/>
        </w:rPr>
        <w:t>0%，完成</w:t>
      </w:r>
      <w:r>
        <w:rPr>
          <w:rFonts w:hint="eastAsia"/>
          <w:b/>
          <w:bCs/>
          <w:highlight w:val="none"/>
          <w:lang w:val="en-US" w:eastAsia="zh-CN"/>
        </w:rPr>
        <w:t>项目</w:t>
      </w:r>
      <w:r>
        <w:rPr>
          <w:rFonts w:hint="eastAsia"/>
          <w:b/>
          <w:bCs/>
          <w:highlight w:val="none"/>
        </w:rPr>
        <w:t>建设资金申请备案后支付合同款的100%。</w:t>
      </w:r>
      <w:r>
        <w:rPr>
          <w:rFonts w:hint="eastAsia" w:ascii="仿宋" w:hAnsi="仿宋" w:eastAsia="仿宋" w:cs="仿宋"/>
          <w:color w:val="auto"/>
          <w:highlight w:val="none"/>
        </w:rPr>
        <w:t xml:space="preserve"> </w:t>
      </w:r>
    </w:p>
    <w:p w14:paraId="605B46AD">
      <w:pPr>
        <w:wordWrap w:val="0"/>
        <w:topLinePunct/>
        <w:adjustRightInd w:val="0"/>
        <w:spacing w:line="44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第十条：履约保证金</w:t>
      </w:r>
    </w:p>
    <w:p w14:paraId="6A67B5D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（1）签订合同时中标人应向采购人缴纳合同金额的</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%作为履约保证金，中标人在合同签订后5日内交付至指定账户。履约期结束，采购人无息退还履约保证金。</w:t>
      </w:r>
    </w:p>
    <w:p w14:paraId="0743573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（2）缴纳方式：可采用转账或履约保函形式。</w:t>
      </w:r>
    </w:p>
    <w:p w14:paraId="444F550C">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第十一条：售后服务</w:t>
      </w:r>
    </w:p>
    <w:p w14:paraId="5D1BF718">
      <w:pPr>
        <w:pStyle w:val="480"/>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乙方应根据投标文件提供相关售后服务承诺：</w:t>
      </w:r>
    </w:p>
    <w:p w14:paraId="2F8D592D">
      <w:pPr>
        <w:pStyle w:val="480"/>
        <w:numPr>
          <w:ilvl w:val="0"/>
          <w:numId w:val="9"/>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w:t>
      </w:r>
    </w:p>
    <w:p w14:paraId="3B3EC064">
      <w:pPr>
        <w:pStyle w:val="480"/>
        <w:numPr>
          <w:ilvl w:val="0"/>
          <w:numId w:val="9"/>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乙方在售后服务期内应对提供的所有货物进行常规检查、调整等。</w:t>
      </w:r>
    </w:p>
    <w:p w14:paraId="11EBB221">
      <w:pPr>
        <w:pStyle w:val="480"/>
        <w:numPr>
          <w:ilvl w:val="0"/>
          <w:numId w:val="9"/>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乙方负责对甲方人员的全免（含交通食宿）集中技术培训（≥</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人），及不少于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年的免费售后现场技术服务。</w:t>
      </w:r>
    </w:p>
    <w:p w14:paraId="2930DE20">
      <w:pPr>
        <w:pStyle w:val="480"/>
        <w:numPr>
          <w:ilvl w:val="0"/>
          <w:numId w:val="9"/>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1AEE4357">
      <w:pPr>
        <w:pStyle w:val="480"/>
        <w:numPr>
          <w:ilvl w:val="0"/>
          <w:numId w:val="9"/>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52CA2B2E">
      <w:pPr>
        <w:pStyle w:val="480"/>
        <w:numPr>
          <w:ilvl w:val="0"/>
          <w:numId w:val="9"/>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7A8C9FCA">
      <w:pPr>
        <w:pStyle w:val="480"/>
        <w:numPr>
          <w:ilvl w:val="0"/>
          <w:numId w:val="9"/>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乙方应提供电话、电子邮件、现场服务等方式的7*24小时的技术支持。若设备发生故障，乙方应在接到通知之时起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小时内赶赴现场处理问题。一般故障</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小时内解决，重大故障</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小时内解决。</w:t>
      </w:r>
    </w:p>
    <w:p w14:paraId="5C2D8023">
      <w:pPr>
        <w:pStyle w:val="480"/>
        <w:numPr>
          <w:ilvl w:val="0"/>
          <w:numId w:val="9"/>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如投标文件中承诺优于本条规定或其他本条未涉及的承诺，按投标文件中承诺执行。</w:t>
      </w:r>
    </w:p>
    <w:p w14:paraId="323BE32F">
      <w:pPr>
        <w:widowControl/>
        <w:wordWrap w:val="0"/>
        <w:topLinePunct/>
        <w:adjustRightInd w:val="0"/>
        <w:spacing w:line="440" w:lineRule="exact"/>
        <w:ind w:firstLine="482" w:firstLineChars="200"/>
        <w:jc w:val="left"/>
        <w:textAlignment w:val="baseline"/>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第十一条：违约责任</w:t>
      </w:r>
    </w:p>
    <w:p w14:paraId="08A980BF">
      <w:pPr>
        <w:numPr>
          <w:ilvl w:val="0"/>
          <w:numId w:val="10"/>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highlight w:val="none"/>
          <w:u w:val="single"/>
        </w:rPr>
        <w:t>万分之五</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%；迟延交付标的物的违约金计算数额达到前述最高限额之日起，甲方有权在要求乙方支付违约金的同时，书面通知乙方解除本合同；</w:t>
      </w:r>
    </w:p>
    <w:p w14:paraId="02EBB276">
      <w:pPr>
        <w:numPr>
          <w:ilvl w:val="0"/>
          <w:numId w:val="10"/>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highlight w:val="none"/>
          <w:u w:val="single"/>
        </w:rPr>
        <w:t>万分之五</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%；迟延付款的违约金计算数额达到前述最高限额之日起，乙方有权在要求甲方支付违约金的同时，书面通知甲方解除本合同；</w:t>
      </w:r>
    </w:p>
    <w:p w14:paraId="41AF84C7">
      <w:pPr>
        <w:numPr>
          <w:ilvl w:val="0"/>
          <w:numId w:val="10"/>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9C0901">
      <w:pPr>
        <w:numPr>
          <w:ilvl w:val="0"/>
          <w:numId w:val="10"/>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C38A0E0">
      <w:pPr>
        <w:numPr>
          <w:ilvl w:val="0"/>
          <w:numId w:val="10"/>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77218B0">
      <w:pPr>
        <w:numPr>
          <w:ilvl w:val="0"/>
          <w:numId w:val="10"/>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如果出现采购监督管理部门在处理投诉事项期间，书面通知甲方暂停采购活动的情形，或者询问或质疑事项可能影响中标结果的，导致甲方中止履行合同的情形，均不视为甲方违约。</w:t>
      </w:r>
    </w:p>
    <w:p w14:paraId="3C5AB2B7">
      <w:pPr>
        <w:ind w:firstLine="480" w:firstLineChars="200"/>
        <w:rPr>
          <w:rFonts w:hint="default" w:ascii="仿宋" w:hAnsi="仿宋" w:eastAsia="仿宋" w:cs="仿宋"/>
          <w:color w:val="auto"/>
          <w:highlight w:val="none"/>
          <w:lang w:val="en-US" w:eastAsia="zh-CN"/>
        </w:rPr>
      </w:pPr>
      <w:r>
        <w:rPr>
          <w:rFonts w:hint="eastAsia"/>
          <w:color w:val="auto"/>
          <w:highlight w:val="none"/>
          <w:lang w:val="en-US" w:eastAsia="zh-CN"/>
        </w:rPr>
        <w:t>7、补贴费用申领失败</w:t>
      </w:r>
      <w:r>
        <w:rPr>
          <w:rFonts w:hint="eastAsia" w:cs="仿宋"/>
          <w:color w:val="auto"/>
          <w:highlight w:val="none"/>
          <w:lang w:val="en-US" w:eastAsia="zh-CN"/>
        </w:rPr>
        <w:t>没收履约保证金和</w:t>
      </w:r>
      <w:r>
        <w:rPr>
          <w:rFonts w:hint="eastAsia"/>
          <w:color w:val="auto"/>
          <w:highlight w:val="none"/>
          <w:lang w:val="en-US" w:eastAsia="zh-CN"/>
        </w:rPr>
        <w:t>支付应得补贴费用（具体补贴费用以政策文件为准）的承诺书</w:t>
      </w:r>
      <w:r>
        <w:rPr>
          <w:rFonts w:hint="eastAsia"/>
          <w:color w:val="auto"/>
          <w:highlight w:val="none"/>
        </w:rPr>
        <w:t>）</w:t>
      </w:r>
      <w:r>
        <w:rPr>
          <w:rFonts w:hint="eastAsia"/>
          <w:color w:val="auto"/>
          <w:highlight w:val="none"/>
          <w:lang w:eastAsia="zh-CN"/>
        </w:rPr>
        <w:t>。</w:t>
      </w:r>
    </w:p>
    <w:p w14:paraId="57603388">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第十二条：不可抗力事件处理</w:t>
      </w:r>
    </w:p>
    <w:p w14:paraId="2FDFF6C0">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1.在合同有效期内，任何一方因不可抗力事件导致不能履行合同，则合同履行期可延长，其延长期与不可抗力影响期相同。</w:t>
      </w:r>
    </w:p>
    <w:p w14:paraId="7C4D1F61">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2.不可抗力事件发生后，应立即通知对方，并寄送有关权威机构出具的证明。</w:t>
      </w:r>
    </w:p>
    <w:p w14:paraId="1B4869E3">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3.不可抗力事件延续120天以上，双方应通过友好协商，确定是否继续履行合同。</w:t>
      </w:r>
    </w:p>
    <w:p w14:paraId="79373110">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第十三条：合同的变更、中止和终止</w:t>
      </w:r>
    </w:p>
    <w:p w14:paraId="3A331928">
      <w:pPr>
        <w:numPr>
          <w:ilvl w:val="0"/>
          <w:numId w:val="11"/>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ECD24C4">
      <w:pPr>
        <w:numPr>
          <w:ilvl w:val="0"/>
          <w:numId w:val="11"/>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双方当事人不得擅自中止或者终止合同；</w:t>
      </w:r>
    </w:p>
    <w:p w14:paraId="6933A6CF">
      <w:pPr>
        <w:numPr>
          <w:ilvl w:val="0"/>
          <w:numId w:val="11"/>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合同继续履行将损害国家利益和社会公共利益的，双方当事人应当以书面形式变更、中止或者终止合同。有过错的一方应当承担赔偿责任，双方当事人都有过错的，各自承担相应的责任。</w:t>
      </w:r>
    </w:p>
    <w:p w14:paraId="5592B297">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
          <w:bCs/>
          <w:color w:val="auto"/>
          <w:highlight w:val="none"/>
        </w:rPr>
      </w:pPr>
      <w:r>
        <w:rPr>
          <w:rFonts w:hint="eastAsia" w:ascii="仿宋" w:hAnsi="仿宋" w:eastAsia="仿宋" w:cs="仿宋"/>
          <w:color w:val="auto"/>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094E460D">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第十四条：争议的解决</w:t>
      </w:r>
    </w:p>
    <w:p w14:paraId="482F79B1">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本合同为采购之合同，在发生产品/服务质量问题时，甲方有权直接向乙方索赔，签订必要的书面处理协议。如协商不成，任何一方有权在合同签约地选择仲裁或诉讼的途径解决。</w:t>
      </w:r>
    </w:p>
    <w:p w14:paraId="24F0627A">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color w:val="auto"/>
          <w:kern w:val="0"/>
          <w:highlight w:val="none"/>
        </w:rPr>
      </w:pPr>
      <w:r>
        <w:rPr>
          <w:rFonts w:hint="eastAsia" w:ascii="仿宋" w:hAnsi="仿宋" w:eastAsia="仿宋" w:cs="仿宋"/>
          <w:b/>
          <w:bCs/>
          <w:color w:val="auto"/>
          <w:highlight w:val="none"/>
        </w:rPr>
        <w:t>第十五条：</w:t>
      </w:r>
      <w:r>
        <w:rPr>
          <w:rFonts w:hint="eastAsia" w:ascii="仿宋" w:hAnsi="仿宋" w:eastAsia="仿宋" w:cs="仿宋"/>
          <w:b/>
          <w:color w:val="auto"/>
          <w:kern w:val="0"/>
          <w:highlight w:val="none"/>
        </w:rPr>
        <w:t>合同的生效</w:t>
      </w:r>
    </w:p>
    <w:p w14:paraId="5B2BB73E">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本合同经甲方、乙方法定代表人或其委托人签字并加盖双方公章后生效。</w:t>
      </w:r>
    </w:p>
    <w:p w14:paraId="060E8ECF">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本合同壹式肆份，甲乙双方各执贰份。</w:t>
      </w:r>
    </w:p>
    <w:p w14:paraId="19B21572">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第十六条：适用法律</w:t>
      </w:r>
    </w:p>
    <w:p w14:paraId="56C3110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本合同按照中华人民共和国现行法律、法规进行解释。</w:t>
      </w:r>
    </w:p>
    <w:p w14:paraId="1C25EC25">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第十七条：特别说明</w:t>
      </w:r>
    </w:p>
    <w:p w14:paraId="00F8BF9C">
      <w:pPr>
        <w:numPr>
          <w:ilvl w:val="0"/>
          <w:numId w:val="12"/>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除招标文件规定，并经甲方和相关部门事先书面同意外，乙方不得部分转让和分包或全部转让和分包其应履行的合同义务。</w:t>
      </w:r>
    </w:p>
    <w:p w14:paraId="09195781">
      <w:pPr>
        <w:numPr>
          <w:ilvl w:val="0"/>
          <w:numId w:val="12"/>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24FE0C78">
      <w:pPr>
        <w:spacing w:line="440" w:lineRule="exact"/>
        <w:ind w:left="480" w:leftChars="200"/>
        <w:rPr>
          <w:rFonts w:hint="eastAsia" w:ascii="仿宋" w:hAnsi="仿宋" w:eastAsia="仿宋" w:cs="仿宋"/>
          <w:color w:val="auto"/>
          <w:highlight w:val="none"/>
        </w:rPr>
      </w:pPr>
      <w:r>
        <w:rPr>
          <w:rFonts w:hint="eastAsia" w:ascii="仿宋" w:hAnsi="仿宋" w:eastAsia="仿宋" w:cs="仿宋"/>
          <w:color w:val="auto"/>
          <w:highlight w:val="none"/>
        </w:rPr>
        <w:t>3.甲方及乙方在此承诺：</w:t>
      </w:r>
    </w:p>
    <w:p w14:paraId="11F9A8C3">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（1）在签署本合同之前详细阅读并理解本合同文本全文，且均在完全自愿与平等的法律地位基础上签署本合同。</w:t>
      </w:r>
    </w:p>
    <w:p w14:paraId="4DD9DAD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（2）承诺放弃以本合同系属于格式合同为由而提出不利于对方的合同条款的解释的相关主张权。</w:t>
      </w:r>
    </w:p>
    <w:p w14:paraId="6A157F3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587C0B0C">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color w:val="auto"/>
          <w:kern w:val="0"/>
          <w:highlight w:val="none"/>
        </w:rPr>
      </w:pPr>
    </w:p>
    <w:p w14:paraId="6B10499E">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color w:val="auto"/>
          <w:kern w:val="0"/>
          <w:highlight w:val="none"/>
        </w:rPr>
      </w:pPr>
    </w:p>
    <w:p w14:paraId="39379653">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甲方（公章）：                       乙方（公章）：</w:t>
      </w:r>
    </w:p>
    <w:p w14:paraId="1E4D9B06">
      <w:pPr>
        <w:widowControl/>
        <w:overflowPunct w:val="0"/>
        <w:autoSpaceDE w:val="0"/>
        <w:autoSpaceDN w:val="0"/>
        <w:adjustRightInd w:val="0"/>
        <w:snapToGrid w:val="0"/>
        <w:spacing w:line="440" w:lineRule="exact"/>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法定代表人或受委托人（签字或盖章）   法定代表人或受委托人（签字或盖章）</w:t>
      </w:r>
    </w:p>
    <w:p w14:paraId="7D760B4A">
      <w:pPr>
        <w:widowControl/>
        <w:overflowPunct w:val="0"/>
        <w:autoSpaceDE w:val="0"/>
        <w:autoSpaceDN w:val="0"/>
        <w:adjustRightInd w:val="0"/>
        <w:snapToGrid w:val="0"/>
        <w:spacing w:line="440" w:lineRule="exact"/>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地址：                               地址：</w:t>
      </w:r>
    </w:p>
    <w:p w14:paraId="6FED4317">
      <w:pPr>
        <w:widowControl/>
        <w:overflowPunct w:val="0"/>
        <w:autoSpaceDE w:val="0"/>
        <w:autoSpaceDN w:val="0"/>
        <w:adjustRightInd w:val="0"/>
        <w:snapToGrid w:val="0"/>
        <w:spacing w:line="440" w:lineRule="exact"/>
        <w:ind w:left="2"/>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电话：                               电话：</w:t>
      </w:r>
    </w:p>
    <w:p w14:paraId="76518ACF">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ascii="仿宋" w:hAnsi="仿宋" w:eastAsia="仿宋" w:cs="仿宋"/>
          <w:color w:val="auto"/>
          <w:kern w:val="0"/>
          <w:highlight w:val="none"/>
        </w:rPr>
      </w:pPr>
    </w:p>
    <w:p w14:paraId="456A2DFD">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ascii="仿宋" w:hAnsi="仿宋" w:eastAsia="仿宋" w:cs="仿宋"/>
          <w:color w:val="auto"/>
          <w:kern w:val="0"/>
          <w:highlight w:val="none"/>
        </w:rPr>
      </w:pPr>
    </w:p>
    <w:p w14:paraId="6D1125DD">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签约时间：    年  月  日</w:t>
      </w:r>
    </w:p>
    <w:p w14:paraId="56A4E380">
      <w:pPr>
        <w:widowControl/>
        <w:overflowPunct w:val="0"/>
        <w:autoSpaceDE w:val="0"/>
        <w:autoSpaceDN w:val="0"/>
        <w:adjustRightInd w:val="0"/>
        <w:snapToGrid w:val="0"/>
        <w:spacing w:line="440" w:lineRule="exact"/>
        <w:ind w:left="-2" w:leftChars="-1"/>
        <w:jc w:val="left"/>
        <w:textAlignment w:val="baseline"/>
        <w:rPr>
          <w:rFonts w:hint="eastAsia" w:ascii="仿宋" w:hAnsi="仿宋" w:eastAsia="仿宋" w:cs="仿宋"/>
          <w:b/>
          <w:bCs/>
          <w:color w:val="auto"/>
          <w:kern w:val="0"/>
          <w:highlight w:val="none"/>
        </w:rPr>
      </w:pPr>
      <w:r>
        <w:rPr>
          <w:rFonts w:hint="eastAsia" w:ascii="仿宋" w:hAnsi="仿宋" w:eastAsia="仿宋" w:cs="仿宋"/>
          <w:color w:val="auto"/>
          <w:kern w:val="0"/>
          <w:highlight w:val="none"/>
        </w:rPr>
        <w:t xml:space="preserve">                                  　签约地点：</w:t>
      </w:r>
    </w:p>
    <w:p w14:paraId="124B3B1F">
      <w:pPr>
        <w:widowControl/>
        <w:overflowPunct w:val="0"/>
        <w:autoSpaceDE w:val="0"/>
        <w:autoSpaceDN w:val="0"/>
        <w:adjustRightInd w:val="0"/>
        <w:snapToGrid w:val="0"/>
        <w:spacing w:line="440" w:lineRule="exact"/>
        <w:jc w:val="left"/>
        <w:textAlignment w:val="baseline"/>
        <w:rPr>
          <w:rFonts w:hint="eastAsia" w:ascii="仿宋" w:hAnsi="仿宋" w:eastAsia="仿宋" w:cs="仿宋"/>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14:paraId="1F5D52C3">
      <w:pPr>
        <w:pStyle w:val="5"/>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第六章 投标文件格式附件</w:t>
      </w:r>
      <w:bookmarkEnd w:id="12"/>
    </w:p>
    <w:p w14:paraId="0EA3B39C">
      <w:pPr>
        <w:widowControl/>
        <w:wordWrap w:val="0"/>
        <w:topLinePunct/>
        <w:snapToGrid w:val="0"/>
        <w:spacing w:line="440" w:lineRule="exact"/>
        <w:rPr>
          <w:rFonts w:hint="eastAsia" w:ascii="仿宋" w:hAnsi="仿宋" w:eastAsia="仿宋" w:cs="仿宋"/>
          <w:b/>
          <w:color w:val="auto"/>
          <w:kern w:val="0"/>
          <w:sz w:val="28"/>
          <w:highlight w:val="none"/>
        </w:rPr>
      </w:pPr>
    </w:p>
    <w:p w14:paraId="58787B0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投标人提交投标文件须知：</w:t>
      </w:r>
    </w:p>
    <w:p w14:paraId="65D7259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5994903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（二）所附表格中要求回答的全部问题、信息都必须正面回答。</w:t>
      </w:r>
    </w:p>
    <w:p w14:paraId="6126ABC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（三）本声明书和投标响应函的签字人应保证全部声明和问题的回答是真实的和准确的。</w:t>
      </w:r>
    </w:p>
    <w:p w14:paraId="5BF6FCB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（四）评标委员会将应用投标人提交的资料作出自己的判断。</w:t>
      </w:r>
    </w:p>
    <w:p w14:paraId="73DCDB7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（五）投标人提交的材料将在一定期限内被保密保存，但不退还。</w:t>
      </w:r>
    </w:p>
    <w:p w14:paraId="40605A0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78C71BB7">
      <w:pPr>
        <w:spacing w:line="4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F1709F3">
      <w:pPr>
        <w:spacing w:before="312" w:beforeLines="100" w:after="312" w:afterLines="100" w:line="440" w:lineRule="exact"/>
        <w:jc w:val="center"/>
        <w:rPr>
          <w:rFonts w:hint="eastAsia" w:ascii="仿宋" w:hAnsi="仿宋" w:eastAsia="仿宋" w:cs="仿宋"/>
          <w:b/>
          <w:color w:val="auto"/>
          <w:sz w:val="30"/>
          <w:szCs w:val="30"/>
          <w:highlight w:val="none"/>
        </w:rPr>
      </w:pPr>
    </w:p>
    <w:p w14:paraId="06E2C19A">
      <w:pPr>
        <w:spacing w:before="312" w:beforeLines="100" w:after="312" w:afterLines="100" w:line="440" w:lineRule="exact"/>
        <w:jc w:val="center"/>
        <w:rPr>
          <w:rFonts w:hint="eastAsia" w:ascii="仿宋" w:hAnsi="仿宋" w:eastAsia="仿宋" w:cs="仿宋"/>
          <w:b/>
          <w:color w:val="auto"/>
          <w:sz w:val="30"/>
          <w:szCs w:val="30"/>
          <w:highlight w:val="none"/>
        </w:rPr>
      </w:pPr>
    </w:p>
    <w:p w14:paraId="63D878D0">
      <w:pPr>
        <w:spacing w:before="312" w:beforeLines="100" w:after="312" w:afterLines="100" w:line="44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投标文件封面</w:t>
      </w:r>
      <w:r>
        <w:rPr>
          <w:rFonts w:hint="eastAsia" w:ascii="仿宋" w:hAnsi="仿宋" w:eastAsia="仿宋" w:cs="仿宋"/>
          <w:b/>
          <w:color w:val="auto"/>
          <w:sz w:val="32"/>
          <w:highlight w:val="none"/>
        </w:rPr>
        <w:t>（封面格式供参考）</w:t>
      </w:r>
    </w:p>
    <w:p w14:paraId="6BAD1382">
      <w:pPr>
        <w:spacing w:before="1560" w:beforeLines="500" w:after="1560" w:afterLines="500" w:line="440" w:lineRule="exact"/>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资格文件</w:t>
      </w:r>
    </w:p>
    <w:p w14:paraId="3D56E1B4">
      <w:pPr>
        <w:spacing w:before="312" w:beforeLines="100" w:after="312" w:afterLines="100" w:line="440" w:lineRule="exact"/>
        <w:rPr>
          <w:rFonts w:hint="eastAsia" w:ascii="仿宋" w:hAnsi="仿宋" w:eastAsia="仿宋" w:cs="仿宋"/>
          <w:b/>
          <w:color w:val="auto"/>
          <w:sz w:val="28"/>
          <w:szCs w:val="28"/>
          <w:highlight w:val="none"/>
        </w:rPr>
      </w:pPr>
    </w:p>
    <w:p w14:paraId="4AEE9322">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2A9030DA">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50626506">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投标人全称（电子签章）：</w:t>
      </w:r>
      <w:r>
        <w:rPr>
          <w:rFonts w:hint="eastAsia" w:ascii="仿宋" w:hAnsi="仿宋" w:eastAsia="仿宋" w:cs="仿宋"/>
          <w:b/>
          <w:color w:val="auto"/>
          <w:sz w:val="30"/>
          <w:szCs w:val="30"/>
          <w:highlight w:val="none"/>
          <w:u w:val="single"/>
        </w:rPr>
        <w:t xml:space="preserve">                      </w:t>
      </w:r>
    </w:p>
    <w:p w14:paraId="4B243639">
      <w:pPr>
        <w:spacing w:before="312" w:beforeLines="100" w:after="312" w:afterLines="100" w:line="440" w:lineRule="exact"/>
        <w:rPr>
          <w:rFonts w:hint="eastAsia" w:ascii="仿宋" w:hAnsi="仿宋" w:eastAsia="仿宋" w:cs="仿宋"/>
          <w:b/>
          <w:color w:val="auto"/>
          <w:sz w:val="30"/>
          <w:szCs w:val="30"/>
          <w:highlight w:val="none"/>
        </w:rPr>
      </w:pPr>
    </w:p>
    <w:p w14:paraId="00641438">
      <w:pPr>
        <w:spacing w:before="312" w:beforeLines="100" w:after="312" w:afterLines="100" w:line="440" w:lineRule="exact"/>
        <w:rPr>
          <w:rFonts w:hint="eastAsia" w:ascii="仿宋" w:hAnsi="仿宋" w:eastAsia="仿宋" w:cs="仿宋"/>
          <w:color w:val="auto"/>
          <w:highlight w:val="none"/>
        </w:rPr>
      </w:pPr>
    </w:p>
    <w:p w14:paraId="0198C199">
      <w:pPr>
        <w:spacing w:before="312" w:beforeLines="100" w:after="312" w:afterLines="100" w:line="440" w:lineRule="exact"/>
        <w:rPr>
          <w:rFonts w:hint="eastAsia" w:ascii="仿宋" w:hAnsi="仿宋" w:eastAsia="仿宋" w:cs="仿宋"/>
          <w:color w:val="auto"/>
          <w:highlight w:val="none"/>
        </w:rPr>
      </w:pPr>
    </w:p>
    <w:p w14:paraId="72DD2886">
      <w:pPr>
        <w:spacing w:line="440" w:lineRule="exact"/>
        <w:jc w:val="left"/>
        <w:rPr>
          <w:rFonts w:hint="eastAsia" w:ascii="仿宋" w:hAnsi="仿宋" w:eastAsia="仿宋" w:cs="仿宋"/>
          <w:color w:val="auto"/>
          <w:highlight w:val="none"/>
        </w:rPr>
      </w:pPr>
    </w:p>
    <w:p w14:paraId="78534DFA">
      <w:pPr>
        <w:snapToGrid w:val="0"/>
        <w:spacing w:line="440" w:lineRule="exact"/>
        <w:ind w:firstLine="630" w:firstLineChars="196"/>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43EA93DC">
      <w:pPr>
        <w:snapToGrid w:val="0"/>
        <w:spacing w:line="440" w:lineRule="exact"/>
        <w:ind w:firstLine="630" w:firstLineChars="196"/>
        <w:rPr>
          <w:rFonts w:hint="eastAsia" w:ascii="仿宋" w:hAnsi="仿宋" w:eastAsia="仿宋" w:cs="仿宋"/>
          <w:b/>
          <w:color w:val="auto"/>
          <w:sz w:val="32"/>
          <w:highlight w:val="none"/>
        </w:rPr>
      </w:pPr>
    </w:p>
    <w:p w14:paraId="71C2EE3C">
      <w:pPr>
        <w:snapToGrid w:val="0"/>
        <w:spacing w:line="440" w:lineRule="exact"/>
        <w:ind w:firstLine="630" w:firstLineChars="196"/>
        <w:rPr>
          <w:rFonts w:hint="eastAsia" w:ascii="仿宋" w:hAnsi="仿宋" w:eastAsia="仿宋" w:cs="仿宋"/>
          <w:b/>
          <w:color w:val="auto"/>
          <w:sz w:val="32"/>
          <w:highlight w:val="none"/>
        </w:rPr>
      </w:pPr>
    </w:p>
    <w:p w14:paraId="31B813A7">
      <w:pPr>
        <w:snapToGrid w:val="0"/>
        <w:spacing w:line="440" w:lineRule="exact"/>
        <w:ind w:firstLine="630" w:firstLineChars="196"/>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w:t>
      </w:r>
    </w:p>
    <w:p w14:paraId="2EDB7A63">
      <w:pPr>
        <w:snapToGrid w:val="0"/>
        <w:spacing w:line="440" w:lineRule="exact"/>
        <w:jc w:val="center"/>
        <w:rPr>
          <w:rFonts w:hint="eastAsia" w:ascii="仿宋" w:hAnsi="仿宋" w:eastAsia="仿宋" w:cs="仿宋"/>
          <w:color w:val="auto"/>
          <w:highlight w:val="none"/>
        </w:rPr>
      </w:pPr>
    </w:p>
    <w:p w14:paraId="5AA5AD9F">
      <w:pPr>
        <w:pStyle w:val="48"/>
        <w:spacing w:beforeLines="0" w:afterLines="0" w:line="440" w:lineRule="exact"/>
        <w:ind w:firstLine="482" w:firstLineChars="200"/>
        <w:rPr>
          <w:rFonts w:hint="eastAsia" w:ascii="仿宋" w:hAnsi="仿宋" w:eastAsia="仿宋" w:cs="仿宋"/>
          <w:b/>
          <w:color w:val="auto"/>
          <w:kern w:val="2"/>
          <w:highlight w:val="none"/>
        </w:rPr>
      </w:pPr>
      <w:r>
        <w:rPr>
          <w:rFonts w:hint="eastAsia" w:ascii="仿宋" w:hAnsi="仿宋" w:eastAsia="仿宋" w:cs="仿宋"/>
          <w:b/>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1A88213">
      <w:pPr>
        <w:pStyle w:val="8"/>
        <w:spacing w:before="0" w:after="0" w:line="440" w:lineRule="exact"/>
        <w:rPr>
          <w:rFonts w:hint="eastAsia" w:ascii="仿宋" w:hAnsi="仿宋" w:eastAsia="仿宋" w:cs="仿宋"/>
          <w:color w:val="auto"/>
          <w:highlight w:val="none"/>
        </w:rPr>
      </w:pPr>
    </w:p>
    <w:p w14:paraId="4A3841D0">
      <w:pPr>
        <w:spacing w:line="440" w:lineRule="exact"/>
        <w:rPr>
          <w:rFonts w:hint="eastAsia" w:ascii="仿宋" w:hAnsi="仿宋" w:eastAsia="仿宋" w:cs="仿宋"/>
          <w:color w:val="auto"/>
          <w:highlight w:val="none"/>
        </w:rPr>
      </w:pPr>
    </w:p>
    <w:p w14:paraId="190141F5">
      <w:pPr>
        <w:pStyle w:val="113"/>
        <w:rPr>
          <w:rFonts w:hint="eastAsia" w:ascii="仿宋" w:hAnsi="仿宋" w:eastAsia="仿宋" w:cs="仿宋"/>
          <w:color w:val="auto"/>
          <w:highlight w:val="none"/>
        </w:rPr>
      </w:pPr>
    </w:p>
    <w:p w14:paraId="4D4F3927">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30B7A041">
      <w:pPr>
        <w:snapToGrid w:val="0"/>
        <w:spacing w:line="440" w:lineRule="exact"/>
        <w:ind w:right="600"/>
        <w:rPr>
          <w:rFonts w:hint="eastAsia" w:ascii="仿宋" w:hAnsi="仿宋" w:eastAsia="仿宋" w:cs="仿宋"/>
          <w:color w:val="auto"/>
          <w:highlight w:val="none"/>
        </w:rPr>
      </w:pPr>
    </w:p>
    <w:p w14:paraId="6C30A74D">
      <w:pPr>
        <w:snapToGri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1392797A">
      <w:pPr>
        <w:pStyle w:val="8"/>
        <w:spacing w:before="0" w:after="0" w:line="440" w:lineRule="exact"/>
        <w:rPr>
          <w:rFonts w:hint="eastAsia" w:ascii="仿宋" w:hAnsi="仿宋" w:eastAsia="仿宋" w:cs="仿宋"/>
          <w:color w:val="auto"/>
          <w:highlight w:val="none"/>
          <w:u w:val="single"/>
        </w:rPr>
      </w:pPr>
    </w:p>
    <w:p w14:paraId="2DA676B3">
      <w:pPr>
        <w:spacing w:line="440" w:lineRule="exact"/>
        <w:rPr>
          <w:rFonts w:hint="eastAsia" w:ascii="仿宋" w:hAnsi="仿宋" w:eastAsia="仿宋" w:cs="仿宋"/>
          <w:color w:val="auto"/>
          <w:highlight w:val="none"/>
          <w:u w:val="single"/>
        </w:rPr>
      </w:pPr>
    </w:p>
    <w:p w14:paraId="5802212D">
      <w:pPr>
        <w:pStyle w:val="8"/>
        <w:spacing w:before="0" w:after="0" w:line="440" w:lineRule="exact"/>
        <w:ind w:left="0" w:firstLine="0"/>
        <w:rPr>
          <w:rFonts w:hint="eastAsia" w:ascii="仿宋" w:hAnsi="仿宋" w:eastAsia="仿宋" w:cs="仿宋"/>
          <w:color w:val="auto"/>
          <w:highlight w:val="none"/>
        </w:rPr>
      </w:pPr>
    </w:p>
    <w:p w14:paraId="3B0E90A4">
      <w:pPr>
        <w:spacing w:line="440" w:lineRule="exact"/>
        <w:rPr>
          <w:rFonts w:hint="eastAsia" w:ascii="仿宋" w:hAnsi="仿宋" w:eastAsia="仿宋" w:cs="仿宋"/>
          <w:color w:val="auto"/>
          <w:highlight w:val="none"/>
        </w:rPr>
      </w:pPr>
    </w:p>
    <w:p w14:paraId="56B940BC">
      <w:pPr>
        <w:pStyle w:val="2"/>
        <w:spacing w:before="0" w:after="0" w:line="440" w:lineRule="exact"/>
        <w:rPr>
          <w:rFonts w:hint="eastAsia" w:ascii="仿宋" w:hAnsi="仿宋" w:eastAsia="仿宋" w:cs="仿宋"/>
          <w:color w:val="auto"/>
          <w:highlight w:val="none"/>
        </w:rPr>
      </w:pPr>
    </w:p>
    <w:p w14:paraId="3160EFDE">
      <w:pPr>
        <w:spacing w:line="440" w:lineRule="exact"/>
        <w:rPr>
          <w:rFonts w:hint="eastAsia" w:ascii="仿宋" w:hAnsi="仿宋" w:eastAsia="仿宋" w:cs="仿宋"/>
          <w:color w:val="auto"/>
          <w:highlight w:val="none"/>
        </w:rPr>
      </w:pPr>
    </w:p>
    <w:p w14:paraId="07268917">
      <w:pPr>
        <w:spacing w:line="440" w:lineRule="exact"/>
        <w:rPr>
          <w:rFonts w:hint="eastAsia" w:ascii="仿宋" w:hAnsi="仿宋" w:eastAsia="仿宋" w:cs="仿宋"/>
          <w:color w:val="auto"/>
          <w:highlight w:val="none"/>
        </w:rPr>
      </w:pPr>
    </w:p>
    <w:p w14:paraId="6A960A6F">
      <w:pPr>
        <w:snapToGrid w:val="0"/>
        <w:spacing w:line="440" w:lineRule="exact"/>
        <w:rPr>
          <w:rFonts w:hint="eastAsia" w:ascii="仿宋" w:hAnsi="仿宋" w:eastAsia="仿宋" w:cs="仿宋"/>
          <w:b/>
          <w:color w:val="auto"/>
          <w:sz w:val="32"/>
          <w:szCs w:val="32"/>
          <w:highlight w:val="none"/>
        </w:rPr>
      </w:pPr>
    </w:p>
    <w:p w14:paraId="2CF65C7B">
      <w:pPr>
        <w:pStyle w:val="113"/>
        <w:rPr>
          <w:rFonts w:hint="eastAsia" w:ascii="仿宋" w:hAnsi="仿宋" w:eastAsia="仿宋" w:cs="仿宋"/>
          <w:color w:val="auto"/>
          <w:sz w:val="32"/>
          <w:szCs w:val="32"/>
          <w:highlight w:val="none"/>
        </w:rPr>
      </w:pPr>
    </w:p>
    <w:p w14:paraId="21C210D6">
      <w:pPr>
        <w:rPr>
          <w:rFonts w:hint="eastAsia" w:ascii="仿宋" w:hAnsi="仿宋" w:eastAsia="仿宋" w:cs="仿宋"/>
          <w:b/>
          <w:color w:val="auto"/>
          <w:sz w:val="32"/>
          <w:szCs w:val="32"/>
          <w:highlight w:val="none"/>
        </w:rPr>
      </w:pPr>
    </w:p>
    <w:p w14:paraId="7F0DFBCC">
      <w:pPr>
        <w:snapToGrid w:val="0"/>
        <w:spacing w:line="440" w:lineRule="exact"/>
        <w:jc w:val="center"/>
        <w:rPr>
          <w:rFonts w:hint="eastAsia" w:ascii="仿宋" w:hAnsi="仿宋" w:eastAsia="仿宋" w:cs="仿宋"/>
          <w:b/>
          <w:color w:val="auto"/>
          <w:sz w:val="32"/>
          <w:szCs w:val="32"/>
          <w:highlight w:val="none"/>
        </w:rPr>
      </w:pPr>
    </w:p>
    <w:p w14:paraId="714F9EC3">
      <w:pPr>
        <w:widowControl/>
        <w:spacing w:line="360" w:lineRule="auto"/>
        <w:jc w:val="center"/>
        <w:rPr>
          <w:rFonts w:hint="eastAsia" w:ascii="仿宋" w:hAnsi="仿宋" w:eastAsia="仿宋" w:cs="仿宋_GB2312"/>
          <w:b/>
          <w:sz w:val="32"/>
          <w:szCs w:val="32"/>
        </w:rPr>
      </w:pPr>
    </w:p>
    <w:p w14:paraId="75C65FF7">
      <w:pPr>
        <w:widowControl/>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联合体协议书</w:t>
      </w:r>
    </w:p>
    <w:p w14:paraId="49D1E44B">
      <w:pPr>
        <w:widowControl/>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（格式样稿，联合体投标的需提供）</w:t>
      </w:r>
    </w:p>
    <w:p w14:paraId="15F99758">
      <w:pPr>
        <w:widowControl/>
        <w:spacing w:line="240" w:lineRule="exact"/>
        <w:jc w:val="center"/>
        <w:rPr>
          <w:rFonts w:ascii="仿宋" w:hAnsi="仿宋" w:eastAsia="仿宋" w:cs="仿宋_GB2312"/>
          <w:b/>
          <w:sz w:val="32"/>
          <w:szCs w:val="32"/>
        </w:rPr>
      </w:pPr>
    </w:p>
    <w:p w14:paraId="45AFDDF9">
      <w:pPr>
        <w:spacing w:line="360" w:lineRule="auto"/>
        <w:rPr>
          <w:rFonts w:ascii="仿宋" w:hAnsi="仿宋" w:eastAsia="仿宋" w:cs="仿宋_GB2312"/>
          <w:sz w:val="24"/>
          <w:u w:val="single"/>
        </w:rPr>
      </w:pPr>
      <w:r>
        <w:rPr>
          <w:rFonts w:hint="eastAsia" w:ascii="仿宋" w:hAnsi="仿宋" w:eastAsia="仿宋" w:cs="仿宋_GB2312"/>
          <w:kern w:val="10"/>
          <w:sz w:val="24"/>
        </w:rPr>
        <w:t>立约方：</w:t>
      </w:r>
      <w:r>
        <w:rPr>
          <w:rFonts w:hint="eastAsia" w:ascii="仿宋" w:hAnsi="仿宋" w:eastAsia="仿宋" w:cs="仿宋_GB2312"/>
          <w:sz w:val="24"/>
          <w:u w:val="single"/>
        </w:rPr>
        <w:t xml:space="preserve">（甲公司全称）        </w:t>
      </w:r>
    </w:p>
    <w:p w14:paraId="25A14F89">
      <w:pPr>
        <w:spacing w:line="360" w:lineRule="auto"/>
        <w:rPr>
          <w:rFonts w:ascii="仿宋" w:hAnsi="仿宋" w:eastAsia="仿宋" w:cs="仿宋_GB2312"/>
          <w:sz w:val="24"/>
          <w:u w:val="single"/>
        </w:rPr>
      </w:pPr>
      <w:r>
        <w:rPr>
          <w:rFonts w:hint="eastAsia" w:ascii="仿宋" w:hAnsi="仿宋" w:eastAsia="仿宋" w:cs="仿宋_GB2312"/>
          <w:sz w:val="24"/>
          <w:u w:val="single"/>
        </w:rPr>
        <w:t xml:space="preserve">       （乙公司全称）        </w:t>
      </w:r>
    </w:p>
    <w:p w14:paraId="40983A14">
      <w:pPr>
        <w:spacing w:line="360" w:lineRule="auto"/>
        <w:rPr>
          <w:rFonts w:ascii="仿宋" w:hAnsi="仿宋" w:eastAsia="仿宋" w:cs="仿宋_GB2312"/>
          <w:sz w:val="24"/>
          <w:u w:val="single"/>
        </w:rPr>
      </w:pPr>
      <w:r>
        <w:rPr>
          <w:rFonts w:hint="eastAsia" w:ascii="仿宋" w:hAnsi="仿宋" w:eastAsia="仿宋" w:cs="仿宋_GB2312"/>
          <w:sz w:val="24"/>
          <w:u w:val="single"/>
        </w:rPr>
        <w:t xml:space="preserve">         (........)         </w:t>
      </w:r>
    </w:p>
    <w:p w14:paraId="1C236D32">
      <w:pPr>
        <w:spacing w:line="360" w:lineRule="auto"/>
        <w:ind w:firstLine="480" w:firstLineChars="200"/>
        <w:rPr>
          <w:rFonts w:ascii="仿宋" w:hAnsi="仿宋" w:eastAsia="仿宋" w:cs="仿宋_GB2312"/>
          <w:sz w:val="24"/>
        </w:rPr>
      </w:pPr>
      <w:r>
        <w:rPr>
          <w:rFonts w:hint="eastAsia" w:ascii="仿宋" w:hAnsi="仿宋" w:eastAsia="仿宋" w:cs="仿宋_GB2312"/>
          <w:sz w:val="24"/>
          <w:u w:val="single"/>
        </w:rPr>
        <w:t>（甲公司全称）、（乙公司全称）</w:t>
      </w:r>
      <w:r>
        <w:rPr>
          <w:rFonts w:hint="eastAsia" w:ascii="仿宋" w:hAnsi="仿宋" w:eastAsia="仿宋" w:cs="仿宋_GB2312"/>
          <w:sz w:val="24"/>
        </w:rPr>
        <w:t>自愿组成联合体，</w:t>
      </w:r>
      <w:r>
        <w:rPr>
          <w:rFonts w:hint="eastAsia" w:ascii="仿宋" w:hAnsi="仿宋" w:eastAsia="仿宋" w:cs="仿宋_GB2312"/>
          <w:kern w:val="10"/>
          <w:sz w:val="24"/>
        </w:rPr>
        <w:t>以一个投标供应商的身份共同</w:t>
      </w:r>
      <w:r>
        <w:rPr>
          <w:rFonts w:hint="eastAsia" w:ascii="仿宋" w:hAnsi="仿宋" w:eastAsia="仿宋" w:cs="仿宋_GB2312"/>
          <w:sz w:val="24"/>
        </w:rPr>
        <w:t>参加</w:t>
      </w:r>
      <w:r>
        <w:rPr>
          <w:rFonts w:hint="eastAsia" w:ascii="仿宋" w:hAnsi="仿宋" w:eastAsia="仿宋" w:cs="仿宋_GB2312"/>
          <w:sz w:val="24"/>
          <w:u w:val="single"/>
        </w:rPr>
        <w:t>（采购项目名称）（采购项目编号）</w:t>
      </w:r>
      <w:r>
        <w:rPr>
          <w:rFonts w:hint="eastAsia" w:ascii="仿宋" w:hAnsi="仿宋" w:eastAsia="仿宋" w:cs="仿宋_GB2312"/>
          <w:sz w:val="24"/>
        </w:rPr>
        <w:t>的投标活动。经各方充分协商一致，就</w:t>
      </w:r>
      <w:r>
        <w:rPr>
          <w:rFonts w:hint="eastAsia" w:ascii="仿宋" w:hAnsi="仿宋" w:eastAsia="仿宋" w:cs="仿宋_GB2312"/>
          <w:kern w:val="10"/>
          <w:sz w:val="24"/>
        </w:rPr>
        <w:t>项目的投标响应和合同实施阶段的有关事务协商一致</w:t>
      </w:r>
      <w:r>
        <w:rPr>
          <w:rFonts w:hint="eastAsia" w:ascii="仿宋" w:hAnsi="仿宋" w:eastAsia="仿宋" w:cs="仿宋_GB2312"/>
          <w:sz w:val="24"/>
        </w:rPr>
        <w:t>订立协议如下：</w:t>
      </w:r>
    </w:p>
    <w:p w14:paraId="6232DC29">
      <w:pPr>
        <w:spacing w:line="360" w:lineRule="auto"/>
        <w:ind w:firstLine="480" w:firstLineChars="200"/>
        <w:rPr>
          <w:rFonts w:ascii="仿宋" w:hAnsi="仿宋" w:eastAsia="仿宋" w:cs="仿宋_GB2312"/>
          <w:sz w:val="24"/>
        </w:rPr>
      </w:pPr>
      <w:r>
        <w:rPr>
          <w:rFonts w:hint="eastAsia" w:ascii="仿宋" w:hAnsi="仿宋" w:eastAsia="仿宋" w:cs="仿宋_GB2312"/>
          <w:sz w:val="24"/>
        </w:rPr>
        <w:t>一、联合体各方方关系</w:t>
      </w:r>
    </w:p>
    <w:p w14:paraId="3A226906">
      <w:pPr>
        <w:spacing w:line="360" w:lineRule="auto"/>
        <w:ind w:firstLine="480" w:firstLineChars="200"/>
        <w:rPr>
          <w:rFonts w:ascii="仿宋" w:hAnsi="仿宋" w:eastAsia="仿宋" w:cs="仿宋_GB2312"/>
          <w:sz w:val="24"/>
        </w:rPr>
      </w:pPr>
      <w:r>
        <w:rPr>
          <w:rFonts w:hint="eastAsia" w:ascii="仿宋" w:hAnsi="仿宋" w:eastAsia="仿宋" w:cs="仿宋_GB2312"/>
          <w:sz w:val="24"/>
          <w:u w:val="single"/>
        </w:rPr>
        <w:t>（甲公司全称）、（乙公司全称）</w:t>
      </w:r>
      <w:r>
        <w:rPr>
          <w:rFonts w:hint="eastAsia" w:ascii="仿宋" w:hAnsi="仿宋" w:eastAsia="仿宋" w:cs="仿宋_GB2312"/>
          <w:sz w:val="24"/>
        </w:rPr>
        <w:t>共同组成一个联合体，以一个投标供应商的身份共同参加本项目的投标，其中</w:t>
      </w:r>
      <w:r>
        <w:rPr>
          <w:rFonts w:hint="eastAsia" w:ascii="仿宋" w:hAnsi="仿宋" w:eastAsia="仿宋" w:cs="仿宋_GB2312"/>
          <w:sz w:val="24"/>
          <w:u w:val="single"/>
        </w:rPr>
        <w:t xml:space="preserve">              </w:t>
      </w:r>
      <w:r>
        <w:rPr>
          <w:rFonts w:hint="eastAsia" w:ascii="仿宋" w:hAnsi="仿宋" w:eastAsia="仿宋" w:cs="仿宋_GB2312"/>
          <w:sz w:val="24"/>
        </w:rPr>
        <w:t>（甲公司全称）为此次联合体的牵头单位。</w:t>
      </w:r>
      <w:r>
        <w:rPr>
          <w:rFonts w:hint="eastAsia" w:ascii="仿宋" w:hAnsi="仿宋" w:eastAsia="仿宋" w:cs="仿宋_GB2312"/>
          <w:sz w:val="24"/>
          <w:u w:val="single"/>
        </w:rPr>
        <w:t>（甲公司全称）、（乙公司全称）</w:t>
      </w:r>
      <w:r>
        <w:rPr>
          <w:rFonts w:hint="eastAsia" w:ascii="仿宋" w:hAnsi="仿宋" w:eastAsia="仿宋" w:cs="仿宋_GB2312"/>
          <w:sz w:val="24"/>
        </w:rPr>
        <w:t>作为联合体成员,若中标，联合体各方共同与</w:t>
      </w:r>
      <w:r>
        <w:rPr>
          <w:rFonts w:hint="eastAsia" w:ascii="仿宋" w:hAnsi="仿宋" w:eastAsia="仿宋" w:cs="仿宋_GB2312"/>
          <w:sz w:val="24"/>
          <w:u w:val="single"/>
        </w:rPr>
        <w:t>（采购人）</w:t>
      </w:r>
      <w:r>
        <w:rPr>
          <w:rFonts w:hint="eastAsia" w:ascii="仿宋" w:hAnsi="仿宋" w:eastAsia="仿宋" w:cs="仿宋_GB2312"/>
          <w:sz w:val="24"/>
        </w:rPr>
        <w:t>签订采购合同。</w:t>
      </w:r>
    </w:p>
    <w:p w14:paraId="55F5A184">
      <w:pPr>
        <w:spacing w:line="360" w:lineRule="auto"/>
        <w:ind w:firstLine="480" w:firstLineChars="200"/>
        <w:rPr>
          <w:rFonts w:ascii="仿宋" w:hAnsi="仿宋" w:eastAsia="仿宋" w:cs="仿宋_GB2312"/>
          <w:sz w:val="24"/>
        </w:rPr>
      </w:pPr>
      <w:r>
        <w:rPr>
          <w:rFonts w:hint="eastAsia" w:ascii="仿宋" w:hAnsi="仿宋" w:eastAsia="仿宋" w:cs="仿宋_GB2312"/>
          <w:sz w:val="24"/>
        </w:rPr>
        <w:t>二、联合体内部有关事项约定如下：</w:t>
      </w:r>
    </w:p>
    <w:p w14:paraId="5D0A6AA2">
      <w:pPr>
        <w:spacing w:line="360" w:lineRule="auto"/>
        <w:ind w:firstLine="480" w:firstLineChars="200"/>
        <w:rPr>
          <w:rFonts w:ascii="仿宋" w:hAnsi="仿宋" w:eastAsia="仿宋" w:cs="仿宋_GB2312"/>
          <w:sz w:val="24"/>
        </w:rPr>
      </w:pPr>
      <w:r>
        <w:rPr>
          <w:rFonts w:hint="eastAsia" w:ascii="仿宋" w:hAnsi="仿宋" w:eastAsia="仿宋" w:cs="仿宋_GB2312"/>
          <w:sz w:val="24"/>
        </w:rPr>
        <w:t>1.联合体由联合体共同授权人员负责与招标采购单位联系。</w:t>
      </w:r>
    </w:p>
    <w:p w14:paraId="68E34267">
      <w:pPr>
        <w:spacing w:line="360" w:lineRule="auto"/>
        <w:ind w:firstLine="480" w:firstLineChars="200"/>
        <w:rPr>
          <w:rFonts w:ascii="仿宋" w:hAnsi="仿宋" w:eastAsia="仿宋" w:cs="仿宋_GB2312"/>
          <w:sz w:val="24"/>
        </w:rPr>
      </w:pPr>
      <w:r>
        <w:rPr>
          <w:rFonts w:hint="eastAsia" w:ascii="仿宋" w:hAnsi="仿宋" w:eastAsia="仿宋" w:cs="仿宋_GB2312"/>
          <w:sz w:val="24"/>
        </w:rPr>
        <w:t>2.联合体投标工作由联合体共同负责，由联合体各方组成的投标小组具体实施。</w:t>
      </w:r>
    </w:p>
    <w:p w14:paraId="4674434A">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3.联合体将严格按照招标文件的各项要求，递交投标文件，切实执行一切合同文件，共同承担合同规定的一切义务和责任，同时按照内部职责的划分，承担自身所负的责任和风险，在法律在承担连带责任。</w:t>
      </w:r>
    </w:p>
    <w:p w14:paraId="267F71AA">
      <w:pPr>
        <w:spacing w:line="360" w:lineRule="auto"/>
        <w:ind w:firstLine="480" w:firstLineChars="200"/>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Arial"/>
          <w:sz w:val="24"/>
        </w:rPr>
        <w:t>所有联合体成员各方签署授权书，授权书载明的</w:t>
      </w:r>
      <w:r>
        <w:rPr>
          <w:rFonts w:hint="eastAsia" w:ascii="仿宋" w:hAnsi="仿宋" w:eastAsia="仿宋" w:cs="仿宋_GB2312"/>
          <w:sz w:val="24"/>
          <w:lang w:val="zh-CN"/>
        </w:rPr>
        <w:t>授权代表根据招标文件规定及投标内容而对采购人、采购代理机构所作的任何合法承诺，包括书面澄清及相应等均对联合投标各方产生约束力。</w:t>
      </w:r>
    </w:p>
    <w:p w14:paraId="746C5325">
      <w:pPr>
        <w:spacing w:line="360" w:lineRule="auto"/>
        <w:ind w:firstLine="480" w:firstLineChars="200"/>
        <w:rPr>
          <w:rFonts w:ascii="仿宋" w:hAnsi="仿宋" w:eastAsia="仿宋" w:cs="仿宋_GB2312"/>
          <w:sz w:val="24"/>
        </w:rPr>
      </w:pPr>
      <w:r>
        <w:rPr>
          <w:rFonts w:hint="eastAsia" w:ascii="仿宋" w:hAnsi="仿宋" w:eastAsia="仿宋" w:cs="仿宋_GB2312"/>
          <w:sz w:val="24"/>
        </w:rPr>
        <w:t>5.如中标，联合体各方共同与</w:t>
      </w:r>
      <w:r>
        <w:rPr>
          <w:rFonts w:hint="eastAsia" w:ascii="仿宋" w:hAnsi="仿宋" w:eastAsia="仿宋" w:cs="仿宋_GB2312"/>
          <w:sz w:val="24"/>
          <w:u w:val="single"/>
        </w:rPr>
        <w:t>（采购人）</w:t>
      </w:r>
      <w:r>
        <w:rPr>
          <w:rFonts w:hint="eastAsia" w:ascii="仿宋" w:hAnsi="仿宋" w:eastAsia="仿宋" w:cs="仿宋_GB2312"/>
          <w:sz w:val="24"/>
        </w:rPr>
        <w:t>签订合同书，并就中标项目向采购人负责有连带的和各自的法律责任。</w:t>
      </w:r>
    </w:p>
    <w:p w14:paraId="295C0E63">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三、联合体各方不得再以自己名义参与本项目投标，联合体各方不能作为其它联合体或单独投标单位的项目组成员参加本项目投标。因发生上述问题导致联合体投标成为废标，联合体的其他成员可追究其违约责任和经济损失。</w:t>
      </w:r>
    </w:p>
    <w:p w14:paraId="557458CE">
      <w:pPr>
        <w:spacing w:line="360" w:lineRule="auto"/>
        <w:ind w:firstLine="480" w:firstLineChars="200"/>
        <w:rPr>
          <w:rFonts w:ascii="仿宋" w:hAnsi="仿宋" w:eastAsia="仿宋" w:cs="仿宋_GB2312"/>
          <w:sz w:val="24"/>
        </w:rPr>
      </w:pPr>
      <w:r>
        <w:rPr>
          <w:rFonts w:hint="eastAsia" w:ascii="仿宋" w:hAnsi="仿宋" w:eastAsia="仿宋" w:cs="仿宋_GB2312"/>
          <w:sz w:val="24"/>
        </w:rPr>
        <w:t>四、</w:t>
      </w:r>
      <w:r>
        <w:rPr>
          <w:rFonts w:hint="eastAsia" w:ascii="仿宋" w:hAnsi="仿宋" w:eastAsia="仿宋" w:cs="仿宋_GB2312"/>
          <w:sz w:val="24"/>
          <w:lang w:val="zh-CN"/>
        </w:rPr>
        <w:t>联合体中有同类资质的各方按照联合体分工承担相同工作的，按照资质等级较低的供应商确定资质等级。</w:t>
      </w:r>
    </w:p>
    <w:p w14:paraId="3E0AFB0A">
      <w:pPr>
        <w:spacing w:line="360" w:lineRule="auto"/>
        <w:ind w:firstLine="480" w:firstLineChars="200"/>
        <w:rPr>
          <w:rFonts w:ascii="仿宋" w:hAnsi="仿宋" w:eastAsia="仿宋" w:cs="仿宋_GB2312"/>
          <w:sz w:val="24"/>
        </w:rPr>
      </w:pPr>
      <w:r>
        <w:rPr>
          <w:rFonts w:hint="eastAsia" w:ascii="仿宋" w:hAnsi="仿宋" w:eastAsia="仿宋" w:cs="仿宋_GB2312"/>
          <w:sz w:val="24"/>
        </w:rPr>
        <w:t>五、联合体如因违约过失责任而导致采购人经济损失或被索赔时，本联合体任何一方均同意无条件优先清偿采购人的一切债务和经济赔偿。</w:t>
      </w:r>
    </w:p>
    <w:p w14:paraId="258809F6">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六、联合体各成员单位内部的职责分工如下：</w:t>
      </w:r>
      <w:r>
        <w:rPr>
          <w:rFonts w:hint="eastAsia" w:ascii="仿宋" w:hAnsi="仿宋" w:eastAsia="仿宋" w:cs="仿宋_GB2312"/>
          <w:sz w:val="24"/>
          <w:u w:val="single"/>
        </w:rPr>
        <w:t xml:space="preserve">             </w:t>
      </w:r>
      <w:r>
        <w:rPr>
          <w:rFonts w:hint="eastAsia" w:ascii="仿宋" w:hAnsi="仿宋" w:eastAsia="仿宋" w:cs="仿宋_GB2312"/>
          <w:sz w:val="24"/>
        </w:rPr>
        <w:t>。按照本条上述分工，联合体成员单位各自所承担的合同工作量比例如下：</w:t>
      </w:r>
      <w:r>
        <w:rPr>
          <w:rFonts w:hint="eastAsia" w:ascii="仿宋" w:hAnsi="仿宋" w:eastAsia="仿宋" w:cs="仿宋_GB2312"/>
          <w:sz w:val="24"/>
          <w:u w:val="single"/>
        </w:rPr>
        <w:t xml:space="preserve">               </w:t>
      </w:r>
      <w:r>
        <w:rPr>
          <w:rFonts w:hint="eastAsia" w:ascii="仿宋" w:hAnsi="仿宋" w:eastAsia="仿宋" w:cs="仿宋_GB2312"/>
          <w:sz w:val="24"/>
        </w:rPr>
        <w:t>。</w:t>
      </w:r>
    </w:p>
    <w:p w14:paraId="25AB14DD">
      <w:pPr>
        <w:spacing w:line="360" w:lineRule="auto"/>
        <w:ind w:firstLine="480" w:firstLineChars="200"/>
        <w:rPr>
          <w:rFonts w:ascii="仿宋" w:hAnsi="仿宋" w:eastAsia="仿宋" w:cs="仿宋_GB2312"/>
          <w:sz w:val="24"/>
        </w:rPr>
      </w:pPr>
      <w:r>
        <w:rPr>
          <w:rFonts w:hint="eastAsia" w:ascii="仿宋" w:hAnsi="仿宋" w:eastAsia="仿宋" w:cs="仿宋_GB2312"/>
          <w:sz w:val="24"/>
        </w:rPr>
        <w:t>七、</w:t>
      </w:r>
      <w:r>
        <w:rPr>
          <w:rFonts w:hint="eastAsia" w:ascii="仿宋" w:hAnsi="仿宋" w:eastAsia="仿宋" w:cs="仿宋_GB2312"/>
          <w:sz w:val="24"/>
          <w:lang w:val="zh-CN"/>
        </w:rPr>
        <w:t>本协议提交采购人、采购代理机构后，联合体各方不得以任何形式对上述内容进行修改或撤销</w:t>
      </w:r>
    </w:p>
    <w:p w14:paraId="7385D67E">
      <w:pPr>
        <w:spacing w:line="360" w:lineRule="auto"/>
        <w:ind w:firstLine="480" w:firstLineChars="200"/>
        <w:rPr>
          <w:rFonts w:ascii="仿宋" w:hAnsi="仿宋" w:eastAsia="仿宋" w:cs="仿宋_GB2312"/>
          <w:sz w:val="24"/>
        </w:rPr>
      </w:pPr>
      <w:r>
        <w:rPr>
          <w:rFonts w:hint="eastAsia" w:ascii="仿宋" w:hAnsi="仿宋" w:eastAsia="仿宋" w:cs="仿宋_GB2312"/>
          <w:sz w:val="24"/>
        </w:rPr>
        <w:t>八、本协议在自签署之日起生效，投标有效期内有效，如获中标资格，合同有效期延续至合同履行完毕之日。</w:t>
      </w:r>
    </w:p>
    <w:p w14:paraId="68C77D53">
      <w:pPr>
        <w:spacing w:line="360" w:lineRule="auto"/>
        <w:ind w:firstLine="480" w:firstLineChars="200"/>
        <w:rPr>
          <w:rFonts w:hint="eastAsia" w:ascii="仿宋" w:hAnsi="仿宋" w:eastAsia="仿宋" w:cs="仿宋_GB2312"/>
          <w:sz w:val="24"/>
          <w:lang w:eastAsia="zh-CN"/>
        </w:rPr>
      </w:pPr>
      <w:r>
        <w:rPr>
          <w:rFonts w:hint="eastAsia" w:ascii="仿宋" w:hAnsi="仿宋" w:eastAsia="仿宋" w:cs="仿宋_GB2312"/>
          <w:sz w:val="24"/>
        </w:rPr>
        <w:t>九、本协议书正本一式</w:t>
      </w:r>
      <w:r>
        <w:rPr>
          <w:rFonts w:hint="eastAsia" w:ascii="仿宋" w:hAnsi="仿宋" w:eastAsia="仿宋" w:cs="仿宋_GB2312"/>
          <w:sz w:val="24"/>
          <w:u w:val="single"/>
        </w:rPr>
        <w:t xml:space="preserve">   </w:t>
      </w:r>
      <w:r>
        <w:rPr>
          <w:rFonts w:hint="eastAsia" w:ascii="仿宋" w:hAnsi="仿宋" w:eastAsia="仿宋" w:cs="仿宋_GB2312"/>
          <w:sz w:val="24"/>
        </w:rPr>
        <w:t>份，随投标文件装订</w:t>
      </w:r>
      <w:r>
        <w:rPr>
          <w:rFonts w:hint="eastAsia" w:ascii="仿宋" w:hAnsi="仿宋" w:eastAsia="仿宋" w:cs="仿宋_GB2312"/>
          <w:sz w:val="24"/>
          <w:u w:val="single"/>
        </w:rPr>
        <w:t xml:space="preserve">   </w:t>
      </w:r>
      <w:r>
        <w:rPr>
          <w:rFonts w:hint="eastAsia" w:ascii="仿宋" w:hAnsi="仿宋" w:eastAsia="仿宋" w:cs="仿宋_GB2312"/>
          <w:sz w:val="24"/>
        </w:rPr>
        <w:t>份，送采购人</w:t>
      </w:r>
      <w:r>
        <w:rPr>
          <w:rFonts w:hint="eastAsia" w:ascii="仿宋" w:hAnsi="仿宋" w:eastAsia="仿宋" w:cs="仿宋_GB2312"/>
          <w:sz w:val="24"/>
          <w:u w:val="single"/>
        </w:rPr>
        <w:t xml:space="preserve">   </w:t>
      </w:r>
      <w:r>
        <w:rPr>
          <w:rFonts w:hint="eastAsia" w:ascii="仿宋" w:hAnsi="仿宋" w:eastAsia="仿宋" w:cs="仿宋_GB2312"/>
          <w:sz w:val="24"/>
        </w:rPr>
        <w:t>份，联合体成员各一份；副本一式</w:t>
      </w:r>
      <w:r>
        <w:rPr>
          <w:rFonts w:hint="eastAsia" w:ascii="仿宋" w:hAnsi="仿宋" w:eastAsia="仿宋" w:cs="仿宋_GB2312"/>
          <w:sz w:val="24"/>
          <w:u w:val="single"/>
        </w:rPr>
        <w:t xml:space="preserve">   </w:t>
      </w:r>
      <w:r>
        <w:rPr>
          <w:rFonts w:hint="eastAsia" w:ascii="仿宋" w:hAnsi="仿宋" w:eastAsia="仿宋" w:cs="仿宋_GB2312"/>
          <w:sz w:val="24"/>
        </w:rPr>
        <w:t>份，联合体成员各执</w:t>
      </w:r>
      <w:r>
        <w:rPr>
          <w:rFonts w:hint="eastAsia" w:ascii="仿宋" w:hAnsi="仿宋" w:eastAsia="仿宋" w:cs="仿宋_GB2312"/>
          <w:sz w:val="24"/>
          <w:u w:val="single"/>
        </w:rPr>
        <w:t xml:space="preserve">   </w:t>
      </w:r>
      <w:r>
        <w:rPr>
          <w:rFonts w:hint="eastAsia" w:ascii="仿宋" w:hAnsi="仿宋" w:eastAsia="仿宋" w:cs="仿宋_GB2312"/>
          <w:sz w:val="24"/>
        </w:rPr>
        <w:t>份。</w:t>
      </w:r>
    </w:p>
    <w:p w14:paraId="40DD874D">
      <w:pPr>
        <w:spacing w:line="360" w:lineRule="auto"/>
        <w:ind w:firstLine="480" w:firstLineChars="200"/>
        <w:rPr>
          <w:rFonts w:hint="eastAsia" w:ascii="仿宋" w:hAnsi="仿宋" w:eastAsia="仿宋" w:cs="仿宋_GB2312"/>
          <w:sz w:val="24"/>
          <w:lang w:eastAsia="zh-CN"/>
        </w:rPr>
      </w:pPr>
    </w:p>
    <w:p w14:paraId="72BF74FE">
      <w:pPr>
        <w:widowControl/>
        <w:spacing w:line="360" w:lineRule="auto"/>
        <w:jc w:val="left"/>
        <w:rPr>
          <w:rFonts w:ascii="仿宋" w:hAnsi="仿宋" w:eastAsia="仿宋" w:cs="仿宋_GB2312"/>
          <w:sz w:val="24"/>
        </w:rPr>
      </w:pPr>
    </w:p>
    <w:p w14:paraId="31E2D9A8">
      <w:pPr>
        <w:widowControl/>
        <w:spacing w:line="360" w:lineRule="auto"/>
        <w:jc w:val="left"/>
        <w:rPr>
          <w:rFonts w:ascii="仿宋" w:hAnsi="仿宋" w:eastAsia="仿宋" w:cs="仿宋_GB2312"/>
          <w:sz w:val="24"/>
        </w:rPr>
      </w:pPr>
      <w:r>
        <w:rPr>
          <w:rFonts w:hint="eastAsia" w:ascii="仿宋" w:hAnsi="仿宋" w:eastAsia="仿宋" w:cs="仿宋_GB2312"/>
          <w:sz w:val="24"/>
        </w:rPr>
        <w:t xml:space="preserve">甲公司全称：（盖章）                            </w:t>
      </w:r>
    </w:p>
    <w:p w14:paraId="51EC96BA">
      <w:pPr>
        <w:widowControl/>
        <w:spacing w:line="360" w:lineRule="auto"/>
        <w:jc w:val="left"/>
        <w:rPr>
          <w:rFonts w:ascii="仿宋" w:hAnsi="仿宋" w:eastAsia="仿宋" w:cs="仿宋_GB2312"/>
          <w:sz w:val="24"/>
        </w:rPr>
      </w:pPr>
      <w:r>
        <w:rPr>
          <w:rFonts w:hint="eastAsia" w:ascii="仿宋" w:hAnsi="仿宋" w:eastAsia="仿宋" w:cs="仿宋_GB2312"/>
          <w:sz w:val="24"/>
        </w:rPr>
        <w:t xml:space="preserve">法定代表人：（签名或盖章）       </w:t>
      </w:r>
    </w:p>
    <w:p w14:paraId="3F597689">
      <w:pPr>
        <w:widowControl/>
        <w:spacing w:line="360" w:lineRule="auto"/>
        <w:jc w:val="left"/>
        <w:rPr>
          <w:rFonts w:ascii="仿宋" w:hAnsi="仿宋" w:eastAsia="仿宋" w:cs="仿宋_GB2312"/>
          <w:sz w:val="24"/>
        </w:rPr>
      </w:pPr>
      <w:r>
        <w:rPr>
          <w:rFonts w:hint="eastAsia" w:ascii="仿宋" w:hAnsi="仿宋" w:eastAsia="仿宋" w:cs="仿宋_GB2312"/>
          <w:sz w:val="24"/>
        </w:rPr>
        <w:t xml:space="preserve">     </w:t>
      </w:r>
      <w:r>
        <w:rPr>
          <w:rFonts w:hint="eastAsia" w:ascii="宋体" w:hAnsi="宋体" w:cs="宋体"/>
          <w:sz w:val="24"/>
        </w:rPr>
        <w:t> </w:t>
      </w:r>
      <w:r>
        <w:rPr>
          <w:rFonts w:hint="eastAsia" w:ascii="仿宋" w:hAnsi="仿宋" w:eastAsia="仿宋" w:cs="仿宋"/>
          <w:sz w:val="24"/>
        </w:rPr>
        <w:t xml:space="preserve"> </w:t>
      </w:r>
      <w:r>
        <w:rPr>
          <w:rFonts w:hint="eastAsia" w:ascii="宋体" w:hAnsi="宋体" w:cs="宋体"/>
          <w:sz w:val="24"/>
        </w:rPr>
        <w:t> </w:t>
      </w:r>
      <w:r>
        <w:rPr>
          <w:rFonts w:hint="eastAsia" w:ascii="仿宋" w:hAnsi="仿宋" w:eastAsia="仿宋" w:cs="仿宋"/>
          <w:sz w:val="24"/>
        </w:rPr>
        <w:t xml:space="preserve"> </w:t>
      </w:r>
      <w:r>
        <w:rPr>
          <w:rFonts w:hint="eastAsia" w:ascii="宋体" w:hAnsi="宋体" w:cs="宋体"/>
          <w:sz w:val="24"/>
        </w:rPr>
        <w:t> </w:t>
      </w:r>
      <w:r>
        <w:rPr>
          <w:rFonts w:hint="eastAsia" w:ascii="仿宋" w:hAnsi="仿宋" w:eastAsia="仿宋" w:cs="仿宋"/>
          <w:sz w:val="24"/>
        </w:rPr>
        <w:t xml:space="preserve">                                          </w:t>
      </w:r>
      <w:r>
        <w:rPr>
          <w:rFonts w:hint="eastAsia" w:ascii="仿宋" w:hAnsi="仿宋" w:eastAsia="仿宋" w:cs="仿宋_GB2312"/>
          <w:sz w:val="24"/>
        </w:rPr>
        <w:t xml:space="preserve">年 </w:t>
      </w:r>
      <w:r>
        <w:rPr>
          <w:rFonts w:hint="eastAsia" w:ascii="宋体" w:hAnsi="宋体" w:cs="宋体"/>
          <w:sz w:val="24"/>
        </w:rPr>
        <w:t> </w:t>
      </w:r>
      <w:r>
        <w:rPr>
          <w:rFonts w:hint="eastAsia" w:ascii="仿宋" w:hAnsi="仿宋" w:eastAsia="仿宋" w:cs="仿宋"/>
          <w:sz w:val="24"/>
        </w:rPr>
        <w:t xml:space="preserve"> </w:t>
      </w:r>
      <w:r>
        <w:rPr>
          <w:rFonts w:hint="eastAsia" w:ascii="仿宋" w:hAnsi="仿宋" w:eastAsia="仿宋" w:cs="仿宋_GB2312"/>
          <w:sz w:val="24"/>
        </w:rPr>
        <w:t xml:space="preserve">月 </w:t>
      </w:r>
      <w:r>
        <w:rPr>
          <w:rFonts w:hint="eastAsia" w:ascii="宋体" w:hAnsi="宋体" w:cs="宋体"/>
          <w:sz w:val="24"/>
        </w:rPr>
        <w:t> </w:t>
      </w:r>
      <w:r>
        <w:rPr>
          <w:rFonts w:hint="eastAsia" w:ascii="仿宋" w:hAnsi="仿宋" w:eastAsia="仿宋" w:cs="仿宋"/>
          <w:sz w:val="24"/>
        </w:rPr>
        <w:t xml:space="preserve"> </w:t>
      </w:r>
      <w:r>
        <w:rPr>
          <w:rFonts w:hint="eastAsia" w:ascii="仿宋" w:hAnsi="仿宋" w:eastAsia="仿宋" w:cs="仿宋_GB2312"/>
          <w:sz w:val="24"/>
        </w:rPr>
        <w:t xml:space="preserve">日 </w:t>
      </w:r>
      <w:r>
        <w:rPr>
          <w:rFonts w:hint="eastAsia" w:ascii="宋体" w:hAnsi="宋体" w:cs="宋体"/>
          <w:sz w:val="24"/>
        </w:rPr>
        <w:t> </w:t>
      </w:r>
      <w:r>
        <w:rPr>
          <w:rFonts w:hint="eastAsia" w:ascii="仿宋" w:hAnsi="仿宋" w:eastAsia="仿宋" w:cs="仿宋"/>
          <w:sz w:val="24"/>
        </w:rPr>
        <w:t xml:space="preserve">                       </w:t>
      </w:r>
    </w:p>
    <w:p w14:paraId="48680034">
      <w:pPr>
        <w:widowControl/>
        <w:spacing w:line="360" w:lineRule="auto"/>
        <w:jc w:val="left"/>
        <w:rPr>
          <w:rFonts w:ascii="仿宋" w:hAnsi="仿宋" w:eastAsia="仿宋" w:cs="仿宋_GB2312"/>
          <w:sz w:val="24"/>
        </w:rPr>
      </w:pPr>
      <w:r>
        <w:rPr>
          <w:rFonts w:hint="eastAsia" w:ascii="仿宋" w:hAnsi="仿宋" w:eastAsia="仿宋" w:cs="仿宋_GB2312"/>
          <w:sz w:val="24"/>
        </w:rPr>
        <w:t>乙公司全称：（盖章）</w:t>
      </w:r>
    </w:p>
    <w:p w14:paraId="60EA12EC">
      <w:pPr>
        <w:widowControl/>
        <w:spacing w:line="360" w:lineRule="auto"/>
        <w:jc w:val="left"/>
        <w:rPr>
          <w:rFonts w:ascii="仿宋" w:hAnsi="仿宋" w:eastAsia="仿宋" w:cs="仿宋_GB2312"/>
          <w:sz w:val="24"/>
        </w:rPr>
      </w:pPr>
      <w:r>
        <w:rPr>
          <w:rFonts w:hint="eastAsia" w:ascii="仿宋" w:hAnsi="仿宋" w:eastAsia="仿宋" w:cs="仿宋_GB2312"/>
          <w:sz w:val="24"/>
        </w:rPr>
        <w:t>法定代表人：（签名或盖章）</w:t>
      </w:r>
    </w:p>
    <w:p w14:paraId="6571899C">
      <w:pPr>
        <w:widowControl/>
        <w:spacing w:line="360" w:lineRule="auto"/>
        <w:ind w:firstLine="6480" w:firstLineChars="2700"/>
        <w:jc w:val="left"/>
        <w:rPr>
          <w:rFonts w:ascii="仿宋" w:hAnsi="仿宋" w:eastAsia="仿宋" w:cs="仿宋_GB2312"/>
          <w:sz w:val="24"/>
        </w:rPr>
      </w:pPr>
      <w:r>
        <w:rPr>
          <w:rFonts w:hint="eastAsia" w:ascii="仿宋" w:hAnsi="仿宋" w:eastAsia="仿宋" w:cs="仿宋_GB2312"/>
          <w:sz w:val="24"/>
        </w:rPr>
        <w:t xml:space="preserve"> 年 </w:t>
      </w:r>
      <w:r>
        <w:rPr>
          <w:rFonts w:hint="eastAsia" w:ascii="宋体" w:hAnsi="宋体" w:cs="宋体"/>
          <w:sz w:val="24"/>
        </w:rPr>
        <w:t> </w:t>
      </w:r>
      <w:r>
        <w:rPr>
          <w:rFonts w:hint="eastAsia" w:ascii="仿宋" w:hAnsi="仿宋" w:eastAsia="仿宋" w:cs="仿宋"/>
          <w:sz w:val="24"/>
        </w:rPr>
        <w:t xml:space="preserve"> </w:t>
      </w:r>
      <w:r>
        <w:rPr>
          <w:rFonts w:hint="eastAsia" w:ascii="仿宋" w:hAnsi="仿宋" w:eastAsia="仿宋" w:cs="仿宋_GB2312"/>
          <w:sz w:val="24"/>
        </w:rPr>
        <w:t xml:space="preserve">月 </w:t>
      </w:r>
      <w:r>
        <w:rPr>
          <w:rFonts w:hint="eastAsia" w:ascii="宋体" w:hAnsi="宋体" w:cs="宋体"/>
          <w:sz w:val="24"/>
        </w:rPr>
        <w:t> </w:t>
      </w:r>
      <w:r>
        <w:rPr>
          <w:rFonts w:hint="eastAsia" w:ascii="仿宋" w:hAnsi="仿宋" w:eastAsia="仿宋" w:cs="仿宋"/>
          <w:sz w:val="24"/>
        </w:rPr>
        <w:t xml:space="preserve"> </w:t>
      </w:r>
      <w:r>
        <w:rPr>
          <w:rFonts w:hint="eastAsia" w:ascii="仿宋" w:hAnsi="仿宋" w:eastAsia="仿宋" w:cs="仿宋_GB2312"/>
          <w:sz w:val="24"/>
        </w:rPr>
        <w:t>日</w:t>
      </w:r>
    </w:p>
    <w:p w14:paraId="48A2B39C">
      <w:pPr>
        <w:widowControl/>
        <w:spacing w:line="360" w:lineRule="auto"/>
        <w:jc w:val="left"/>
        <w:rPr>
          <w:rFonts w:ascii="仿宋" w:hAnsi="仿宋" w:eastAsia="仿宋" w:cs="仿宋_GB2312"/>
          <w:sz w:val="24"/>
        </w:rPr>
      </w:pPr>
      <w:r>
        <w:rPr>
          <w:rFonts w:hint="eastAsia" w:ascii="仿宋" w:hAnsi="仿宋" w:eastAsia="仿宋" w:cs="仿宋_GB2312"/>
          <w:sz w:val="24"/>
        </w:rPr>
        <w:t>......</w:t>
      </w:r>
    </w:p>
    <w:p w14:paraId="117C23D2">
      <w:pPr>
        <w:widowControl/>
        <w:spacing w:line="460" w:lineRule="exact"/>
        <w:ind w:firstLine="6480" w:firstLineChars="2700"/>
        <w:jc w:val="left"/>
        <w:rPr>
          <w:rFonts w:ascii="仿宋" w:hAnsi="仿宋" w:eastAsia="仿宋" w:cs="仿宋_GB2312"/>
          <w:sz w:val="24"/>
        </w:rPr>
      </w:pPr>
    </w:p>
    <w:p w14:paraId="3964DE91">
      <w:pPr>
        <w:widowControl/>
        <w:spacing w:line="460" w:lineRule="exact"/>
        <w:jc w:val="left"/>
        <w:rPr>
          <w:rFonts w:ascii="仿宋" w:hAnsi="仿宋" w:eastAsia="仿宋" w:cs="仿宋_GB2312"/>
          <w:sz w:val="24"/>
        </w:rPr>
      </w:pPr>
    </w:p>
    <w:p w14:paraId="7DEF1184">
      <w:pPr>
        <w:spacing w:line="460" w:lineRule="exact"/>
        <w:ind w:left="706" w:hanging="705" w:hangingChars="294"/>
        <w:rPr>
          <w:rFonts w:ascii="仿宋" w:hAnsi="仿宋" w:eastAsia="仿宋" w:cs="仿宋_GB2312"/>
          <w:sz w:val="24"/>
        </w:rPr>
      </w:pPr>
      <w:r>
        <w:rPr>
          <w:rFonts w:hint="eastAsia" w:ascii="仿宋" w:hAnsi="仿宋" w:eastAsia="仿宋" w:cs="仿宋_GB2312"/>
          <w:sz w:val="24"/>
        </w:rPr>
        <w:t>注：1．联合投标时需签本协议，联合体各方成员应在本协议上共同盖章确认。</w:t>
      </w:r>
    </w:p>
    <w:p w14:paraId="7A0E5E43">
      <w:pPr>
        <w:pStyle w:val="87"/>
        <w:spacing w:after="0" w:line="460" w:lineRule="exact"/>
        <w:ind w:firstLine="240"/>
      </w:pPr>
      <w:r>
        <w:rPr>
          <w:rFonts w:hint="eastAsia" w:ascii="仿宋" w:hAnsi="仿宋" w:eastAsia="仿宋" w:cs="仿宋_GB2312"/>
          <w:sz w:val="24"/>
        </w:rPr>
        <w:t>2．允许联合体各方成员在本协议内容的基础上进行调整与细化，但不得擅自改变原本的权责与用意，此协议将作为签订合同的附件之一。</w:t>
      </w:r>
    </w:p>
    <w:p w14:paraId="4FEFA15C">
      <w:pPr>
        <w:snapToGrid w:val="0"/>
        <w:spacing w:line="440" w:lineRule="exact"/>
        <w:jc w:val="center"/>
        <w:rPr>
          <w:rFonts w:hint="eastAsia" w:ascii="仿宋" w:hAnsi="仿宋" w:eastAsia="仿宋" w:cs="仿宋"/>
          <w:b/>
          <w:color w:val="auto"/>
          <w:sz w:val="32"/>
          <w:szCs w:val="32"/>
          <w:highlight w:val="none"/>
        </w:rPr>
      </w:pPr>
    </w:p>
    <w:p w14:paraId="4BD2FBA9">
      <w:pPr>
        <w:snapToGrid w:val="0"/>
        <w:ind w:right="480"/>
        <w:jc w:val="center"/>
        <w:rPr>
          <w:rFonts w:hint="eastAsia" w:ascii="仿宋" w:hAnsi="仿宋" w:eastAsia="仿宋" w:cs="仿宋"/>
          <w:b/>
          <w:color w:val="auto"/>
          <w:kern w:val="2"/>
          <w:sz w:val="32"/>
          <w:szCs w:val="32"/>
          <w:highlight w:val="none"/>
        </w:rPr>
      </w:pPr>
    </w:p>
    <w:p w14:paraId="3F0C6C56">
      <w:pPr>
        <w:snapToGrid w:val="0"/>
        <w:ind w:right="480"/>
        <w:jc w:val="center"/>
        <w:rPr>
          <w:rFonts w:hint="eastAsia" w:ascii="仿宋" w:hAnsi="仿宋" w:eastAsia="仿宋" w:cs="仿宋"/>
          <w:b/>
          <w:color w:val="auto"/>
          <w:kern w:val="2"/>
          <w:sz w:val="32"/>
          <w:szCs w:val="32"/>
          <w:highlight w:val="none"/>
        </w:rPr>
      </w:pPr>
    </w:p>
    <w:p w14:paraId="0D54F770">
      <w:pPr>
        <w:snapToGrid w:val="0"/>
        <w:ind w:right="480"/>
        <w:jc w:val="center"/>
        <w:rPr>
          <w:rFonts w:hint="eastAsia" w:ascii="仿宋" w:hAnsi="仿宋" w:eastAsia="仿宋" w:cs="仿宋"/>
          <w:b/>
          <w:color w:val="auto"/>
          <w:kern w:val="2"/>
          <w:sz w:val="32"/>
          <w:szCs w:val="32"/>
          <w:highlight w:val="none"/>
        </w:rPr>
      </w:pPr>
    </w:p>
    <w:p w14:paraId="56E742D4">
      <w:pPr>
        <w:snapToGrid w:val="0"/>
        <w:ind w:right="480"/>
        <w:jc w:val="center"/>
        <w:rPr>
          <w:rFonts w:hint="eastAsia" w:ascii="仿宋" w:hAnsi="仿宋" w:eastAsia="仿宋" w:cs="仿宋"/>
          <w:b/>
          <w:color w:val="auto"/>
          <w:kern w:val="2"/>
          <w:sz w:val="32"/>
          <w:szCs w:val="32"/>
          <w:highlight w:val="none"/>
        </w:rPr>
      </w:pPr>
    </w:p>
    <w:p w14:paraId="548E9B85">
      <w:pPr>
        <w:snapToGrid w:val="0"/>
        <w:ind w:right="480"/>
        <w:jc w:val="center"/>
        <w:rPr>
          <w:rFonts w:hint="eastAsia" w:ascii="仿宋" w:hAnsi="仿宋" w:eastAsia="仿宋" w:cs="仿宋"/>
          <w:b/>
          <w:color w:val="auto"/>
          <w:kern w:val="0"/>
          <w:highlight w:val="none"/>
        </w:rPr>
      </w:pPr>
      <w:r>
        <w:rPr>
          <w:rFonts w:hint="eastAsia" w:ascii="仿宋" w:hAnsi="仿宋" w:eastAsia="仿宋" w:cs="仿宋"/>
          <w:b/>
          <w:color w:val="auto"/>
          <w:kern w:val="2"/>
          <w:sz w:val="32"/>
          <w:szCs w:val="32"/>
          <w:highlight w:val="none"/>
        </w:rPr>
        <w:t>符合参加采购活动应当具备的一般条件的承诺函</w:t>
      </w:r>
    </w:p>
    <w:p w14:paraId="4ED260BE">
      <w:pPr>
        <w:snapToGrid w:val="0"/>
        <w:spacing w:line="440" w:lineRule="exact"/>
        <w:rPr>
          <w:rFonts w:hint="eastAsia" w:ascii="仿宋" w:hAnsi="仿宋" w:eastAsia="仿宋" w:cs="仿宋"/>
          <w:color w:val="auto"/>
          <w:highlight w:val="none"/>
          <w:u w:val="single"/>
        </w:rPr>
      </w:pPr>
      <w:r>
        <w:rPr>
          <w:rFonts w:hint="eastAsia" w:ascii="仿宋" w:hAnsi="仿宋" w:eastAsia="仿宋" w:cs="仿宋"/>
          <w:bCs/>
          <w:color w:val="auto"/>
          <w:highlight w:val="none"/>
          <w:u w:val="single"/>
        </w:rPr>
        <w:t>（采购人）、</w:t>
      </w:r>
      <w:r>
        <w:rPr>
          <w:rFonts w:hint="eastAsia" w:cs="仿宋"/>
          <w:bCs/>
          <w:color w:val="auto"/>
          <w:highlight w:val="none"/>
          <w:u w:val="single"/>
          <w:lang w:eastAsia="zh-CN"/>
        </w:rPr>
        <w:t>宁波禹通工程项目管理有限公司 </w:t>
      </w:r>
      <w:r>
        <w:rPr>
          <w:rFonts w:hint="eastAsia" w:ascii="仿宋" w:hAnsi="仿宋" w:eastAsia="仿宋" w:cs="仿宋"/>
          <w:bCs/>
          <w:color w:val="auto"/>
          <w:highlight w:val="none"/>
          <w:u w:val="single"/>
        </w:rPr>
        <w:t>：</w:t>
      </w:r>
    </w:p>
    <w:p w14:paraId="3E28AB6A">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w:t>
      </w:r>
      <w:r>
        <w:rPr>
          <w:rFonts w:hint="eastAsia" w:ascii="仿宋" w:hAnsi="仿宋" w:eastAsia="仿宋" w:cs="仿宋"/>
          <w:color w:val="auto"/>
          <w:highlight w:val="none"/>
          <w:u w:val="single"/>
        </w:rPr>
        <w:t xml:space="preserve">    </w:t>
      </w:r>
      <w:r>
        <w:rPr>
          <w:rFonts w:hint="eastAsia" w:cs="仿宋"/>
          <w:color w:val="auto"/>
          <w:highlight w:val="none"/>
          <w:u w:val="single"/>
          <w:lang w:eastAsia="zh-CN"/>
        </w:rPr>
        <w:t>桐庐畅桐新能源科技有限公司二期充电桩建设项目</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】采购活动，郑重承诺：</w:t>
      </w:r>
    </w:p>
    <w:p w14:paraId="6EFAD1FB">
      <w:pPr>
        <w:snapToGrid w:val="0"/>
        <w:spacing w:line="44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14:paraId="78147A51">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5B44CAD0">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5A5F81F0">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2AB92123">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07BA8B36">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5、参加采购活动前三年内，在经营活动中没有重大违法记录；</w:t>
      </w:r>
    </w:p>
    <w:p w14:paraId="6E4D2601">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50FA9DC9">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（二）未被信用中国（www.creditchina.gov.cn)、中国政府采购网（www.ccgp.gov.cn）列入失信被执行人、重大税收违法失信主体、政府采购严重违法失信行为记录名单。</w:t>
      </w:r>
    </w:p>
    <w:p w14:paraId="476DF52C">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47F80142">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1、单位负责人为同一人或者存在直接控股、管理关系的不同供应商参加同一合同项下的采购活动的；</w:t>
      </w:r>
    </w:p>
    <w:p w14:paraId="026424B7">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14:paraId="124C58EC">
      <w:pPr>
        <w:pStyle w:val="841"/>
        <w:snapToGrid w:val="0"/>
        <w:spacing w:before="156"/>
        <w:ind w:firstLine="3120" w:firstLineChars="1300"/>
        <w:rPr>
          <w:rFonts w:hint="eastAsia" w:ascii="仿宋" w:hAnsi="仿宋" w:eastAsia="仿宋" w:cs="仿宋"/>
          <w:color w:val="auto"/>
          <w:szCs w:val="24"/>
          <w:highlight w:val="none"/>
        </w:rPr>
      </w:pPr>
    </w:p>
    <w:p w14:paraId="33A4C35E">
      <w:pPr>
        <w:pStyle w:val="841"/>
        <w:snapToGrid w:val="0"/>
        <w:spacing w:before="156"/>
        <w:ind w:firstLine="3120" w:firstLineChars="1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0215D28F">
      <w:pPr>
        <w:snapToGrid w:val="0"/>
        <w:spacing w:before="156" w:after="50" w:line="460" w:lineRule="exact"/>
        <w:ind w:firstLine="3840" w:firstLineChars="1600"/>
        <w:rPr>
          <w:rFonts w:hint="eastAsia" w:ascii="仿宋" w:hAnsi="仿宋" w:eastAsia="仿宋" w:cs="仿宋"/>
          <w:color w:val="auto"/>
          <w:highlight w:val="none"/>
          <w:u w:val="singl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0AC7DB48">
      <w:pPr>
        <w:pStyle w:val="2"/>
        <w:rPr>
          <w:rFonts w:hint="eastAsia" w:ascii="仿宋" w:hAnsi="仿宋" w:eastAsia="仿宋" w:cs="仿宋"/>
          <w:color w:val="auto"/>
          <w:sz w:val="24"/>
          <w:szCs w:val="24"/>
          <w:highlight w:val="none"/>
          <w:u w:val="single"/>
        </w:rPr>
      </w:pPr>
    </w:p>
    <w:p w14:paraId="20212E39">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highlight w:val="none"/>
          <w:u w:val="single"/>
        </w:rPr>
        <w:t>可不对本承诺函第（一）款第4点进行承诺，</w:t>
      </w:r>
      <w:r>
        <w:rPr>
          <w:rFonts w:hint="eastAsia" w:ascii="仿宋" w:hAnsi="仿宋" w:eastAsia="仿宋" w:cs="仿宋"/>
          <w:color w:val="auto"/>
          <w:highlight w:val="none"/>
        </w:rPr>
        <w:t>但须详细说明失信记录的情况，否则按无效标处理。</w:t>
      </w:r>
    </w:p>
    <w:p w14:paraId="4FBACEF0">
      <w:pPr>
        <w:ind w:firstLine="480" w:firstLineChars="200"/>
        <w:rPr>
          <w:rFonts w:hint="eastAsia" w:ascii="仿宋" w:hAnsi="仿宋" w:eastAsia="仿宋" w:cs="仿宋"/>
          <w:color w:val="auto"/>
          <w:highlight w:val="none"/>
        </w:rPr>
      </w:pPr>
    </w:p>
    <w:p w14:paraId="5D33B530">
      <w:pPr>
        <w:spacing w:before="312" w:beforeLines="100" w:after="312" w:afterLines="100" w:line="440" w:lineRule="exact"/>
        <w:jc w:val="center"/>
        <w:rPr>
          <w:rFonts w:hint="eastAsia"/>
          <w:b/>
          <w:sz w:val="30"/>
          <w:szCs w:val="30"/>
          <w:lang w:val="en-US" w:eastAsia="zh-CN"/>
        </w:rPr>
      </w:pPr>
      <w:r>
        <w:rPr>
          <w:rFonts w:hint="eastAsia"/>
          <w:b/>
          <w:sz w:val="30"/>
          <w:szCs w:val="30"/>
        </w:rPr>
        <w:t>特定资格要求：</w:t>
      </w:r>
      <w:r>
        <w:rPr>
          <w:rFonts w:hint="eastAsia"/>
          <w:b/>
          <w:sz w:val="30"/>
          <w:szCs w:val="30"/>
          <w:lang w:val="en-US" w:eastAsia="zh-CN"/>
        </w:rPr>
        <w:t>电力工程施工总承包或建筑机电安装工程总承包（专业承包）叁级及以上，同时具有市政公用工程施工总承包叁级及以上和承装（修、试）电力设施许可证五级及以上</w:t>
      </w:r>
    </w:p>
    <w:p w14:paraId="56D85744">
      <w:pPr>
        <w:spacing w:before="312" w:beforeLines="100" w:after="312" w:afterLines="100" w:line="440" w:lineRule="exact"/>
        <w:jc w:val="center"/>
        <w:rPr>
          <w:rFonts w:hint="eastAsia"/>
          <w:b/>
          <w:sz w:val="30"/>
          <w:szCs w:val="30"/>
        </w:rPr>
      </w:pPr>
      <w:r>
        <w:rPr>
          <w:rFonts w:hint="eastAsia"/>
          <w:b/>
          <w:sz w:val="30"/>
          <w:szCs w:val="30"/>
        </w:rPr>
        <w:t>（提供有效期内的证书）</w:t>
      </w:r>
    </w:p>
    <w:p w14:paraId="3AD0535A">
      <w:pPr>
        <w:ind w:firstLine="480" w:firstLineChars="200"/>
        <w:rPr>
          <w:rFonts w:hint="eastAsia" w:ascii="仿宋" w:hAnsi="仿宋" w:eastAsia="仿宋" w:cs="仿宋"/>
          <w:color w:val="auto"/>
          <w:highlight w:val="none"/>
        </w:rPr>
        <w:sectPr>
          <w:headerReference r:id="rId13" w:type="default"/>
          <w:footerReference r:id="rId14" w:type="default"/>
          <w:pgSz w:w="11906" w:h="16838"/>
          <w:pgMar w:top="1247" w:right="1418" w:bottom="1247" w:left="1588" w:header="851" w:footer="992" w:gutter="0"/>
          <w:cols w:space="720" w:num="1"/>
          <w:docGrid w:type="lines" w:linePitch="312" w:charSpace="0"/>
        </w:sectPr>
      </w:pPr>
    </w:p>
    <w:p w14:paraId="41052F22">
      <w:pPr>
        <w:widowControl/>
        <w:spacing w:line="440" w:lineRule="exact"/>
        <w:jc w:val="left"/>
        <w:rPr>
          <w:rFonts w:hint="eastAsia" w:ascii="仿宋" w:hAnsi="仿宋" w:eastAsia="仿宋" w:cs="仿宋"/>
          <w:b/>
          <w:color w:val="auto"/>
          <w:sz w:val="32"/>
          <w:szCs w:val="32"/>
          <w:highlight w:val="none"/>
        </w:rPr>
      </w:pPr>
    </w:p>
    <w:p w14:paraId="708EA771">
      <w:pPr>
        <w:widowControl/>
        <w:spacing w:line="440" w:lineRule="exact"/>
        <w:jc w:val="left"/>
        <w:rPr>
          <w:rFonts w:hint="eastAsia" w:ascii="仿宋" w:hAnsi="仿宋" w:eastAsia="仿宋" w:cs="仿宋"/>
          <w:b/>
          <w:color w:val="auto"/>
          <w:sz w:val="32"/>
          <w:szCs w:val="32"/>
          <w:highlight w:val="none"/>
        </w:rPr>
      </w:pPr>
    </w:p>
    <w:p w14:paraId="582BD6EF">
      <w:pPr>
        <w:spacing w:line="440" w:lineRule="exact"/>
        <w:jc w:val="center"/>
        <w:rPr>
          <w:rFonts w:hint="eastAsia" w:ascii="仿宋" w:hAnsi="仿宋" w:eastAsia="仿宋" w:cs="仿宋"/>
          <w:b/>
          <w:color w:val="auto"/>
          <w:sz w:val="30"/>
          <w:szCs w:val="30"/>
          <w:highlight w:val="none"/>
        </w:rPr>
      </w:pPr>
    </w:p>
    <w:p w14:paraId="4F5B98FB">
      <w:pPr>
        <w:spacing w:before="312" w:beforeLines="100" w:after="312" w:afterLines="100" w:line="44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投标文件封面</w:t>
      </w:r>
      <w:r>
        <w:rPr>
          <w:rFonts w:hint="eastAsia" w:ascii="仿宋" w:hAnsi="仿宋" w:eastAsia="仿宋" w:cs="仿宋"/>
          <w:b/>
          <w:color w:val="auto"/>
          <w:sz w:val="32"/>
          <w:highlight w:val="none"/>
        </w:rPr>
        <w:t>（封面格式供参考）</w:t>
      </w:r>
    </w:p>
    <w:p w14:paraId="7F8DB898">
      <w:pPr>
        <w:spacing w:before="312" w:beforeLines="100" w:after="312" w:afterLines="100" w:line="440" w:lineRule="exact"/>
        <w:jc w:val="center"/>
        <w:rPr>
          <w:rFonts w:hint="eastAsia" w:ascii="仿宋" w:hAnsi="仿宋" w:eastAsia="仿宋" w:cs="仿宋"/>
          <w:b/>
          <w:color w:val="auto"/>
          <w:sz w:val="52"/>
          <w:szCs w:val="52"/>
          <w:highlight w:val="none"/>
        </w:rPr>
      </w:pPr>
    </w:p>
    <w:p w14:paraId="48D46CB0">
      <w:pPr>
        <w:spacing w:before="1560" w:beforeLines="500" w:after="1560" w:afterLines="500" w:line="440" w:lineRule="exact"/>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商务及技术文件</w:t>
      </w:r>
    </w:p>
    <w:p w14:paraId="782FE96B">
      <w:pPr>
        <w:spacing w:before="312" w:beforeLines="100" w:after="312" w:afterLines="100" w:line="440" w:lineRule="exact"/>
        <w:rPr>
          <w:rFonts w:hint="eastAsia" w:ascii="仿宋" w:hAnsi="仿宋" w:eastAsia="仿宋" w:cs="仿宋"/>
          <w:b/>
          <w:color w:val="auto"/>
          <w:sz w:val="28"/>
          <w:szCs w:val="28"/>
          <w:highlight w:val="none"/>
        </w:rPr>
      </w:pPr>
    </w:p>
    <w:p w14:paraId="7F6E6A15">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37B2F2B3">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1B9CEA35">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投标人全称（电子签章）：</w:t>
      </w:r>
      <w:r>
        <w:rPr>
          <w:rFonts w:hint="eastAsia" w:ascii="仿宋" w:hAnsi="仿宋" w:eastAsia="仿宋" w:cs="仿宋"/>
          <w:b/>
          <w:color w:val="auto"/>
          <w:sz w:val="30"/>
          <w:szCs w:val="30"/>
          <w:highlight w:val="none"/>
          <w:u w:val="single"/>
        </w:rPr>
        <w:t xml:space="preserve">                   </w:t>
      </w:r>
    </w:p>
    <w:p w14:paraId="5AF7DA48">
      <w:pPr>
        <w:spacing w:before="312" w:beforeLines="100" w:after="312" w:afterLines="100" w:line="440" w:lineRule="exact"/>
        <w:ind w:firstLine="6475" w:firstLineChars="2150"/>
        <w:rPr>
          <w:rFonts w:hint="eastAsia" w:ascii="仿宋" w:hAnsi="仿宋" w:eastAsia="仿宋" w:cs="仿宋"/>
          <w:b/>
          <w:color w:val="auto"/>
          <w:sz w:val="30"/>
          <w:szCs w:val="30"/>
          <w:highlight w:val="none"/>
        </w:rPr>
      </w:pPr>
    </w:p>
    <w:p w14:paraId="76CCF7AC">
      <w:pPr>
        <w:spacing w:before="312" w:beforeLines="100" w:after="312" w:afterLines="100" w:line="440" w:lineRule="exact"/>
        <w:jc w:val="center"/>
        <w:rPr>
          <w:rFonts w:hint="eastAsia" w:ascii="仿宋" w:hAnsi="仿宋" w:eastAsia="仿宋" w:cs="仿宋"/>
          <w:b/>
          <w:color w:val="auto"/>
          <w:sz w:val="30"/>
          <w:szCs w:val="30"/>
          <w:highlight w:val="none"/>
        </w:rPr>
      </w:pPr>
    </w:p>
    <w:p w14:paraId="2C532F59">
      <w:pPr>
        <w:widowControl/>
        <w:spacing w:before="312" w:beforeLines="100" w:after="312" w:afterLines="100" w:line="440" w:lineRule="exact"/>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AC71D1F">
      <w:pPr>
        <w:spacing w:line="44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商务技术评分索引</w:t>
      </w:r>
    </w:p>
    <w:p w14:paraId="340D65EF">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（此表请放于商务技术投标文件正文首页）</w:t>
      </w:r>
    </w:p>
    <w:p w14:paraId="2A9128A6">
      <w:pPr>
        <w:pStyle w:val="109"/>
        <w:rPr>
          <w:rFonts w:hint="eastAsia" w:ascii="仿宋" w:hAnsi="仿宋" w:eastAsia="仿宋" w:cs="仿宋"/>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桐庐畅桐新能源科技有限公司二期充电桩建设项目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5251"/>
        <w:gridCol w:w="1623"/>
      </w:tblGrid>
      <w:tr w14:paraId="27DB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42" w:type="dxa"/>
          </w:tcPr>
          <w:p w14:paraId="45726EFF">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5251" w:type="dxa"/>
          </w:tcPr>
          <w:p w14:paraId="7614EE5E">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投标文件内容 </w:t>
            </w:r>
          </w:p>
        </w:tc>
        <w:tc>
          <w:tcPr>
            <w:tcW w:w="1623" w:type="dxa"/>
          </w:tcPr>
          <w:p w14:paraId="6D9585C6">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对应页码</w:t>
            </w:r>
          </w:p>
        </w:tc>
      </w:tr>
      <w:tr w14:paraId="2F27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42" w:type="dxa"/>
          </w:tcPr>
          <w:p w14:paraId="1AB7C8AB">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251" w:type="dxa"/>
          </w:tcPr>
          <w:p w14:paraId="17D9D1BD">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法定代表人授权委托书（格式见附件）</w:t>
            </w:r>
          </w:p>
        </w:tc>
        <w:tc>
          <w:tcPr>
            <w:tcW w:w="1623" w:type="dxa"/>
          </w:tcPr>
          <w:p w14:paraId="1636A4F3">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5E05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2" w:type="dxa"/>
          </w:tcPr>
          <w:p w14:paraId="40941C8C">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5251" w:type="dxa"/>
          </w:tcPr>
          <w:p w14:paraId="706DCA63">
            <w:pPr>
              <w:spacing w:before="156" w:beforeLines="50" w:after="156" w:afterLines="50" w:line="400" w:lineRule="exact"/>
              <w:jc w:val="left"/>
              <w:rPr>
                <w:rFonts w:hint="eastAsia" w:ascii="仿宋" w:hAnsi="仿宋" w:eastAsia="仿宋" w:cs="仿宋"/>
                <w:color w:val="auto"/>
                <w:highlight w:val="none"/>
              </w:rPr>
            </w:pPr>
            <w:r>
              <w:rPr>
                <w:rFonts w:hint="eastAsia" w:ascii="仿宋" w:hAnsi="仿宋" w:eastAsia="仿宋" w:cs="仿宋"/>
                <w:bCs/>
                <w:color w:val="auto"/>
                <w:highlight w:val="none"/>
              </w:rPr>
              <w:t>投标响应函</w:t>
            </w:r>
            <w:r>
              <w:rPr>
                <w:rFonts w:hint="eastAsia" w:ascii="仿宋" w:hAnsi="仿宋" w:eastAsia="仿宋" w:cs="仿宋"/>
                <w:color w:val="auto"/>
                <w:highlight w:val="none"/>
              </w:rPr>
              <w:t>（格式见附件）；</w:t>
            </w:r>
          </w:p>
        </w:tc>
        <w:tc>
          <w:tcPr>
            <w:tcW w:w="1623" w:type="dxa"/>
          </w:tcPr>
          <w:p w14:paraId="3EF44952">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6AB3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599A7D3A">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5251" w:type="dxa"/>
          </w:tcPr>
          <w:p w14:paraId="36812A61">
            <w:pPr>
              <w:spacing w:before="156" w:beforeLines="50" w:after="156" w:afterLines="50" w:line="4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采购供应商廉洁自律承诺书 （格式见附件）；</w:t>
            </w:r>
          </w:p>
        </w:tc>
        <w:tc>
          <w:tcPr>
            <w:tcW w:w="1623" w:type="dxa"/>
          </w:tcPr>
          <w:p w14:paraId="1F91F0F6">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74F8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1866AD71">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p>
        </w:tc>
        <w:tc>
          <w:tcPr>
            <w:tcW w:w="5251" w:type="dxa"/>
          </w:tcPr>
          <w:p w14:paraId="3214CF52">
            <w:pPr>
              <w:spacing w:before="156" w:beforeLines="50" w:after="156" w:afterLines="50" w:line="400" w:lineRule="exact"/>
              <w:jc w:val="left"/>
              <w:rPr>
                <w:rFonts w:hint="eastAsia" w:ascii="仿宋" w:hAnsi="仿宋" w:eastAsia="仿宋" w:cs="仿宋"/>
                <w:color w:val="auto"/>
                <w:highlight w:val="none"/>
              </w:rPr>
            </w:pPr>
            <w:r>
              <w:rPr>
                <w:rFonts w:hint="eastAsia" w:ascii="仿宋" w:hAnsi="仿宋" w:eastAsia="仿宋" w:cs="仿宋"/>
                <w:bCs/>
                <w:color w:val="auto"/>
                <w:highlight w:val="none"/>
              </w:rPr>
              <w:t>廉政承诺书</w:t>
            </w:r>
            <w:r>
              <w:rPr>
                <w:rFonts w:hint="eastAsia" w:ascii="仿宋" w:hAnsi="仿宋" w:eastAsia="仿宋" w:cs="仿宋"/>
                <w:color w:val="auto"/>
                <w:highlight w:val="none"/>
              </w:rPr>
              <w:t>（格式见附件）；</w:t>
            </w:r>
          </w:p>
        </w:tc>
        <w:tc>
          <w:tcPr>
            <w:tcW w:w="1623" w:type="dxa"/>
          </w:tcPr>
          <w:p w14:paraId="5012E6F8">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376F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7BBABA39">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w:t>
            </w:r>
          </w:p>
        </w:tc>
        <w:tc>
          <w:tcPr>
            <w:tcW w:w="5251" w:type="dxa"/>
          </w:tcPr>
          <w:p w14:paraId="6329DAEE">
            <w:pPr>
              <w:spacing w:before="156" w:beforeLines="50" w:after="156" w:afterLines="50" w:line="4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投标人情况介绍(格式见附件)；</w:t>
            </w:r>
          </w:p>
        </w:tc>
        <w:tc>
          <w:tcPr>
            <w:tcW w:w="1623" w:type="dxa"/>
          </w:tcPr>
          <w:p w14:paraId="341013BC">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586D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0CD23029">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w:t>
            </w:r>
          </w:p>
        </w:tc>
        <w:tc>
          <w:tcPr>
            <w:tcW w:w="5251" w:type="dxa"/>
          </w:tcPr>
          <w:p w14:paraId="08B718E8">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373DF9E7">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70B3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1B0141BA">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w:t>
            </w:r>
          </w:p>
        </w:tc>
        <w:tc>
          <w:tcPr>
            <w:tcW w:w="5251" w:type="dxa"/>
          </w:tcPr>
          <w:p w14:paraId="38BCE1DD">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347B96D8">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44B1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52D9ABAE">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w:t>
            </w:r>
          </w:p>
        </w:tc>
        <w:tc>
          <w:tcPr>
            <w:tcW w:w="5251" w:type="dxa"/>
          </w:tcPr>
          <w:p w14:paraId="0DFC876F">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26BF1967">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3A59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00FC4570">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w:t>
            </w:r>
          </w:p>
        </w:tc>
        <w:tc>
          <w:tcPr>
            <w:tcW w:w="5251" w:type="dxa"/>
          </w:tcPr>
          <w:p w14:paraId="2BDB5B6F">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12BF2509">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795B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1F1E167A">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w:t>
            </w:r>
          </w:p>
        </w:tc>
        <w:tc>
          <w:tcPr>
            <w:tcW w:w="5251" w:type="dxa"/>
          </w:tcPr>
          <w:p w14:paraId="48795DFF">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23C99A99">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57E8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3DE4058B">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5251" w:type="dxa"/>
          </w:tcPr>
          <w:p w14:paraId="2761368D">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623" w:type="dxa"/>
          </w:tcPr>
          <w:p w14:paraId="2F44BF26">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3367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053654E0">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5251" w:type="dxa"/>
          </w:tcPr>
          <w:p w14:paraId="5BCA79C6">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623" w:type="dxa"/>
          </w:tcPr>
          <w:p w14:paraId="4AD62C17">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r>
    </w:tbl>
    <w:p w14:paraId="137427F6">
      <w:pPr>
        <w:spacing w:line="440" w:lineRule="exact"/>
        <w:rPr>
          <w:rFonts w:hint="eastAsia" w:ascii="仿宋" w:hAnsi="仿宋" w:eastAsia="仿宋" w:cs="仿宋"/>
          <w:b/>
          <w:color w:val="auto"/>
          <w:sz w:val="32"/>
          <w:szCs w:val="32"/>
          <w:highlight w:val="none"/>
        </w:rPr>
      </w:pPr>
    </w:p>
    <w:p w14:paraId="683AB903">
      <w:pPr>
        <w:pStyle w:val="8"/>
        <w:spacing w:before="0" w:after="0" w:line="440" w:lineRule="exact"/>
        <w:rPr>
          <w:rFonts w:hint="eastAsia" w:ascii="仿宋" w:hAnsi="仿宋" w:eastAsia="仿宋" w:cs="仿宋"/>
          <w:color w:val="auto"/>
          <w:sz w:val="32"/>
          <w:szCs w:val="32"/>
          <w:highlight w:val="none"/>
        </w:rPr>
      </w:pPr>
    </w:p>
    <w:p w14:paraId="55A96CB1">
      <w:pPr>
        <w:spacing w:line="440" w:lineRule="exact"/>
        <w:rPr>
          <w:rFonts w:hint="eastAsia" w:ascii="仿宋" w:hAnsi="仿宋" w:eastAsia="仿宋" w:cs="仿宋"/>
          <w:b/>
          <w:color w:val="auto"/>
          <w:sz w:val="32"/>
          <w:szCs w:val="32"/>
          <w:highlight w:val="none"/>
        </w:rPr>
      </w:pPr>
    </w:p>
    <w:p w14:paraId="479B0624">
      <w:pPr>
        <w:pStyle w:val="113"/>
        <w:rPr>
          <w:rFonts w:hint="eastAsia" w:ascii="仿宋" w:hAnsi="仿宋" w:eastAsia="仿宋" w:cs="仿宋"/>
          <w:color w:val="auto"/>
          <w:highlight w:val="none"/>
        </w:rPr>
      </w:pPr>
    </w:p>
    <w:p w14:paraId="16EB60A6">
      <w:pPr>
        <w:spacing w:line="440" w:lineRule="exact"/>
        <w:rPr>
          <w:rFonts w:hint="eastAsia" w:ascii="仿宋" w:hAnsi="仿宋" w:eastAsia="仿宋" w:cs="仿宋"/>
          <w:color w:val="auto"/>
          <w:highlight w:val="none"/>
        </w:rPr>
      </w:pPr>
    </w:p>
    <w:p w14:paraId="535B40AB">
      <w:pPr>
        <w:snapToGrid w:val="0"/>
        <w:spacing w:line="440" w:lineRule="exact"/>
        <w:jc w:val="center"/>
        <w:rPr>
          <w:rFonts w:hint="eastAsia" w:ascii="仿宋" w:hAnsi="仿宋" w:eastAsia="仿宋" w:cs="仿宋"/>
          <w:b/>
          <w:color w:val="auto"/>
          <w:sz w:val="32"/>
          <w:szCs w:val="32"/>
          <w:highlight w:val="none"/>
        </w:rPr>
      </w:pPr>
    </w:p>
    <w:p w14:paraId="3604B497">
      <w:pPr>
        <w:spacing w:before="120" w:line="360" w:lineRule="auto"/>
        <w:jc w:val="center"/>
        <w:rPr>
          <w:rFonts w:ascii="仿宋" w:hAnsi="仿宋" w:eastAsia="仿宋" w:cs="仿宋_GB2312"/>
          <w:b/>
          <w:sz w:val="32"/>
          <w:szCs w:val="32"/>
          <w:lang w:val="zh-CN"/>
        </w:rPr>
      </w:pPr>
      <w:r>
        <w:rPr>
          <w:rFonts w:hint="eastAsia" w:ascii="仿宋" w:hAnsi="仿宋" w:eastAsia="仿宋" w:cs="仿宋_GB2312"/>
          <w:b/>
          <w:sz w:val="32"/>
          <w:szCs w:val="32"/>
          <w:lang w:val="zh-CN"/>
        </w:rPr>
        <w:t>联合体投标授权书（适用联合体投标）</w:t>
      </w:r>
    </w:p>
    <w:p w14:paraId="39D6E439">
      <w:pPr>
        <w:spacing w:before="156" w:line="360" w:lineRule="auto"/>
        <w:ind w:firstLine="576"/>
        <w:rPr>
          <w:rFonts w:ascii="仿宋" w:hAnsi="仿宋" w:eastAsia="仿宋" w:cs="仿宋_GB2312"/>
          <w:sz w:val="24"/>
        </w:rPr>
      </w:pPr>
      <w:r>
        <w:rPr>
          <w:rFonts w:hint="eastAsia" w:ascii="仿宋" w:hAnsi="仿宋" w:eastAsia="仿宋" w:cs="仿宋_GB2312"/>
          <w:sz w:val="24"/>
          <w:lang w:val="zh-CN"/>
        </w:rPr>
        <w:t>兹委派</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公司</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先生/女士(其在该公司的职务是：</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 xml:space="preserve"> ，联系电话：</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手机：</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传真：</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)；代表本联合体全权处理</w:t>
      </w:r>
      <w:r>
        <w:rPr>
          <w:rFonts w:hint="eastAsia" w:ascii="仿宋" w:hAnsi="仿宋" w:eastAsia="仿宋" w:cs="仿宋_GB2312"/>
          <w:sz w:val="24"/>
          <w:u w:val="single"/>
        </w:rPr>
        <w:t xml:space="preserve">                           项目</w:t>
      </w:r>
      <w:r>
        <w:rPr>
          <w:rFonts w:hint="eastAsia" w:ascii="仿宋" w:hAnsi="仿宋" w:eastAsia="仿宋" w:cs="仿宋_GB2312"/>
          <w:sz w:val="24"/>
          <w:lang w:val="zh-CN"/>
        </w:rPr>
        <w:t>【项目编号：</w:t>
      </w:r>
      <w:r>
        <w:rPr>
          <w:rFonts w:hint="eastAsia" w:ascii="仿宋" w:hAnsi="仿宋" w:eastAsia="仿宋" w:cs="仿宋_GB2312"/>
          <w:sz w:val="24"/>
          <w:u w:val="single"/>
        </w:rPr>
        <w:t xml:space="preserve">      </w:t>
      </w:r>
      <w:r>
        <w:rPr>
          <w:rFonts w:hint="eastAsia" w:ascii="仿宋" w:hAnsi="仿宋" w:eastAsia="仿宋" w:cs="仿宋_GB2312"/>
          <w:sz w:val="24"/>
          <w:lang w:val="zh-CN"/>
        </w:rPr>
        <w:t>】政府采购投标的一切事项，若中标则全权代表本联合体签订相关合同，并负责处理合同履行等事宜。</w:t>
      </w:r>
    </w:p>
    <w:p w14:paraId="1107695D">
      <w:pPr>
        <w:spacing w:before="156" w:line="360" w:lineRule="auto"/>
        <w:rPr>
          <w:rFonts w:ascii="仿宋" w:hAnsi="仿宋" w:eastAsia="仿宋" w:cs="仿宋_GB2312"/>
          <w:sz w:val="24"/>
          <w:lang w:val="zh-CN"/>
        </w:rPr>
      </w:pPr>
      <w:r>
        <w:rPr>
          <w:rFonts w:hint="eastAsia" w:ascii="仿宋" w:hAnsi="仿宋" w:eastAsia="仿宋" w:cs="仿宋_GB2312"/>
          <w:sz w:val="24"/>
          <w:lang w:val="zh-CN"/>
        </w:rPr>
        <w:t xml:space="preserve">    本授权书有效期：自   年 月  日起至  年  月  日止。</w:t>
      </w:r>
    </w:p>
    <w:p w14:paraId="54A273BA">
      <w:pPr>
        <w:spacing w:before="156" w:line="360" w:lineRule="auto"/>
        <w:rPr>
          <w:rFonts w:ascii="仿宋" w:hAnsi="仿宋" w:eastAsia="仿宋" w:cs="仿宋_GB2312"/>
          <w:sz w:val="24"/>
        </w:rPr>
      </w:pPr>
      <w:r>
        <w:rPr>
          <w:rFonts w:hint="eastAsia" w:ascii="仿宋" w:hAnsi="仿宋" w:eastAsia="仿宋" w:cs="仿宋_GB2312"/>
          <w:sz w:val="24"/>
          <w:lang w:val="zh-CN"/>
        </w:rPr>
        <w:t xml:space="preserve">    特此告知。</w:t>
      </w:r>
    </w:p>
    <w:p w14:paraId="4699CC93">
      <w:pPr>
        <w:pStyle w:val="108"/>
        <w:spacing w:before="0" w:after="0" w:line="360" w:lineRule="auto"/>
        <w:ind w:left="0"/>
        <w:rPr>
          <w:rFonts w:hint="eastAsia"/>
          <w:lang w:val="zh-CN"/>
        </w:rPr>
      </w:pPr>
      <w:r>
        <w:rPr>
          <w:rFonts w:hint="eastAsia" w:ascii="仿宋" w:hAnsi="仿宋" w:cs="仿宋_GB2312"/>
          <w:lang w:val="zh-CN"/>
        </w:rPr>
        <w:t>授权代表</w:t>
      </w:r>
      <w:r>
        <w:rPr>
          <w:rFonts w:hint="eastAsia" w:ascii="仿宋" w:hAnsi="仿宋" w:cs="仿宋_GB2312"/>
        </w:rPr>
        <w:t>（签名或盖章）</w:t>
      </w:r>
      <w:r>
        <w:rPr>
          <w:rFonts w:hint="eastAsia" w:ascii="仿宋" w:hAnsi="仿宋" w:cs="仿宋_GB2312"/>
          <w:lang w:val="zh-CN"/>
        </w:rPr>
        <w:t>：</w:t>
      </w:r>
      <w:r>
        <w:rPr>
          <w:rFonts w:hint="eastAsia" w:ascii="仿宋" w:hAnsi="仿宋" w:cs="仿宋_GB2312"/>
          <w:u w:val="single"/>
          <w:lang w:val="zh-CN"/>
        </w:rPr>
        <w:t xml:space="preserve">    </w:t>
      </w:r>
      <w:r>
        <w:rPr>
          <w:rFonts w:hint="eastAsia" w:ascii="仿宋" w:hAnsi="仿宋" w:cs="仿宋_GB2312"/>
          <w:u w:val="single"/>
        </w:rPr>
        <w:t xml:space="preserve">            </w:t>
      </w:r>
      <w:r>
        <w:rPr>
          <w:rFonts w:hint="eastAsia" w:ascii="仿宋" w:hAnsi="仿宋" w:cs="仿宋_GB2312"/>
          <w:u w:val="single"/>
          <w:lang w:val="zh-CN"/>
        </w:rPr>
        <w:t xml:space="preserve">  </w:t>
      </w:r>
      <w:r>
        <w:rPr>
          <w:rFonts w:hint="eastAsia" w:ascii="仿宋" w:hAnsi="仿宋" w:cs="仿宋_GB2312"/>
          <w:lang w:val="zh-CN"/>
        </w:rPr>
        <w:t xml:space="preserve">       </w:t>
      </w:r>
    </w:p>
    <w:p w14:paraId="3B72334E">
      <w:pPr>
        <w:pStyle w:val="108"/>
        <w:spacing w:before="0" w:after="0" w:line="360" w:lineRule="auto"/>
        <w:ind w:left="0"/>
        <w:rPr>
          <w:rFonts w:hint="eastAsia" w:ascii="仿宋" w:hAnsi="仿宋" w:cs="仿宋_GB2312"/>
          <w:lang w:val="zh-CN"/>
        </w:rPr>
      </w:pPr>
      <w:r>
        <w:rPr>
          <w:rFonts w:hint="eastAsia" w:ascii="仿宋" w:hAnsi="仿宋" w:cs="仿宋_GB2312"/>
          <w:lang w:val="zh-CN"/>
        </w:rPr>
        <w:t>授权代表身份证号码：</w:t>
      </w:r>
      <w:r>
        <w:rPr>
          <w:rFonts w:hint="eastAsia" w:ascii="仿宋" w:hAnsi="仿宋" w:cs="仿宋_GB2312"/>
          <w:u w:val="single"/>
          <w:lang w:val="zh-CN"/>
        </w:rPr>
        <w:t xml:space="preserve">     </w:t>
      </w:r>
      <w:r>
        <w:rPr>
          <w:rFonts w:hint="eastAsia" w:ascii="仿宋" w:hAnsi="仿宋" w:cs="仿宋_GB2312"/>
          <w:u w:val="single"/>
        </w:rPr>
        <w:t xml:space="preserve"> </w:t>
      </w:r>
      <w:r>
        <w:rPr>
          <w:rFonts w:hint="eastAsia" w:ascii="仿宋" w:hAnsi="仿宋" w:cs="仿宋_GB2312"/>
          <w:u w:val="single"/>
          <w:lang w:val="zh-CN"/>
        </w:rPr>
        <w:t xml:space="preserve">      </w:t>
      </w:r>
      <w:r>
        <w:rPr>
          <w:rFonts w:hint="eastAsia" w:ascii="仿宋" w:hAnsi="仿宋" w:cs="仿宋_GB2312"/>
          <w:lang w:val="zh-CN"/>
        </w:rPr>
        <w:t xml:space="preserve">       </w:t>
      </w:r>
    </w:p>
    <w:p w14:paraId="34A06EB7">
      <w:pPr>
        <w:spacing w:line="440" w:lineRule="exact"/>
        <w:rPr>
          <w:rFonts w:hint="eastAsia" w:ascii="仿宋" w:hAnsi="仿宋" w:eastAsia="仿宋"/>
          <w:sz w:val="24"/>
          <w:szCs w:val="24"/>
        </w:rPr>
      </w:pPr>
      <w:r>
        <w:rPr>
          <w:rFonts w:hint="eastAsia" w:ascii="仿宋" w:hAnsi="仿宋" w:eastAsia="仿宋" w:cs="仿宋"/>
          <w:b/>
          <w:kern w:val="2"/>
          <w:sz w:val="24"/>
          <w:szCs w:val="21"/>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1375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14:paraId="24074119">
            <w:pPr>
              <w:pStyle w:val="1025"/>
              <w:spacing w:before="120" w:line="360" w:lineRule="auto"/>
              <w:rPr>
                <w:rFonts w:ascii="仿宋" w:hAnsi="仿宋" w:eastAsia="仿宋"/>
                <w:bCs/>
                <w:sz w:val="24"/>
                <w:szCs w:val="24"/>
              </w:rPr>
            </w:pPr>
            <w:r>
              <w:rPr>
                <w:rFonts w:hint="eastAsia" w:ascii="仿宋" w:hAnsi="仿宋" w:eastAsia="仿宋"/>
                <w:bCs/>
                <w:sz w:val="24"/>
                <w:szCs w:val="24"/>
              </w:rPr>
              <w:t>正面：                                 反面：</w:t>
            </w:r>
          </w:p>
          <w:p w14:paraId="4C6D006F">
            <w:pPr>
              <w:pStyle w:val="1025"/>
              <w:spacing w:before="120" w:line="360" w:lineRule="auto"/>
              <w:rPr>
                <w:rFonts w:ascii="仿宋" w:hAnsi="仿宋" w:eastAsia="仿宋"/>
                <w:bCs/>
                <w:sz w:val="24"/>
                <w:szCs w:val="24"/>
              </w:rPr>
            </w:pPr>
          </w:p>
        </w:tc>
      </w:tr>
    </w:tbl>
    <w:p w14:paraId="6C8C6B77">
      <w:pPr>
        <w:pStyle w:val="108"/>
        <w:spacing w:before="0" w:after="0" w:line="360" w:lineRule="auto"/>
        <w:ind w:left="0"/>
        <w:rPr>
          <w:rFonts w:hint="eastAsia" w:ascii="仿宋" w:hAnsi="仿宋" w:cs="仿宋_GB2312"/>
        </w:rPr>
      </w:pPr>
    </w:p>
    <w:p w14:paraId="76197F89">
      <w:pPr>
        <w:pStyle w:val="108"/>
        <w:spacing w:before="0" w:after="0" w:line="360" w:lineRule="auto"/>
        <w:ind w:left="0"/>
        <w:rPr>
          <w:rFonts w:hint="eastAsia" w:ascii="仿宋" w:hAnsi="仿宋" w:cs="仿宋_GB2312"/>
        </w:rPr>
      </w:pPr>
    </w:p>
    <w:p w14:paraId="137BC6A6">
      <w:pPr>
        <w:pStyle w:val="108"/>
        <w:spacing w:before="0" w:after="0" w:line="360" w:lineRule="auto"/>
        <w:ind w:left="0"/>
        <w:rPr>
          <w:rFonts w:hint="eastAsia" w:ascii="仿宋" w:hAnsi="仿宋" w:cs="仿宋_GB2312"/>
        </w:rPr>
      </w:pPr>
    </w:p>
    <w:p w14:paraId="58EEBB9E">
      <w:pPr>
        <w:pStyle w:val="108"/>
        <w:spacing w:before="0" w:after="0" w:line="360" w:lineRule="auto"/>
        <w:ind w:left="0"/>
        <w:rPr>
          <w:rFonts w:hint="eastAsia" w:ascii="仿宋" w:hAnsi="仿宋" w:cs="仿宋_GB2312"/>
          <w:lang w:val="zh-CN"/>
        </w:rPr>
      </w:pPr>
      <w:r>
        <w:rPr>
          <w:rFonts w:hint="eastAsia" w:ascii="仿宋" w:hAnsi="仿宋" w:cs="仿宋_GB2312"/>
        </w:rPr>
        <w:t>甲公司全称</w:t>
      </w:r>
      <w:r>
        <w:rPr>
          <w:rFonts w:hint="eastAsia" w:ascii="仿宋" w:hAnsi="仿宋" w:cs="仿宋_GB2312"/>
          <w:lang w:val="zh-CN"/>
        </w:rPr>
        <w:t>：</w:t>
      </w:r>
      <w:r>
        <w:rPr>
          <w:rFonts w:hint="eastAsia" w:ascii="仿宋" w:hAnsi="仿宋" w:cs="仿宋_GB2312"/>
          <w:u w:val="single"/>
          <w:lang w:val="zh-CN"/>
        </w:rPr>
        <w:t xml:space="preserve">          </w:t>
      </w:r>
      <w:r>
        <w:rPr>
          <w:rFonts w:hint="eastAsia" w:ascii="仿宋" w:hAnsi="仿宋" w:cs="仿宋_GB2312"/>
          <w:u w:val="single"/>
        </w:rPr>
        <w:t xml:space="preserve">  </w:t>
      </w:r>
      <w:r>
        <w:rPr>
          <w:rFonts w:hint="eastAsia" w:ascii="仿宋" w:hAnsi="仿宋" w:cs="仿宋_GB2312"/>
          <w:u w:val="single"/>
          <w:lang w:val="zh-CN"/>
        </w:rPr>
        <w:t xml:space="preserve"> </w:t>
      </w:r>
      <w:r>
        <w:rPr>
          <w:rFonts w:hint="eastAsia" w:ascii="仿宋" w:hAnsi="仿宋" w:cs="仿宋_GB2312"/>
          <w:lang w:val="zh-CN"/>
        </w:rPr>
        <w:t>（</w:t>
      </w:r>
      <w:r>
        <w:rPr>
          <w:rFonts w:hint="eastAsia" w:ascii="仿宋" w:hAnsi="仿宋" w:cs="仿宋_GB2312"/>
        </w:rPr>
        <w:t>盖章</w:t>
      </w:r>
      <w:r>
        <w:rPr>
          <w:rFonts w:hint="eastAsia" w:ascii="仿宋" w:hAnsi="仿宋" w:cs="仿宋_GB2312"/>
          <w:lang w:val="zh-CN"/>
        </w:rPr>
        <w:t xml:space="preserve">）      </w:t>
      </w:r>
      <w:r>
        <w:rPr>
          <w:rFonts w:hint="eastAsia" w:ascii="仿宋" w:hAnsi="仿宋" w:cs="仿宋_GB2312"/>
        </w:rPr>
        <w:t>乙公司全称</w:t>
      </w:r>
      <w:r>
        <w:rPr>
          <w:rFonts w:hint="eastAsia" w:ascii="仿宋" w:hAnsi="仿宋" w:cs="仿宋_GB2312"/>
          <w:lang w:val="zh-CN"/>
        </w:rPr>
        <w:t>：</w:t>
      </w:r>
      <w:r>
        <w:rPr>
          <w:rFonts w:hint="eastAsia" w:ascii="仿宋" w:hAnsi="仿宋" w:cs="仿宋_GB2312"/>
          <w:u w:val="single"/>
          <w:lang w:val="zh-CN"/>
        </w:rPr>
        <w:t xml:space="preserve">         </w:t>
      </w:r>
      <w:r>
        <w:rPr>
          <w:rFonts w:hint="eastAsia" w:ascii="仿宋" w:hAnsi="仿宋" w:cs="仿宋_GB2312"/>
          <w:u w:val="single"/>
        </w:rPr>
        <w:t xml:space="preserve">   </w:t>
      </w:r>
      <w:r>
        <w:rPr>
          <w:rFonts w:hint="eastAsia" w:ascii="仿宋" w:hAnsi="仿宋" w:cs="仿宋_GB2312"/>
          <w:u w:val="single"/>
          <w:lang w:val="zh-CN"/>
        </w:rPr>
        <w:t xml:space="preserve"> </w:t>
      </w:r>
      <w:r>
        <w:rPr>
          <w:rFonts w:hint="eastAsia" w:ascii="仿宋" w:hAnsi="仿宋" w:cs="仿宋_GB2312"/>
          <w:lang w:val="zh-CN"/>
        </w:rPr>
        <w:t>（</w:t>
      </w:r>
      <w:r>
        <w:rPr>
          <w:rFonts w:hint="eastAsia" w:ascii="仿宋" w:hAnsi="仿宋" w:cs="仿宋_GB2312"/>
        </w:rPr>
        <w:t>盖章</w:t>
      </w:r>
      <w:r>
        <w:rPr>
          <w:rFonts w:hint="eastAsia" w:ascii="仿宋" w:hAnsi="仿宋" w:cs="仿宋_GB2312"/>
          <w:lang w:val="zh-CN"/>
        </w:rPr>
        <w:t>）</w:t>
      </w:r>
    </w:p>
    <w:p w14:paraId="295AC0B0">
      <w:pPr>
        <w:pStyle w:val="108"/>
        <w:spacing w:before="0" w:after="0" w:line="360" w:lineRule="auto"/>
        <w:ind w:left="0"/>
        <w:rPr>
          <w:lang w:val="zh-CN"/>
        </w:rPr>
      </w:pPr>
      <w:r>
        <w:rPr>
          <w:rFonts w:hint="eastAsia" w:ascii="仿宋" w:hAnsi="仿宋" w:cs="仿宋_GB2312"/>
          <w:lang w:val="zh-CN"/>
        </w:rPr>
        <w:t>法定代表人（签名或盖章）：</w:t>
      </w:r>
      <w:r>
        <w:rPr>
          <w:rFonts w:hint="eastAsia" w:ascii="仿宋" w:hAnsi="仿宋" w:cs="仿宋_GB2312"/>
          <w:u w:val="single"/>
          <w:lang w:val="zh-CN"/>
        </w:rPr>
        <w:t xml:space="preserve">        </w:t>
      </w:r>
      <w:r>
        <w:rPr>
          <w:rFonts w:hint="eastAsia"/>
          <w:lang w:val="zh-CN"/>
        </w:rPr>
        <w:t xml:space="preserve">     </w:t>
      </w:r>
      <w:r>
        <w:rPr>
          <w:rFonts w:hint="eastAsia" w:ascii="仿宋" w:hAnsi="仿宋" w:cs="仿宋_GB2312"/>
          <w:lang w:val="zh-CN"/>
        </w:rPr>
        <w:t>法定代表人（签名或盖章）：</w:t>
      </w:r>
      <w:r>
        <w:rPr>
          <w:rFonts w:hint="eastAsia" w:ascii="仿宋" w:hAnsi="仿宋" w:cs="仿宋_GB2312"/>
          <w:u w:val="single"/>
          <w:lang w:val="zh-CN"/>
        </w:rPr>
        <w:t xml:space="preserve">        </w:t>
      </w:r>
      <w:r>
        <w:rPr>
          <w:rFonts w:hint="eastAsia"/>
          <w:lang w:val="zh-CN"/>
        </w:rPr>
        <w:t xml:space="preserve"> </w:t>
      </w:r>
    </w:p>
    <w:p w14:paraId="5865AAA1">
      <w:pPr>
        <w:spacing w:line="360" w:lineRule="auto"/>
        <w:rPr>
          <w:rFonts w:ascii="仿宋" w:hAnsi="仿宋" w:eastAsia="仿宋" w:cs="仿宋_GB2312"/>
          <w:sz w:val="24"/>
          <w:lang w:val="zh-CN"/>
        </w:rPr>
      </w:pPr>
      <w:r>
        <w:rPr>
          <w:rFonts w:hint="eastAsia" w:ascii="仿宋" w:hAnsi="仿宋" w:eastAsia="仿宋" w:cs="仿宋_GB2312"/>
          <w:sz w:val="24"/>
          <w:lang w:val="zh-CN"/>
        </w:rPr>
        <w:t xml:space="preserve">  日期：    年   月   日            </w:t>
      </w:r>
      <w:r>
        <w:rPr>
          <w:rFonts w:hint="eastAsia" w:ascii="仿宋" w:hAnsi="仿宋" w:eastAsia="仿宋" w:cs="仿宋_GB2312"/>
          <w:sz w:val="24"/>
        </w:rPr>
        <w:t xml:space="preserve">    </w:t>
      </w:r>
      <w:r>
        <w:rPr>
          <w:rFonts w:hint="eastAsia" w:ascii="仿宋" w:hAnsi="仿宋" w:eastAsia="仿宋" w:cs="仿宋_GB2312"/>
          <w:sz w:val="24"/>
          <w:lang w:val="zh-CN"/>
        </w:rPr>
        <w:t xml:space="preserve"> 日期：    年   月   日</w:t>
      </w:r>
    </w:p>
    <w:p w14:paraId="63E2E6D7">
      <w:pPr>
        <w:spacing w:line="440" w:lineRule="exact"/>
        <w:jc w:val="center"/>
        <w:rPr>
          <w:rFonts w:hint="eastAsia" w:ascii="仿宋" w:hAnsi="仿宋" w:eastAsia="仿宋"/>
          <w:b/>
          <w:bCs/>
          <w:sz w:val="24"/>
          <w:szCs w:val="24"/>
        </w:rPr>
      </w:pPr>
      <w:r>
        <w:rPr>
          <w:rFonts w:hint="eastAsia" w:ascii="仿宋" w:hAnsi="仿宋" w:eastAsia="仿宋"/>
          <w:b/>
          <w:bCs/>
          <w:sz w:val="24"/>
          <w:szCs w:val="24"/>
        </w:rPr>
        <w:t>▲投标文件中法定代表人授权委托书所载内容与本项目内容有异的，投标无效。</w:t>
      </w:r>
    </w:p>
    <w:p w14:paraId="064B1BF6">
      <w:pPr>
        <w:spacing w:line="440" w:lineRule="exact"/>
        <w:jc w:val="center"/>
        <w:rPr>
          <w:rFonts w:hint="eastAsia" w:ascii="仿宋" w:hAnsi="仿宋" w:eastAsia="仿宋"/>
          <w:b/>
          <w:bCs/>
          <w:sz w:val="24"/>
          <w:szCs w:val="24"/>
        </w:rPr>
      </w:pPr>
    </w:p>
    <w:p w14:paraId="35B8CE71">
      <w:pPr>
        <w:spacing w:line="440" w:lineRule="exact"/>
        <w:jc w:val="center"/>
        <w:rPr>
          <w:rFonts w:hint="eastAsia" w:ascii="仿宋" w:hAnsi="仿宋" w:eastAsia="仿宋"/>
          <w:b/>
          <w:bCs/>
          <w:sz w:val="24"/>
          <w:szCs w:val="24"/>
        </w:rPr>
      </w:pPr>
    </w:p>
    <w:p w14:paraId="0F6F2EBA">
      <w:pPr>
        <w:spacing w:line="440" w:lineRule="exact"/>
        <w:jc w:val="center"/>
        <w:rPr>
          <w:rFonts w:hint="eastAsia" w:ascii="仿宋" w:hAnsi="仿宋" w:eastAsia="仿宋"/>
          <w:b/>
          <w:bCs/>
          <w:sz w:val="24"/>
          <w:szCs w:val="24"/>
        </w:rPr>
      </w:pPr>
    </w:p>
    <w:p w14:paraId="68F9B52A">
      <w:pPr>
        <w:spacing w:line="440" w:lineRule="exact"/>
        <w:jc w:val="center"/>
        <w:rPr>
          <w:rFonts w:hint="eastAsia" w:ascii="仿宋" w:hAnsi="仿宋" w:eastAsia="仿宋"/>
          <w:b/>
          <w:bCs/>
          <w:sz w:val="24"/>
          <w:szCs w:val="24"/>
        </w:rPr>
      </w:pPr>
    </w:p>
    <w:p w14:paraId="1224390D">
      <w:pPr>
        <w:spacing w:line="440" w:lineRule="exact"/>
        <w:jc w:val="center"/>
        <w:rPr>
          <w:rFonts w:hint="eastAsia" w:ascii="仿宋" w:hAnsi="仿宋" w:eastAsia="仿宋"/>
          <w:b/>
          <w:bCs/>
          <w:sz w:val="24"/>
          <w:szCs w:val="24"/>
        </w:rPr>
      </w:pPr>
    </w:p>
    <w:p w14:paraId="7FBACECE">
      <w:pPr>
        <w:spacing w:line="440" w:lineRule="exact"/>
        <w:jc w:val="center"/>
        <w:rPr>
          <w:rFonts w:hint="eastAsia" w:ascii="仿宋" w:hAnsi="仿宋" w:eastAsia="仿宋"/>
          <w:b/>
          <w:sz w:val="28"/>
          <w:szCs w:val="28"/>
        </w:rPr>
      </w:pPr>
      <w:r>
        <w:rPr>
          <w:rFonts w:hint="eastAsia" w:ascii="仿宋" w:hAnsi="仿宋" w:eastAsia="仿宋"/>
          <w:b/>
          <w:sz w:val="28"/>
          <w:szCs w:val="28"/>
        </w:rPr>
        <w:t>（1）法定代表人资格证明书</w:t>
      </w:r>
      <w:r>
        <w:rPr>
          <w:rFonts w:hint="eastAsia" w:ascii="仿宋" w:hAnsi="仿宋" w:eastAsia="仿宋" w:cs="仿宋_GB2312"/>
          <w:b/>
          <w:sz w:val="32"/>
          <w:szCs w:val="32"/>
          <w:lang w:val="zh-CN"/>
        </w:rPr>
        <w:t>（适用非联合体法人投标）</w:t>
      </w:r>
    </w:p>
    <w:p w14:paraId="6B649395">
      <w:pPr>
        <w:spacing w:line="440" w:lineRule="exact"/>
        <w:rPr>
          <w:rFonts w:hint="eastAsia" w:ascii="仿宋" w:hAnsi="仿宋" w:eastAsia="仿宋"/>
          <w:sz w:val="24"/>
          <w:szCs w:val="24"/>
        </w:rPr>
      </w:pPr>
    </w:p>
    <w:p w14:paraId="3091B14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单位名称：</w:t>
      </w:r>
    </w:p>
    <w:p w14:paraId="406F970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地址：</w:t>
      </w:r>
    </w:p>
    <w:p w14:paraId="4E8D1C7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姓名：__________,性别：__________,年龄：__________,职务：__________,身份证号码：_____________________________，系______________________的法定代表人。</w:t>
      </w:r>
    </w:p>
    <w:p w14:paraId="1E46B9AB">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特此证明。</w:t>
      </w:r>
    </w:p>
    <w:p w14:paraId="10AEB6FD">
      <w:pPr>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附身份证正反面扫描件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5484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14:paraId="0E098C70">
            <w:pPr>
              <w:pStyle w:val="1025"/>
              <w:spacing w:line="360" w:lineRule="auto"/>
              <w:rPr>
                <w:rFonts w:ascii="仿宋" w:hAnsi="仿宋" w:eastAsia="仿宋"/>
                <w:bCs/>
                <w:sz w:val="24"/>
                <w:szCs w:val="24"/>
              </w:rPr>
            </w:pPr>
            <w:r>
              <w:rPr>
                <w:rFonts w:hint="eastAsia" w:ascii="仿宋" w:hAnsi="仿宋" w:eastAsia="仿宋"/>
                <w:bCs/>
                <w:sz w:val="24"/>
                <w:szCs w:val="24"/>
              </w:rPr>
              <w:t>正面：                                 反面：</w:t>
            </w:r>
          </w:p>
          <w:p w14:paraId="7CF77A2E">
            <w:pPr>
              <w:pStyle w:val="1025"/>
              <w:spacing w:line="360" w:lineRule="auto"/>
              <w:rPr>
                <w:rFonts w:ascii="仿宋" w:hAnsi="仿宋" w:eastAsia="仿宋"/>
                <w:bCs/>
                <w:sz w:val="24"/>
                <w:szCs w:val="24"/>
              </w:rPr>
            </w:pPr>
          </w:p>
        </w:tc>
      </w:tr>
    </w:tbl>
    <w:p w14:paraId="38D7258E">
      <w:pPr>
        <w:spacing w:line="440" w:lineRule="exact"/>
        <w:rPr>
          <w:rFonts w:hint="eastAsia" w:ascii="仿宋" w:hAnsi="仿宋" w:eastAsia="仿宋"/>
          <w:sz w:val="24"/>
          <w:szCs w:val="24"/>
        </w:rPr>
      </w:pPr>
    </w:p>
    <w:p w14:paraId="659CA36D">
      <w:pPr>
        <w:spacing w:line="440" w:lineRule="exact"/>
        <w:jc w:val="right"/>
        <w:rPr>
          <w:rFonts w:hint="eastAsia" w:ascii="仿宋" w:hAnsi="仿宋" w:eastAsia="仿宋"/>
          <w:sz w:val="24"/>
          <w:szCs w:val="24"/>
        </w:rPr>
      </w:pPr>
      <w:r>
        <w:rPr>
          <w:rFonts w:hint="eastAsia" w:ascii="仿宋" w:hAnsi="仿宋" w:eastAsia="仿宋"/>
          <w:sz w:val="24"/>
          <w:szCs w:val="24"/>
        </w:rPr>
        <w:t>供应商(盖章或电子签章)：</w:t>
      </w:r>
    </w:p>
    <w:p w14:paraId="1562B144">
      <w:pPr>
        <w:spacing w:line="440" w:lineRule="exact"/>
        <w:jc w:val="right"/>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cs="仿宋"/>
          <w:sz w:val="24"/>
          <w:szCs w:val="24"/>
        </w:rPr>
        <w:t>签名或盖章</w:t>
      </w:r>
      <w:r>
        <w:rPr>
          <w:rFonts w:hint="eastAsia" w:ascii="仿宋" w:hAnsi="仿宋" w:eastAsia="仿宋"/>
          <w:sz w:val="24"/>
          <w:szCs w:val="24"/>
        </w:rPr>
        <w:t>）</w:t>
      </w:r>
    </w:p>
    <w:p w14:paraId="54440A93">
      <w:pPr>
        <w:spacing w:line="440" w:lineRule="exact"/>
        <w:jc w:val="center"/>
        <w:rPr>
          <w:rFonts w:hint="eastAsia" w:ascii="仿宋" w:hAnsi="仿宋" w:eastAsia="仿宋"/>
          <w:sz w:val="24"/>
          <w:szCs w:val="24"/>
        </w:rPr>
      </w:pPr>
      <w:r>
        <w:rPr>
          <w:rFonts w:hint="eastAsia"/>
          <w:sz w:val="24"/>
          <w:szCs w:val="24"/>
          <w:lang w:val="en-US" w:eastAsia="zh-CN"/>
        </w:rPr>
        <w:t xml:space="preserve">                               </w:t>
      </w:r>
      <w:r>
        <w:rPr>
          <w:rFonts w:hint="eastAsia" w:ascii="仿宋" w:hAnsi="仿宋" w:eastAsia="仿宋"/>
          <w:sz w:val="24"/>
          <w:szCs w:val="24"/>
        </w:rPr>
        <w:t xml:space="preserve">日期：                              </w:t>
      </w:r>
    </w:p>
    <w:p w14:paraId="1F192374">
      <w:pPr>
        <w:spacing w:line="440" w:lineRule="exact"/>
        <w:jc w:val="center"/>
        <w:rPr>
          <w:rFonts w:hint="eastAsia" w:ascii="仿宋" w:hAnsi="仿宋" w:eastAsia="仿宋"/>
          <w:b/>
          <w:sz w:val="28"/>
          <w:szCs w:val="28"/>
        </w:rPr>
      </w:pPr>
    </w:p>
    <w:p w14:paraId="5AE456AF">
      <w:pPr>
        <w:spacing w:line="440" w:lineRule="exact"/>
        <w:jc w:val="center"/>
        <w:rPr>
          <w:rFonts w:hint="eastAsia" w:ascii="仿宋" w:hAnsi="仿宋" w:eastAsia="仿宋"/>
          <w:b/>
          <w:sz w:val="28"/>
          <w:szCs w:val="28"/>
        </w:rPr>
      </w:pPr>
    </w:p>
    <w:p w14:paraId="3E81DEDC">
      <w:pPr>
        <w:spacing w:line="440" w:lineRule="exact"/>
        <w:jc w:val="center"/>
        <w:rPr>
          <w:rFonts w:hint="eastAsia" w:ascii="仿宋" w:hAnsi="仿宋" w:eastAsia="仿宋"/>
          <w:b/>
          <w:sz w:val="28"/>
          <w:szCs w:val="28"/>
        </w:rPr>
      </w:pPr>
    </w:p>
    <w:p w14:paraId="126134DE">
      <w:pPr>
        <w:spacing w:line="440" w:lineRule="exact"/>
        <w:jc w:val="center"/>
        <w:rPr>
          <w:rFonts w:hint="eastAsia" w:ascii="仿宋" w:hAnsi="仿宋" w:eastAsia="仿宋"/>
          <w:b/>
          <w:sz w:val="28"/>
          <w:szCs w:val="28"/>
        </w:rPr>
      </w:pPr>
    </w:p>
    <w:p w14:paraId="6B8E178C">
      <w:pPr>
        <w:spacing w:line="440" w:lineRule="exact"/>
        <w:jc w:val="center"/>
        <w:rPr>
          <w:rFonts w:hint="eastAsia" w:ascii="仿宋" w:hAnsi="仿宋" w:eastAsia="仿宋"/>
          <w:b/>
          <w:sz w:val="28"/>
          <w:szCs w:val="28"/>
        </w:rPr>
      </w:pPr>
    </w:p>
    <w:p w14:paraId="2A2A5795">
      <w:pPr>
        <w:spacing w:line="440" w:lineRule="exact"/>
        <w:jc w:val="center"/>
        <w:rPr>
          <w:rFonts w:hint="eastAsia" w:ascii="仿宋" w:hAnsi="仿宋" w:eastAsia="仿宋"/>
          <w:b/>
          <w:sz w:val="28"/>
          <w:szCs w:val="28"/>
        </w:rPr>
      </w:pPr>
    </w:p>
    <w:p w14:paraId="0853A4AB">
      <w:pPr>
        <w:spacing w:line="440" w:lineRule="exact"/>
        <w:jc w:val="center"/>
        <w:rPr>
          <w:rFonts w:hint="eastAsia" w:ascii="仿宋" w:hAnsi="仿宋" w:eastAsia="仿宋"/>
          <w:b/>
          <w:sz w:val="28"/>
          <w:szCs w:val="28"/>
        </w:rPr>
      </w:pPr>
    </w:p>
    <w:p w14:paraId="4ACE088C">
      <w:pPr>
        <w:spacing w:line="440" w:lineRule="exact"/>
        <w:jc w:val="center"/>
        <w:rPr>
          <w:rFonts w:hint="eastAsia" w:ascii="仿宋" w:hAnsi="仿宋" w:eastAsia="仿宋"/>
          <w:b/>
          <w:sz w:val="28"/>
          <w:szCs w:val="28"/>
        </w:rPr>
      </w:pPr>
    </w:p>
    <w:p w14:paraId="3735A632">
      <w:pPr>
        <w:spacing w:line="440" w:lineRule="exact"/>
        <w:jc w:val="center"/>
        <w:rPr>
          <w:rFonts w:hint="eastAsia" w:ascii="仿宋" w:hAnsi="仿宋" w:eastAsia="仿宋"/>
          <w:b/>
          <w:sz w:val="28"/>
          <w:szCs w:val="28"/>
        </w:rPr>
      </w:pPr>
    </w:p>
    <w:p w14:paraId="78B0ABED">
      <w:pPr>
        <w:spacing w:line="440" w:lineRule="exact"/>
        <w:jc w:val="center"/>
        <w:rPr>
          <w:rFonts w:hint="eastAsia" w:ascii="仿宋" w:hAnsi="仿宋" w:eastAsia="仿宋"/>
          <w:b/>
          <w:sz w:val="28"/>
          <w:szCs w:val="28"/>
        </w:rPr>
      </w:pPr>
    </w:p>
    <w:p w14:paraId="3DB71B92">
      <w:pPr>
        <w:spacing w:before="156" w:beforeLines="50" w:after="50" w:line="460" w:lineRule="exact"/>
        <w:jc w:val="both"/>
        <w:rPr>
          <w:rFonts w:hint="eastAsia" w:ascii="仿宋" w:hAnsi="仿宋" w:eastAsia="仿宋"/>
          <w:b/>
          <w:sz w:val="28"/>
          <w:szCs w:val="28"/>
        </w:rPr>
      </w:pPr>
    </w:p>
    <w:p w14:paraId="365BFF04">
      <w:pPr>
        <w:spacing w:before="156" w:beforeLines="50" w:after="50" w:line="460" w:lineRule="exact"/>
        <w:jc w:val="center"/>
        <w:rPr>
          <w:rFonts w:ascii="仿宋" w:hAnsi="仿宋" w:eastAsia="仿宋"/>
          <w:b/>
          <w:sz w:val="28"/>
          <w:szCs w:val="28"/>
        </w:rPr>
      </w:pPr>
      <w:r>
        <w:rPr>
          <w:rFonts w:hint="eastAsia" w:ascii="仿宋" w:hAnsi="仿宋" w:eastAsia="仿宋"/>
          <w:b/>
          <w:sz w:val="28"/>
          <w:szCs w:val="28"/>
        </w:rPr>
        <w:t>（2）法定代表人授权委托书（适用非联合体授权代表投标）</w:t>
      </w:r>
    </w:p>
    <w:p w14:paraId="0EF30B2F">
      <w:pPr>
        <w:pStyle w:val="48"/>
        <w:spacing w:line="480" w:lineRule="auto"/>
        <w:rPr>
          <w:rFonts w:ascii="仿宋" w:hAnsi="仿宋" w:eastAsia="仿宋"/>
          <w:sz w:val="24"/>
          <w:szCs w:val="24"/>
        </w:rPr>
      </w:pPr>
      <w:r>
        <w:rPr>
          <w:rFonts w:hint="eastAsia" w:ascii="仿宋" w:hAnsi="仿宋"/>
          <w:sz w:val="24"/>
          <w:szCs w:val="24"/>
          <w:lang w:eastAsia="zh-CN"/>
        </w:rPr>
        <w:t>宁波禹通工程项目管理有限公司 </w:t>
      </w:r>
      <w:r>
        <w:rPr>
          <w:rFonts w:hint="eastAsia" w:ascii="仿宋" w:hAnsi="仿宋" w:eastAsia="仿宋"/>
          <w:sz w:val="24"/>
          <w:szCs w:val="24"/>
        </w:rPr>
        <w:t>：</w:t>
      </w:r>
    </w:p>
    <w:p w14:paraId="00AF85A1">
      <w:pPr>
        <w:wordWrap w:val="0"/>
        <w:topLinePunct/>
        <w:spacing w:line="480" w:lineRule="auto"/>
        <w:ind w:firstLine="720" w:firstLineChars="300"/>
        <w:rPr>
          <w:rFonts w:ascii="仿宋" w:hAnsi="仿宋" w:eastAsia="仿宋"/>
          <w:sz w:val="24"/>
          <w:szCs w:val="24"/>
        </w:rPr>
      </w:pPr>
      <w:r>
        <w:rPr>
          <w:rFonts w:hint="eastAsia" w:ascii="仿宋" w:hAnsi="仿宋" w:eastAsia="仿宋"/>
          <w:sz w:val="24"/>
          <w:szCs w:val="24"/>
        </w:rPr>
        <w:t>我</w:t>
      </w:r>
      <w:r>
        <w:rPr>
          <w:rFonts w:hint="eastAsia" w:ascii="仿宋" w:hAnsi="仿宋" w:eastAsia="仿宋"/>
          <w:sz w:val="24"/>
          <w:szCs w:val="24"/>
          <w:u w:val="single"/>
        </w:rPr>
        <w:t xml:space="preserve">          </w:t>
      </w:r>
      <w:r>
        <w:rPr>
          <w:rFonts w:hint="eastAsia" w:ascii="仿宋" w:hAnsi="仿宋" w:eastAsia="仿宋"/>
          <w:sz w:val="24"/>
          <w:szCs w:val="24"/>
        </w:rPr>
        <w:t>（姓名）系</w:t>
      </w:r>
      <w:r>
        <w:rPr>
          <w:rFonts w:hint="eastAsia" w:ascii="仿宋" w:hAnsi="仿宋" w:eastAsia="仿宋"/>
          <w:sz w:val="24"/>
          <w:szCs w:val="24"/>
          <w:u w:val="single"/>
        </w:rPr>
        <w:t xml:space="preserve">                    </w:t>
      </w:r>
      <w:r>
        <w:rPr>
          <w:rFonts w:hint="eastAsia" w:ascii="仿宋" w:hAnsi="仿宋" w:eastAsia="仿宋"/>
          <w:sz w:val="24"/>
          <w:szCs w:val="24"/>
        </w:rPr>
        <w:t xml:space="preserve">（投标人名称）的法定代表人，现授权委托本单位在职职工 </w:t>
      </w:r>
      <w:r>
        <w:rPr>
          <w:rFonts w:hint="eastAsia" w:ascii="仿宋" w:hAnsi="仿宋" w:eastAsia="仿宋"/>
          <w:sz w:val="24"/>
          <w:szCs w:val="24"/>
          <w:u w:val="single"/>
        </w:rPr>
        <w:t xml:space="preserve">         </w:t>
      </w:r>
      <w:r>
        <w:rPr>
          <w:rFonts w:hint="eastAsia" w:ascii="仿宋" w:hAnsi="仿宋" w:eastAsia="仿宋"/>
          <w:sz w:val="24"/>
          <w:szCs w:val="24"/>
        </w:rPr>
        <w:t>（姓名）为授权代表，以我方的名义参加项目编号：</w:t>
      </w:r>
      <w:r>
        <w:rPr>
          <w:rFonts w:hint="eastAsia" w:ascii="仿宋" w:hAnsi="仿宋" w:eastAsia="仿宋"/>
          <w:sz w:val="24"/>
          <w:szCs w:val="24"/>
          <w:u w:val="single"/>
        </w:rPr>
        <w:t xml:space="preserve">           </w:t>
      </w: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项目的投标活动，并代表我方全权办理针对上述项目投标过程中的一切与之有关的事务，其在投标中的一切活动本公司均予承认。我方对授权代表的签名事项负全部责任。</w:t>
      </w:r>
    </w:p>
    <w:p w14:paraId="1EE095BB">
      <w:pPr>
        <w:spacing w:line="480" w:lineRule="auto"/>
        <w:ind w:firstLine="480"/>
        <w:rPr>
          <w:rFonts w:ascii="仿宋" w:hAnsi="仿宋" w:eastAsia="仿宋"/>
          <w:sz w:val="24"/>
          <w:szCs w:val="24"/>
        </w:rPr>
      </w:pPr>
      <w:r>
        <w:rPr>
          <w:rFonts w:hint="eastAsia" w:ascii="仿宋" w:hAnsi="仿宋" w:eastAsia="仿宋"/>
          <w:sz w:val="24"/>
          <w:szCs w:val="24"/>
        </w:rPr>
        <w:t>在撤销授权的书面通知以前，本授权书一直有效。授权代表在授权书有效期内签署的所有文件不因授权的撤销而失效。</w:t>
      </w:r>
    </w:p>
    <w:p w14:paraId="0DBE6DD4">
      <w:pPr>
        <w:spacing w:line="480" w:lineRule="auto"/>
        <w:ind w:firstLine="480"/>
        <w:rPr>
          <w:rFonts w:ascii="仿宋" w:hAnsi="仿宋" w:eastAsia="仿宋"/>
          <w:sz w:val="24"/>
          <w:szCs w:val="24"/>
        </w:rPr>
      </w:pPr>
      <w:r>
        <w:rPr>
          <w:rFonts w:hint="eastAsia" w:ascii="仿宋" w:hAnsi="仿宋" w:eastAsia="仿宋"/>
          <w:sz w:val="24"/>
          <w:szCs w:val="24"/>
        </w:rPr>
        <w:t>授权代表无转委托权，特此委托。</w:t>
      </w:r>
    </w:p>
    <w:p w14:paraId="257CC6B1">
      <w:pPr>
        <w:spacing w:before="156"/>
        <w:rPr>
          <w:rFonts w:ascii="仿宋" w:hAnsi="仿宋" w:eastAsia="仿宋"/>
          <w:sz w:val="24"/>
          <w:szCs w:val="24"/>
        </w:rPr>
      </w:pPr>
      <w:r>
        <w:rPr>
          <w:rFonts w:hint="eastAsia" w:ascii="仿宋" w:hAnsi="仿宋" w:eastAsia="仿宋" w:cs="仿宋"/>
          <w:sz w:val="24"/>
          <w:szCs w:val="24"/>
        </w:rPr>
        <w:t>授权代表（签名或盖章）：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14:paraId="3215E546">
      <w:pPr>
        <w:spacing w:before="156"/>
        <w:rPr>
          <w:rFonts w:ascii="仿宋" w:hAnsi="仿宋" w:eastAsia="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3495E83">
      <w:pPr>
        <w:spacing w:before="156"/>
        <w:rPr>
          <w:rFonts w:ascii="仿宋" w:hAnsi="仿宋" w:eastAsia="仿宋"/>
          <w:sz w:val="24"/>
          <w:szCs w:val="24"/>
        </w:rPr>
      </w:pPr>
      <w:r>
        <w:rPr>
          <w:rFonts w:hint="eastAsia" w:ascii="仿宋" w:hAnsi="仿宋" w:eastAsia="仿宋" w:cs="仿宋"/>
          <w:sz w:val="24"/>
          <w:szCs w:val="24"/>
        </w:rPr>
        <w:t>法定代表人（签名或盖章）：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23B492A5">
      <w:pPr>
        <w:spacing w:before="156"/>
        <w:rPr>
          <w:rFonts w:ascii="仿宋" w:hAnsi="仿宋" w:eastAsia="仿宋"/>
          <w:sz w:val="24"/>
          <w:szCs w:val="24"/>
          <w:lang w:val="zh-CN"/>
        </w:rPr>
      </w:pPr>
      <w:r>
        <w:rPr>
          <w:rFonts w:hint="eastAsia" w:ascii="仿宋" w:hAnsi="仿宋" w:eastAsia="仿宋" w:cs="仿宋"/>
          <w:sz w:val="24"/>
          <w:szCs w:val="24"/>
        </w:rPr>
        <w:t>投标人全称（</w:t>
      </w:r>
      <w:r>
        <w:rPr>
          <w:rFonts w:hint="eastAsia" w:ascii="仿宋" w:hAnsi="仿宋" w:eastAsia="仿宋"/>
          <w:sz w:val="24"/>
          <w:szCs w:val="24"/>
        </w:rPr>
        <w:t>盖章或电子签章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授权日期：</w:t>
      </w:r>
      <w:r>
        <w:rPr>
          <w:rFonts w:hint="eastAsia" w:ascii="仿宋" w:hAnsi="仿宋" w:eastAsia="仿宋" w:cs="仿宋"/>
          <w:sz w:val="24"/>
          <w:szCs w:val="24"/>
          <w:u w:val="single"/>
        </w:rPr>
        <w:t xml:space="preserve">    年   月   日</w:t>
      </w:r>
    </w:p>
    <w:p w14:paraId="665097CD">
      <w:pPr>
        <w:pStyle w:val="1025"/>
        <w:spacing w:line="360" w:lineRule="auto"/>
        <w:rPr>
          <w:rFonts w:ascii="仿宋" w:hAnsi="仿宋" w:eastAsia="仿宋"/>
          <w:bCs/>
          <w:sz w:val="24"/>
          <w:szCs w:val="24"/>
        </w:rPr>
      </w:pPr>
      <w:r>
        <w:rPr>
          <w:rFonts w:hint="eastAsia" w:ascii="仿宋" w:hAnsi="仿宋" w:eastAsia="仿宋" w:cs="仿宋"/>
          <w:b/>
          <w:sz w:val="24"/>
          <w:szCs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35D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9102" w:type="dxa"/>
            <w:noWrap w:val="0"/>
            <w:vAlign w:val="top"/>
          </w:tcPr>
          <w:p w14:paraId="5364C890">
            <w:pPr>
              <w:pStyle w:val="1025"/>
              <w:spacing w:line="360" w:lineRule="auto"/>
              <w:rPr>
                <w:rFonts w:ascii="仿宋" w:hAnsi="仿宋" w:eastAsia="仿宋"/>
                <w:bCs/>
                <w:sz w:val="24"/>
                <w:szCs w:val="24"/>
              </w:rPr>
            </w:pPr>
            <w:r>
              <w:rPr>
                <w:rFonts w:hint="eastAsia" w:ascii="仿宋" w:hAnsi="仿宋" w:eastAsia="仿宋"/>
                <w:bCs/>
                <w:sz w:val="24"/>
                <w:szCs w:val="24"/>
              </w:rPr>
              <w:t>正面：                                 反面：</w:t>
            </w:r>
          </w:p>
          <w:p w14:paraId="3158C094">
            <w:pPr>
              <w:pStyle w:val="1025"/>
              <w:spacing w:line="360" w:lineRule="auto"/>
              <w:rPr>
                <w:rFonts w:ascii="仿宋" w:hAnsi="仿宋" w:eastAsia="仿宋"/>
                <w:bCs/>
                <w:sz w:val="24"/>
                <w:szCs w:val="24"/>
              </w:rPr>
            </w:pPr>
          </w:p>
        </w:tc>
      </w:tr>
    </w:tbl>
    <w:p w14:paraId="08C5CCB7">
      <w:pPr>
        <w:spacing w:line="440" w:lineRule="exact"/>
        <w:rPr>
          <w:rFonts w:hint="eastAsia" w:ascii="仿宋" w:hAnsi="仿宋" w:eastAsia="仿宋"/>
          <w:sz w:val="24"/>
          <w:szCs w:val="24"/>
        </w:rPr>
      </w:pPr>
      <w:r>
        <w:rPr>
          <w:rFonts w:hint="eastAsia" w:ascii="仿宋" w:hAnsi="仿宋" w:eastAsia="仿宋" w:cs="仿宋"/>
          <w:b/>
          <w:kern w:val="2"/>
          <w:sz w:val="24"/>
          <w:szCs w:val="24"/>
          <w:lang w:val="zh-CN"/>
        </w:rPr>
        <w:t>（</w:t>
      </w:r>
      <w:r>
        <w:rPr>
          <w:rFonts w:hint="eastAsia" w:ascii="仿宋" w:hAnsi="仿宋" w:eastAsia="仿宋" w:cs="仿宋"/>
          <w:b/>
          <w:kern w:val="2"/>
          <w:sz w:val="24"/>
          <w:szCs w:val="24"/>
        </w:rPr>
        <w:t>注：如法定代表人直接参加投标并对相应文件签字的，只需提供其身份证复印件正反面。</w:t>
      </w:r>
      <w:r>
        <w:rPr>
          <w:rFonts w:hint="eastAsia" w:ascii="仿宋" w:hAnsi="仿宋" w:eastAsia="仿宋" w:cs="仿宋"/>
          <w:b/>
          <w:kern w:val="2"/>
          <w:sz w:val="24"/>
          <w:szCs w:val="24"/>
          <w:lang w:val="zh-CN"/>
        </w:rPr>
        <w:t>）</w:t>
      </w:r>
      <w:r>
        <w:rPr>
          <w:rFonts w:hint="eastAsia" w:ascii="仿宋" w:hAnsi="仿宋" w:eastAsia="仿宋"/>
          <w:b/>
          <w:bCs/>
          <w:sz w:val="24"/>
          <w:szCs w:val="24"/>
        </w:rPr>
        <w:t>▲投标文件中法定代表人授权委托书所载内容与本项目内容有异的，投标无效。</w:t>
      </w:r>
    </w:p>
    <w:p w14:paraId="2A843438">
      <w:pPr>
        <w:spacing w:line="44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投标响应函</w:t>
      </w:r>
    </w:p>
    <w:p w14:paraId="4ADA4FCF">
      <w:pPr>
        <w:pStyle w:val="48"/>
        <w:spacing w:beforeLines="0" w:afterLines="0" w:line="440" w:lineRule="exact"/>
        <w:rPr>
          <w:rFonts w:hint="eastAsia" w:ascii="仿宋" w:hAnsi="仿宋" w:eastAsia="仿宋" w:cs="仿宋"/>
          <w:color w:val="auto"/>
          <w:highlight w:val="none"/>
          <w:u w:val="single"/>
        </w:rPr>
      </w:pPr>
      <w:r>
        <w:rPr>
          <w:rFonts w:hint="eastAsia" w:ascii="仿宋" w:hAnsi="仿宋" w:eastAsia="仿宋" w:cs="仿宋"/>
          <w:bCs/>
          <w:color w:val="auto"/>
          <w:highlight w:val="none"/>
          <w:u w:val="single"/>
        </w:rPr>
        <w:t>（采购人）、</w:t>
      </w:r>
      <w:r>
        <w:rPr>
          <w:rFonts w:hint="eastAsia" w:ascii="仿宋" w:hAnsi="仿宋"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p>
    <w:p w14:paraId="5E7BFCBC">
      <w:pPr>
        <w:pStyle w:val="48"/>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我 </w:t>
      </w:r>
      <w:r>
        <w:rPr>
          <w:rFonts w:hint="eastAsia" w:ascii="仿宋" w:hAnsi="仿宋" w:eastAsia="仿宋" w:cs="仿宋"/>
          <w:color w:val="auto"/>
          <w:highlight w:val="none"/>
          <w:u w:val="single"/>
        </w:rPr>
        <w:t xml:space="preserve">（姓名） </w:t>
      </w:r>
      <w:r>
        <w:rPr>
          <w:rFonts w:hint="eastAsia" w:ascii="仿宋" w:hAnsi="仿宋" w:eastAsia="仿宋" w:cs="仿宋"/>
          <w:color w:val="auto"/>
          <w:highlight w:val="none"/>
        </w:rPr>
        <w:t>系</w:t>
      </w:r>
      <w:r>
        <w:rPr>
          <w:rFonts w:hint="eastAsia" w:ascii="仿宋" w:hAnsi="仿宋" w:eastAsia="仿宋" w:cs="仿宋"/>
          <w:color w:val="auto"/>
          <w:highlight w:val="none"/>
          <w:u w:val="single"/>
        </w:rPr>
        <w:t xml:space="preserve">  （投标人名称）  </w:t>
      </w:r>
      <w:r>
        <w:rPr>
          <w:rFonts w:hint="eastAsia" w:ascii="仿宋" w:hAnsi="仿宋" w:eastAsia="仿宋" w:cs="仿宋"/>
          <w:color w:val="auto"/>
          <w:highlight w:val="none"/>
        </w:rPr>
        <w:t>的法定代表人，授权</w:t>
      </w:r>
      <w:r>
        <w:rPr>
          <w:rFonts w:hint="eastAsia" w:ascii="仿宋" w:hAnsi="仿宋" w:eastAsia="仿宋" w:cs="仿宋"/>
          <w:color w:val="auto"/>
          <w:highlight w:val="none"/>
          <w:u w:val="single"/>
        </w:rPr>
        <w:t xml:space="preserve">  （全名、职务） </w:t>
      </w:r>
      <w:r>
        <w:rPr>
          <w:rFonts w:hint="eastAsia" w:ascii="仿宋" w:hAnsi="仿宋" w:eastAsia="仿宋" w:cs="仿宋"/>
          <w:color w:val="auto"/>
          <w:highlight w:val="none"/>
        </w:rPr>
        <w:t>为全权代表，参加贵方组织的</w:t>
      </w:r>
      <w:r>
        <w:rPr>
          <w:rFonts w:hint="eastAsia" w:ascii="仿宋" w:hAnsi="仿宋" w:eastAsia="仿宋" w:cs="仿宋"/>
          <w:color w:val="auto"/>
          <w:highlight w:val="none"/>
          <w:u w:val="single"/>
        </w:rPr>
        <w:t xml:space="preserve">           （招标项目名称）        项目（项目编号：      </w:t>
      </w:r>
      <w:r>
        <w:rPr>
          <w:rFonts w:hint="eastAsia" w:ascii="仿宋" w:hAnsi="仿宋" w:eastAsia="仿宋" w:cs="仿宋"/>
          <w:color w:val="auto"/>
          <w:highlight w:val="none"/>
        </w:rPr>
        <w:t>）采购的有关活动，并对此项目进行投标。为此，我方就本次投标有关事项郑重声明如下：</w:t>
      </w:r>
    </w:p>
    <w:p w14:paraId="4830034C">
      <w:pPr>
        <w:pStyle w:val="48"/>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1.我方承诺参加采购活动的供应商应当具备的条件：</w:t>
      </w:r>
    </w:p>
    <w:p w14:paraId="0B5AEE19">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（1）具有独立承担民事责任能力；</w:t>
      </w:r>
    </w:p>
    <w:p w14:paraId="4C955C3E">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（2）遵守国家法律、行政法规，具有良好的商业信誉、商业道德和健全的财务会计制度；</w:t>
      </w:r>
    </w:p>
    <w:p w14:paraId="2243A878">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（3）具有履行合同所必需的设备和专业技术能力</w:t>
      </w:r>
      <w:r>
        <w:rPr>
          <w:rFonts w:hint="eastAsia" w:ascii="仿宋" w:hAnsi="仿宋" w:eastAsia="仿宋" w:cs="仿宋"/>
          <w:color w:val="auto"/>
          <w:highlight w:val="none"/>
        </w:rPr>
        <w:t>；</w:t>
      </w:r>
    </w:p>
    <w:p w14:paraId="0724AF15">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（4）有依法缴纳税收和社会保障资金的良好记录；</w:t>
      </w:r>
    </w:p>
    <w:p w14:paraId="46F1A7C6">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（5）遵守中华人民共和国采购有关规定，没有违反采购法规、政策的记录；</w:t>
      </w:r>
    </w:p>
    <w:p w14:paraId="7BC16A0D">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（6）具有良好的财务状况以及良好的履行合同的能力和记录；</w:t>
      </w:r>
    </w:p>
    <w:p w14:paraId="510E4EFA">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（7）产品及生产所需装备符合中国政府规定的相应技术标准和环保标准；</w:t>
      </w:r>
    </w:p>
    <w:p w14:paraId="7C4A71DF">
      <w:pPr>
        <w:widowControl/>
        <w:snapToGrid w:val="0"/>
        <w:spacing w:line="440" w:lineRule="exact"/>
        <w:ind w:firstLine="480" w:firstLineChars="200"/>
        <w:jc w:val="left"/>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rPr>
        <w:t>（8）没有违反采购法规、政策的记录。</w:t>
      </w:r>
    </w:p>
    <w:p w14:paraId="1990B062">
      <w:pPr>
        <w:pStyle w:val="48"/>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2.我方同意在招标文件规定的开标日期起遵守本投标文件中的承诺且在投标有效期满之前均具有约束力。</w:t>
      </w:r>
    </w:p>
    <w:p w14:paraId="727DF455">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3.本项目实行电子投标，须提供投标人须知规定的全部投标文件，供应商应准备电子投标文件及</w:t>
      </w:r>
      <w:r>
        <w:rPr>
          <w:rFonts w:hint="eastAsia" w:ascii="仿宋" w:hAnsi="仿宋" w:eastAsia="仿宋" w:cs="仿宋"/>
          <w:color w:val="auto"/>
          <w:highlight w:val="none"/>
        </w:rPr>
        <w:t>其他要求投标人提交的全部材料</w:t>
      </w:r>
      <w:r>
        <w:rPr>
          <w:rFonts w:hint="eastAsia" w:ascii="仿宋" w:hAnsi="仿宋" w:eastAsia="仿宋" w:cs="仿宋"/>
          <w:color w:val="auto"/>
          <w:kern w:val="0"/>
          <w:highlight w:val="none"/>
        </w:rPr>
        <w:t>，按政采云平台项目采购-电子招投标操作指南及本招标文件要求递交。</w:t>
      </w:r>
    </w:p>
    <w:p w14:paraId="094BA75A">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4.按招标文件要求提供和交付的货物和服务的投标报价详见开标一览表。</w:t>
      </w:r>
    </w:p>
    <w:p w14:paraId="51F45F89">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5.我方已详细审查全部招标文件，包括招标文件澄清修改内容(如果有)、参考资料及有关附件，确认无误，同意并保证遵守招标文件（包括答疑文件、补充文件等）的各项规定和要求。</w:t>
      </w:r>
    </w:p>
    <w:p w14:paraId="0AD63B49">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6.我方同意在中标后按时签订合同。</w:t>
      </w:r>
    </w:p>
    <w:p w14:paraId="69255033">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7.</w:t>
      </w:r>
      <w:r>
        <w:rPr>
          <w:rFonts w:hint="eastAsia" w:ascii="仿宋" w:hAnsi="仿宋" w:eastAsia="仿宋" w:cs="仿宋"/>
          <w:color w:val="auto"/>
          <w:highlight w:val="none"/>
        </w:rPr>
        <w:t>我方</w:t>
      </w:r>
      <w:r>
        <w:rPr>
          <w:rFonts w:hint="eastAsia" w:ascii="仿宋" w:hAnsi="仿宋" w:eastAsia="仿宋" w:cs="仿宋"/>
          <w:color w:val="auto"/>
          <w:kern w:val="0"/>
          <w:highlight w:val="none"/>
        </w:rPr>
        <w:t>保证遵守招标文件中的其他有关规定。</w:t>
      </w:r>
    </w:p>
    <w:p w14:paraId="48B39BED">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8.我方愿意向贵方提供任何与该项投标有关的数据、情况和技术资料。若贵方需要，我方愿意提供我方作出的一切承诺的证明材料。我方理解贵方不一定要接受最低价的投标或收到的任何投标。</w:t>
      </w:r>
    </w:p>
    <w:p w14:paraId="12909C34">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9.我方向贵方提交的所有投标文件、资料都是准确的和真实的。</w:t>
      </w:r>
    </w:p>
    <w:p w14:paraId="344F992F">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10.我方承诺投标有效期从提交投标文件的截止之日起</w:t>
      </w:r>
      <w:r>
        <w:rPr>
          <w:rFonts w:hint="eastAsia" w:ascii="仿宋" w:hAnsi="仿宋" w:eastAsia="仿宋" w:cs="仿宋"/>
          <w:color w:val="auto"/>
          <w:kern w:val="0"/>
          <w:highlight w:val="none"/>
          <w:u w:val="single"/>
        </w:rPr>
        <w:t xml:space="preserve">  </w:t>
      </w:r>
      <w:r>
        <w:rPr>
          <w:rFonts w:hint="eastAsia" w:cs="仿宋"/>
          <w:color w:val="auto"/>
          <w:kern w:val="0"/>
          <w:highlight w:val="none"/>
          <w:u w:val="single"/>
          <w:lang w:val="en-US" w:eastAsia="zh-CN"/>
        </w:rPr>
        <w:t>90</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天，不少于招标文件中载明的投标有效期（从提交投标文件的截止之日起90天）。</w:t>
      </w:r>
    </w:p>
    <w:p w14:paraId="2E1C3DA6">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11.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017DE50E">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（1)提供虚假材料谋取中标、成交的；</w:t>
      </w:r>
    </w:p>
    <w:p w14:paraId="6B96F4FC">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（2)采取不正当手段诋毁、排挤其他供应商的；</w:t>
      </w:r>
    </w:p>
    <w:p w14:paraId="6E28288E">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（3)与采购人、其它供应商或者采购代理机构恶意串通的；</w:t>
      </w:r>
    </w:p>
    <w:p w14:paraId="3DD24FCE">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（4)向采购人、采购代理机构行贿或者提供其他不正当利益的；</w:t>
      </w:r>
    </w:p>
    <w:p w14:paraId="3DA9172B">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（5)在招标采购过程中与采购人进行协商谈判的；</w:t>
      </w:r>
    </w:p>
    <w:p w14:paraId="618BB5A2">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（6)拒绝有关部门监督检查或提供虚假情况的。</w:t>
      </w:r>
    </w:p>
    <w:p w14:paraId="4875CE85">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供应商有前款第（1)至（5)项情形之一的，中标、成交无效。</w:t>
      </w:r>
    </w:p>
    <w:p w14:paraId="610394E2">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以上事项如有虚假或隐瞒，我方愿意承担一切后果，并不再寻求任何旨在减轻或免除法律责任的辩解。</w:t>
      </w:r>
    </w:p>
    <w:p w14:paraId="6C6A6960">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与本投标有关的一切正式往来通讯请联系：</w:t>
      </w:r>
    </w:p>
    <w:p w14:paraId="3F022CE8">
      <w:pPr>
        <w:spacing w:line="440" w:lineRule="exact"/>
        <w:ind w:firstLine="480" w:firstLineChars="200"/>
        <w:jc w:val="left"/>
        <w:rPr>
          <w:rFonts w:hint="eastAsia" w:ascii="仿宋" w:hAnsi="仿宋" w:eastAsia="仿宋" w:cs="仿宋"/>
          <w:color w:val="auto"/>
          <w:highlight w:val="none"/>
        </w:rPr>
      </w:pPr>
    </w:p>
    <w:p w14:paraId="0172C66C">
      <w:pPr>
        <w:spacing w:line="440" w:lineRule="exact"/>
        <w:ind w:firstLine="48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投标人名称(电子签章):</w:t>
      </w:r>
      <w:r>
        <w:rPr>
          <w:rFonts w:hint="eastAsia" w:ascii="仿宋" w:hAnsi="仿宋" w:eastAsia="仿宋" w:cs="仿宋"/>
          <w:color w:val="auto"/>
          <w:highlight w:val="none"/>
          <w:u w:val="single"/>
        </w:rPr>
        <w:t xml:space="preserve">                                       </w:t>
      </w:r>
    </w:p>
    <w:p w14:paraId="53019624">
      <w:pPr>
        <w:spacing w:line="440" w:lineRule="exact"/>
        <w:ind w:firstLine="48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法定代表人或授权代表（签名或盖章）:</w:t>
      </w:r>
      <w:r>
        <w:rPr>
          <w:rFonts w:hint="eastAsia" w:ascii="仿宋" w:hAnsi="仿宋" w:eastAsia="仿宋" w:cs="仿宋"/>
          <w:color w:val="auto"/>
          <w:highlight w:val="none"/>
          <w:u w:val="single"/>
        </w:rPr>
        <w:t xml:space="preserve">                               </w:t>
      </w:r>
    </w:p>
    <w:p w14:paraId="55485234">
      <w:pPr>
        <w:spacing w:line="440" w:lineRule="exact"/>
        <w:ind w:firstLine="48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single"/>
        </w:rPr>
        <w:t xml:space="preserve">                      </w:t>
      </w:r>
    </w:p>
    <w:p w14:paraId="13AFDDF8">
      <w:pPr>
        <w:spacing w:line="440" w:lineRule="exact"/>
        <w:ind w:firstLine="48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邮箱：</w:t>
      </w:r>
      <w:r>
        <w:rPr>
          <w:rFonts w:hint="eastAsia" w:ascii="仿宋" w:hAnsi="仿宋" w:eastAsia="仿宋" w:cs="仿宋"/>
          <w:color w:val="auto"/>
          <w:highlight w:val="none"/>
          <w:u w:val="single"/>
        </w:rPr>
        <w:t xml:space="preserve">                      </w:t>
      </w:r>
    </w:p>
    <w:p w14:paraId="1AE753C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40BBA0E2">
      <w:pPr>
        <w:spacing w:line="440" w:lineRule="exact"/>
        <w:ind w:firstLine="482" w:firstLineChars="200"/>
        <w:rPr>
          <w:rFonts w:hint="eastAsia" w:ascii="仿宋" w:hAnsi="仿宋" w:eastAsia="仿宋" w:cs="仿宋"/>
          <w:b/>
          <w:bCs/>
          <w:color w:val="auto"/>
          <w:highlight w:val="none"/>
        </w:rPr>
      </w:pPr>
    </w:p>
    <w:p w14:paraId="78E4FDAD">
      <w:pPr>
        <w:spacing w:line="440" w:lineRule="exact"/>
        <w:ind w:firstLine="482" w:firstLineChars="200"/>
        <w:rPr>
          <w:rFonts w:hint="eastAsia" w:ascii="仿宋" w:hAnsi="仿宋" w:eastAsia="仿宋" w:cs="仿宋"/>
          <w:b/>
          <w:bCs/>
          <w:color w:val="auto"/>
          <w:highlight w:val="none"/>
        </w:rPr>
      </w:pPr>
    </w:p>
    <w:p w14:paraId="6783651D">
      <w:pPr>
        <w:spacing w:line="440" w:lineRule="exact"/>
        <w:ind w:firstLine="482" w:firstLineChars="200"/>
        <w:rPr>
          <w:rFonts w:hint="eastAsia" w:ascii="仿宋" w:hAnsi="仿宋" w:eastAsia="仿宋" w:cs="仿宋"/>
          <w:b/>
          <w:color w:val="auto"/>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highlight w:val="none"/>
        </w:rPr>
        <w:t>▲注：未按照本投标响应函要求填报的将被视为非实质性响应投标。</w:t>
      </w:r>
    </w:p>
    <w:p w14:paraId="00C00ED8">
      <w:pPr>
        <w:tabs>
          <w:tab w:val="left" w:pos="0"/>
        </w:tabs>
        <w:autoSpaceDE w:val="0"/>
        <w:autoSpaceDN w:val="0"/>
        <w:spacing w:line="440" w:lineRule="exact"/>
        <w:ind w:firstLine="2249" w:firstLineChars="700"/>
        <w:rPr>
          <w:rFonts w:hint="eastAsia" w:ascii="仿宋" w:hAnsi="仿宋" w:eastAsia="仿宋" w:cs="仿宋"/>
          <w:color w:val="auto"/>
          <w:highlight w:val="none"/>
        </w:rPr>
      </w:pPr>
      <w:r>
        <w:rPr>
          <w:rFonts w:hint="eastAsia" w:ascii="仿宋" w:hAnsi="仿宋" w:eastAsia="仿宋" w:cs="仿宋"/>
          <w:b/>
          <w:color w:val="auto"/>
          <w:kern w:val="2"/>
          <w:sz w:val="32"/>
          <w:szCs w:val="32"/>
          <w:highlight w:val="none"/>
        </w:rPr>
        <w:t>采购供应商廉洁自律承诺书</w:t>
      </w:r>
      <w:r>
        <w:rPr>
          <w:rFonts w:hint="eastAsia" w:ascii="仿宋" w:hAnsi="仿宋" w:eastAsia="仿宋" w:cs="仿宋"/>
          <w:color w:val="auto"/>
          <w:highlight w:val="none"/>
        </w:rPr>
        <w:t> </w:t>
      </w:r>
    </w:p>
    <w:p w14:paraId="2D182ED2">
      <w:pPr>
        <w:spacing w:line="440" w:lineRule="exact"/>
        <w:rPr>
          <w:rFonts w:hint="eastAsia" w:ascii="仿宋" w:hAnsi="仿宋" w:eastAsia="仿宋" w:cs="仿宋"/>
          <w:color w:val="auto"/>
          <w:sz w:val="28"/>
          <w:szCs w:val="28"/>
          <w:highlight w:val="none"/>
        </w:rPr>
      </w:pPr>
    </w:p>
    <w:p w14:paraId="1C3A1AA3">
      <w:pPr>
        <w:spacing w:line="440" w:lineRule="exact"/>
        <w:rPr>
          <w:rFonts w:hint="eastAsia" w:ascii="仿宋" w:hAnsi="仿宋" w:eastAsia="仿宋" w:cs="仿宋"/>
          <w:color w:val="auto"/>
          <w:highlight w:val="none"/>
        </w:rPr>
      </w:pPr>
      <w:r>
        <w:rPr>
          <w:rFonts w:hint="eastAsia" w:ascii="仿宋" w:hAnsi="仿宋" w:eastAsia="仿宋" w:cs="仿宋"/>
          <w:bCs/>
          <w:color w:val="auto"/>
          <w:highlight w:val="none"/>
          <w:u w:val="single"/>
        </w:rPr>
        <w:t>（采购人）、</w:t>
      </w:r>
      <w:r>
        <w:rPr>
          <w:rFonts w:hint="eastAsia"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p>
    <w:p w14:paraId="2E596618">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本单位合法参加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）采购活动，就有关廉洁自律和公平竞争事项郑重声明如下：</w:t>
      </w:r>
    </w:p>
    <w:p w14:paraId="3D5C0AD0">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一、本单位与采购人之间不存在利害关系，不存在行贿、串通等违法行为。</w:t>
      </w:r>
    </w:p>
    <w:p w14:paraId="3DF065B1">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二、本单位与其他当事人之间不存在直接控股、管理关系等情况，不存在法定的不允许投标情形，不存在行贿、串通等违法行为。</w:t>
      </w:r>
    </w:p>
    <w:p w14:paraId="05B7B5F6">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三、本单位清楚知道并严格遵守采购法律法规、政策文件和相关纪律。</w:t>
      </w:r>
    </w:p>
    <w:p w14:paraId="55231568">
      <w:pPr>
        <w:tabs>
          <w:tab w:val="left" w:pos="0"/>
        </w:tabs>
        <w:autoSpaceDE w:val="0"/>
        <w:autoSpaceDN w:val="0"/>
        <w:spacing w:line="440" w:lineRule="exact"/>
        <w:ind w:firstLine="1928" w:firstLineChars="800"/>
        <w:rPr>
          <w:rFonts w:hint="eastAsia" w:ascii="仿宋" w:hAnsi="仿宋" w:eastAsia="仿宋" w:cs="仿宋"/>
          <w:b/>
          <w:bCs/>
          <w:color w:val="auto"/>
          <w:highlight w:val="none"/>
        </w:rPr>
      </w:pPr>
    </w:p>
    <w:p w14:paraId="4AC9C296">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EEE9130">
      <w:pPr>
        <w:snapToGrid w:val="0"/>
        <w:spacing w:line="440" w:lineRule="exact"/>
        <w:rPr>
          <w:rFonts w:hint="eastAsia" w:ascii="仿宋" w:hAnsi="仿宋" w:eastAsia="仿宋" w:cs="仿宋"/>
          <w:color w:val="auto"/>
          <w:highlight w:val="none"/>
        </w:rPr>
      </w:pPr>
    </w:p>
    <w:p w14:paraId="188EE72D">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200AB74E">
      <w:pPr>
        <w:snapToGrid w:val="0"/>
        <w:spacing w:line="440" w:lineRule="exact"/>
        <w:rPr>
          <w:rFonts w:hint="eastAsia" w:ascii="仿宋" w:hAnsi="仿宋" w:eastAsia="仿宋" w:cs="仿宋"/>
          <w:b/>
          <w:color w:val="auto"/>
          <w:highlight w:val="none"/>
        </w:rPr>
      </w:pPr>
    </w:p>
    <w:p w14:paraId="08C19A11">
      <w:pPr>
        <w:pStyle w:val="2"/>
        <w:spacing w:before="0" w:after="0" w:line="440" w:lineRule="exact"/>
        <w:rPr>
          <w:rFonts w:hint="eastAsia" w:ascii="仿宋" w:hAnsi="仿宋" w:eastAsia="仿宋" w:cs="仿宋"/>
          <w:color w:val="auto"/>
          <w:sz w:val="24"/>
          <w:szCs w:val="24"/>
          <w:highlight w:val="none"/>
        </w:rPr>
      </w:pPr>
    </w:p>
    <w:p w14:paraId="17C42EE9">
      <w:pPr>
        <w:spacing w:line="440" w:lineRule="exact"/>
        <w:rPr>
          <w:rFonts w:hint="eastAsia" w:ascii="仿宋" w:hAnsi="仿宋" w:eastAsia="仿宋" w:cs="仿宋"/>
          <w:color w:val="auto"/>
          <w:highlight w:val="none"/>
        </w:rPr>
      </w:pPr>
    </w:p>
    <w:p w14:paraId="411F8C17">
      <w:pPr>
        <w:spacing w:line="440" w:lineRule="exact"/>
        <w:ind w:firstLine="482" w:firstLineChars="200"/>
        <w:rPr>
          <w:rFonts w:hint="eastAsia" w:ascii="仿宋" w:hAnsi="仿宋" w:eastAsia="仿宋" w:cs="仿宋"/>
          <w:b/>
          <w:color w:val="auto"/>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highlight w:val="none"/>
        </w:rPr>
        <w:t>▲注：未按照本采购供应商廉洁自律承诺书要求填报的将被视为非实质性响应投标。</w:t>
      </w:r>
    </w:p>
    <w:p w14:paraId="54E1A328">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廉政承诺书</w:t>
      </w:r>
    </w:p>
    <w:p w14:paraId="496CE456">
      <w:pPr>
        <w:spacing w:line="440" w:lineRule="exact"/>
        <w:rPr>
          <w:rFonts w:hint="eastAsia" w:ascii="仿宋" w:hAnsi="仿宋" w:eastAsia="仿宋" w:cs="仿宋"/>
          <w:color w:val="auto"/>
          <w:highlight w:val="none"/>
        </w:rPr>
      </w:pPr>
    </w:p>
    <w:p w14:paraId="6F64000E">
      <w:pPr>
        <w:spacing w:line="440" w:lineRule="exact"/>
        <w:rPr>
          <w:rFonts w:hint="eastAsia" w:ascii="仿宋" w:hAnsi="仿宋" w:eastAsia="仿宋" w:cs="仿宋"/>
          <w:color w:val="auto"/>
          <w:highlight w:val="none"/>
          <w:lang w:val="zh-CN"/>
        </w:rPr>
      </w:pPr>
      <w:r>
        <w:rPr>
          <w:rFonts w:hint="eastAsia" w:ascii="仿宋" w:hAnsi="仿宋" w:eastAsia="仿宋" w:cs="仿宋"/>
          <w:bCs/>
          <w:color w:val="auto"/>
          <w:highlight w:val="none"/>
          <w:u w:val="single"/>
        </w:rPr>
        <w:t>（采购人）、</w:t>
      </w:r>
      <w:r>
        <w:rPr>
          <w:rFonts w:hint="eastAsia"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r>
        <w:rPr>
          <w:rFonts w:hint="eastAsia" w:ascii="仿宋" w:hAnsi="仿宋" w:eastAsia="仿宋" w:cs="仿宋"/>
          <w:color w:val="auto"/>
          <w:highlight w:val="none"/>
          <w:lang w:val="zh-CN"/>
        </w:rPr>
        <w:t xml:space="preserve">    </w:t>
      </w:r>
    </w:p>
    <w:p w14:paraId="5CC24E8C">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项目</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招标要求参加投标。在这次投标过程中和中标后，我们将严格遵守国家法律法规要求，并郑重承诺：</w:t>
      </w:r>
    </w:p>
    <w:p w14:paraId="4FD5D337">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14:paraId="6BA0AF4B">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14:paraId="19B4E649">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14:paraId="48301828">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14:paraId="7D274FE5">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五、不为项目有关人员个人装修住房、婚丧嫁娶、配偶子女工作安排等提供好处；</w:t>
      </w:r>
    </w:p>
    <w:p w14:paraId="5370773B">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w:t>
      </w:r>
      <w:r>
        <w:rPr>
          <w:rFonts w:hint="eastAsia" w:ascii="仿宋" w:hAnsi="仿宋" w:eastAsia="仿宋" w:cs="仿宋"/>
          <w:color w:val="auto"/>
          <w:highlight w:val="none"/>
        </w:rPr>
        <w:t>相关</w:t>
      </w:r>
      <w:r>
        <w:rPr>
          <w:rFonts w:hint="eastAsia" w:ascii="仿宋" w:hAnsi="仿宋" w:eastAsia="仿宋" w:cs="仿宋"/>
          <w:color w:val="auto"/>
          <w:highlight w:val="none"/>
          <w:lang w:val="zh-CN"/>
        </w:rPr>
        <w:t xml:space="preserve">法律法规，诚实守信，合法经营，坚决抵制各种违法违纪行为。 </w:t>
      </w:r>
    </w:p>
    <w:p w14:paraId="2C85EE79">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进行项目建设或其他经营活动，并通报区财政局。由此引起的相应损失均由我单位承担。</w:t>
      </w:r>
    </w:p>
    <w:p w14:paraId="448BEECF">
      <w:pPr>
        <w:snapToGrid w:val="0"/>
        <w:spacing w:line="440" w:lineRule="exact"/>
        <w:ind w:firstLine="720" w:firstLineChars="300"/>
        <w:rPr>
          <w:rFonts w:hint="eastAsia" w:ascii="仿宋" w:hAnsi="仿宋" w:eastAsia="仿宋" w:cs="仿宋"/>
          <w:color w:val="auto"/>
          <w:highlight w:val="none"/>
          <w:lang w:val="zh-CN"/>
        </w:rPr>
      </w:pPr>
    </w:p>
    <w:p w14:paraId="2EC82390">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1219F79F">
      <w:pPr>
        <w:snapToGrid w:val="0"/>
        <w:spacing w:line="440" w:lineRule="exact"/>
        <w:ind w:right="600"/>
        <w:rPr>
          <w:rFonts w:hint="eastAsia" w:ascii="仿宋" w:hAnsi="仿宋" w:eastAsia="仿宋" w:cs="仿宋"/>
          <w:color w:val="auto"/>
          <w:highlight w:val="none"/>
        </w:rPr>
      </w:pPr>
    </w:p>
    <w:p w14:paraId="6A149E4C">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57DABB33">
      <w:pPr>
        <w:spacing w:line="440" w:lineRule="exact"/>
        <w:jc w:val="center"/>
        <w:rPr>
          <w:rFonts w:hint="eastAsia" w:ascii="仿宋" w:hAnsi="仿宋" w:eastAsia="仿宋" w:cs="仿宋"/>
          <w:b/>
          <w:bCs/>
          <w:color w:val="auto"/>
          <w:highlight w:val="none"/>
        </w:rPr>
      </w:pPr>
    </w:p>
    <w:p w14:paraId="550C6C7A">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438B0B8">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35BE5A48">
      <w:pPr>
        <w:pStyle w:val="113"/>
        <w:rPr>
          <w:rFonts w:hint="eastAsia" w:ascii="仿宋" w:hAnsi="仿宋" w:eastAsia="仿宋" w:cs="仿宋"/>
          <w:color w:val="auto"/>
          <w:sz w:val="32"/>
          <w:szCs w:val="32"/>
          <w:highlight w:val="none"/>
        </w:rPr>
      </w:pPr>
    </w:p>
    <w:p w14:paraId="16F8B051">
      <w:pPr>
        <w:rPr>
          <w:rFonts w:hint="eastAsia" w:ascii="仿宋" w:hAnsi="仿宋" w:eastAsia="仿宋" w:cs="仿宋"/>
          <w:b/>
          <w:color w:val="auto"/>
          <w:kern w:val="2"/>
          <w:sz w:val="32"/>
          <w:szCs w:val="32"/>
          <w:highlight w:val="none"/>
        </w:rPr>
      </w:pPr>
    </w:p>
    <w:p w14:paraId="0B77EC9B">
      <w:pPr>
        <w:pStyle w:val="113"/>
        <w:rPr>
          <w:rFonts w:hint="eastAsia" w:ascii="仿宋" w:hAnsi="仿宋" w:eastAsia="仿宋" w:cs="仿宋"/>
          <w:color w:val="auto"/>
          <w:sz w:val="32"/>
          <w:szCs w:val="32"/>
          <w:highlight w:val="none"/>
        </w:rPr>
      </w:pPr>
    </w:p>
    <w:p w14:paraId="0BA85D3E">
      <w:pPr>
        <w:rPr>
          <w:rFonts w:hint="eastAsia" w:ascii="仿宋" w:hAnsi="仿宋" w:eastAsia="仿宋" w:cs="仿宋"/>
          <w:b/>
          <w:color w:val="auto"/>
          <w:kern w:val="2"/>
          <w:sz w:val="32"/>
          <w:szCs w:val="32"/>
          <w:highlight w:val="none"/>
        </w:rPr>
      </w:pPr>
    </w:p>
    <w:p w14:paraId="42B16CBB">
      <w:pPr>
        <w:pStyle w:val="113"/>
        <w:rPr>
          <w:rFonts w:hint="eastAsia" w:ascii="仿宋" w:hAnsi="仿宋" w:eastAsia="仿宋" w:cs="仿宋"/>
          <w:color w:val="auto"/>
          <w:highlight w:val="none"/>
        </w:rPr>
      </w:pPr>
    </w:p>
    <w:p w14:paraId="18488CD1">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62476826">
      <w:pPr>
        <w:tabs>
          <w:tab w:val="left" w:pos="0"/>
        </w:tabs>
        <w:autoSpaceDE w:val="0"/>
        <w:autoSpaceDN w:val="0"/>
        <w:spacing w:line="440" w:lineRule="exact"/>
        <w:jc w:val="center"/>
        <w:rPr>
          <w:rFonts w:hint="default" w:ascii="仿宋" w:hAnsi="仿宋" w:eastAsia="仿宋" w:cs="仿宋"/>
          <w:b/>
          <w:color w:val="auto"/>
          <w:kern w:val="2"/>
          <w:sz w:val="32"/>
          <w:szCs w:val="32"/>
          <w:highlight w:val="none"/>
          <w:lang w:val="en-US" w:eastAsia="zh-CN"/>
        </w:rPr>
      </w:pPr>
      <w:r>
        <w:rPr>
          <w:rFonts w:hint="eastAsia" w:cs="仿宋"/>
          <w:b/>
          <w:color w:val="auto"/>
          <w:kern w:val="2"/>
          <w:sz w:val="32"/>
          <w:szCs w:val="32"/>
          <w:highlight w:val="none"/>
          <w:lang w:val="en-US" w:eastAsia="zh-CN"/>
        </w:rPr>
        <w:t>申领补贴</w:t>
      </w:r>
      <w:r>
        <w:rPr>
          <w:rFonts w:hint="eastAsia" w:ascii="仿宋" w:hAnsi="仿宋" w:eastAsia="仿宋" w:cs="仿宋"/>
          <w:b/>
          <w:color w:val="auto"/>
          <w:kern w:val="2"/>
          <w:sz w:val="32"/>
          <w:szCs w:val="32"/>
          <w:highlight w:val="none"/>
        </w:rPr>
        <w:t>承诺书</w:t>
      </w:r>
    </w:p>
    <w:p w14:paraId="3BE050C6">
      <w:pPr>
        <w:spacing w:line="440" w:lineRule="exact"/>
        <w:rPr>
          <w:rFonts w:hint="eastAsia" w:ascii="仿宋" w:hAnsi="仿宋" w:eastAsia="仿宋" w:cs="仿宋"/>
          <w:color w:val="auto"/>
          <w:highlight w:val="none"/>
        </w:rPr>
      </w:pPr>
    </w:p>
    <w:p w14:paraId="7038FCD2">
      <w:pPr>
        <w:spacing w:line="440" w:lineRule="exact"/>
        <w:rPr>
          <w:rFonts w:hint="eastAsia" w:ascii="仿宋" w:hAnsi="仿宋" w:eastAsia="仿宋" w:cs="仿宋"/>
          <w:color w:val="auto"/>
          <w:highlight w:val="none"/>
          <w:lang w:val="zh-CN"/>
        </w:rPr>
      </w:pPr>
      <w:r>
        <w:rPr>
          <w:rFonts w:hint="eastAsia" w:ascii="仿宋" w:hAnsi="仿宋" w:eastAsia="仿宋" w:cs="仿宋"/>
          <w:bCs/>
          <w:color w:val="auto"/>
          <w:highlight w:val="none"/>
          <w:u w:val="single"/>
        </w:rPr>
        <w:t>（采购人）、</w:t>
      </w:r>
      <w:r>
        <w:rPr>
          <w:rFonts w:hint="eastAsia"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r>
        <w:rPr>
          <w:rFonts w:hint="eastAsia" w:ascii="仿宋" w:hAnsi="仿宋" w:eastAsia="仿宋" w:cs="仿宋"/>
          <w:color w:val="auto"/>
          <w:highlight w:val="none"/>
          <w:lang w:val="zh-CN"/>
        </w:rPr>
        <w:t xml:space="preserve">    </w:t>
      </w:r>
    </w:p>
    <w:p w14:paraId="4FF2FDE6">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项目</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招标要求参加投标。在这次投标过程中和中标后，我们将严格遵守国家法律法规要求，并郑重承诺：</w:t>
      </w:r>
    </w:p>
    <w:p w14:paraId="698547CA">
      <w:pPr>
        <w:snapToGrid w:val="0"/>
        <w:spacing w:line="440" w:lineRule="exact"/>
        <w:ind w:firstLine="720" w:firstLineChars="3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一、</w:t>
      </w:r>
      <w:r>
        <w:rPr>
          <w:rFonts w:hint="eastAsia"/>
          <w:color w:val="auto"/>
          <w:highlight w:val="none"/>
        </w:rPr>
        <w:t>设备建设完成之后三个工作日内签订承诺函，保证在三个月内提供相关材料，配合</w:t>
      </w:r>
      <w:r>
        <w:rPr>
          <w:rFonts w:hint="eastAsia"/>
          <w:color w:val="auto"/>
          <w:highlight w:val="none"/>
          <w:lang w:val="en-US" w:eastAsia="zh-CN"/>
        </w:rPr>
        <w:t>甲</w:t>
      </w:r>
      <w:r>
        <w:rPr>
          <w:rFonts w:hint="eastAsia"/>
          <w:color w:val="auto"/>
          <w:highlight w:val="none"/>
        </w:rPr>
        <w:t>方完成申领当地政府单位关于充电设施的所有补贴。</w:t>
      </w:r>
    </w:p>
    <w:p w14:paraId="51EFD5D6">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cs="仿宋"/>
          <w:color w:val="auto"/>
          <w:highlight w:val="none"/>
          <w:lang w:val="zh-CN"/>
        </w:rPr>
        <w:t>、</w:t>
      </w:r>
      <w:r>
        <w:rPr>
          <w:rFonts w:hint="eastAsia" w:cs="仿宋"/>
          <w:color w:val="auto"/>
          <w:highlight w:val="none"/>
          <w:lang w:val="en-US" w:eastAsia="zh-CN"/>
        </w:rPr>
        <w:t>若申领补贴失败，没收履约保证金及支付应得补贴费用（具体补贴费用以政策文件为准）</w:t>
      </w:r>
      <w:r>
        <w:rPr>
          <w:rFonts w:hint="eastAsia" w:cs="仿宋"/>
          <w:color w:val="auto"/>
          <w:highlight w:val="none"/>
          <w:lang w:val="zh-CN"/>
        </w:rPr>
        <w:t>。</w:t>
      </w:r>
      <w:r>
        <w:rPr>
          <w:rFonts w:hint="eastAsia" w:ascii="仿宋" w:hAnsi="仿宋" w:eastAsia="仿宋" w:cs="仿宋"/>
          <w:color w:val="auto"/>
          <w:highlight w:val="none"/>
          <w:lang w:val="zh-CN"/>
        </w:rPr>
        <w:t xml:space="preserve"> </w:t>
      </w:r>
    </w:p>
    <w:p w14:paraId="412E198B">
      <w:pPr>
        <w:snapToGrid w:val="0"/>
        <w:spacing w:line="440" w:lineRule="exact"/>
        <w:ind w:firstLine="720" w:firstLineChars="300"/>
        <w:rPr>
          <w:rFonts w:hint="eastAsia" w:ascii="仿宋" w:hAnsi="仿宋" w:eastAsia="仿宋" w:cs="仿宋"/>
          <w:color w:val="auto"/>
          <w:highlight w:val="none"/>
          <w:lang w:val="zh-CN"/>
        </w:rPr>
      </w:pPr>
    </w:p>
    <w:p w14:paraId="205A7DF7">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197BF364">
      <w:pPr>
        <w:snapToGrid w:val="0"/>
        <w:spacing w:line="440" w:lineRule="exact"/>
        <w:ind w:right="600"/>
        <w:rPr>
          <w:rFonts w:hint="eastAsia" w:ascii="仿宋" w:hAnsi="仿宋" w:eastAsia="仿宋" w:cs="仿宋"/>
          <w:color w:val="auto"/>
          <w:highlight w:val="none"/>
        </w:rPr>
      </w:pPr>
    </w:p>
    <w:p w14:paraId="76E5092C">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6FB41DE0">
      <w:pPr>
        <w:spacing w:line="440" w:lineRule="exact"/>
        <w:jc w:val="center"/>
        <w:rPr>
          <w:rFonts w:hint="eastAsia" w:ascii="仿宋" w:hAnsi="仿宋" w:eastAsia="仿宋" w:cs="仿宋"/>
          <w:b/>
          <w:bCs/>
          <w:color w:val="auto"/>
          <w:highlight w:val="none"/>
        </w:rPr>
      </w:pPr>
    </w:p>
    <w:p w14:paraId="3B697CE6">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148D80D1">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7DAA3AB">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50EC23EE">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61971ACB">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24F6E84">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04BC099">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7762CBB5">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0FC9E150">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03030894">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DADABD2">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4403255A">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372E878E">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7BA90E8F">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1661106B">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705A25FD">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53600053">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关于代理服务费的承诺书</w:t>
      </w:r>
    </w:p>
    <w:p w14:paraId="55951BC5">
      <w:pPr>
        <w:spacing w:line="440" w:lineRule="exact"/>
        <w:rPr>
          <w:rFonts w:hint="eastAsia" w:ascii="仿宋" w:hAnsi="仿宋" w:eastAsia="仿宋" w:cs="仿宋"/>
          <w:color w:val="auto"/>
          <w:highlight w:val="none"/>
        </w:rPr>
      </w:pPr>
    </w:p>
    <w:p w14:paraId="3EF97142">
      <w:pPr>
        <w:spacing w:line="440" w:lineRule="exact"/>
        <w:rPr>
          <w:rFonts w:hint="eastAsia" w:ascii="仿宋" w:hAnsi="仿宋" w:eastAsia="仿宋" w:cs="仿宋"/>
          <w:color w:val="auto"/>
          <w:highlight w:val="none"/>
          <w:lang w:val="zh-CN"/>
        </w:rPr>
      </w:pPr>
      <w:r>
        <w:rPr>
          <w:rFonts w:hint="eastAsia" w:ascii="仿宋" w:hAnsi="仿宋" w:eastAsia="仿宋" w:cs="仿宋"/>
          <w:bCs/>
          <w:color w:val="auto"/>
          <w:highlight w:val="none"/>
          <w:u w:val="single"/>
        </w:rPr>
        <w:t>（采购人）、</w:t>
      </w:r>
      <w:r>
        <w:rPr>
          <w:rFonts w:hint="eastAsia"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 xml:space="preserve">   </w:t>
      </w:r>
    </w:p>
    <w:p w14:paraId="2826C7BD">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项目</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招标要求参加投标。在这次投标过程中和中标后，我们将严格遵守国家法律法规要求，并郑重承诺：</w:t>
      </w:r>
    </w:p>
    <w:p w14:paraId="66A9C7C4">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根据采购文件的约定在领取中标通知书时缴纳代理服务费。</w:t>
      </w:r>
    </w:p>
    <w:p w14:paraId="43359970">
      <w:pPr>
        <w:snapToGrid w:val="0"/>
        <w:spacing w:line="440" w:lineRule="exact"/>
        <w:ind w:firstLine="720" w:firstLineChars="300"/>
        <w:rPr>
          <w:rFonts w:hint="eastAsia" w:ascii="仿宋" w:hAnsi="仿宋" w:eastAsia="仿宋" w:cs="仿宋"/>
          <w:color w:val="auto"/>
          <w:highlight w:val="none"/>
          <w:lang w:val="zh-CN"/>
        </w:rPr>
      </w:pPr>
    </w:p>
    <w:p w14:paraId="67780704">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403D9DC">
      <w:pPr>
        <w:snapToGrid w:val="0"/>
        <w:spacing w:line="440" w:lineRule="exact"/>
        <w:ind w:right="600"/>
        <w:rPr>
          <w:rFonts w:hint="eastAsia" w:ascii="仿宋" w:hAnsi="仿宋" w:eastAsia="仿宋" w:cs="仿宋"/>
          <w:color w:val="auto"/>
          <w:highlight w:val="none"/>
        </w:rPr>
      </w:pPr>
    </w:p>
    <w:p w14:paraId="03568523">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4FCC4A88">
      <w:pPr>
        <w:snapToGrid w:val="0"/>
        <w:spacing w:line="440" w:lineRule="exact"/>
        <w:rPr>
          <w:rFonts w:hint="eastAsia" w:ascii="仿宋" w:hAnsi="仿宋" w:eastAsia="仿宋" w:cs="仿宋"/>
          <w:b/>
          <w:color w:val="auto"/>
          <w:highlight w:val="none"/>
        </w:rPr>
      </w:pPr>
    </w:p>
    <w:p w14:paraId="5AAA153F">
      <w:pPr>
        <w:spacing w:line="440" w:lineRule="exact"/>
        <w:jc w:val="center"/>
        <w:rPr>
          <w:rFonts w:hint="eastAsia" w:ascii="仿宋" w:hAnsi="仿宋" w:eastAsia="仿宋" w:cs="仿宋"/>
          <w:b/>
          <w:bCs/>
          <w:color w:val="auto"/>
          <w:highlight w:val="none"/>
        </w:rPr>
        <w:sectPr>
          <w:pgSz w:w="11906" w:h="16838"/>
          <w:pgMar w:top="1247" w:right="1418" w:bottom="1276" w:left="1418" w:header="851" w:footer="992" w:gutter="0"/>
          <w:cols w:space="720" w:num="1"/>
          <w:titlePg/>
          <w:docGrid w:linePitch="312" w:charSpace="0"/>
        </w:sectPr>
      </w:pPr>
    </w:p>
    <w:p w14:paraId="23850FB6">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投标人情况介绍</w:t>
      </w:r>
    </w:p>
    <w:p w14:paraId="545CBBBD">
      <w:pPr>
        <w:spacing w:line="440" w:lineRule="exact"/>
        <w:jc w:val="center"/>
        <w:rPr>
          <w:rFonts w:hint="eastAsia" w:ascii="仿宋" w:hAnsi="仿宋" w:eastAsia="仿宋" w:cs="仿宋"/>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289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BAEBEA9">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6339" w:type="dxa"/>
            <w:gridSpan w:val="5"/>
            <w:vAlign w:val="center"/>
          </w:tcPr>
          <w:p w14:paraId="2595FCC5">
            <w:pPr>
              <w:spacing w:line="440" w:lineRule="exact"/>
              <w:jc w:val="center"/>
              <w:rPr>
                <w:rFonts w:hint="eastAsia" w:ascii="仿宋" w:hAnsi="仿宋" w:eastAsia="仿宋" w:cs="仿宋"/>
                <w:color w:val="auto"/>
                <w:highlight w:val="none"/>
              </w:rPr>
            </w:pPr>
          </w:p>
        </w:tc>
      </w:tr>
      <w:tr w14:paraId="3348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503A367">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地址</w:t>
            </w:r>
          </w:p>
        </w:tc>
        <w:tc>
          <w:tcPr>
            <w:tcW w:w="6339" w:type="dxa"/>
            <w:gridSpan w:val="5"/>
            <w:vAlign w:val="center"/>
          </w:tcPr>
          <w:p w14:paraId="7F1DFC82">
            <w:pPr>
              <w:spacing w:line="440" w:lineRule="exact"/>
              <w:jc w:val="center"/>
              <w:rPr>
                <w:rFonts w:hint="eastAsia" w:ascii="仿宋" w:hAnsi="仿宋" w:eastAsia="仿宋" w:cs="仿宋"/>
                <w:color w:val="auto"/>
                <w:highlight w:val="none"/>
              </w:rPr>
            </w:pPr>
          </w:p>
        </w:tc>
      </w:tr>
      <w:tr w14:paraId="6A23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C1453A8">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经营范围</w:t>
            </w:r>
          </w:p>
        </w:tc>
        <w:tc>
          <w:tcPr>
            <w:tcW w:w="2118" w:type="dxa"/>
            <w:vAlign w:val="center"/>
          </w:tcPr>
          <w:p w14:paraId="2926BD68">
            <w:pPr>
              <w:spacing w:line="440" w:lineRule="exact"/>
              <w:jc w:val="center"/>
              <w:rPr>
                <w:rFonts w:hint="eastAsia" w:ascii="仿宋" w:hAnsi="仿宋" w:eastAsia="仿宋" w:cs="仿宋"/>
                <w:color w:val="auto"/>
                <w:highlight w:val="none"/>
              </w:rPr>
            </w:pPr>
          </w:p>
        </w:tc>
        <w:tc>
          <w:tcPr>
            <w:tcW w:w="1980" w:type="dxa"/>
            <w:vAlign w:val="center"/>
          </w:tcPr>
          <w:p w14:paraId="0735E67E">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企业类型</w:t>
            </w:r>
          </w:p>
        </w:tc>
        <w:tc>
          <w:tcPr>
            <w:tcW w:w="2241" w:type="dxa"/>
            <w:gridSpan w:val="3"/>
            <w:vAlign w:val="center"/>
          </w:tcPr>
          <w:p w14:paraId="456D3CE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（大型、中型、小型、微型）</w:t>
            </w:r>
          </w:p>
        </w:tc>
      </w:tr>
      <w:tr w14:paraId="5C4E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D95C218">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118" w:type="dxa"/>
            <w:vAlign w:val="center"/>
          </w:tcPr>
          <w:p w14:paraId="2F71EBAB">
            <w:pPr>
              <w:spacing w:line="440" w:lineRule="exact"/>
              <w:jc w:val="center"/>
              <w:rPr>
                <w:rFonts w:hint="eastAsia" w:ascii="仿宋" w:hAnsi="仿宋" w:eastAsia="仿宋" w:cs="仿宋"/>
                <w:color w:val="auto"/>
                <w:highlight w:val="none"/>
              </w:rPr>
            </w:pPr>
          </w:p>
        </w:tc>
        <w:tc>
          <w:tcPr>
            <w:tcW w:w="1980" w:type="dxa"/>
            <w:vAlign w:val="center"/>
          </w:tcPr>
          <w:p w14:paraId="60686C16">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经济性质</w:t>
            </w:r>
          </w:p>
        </w:tc>
        <w:tc>
          <w:tcPr>
            <w:tcW w:w="2241" w:type="dxa"/>
            <w:gridSpan w:val="3"/>
            <w:vAlign w:val="center"/>
          </w:tcPr>
          <w:p w14:paraId="525EA3EC">
            <w:pPr>
              <w:spacing w:line="440" w:lineRule="exact"/>
              <w:jc w:val="center"/>
              <w:rPr>
                <w:rFonts w:hint="eastAsia" w:ascii="仿宋" w:hAnsi="仿宋" w:eastAsia="仿宋" w:cs="仿宋"/>
                <w:color w:val="auto"/>
                <w:highlight w:val="none"/>
              </w:rPr>
            </w:pPr>
          </w:p>
        </w:tc>
      </w:tr>
      <w:tr w14:paraId="5CCB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F5CF27B">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2118" w:type="dxa"/>
            <w:vAlign w:val="center"/>
          </w:tcPr>
          <w:p w14:paraId="3E8D07C7">
            <w:pPr>
              <w:spacing w:line="440" w:lineRule="exact"/>
              <w:jc w:val="center"/>
              <w:rPr>
                <w:rFonts w:hint="eastAsia" w:ascii="仿宋" w:hAnsi="仿宋" w:eastAsia="仿宋" w:cs="仿宋"/>
                <w:color w:val="auto"/>
                <w:highlight w:val="none"/>
              </w:rPr>
            </w:pPr>
          </w:p>
        </w:tc>
        <w:tc>
          <w:tcPr>
            <w:tcW w:w="1980" w:type="dxa"/>
            <w:vAlign w:val="center"/>
          </w:tcPr>
          <w:p w14:paraId="3F8E9635">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241" w:type="dxa"/>
            <w:gridSpan w:val="3"/>
            <w:vAlign w:val="center"/>
          </w:tcPr>
          <w:p w14:paraId="48ACF4F2">
            <w:pPr>
              <w:spacing w:line="440" w:lineRule="exact"/>
              <w:jc w:val="center"/>
              <w:rPr>
                <w:rFonts w:hint="eastAsia" w:ascii="仿宋" w:hAnsi="仿宋" w:eastAsia="仿宋" w:cs="仿宋"/>
                <w:color w:val="auto"/>
                <w:highlight w:val="none"/>
              </w:rPr>
            </w:pPr>
          </w:p>
        </w:tc>
      </w:tr>
      <w:tr w14:paraId="75F8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6B33386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注册资本</w:t>
            </w:r>
          </w:p>
        </w:tc>
        <w:tc>
          <w:tcPr>
            <w:tcW w:w="2118" w:type="dxa"/>
            <w:vMerge w:val="restart"/>
            <w:vAlign w:val="center"/>
          </w:tcPr>
          <w:p w14:paraId="459FEF43">
            <w:pPr>
              <w:spacing w:line="440" w:lineRule="exact"/>
              <w:jc w:val="center"/>
              <w:rPr>
                <w:rFonts w:hint="eastAsia" w:ascii="仿宋" w:hAnsi="仿宋" w:eastAsia="仿宋" w:cs="仿宋"/>
                <w:color w:val="auto"/>
                <w:highlight w:val="none"/>
              </w:rPr>
            </w:pPr>
          </w:p>
        </w:tc>
        <w:tc>
          <w:tcPr>
            <w:tcW w:w="1980" w:type="dxa"/>
            <w:vMerge w:val="restart"/>
            <w:vAlign w:val="center"/>
          </w:tcPr>
          <w:p w14:paraId="6B0F91E1">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技术人员数</w:t>
            </w:r>
          </w:p>
        </w:tc>
        <w:tc>
          <w:tcPr>
            <w:tcW w:w="720" w:type="dxa"/>
            <w:vAlign w:val="center"/>
          </w:tcPr>
          <w:p w14:paraId="4B2F3137">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高级</w:t>
            </w:r>
          </w:p>
        </w:tc>
        <w:tc>
          <w:tcPr>
            <w:tcW w:w="720" w:type="dxa"/>
            <w:vAlign w:val="center"/>
          </w:tcPr>
          <w:p w14:paraId="78C63F34">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中级</w:t>
            </w:r>
          </w:p>
        </w:tc>
        <w:tc>
          <w:tcPr>
            <w:tcW w:w="801" w:type="dxa"/>
            <w:vAlign w:val="center"/>
          </w:tcPr>
          <w:p w14:paraId="7BB47D61">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初级</w:t>
            </w:r>
          </w:p>
        </w:tc>
      </w:tr>
      <w:tr w14:paraId="02C0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4B4BB43">
            <w:pPr>
              <w:spacing w:line="440" w:lineRule="exact"/>
              <w:jc w:val="center"/>
              <w:rPr>
                <w:rFonts w:hint="eastAsia" w:ascii="仿宋" w:hAnsi="仿宋" w:eastAsia="仿宋" w:cs="仿宋"/>
                <w:color w:val="auto"/>
                <w:highlight w:val="none"/>
              </w:rPr>
            </w:pPr>
          </w:p>
        </w:tc>
        <w:tc>
          <w:tcPr>
            <w:tcW w:w="2118" w:type="dxa"/>
            <w:vMerge w:val="continue"/>
            <w:vAlign w:val="center"/>
          </w:tcPr>
          <w:p w14:paraId="67E05590">
            <w:pPr>
              <w:spacing w:line="440" w:lineRule="exact"/>
              <w:jc w:val="center"/>
              <w:rPr>
                <w:rFonts w:hint="eastAsia" w:ascii="仿宋" w:hAnsi="仿宋" w:eastAsia="仿宋" w:cs="仿宋"/>
                <w:color w:val="auto"/>
                <w:highlight w:val="none"/>
              </w:rPr>
            </w:pPr>
          </w:p>
        </w:tc>
        <w:tc>
          <w:tcPr>
            <w:tcW w:w="1980" w:type="dxa"/>
            <w:vMerge w:val="continue"/>
            <w:vAlign w:val="center"/>
          </w:tcPr>
          <w:p w14:paraId="7D7D43AF">
            <w:pPr>
              <w:spacing w:line="440" w:lineRule="exact"/>
              <w:jc w:val="center"/>
              <w:rPr>
                <w:rFonts w:hint="eastAsia" w:ascii="仿宋" w:hAnsi="仿宋" w:eastAsia="仿宋" w:cs="仿宋"/>
                <w:color w:val="auto"/>
                <w:highlight w:val="none"/>
              </w:rPr>
            </w:pPr>
          </w:p>
        </w:tc>
        <w:tc>
          <w:tcPr>
            <w:tcW w:w="720" w:type="dxa"/>
            <w:vAlign w:val="center"/>
          </w:tcPr>
          <w:p w14:paraId="7BA2C4F0">
            <w:pPr>
              <w:spacing w:line="440" w:lineRule="exact"/>
              <w:jc w:val="center"/>
              <w:rPr>
                <w:rFonts w:hint="eastAsia" w:ascii="仿宋" w:hAnsi="仿宋" w:eastAsia="仿宋" w:cs="仿宋"/>
                <w:color w:val="auto"/>
                <w:highlight w:val="none"/>
              </w:rPr>
            </w:pPr>
          </w:p>
        </w:tc>
        <w:tc>
          <w:tcPr>
            <w:tcW w:w="720" w:type="dxa"/>
            <w:vAlign w:val="center"/>
          </w:tcPr>
          <w:p w14:paraId="011C545C">
            <w:pPr>
              <w:spacing w:line="440" w:lineRule="exact"/>
              <w:jc w:val="center"/>
              <w:rPr>
                <w:rFonts w:hint="eastAsia" w:ascii="仿宋" w:hAnsi="仿宋" w:eastAsia="仿宋" w:cs="仿宋"/>
                <w:color w:val="auto"/>
                <w:highlight w:val="none"/>
              </w:rPr>
            </w:pPr>
          </w:p>
        </w:tc>
        <w:tc>
          <w:tcPr>
            <w:tcW w:w="801" w:type="dxa"/>
            <w:vAlign w:val="center"/>
          </w:tcPr>
          <w:p w14:paraId="68C3C285">
            <w:pPr>
              <w:spacing w:line="440" w:lineRule="exact"/>
              <w:jc w:val="center"/>
              <w:rPr>
                <w:rFonts w:hint="eastAsia" w:ascii="仿宋" w:hAnsi="仿宋" w:eastAsia="仿宋" w:cs="仿宋"/>
                <w:color w:val="auto"/>
                <w:highlight w:val="none"/>
              </w:rPr>
            </w:pPr>
          </w:p>
        </w:tc>
      </w:tr>
      <w:tr w14:paraId="470D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E234589">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资产总额</w:t>
            </w:r>
          </w:p>
        </w:tc>
        <w:tc>
          <w:tcPr>
            <w:tcW w:w="2118" w:type="dxa"/>
            <w:vAlign w:val="center"/>
          </w:tcPr>
          <w:p w14:paraId="51A49387">
            <w:pPr>
              <w:spacing w:line="440" w:lineRule="exact"/>
              <w:jc w:val="center"/>
              <w:rPr>
                <w:rFonts w:hint="eastAsia" w:ascii="仿宋" w:hAnsi="仿宋" w:eastAsia="仿宋" w:cs="仿宋"/>
                <w:color w:val="auto"/>
                <w:highlight w:val="none"/>
              </w:rPr>
            </w:pPr>
          </w:p>
        </w:tc>
        <w:tc>
          <w:tcPr>
            <w:tcW w:w="1980" w:type="dxa"/>
            <w:vAlign w:val="center"/>
          </w:tcPr>
          <w:p w14:paraId="33A27C8F">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所有者权益</w:t>
            </w:r>
          </w:p>
        </w:tc>
        <w:tc>
          <w:tcPr>
            <w:tcW w:w="2241" w:type="dxa"/>
            <w:gridSpan w:val="3"/>
            <w:vAlign w:val="center"/>
          </w:tcPr>
          <w:p w14:paraId="354CC8E6">
            <w:pPr>
              <w:spacing w:line="440" w:lineRule="exact"/>
              <w:jc w:val="center"/>
              <w:rPr>
                <w:rFonts w:hint="eastAsia" w:ascii="仿宋" w:hAnsi="仿宋" w:eastAsia="仿宋" w:cs="仿宋"/>
                <w:color w:val="auto"/>
                <w:highlight w:val="none"/>
              </w:rPr>
            </w:pPr>
          </w:p>
        </w:tc>
      </w:tr>
      <w:tr w14:paraId="271F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9DE0BD7">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工商登记号</w:t>
            </w:r>
          </w:p>
        </w:tc>
        <w:tc>
          <w:tcPr>
            <w:tcW w:w="2118" w:type="dxa"/>
            <w:vAlign w:val="center"/>
          </w:tcPr>
          <w:p w14:paraId="3806E8B0">
            <w:pPr>
              <w:spacing w:line="440" w:lineRule="exact"/>
              <w:jc w:val="center"/>
              <w:rPr>
                <w:rFonts w:hint="eastAsia" w:ascii="仿宋" w:hAnsi="仿宋" w:eastAsia="仿宋" w:cs="仿宋"/>
                <w:color w:val="auto"/>
                <w:highlight w:val="none"/>
              </w:rPr>
            </w:pPr>
          </w:p>
        </w:tc>
        <w:tc>
          <w:tcPr>
            <w:tcW w:w="1980" w:type="dxa"/>
            <w:vAlign w:val="center"/>
          </w:tcPr>
          <w:p w14:paraId="50FD94E6">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税务登记号</w:t>
            </w:r>
          </w:p>
        </w:tc>
        <w:tc>
          <w:tcPr>
            <w:tcW w:w="2241" w:type="dxa"/>
            <w:gridSpan w:val="3"/>
            <w:vAlign w:val="center"/>
          </w:tcPr>
          <w:p w14:paraId="6DB44BA4">
            <w:pPr>
              <w:spacing w:line="440" w:lineRule="exact"/>
              <w:jc w:val="center"/>
              <w:rPr>
                <w:rFonts w:hint="eastAsia" w:ascii="仿宋" w:hAnsi="仿宋" w:eastAsia="仿宋" w:cs="仿宋"/>
                <w:color w:val="auto"/>
                <w:highlight w:val="none"/>
              </w:rPr>
            </w:pPr>
          </w:p>
        </w:tc>
      </w:tr>
      <w:tr w14:paraId="490D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E60475D">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是否依法纳税</w:t>
            </w:r>
          </w:p>
        </w:tc>
        <w:tc>
          <w:tcPr>
            <w:tcW w:w="2118" w:type="dxa"/>
            <w:vAlign w:val="center"/>
          </w:tcPr>
          <w:p w14:paraId="5034162E">
            <w:pPr>
              <w:spacing w:line="440" w:lineRule="exact"/>
              <w:jc w:val="center"/>
              <w:rPr>
                <w:rFonts w:hint="eastAsia" w:ascii="仿宋" w:hAnsi="仿宋" w:eastAsia="仿宋" w:cs="仿宋"/>
                <w:color w:val="auto"/>
                <w:highlight w:val="none"/>
              </w:rPr>
            </w:pPr>
          </w:p>
        </w:tc>
        <w:tc>
          <w:tcPr>
            <w:tcW w:w="1980" w:type="dxa"/>
            <w:vAlign w:val="center"/>
          </w:tcPr>
          <w:p w14:paraId="167251FA">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是否参加社保</w:t>
            </w:r>
          </w:p>
        </w:tc>
        <w:tc>
          <w:tcPr>
            <w:tcW w:w="2241" w:type="dxa"/>
            <w:gridSpan w:val="3"/>
            <w:vAlign w:val="center"/>
          </w:tcPr>
          <w:p w14:paraId="5456A4F3">
            <w:pPr>
              <w:spacing w:line="440" w:lineRule="exact"/>
              <w:jc w:val="center"/>
              <w:rPr>
                <w:rFonts w:hint="eastAsia" w:ascii="仿宋" w:hAnsi="仿宋" w:eastAsia="仿宋" w:cs="仿宋"/>
                <w:color w:val="auto"/>
                <w:highlight w:val="none"/>
              </w:rPr>
            </w:pPr>
          </w:p>
        </w:tc>
      </w:tr>
      <w:tr w14:paraId="4B3F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0EB930EB">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售后服务机构情况</w:t>
            </w:r>
          </w:p>
        </w:tc>
        <w:tc>
          <w:tcPr>
            <w:tcW w:w="6339" w:type="dxa"/>
            <w:gridSpan w:val="5"/>
            <w:vAlign w:val="center"/>
          </w:tcPr>
          <w:p w14:paraId="414C253F">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名称：</w:t>
            </w:r>
          </w:p>
          <w:p w14:paraId="75373541">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地址：</w:t>
            </w:r>
          </w:p>
          <w:p w14:paraId="2B7D9A46">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人员状况：</w:t>
            </w:r>
          </w:p>
          <w:p w14:paraId="234B7B18">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联系方式：</w:t>
            </w:r>
          </w:p>
          <w:p w14:paraId="6578DC7D">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（可另附纸说明）</w:t>
            </w:r>
          </w:p>
        </w:tc>
      </w:tr>
    </w:tbl>
    <w:p w14:paraId="70CE2F0F">
      <w:pPr>
        <w:spacing w:line="440" w:lineRule="exact"/>
        <w:ind w:firstLine="480" w:firstLineChars="200"/>
        <w:rPr>
          <w:rFonts w:hint="eastAsia" w:ascii="仿宋" w:hAnsi="仿宋" w:eastAsia="仿宋" w:cs="仿宋"/>
          <w:color w:val="auto"/>
          <w:highlight w:val="none"/>
        </w:rPr>
      </w:pPr>
    </w:p>
    <w:p w14:paraId="1C15C2E3">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7294233E">
      <w:pPr>
        <w:snapToGrid w:val="0"/>
        <w:spacing w:line="440" w:lineRule="exact"/>
        <w:ind w:right="600"/>
        <w:rPr>
          <w:rFonts w:hint="eastAsia" w:ascii="仿宋" w:hAnsi="仿宋" w:eastAsia="仿宋" w:cs="仿宋"/>
          <w:color w:val="auto"/>
          <w:highlight w:val="none"/>
        </w:rPr>
      </w:pPr>
    </w:p>
    <w:p w14:paraId="2054EF70">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0BF2D40C">
      <w:pPr>
        <w:snapToGrid w:val="0"/>
        <w:spacing w:line="440" w:lineRule="exact"/>
        <w:ind w:right="600"/>
        <w:rPr>
          <w:rFonts w:hint="eastAsia" w:ascii="仿宋" w:hAnsi="仿宋" w:eastAsia="仿宋" w:cs="仿宋"/>
          <w:color w:val="auto"/>
          <w:highlight w:val="none"/>
          <w:u w:val="single"/>
        </w:rPr>
      </w:pPr>
    </w:p>
    <w:p w14:paraId="5CB04D8A">
      <w:pPr>
        <w:pStyle w:val="2"/>
        <w:spacing w:before="0" w:after="0" w:line="440" w:lineRule="exact"/>
        <w:ind w:left="0" w:firstLine="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4FF0659">
      <w:pPr>
        <w:pStyle w:val="841"/>
        <w:snapToGrid w:val="0"/>
        <w:spacing w:line="440" w:lineRule="exact"/>
        <w:jc w:val="center"/>
        <w:rPr>
          <w:rFonts w:hint="eastAsia" w:ascii="仿宋" w:hAnsi="仿宋" w:eastAsia="仿宋" w:cs="仿宋"/>
          <w:b/>
          <w:color w:val="auto"/>
          <w:sz w:val="32"/>
          <w:szCs w:val="32"/>
          <w:highlight w:val="none"/>
        </w:rPr>
      </w:pPr>
    </w:p>
    <w:p w14:paraId="16247937">
      <w:pPr>
        <w:pStyle w:val="841"/>
        <w:snapToGrid w:val="0"/>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类似项目业绩表</w:t>
      </w: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14BB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27F40A1">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p>
        </w:tc>
        <w:tc>
          <w:tcPr>
            <w:tcW w:w="1218" w:type="dxa"/>
          </w:tcPr>
          <w:p w14:paraId="00778AF4">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项目类型</w:t>
            </w:r>
          </w:p>
        </w:tc>
        <w:tc>
          <w:tcPr>
            <w:tcW w:w="1218" w:type="dxa"/>
          </w:tcPr>
          <w:p w14:paraId="4194DF4A">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简要描述</w:t>
            </w:r>
          </w:p>
        </w:tc>
        <w:tc>
          <w:tcPr>
            <w:tcW w:w="1218" w:type="dxa"/>
          </w:tcPr>
          <w:p w14:paraId="3F006E39">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项目投资（万元）</w:t>
            </w:r>
          </w:p>
        </w:tc>
        <w:tc>
          <w:tcPr>
            <w:tcW w:w="1218" w:type="dxa"/>
          </w:tcPr>
          <w:p w14:paraId="45207AA2">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起止日期</w:t>
            </w:r>
          </w:p>
        </w:tc>
        <w:tc>
          <w:tcPr>
            <w:tcW w:w="1417" w:type="dxa"/>
          </w:tcPr>
          <w:p w14:paraId="20DCF2A7">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项目地址与建设单位联系电话</w:t>
            </w:r>
          </w:p>
        </w:tc>
        <w:tc>
          <w:tcPr>
            <w:tcW w:w="1253" w:type="dxa"/>
          </w:tcPr>
          <w:p w14:paraId="2A98588E">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所在页码</w:t>
            </w:r>
          </w:p>
        </w:tc>
      </w:tr>
      <w:tr w14:paraId="3C0B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49C0EBE">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A5FC0E6">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72616767">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391FAD2E">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7207AA7E">
            <w:pPr>
              <w:pStyle w:val="841"/>
              <w:snapToGrid w:val="0"/>
              <w:spacing w:line="440" w:lineRule="exact"/>
              <w:jc w:val="center"/>
              <w:rPr>
                <w:rFonts w:hint="eastAsia" w:ascii="仿宋" w:hAnsi="仿宋" w:eastAsia="仿宋" w:cs="仿宋"/>
                <w:b/>
                <w:color w:val="auto"/>
                <w:sz w:val="32"/>
                <w:szCs w:val="32"/>
                <w:highlight w:val="none"/>
              </w:rPr>
            </w:pPr>
          </w:p>
        </w:tc>
        <w:tc>
          <w:tcPr>
            <w:tcW w:w="1417" w:type="dxa"/>
          </w:tcPr>
          <w:p w14:paraId="00EB41A6">
            <w:pPr>
              <w:pStyle w:val="841"/>
              <w:snapToGrid w:val="0"/>
              <w:spacing w:line="440" w:lineRule="exact"/>
              <w:jc w:val="center"/>
              <w:rPr>
                <w:rFonts w:hint="eastAsia" w:ascii="仿宋" w:hAnsi="仿宋" w:eastAsia="仿宋" w:cs="仿宋"/>
                <w:b/>
                <w:color w:val="auto"/>
                <w:sz w:val="32"/>
                <w:szCs w:val="32"/>
                <w:highlight w:val="none"/>
              </w:rPr>
            </w:pPr>
          </w:p>
        </w:tc>
        <w:tc>
          <w:tcPr>
            <w:tcW w:w="1253" w:type="dxa"/>
          </w:tcPr>
          <w:p w14:paraId="6996FEBF">
            <w:pPr>
              <w:pStyle w:val="841"/>
              <w:snapToGrid w:val="0"/>
              <w:spacing w:line="440" w:lineRule="exact"/>
              <w:jc w:val="center"/>
              <w:rPr>
                <w:rFonts w:hint="eastAsia" w:ascii="仿宋" w:hAnsi="仿宋" w:eastAsia="仿宋" w:cs="仿宋"/>
                <w:b/>
                <w:color w:val="auto"/>
                <w:sz w:val="32"/>
                <w:szCs w:val="32"/>
                <w:highlight w:val="none"/>
              </w:rPr>
            </w:pPr>
          </w:p>
        </w:tc>
      </w:tr>
      <w:tr w14:paraId="27F3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08246E9">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09101652">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0A02B391">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54CB06B0">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CCA05E4">
            <w:pPr>
              <w:pStyle w:val="841"/>
              <w:snapToGrid w:val="0"/>
              <w:spacing w:line="440" w:lineRule="exact"/>
              <w:jc w:val="center"/>
              <w:rPr>
                <w:rFonts w:hint="eastAsia" w:ascii="仿宋" w:hAnsi="仿宋" w:eastAsia="仿宋" w:cs="仿宋"/>
                <w:b/>
                <w:color w:val="auto"/>
                <w:sz w:val="32"/>
                <w:szCs w:val="32"/>
                <w:highlight w:val="none"/>
              </w:rPr>
            </w:pPr>
          </w:p>
        </w:tc>
        <w:tc>
          <w:tcPr>
            <w:tcW w:w="1417" w:type="dxa"/>
          </w:tcPr>
          <w:p w14:paraId="7AC94A8C">
            <w:pPr>
              <w:pStyle w:val="841"/>
              <w:snapToGrid w:val="0"/>
              <w:spacing w:line="440" w:lineRule="exact"/>
              <w:jc w:val="center"/>
              <w:rPr>
                <w:rFonts w:hint="eastAsia" w:ascii="仿宋" w:hAnsi="仿宋" w:eastAsia="仿宋" w:cs="仿宋"/>
                <w:b/>
                <w:color w:val="auto"/>
                <w:sz w:val="32"/>
                <w:szCs w:val="32"/>
                <w:highlight w:val="none"/>
              </w:rPr>
            </w:pPr>
          </w:p>
        </w:tc>
        <w:tc>
          <w:tcPr>
            <w:tcW w:w="1253" w:type="dxa"/>
          </w:tcPr>
          <w:p w14:paraId="03D9D9E4">
            <w:pPr>
              <w:pStyle w:val="841"/>
              <w:snapToGrid w:val="0"/>
              <w:spacing w:line="440" w:lineRule="exact"/>
              <w:jc w:val="center"/>
              <w:rPr>
                <w:rFonts w:hint="eastAsia" w:ascii="仿宋" w:hAnsi="仿宋" w:eastAsia="仿宋" w:cs="仿宋"/>
                <w:b/>
                <w:color w:val="auto"/>
                <w:sz w:val="32"/>
                <w:szCs w:val="32"/>
                <w:highlight w:val="none"/>
              </w:rPr>
            </w:pPr>
          </w:p>
        </w:tc>
      </w:tr>
      <w:tr w14:paraId="1D97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C309C12">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7ECDB55F">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54FB2E1E">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314AB053">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FD0266B">
            <w:pPr>
              <w:pStyle w:val="841"/>
              <w:snapToGrid w:val="0"/>
              <w:spacing w:line="440" w:lineRule="exact"/>
              <w:jc w:val="center"/>
              <w:rPr>
                <w:rFonts w:hint="eastAsia" w:ascii="仿宋" w:hAnsi="仿宋" w:eastAsia="仿宋" w:cs="仿宋"/>
                <w:b/>
                <w:color w:val="auto"/>
                <w:sz w:val="32"/>
                <w:szCs w:val="32"/>
                <w:highlight w:val="none"/>
              </w:rPr>
            </w:pPr>
          </w:p>
        </w:tc>
        <w:tc>
          <w:tcPr>
            <w:tcW w:w="1417" w:type="dxa"/>
          </w:tcPr>
          <w:p w14:paraId="6144C617">
            <w:pPr>
              <w:pStyle w:val="841"/>
              <w:snapToGrid w:val="0"/>
              <w:spacing w:line="440" w:lineRule="exact"/>
              <w:jc w:val="center"/>
              <w:rPr>
                <w:rFonts w:hint="eastAsia" w:ascii="仿宋" w:hAnsi="仿宋" w:eastAsia="仿宋" w:cs="仿宋"/>
                <w:b/>
                <w:color w:val="auto"/>
                <w:sz w:val="32"/>
                <w:szCs w:val="32"/>
                <w:highlight w:val="none"/>
              </w:rPr>
            </w:pPr>
          </w:p>
        </w:tc>
        <w:tc>
          <w:tcPr>
            <w:tcW w:w="1253" w:type="dxa"/>
          </w:tcPr>
          <w:p w14:paraId="35EC97B4">
            <w:pPr>
              <w:pStyle w:val="841"/>
              <w:snapToGrid w:val="0"/>
              <w:spacing w:line="440" w:lineRule="exact"/>
              <w:jc w:val="center"/>
              <w:rPr>
                <w:rFonts w:hint="eastAsia" w:ascii="仿宋" w:hAnsi="仿宋" w:eastAsia="仿宋" w:cs="仿宋"/>
                <w:b/>
                <w:color w:val="auto"/>
                <w:sz w:val="32"/>
                <w:szCs w:val="32"/>
                <w:highlight w:val="none"/>
              </w:rPr>
            </w:pPr>
          </w:p>
        </w:tc>
      </w:tr>
      <w:tr w14:paraId="7521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C8D32D7">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C674FCB">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27013705">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9ABE29D">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10397F2E">
            <w:pPr>
              <w:pStyle w:val="841"/>
              <w:snapToGrid w:val="0"/>
              <w:spacing w:line="440" w:lineRule="exact"/>
              <w:jc w:val="center"/>
              <w:rPr>
                <w:rFonts w:hint="eastAsia" w:ascii="仿宋" w:hAnsi="仿宋" w:eastAsia="仿宋" w:cs="仿宋"/>
                <w:b/>
                <w:color w:val="auto"/>
                <w:sz w:val="32"/>
                <w:szCs w:val="32"/>
                <w:highlight w:val="none"/>
              </w:rPr>
            </w:pPr>
          </w:p>
        </w:tc>
        <w:tc>
          <w:tcPr>
            <w:tcW w:w="1417" w:type="dxa"/>
          </w:tcPr>
          <w:p w14:paraId="5509870C">
            <w:pPr>
              <w:pStyle w:val="841"/>
              <w:snapToGrid w:val="0"/>
              <w:spacing w:line="440" w:lineRule="exact"/>
              <w:jc w:val="center"/>
              <w:rPr>
                <w:rFonts w:hint="eastAsia" w:ascii="仿宋" w:hAnsi="仿宋" w:eastAsia="仿宋" w:cs="仿宋"/>
                <w:b/>
                <w:color w:val="auto"/>
                <w:sz w:val="32"/>
                <w:szCs w:val="32"/>
                <w:highlight w:val="none"/>
              </w:rPr>
            </w:pPr>
          </w:p>
        </w:tc>
        <w:tc>
          <w:tcPr>
            <w:tcW w:w="1253" w:type="dxa"/>
          </w:tcPr>
          <w:p w14:paraId="32FEBD16">
            <w:pPr>
              <w:pStyle w:val="841"/>
              <w:snapToGrid w:val="0"/>
              <w:spacing w:line="440" w:lineRule="exact"/>
              <w:jc w:val="center"/>
              <w:rPr>
                <w:rFonts w:hint="eastAsia" w:ascii="仿宋" w:hAnsi="仿宋" w:eastAsia="仿宋" w:cs="仿宋"/>
                <w:b/>
                <w:color w:val="auto"/>
                <w:sz w:val="32"/>
                <w:szCs w:val="32"/>
                <w:highlight w:val="none"/>
              </w:rPr>
            </w:pPr>
          </w:p>
        </w:tc>
      </w:tr>
    </w:tbl>
    <w:p w14:paraId="5761A849">
      <w:pPr>
        <w:pStyle w:val="841"/>
        <w:snapToGrid w:val="0"/>
        <w:spacing w:line="44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注：响应人可按上述的格式自行编制，须随表提交相应的证明材料复印件，并加盖投标单位公章。</w:t>
      </w:r>
    </w:p>
    <w:p w14:paraId="7CBA1965">
      <w:pPr>
        <w:pStyle w:val="841"/>
        <w:snapToGrid w:val="0"/>
        <w:spacing w:line="440" w:lineRule="exact"/>
        <w:rPr>
          <w:rFonts w:hint="eastAsia" w:ascii="仿宋" w:hAnsi="仿宋" w:eastAsia="仿宋" w:cs="仿宋"/>
          <w:b/>
          <w:color w:val="auto"/>
          <w:sz w:val="32"/>
          <w:szCs w:val="32"/>
          <w:highlight w:val="none"/>
        </w:rPr>
      </w:pPr>
    </w:p>
    <w:p w14:paraId="1AF422FF">
      <w:pPr>
        <w:pStyle w:val="841"/>
        <w:snapToGrid w:val="0"/>
        <w:spacing w:line="440" w:lineRule="exact"/>
        <w:rPr>
          <w:rFonts w:hint="eastAsia" w:ascii="仿宋" w:hAnsi="仿宋" w:eastAsia="仿宋" w:cs="仿宋"/>
          <w:b/>
          <w:color w:val="auto"/>
          <w:sz w:val="32"/>
          <w:szCs w:val="32"/>
          <w:highlight w:val="none"/>
        </w:rPr>
      </w:pPr>
    </w:p>
    <w:p w14:paraId="4A788A9A">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9BE573D">
      <w:pPr>
        <w:snapToGrid w:val="0"/>
        <w:spacing w:line="440" w:lineRule="exact"/>
        <w:rPr>
          <w:rFonts w:hint="eastAsia" w:ascii="仿宋" w:hAnsi="仿宋" w:eastAsia="仿宋" w:cs="仿宋"/>
          <w:color w:val="auto"/>
          <w:highlight w:val="none"/>
        </w:rPr>
      </w:pPr>
    </w:p>
    <w:p w14:paraId="26A10143">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2EBBDCFA">
      <w:pPr>
        <w:snapToGrid w:val="0"/>
        <w:spacing w:line="440" w:lineRule="exact"/>
        <w:ind w:right="600"/>
        <w:rPr>
          <w:rFonts w:hint="eastAsia" w:ascii="仿宋" w:hAnsi="仿宋" w:eastAsia="仿宋" w:cs="仿宋"/>
          <w:color w:val="auto"/>
          <w:highlight w:val="none"/>
          <w:u w:val="single"/>
        </w:rPr>
      </w:pPr>
    </w:p>
    <w:p w14:paraId="597BFA59">
      <w:pPr>
        <w:pStyle w:val="2"/>
        <w:spacing w:before="0" w:after="0" w:line="440" w:lineRule="exact"/>
        <w:ind w:left="0" w:firstLine="0"/>
        <w:jc w:val="both"/>
        <w:rPr>
          <w:rFonts w:hint="eastAsia" w:ascii="仿宋" w:hAnsi="仿宋" w:eastAsia="仿宋" w:cs="仿宋"/>
          <w:color w:val="auto"/>
          <w:highlight w:val="none"/>
        </w:rPr>
      </w:pPr>
    </w:p>
    <w:p w14:paraId="5F989109">
      <w:pPr>
        <w:rPr>
          <w:rFonts w:hint="eastAsia" w:ascii="仿宋" w:hAnsi="仿宋" w:eastAsia="仿宋" w:cs="仿宋"/>
          <w:b/>
          <w:color w:val="auto"/>
          <w:sz w:val="32"/>
          <w:highlight w:val="none"/>
        </w:rPr>
      </w:pPr>
    </w:p>
    <w:p w14:paraId="008E3456">
      <w:pPr>
        <w:pStyle w:val="2"/>
        <w:spacing w:before="0" w:after="0" w:line="440" w:lineRule="exact"/>
        <w:ind w:left="0" w:firstLine="0"/>
        <w:jc w:val="both"/>
        <w:rPr>
          <w:rFonts w:hint="eastAsia" w:ascii="仿宋" w:hAnsi="仿宋" w:eastAsia="仿宋" w:cs="仿宋"/>
          <w:color w:val="auto"/>
          <w:highlight w:val="none"/>
        </w:rPr>
      </w:pPr>
    </w:p>
    <w:p w14:paraId="700247AC">
      <w:pPr>
        <w:rPr>
          <w:rFonts w:hint="eastAsia" w:ascii="仿宋" w:hAnsi="仿宋" w:eastAsia="仿宋" w:cs="仿宋"/>
          <w:b/>
          <w:color w:val="auto"/>
          <w:sz w:val="32"/>
          <w:highlight w:val="none"/>
        </w:rPr>
      </w:pPr>
    </w:p>
    <w:p w14:paraId="25FCCC92">
      <w:pPr>
        <w:pStyle w:val="113"/>
        <w:rPr>
          <w:rFonts w:hint="eastAsia" w:ascii="仿宋" w:hAnsi="仿宋" w:eastAsia="仿宋" w:cs="仿宋"/>
          <w:color w:val="auto"/>
          <w:sz w:val="32"/>
          <w:highlight w:val="none"/>
        </w:rPr>
      </w:pPr>
    </w:p>
    <w:p w14:paraId="64AFB6A0">
      <w:pPr>
        <w:rPr>
          <w:rFonts w:hint="eastAsia" w:ascii="仿宋" w:hAnsi="仿宋" w:eastAsia="仿宋" w:cs="仿宋"/>
          <w:b/>
          <w:color w:val="auto"/>
          <w:sz w:val="32"/>
          <w:highlight w:val="none"/>
        </w:rPr>
      </w:pPr>
    </w:p>
    <w:p w14:paraId="374A8E10">
      <w:pPr>
        <w:pStyle w:val="113"/>
        <w:rPr>
          <w:rFonts w:hint="eastAsia" w:ascii="仿宋" w:hAnsi="仿宋" w:eastAsia="仿宋" w:cs="仿宋"/>
          <w:color w:val="auto"/>
          <w:sz w:val="32"/>
          <w:highlight w:val="none"/>
        </w:rPr>
      </w:pPr>
    </w:p>
    <w:p w14:paraId="1CF0B479">
      <w:pPr>
        <w:rPr>
          <w:rFonts w:hint="eastAsia" w:ascii="仿宋" w:hAnsi="仿宋" w:eastAsia="仿宋" w:cs="仿宋"/>
          <w:b/>
          <w:color w:val="auto"/>
          <w:sz w:val="32"/>
          <w:highlight w:val="none"/>
        </w:rPr>
      </w:pPr>
    </w:p>
    <w:p w14:paraId="195BF7C3">
      <w:pPr>
        <w:pStyle w:val="113"/>
        <w:rPr>
          <w:rFonts w:hint="eastAsia" w:ascii="仿宋" w:hAnsi="仿宋" w:eastAsia="仿宋" w:cs="仿宋"/>
          <w:color w:val="auto"/>
          <w:sz w:val="32"/>
          <w:highlight w:val="none"/>
        </w:rPr>
      </w:pPr>
    </w:p>
    <w:p w14:paraId="1E7F8D3D">
      <w:pPr>
        <w:rPr>
          <w:rFonts w:hint="eastAsia" w:ascii="仿宋" w:hAnsi="仿宋" w:eastAsia="仿宋" w:cs="仿宋"/>
          <w:color w:val="auto"/>
          <w:highlight w:val="none"/>
        </w:rPr>
      </w:pPr>
    </w:p>
    <w:p w14:paraId="3E9F4F97">
      <w:pPr>
        <w:spacing w:before="120"/>
        <w:jc w:val="center"/>
        <w:rPr>
          <w:rFonts w:hint="eastAsia" w:ascii="仿宋" w:hAnsi="仿宋" w:eastAsia="仿宋" w:cs="仿宋"/>
          <w:b/>
          <w:color w:val="auto"/>
          <w:sz w:val="32"/>
          <w:highlight w:val="none"/>
        </w:rPr>
      </w:pPr>
      <w:r>
        <w:rPr>
          <w:rFonts w:hint="eastAsia"/>
          <w:b/>
          <w:kern w:val="2"/>
          <w:sz w:val="32"/>
          <w:szCs w:val="32"/>
          <w:lang w:val="en-US" w:eastAsia="zh-CN"/>
        </w:rPr>
        <w:t>技术</w:t>
      </w:r>
      <w:r>
        <w:rPr>
          <w:rFonts w:hint="eastAsia" w:ascii="仿宋" w:hAnsi="仿宋" w:eastAsia="仿宋"/>
          <w:b/>
          <w:kern w:val="2"/>
          <w:sz w:val="32"/>
          <w:szCs w:val="32"/>
        </w:rPr>
        <w:t>条款偏离表</w:t>
      </w:r>
    </w:p>
    <w:p w14:paraId="1DE97C9A">
      <w:pPr>
        <w:spacing w:before="120"/>
        <w:jc w:val="left"/>
        <w:rPr>
          <w:rFonts w:hint="eastAsia" w:ascii="仿宋" w:hAnsi="仿宋" w:eastAsia="仿宋" w:cs="仿宋"/>
          <w:b/>
          <w:bCs/>
          <w:color w:val="auto"/>
          <w:sz w:val="18"/>
          <w:szCs w:val="18"/>
          <w:highlight w:val="none"/>
        </w:rPr>
      </w:pPr>
      <w:r>
        <w:rPr>
          <w:rFonts w:hint="eastAsia" w:ascii="仿宋" w:hAnsi="仿宋" w:eastAsia="仿宋" w:cs="仿宋"/>
          <w:b/>
          <w:color w:val="auto"/>
          <w:highlight w:val="none"/>
        </w:rPr>
        <w:t>项目名称：</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 xml:space="preserve">    项目编号：</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0B035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14:paraId="6993BC63">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14:paraId="047BF275">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2DC15AD7">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0F0D37D9">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偏离情况</w:t>
            </w:r>
          </w:p>
          <w:p w14:paraId="0ADCA618">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209B2814">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说明</w:t>
            </w:r>
          </w:p>
        </w:tc>
      </w:tr>
      <w:tr w14:paraId="51856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1B5D2644">
            <w:pPr>
              <w:spacing w:before="120"/>
              <w:jc w:val="center"/>
              <w:rPr>
                <w:rFonts w:hint="eastAsia" w:ascii="仿宋" w:hAnsi="仿宋" w:eastAsia="仿宋" w:cs="仿宋"/>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14:paraId="452D99B7">
            <w:pPr>
              <w:spacing w:before="120"/>
              <w:jc w:val="center"/>
              <w:rPr>
                <w:rFonts w:hint="eastAsia" w:ascii="仿宋" w:hAnsi="仿宋" w:eastAsia="仿宋"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14:paraId="544FB2FD">
            <w:pPr>
              <w:spacing w:before="120"/>
              <w:jc w:val="center"/>
              <w:rPr>
                <w:rFonts w:hint="eastAsia" w:ascii="仿宋" w:hAnsi="仿宋" w:eastAsia="仿宋" w:cs="仿宋"/>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14:paraId="46D2FFB9">
            <w:pPr>
              <w:spacing w:before="120"/>
              <w:jc w:val="center"/>
              <w:rPr>
                <w:rFonts w:hint="eastAsia" w:ascii="仿宋" w:hAnsi="仿宋" w:eastAsia="仿宋" w:cs="仿宋"/>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14:paraId="10F8A94C">
            <w:pPr>
              <w:spacing w:before="120"/>
              <w:jc w:val="center"/>
              <w:rPr>
                <w:rFonts w:hint="eastAsia" w:ascii="仿宋" w:hAnsi="仿宋" w:eastAsia="仿宋" w:cs="仿宋"/>
                <w:color w:val="auto"/>
                <w:highlight w:val="none"/>
              </w:rPr>
            </w:pPr>
          </w:p>
        </w:tc>
      </w:tr>
      <w:tr w14:paraId="4A9CA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2E7D386D">
            <w:pPr>
              <w:spacing w:before="120"/>
              <w:jc w:val="center"/>
              <w:rPr>
                <w:rFonts w:hint="eastAsia" w:ascii="仿宋" w:hAnsi="仿宋" w:eastAsia="仿宋" w:cs="仿宋"/>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14:paraId="116DACF3">
            <w:pPr>
              <w:spacing w:before="120"/>
              <w:jc w:val="center"/>
              <w:rPr>
                <w:rFonts w:hint="eastAsia" w:ascii="仿宋" w:hAnsi="仿宋" w:eastAsia="仿宋"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14:paraId="2EF7B943">
            <w:pPr>
              <w:spacing w:before="120"/>
              <w:jc w:val="center"/>
              <w:rPr>
                <w:rFonts w:hint="eastAsia" w:ascii="仿宋" w:hAnsi="仿宋" w:eastAsia="仿宋" w:cs="仿宋"/>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14:paraId="1761F279">
            <w:pPr>
              <w:spacing w:before="120"/>
              <w:jc w:val="center"/>
              <w:rPr>
                <w:rFonts w:hint="eastAsia" w:ascii="仿宋" w:hAnsi="仿宋" w:eastAsia="仿宋" w:cs="仿宋"/>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14:paraId="45F99DA0">
            <w:pPr>
              <w:spacing w:before="120"/>
              <w:jc w:val="center"/>
              <w:rPr>
                <w:rFonts w:hint="eastAsia" w:ascii="仿宋" w:hAnsi="仿宋" w:eastAsia="仿宋" w:cs="仿宋"/>
                <w:color w:val="auto"/>
                <w:highlight w:val="none"/>
              </w:rPr>
            </w:pPr>
          </w:p>
        </w:tc>
      </w:tr>
      <w:tr w14:paraId="37774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429EB3E1">
            <w:pPr>
              <w:spacing w:before="120"/>
              <w:jc w:val="center"/>
              <w:rPr>
                <w:rFonts w:hint="eastAsia" w:ascii="仿宋" w:hAnsi="仿宋" w:eastAsia="仿宋" w:cs="仿宋"/>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14:paraId="214906F8">
            <w:pPr>
              <w:spacing w:before="120"/>
              <w:jc w:val="center"/>
              <w:rPr>
                <w:rFonts w:hint="eastAsia" w:ascii="仿宋" w:hAnsi="仿宋" w:eastAsia="仿宋"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14:paraId="5CA9D09B">
            <w:pPr>
              <w:spacing w:before="120"/>
              <w:jc w:val="center"/>
              <w:rPr>
                <w:rFonts w:hint="eastAsia" w:ascii="仿宋" w:hAnsi="仿宋" w:eastAsia="仿宋" w:cs="仿宋"/>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14:paraId="4ABC6B24">
            <w:pPr>
              <w:spacing w:before="120"/>
              <w:jc w:val="center"/>
              <w:rPr>
                <w:rFonts w:hint="eastAsia" w:ascii="仿宋" w:hAnsi="仿宋" w:eastAsia="仿宋" w:cs="仿宋"/>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14:paraId="0EC8CFEC">
            <w:pPr>
              <w:spacing w:before="120"/>
              <w:jc w:val="center"/>
              <w:rPr>
                <w:rFonts w:hint="eastAsia" w:ascii="仿宋" w:hAnsi="仿宋" w:eastAsia="仿宋" w:cs="仿宋"/>
                <w:color w:val="auto"/>
                <w:highlight w:val="none"/>
              </w:rPr>
            </w:pPr>
          </w:p>
        </w:tc>
      </w:tr>
    </w:tbl>
    <w:p w14:paraId="54B104C5">
      <w:pPr>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1.偏离表中</w:t>
      </w:r>
      <w:r>
        <w:rPr>
          <w:rFonts w:hint="eastAsia" w:ascii="仿宋" w:hAnsi="仿宋" w:eastAsia="仿宋" w:cs="仿宋"/>
          <w:b/>
          <w:bCs/>
          <w:color w:val="auto"/>
          <w:highlight w:val="none"/>
        </w:rPr>
        <w:t>仅填写与招标文件要求有差异的条款。</w:t>
      </w:r>
    </w:p>
    <w:p w14:paraId="2818EB74">
      <w:pPr>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0BA2F731">
      <w:pPr>
        <w:spacing w:line="48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3.</w:t>
      </w:r>
      <w:r>
        <w:rPr>
          <w:rFonts w:hint="eastAsia" w:ascii="仿宋" w:hAnsi="仿宋" w:eastAsia="仿宋" w:cs="仿宋"/>
          <w:b/>
          <w:color w:val="auto"/>
          <w:highlight w:val="none"/>
        </w:rPr>
        <w:t>没有填写在偏离表中的其它所有技术或商务(不包含报价)条款都默认为完全响应招标要求。</w:t>
      </w:r>
    </w:p>
    <w:p w14:paraId="5C6FD100">
      <w:pPr>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4.如投标人未按实际情况填写偏离情况的，属于提供虚假材料谋取中标、成交，投标无效，并将线索移交至采购行政监督管理部门处理，依照有关规定追究相应责任。</w:t>
      </w:r>
    </w:p>
    <w:p w14:paraId="6C3F7B1F">
      <w:pPr>
        <w:pStyle w:val="841"/>
        <w:snapToGrid w:val="0"/>
        <w:spacing w:line="48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3A585C22">
      <w:pPr>
        <w:snapToGrid w:val="0"/>
        <w:spacing w:line="480" w:lineRule="auto"/>
        <w:ind w:right="600"/>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法定代表人或授权代表（签名或盖章）：</w:t>
      </w:r>
      <w:r>
        <w:rPr>
          <w:rFonts w:hint="eastAsia" w:ascii="仿宋" w:hAnsi="仿宋" w:eastAsia="仿宋" w:cs="仿宋"/>
          <w:color w:val="auto"/>
          <w:highlight w:val="none"/>
          <w:u w:val="single"/>
        </w:rPr>
        <w:t xml:space="preserve">                </w:t>
      </w:r>
    </w:p>
    <w:p w14:paraId="1288F195">
      <w:pPr>
        <w:snapToGrid w:val="0"/>
        <w:spacing w:line="480" w:lineRule="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2FCB4376">
      <w:pPr>
        <w:pStyle w:val="2"/>
        <w:spacing w:before="0" w:after="0" w:line="440" w:lineRule="exact"/>
        <w:ind w:left="0" w:firstLine="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0C0CCB">
      <w:pPr>
        <w:snapToGrid w:val="0"/>
        <w:spacing w:line="440" w:lineRule="exact"/>
        <w:ind w:right="6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项目实施人员（主要从业人员及其技术资格）一览表</w:t>
      </w:r>
    </w:p>
    <w:p w14:paraId="0F22C27E">
      <w:pPr>
        <w:pStyle w:val="25"/>
        <w:snapToGrid w:val="0"/>
        <w:spacing w:before="0" w:after="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35BD5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67B7EFA">
            <w:pPr>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B8207C2">
            <w:pPr>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0B65B90">
            <w:pPr>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076FC5B">
            <w:pPr>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4DD14D91">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参加本单位</w:t>
            </w:r>
          </w:p>
          <w:p w14:paraId="466921D1">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541F783">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劳动合</w:t>
            </w:r>
          </w:p>
          <w:p w14:paraId="09B796A6">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68E9D71">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本项目中的职责</w:t>
            </w:r>
          </w:p>
        </w:tc>
      </w:tr>
      <w:tr w14:paraId="638B4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E3BE8A">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4F9E487">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431080C">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1AAA85E">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AECCA32">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9289549">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1CC6F2A">
            <w:pPr>
              <w:snapToGrid w:val="0"/>
              <w:spacing w:line="440" w:lineRule="exact"/>
              <w:rPr>
                <w:rFonts w:hint="eastAsia" w:ascii="仿宋" w:hAnsi="仿宋" w:eastAsia="仿宋" w:cs="仿宋"/>
                <w:color w:val="auto"/>
                <w:highlight w:val="none"/>
              </w:rPr>
            </w:pPr>
          </w:p>
        </w:tc>
      </w:tr>
      <w:tr w14:paraId="34C48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24F98E2">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3708091">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3409100">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6F6A895">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407A5AF">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520D043">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24CAA48">
            <w:pPr>
              <w:snapToGrid w:val="0"/>
              <w:spacing w:line="440" w:lineRule="exact"/>
              <w:rPr>
                <w:rFonts w:hint="eastAsia" w:ascii="仿宋" w:hAnsi="仿宋" w:eastAsia="仿宋" w:cs="仿宋"/>
                <w:color w:val="auto"/>
                <w:highlight w:val="none"/>
              </w:rPr>
            </w:pPr>
          </w:p>
        </w:tc>
      </w:tr>
      <w:tr w14:paraId="493E1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435B80">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FF3DBBA">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AF5A8AD">
            <w:pPr>
              <w:pStyle w:val="52"/>
              <w:snapToGrid w:val="0"/>
              <w:spacing w:line="440" w:lineRule="exact"/>
              <w:ind w:left="600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5CFB115">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77EB5AA9">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3B986E5">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4FBE823">
            <w:pPr>
              <w:snapToGrid w:val="0"/>
              <w:spacing w:line="440" w:lineRule="exact"/>
              <w:rPr>
                <w:rFonts w:hint="eastAsia" w:ascii="仿宋" w:hAnsi="仿宋" w:eastAsia="仿宋" w:cs="仿宋"/>
                <w:color w:val="auto"/>
                <w:highlight w:val="none"/>
              </w:rPr>
            </w:pPr>
          </w:p>
        </w:tc>
      </w:tr>
      <w:tr w14:paraId="2D5AB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780DE90">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9943CF8">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BD47804">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0FCCD2F">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43AA79E">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014573B">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4C8F145">
            <w:pPr>
              <w:snapToGrid w:val="0"/>
              <w:spacing w:line="440" w:lineRule="exact"/>
              <w:rPr>
                <w:rFonts w:hint="eastAsia" w:ascii="仿宋" w:hAnsi="仿宋" w:eastAsia="仿宋" w:cs="仿宋"/>
                <w:color w:val="auto"/>
                <w:highlight w:val="none"/>
              </w:rPr>
            </w:pPr>
          </w:p>
        </w:tc>
      </w:tr>
      <w:tr w14:paraId="5DAE1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A9CEE7">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3B3338E4">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3848087">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EF251A7">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DD55ADF">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C4235D7">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59CEECB">
            <w:pPr>
              <w:snapToGrid w:val="0"/>
              <w:spacing w:line="440" w:lineRule="exact"/>
              <w:rPr>
                <w:rFonts w:hint="eastAsia" w:ascii="仿宋" w:hAnsi="仿宋" w:eastAsia="仿宋" w:cs="仿宋"/>
                <w:color w:val="auto"/>
                <w:highlight w:val="none"/>
              </w:rPr>
            </w:pPr>
          </w:p>
        </w:tc>
      </w:tr>
      <w:tr w14:paraId="39277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2F1B59">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C0C78C7">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4347E938">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57CD954">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57F4B31">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6DABD23">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BB36B3D">
            <w:pPr>
              <w:snapToGrid w:val="0"/>
              <w:spacing w:line="440" w:lineRule="exact"/>
              <w:rPr>
                <w:rFonts w:hint="eastAsia" w:ascii="仿宋" w:hAnsi="仿宋" w:eastAsia="仿宋" w:cs="仿宋"/>
                <w:color w:val="auto"/>
                <w:highlight w:val="none"/>
              </w:rPr>
            </w:pPr>
          </w:p>
        </w:tc>
      </w:tr>
      <w:tr w14:paraId="4371C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4CFEF4B">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0841121">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CFAF0E0">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CD00CE2">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6D81B9F">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1CCF942">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230491B">
            <w:pPr>
              <w:snapToGrid w:val="0"/>
              <w:spacing w:line="440" w:lineRule="exact"/>
              <w:rPr>
                <w:rFonts w:hint="eastAsia" w:ascii="仿宋" w:hAnsi="仿宋" w:eastAsia="仿宋" w:cs="仿宋"/>
                <w:color w:val="auto"/>
                <w:highlight w:val="none"/>
              </w:rPr>
            </w:pPr>
          </w:p>
        </w:tc>
      </w:tr>
      <w:tr w14:paraId="5FA0C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A27BA2">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0E19478">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1776E438">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3CFF304">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7C845A7">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A906916">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F09CEC6">
            <w:pPr>
              <w:snapToGrid w:val="0"/>
              <w:spacing w:line="440" w:lineRule="exact"/>
              <w:rPr>
                <w:rFonts w:hint="eastAsia" w:ascii="仿宋" w:hAnsi="仿宋" w:eastAsia="仿宋" w:cs="仿宋"/>
                <w:color w:val="auto"/>
                <w:highlight w:val="none"/>
              </w:rPr>
            </w:pPr>
          </w:p>
        </w:tc>
      </w:tr>
      <w:tr w14:paraId="797DD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1DFB9E">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7998ABF7">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3714C37">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6B36A2B">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68D99EBA">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3C0A18A">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9DEC2E4">
            <w:pPr>
              <w:snapToGrid w:val="0"/>
              <w:spacing w:line="440" w:lineRule="exact"/>
              <w:rPr>
                <w:rFonts w:hint="eastAsia" w:ascii="仿宋" w:hAnsi="仿宋" w:eastAsia="仿宋" w:cs="仿宋"/>
                <w:color w:val="auto"/>
                <w:highlight w:val="none"/>
              </w:rPr>
            </w:pPr>
          </w:p>
        </w:tc>
      </w:tr>
    </w:tbl>
    <w:p w14:paraId="337F8595">
      <w:pPr>
        <w:snapToGrid w:val="0"/>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注：1、在填写时，如本表格不适合投标人的实际情况，可根据本表格式自行划表填写。 </w:t>
      </w:r>
    </w:p>
    <w:p w14:paraId="2C59CFF7">
      <w:pPr>
        <w:snapToGri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2、本表结合“第三章 评标办法及评分标准”中相关人员要求，后附人员证书等证明材料复印件。</w:t>
      </w:r>
    </w:p>
    <w:p w14:paraId="026CD623">
      <w:pPr>
        <w:pStyle w:val="841"/>
        <w:snapToGrid w:val="0"/>
        <w:spacing w:line="440" w:lineRule="exact"/>
        <w:rPr>
          <w:rFonts w:hint="eastAsia" w:ascii="仿宋" w:hAnsi="仿宋" w:eastAsia="仿宋" w:cs="仿宋"/>
          <w:color w:val="auto"/>
          <w:szCs w:val="24"/>
          <w:highlight w:val="none"/>
        </w:rPr>
      </w:pPr>
    </w:p>
    <w:p w14:paraId="0E7C6DF8">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投标人全称（电子签章）：</w:t>
      </w:r>
      <w:r>
        <w:rPr>
          <w:rFonts w:hint="eastAsia" w:ascii="仿宋" w:hAnsi="仿宋" w:eastAsia="仿宋" w:cs="仿宋"/>
          <w:color w:val="auto"/>
          <w:szCs w:val="24"/>
          <w:highlight w:val="none"/>
          <w:u w:val="single"/>
        </w:rPr>
        <w:t xml:space="preserve">                      </w:t>
      </w:r>
    </w:p>
    <w:p w14:paraId="689A25BE">
      <w:pPr>
        <w:snapToGrid w:val="0"/>
        <w:spacing w:line="440" w:lineRule="exact"/>
        <w:ind w:right="600"/>
        <w:rPr>
          <w:rFonts w:hint="eastAsia" w:ascii="仿宋" w:hAnsi="仿宋" w:eastAsia="仿宋" w:cs="仿宋"/>
          <w:color w:val="auto"/>
          <w:highlight w:val="none"/>
        </w:rPr>
      </w:pPr>
    </w:p>
    <w:p w14:paraId="10082857">
      <w:pPr>
        <w:snapToGrid w:val="0"/>
        <w:spacing w:line="440" w:lineRule="exact"/>
        <w:ind w:right="600"/>
        <w:rPr>
          <w:rFonts w:hint="eastAsia" w:ascii="仿宋" w:hAnsi="仿宋" w:eastAsia="仿宋" w:cs="仿宋"/>
          <w:color w:val="auto"/>
          <w:highlight w:val="none"/>
          <w:u w:val="single"/>
        </w:rPr>
      </w:pPr>
      <w:r>
        <w:rPr>
          <w:rFonts w:hint="eastAsia" w:ascii="仿宋" w:hAnsi="仿宋" w:eastAsia="仿宋" w:cs="仿宋"/>
          <w:color w:val="auto"/>
          <w:highlight w:val="none"/>
        </w:rPr>
        <w:t>投标日期：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03FE231E">
      <w:pPr>
        <w:spacing w:line="440" w:lineRule="exact"/>
        <w:jc w:val="center"/>
        <w:rPr>
          <w:rFonts w:hint="eastAsia" w:ascii="仿宋" w:hAnsi="仿宋" w:eastAsia="仿宋" w:cs="仿宋"/>
          <w:b/>
          <w:color w:val="auto"/>
          <w:sz w:val="30"/>
          <w:szCs w:val="30"/>
          <w:highlight w:val="none"/>
        </w:rPr>
      </w:pPr>
    </w:p>
    <w:p w14:paraId="226748BB">
      <w:pPr>
        <w:spacing w:line="440" w:lineRule="exact"/>
        <w:jc w:val="center"/>
        <w:rPr>
          <w:rFonts w:hint="eastAsia" w:ascii="仿宋" w:hAnsi="仿宋" w:eastAsia="仿宋" w:cs="仿宋"/>
          <w:b/>
          <w:color w:val="auto"/>
          <w:sz w:val="30"/>
          <w:szCs w:val="30"/>
          <w:highlight w:val="none"/>
        </w:rPr>
      </w:pPr>
    </w:p>
    <w:p w14:paraId="4E26057D">
      <w:pPr>
        <w:spacing w:line="440" w:lineRule="exact"/>
        <w:jc w:val="center"/>
        <w:rPr>
          <w:rFonts w:hint="eastAsia" w:ascii="仿宋" w:hAnsi="仿宋" w:eastAsia="仿宋" w:cs="仿宋"/>
          <w:b/>
          <w:color w:val="auto"/>
          <w:sz w:val="30"/>
          <w:szCs w:val="30"/>
          <w:highlight w:val="none"/>
        </w:rPr>
      </w:pPr>
    </w:p>
    <w:p w14:paraId="1CA67FA1">
      <w:pPr>
        <w:spacing w:line="440" w:lineRule="exact"/>
        <w:jc w:val="center"/>
        <w:rPr>
          <w:rFonts w:hint="eastAsia" w:ascii="仿宋" w:hAnsi="仿宋" w:eastAsia="仿宋" w:cs="仿宋"/>
          <w:b/>
          <w:color w:val="auto"/>
          <w:sz w:val="30"/>
          <w:szCs w:val="30"/>
          <w:highlight w:val="none"/>
        </w:rPr>
      </w:pPr>
    </w:p>
    <w:p w14:paraId="10246CB8">
      <w:pPr>
        <w:spacing w:line="440" w:lineRule="exact"/>
        <w:jc w:val="center"/>
        <w:rPr>
          <w:rFonts w:hint="eastAsia" w:ascii="仿宋" w:hAnsi="仿宋" w:eastAsia="仿宋" w:cs="仿宋"/>
          <w:b/>
          <w:color w:val="auto"/>
          <w:sz w:val="30"/>
          <w:szCs w:val="30"/>
          <w:highlight w:val="none"/>
        </w:rPr>
      </w:pPr>
    </w:p>
    <w:p w14:paraId="73042F83">
      <w:pPr>
        <w:spacing w:line="440" w:lineRule="exact"/>
        <w:jc w:val="center"/>
        <w:rPr>
          <w:rFonts w:hint="eastAsia" w:ascii="仿宋" w:hAnsi="仿宋" w:eastAsia="仿宋" w:cs="仿宋"/>
          <w:b/>
          <w:color w:val="auto"/>
          <w:sz w:val="30"/>
          <w:szCs w:val="30"/>
          <w:highlight w:val="none"/>
        </w:rPr>
      </w:pPr>
    </w:p>
    <w:p w14:paraId="2FF041CF">
      <w:pPr>
        <w:spacing w:line="440" w:lineRule="exact"/>
        <w:jc w:val="center"/>
        <w:rPr>
          <w:rFonts w:hint="eastAsia" w:ascii="仿宋" w:hAnsi="仿宋" w:eastAsia="仿宋" w:cs="仿宋"/>
          <w:b/>
          <w:color w:val="auto"/>
          <w:sz w:val="30"/>
          <w:szCs w:val="30"/>
          <w:highlight w:val="none"/>
        </w:rPr>
      </w:pPr>
    </w:p>
    <w:p w14:paraId="2A3A76B3">
      <w:pPr>
        <w:spacing w:line="440" w:lineRule="exact"/>
        <w:jc w:val="center"/>
        <w:rPr>
          <w:rFonts w:hint="eastAsia" w:ascii="仿宋" w:hAnsi="仿宋" w:eastAsia="仿宋" w:cs="仿宋"/>
          <w:b/>
          <w:color w:val="auto"/>
          <w:sz w:val="30"/>
          <w:szCs w:val="30"/>
          <w:highlight w:val="none"/>
        </w:rPr>
      </w:pPr>
    </w:p>
    <w:p w14:paraId="0FFACB9E">
      <w:pPr>
        <w:spacing w:line="440" w:lineRule="exact"/>
        <w:jc w:val="center"/>
        <w:rPr>
          <w:rFonts w:hint="eastAsia" w:ascii="仿宋" w:hAnsi="仿宋" w:eastAsia="仿宋" w:cs="仿宋"/>
          <w:b/>
          <w:color w:val="auto"/>
          <w:sz w:val="30"/>
          <w:szCs w:val="30"/>
          <w:highlight w:val="none"/>
        </w:rPr>
      </w:pPr>
    </w:p>
    <w:p w14:paraId="5E28752C">
      <w:pPr>
        <w:spacing w:line="440" w:lineRule="exact"/>
        <w:jc w:val="center"/>
        <w:rPr>
          <w:rFonts w:hint="eastAsia" w:ascii="仿宋" w:hAnsi="仿宋" w:eastAsia="仿宋" w:cs="仿宋"/>
          <w:b/>
          <w:color w:val="auto"/>
          <w:sz w:val="30"/>
          <w:szCs w:val="30"/>
          <w:highlight w:val="none"/>
        </w:rPr>
      </w:pPr>
    </w:p>
    <w:p w14:paraId="6725FE0E">
      <w:pPr>
        <w:spacing w:line="440" w:lineRule="exact"/>
        <w:jc w:val="center"/>
        <w:rPr>
          <w:rFonts w:hint="eastAsia" w:ascii="仿宋" w:hAnsi="仿宋" w:eastAsia="仿宋" w:cs="仿宋"/>
          <w:b/>
          <w:color w:val="auto"/>
          <w:sz w:val="30"/>
          <w:szCs w:val="30"/>
          <w:highlight w:val="none"/>
        </w:rPr>
      </w:pPr>
    </w:p>
    <w:p w14:paraId="655FB742">
      <w:pPr>
        <w:spacing w:before="312" w:beforeLines="100" w:after="312" w:afterLines="100" w:line="44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投标文件封面</w:t>
      </w:r>
      <w:r>
        <w:rPr>
          <w:rFonts w:hint="eastAsia" w:ascii="仿宋" w:hAnsi="仿宋" w:eastAsia="仿宋" w:cs="仿宋"/>
          <w:b/>
          <w:color w:val="auto"/>
          <w:sz w:val="32"/>
          <w:highlight w:val="none"/>
        </w:rPr>
        <w:t>（封面格式供参考）</w:t>
      </w:r>
    </w:p>
    <w:p w14:paraId="375BF4BC">
      <w:pPr>
        <w:spacing w:before="1560" w:beforeLines="500" w:after="1560" w:afterLines="500" w:line="440" w:lineRule="exact"/>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报价文件</w:t>
      </w:r>
    </w:p>
    <w:p w14:paraId="7385DD5B">
      <w:pPr>
        <w:spacing w:before="312" w:beforeLines="100" w:after="312" w:afterLines="100" w:line="440" w:lineRule="exact"/>
        <w:rPr>
          <w:rFonts w:hint="eastAsia" w:ascii="仿宋" w:hAnsi="仿宋" w:eastAsia="仿宋" w:cs="仿宋"/>
          <w:b/>
          <w:color w:val="auto"/>
          <w:sz w:val="28"/>
          <w:szCs w:val="28"/>
          <w:highlight w:val="none"/>
        </w:rPr>
      </w:pPr>
    </w:p>
    <w:p w14:paraId="1AE59DEC">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22B9E3B1">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50782343">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投标人全称（电子签章）：</w:t>
      </w:r>
      <w:r>
        <w:rPr>
          <w:rFonts w:hint="eastAsia" w:ascii="仿宋" w:hAnsi="仿宋" w:eastAsia="仿宋" w:cs="仿宋"/>
          <w:b/>
          <w:color w:val="auto"/>
          <w:sz w:val="30"/>
          <w:szCs w:val="30"/>
          <w:highlight w:val="none"/>
          <w:u w:val="single"/>
        </w:rPr>
        <w:t xml:space="preserve">                   </w:t>
      </w:r>
    </w:p>
    <w:p w14:paraId="7FB2FC79">
      <w:pPr>
        <w:snapToGrid w:val="0"/>
        <w:spacing w:before="312" w:beforeLines="100" w:after="312" w:afterLines="100" w:line="440" w:lineRule="exact"/>
        <w:jc w:val="center"/>
        <w:rPr>
          <w:rFonts w:hint="eastAsia" w:ascii="仿宋" w:hAnsi="仿宋" w:eastAsia="仿宋" w:cs="仿宋"/>
          <w:color w:val="auto"/>
          <w:highlight w:val="none"/>
        </w:rPr>
      </w:pPr>
    </w:p>
    <w:p w14:paraId="518EC61B">
      <w:pPr>
        <w:pStyle w:val="2"/>
        <w:keepNext w:val="0"/>
        <w:keepLines w:val="0"/>
        <w:spacing w:before="312" w:beforeLines="100" w:after="312" w:afterLines="100" w:line="440" w:lineRule="exact"/>
        <w:ind w:left="0" w:firstLine="0"/>
        <w:jc w:val="both"/>
        <w:rPr>
          <w:rFonts w:hint="eastAsia" w:ascii="仿宋" w:hAnsi="仿宋" w:eastAsia="仿宋" w:cs="仿宋"/>
          <w:color w:val="auto"/>
          <w:highlight w:val="none"/>
        </w:rPr>
      </w:pPr>
      <w:r>
        <w:rPr>
          <w:rFonts w:hint="eastAsia" w:ascii="仿宋" w:hAnsi="仿宋" w:eastAsia="仿宋" w:cs="仿宋"/>
          <w:color w:val="auto"/>
          <w:highlight w:val="none"/>
          <w:u w:val="single"/>
        </w:rPr>
        <w:br w:type="page"/>
      </w:r>
    </w:p>
    <w:p w14:paraId="06B10D86">
      <w:pPr>
        <w:snapToGrid w:val="0"/>
        <w:spacing w:before="156" w:after="50" w:line="46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szCs w:val="32"/>
          <w:highlight w:val="none"/>
        </w:rPr>
        <w:t>报价</w:t>
      </w:r>
      <w:r>
        <w:rPr>
          <w:rFonts w:hint="eastAsia" w:ascii="仿宋" w:hAnsi="仿宋" w:eastAsia="仿宋" w:cs="仿宋"/>
          <w:b/>
          <w:color w:val="auto"/>
          <w:sz w:val="32"/>
          <w:highlight w:val="none"/>
        </w:rPr>
        <w:t>一览表</w:t>
      </w:r>
    </w:p>
    <w:p w14:paraId="27C6D1AE">
      <w:pPr>
        <w:spacing w:before="156"/>
        <w:jc w:val="left"/>
      </w:pPr>
      <w:r>
        <w:rPr>
          <w:rFonts w:hint="eastAsia"/>
          <w:b/>
        </w:rPr>
        <w:t>项目编号：</w:t>
      </w:r>
      <w:r>
        <w:rPr>
          <w:rFonts w:hint="eastAsia"/>
          <w:u w:val="single"/>
        </w:rPr>
        <w:t xml:space="preserve">           </w:t>
      </w:r>
      <w:r>
        <w:rPr>
          <w:rFonts w:hint="eastAsia"/>
          <w:u w:val="none"/>
          <w:lang w:val="en-US" w:eastAsia="zh-CN"/>
        </w:rPr>
        <w:t xml:space="preserve">                </w:t>
      </w:r>
      <w:r>
        <w:rPr>
          <w:rFonts w:hint="eastAsia"/>
          <w:b/>
        </w:rPr>
        <w:t>项目名称</w:t>
      </w:r>
      <w:r>
        <w:rPr>
          <w:rFonts w:hint="eastAsia"/>
        </w:rPr>
        <w:t>：</w:t>
      </w:r>
      <w:r>
        <w:rPr>
          <w:rFonts w:hint="eastAsia"/>
          <w:u w:val="single"/>
        </w:rPr>
        <w:t>____________</w:t>
      </w:r>
      <w:r>
        <w:rPr>
          <w:rFonts w:hint="eastAsia"/>
        </w:rPr>
        <w:t xml:space="preserve">      </w:t>
      </w:r>
    </w:p>
    <w:tbl>
      <w:tblPr>
        <w:tblStyle w:val="89"/>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4"/>
        <w:gridCol w:w="1366"/>
        <w:gridCol w:w="3068"/>
        <w:gridCol w:w="3069"/>
      </w:tblGrid>
      <w:tr w14:paraId="197C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29A38DBD">
            <w:pPr>
              <w:spacing w:line="440" w:lineRule="exact"/>
              <w:jc w:val="center"/>
              <w:rPr>
                <w:b/>
              </w:rPr>
            </w:pPr>
            <w:r>
              <w:rPr>
                <w:rFonts w:hint="eastAsia"/>
                <w:b/>
              </w:rPr>
              <w:t>序号</w:t>
            </w:r>
          </w:p>
        </w:tc>
        <w:tc>
          <w:tcPr>
            <w:tcW w:w="848" w:type="pct"/>
            <w:tcBorders>
              <w:top w:val="single" w:color="auto" w:sz="4" w:space="0"/>
              <w:left w:val="single" w:color="auto" w:sz="4" w:space="0"/>
              <w:bottom w:val="single" w:color="auto" w:sz="4" w:space="0"/>
              <w:right w:val="single" w:color="auto" w:sz="4" w:space="0"/>
            </w:tcBorders>
            <w:vAlign w:val="center"/>
          </w:tcPr>
          <w:p w14:paraId="525CAB0C">
            <w:pPr>
              <w:spacing w:line="440" w:lineRule="exact"/>
              <w:jc w:val="center"/>
              <w:rPr>
                <w:b/>
              </w:rPr>
            </w:pPr>
            <w:r>
              <w:rPr>
                <w:rFonts w:hint="eastAsia"/>
                <w:b/>
              </w:rPr>
              <w:t>项目名称</w:t>
            </w:r>
          </w:p>
        </w:tc>
        <w:tc>
          <w:tcPr>
            <w:tcW w:w="1904" w:type="pct"/>
            <w:tcBorders>
              <w:top w:val="single" w:color="auto" w:sz="4" w:space="0"/>
              <w:left w:val="single" w:color="auto" w:sz="4" w:space="0"/>
              <w:bottom w:val="single" w:color="auto" w:sz="4" w:space="0"/>
              <w:right w:val="single" w:color="auto" w:sz="4" w:space="0"/>
            </w:tcBorders>
            <w:vAlign w:val="center"/>
          </w:tcPr>
          <w:p w14:paraId="520591CB">
            <w:pPr>
              <w:spacing w:line="440" w:lineRule="exact"/>
              <w:jc w:val="center"/>
              <w:rPr>
                <w:b/>
              </w:rPr>
            </w:pPr>
            <w:r>
              <w:rPr>
                <w:rFonts w:hint="eastAsia"/>
                <w:b/>
              </w:rPr>
              <w:t>最高限价（元）</w:t>
            </w:r>
          </w:p>
        </w:tc>
        <w:tc>
          <w:tcPr>
            <w:tcW w:w="1904" w:type="pct"/>
            <w:tcBorders>
              <w:top w:val="single" w:color="auto" w:sz="4" w:space="0"/>
              <w:left w:val="single" w:color="auto" w:sz="4" w:space="0"/>
              <w:bottom w:val="single" w:color="auto" w:sz="4" w:space="0"/>
              <w:right w:val="single" w:color="auto" w:sz="4" w:space="0"/>
            </w:tcBorders>
            <w:vAlign w:val="center"/>
          </w:tcPr>
          <w:p w14:paraId="24651F5F">
            <w:pPr>
              <w:spacing w:line="440" w:lineRule="exact"/>
              <w:jc w:val="center"/>
              <w:rPr>
                <w:b/>
              </w:rPr>
            </w:pPr>
            <w:r>
              <w:rPr>
                <w:rFonts w:hint="eastAsia"/>
                <w:b/>
              </w:rPr>
              <w:t>投标报价（元）</w:t>
            </w:r>
          </w:p>
        </w:tc>
      </w:tr>
      <w:tr w14:paraId="06B1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6BC9F28F">
            <w:pPr>
              <w:spacing w:line="440" w:lineRule="exact"/>
              <w:jc w:val="center"/>
            </w:pPr>
            <w:r>
              <w:rPr>
                <w:rFonts w:hint="eastAsia"/>
              </w:rPr>
              <w:t>1</w:t>
            </w:r>
          </w:p>
        </w:tc>
        <w:tc>
          <w:tcPr>
            <w:tcW w:w="848" w:type="pct"/>
            <w:tcBorders>
              <w:top w:val="single" w:color="auto" w:sz="4" w:space="0"/>
              <w:left w:val="single" w:color="auto" w:sz="4" w:space="0"/>
              <w:bottom w:val="single" w:color="auto" w:sz="4" w:space="0"/>
              <w:right w:val="single" w:color="auto" w:sz="4" w:space="0"/>
            </w:tcBorders>
            <w:vAlign w:val="center"/>
          </w:tcPr>
          <w:p w14:paraId="61E284FE">
            <w:pPr>
              <w:spacing w:line="440" w:lineRule="exact"/>
              <w:jc w:val="center"/>
            </w:pPr>
          </w:p>
        </w:tc>
        <w:tc>
          <w:tcPr>
            <w:tcW w:w="1904" w:type="pct"/>
            <w:tcBorders>
              <w:top w:val="single" w:color="auto" w:sz="4" w:space="0"/>
              <w:left w:val="single" w:color="auto" w:sz="4" w:space="0"/>
              <w:bottom w:val="single" w:color="auto" w:sz="4" w:space="0"/>
              <w:right w:val="single" w:color="auto" w:sz="4" w:space="0"/>
            </w:tcBorders>
            <w:vAlign w:val="center"/>
          </w:tcPr>
          <w:p w14:paraId="48D3634D">
            <w:pPr>
              <w:pStyle w:val="82"/>
              <w:spacing w:before="0" w:beforeAutospacing="0" w:after="0" w:afterAutospacing="0" w:line="440" w:lineRule="exact"/>
              <w:jc w:val="center"/>
              <w:rPr>
                <w:rFonts w:ascii="仿宋" w:hAnsi="仿宋" w:cs="仿宋"/>
                <w:u w:val="single"/>
              </w:rPr>
            </w:pPr>
            <w:r>
              <w:rPr>
                <w:rFonts w:hint="eastAsia" w:ascii="仿宋" w:hAnsi="仿宋" w:cs="仿宋"/>
                <w:kern w:val="3"/>
                <w:highlight w:val="none"/>
                <w:lang w:val="en-US" w:eastAsia="zh-CN"/>
              </w:rPr>
              <w:t>19000000</w:t>
            </w:r>
            <w:r>
              <w:rPr>
                <w:rFonts w:hint="eastAsia" w:ascii="仿宋" w:hAnsi="仿宋" w:cs="仿宋"/>
                <w:kern w:val="3"/>
                <w:highlight w:val="none"/>
              </w:rPr>
              <w:t>元</w:t>
            </w:r>
          </w:p>
        </w:tc>
        <w:tc>
          <w:tcPr>
            <w:tcW w:w="1904" w:type="pct"/>
            <w:tcBorders>
              <w:top w:val="single" w:color="auto" w:sz="4" w:space="0"/>
              <w:left w:val="single" w:color="auto" w:sz="4" w:space="0"/>
              <w:bottom w:val="single" w:color="auto" w:sz="4" w:space="0"/>
              <w:right w:val="single" w:color="auto" w:sz="4" w:space="0"/>
            </w:tcBorders>
            <w:vAlign w:val="center"/>
          </w:tcPr>
          <w:p w14:paraId="6F7B0741">
            <w:pPr>
              <w:pStyle w:val="82"/>
              <w:spacing w:before="0" w:beforeAutospacing="0" w:after="0" w:afterAutospacing="0" w:line="440" w:lineRule="exact"/>
              <w:jc w:val="center"/>
              <w:rPr>
                <w:rFonts w:ascii="仿宋" w:hAnsi="仿宋"/>
              </w:rPr>
            </w:pPr>
            <w:r>
              <w:rPr>
                <w:rFonts w:hint="eastAsia" w:ascii="仿宋" w:hAnsi="仿宋" w:cs="仿宋"/>
              </w:rPr>
              <w:t>大写：</w:t>
            </w:r>
            <w:r>
              <w:rPr>
                <w:rFonts w:hint="eastAsia" w:ascii="仿宋" w:hAnsi="仿宋" w:cs="仿宋"/>
                <w:u w:val="single"/>
              </w:rPr>
              <w:t xml:space="preserve">        </w:t>
            </w:r>
            <w:r>
              <w:rPr>
                <w:rFonts w:hint="eastAsia" w:ascii="仿宋" w:hAnsi="仿宋"/>
              </w:rPr>
              <w:t>元</w:t>
            </w:r>
          </w:p>
          <w:p w14:paraId="6636FF8A">
            <w:pPr>
              <w:pStyle w:val="82"/>
              <w:spacing w:before="0" w:beforeAutospacing="0" w:after="0" w:afterAutospacing="0" w:line="440" w:lineRule="exact"/>
              <w:jc w:val="center"/>
              <w:rPr>
                <w:rFonts w:ascii="仿宋" w:hAnsi="仿宋" w:cs="仿宋"/>
              </w:rPr>
            </w:pPr>
            <w:r>
              <w:rPr>
                <w:rFonts w:hint="eastAsia" w:ascii="仿宋" w:hAnsi="仿宋"/>
              </w:rPr>
              <w:t>小写：</w:t>
            </w:r>
            <w:r>
              <w:rPr>
                <w:rFonts w:hint="eastAsia" w:ascii="仿宋" w:hAnsi="仿宋" w:cs="仿宋"/>
                <w:u w:val="single"/>
              </w:rPr>
              <w:t xml:space="preserve">        </w:t>
            </w:r>
            <w:r>
              <w:rPr>
                <w:rFonts w:hint="eastAsia" w:ascii="仿宋" w:hAnsi="仿宋"/>
              </w:rPr>
              <w:t>元</w:t>
            </w:r>
          </w:p>
        </w:tc>
      </w:tr>
    </w:tbl>
    <w:p w14:paraId="694B0BDD">
      <w:pPr>
        <w:spacing w:line="480" w:lineRule="auto"/>
        <w:rPr>
          <w:lang w:val="zh-CN"/>
        </w:rPr>
      </w:pPr>
      <w:r>
        <w:rPr>
          <w:rFonts w:hint="eastAsia"/>
          <w:lang w:val="zh-CN"/>
        </w:rPr>
        <w:t>注：</w:t>
      </w:r>
      <w:r>
        <w:rPr>
          <w:lang w:val="zh-CN"/>
        </w:rPr>
        <w:t xml:space="preserve"> </w:t>
      </w:r>
    </w:p>
    <w:p w14:paraId="0AE79814">
      <w:pPr>
        <w:spacing w:line="480" w:lineRule="auto"/>
        <w:ind w:firstLine="480" w:firstLineChars="200"/>
      </w:pPr>
      <w:r>
        <w:rPr>
          <w:rFonts w:hint="eastAsia"/>
        </w:rPr>
        <w:t>1、</w:t>
      </w:r>
      <w:r>
        <w:rPr>
          <w:rFonts w:hint="eastAsia"/>
          <w:kern w:val="0"/>
          <w:lang w:val="zh-CN"/>
        </w:rPr>
        <w:t>投标人需按本表格式填写，不得自行更改，</w:t>
      </w:r>
      <w:r>
        <w:rPr>
          <w:rFonts w:hint="eastAsia"/>
        </w:rPr>
        <w:t>投标报价以人民币为结算币种。</w:t>
      </w:r>
    </w:p>
    <w:p w14:paraId="4041B2E2">
      <w:pPr>
        <w:spacing w:line="480" w:lineRule="auto"/>
        <w:ind w:firstLine="482" w:firstLineChars="200"/>
        <w:rPr>
          <w:rFonts w:cs="宋体"/>
          <w:b/>
          <w:bCs/>
        </w:rPr>
      </w:pPr>
      <w:r>
        <w:rPr>
          <w:rFonts w:hint="eastAsia" w:cs="宋体"/>
          <w:b/>
          <w:bCs/>
        </w:rPr>
        <w:t>2、本项报价包含但不限于人工费、材料费、租赁费、运输费、安装费、调试费、管理费、利润、税金等完成本项目所需的一切费用，请投标人综合考虑。</w:t>
      </w:r>
    </w:p>
    <w:p w14:paraId="7ED02B2B">
      <w:pPr>
        <w:keepNext w:val="0"/>
        <w:keepLines w:val="0"/>
        <w:pageBreakBefore w:val="0"/>
        <w:widowControl w:val="0"/>
        <w:tabs>
          <w:tab w:val="left" w:pos="0"/>
        </w:tabs>
        <w:kinsoku/>
        <w:wordWrap/>
        <w:overflowPunct/>
        <w:topLinePunct w:val="0"/>
        <w:autoSpaceDE/>
        <w:autoSpaceDN/>
        <w:bidi w:val="0"/>
        <w:adjustRightInd/>
        <w:spacing w:line="360" w:lineRule="auto"/>
        <w:ind w:firstLine="482" w:firstLineChars="200"/>
        <w:textAlignment w:val="auto"/>
        <w:rPr>
          <w:b/>
          <w:bCs/>
        </w:rPr>
      </w:pPr>
      <w:r>
        <w:rPr>
          <w:rFonts w:hint="eastAsia"/>
          <w:b/>
          <w:bCs/>
          <w:lang w:val="zh-CN"/>
        </w:rPr>
        <w:t>▲</w:t>
      </w:r>
      <w:r>
        <w:rPr>
          <w:rFonts w:hint="eastAsia"/>
          <w:b/>
          <w:bCs/>
          <w:lang w:val="en-US" w:eastAsia="zh-CN"/>
        </w:rPr>
        <w:t>3</w:t>
      </w:r>
      <w:r>
        <w:rPr>
          <w:rFonts w:hint="eastAsia"/>
          <w:b/>
          <w:bCs/>
        </w:rPr>
        <w:t>.投标人报价低于项目预算50%的，应当在报价文件中详细阐述不影响产品质量或者诚信履约的具体原因，投标人未提供相应材料的，评标委员会应当将其作为无效投标处理。</w:t>
      </w:r>
    </w:p>
    <w:p w14:paraId="51136F1A">
      <w:pPr>
        <w:pStyle w:val="841"/>
        <w:snapToGrid w:val="0"/>
        <w:spacing w:line="480" w:lineRule="auto"/>
        <w:jc w:val="center"/>
        <w:rPr>
          <w:rFonts w:ascii="仿宋" w:hAnsi="仿宋"/>
          <w:szCs w:val="24"/>
        </w:rPr>
      </w:pPr>
      <w:r>
        <w:rPr>
          <w:rFonts w:hint="eastAsia" w:ascii="仿宋" w:hAnsi="仿宋"/>
          <w:szCs w:val="24"/>
          <w:lang w:val="en-US" w:eastAsia="zh-CN"/>
        </w:rPr>
        <w:t xml:space="preserve">           </w:t>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79640CB">
      <w:pPr>
        <w:snapToGrid w:val="0"/>
        <w:spacing w:line="480" w:lineRule="auto"/>
        <w:ind w:right="600"/>
        <w:jc w:val="right"/>
      </w:pPr>
      <w:r>
        <w:rPr>
          <w:rFonts w:hint="eastAsia"/>
        </w:rPr>
        <w:t>法定代表人或授权代表（签名或盖章）：</w:t>
      </w:r>
      <w:r>
        <w:rPr>
          <w:rFonts w:hint="eastAsia"/>
          <w:u w:val="single"/>
        </w:rPr>
        <w:t xml:space="preserve">                </w:t>
      </w:r>
    </w:p>
    <w:p w14:paraId="4A8EE370">
      <w:pPr>
        <w:snapToGrid w:val="0"/>
        <w:spacing w:line="480" w:lineRule="auto"/>
        <w:jc w:val="right"/>
        <w:rPr>
          <w:u w:val="single"/>
        </w:rPr>
      </w:pPr>
      <w:r>
        <w:rPr>
          <w:rFonts w:hint="eastAsia"/>
        </w:rPr>
        <w:t>日期：</w:t>
      </w:r>
      <w:r>
        <w:rPr>
          <w:rFonts w:hint="eastAsia"/>
          <w:u w:val="single"/>
        </w:rPr>
        <w:t xml:space="preserve">       年     月     日</w:t>
      </w:r>
    </w:p>
    <w:p w14:paraId="2A40E329">
      <w:pPr>
        <w:adjustRightInd w:val="0"/>
        <w:snapToGrid w:val="0"/>
        <w:spacing w:line="440" w:lineRule="exact"/>
        <w:rPr>
          <w:rFonts w:hint="eastAsia" w:ascii="仿宋" w:hAnsi="仿宋" w:eastAsia="仿宋" w:cs="仿宋"/>
          <w:b/>
          <w:color w:val="auto"/>
          <w:sz w:val="32"/>
          <w:szCs w:val="32"/>
          <w:highlight w:val="none"/>
        </w:rPr>
      </w:pPr>
    </w:p>
    <w:p w14:paraId="5283D1F2">
      <w:pPr>
        <w:adjustRightInd w:val="0"/>
        <w:snapToGrid w:val="0"/>
        <w:spacing w:line="440" w:lineRule="exact"/>
        <w:rPr>
          <w:rFonts w:hint="eastAsia" w:ascii="仿宋" w:hAnsi="仿宋" w:eastAsia="仿宋" w:cs="仿宋"/>
          <w:b/>
          <w:color w:val="auto"/>
          <w:sz w:val="32"/>
          <w:szCs w:val="32"/>
          <w:highlight w:val="none"/>
        </w:rPr>
      </w:pPr>
    </w:p>
    <w:p w14:paraId="6A79E6A2">
      <w:pPr>
        <w:adjustRightInd w:val="0"/>
        <w:snapToGrid w:val="0"/>
        <w:spacing w:line="440" w:lineRule="exact"/>
        <w:rPr>
          <w:rFonts w:hint="eastAsia" w:ascii="仿宋" w:hAnsi="仿宋" w:eastAsia="仿宋" w:cs="仿宋"/>
          <w:b/>
          <w:color w:val="auto"/>
          <w:sz w:val="32"/>
          <w:szCs w:val="32"/>
          <w:highlight w:val="none"/>
        </w:rPr>
      </w:pPr>
    </w:p>
    <w:p w14:paraId="39D8744C">
      <w:pPr>
        <w:adjustRightInd w:val="0"/>
        <w:snapToGrid w:val="0"/>
        <w:spacing w:line="440" w:lineRule="exact"/>
        <w:rPr>
          <w:rFonts w:hint="eastAsia" w:ascii="仿宋" w:hAnsi="仿宋" w:eastAsia="仿宋" w:cs="仿宋"/>
          <w:b/>
          <w:color w:val="auto"/>
          <w:sz w:val="32"/>
          <w:szCs w:val="32"/>
          <w:highlight w:val="none"/>
        </w:rPr>
      </w:pPr>
    </w:p>
    <w:p w14:paraId="29DD08D7">
      <w:pPr>
        <w:adjustRightInd w:val="0"/>
        <w:snapToGrid w:val="0"/>
        <w:spacing w:line="440" w:lineRule="exact"/>
        <w:rPr>
          <w:rFonts w:hint="eastAsia" w:ascii="仿宋" w:hAnsi="仿宋" w:eastAsia="仿宋" w:cs="仿宋"/>
          <w:b/>
          <w:color w:val="auto"/>
          <w:sz w:val="32"/>
          <w:szCs w:val="32"/>
          <w:highlight w:val="none"/>
        </w:rPr>
      </w:pPr>
    </w:p>
    <w:p w14:paraId="1A579EA6">
      <w:pPr>
        <w:adjustRightInd w:val="0"/>
        <w:snapToGrid w:val="0"/>
        <w:spacing w:line="440" w:lineRule="exact"/>
        <w:rPr>
          <w:rFonts w:hint="eastAsia" w:ascii="仿宋" w:hAnsi="仿宋" w:eastAsia="仿宋" w:cs="仿宋"/>
          <w:b/>
          <w:color w:val="auto"/>
          <w:sz w:val="32"/>
          <w:szCs w:val="32"/>
          <w:highlight w:val="none"/>
        </w:rPr>
      </w:pPr>
    </w:p>
    <w:p w14:paraId="764A9B9C">
      <w:pPr>
        <w:jc w:val="center"/>
        <w:rPr>
          <w:rFonts w:hint="eastAsia"/>
          <w:b/>
          <w:sz w:val="32"/>
        </w:rPr>
      </w:pPr>
    </w:p>
    <w:p w14:paraId="7E14DA75">
      <w:pPr>
        <w:jc w:val="center"/>
        <w:rPr>
          <w:rFonts w:hint="eastAsia"/>
          <w:b/>
          <w:sz w:val="32"/>
        </w:rPr>
      </w:pPr>
    </w:p>
    <w:p w14:paraId="799C5AD7">
      <w:pPr>
        <w:jc w:val="center"/>
        <w:rPr>
          <w:rFonts w:hint="eastAsia"/>
          <w:b/>
          <w:sz w:val="32"/>
        </w:rPr>
      </w:pPr>
    </w:p>
    <w:p w14:paraId="0D235DF3">
      <w:pPr>
        <w:jc w:val="center"/>
        <w:rPr>
          <w:b/>
          <w:sz w:val="32"/>
          <w:szCs w:val="32"/>
        </w:rPr>
      </w:pPr>
      <w:r>
        <w:rPr>
          <w:rFonts w:hint="eastAsia"/>
          <w:b/>
          <w:sz w:val="32"/>
        </w:rPr>
        <w:t>投标报价明细表（格式</w:t>
      </w:r>
      <w:r>
        <w:rPr>
          <w:rFonts w:hint="eastAsia"/>
          <w:b/>
          <w:sz w:val="32"/>
          <w:lang w:val="en-US" w:eastAsia="zh-CN"/>
        </w:rPr>
        <w:t>按采购清单填写</w:t>
      </w:r>
      <w:r>
        <w:rPr>
          <w:rFonts w:hint="eastAsia"/>
          <w:b/>
          <w:sz w:val="32"/>
        </w:rPr>
        <w:t>）</w:t>
      </w:r>
    </w:p>
    <w:p w14:paraId="76454924">
      <w:pPr>
        <w:pStyle w:val="48"/>
        <w:spacing w:beforeLines="0" w:afterLines="0" w:line="440" w:lineRule="exact"/>
        <w:ind w:firstLine="456" w:firstLineChars="200"/>
        <w:jc w:val="left"/>
        <w:rPr>
          <w:rFonts w:ascii="仿宋" w:hAnsi="仿宋"/>
          <w:spacing w:val="-6"/>
        </w:rPr>
      </w:pPr>
      <w:r>
        <w:rPr>
          <w:rFonts w:hint="eastAsia" w:ascii="仿宋" w:hAnsi="仿宋"/>
          <w:spacing w:val="-6"/>
        </w:rPr>
        <w:t>项目名称：</w:t>
      </w:r>
      <w:r>
        <w:rPr>
          <w:rFonts w:hint="eastAsia"/>
          <w:u w:val="single"/>
        </w:rPr>
        <w:t xml:space="preserve">                          </w:t>
      </w:r>
    </w:p>
    <w:p w14:paraId="5DEB0131">
      <w:pPr>
        <w:pStyle w:val="48"/>
        <w:spacing w:beforeLines="0" w:afterLines="0" w:line="440" w:lineRule="exact"/>
        <w:ind w:firstLine="456" w:firstLineChars="200"/>
        <w:jc w:val="left"/>
        <w:rPr>
          <w:rFonts w:ascii="仿宋" w:hAnsi="仿宋"/>
          <w:spacing w:val="-6"/>
        </w:rPr>
      </w:pPr>
      <w:r>
        <w:rPr>
          <w:rFonts w:hint="eastAsia" w:ascii="仿宋" w:hAnsi="仿宋"/>
          <w:spacing w:val="-6"/>
        </w:rPr>
        <w:t>项目编号：</w:t>
      </w:r>
      <w:r>
        <w:rPr>
          <w:rFonts w:hint="eastAsia"/>
          <w:u w:val="single"/>
        </w:rPr>
        <w:t xml:space="preserve">                          </w:t>
      </w:r>
    </w:p>
    <w:p w14:paraId="1E8D7209">
      <w:pPr>
        <w:pStyle w:val="48"/>
        <w:spacing w:before="120" w:after="120" w:line="360" w:lineRule="auto"/>
        <w:ind w:left="2400" w:right="342"/>
        <w:jc w:val="right"/>
        <w:rPr>
          <w:rFonts w:ascii="仿宋" w:hAnsi="仿宋"/>
          <w:spacing w:val="-6"/>
        </w:rPr>
      </w:pPr>
      <w:r>
        <w:rPr>
          <w:rFonts w:hint="eastAsia" w:ascii="仿宋" w:hAnsi="仿宋"/>
          <w:spacing w:val="-6"/>
        </w:rPr>
        <w:t>金额单位：人民币元</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000"/>
        <w:gridCol w:w="970"/>
        <w:gridCol w:w="1260"/>
        <w:gridCol w:w="1392"/>
        <w:gridCol w:w="1362"/>
      </w:tblGrid>
      <w:tr w14:paraId="336E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FC52503">
            <w:pPr>
              <w:spacing w:before="156" w:line="440" w:lineRule="exact"/>
              <w:jc w:val="center"/>
              <w:rPr>
                <w:b/>
              </w:rPr>
            </w:pPr>
            <w:r>
              <w:rPr>
                <w:rFonts w:hint="eastAsia"/>
                <w:b/>
              </w:rPr>
              <w:t>序号</w:t>
            </w:r>
          </w:p>
        </w:tc>
        <w:tc>
          <w:tcPr>
            <w:tcW w:w="1344" w:type="dxa"/>
            <w:tcBorders>
              <w:top w:val="single" w:color="auto" w:sz="4" w:space="0"/>
              <w:left w:val="single" w:color="auto" w:sz="4" w:space="0"/>
              <w:bottom w:val="single" w:color="auto" w:sz="4" w:space="0"/>
              <w:right w:val="single" w:color="auto" w:sz="4" w:space="0"/>
            </w:tcBorders>
            <w:vAlign w:val="center"/>
          </w:tcPr>
          <w:p w14:paraId="3C210B09">
            <w:pPr>
              <w:spacing w:before="156" w:line="440" w:lineRule="exact"/>
              <w:jc w:val="center"/>
              <w:rPr>
                <w:b/>
              </w:rPr>
            </w:pPr>
            <w:r>
              <w:rPr>
                <w:rFonts w:hint="eastAsia"/>
                <w:b/>
              </w:rPr>
              <w:t>项目编码</w:t>
            </w:r>
          </w:p>
        </w:tc>
        <w:tc>
          <w:tcPr>
            <w:tcW w:w="1200" w:type="dxa"/>
            <w:tcBorders>
              <w:top w:val="single" w:color="auto" w:sz="4" w:space="0"/>
              <w:left w:val="single" w:color="auto" w:sz="4" w:space="0"/>
              <w:bottom w:val="single" w:color="auto" w:sz="4" w:space="0"/>
              <w:right w:val="single" w:color="auto" w:sz="4" w:space="0"/>
            </w:tcBorders>
            <w:vAlign w:val="center"/>
          </w:tcPr>
          <w:p w14:paraId="5F3CD58F">
            <w:pPr>
              <w:spacing w:before="156" w:line="440" w:lineRule="exact"/>
              <w:jc w:val="center"/>
              <w:rPr>
                <w:b/>
              </w:rPr>
            </w:pPr>
            <w:r>
              <w:rPr>
                <w:rFonts w:hint="eastAsia"/>
                <w:b/>
              </w:rPr>
              <w:t>项目名称</w:t>
            </w:r>
          </w:p>
        </w:tc>
        <w:tc>
          <w:tcPr>
            <w:tcW w:w="2000" w:type="dxa"/>
            <w:tcBorders>
              <w:top w:val="single" w:color="auto" w:sz="4" w:space="0"/>
              <w:left w:val="single" w:color="auto" w:sz="4" w:space="0"/>
              <w:bottom w:val="single" w:color="auto" w:sz="4" w:space="0"/>
              <w:right w:val="single" w:color="auto" w:sz="4" w:space="0"/>
            </w:tcBorders>
            <w:vAlign w:val="center"/>
          </w:tcPr>
          <w:p w14:paraId="2935A560">
            <w:pPr>
              <w:spacing w:before="156" w:line="440" w:lineRule="exact"/>
              <w:jc w:val="center"/>
              <w:rPr>
                <w:b/>
              </w:rPr>
            </w:pPr>
            <w:r>
              <w:rPr>
                <w:rFonts w:hint="eastAsia"/>
                <w:b/>
              </w:rPr>
              <w:t>项目特征</w:t>
            </w:r>
          </w:p>
        </w:tc>
        <w:tc>
          <w:tcPr>
            <w:tcW w:w="970" w:type="dxa"/>
            <w:tcBorders>
              <w:top w:val="single" w:color="auto" w:sz="4" w:space="0"/>
              <w:left w:val="single" w:color="auto" w:sz="4" w:space="0"/>
              <w:bottom w:val="single" w:color="auto" w:sz="4" w:space="0"/>
              <w:right w:val="single" w:color="auto" w:sz="4" w:space="0"/>
            </w:tcBorders>
            <w:vAlign w:val="center"/>
          </w:tcPr>
          <w:p w14:paraId="1E77575C">
            <w:pPr>
              <w:spacing w:before="156" w:line="440" w:lineRule="exact"/>
              <w:jc w:val="center"/>
              <w:rPr>
                <w:rFonts w:hint="eastAsia"/>
                <w:b/>
              </w:rPr>
            </w:pPr>
            <w:r>
              <w:rPr>
                <w:rFonts w:hint="eastAsia"/>
                <w:b/>
                <w:lang w:val="en-US" w:eastAsia="zh-CN"/>
              </w:rPr>
              <w:t>计量</w:t>
            </w:r>
            <w:r>
              <w:rPr>
                <w:rFonts w:hint="eastAsia"/>
                <w:b/>
                <w:lang w:val="en-US" w:eastAsia="zh-CN"/>
              </w:rPr>
              <w:br w:type="textWrapping"/>
            </w:r>
            <w:r>
              <w:rPr>
                <w:rFonts w:hint="eastAsia"/>
                <w:b/>
                <w:lang w:val="en-US" w:eastAsia="zh-CN"/>
              </w:rPr>
              <w:t>单位</w:t>
            </w:r>
          </w:p>
        </w:tc>
        <w:tc>
          <w:tcPr>
            <w:tcW w:w="1260" w:type="dxa"/>
            <w:tcBorders>
              <w:top w:val="single" w:color="auto" w:sz="4" w:space="0"/>
              <w:left w:val="single" w:color="auto" w:sz="4" w:space="0"/>
              <w:bottom w:val="single" w:color="auto" w:sz="4" w:space="0"/>
              <w:right w:val="single" w:color="auto" w:sz="4" w:space="0"/>
            </w:tcBorders>
            <w:vAlign w:val="center"/>
          </w:tcPr>
          <w:p w14:paraId="6193BEF6">
            <w:pPr>
              <w:spacing w:before="156" w:line="440" w:lineRule="exact"/>
              <w:jc w:val="center"/>
              <w:rPr>
                <w:rFonts w:hint="eastAsia"/>
                <w:b/>
              </w:rPr>
            </w:pPr>
            <w:r>
              <w:rPr>
                <w:rFonts w:hint="eastAsia"/>
                <w:b/>
                <w:lang w:val="en-US" w:eastAsia="zh-CN"/>
              </w:rPr>
              <w:t>工程量</w:t>
            </w:r>
          </w:p>
        </w:tc>
        <w:tc>
          <w:tcPr>
            <w:tcW w:w="1392" w:type="dxa"/>
            <w:tcBorders>
              <w:top w:val="single" w:color="auto" w:sz="4" w:space="0"/>
              <w:left w:val="single" w:color="auto" w:sz="4" w:space="0"/>
              <w:bottom w:val="single" w:color="auto" w:sz="4" w:space="0"/>
              <w:right w:val="single" w:color="auto" w:sz="4" w:space="0"/>
            </w:tcBorders>
            <w:vAlign w:val="center"/>
          </w:tcPr>
          <w:p w14:paraId="16928759">
            <w:pPr>
              <w:spacing w:before="156" w:line="440" w:lineRule="exact"/>
              <w:jc w:val="center"/>
              <w:rPr>
                <w:rFonts w:hint="eastAsia"/>
                <w:b/>
              </w:rPr>
            </w:pPr>
            <w:r>
              <w:rPr>
                <w:rFonts w:hint="eastAsia"/>
                <w:b/>
                <w:lang w:val="en-US" w:eastAsia="zh-CN"/>
              </w:rPr>
              <w:t>综合单价</w:t>
            </w:r>
            <w:r>
              <w:rPr>
                <w:rFonts w:hint="eastAsia"/>
                <w:b/>
                <w:lang w:val="en-US" w:eastAsia="zh-CN"/>
              </w:rPr>
              <w:br w:type="textWrapping"/>
            </w:r>
            <w:r>
              <w:rPr>
                <w:rFonts w:hint="eastAsia"/>
                <w:b/>
                <w:lang w:val="en-US" w:eastAsia="zh-CN"/>
              </w:rPr>
              <w:t>(元)</w:t>
            </w:r>
          </w:p>
        </w:tc>
        <w:tc>
          <w:tcPr>
            <w:tcW w:w="1362" w:type="dxa"/>
            <w:tcBorders>
              <w:top w:val="single" w:color="auto" w:sz="4" w:space="0"/>
              <w:left w:val="single" w:color="auto" w:sz="4" w:space="0"/>
              <w:bottom w:val="single" w:color="auto" w:sz="4" w:space="0"/>
              <w:right w:val="single" w:color="auto" w:sz="4" w:space="0"/>
            </w:tcBorders>
            <w:vAlign w:val="center"/>
          </w:tcPr>
          <w:p w14:paraId="6CC0D61E">
            <w:pPr>
              <w:spacing w:before="156" w:line="440" w:lineRule="exact"/>
              <w:jc w:val="center"/>
              <w:rPr>
                <w:rFonts w:hint="eastAsia"/>
                <w:b/>
              </w:rPr>
            </w:pPr>
            <w:r>
              <w:rPr>
                <w:rFonts w:hint="eastAsia"/>
                <w:b/>
                <w:lang w:val="en-US" w:eastAsia="zh-CN"/>
              </w:rPr>
              <w:t>合价</w:t>
            </w:r>
            <w:r>
              <w:rPr>
                <w:rFonts w:hint="eastAsia"/>
                <w:b/>
                <w:lang w:val="en-US" w:eastAsia="zh-CN"/>
              </w:rPr>
              <w:br w:type="textWrapping"/>
            </w:r>
            <w:r>
              <w:rPr>
                <w:rFonts w:hint="eastAsia"/>
                <w:b/>
                <w:lang w:val="en-US" w:eastAsia="zh-CN"/>
              </w:rPr>
              <w:t>(元)</w:t>
            </w:r>
          </w:p>
        </w:tc>
      </w:tr>
      <w:tr w14:paraId="03F3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323EE1C">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72E74D00">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25582B0C">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52A3A4D4">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006A3533">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634AAA0F">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1DFD9678">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0BC6D74E">
            <w:pPr>
              <w:pStyle w:val="82"/>
              <w:spacing w:line="440" w:lineRule="exact"/>
              <w:jc w:val="center"/>
              <w:rPr>
                <w:rFonts w:ascii="仿宋" w:hAnsi="仿宋" w:cs="仿宋"/>
              </w:rPr>
            </w:pPr>
          </w:p>
        </w:tc>
      </w:tr>
      <w:tr w14:paraId="1286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A2CE00D">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0FBA6361">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7E02B9E0">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260803F8">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5F15557C">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44297F0A">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5B89DFCD">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59B1E6FE">
            <w:pPr>
              <w:pStyle w:val="82"/>
              <w:spacing w:line="440" w:lineRule="exact"/>
              <w:jc w:val="center"/>
              <w:rPr>
                <w:rFonts w:ascii="仿宋" w:hAnsi="仿宋" w:cs="仿宋"/>
              </w:rPr>
            </w:pPr>
          </w:p>
        </w:tc>
      </w:tr>
      <w:tr w14:paraId="6269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4501BBF">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14:paraId="67E32597">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14:paraId="6DD45EDD">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14:paraId="15C2092E">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14:paraId="3866084A">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14:paraId="5B5AB6FA">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1755095B">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14:paraId="71B15912">
            <w:pPr>
              <w:pStyle w:val="82"/>
              <w:spacing w:line="440" w:lineRule="exact"/>
              <w:jc w:val="center"/>
              <w:rPr>
                <w:rFonts w:ascii="仿宋" w:hAnsi="仿宋" w:cs="仿宋"/>
              </w:rPr>
            </w:pPr>
          </w:p>
        </w:tc>
      </w:tr>
      <w:tr w14:paraId="1420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37B3934">
            <w:pPr>
              <w:spacing w:before="156" w:line="440" w:lineRule="exact"/>
            </w:pPr>
            <w:r>
              <w:rPr>
                <w:rFonts w:hint="eastAsia"/>
                <w:lang w:val="en-US" w:eastAsia="zh-CN"/>
              </w:rPr>
              <w:t>总</w:t>
            </w:r>
            <w:r>
              <w:rPr>
                <w:rFonts w:hint="eastAsia"/>
              </w:rPr>
              <w:t>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14:paraId="2FC42181">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14:paraId="1DD3D37C">
            <w:pPr>
              <w:spacing w:before="156" w:line="440" w:lineRule="exact"/>
            </w:pPr>
            <w:r>
              <w:rPr>
                <w:rFonts w:hint="eastAsia"/>
              </w:rPr>
              <w:t>￥：</w:t>
            </w:r>
            <w:r>
              <w:rPr>
                <w:rFonts w:hint="eastAsia"/>
                <w:u w:val="single"/>
              </w:rPr>
              <w:t xml:space="preserve">                                      </w:t>
            </w:r>
            <w:r>
              <w:rPr>
                <w:rFonts w:hint="eastAsia"/>
              </w:rPr>
              <w:t>元</w:t>
            </w:r>
          </w:p>
          <w:p w14:paraId="5D91F535">
            <w:pPr>
              <w:spacing w:before="156" w:line="440" w:lineRule="exact"/>
            </w:pPr>
            <w:r>
              <w:rPr>
                <w:rFonts w:hint="eastAsia"/>
              </w:rPr>
              <w:t>大写：</w:t>
            </w:r>
            <w:r>
              <w:rPr>
                <w:rFonts w:hint="eastAsia"/>
                <w:u w:val="single"/>
              </w:rPr>
              <w:t xml:space="preserve">                                    </w:t>
            </w:r>
            <w:r>
              <w:rPr>
                <w:rFonts w:hint="eastAsia"/>
              </w:rPr>
              <w:t>元</w:t>
            </w:r>
          </w:p>
        </w:tc>
      </w:tr>
    </w:tbl>
    <w:p w14:paraId="1B21C9C9">
      <w:pPr>
        <w:pStyle w:val="841"/>
        <w:snapToGrid w:val="0"/>
        <w:rPr>
          <w:rFonts w:hint="eastAsia" w:ascii="仿宋" w:hAnsi="仿宋" w:eastAsia="仿宋" w:cs="仿宋"/>
          <w:b/>
          <w:bCs/>
          <w:kern w:val="3"/>
          <w:sz w:val="24"/>
          <w:szCs w:val="24"/>
          <w:lang w:val="zh-CN" w:eastAsia="zh-CN" w:bidi="ar-SA"/>
        </w:rPr>
      </w:pPr>
      <w:r>
        <w:rPr>
          <w:rFonts w:hint="eastAsia" w:ascii="仿宋" w:hAnsi="仿宋" w:eastAsia="仿宋" w:cs="仿宋"/>
          <w:b/>
          <w:bCs/>
          <w:kern w:val="3"/>
          <w:sz w:val="24"/>
          <w:szCs w:val="24"/>
          <w:lang w:val="zh-CN" w:eastAsia="zh-CN" w:bidi="ar-SA"/>
        </w:rPr>
        <w:t>说明：</w:t>
      </w:r>
    </w:p>
    <w:p w14:paraId="02F1D3E6">
      <w:pPr>
        <w:pStyle w:val="841"/>
        <w:snapToGrid w:val="0"/>
        <w:ind w:firstLine="482" w:firstLineChars="200"/>
        <w:rPr>
          <w:rFonts w:hint="eastAsia" w:ascii="仿宋" w:hAnsi="仿宋" w:eastAsia="仿宋" w:cs="仿宋"/>
          <w:b/>
          <w:bCs/>
          <w:kern w:val="3"/>
          <w:sz w:val="24"/>
          <w:szCs w:val="24"/>
          <w:lang w:val="zh-CN" w:eastAsia="zh-CN" w:bidi="ar-SA"/>
        </w:rPr>
      </w:pPr>
      <w:r>
        <w:rPr>
          <w:rFonts w:hint="eastAsia" w:ascii="仿宋" w:hAnsi="仿宋" w:eastAsia="仿宋" w:cs="仿宋"/>
          <w:b/>
          <w:bCs/>
          <w:kern w:val="3"/>
          <w:sz w:val="24"/>
          <w:szCs w:val="24"/>
          <w:lang w:val="zh-CN" w:eastAsia="zh-CN" w:bidi="ar-SA"/>
        </w:rPr>
        <w:t>1、此表应按项目的明细情况列项填报,在填写时，如上表不适合本项目的实际情况，可在确保投标明细内容完整的情况下，根据上表格式自行划表填写。本次投标报价为人民币价。</w:t>
      </w:r>
    </w:p>
    <w:p w14:paraId="6C5C6B8F">
      <w:pPr>
        <w:pStyle w:val="841"/>
        <w:snapToGrid w:val="0"/>
        <w:ind w:firstLine="482" w:firstLineChars="200"/>
        <w:rPr>
          <w:rFonts w:hint="eastAsia" w:ascii="仿宋" w:hAnsi="仿宋" w:eastAsia="仿宋" w:cs="仿宋"/>
          <w:b/>
          <w:bCs/>
          <w:kern w:val="3"/>
          <w:sz w:val="24"/>
          <w:szCs w:val="24"/>
          <w:lang w:val="zh-CN" w:eastAsia="zh-CN" w:bidi="ar-SA"/>
        </w:rPr>
      </w:pPr>
      <w:r>
        <w:rPr>
          <w:rFonts w:hint="eastAsia" w:ascii="仿宋" w:hAnsi="仿宋" w:eastAsia="仿宋" w:cs="仿宋"/>
          <w:b/>
          <w:bCs/>
          <w:kern w:val="3"/>
          <w:sz w:val="24"/>
          <w:szCs w:val="24"/>
          <w:lang w:val="en-US" w:eastAsia="zh-CN" w:bidi="ar-SA"/>
        </w:rPr>
        <w:t>2</w:t>
      </w:r>
      <w:r>
        <w:rPr>
          <w:rFonts w:hint="eastAsia" w:ascii="仿宋" w:hAnsi="仿宋" w:eastAsia="仿宋" w:cs="仿宋"/>
          <w:b/>
          <w:bCs/>
          <w:kern w:val="3"/>
          <w:sz w:val="24"/>
          <w:szCs w:val="24"/>
          <w:lang w:val="zh-CN" w:eastAsia="zh-CN" w:bidi="ar-SA"/>
        </w:rPr>
        <w:t>、不提供报价明细表将视为没有实质性响应采购文件。</w:t>
      </w:r>
    </w:p>
    <w:p w14:paraId="02CCB5EC">
      <w:pPr>
        <w:pStyle w:val="841"/>
        <w:ind w:firstLine="482" w:firstLineChars="200"/>
        <w:rPr>
          <w:rFonts w:hint="eastAsia" w:ascii="仿宋" w:hAnsi="仿宋" w:eastAsia="仿宋" w:cs="仿宋"/>
          <w:b/>
          <w:bCs/>
          <w:kern w:val="3"/>
          <w:sz w:val="24"/>
          <w:szCs w:val="24"/>
          <w:lang w:val="zh-CN" w:eastAsia="zh-CN" w:bidi="ar-SA"/>
        </w:rPr>
      </w:pPr>
      <w:r>
        <w:rPr>
          <w:rFonts w:hint="eastAsia" w:ascii="仿宋" w:hAnsi="仿宋" w:eastAsia="仿宋" w:cs="仿宋"/>
          <w:b/>
          <w:bCs/>
          <w:kern w:val="3"/>
          <w:sz w:val="24"/>
          <w:szCs w:val="24"/>
          <w:lang w:val="en-US" w:eastAsia="zh-CN" w:bidi="ar-SA"/>
        </w:rPr>
        <w:t>3</w:t>
      </w:r>
      <w:r>
        <w:rPr>
          <w:rFonts w:hint="eastAsia" w:ascii="仿宋" w:hAnsi="仿宋" w:eastAsia="仿宋" w:cs="仿宋"/>
          <w:b/>
          <w:bCs/>
          <w:kern w:val="3"/>
          <w:sz w:val="24"/>
          <w:szCs w:val="24"/>
          <w:lang w:val="zh-CN" w:eastAsia="zh-CN" w:bidi="ar-SA"/>
        </w:rPr>
        <w:t>.本项目报价包含但不限于人工费、材料费、租赁费、运输费、安装费、调试费、管理费、利润、税金等完成本项目所需的一切费用，请投标人综合考虑。</w:t>
      </w:r>
    </w:p>
    <w:p w14:paraId="1431640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b/>
          <w:kern w:val="0"/>
          <w:lang w:val="zh-CN"/>
        </w:rPr>
      </w:pPr>
      <w:r>
        <w:rPr>
          <w:rFonts w:hint="eastAsia"/>
          <w:b/>
          <w:bCs/>
          <w:lang w:val="en-US" w:eastAsia="zh-CN"/>
        </w:rPr>
        <w:t>4</w:t>
      </w:r>
      <w:r>
        <w:rPr>
          <w:rFonts w:hint="eastAsia"/>
          <w:b/>
          <w:bCs/>
        </w:rPr>
        <w:t>.</w:t>
      </w:r>
      <w:r>
        <w:rPr>
          <w:rFonts w:hint="eastAsia"/>
          <w:b/>
          <w:bCs/>
          <w:lang w:val="zh-CN"/>
        </w:rPr>
        <w:t>合同总价不为零，《报价</w:t>
      </w:r>
      <w:r>
        <w:rPr>
          <w:rFonts w:hint="eastAsia"/>
          <w:b/>
          <w:bCs/>
          <w:lang w:val="en-US" w:eastAsia="zh-CN"/>
        </w:rPr>
        <w:t>明细</w:t>
      </w:r>
      <w:r>
        <w:rPr>
          <w:rFonts w:hint="eastAsia"/>
          <w:b/>
          <w:bCs/>
          <w:lang w:val="zh-CN"/>
        </w:rPr>
        <w:t>表）》中部分产品、服务单价为零的，视作已包含在总价中。</w:t>
      </w:r>
      <w:r>
        <w:rPr>
          <w:rFonts w:hint="eastAsia" w:cs="宋体"/>
          <w:b/>
          <w:kern w:val="0"/>
          <w:lang w:val="zh-CN"/>
        </w:rPr>
        <w:t>采购人将以合同形式有偿取得货物或服务，不接受投标人给予的赠品、回扣或者与采购无关的其他商品、服务。</w:t>
      </w:r>
      <w:r>
        <w:rPr>
          <w:rFonts w:hint="eastAsia"/>
          <w:b/>
          <w:bCs/>
          <w:u w:val="single"/>
          <w:lang w:val="zh-CN"/>
        </w:rPr>
        <w:t>▲采购内容未包含在《开标一览表（</w:t>
      </w:r>
      <w:r>
        <w:rPr>
          <w:rFonts w:hint="eastAsia"/>
          <w:b/>
          <w:bCs/>
          <w:u w:val="single"/>
          <w:lang w:val="en-US" w:eastAsia="zh-CN"/>
        </w:rPr>
        <w:t>投标</w:t>
      </w:r>
      <w:r>
        <w:rPr>
          <w:rFonts w:hint="eastAsia"/>
          <w:b/>
          <w:bCs/>
          <w:u w:val="single"/>
          <w:lang w:val="zh-CN"/>
        </w:rPr>
        <w:t>报价</w:t>
      </w:r>
      <w:r>
        <w:rPr>
          <w:rFonts w:hint="eastAsia"/>
          <w:b/>
          <w:bCs/>
          <w:u w:val="single"/>
          <w:lang w:val="en-US" w:eastAsia="zh-CN"/>
        </w:rPr>
        <w:t>明细</w:t>
      </w:r>
      <w:r>
        <w:rPr>
          <w:rFonts w:hint="eastAsia"/>
          <w:b/>
          <w:bCs/>
          <w:u w:val="single"/>
          <w:lang w:val="zh-CN"/>
        </w:rPr>
        <w:t>表）》名称栏中，投标人不能作出合理解释的，视为投标文件含有采购人不能接受的附加条件的，投标无效。</w:t>
      </w:r>
    </w:p>
    <w:p w14:paraId="12098516">
      <w:pPr>
        <w:pStyle w:val="841"/>
        <w:snapToGrid w:val="0"/>
        <w:ind w:left="480" w:firstLine="480" w:firstLineChars="200"/>
        <w:jc w:val="right"/>
        <w:rPr>
          <w:rFonts w:ascii="仿宋" w:hAnsi="仿宋"/>
          <w:szCs w:val="24"/>
        </w:rPr>
      </w:pPr>
    </w:p>
    <w:p w14:paraId="6128AD75">
      <w:pPr>
        <w:pStyle w:val="841"/>
        <w:snapToGrid w:val="0"/>
        <w:ind w:left="480" w:firstLine="480" w:firstLineChars="200"/>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 xml:space="preserve">）：                      </w:t>
      </w:r>
    </w:p>
    <w:p w14:paraId="799D44E7">
      <w:pPr>
        <w:snapToGrid w:val="0"/>
        <w:spacing w:line="480" w:lineRule="auto"/>
        <w:jc w:val="right"/>
        <w:rPr>
          <w:u w:val="single"/>
        </w:rPr>
      </w:pPr>
      <w:r>
        <w:rPr>
          <w:rFonts w:hint="eastAsia" w:ascii="仿宋" w:hAnsi="仿宋"/>
          <w:szCs w:val="24"/>
        </w:rPr>
        <w:t xml:space="preserve">法定代表人或授权代表（签名或盖章）：  </w:t>
      </w:r>
    </w:p>
    <w:p w14:paraId="60B607AB">
      <w:pPr>
        <w:adjustRightInd w:val="0"/>
        <w:snapToGrid w:val="0"/>
        <w:spacing w:line="440" w:lineRule="exac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附件</w:t>
      </w:r>
      <w:r>
        <w:rPr>
          <w:rFonts w:hint="eastAsia" w:cs="仿宋"/>
          <w:b/>
          <w:color w:val="auto"/>
          <w:sz w:val="32"/>
          <w:szCs w:val="32"/>
          <w:highlight w:val="none"/>
          <w:lang w:val="en-US" w:eastAsia="zh-CN"/>
        </w:rPr>
        <w:t>1</w:t>
      </w:r>
    </w:p>
    <w:p w14:paraId="7154798E">
      <w:pPr>
        <w:pStyle w:val="38"/>
        <w:spacing w:line="440" w:lineRule="exact"/>
        <w:ind w:firstLine="0"/>
        <w:rPr>
          <w:rFonts w:hint="eastAsia" w:ascii="仿宋" w:hAnsi="仿宋" w:eastAsia="仿宋" w:cs="仿宋"/>
          <w:b/>
          <w:color w:val="auto"/>
          <w:spacing w:val="0"/>
          <w:sz w:val="32"/>
          <w:szCs w:val="32"/>
          <w:highlight w:val="none"/>
        </w:rPr>
      </w:pPr>
    </w:p>
    <w:p w14:paraId="2EB331E2">
      <w:pPr>
        <w:pStyle w:val="38"/>
        <w:spacing w:line="440" w:lineRule="exact"/>
        <w:ind w:firstLine="0"/>
        <w:rPr>
          <w:rFonts w:hint="eastAsia" w:ascii="仿宋" w:hAnsi="仿宋" w:eastAsia="仿宋" w:cs="仿宋"/>
          <w:b/>
          <w:color w:val="auto"/>
          <w:spacing w:val="0"/>
          <w:sz w:val="32"/>
          <w:szCs w:val="32"/>
          <w:highlight w:val="none"/>
        </w:rPr>
      </w:pPr>
    </w:p>
    <w:p w14:paraId="0B997CAB">
      <w:pPr>
        <w:pStyle w:val="38"/>
        <w:spacing w:line="440" w:lineRule="exact"/>
        <w:ind w:firstLine="0"/>
        <w:rPr>
          <w:rFonts w:hint="eastAsia" w:ascii="仿宋" w:hAnsi="仿宋" w:eastAsia="仿宋" w:cs="仿宋"/>
          <w:b/>
          <w:color w:val="auto"/>
          <w:spacing w:val="0"/>
          <w:sz w:val="32"/>
          <w:szCs w:val="32"/>
          <w:highlight w:val="none"/>
        </w:rPr>
      </w:pPr>
      <w:r>
        <w:rPr>
          <w:rFonts w:hint="eastAsia" w:ascii="仿宋" w:hAnsi="仿宋" w:eastAsia="仿宋" w:cs="仿宋"/>
          <w:b/>
          <w:color w:val="auto"/>
          <w:spacing w:val="0"/>
          <w:sz w:val="32"/>
          <w:szCs w:val="32"/>
          <w:highlight w:val="none"/>
        </w:rPr>
        <w:t>询问函范本：</w:t>
      </w:r>
    </w:p>
    <w:p w14:paraId="156BE6E4">
      <w:pPr>
        <w:spacing w:line="440" w:lineRule="exact"/>
        <w:rPr>
          <w:rFonts w:hint="eastAsia" w:ascii="仿宋" w:hAnsi="仿宋" w:eastAsia="仿宋" w:cs="仿宋"/>
          <w:color w:val="auto"/>
          <w:highlight w:val="none"/>
        </w:rPr>
      </w:pPr>
    </w:p>
    <w:p w14:paraId="741EB2A4">
      <w:pPr>
        <w:pStyle w:val="108"/>
        <w:spacing w:before="0" w:after="0" w:line="440" w:lineRule="exact"/>
        <w:rPr>
          <w:rFonts w:hint="eastAsia" w:ascii="仿宋" w:hAnsi="仿宋" w:eastAsia="仿宋" w:cs="仿宋"/>
          <w:color w:val="auto"/>
          <w:highlight w:val="none"/>
        </w:rPr>
      </w:pPr>
    </w:p>
    <w:p w14:paraId="5D363765">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关于XXX项目公开招标的询问函</w:t>
      </w:r>
    </w:p>
    <w:p w14:paraId="38BA4259">
      <w:pPr>
        <w:snapToGrid w:val="0"/>
        <w:spacing w:line="440" w:lineRule="exact"/>
        <w:ind w:firstLine="480" w:firstLineChars="200"/>
        <w:rPr>
          <w:rFonts w:hint="eastAsia" w:ascii="仿宋" w:hAnsi="仿宋" w:eastAsia="仿宋" w:cs="仿宋"/>
          <w:color w:val="auto"/>
          <w:highlight w:val="none"/>
        </w:rPr>
      </w:pPr>
    </w:p>
    <w:p w14:paraId="690FF9A0">
      <w:pPr>
        <w:snapToGrid w:val="0"/>
        <w:spacing w:line="440" w:lineRule="exact"/>
        <w:ind w:firstLine="480" w:firstLineChars="200"/>
        <w:rPr>
          <w:rFonts w:hint="eastAsia" w:ascii="仿宋" w:hAnsi="仿宋" w:eastAsia="仿宋" w:cs="仿宋"/>
          <w:color w:val="auto"/>
          <w:highlight w:val="none"/>
        </w:rPr>
      </w:pPr>
    </w:p>
    <w:p w14:paraId="108BA351">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关于</w:t>
      </w:r>
      <w:r>
        <w:rPr>
          <w:rFonts w:hint="eastAsia" w:cs="仿宋"/>
          <w:color w:val="auto"/>
          <w:highlight w:val="none"/>
          <w:lang w:eastAsia="zh-CN"/>
        </w:rPr>
        <w:t>桐庐畅桐新能源科技有限公司二期充电桩建设项目</w:t>
      </w:r>
      <w:r>
        <w:rPr>
          <w:rFonts w:hint="eastAsia" w:ascii="仿宋" w:hAnsi="仿宋" w:eastAsia="仿宋" w:cs="仿宋"/>
          <w:color w:val="auto"/>
          <w:highlight w:val="none"/>
        </w:rPr>
        <w:t>（项目编号）（项目标项）我公司有以下几点疑问：</w:t>
      </w:r>
    </w:p>
    <w:p w14:paraId="4707FBCF">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询问事项一：（请明确</w:t>
      </w:r>
      <w:r>
        <w:rPr>
          <w:rFonts w:hint="eastAsia" w:ascii="仿宋" w:hAnsi="仿宋" w:eastAsia="仿宋" w:cs="仿宋"/>
          <w:bCs/>
          <w:color w:val="auto"/>
          <w:highlight w:val="none"/>
        </w:rPr>
        <w:t>具体内容，并附</w:t>
      </w:r>
      <w:r>
        <w:rPr>
          <w:rFonts w:hint="eastAsia" w:ascii="仿宋" w:hAnsi="仿宋" w:eastAsia="仿宋" w:cs="仿宋"/>
          <w:color w:val="auto"/>
          <w:highlight w:val="none"/>
        </w:rPr>
        <w:t>事实依据。）</w:t>
      </w:r>
    </w:p>
    <w:p w14:paraId="105BA0BC">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询问事项二：  ...</w:t>
      </w:r>
    </w:p>
    <w:p w14:paraId="18951A5A">
      <w:pPr>
        <w:spacing w:line="440" w:lineRule="exact"/>
        <w:rPr>
          <w:rFonts w:hint="eastAsia" w:ascii="仿宋" w:hAnsi="仿宋" w:eastAsia="仿宋" w:cs="仿宋"/>
          <w:color w:val="auto"/>
          <w:highlight w:val="none"/>
        </w:rPr>
      </w:pPr>
    </w:p>
    <w:p w14:paraId="024C77AB">
      <w:pPr>
        <w:pStyle w:val="2"/>
        <w:spacing w:before="0" w:after="0" w:line="440" w:lineRule="exact"/>
        <w:rPr>
          <w:rFonts w:hint="eastAsia" w:ascii="仿宋" w:hAnsi="仿宋" w:eastAsia="仿宋" w:cs="仿宋"/>
          <w:color w:val="auto"/>
          <w:highlight w:val="none"/>
        </w:rPr>
      </w:pPr>
    </w:p>
    <w:p w14:paraId="0BAB217D">
      <w:pPr>
        <w:pStyle w:val="38"/>
        <w:spacing w:line="440" w:lineRule="exact"/>
        <w:rPr>
          <w:rFonts w:hint="eastAsia" w:ascii="仿宋" w:hAnsi="仿宋" w:eastAsia="仿宋" w:cs="仿宋"/>
          <w:color w:val="auto"/>
          <w:sz w:val="24"/>
          <w:highlight w:val="none"/>
        </w:rPr>
      </w:pPr>
    </w:p>
    <w:p w14:paraId="6F2C373D">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供应商全称（盖章）：              </w:t>
      </w:r>
    </w:p>
    <w:p w14:paraId="3BB244D4">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法定代表人（签名或签章）：                                                </w:t>
      </w:r>
    </w:p>
    <w:p w14:paraId="4C545AFB">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授权代表（签名）：                                           </w:t>
      </w:r>
    </w:p>
    <w:p w14:paraId="7D3C4732">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联系电话（手机）：                  </w:t>
      </w:r>
    </w:p>
    <w:p w14:paraId="5C293F8C">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电子邮箱：                        </w:t>
      </w:r>
    </w:p>
    <w:p w14:paraId="6FE2AE6D">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询问日期：                        </w:t>
      </w:r>
    </w:p>
    <w:p w14:paraId="1D31A2B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C02870D">
      <w:pPr>
        <w:spacing w:line="440" w:lineRule="exact"/>
        <w:rPr>
          <w:rFonts w:hint="eastAsia" w:ascii="仿宋" w:hAnsi="仿宋" w:eastAsia="仿宋" w:cs="仿宋"/>
          <w:color w:val="auto"/>
          <w:highlight w:val="none"/>
        </w:rPr>
      </w:pPr>
    </w:p>
    <w:p w14:paraId="003AD317">
      <w:pPr>
        <w:adjustRightInd w:val="0"/>
        <w:snapToGrid w:val="0"/>
        <w:spacing w:line="440" w:lineRule="exact"/>
        <w:jc w:val="center"/>
        <w:rPr>
          <w:rFonts w:hint="eastAsia" w:ascii="仿宋" w:hAnsi="仿宋" w:eastAsia="仿宋" w:cs="仿宋"/>
          <w:color w:val="auto"/>
          <w:highlight w:val="none"/>
        </w:rPr>
      </w:pPr>
    </w:p>
    <w:p w14:paraId="726E30E2">
      <w:pPr>
        <w:pStyle w:val="108"/>
        <w:spacing w:before="0" w:after="0" w:line="440" w:lineRule="exact"/>
        <w:rPr>
          <w:rFonts w:hint="eastAsia" w:ascii="仿宋" w:hAnsi="仿宋" w:eastAsia="仿宋" w:cs="仿宋"/>
          <w:color w:val="auto"/>
          <w:highlight w:val="none"/>
        </w:rPr>
      </w:pPr>
    </w:p>
    <w:p w14:paraId="52F73BD4">
      <w:pPr>
        <w:spacing w:line="440" w:lineRule="exact"/>
        <w:rPr>
          <w:rFonts w:hint="eastAsia" w:ascii="仿宋" w:hAnsi="仿宋" w:eastAsia="仿宋" w:cs="仿宋"/>
          <w:color w:val="auto"/>
          <w:highlight w:val="none"/>
        </w:rPr>
      </w:pPr>
    </w:p>
    <w:p w14:paraId="64FF2B07">
      <w:pPr>
        <w:adjustRightInd w:val="0"/>
        <w:snapToGrid w:val="0"/>
        <w:spacing w:line="440" w:lineRule="exact"/>
        <w:rPr>
          <w:rFonts w:hint="eastAsia" w:ascii="仿宋" w:hAnsi="仿宋" w:eastAsia="仿宋" w:cs="仿宋"/>
          <w:b/>
          <w:color w:val="auto"/>
          <w:sz w:val="32"/>
          <w:szCs w:val="32"/>
          <w:highlight w:val="none"/>
        </w:rPr>
      </w:pPr>
    </w:p>
    <w:p w14:paraId="43F8F567">
      <w:pPr>
        <w:adjustRightInd w:val="0"/>
        <w:snapToGrid w:val="0"/>
        <w:spacing w:line="440" w:lineRule="exact"/>
        <w:rPr>
          <w:rFonts w:hint="eastAsia" w:ascii="仿宋" w:hAnsi="仿宋" w:eastAsia="仿宋" w:cs="仿宋"/>
          <w:b/>
          <w:color w:val="auto"/>
          <w:sz w:val="32"/>
          <w:szCs w:val="32"/>
          <w:highlight w:val="none"/>
        </w:rPr>
      </w:pPr>
    </w:p>
    <w:p w14:paraId="4DDDA2D1">
      <w:pPr>
        <w:adjustRightInd w:val="0"/>
        <w:snapToGrid w:val="0"/>
        <w:spacing w:line="440" w:lineRule="exact"/>
        <w:rPr>
          <w:rFonts w:hint="eastAsia" w:ascii="仿宋" w:hAnsi="仿宋" w:eastAsia="仿宋" w:cs="仿宋"/>
          <w:b/>
          <w:color w:val="auto"/>
          <w:sz w:val="32"/>
          <w:szCs w:val="32"/>
          <w:highlight w:val="none"/>
        </w:rPr>
      </w:pPr>
    </w:p>
    <w:p w14:paraId="78F75398">
      <w:pPr>
        <w:adjustRightInd w:val="0"/>
        <w:snapToGrid w:val="0"/>
        <w:spacing w:line="440" w:lineRule="exact"/>
        <w:rPr>
          <w:rFonts w:hint="eastAsia" w:ascii="仿宋" w:hAnsi="仿宋" w:eastAsia="仿宋" w:cs="仿宋"/>
          <w:b/>
          <w:color w:val="auto"/>
          <w:sz w:val="32"/>
          <w:szCs w:val="32"/>
          <w:highlight w:val="none"/>
        </w:rPr>
      </w:pPr>
    </w:p>
    <w:p w14:paraId="79CC5499">
      <w:pPr>
        <w:adjustRightInd w:val="0"/>
        <w:snapToGrid w:val="0"/>
        <w:spacing w:line="440" w:lineRule="exac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附件</w:t>
      </w:r>
      <w:r>
        <w:rPr>
          <w:rFonts w:hint="eastAsia" w:cs="仿宋"/>
          <w:b/>
          <w:color w:val="auto"/>
          <w:sz w:val="32"/>
          <w:szCs w:val="32"/>
          <w:highlight w:val="none"/>
          <w:lang w:val="en-US" w:eastAsia="zh-CN"/>
        </w:rPr>
        <w:t>2</w:t>
      </w:r>
    </w:p>
    <w:p w14:paraId="07919F47">
      <w:pPr>
        <w:pStyle w:val="88"/>
        <w:spacing w:after="0" w:line="440" w:lineRule="exact"/>
        <w:ind w:left="480"/>
        <w:rPr>
          <w:rFonts w:hint="eastAsia" w:ascii="仿宋" w:hAnsi="仿宋" w:eastAsia="仿宋" w:cs="仿宋"/>
          <w:color w:val="auto"/>
          <w:highlight w:val="none"/>
        </w:rPr>
      </w:pPr>
    </w:p>
    <w:p w14:paraId="281DD9C4">
      <w:pPr>
        <w:adjustRightInd w:val="0"/>
        <w:spacing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70B9F343">
      <w:pPr>
        <w:adjustRightInd w:val="0"/>
        <w:spacing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F5A7E84">
      <w:pPr>
        <w:adjustRightInd w:val="0"/>
        <w:snapToGrid w:val="0"/>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一、质疑供应商基本信息</w:t>
      </w:r>
    </w:p>
    <w:p w14:paraId="73FEA1FE">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14:paraId="74230705">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56695BDC">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02B6827E">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14:paraId="27AB30DE">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526A5D16">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134957DB">
      <w:pPr>
        <w:adjustRightInd w:val="0"/>
        <w:snapToGrid w:val="0"/>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二、质疑项目基本情况</w:t>
      </w:r>
    </w:p>
    <w:p w14:paraId="3F60ED10">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14:paraId="10A9B597">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3921A53A">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14:paraId="6EFE974D">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highlight w:val="none"/>
          <w:u w:val="dotted"/>
        </w:rPr>
        <w:t xml:space="preserve">                                           </w:t>
      </w:r>
    </w:p>
    <w:p w14:paraId="508C1076">
      <w:pPr>
        <w:adjustRightInd w:val="0"/>
        <w:snapToGrid w:val="0"/>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三、质疑事项具体内容</w:t>
      </w:r>
    </w:p>
    <w:p w14:paraId="7F6021AC">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14:paraId="77D1EE32">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5BA24228">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u w:val="dotted"/>
        </w:rPr>
        <w:t xml:space="preserve">                                                       </w:t>
      </w:r>
    </w:p>
    <w:p w14:paraId="7878A051">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4C199971">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5CD0C0AE">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41E8FA1D">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w:t>
      </w:r>
    </w:p>
    <w:p w14:paraId="0197D1AD">
      <w:pPr>
        <w:adjustRightInd w:val="0"/>
        <w:snapToGrid w:val="0"/>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四、与质疑事项相关的质疑请求</w:t>
      </w:r>
    </w:p>
    <w:p w14:paraId="1D0E9739">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14:paraId="065AEDC1">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68488DF7">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4BE00D27">
      <w:pPr>
        <w:widowControl/>
        <w:spacing w:line="440" w:lineRule="exact"/>
        <w:jc w:val="left"/>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28FE9C43">
      <w:pPr>
        <w:adjustRightInd w:val="0"/>
        <w:spacing w:line="440" w:lineRule="exact"/>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14:paraId="6187DD5E">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42FF498E">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w:t>
      </w:r>
      <w:r>
        <w:rPr>
          <w:rFonts w:hint="eastAsia" w:ascii="仿宋" w:hAnsi="仿宋" w:eastAsia="仿宋" w:cs="仿宋"/>
          <w:color w:val="auto"/>
          <w:kern w:val="0"/>
          <w:highlight w:val="none"/>
        </w:rPr>
        <w:t>供应商签署的授权委托书。授权委托书应载明代理人的姓名或者名称、代理事项、具体权限、期限和相关事项。</w:t>
      </w:r>
    </w:p>
    <w:p w14:paraId="2E9C88F8">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3DBC7E0A">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193B594D">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32948843">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1649F98F">
      <w:pPr>
        <w:widowControl/>
        <w:adjustRightInd w:val="0"/>
        <w:spacing w:line="440" w:lineRule="exact"/>
        <w:ind w:firstLine="600" w:firstLineChars="200"/>
        <w:jc w:val="left"/>
        <w:rPr>
          <w:rFonts w:hint="eastAsia" w:ascii="仿宋" w:hAnsi="仿宋" w:eastAsia="仿宋" w:cs="仿宋"/>
          <w:color w:val="auto"/>
          <w:sz w:val="30"/>
          <w:szCs w:val="30"/>
          <w:highlight w:val="none"/>
        </w:rPr>
      </w:pPr>
    </w:p>
    <w:p w14:paraId="6A71E9F8">
      <w:pPr>
        <w:adjustRightInd w:val="0"/>
        <w:spacing w:line="440" w:lineRule="exact"/>
        <w:jc w:val="center"/>
        <w:rPr>
          <w:rFonts w:hint="eastAsia" w:ascii="仿宋" w:hAnsi="仿宋" w:eastAsia="仿宋" w:cs="仿宋"/>
          <w:b/>
          <w:color w:val="auto"/>
          <w:spacing w:val="6"/>
          <w:sz w:val="32"/>
          <w:szCs w:val="32"/>
          <w:highlight w:val="none"/>
        </w:rPr>
      </w:pPr>
    </w:p>
    <w:p w14:paraId="6D9AB344">
      <w:pPr>
        <w:adjustRightInd w:val="0"/>
        <w:spacing w:line="440" w:lineRule="exact"/>
        <w:jc w:val="center"/>
        <w:rPr>
          <w:rFonts w:hint="eastAsia" w:ascii="仿宋" w:hAnsi="仿宋" w:eastAsia="仿宋" w:cs="仿宋"/>
          <w:b/>
          <w:color w:val="auto"/>
          <w:spacing w:val="6"/>
          <w:sz w:val="32"/>
          <w:szCs w:val="32"/>
          <w:highlight w:val="none"/>
        </w:rPr>
      </w:pPr>
    </w:p>
    <w:p w14:paraId="1E4B0615">
      <w:pPr>
        <w:adjustRightInd w:val="0"/>
        <w:spacing w:line="440" w:lineRule="exact"/>
        <w:jc w:val="center"/>
        <w:rPr>
          <w:rFonts w:hint="eastAsia" w:ascii="仿宋" w:hAnsi="仿宋" w:eastAsia="仿宋" w:cs="仿宋"/>
          <w:b/>
          <w:color w:val="auto"/>
          <w:spacing w:val="6"/>
          <w:sz w:val="32"/>
          <w:szCs w:val="32"/>
          <w:highlight w:val="none"/>
        </w:rPr>
      </w:pPr>
    </w:p>
    <w:p w14:paraId="1F9E40D8">
      <w:pPr>
        <w:adjustRightInd w:val="0"/>
        <w:spacing w:line="440" w:lineRule="exact"/>
        <w:jc w:val="center"/>
        <w:rPr>
          <w:rFonts w:hint="eastAsia" w:ascii="仿宋" w:hAnsi="仿宋" w:eastAsia="仿宋" w:cs="仿宋"/>
          <w:b/>
          <w:color w:val="auto"/>
          <w:spacing w:val="6"/>
          <w:sz w:val="32"/>
          <w:szCs w:val="32"/>
          <w:highlight w:val="none"/>
        </w:rPr>
      </w:pPr>
    </w:p>
    <w:p w14:paraId="009A04AC">
      <w:pPr>
        <w:adjustRightInd w:val="0"/>
        <w:spacing w:line="440" w:lineRule="exact"/>
        <w:jc w:val="center"/>
        <w:rPr>
          <w:rFonts w:hint="eastAsia" w:ascii="仿宋" w:hAnsi="仿宋" w:eastAsia="仿宋" w:cs="仿宋"/>
          <w:b/>
          <w:color w:val="auto"/>
          <w:spacing w:val="6"/>
          <w:sz w:val="32"/>
          <w:szCs w:val="32"/>
          <w:highlight w:val="none"/>
        </w:rPr>
      </w:pPr>
    </w:p>
    <w:p w14:paraId="1E6586BB">
      <w:pPr>
        <w:adjustRightInd w:val="0"/>
        <w:spacing w:line="440" w:lineRule="exact"/>
        <w:jc w:val="center"/>
        <w:rPr>
          <w:rFonts w:hint="eastAsia" w:ascii="仿宋" w:hAnsi="仿宋" w:eastAsia="仿宋" w:cs="仿宋"/>
          <w:b/>
          <w:color w:val="auto"/>
          <w:spacing w:val="6"/>
          <w:sz w:val="32"/>
          <w:szCs w:val="32"/>
          <w:highlight w:val="none"/>
        </w:rPr>
      </w:pPr>
    </w:p>
    <w:p w14:paraId="6FAE0D09">
      <w:pPr>
        <w:adjustRightInd w:val="0"/>
        <w:spacing w:line="440" w:lineRule="exact"/>
        <w:jc w:val="center"/>
        <w:rPr>
          <w:rFonts w:hint="eastAsia" w:ascii="仿宋" w:hAnsi="仿宋" w:eastAsia="仿宋" w:cs="仿宋"/>
          <w:b/>
          <w:color w:val="auto"/>
          <w:spacing w:val="6"/>
          <w:sz w:val="32"/>
          <w:szCs w:val="32"/>
          <w:highlight w:val="none"/>
        </w:rPr>
      </w:pPr>
    </w:p>
    <w:p w14:paraId="29AEE81F">
      <w:pPr>
        <w:adjustRightInd w:val="0"/>
        <w:spacing w:line="440" w:lineRule="exact"/>
        <w:jc w:val="center"/>
        <w:rPr>
          <w:rFonts w:hint="eastAsia" w:ascii="仿宋" w:hAnsi="仿宋" w:eastAsia="仿宋" w:cs="仿宋"/>
          <w:b/>
          <w:color w:val="auto"/>
          <w:spacing w:val="6"/>
          <w:sz w:val="32"/>
          <w:szCs w:val="32"/>
          <w:highlight w:val="none"/>
        </w:rPr>
      </w:pPr>
    </w:p>
    <w:p w14:paraId="6EFF7153">
      <w:pPr>
        <w:adjustRightInd w:val="0"/>
        <w:spacing w:line="440" w:lineRule="exact"/>
        <w:jc w:val="center"/>
        <w:rPr>
          <w:rFonts w:hint="eastAsia" w:ascii="仿宋" w:hAnsi="仿宋" w:eastAsia="仿宋" w:cs="仿宋"/>
          <w:b/>
          <w:color w:val="auto"/>
          <w:spacing w:val="6"/>
          <w:sz w:val="32"/>
          <w:szCs w:val="32"/>
          <w:highlight w:val="none"/>
        </w:rPr>
      </w:pPr>
    </w:p>
    <w:p w14:paraId="383B1033">
      <w:pPr>
        <w:adjustRightInd w:val="0"/>
        <w:spacing w:line="440" w:lineRule="exact"/>
        <w:jc w:val="center"/>
        <w:rPr>
          <w:rFonts w:hint="eastAsia" w:ascii="仿宋" w:hAnsi="仿宋" w:eastAsia="仿宋" w:cs="仿宋"/>
          <w:b/>
          <w:color w:val="auto"/>
          <w:spacing w:val="6"/>
          <w:sz w:val="32"/>
          <w:szCs w:val="32"/>
          <w:highlight w:val="none"/>
        </w:rPr>
      </w:pPr>
    </w:p>
    <w:p w14:paraId="0819429E">
      <w:pPr>
        <w:adjustRightInd w:val="0"/>
        <w:spacing w:line="440" w:lineRule="exact"/>
        <w:jc w:val="center"/>
        <w:rPr>
          <w:rFonts w:hint="eastAsia" w:ascii="仿宋" w:hAnsi="仿宋" w:eastAsia="仿宋" w:cs="仿宋"/>
          <w:b/>
          <w:color w:val="auto"/>
          <w:spacing w:val="6"/>
          <w:sz w:val="32"/>
          <w:szCs w:val="32"/>
          <w:highlight w:val="none"/>
        </w:rPr>
      </w:pPr>
    </w:p>
    <w:p w14:paraId="217D99B4">
      <w:pPr>
        <w:widowControl/>
        <w:spacing w:line="44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9999CA3">
      <w:pPr>
        <w:adjustRightInd w:val="0"/>
        <w:snapToGrid w:val="0"/>
        <w:spacing w:line="440" w:lineRule="exac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附件</w:t>
      </w:r>
      <w:r>
        <w:rPr>
          <w:rFonts w:hint="eastAsia" w:cs="仿宋"/>
          <w:b/>
          <w:color w:val="auto"/>
          <w:sz w:val="32"/>
          <w:szCs w:val="32"/>
          <w:highlight w:val="none"/>
          <w:lang w:val="en-US" w:eastAsia="zh-CN"/>
        </w:rPr>
        <w:t>3</w:t>
      </w:r>
    </w:p>
    <w:p w14:paraId="2D79E405">
      <w:pPr>
        <w:adjustRightInd w:val="0"/>
        <w:spacing w:line="440" w:lineRule="exact"/>
        <w:jc w:val="center"/>
        <w:rPr>
          <w:rFonts w:hint="eastAsia" w:ascii="仿宋" w:hAnsi="仿宋" w:eastAsia="仿宋" w:cs="仿宋"/>
          <w:b/>
          <w:color w:val="auto"/>
          <w:spacing w:val="6"/>
          <w:sz w:val="32"/>
          <w:szCs w:val="32"/>
          <w:highlight w:val="none"/>
        </w:rPr>
      </w:pPr>
    </w:p>
    <w:p w14:paraId="7C3A1266">
      <w:pPr>
        <w:adjustRightInd w:val="0"/>
        <w:spacing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3986107C">
      <w:pPr>
        <w:adjustRightInd w:val="0"/>
        <w:spacing w:line="440" w:lineRule="exact"/>
        <w:jc w:val="center"/>
        <w:rPr>
          <w:rFonts w:hint="eastAsia" w:ascii="仿宋" w:hAnsi="仿宋" w:eastAsia="仿宋" w:cs="仿宋"/>
          <w:b/>
          <w:color w:val="auto"/>
          <w:highlight w:val="none"/>
        </w:rPr>
      </w:pPr>
    </w:p>
    <w:p w14:paraId="0A56E3E0">
      <w:pPr>
        <w:adjustRightInd w:val="0"/>
        <w:spacing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0C31E27">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4728B883">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14:paraId="09ED6D91">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45B789E3">
      <w:pPr>
        <w:tabs>
          <w:tab w:val="left" w:pos="6510"/>
        </w:tabs>
        <w:adjustRightInd w:val="0"/>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16C68462">
      <w:pPr>
        <w:tabs>
          <w:tab w:val="left" w:pos="6510"/>
        </w:tabs>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5E62EFFC">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25BE4363">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2098F67E">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p>
    <w:p w14:paraId="502BE32D">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48D1477E">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10854FE1">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45FBCE9D">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774A6CCE">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p>
    <w:p w14:paraId="6E5CE039">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58C1F145">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30A95217">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6B5DD5BF">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14:paraId="34C8BD63">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5DF5A6CB">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14:paraId="34CF0529">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14:paraId="034D47F4">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2A8B9E82">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336E7E1D">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3F20FCAA">
      <w:pPr>
        <w:adjustRightInd w:val="0"/>
        <w:spacing w:line="440" w:lineRule="exact"/>
        <w:ind w:firstLine="480" w:firstLineChars="200"/>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14:paraId="1A0EED3D">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2B41DE09">
      <w:pPr>
        <w:adjustRightInd w:val="0"/>
        <w:spacing w:line="44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14:paraId="5CBFD6AA">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28F1D909">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14:paraId="7CB2B45F">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0046D085">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7E39FB68">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3E1C8869">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78C56919">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5FED0E49">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583C593D">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752789EF">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75D8EF49">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14:paraId="103CDB4A">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04A3C7D8">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3C830D75">
      <w:pPr>
        <w:adjustRightInd w:val="0"/>
        <w:spacing w:line="440" w:lineRule="exact"/>
        <w:rPr>
          <w:rFonts w:hint="eastAsia" w:ascii="仿宋" w:hAnsi="仿宋" w:eastAsia="仿宋" w:cs="仿宋"/>
          <w:b/>
          <w:color w:val="auto"/>
          <w:highlight w:val="none"/>
        </w:rPr>
      </w:pPr>
    </w:p>
    <w:p w14:paraId="39B5C961">
      <w:pPr>
        <w:adjustRightInd w:val="0"/>
        <w:spacing w:line="440" w:lineRule="exact"/>
        <w:rPr>
          <w:rFonts w:hint="eastAsia" w:ascii="仿宋" w:hAnsi="仿宋" w:eastAsia="仿宋" w:cs="仿宋"/>
          <w:b/>
          <w:color w:val="auto"/>
          <w:highlight w:val="none"/>
        </w:rPr>
      </w:pPr>
    </w:p>
    <w:p w14:paraId="1A470A05">
      <w:pPr>
        <w:adjustRightInd w:val="0"/>
        <w:spacing w:line="440" w:lineRule="exact"/>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14:paraId="1057BE4F">
      <w:pPr>
        <w:widowControl/>
        <w:adjustRightIn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33A71FC2">
      <w:pPr>
        <w:widowControl/>
        <w:adjustRightIn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w:t>
      </w:r>
      <w:r>
        <w:rPr>
          <w:rFonts w:hint="eastAsia" w:ascii="仿宋" w:hAnsi="仿宋" w:eastAsia="仿宋" w:cs="仿宋"/>
          <w:color w:val="auto"/>
          <w:kern w:val="0"/>
          <w:highlight w:val="none"/>
        </w:rPr>
        <w:t>投诉人签署的授权委托书。授权委托书应当载明代理人的姓名或者名称、代理事项、具体权限、期限和相关事项。</w:t>
      </w:r>
    </w:p>
    <w:p w14:paraId="13CCFAB4">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516DC20E">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7A7E44FE">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1518A22B">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0D1B4705">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sectPr>
      <w:headerReference r:id="rId19" w:type="default"/>
      <w:footerReference r:id="rId20" w:type="default"/>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0"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1"/>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10609000101010101"/>
    <w:charset w:val="88"/>
    <w:family w:val="modern"/>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w:panose1 w:val="00000000000000000000"/>
    <w:charset w:val="80"/>
    <w:family w:val="roman"/>
    <w:pitch w:val="default"/>
    <w:sig w:usb0="00000000" w:usb1="00000000" w:usb2="00000012" w:usb3="00000000" w:csb0="4002009F" w:csb1="DFD7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Segoe UI Semilight">
    <w:panose1 w:val="020B04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A70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049B">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5C6A">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7A63">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74</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1BEB">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FC15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DDFC15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B32E">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71FAD7">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0971FAD7">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6A733">
    <w:pPr>
      <w:pStyle w:val="56"/>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D67EC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14:paraId="57D67EC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7B22">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79CB">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605F">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6645">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5831C">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D69C">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F015">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FF97">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F0E8">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D052218D"/>
    <w:multiLevelType w:val="singleLevel"/>
    <w:tmpl w:val="D052218D"/>
    <w:lvl w:ilvl="0" w:tentative="0">
      <w:start w:val="1"/>
      <w:numFmt w:val="decimal"/>
      <w:lvlText w:val="%1."/>
      <w:lvlJc w:val="left"/>
      <w:pPr>
        <w:ind w:left="425" w:hanging="425"/>
      </w:pPr>
      <w:rPr>
        <w:rFonts w:hint="default"/>
      </w:rPr>
    </w:lvl>
  </w:abstractNum>
  <w:abstractNum w:abstractNumId="4">
    <w:nsid w:val="DA749441"/>
    <w:multiLevelType w:val="singleLevel"/>
    <w:tmpl w:val="DA749441"/>
    <w:lvl w:ilvl="0" w:tentative="0">
      <w:start w:val="1"/>
      <w:numFmt w:val="decimal"/>
      <w:lvlText w:val="%1."/>
      <w:lvlJc w:val="left"/>
      <w:pPr>
        <w:ind w:left="425" w:hanging="425"/>
      </w:pPr>
      <w:rPr>
        <w:rFonts w:hint="default"/>
      </w:rPr>
    </w:lvl>
  </w:abstractNum>
  <w:abstractNum w:abstractNumId="5">
    <w:nsid w:val="069A03DF"/>
    <w:multiLevelType w:val="singleLevel"/>
    <w:tmpl w:val="069A03DF"/>
    <w:lvl w:ilvl="0" w:tentative="0">
      <w:start w:val="1"/>
      <w:numFmt w:val="decimal"/>
      <w:lvlText w:val="%1."/>
      <w:lvlJc w:val="left"/>
      <w:pPr>
        <w:ind w:left="425" w:hanging="425"/>
      </w:pPr>
      <w:rPr>
        <w:rFonts w:hint="default"/>
      </w:rPr>
    </w:lvl>
  </w:abstractNum>
  <w:abstractNum w:abstractNumId="6">
    <w:nsid w:val="31946BB2"/>
    <w:multiLevelType w:val="singleLevel"/>
    <w:tmpl w:val="31946BB2"/>
    <w:lvl w:ilvl="0" w:tentative="0">
      <w:start w:val="1"/>
      <w:numFmt w:val="decimal"/>
      <w:suff w:val="nothing"/>
      <w:lvlText w:val="（%1）"/>
      <w:lvlJc w:val="left"/>
    </w:lvl>
  </w:abstractNum>
  <w:abstractNum w:abstractNumId="7">
    <w:nsid w:val="3C25F57A"/>
    <w:multiLevelType w:val="singleLevel"/>
    <w:tmpl w:val="3C25F57A"/>
    <w:lvl w:ilvl="0" w:tentative="0">
      <w:start w:val="2"/>
      <w:numFmt w:val="chineseCounting"/>
      <w:suff w:val="nothing"/>
      <w:lvlText w:val="%1、"/>
      <w:lvlJc w:val="left"/>
      <w:rPr>
        <w:rFonts w:hint="eastAsia"/>
      </w:rPr>
    </w:lvl>
  </w:abstractNum>
  <w:abstractNum w:abstractNumId="8">
    <w:nsid w:val="4A450E61"/>
    <w:multiLevelType w:val="singleLevel"/>
    <w:tmpl w:val="4A450E61"/>
    <w:lvl w:ilvl="0" w:tentative="0">
      <w:start w:val="1"/>
      <w:numFmt w:val="decimal"/>
      <w:lvlText w:val="%1."/>
      <w:lvlJc w:val="left"/>
      <w:pPr>
        <w:ind w:left="425" w:hanging="425"/>
      </w:pPr>
      <w:rPr>
        <w:rFonts w:hint="default"/>
      </w:rPr>
    </w:lvl>
  </w:abstractNum>
  <w:abstractNum w:abstractNumId="9">
    <w:nsid w:val="4AA42CBE"/>
    <w:multiLevelType w:val="multilevel"/>
    <w:tmpl w:val="4AA42CBE"/>
    <w:lvl w:ilvl="0" w:tentative="0">
      <w:start w:val="1"/>
      <w:numFmt w:val="decimal"/>
      <w:pStyle w:val="1033"/>
      <w:suff w:val="nothing"/>
      <w:lvlText w:val="（%1）"/>
      <w:lvlJc w:val="left"/>
      <w:pPr>
        <w:ind w:left="42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0">
    <w:nsid w:val="59FE327B"/>
    <w:multiLevelType w:val="multilevel"/>
    <w:tmpl w:val="59FE327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num w:numId="1">
    <w:abstractNumId w:val="9"/>
  </w:num>
  <w:num w:numId="2">
    <w:abstractNumId w:val="7"/>
  </w:num>
  <w:num w:numId="3">
    <w:abstractNumId w:val="2"/>
  </w:num>
  <w:num w:numId="4">
    <w:abstractNumId w:val="6"/>
  </w:num>
  <w:num w:numId="5">
    <w:abstractNumId w:val="10"/>
  </w:num>
  <w:num w:numId="6">
    <w:abstractNumId w:val="5"/>
  </w:num>
  <w:num w:numId="7">
    <w:abstractNumId w:val="11"/>
  </w:num>
  <w:num w:numId="8">
    <w:abstractNumId w:val="1"/>
  </w:num>
  <w:num w:numId="9">
    <w:abstractNumId w:val="4"/>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YzMyYTIyODJiOGFkNDkwMDI3ODEyOWY1ODI2MWQ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0841"/>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8A7"/>
    <w:rsid w:val="00343A6B"/>
    <w:rsid w:val="00343DD6"/>
    <w:rsid w:val="00343E6E"/>
    <w:rsid w:val="00344B62"/>
    <w:rsid w:val="0034529B"/>
    <w:rsid w:val="00346277"/>
    <w:rsid w:val="00346452"/>
    <w:rsid w:val="003469C7"/>
    <w:rsid w:val="00346B63"/>
    <w:rsid w:val="003515B2"/>
    <w:rsid w:val="003525D3"/>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AE5"/>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3C80"/>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A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5"/>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1EDB"/>
    <w:rsid w:val="00D924CC"/>
    <w:rsid w:val="00D930EB"/>
    <w:rsid w:val="00D9323C"/>
    <w:rsid w:val="00D93397"/>
    <w:rsid w:val="00D93823"/>
    <w:rsid w:val="00D938E6"/>
    <w:rsid w:val="00D93B9E"/>
    <w:rsid w:val="00D9440A"/>
    <w:rsid w:val="00D948BC"/>
    <w:rsid w:val="00D94F78"/>
    <w:rsid w:val="00D9559E"/>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0EED"/>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2C3"/>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340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1613"/>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3AE8"/>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297076"/>
    <w:rsid w:val="014C3862"/>
    <w:rsid w:val="017478D4"/>
    <w:rsid w:val="018502B5"/>
    <w:rsid w:val="019333B7"/>
    <w:rsid w:val="01AC1E82"/>
    <w:rsid w:val="01AD122F"/>
    <w:rsid w:val="01B06C60"/>
    <w:rsid w:val="01B42948"/>
    <w:rsid w:val="01B44C12"/>
    <w:rsid w:val="01B95111"/>
    <w:rsid w:val="01BB6A00"/>
    <w:rsid w:val="01CB1ADF"/>
    <w:rsid w:val="022C017A"/>
    <w:rsid w:val="022D1BC3"/>
    <w:rsid w:val="0236353C"/>
    <w:rsid w:val="024A09EC"/>
    <w:rsid w:val="024A0BB7"/>
    <w:rsid w:val="025B5F64"/>
    <w:rsid w:val="026D739D"/>
    <w:rsid w:val="0282299F"/>
    <w:rsid w:val="02AA78A6"/>
    <w:rsid w:val="02BC38D2"/>
    <w:rsid w:val="02C37AC6"/>
    <w:rsid w:val="02C86BF7"/>
    <w:rsid w:val="02DA6FE9"/>
    <w:rsid w:val="02E77227"/>
    <w:rsid w:val="02EB08BF"/>
    <w:rsid w:val="02ED2E83"/>
    <w:rsid w:val="03101E09"/>
    <w:rsid w:val="03316FCB"/>
    <w:rsid w:val="03321D76"/>
    <w:rsid w:val="033738C7"/>
    <w:rsid w:val="03373980"/>
    <w:rsid w:val="03563CB7"/>
    <w:rsid w:val="036C6DAA"/>
    <w:rsid w:val="036E19E4"/>
    <w:rsid w:val="038A6195"/>
    <w:rsid w:val="03925809"/>
    <w:rsid w:val="039F0AF9"/>
    <w:rsid w:val="03B95FF4"/>
    <w:rsid w:val="03C25CCE"/>
    <w:rsid w:val="03DE5A5A"/>
    <w:rsid w:val="03E80687"/>
    <w:rsid w:val="04075304"/>
    <w:rsid w:val="04275930"/>
    <w:rsid w:val="04280D0C"/>
    <w:rsid w:val="044A4D37"/>
    <w:rsid w:val="04510922"/>
    <w:rsid w:val="045955B0"/>
    <w:rsid w:val="04644DB3"/>
    <w:rsid w:val="0468245D"/>
    <w:rsid w:val="04925926"/>
    <w:rsid w:val="049306BE"/>
    <w:rsid w:val="04B8274F"/>
    <w:rsid w:val="04BE207F"/>
    <w:rsid w:val="04BE7047"/>
    <w:rsid w:val="04CA0178"/>
    <w:rsid w:val="04EF19AA"/>
    <w:rsid w:val="050866B0"/>
    <w:rsid w:val="050E0405"/>
    <w:rsid w:val="053A4FF9"/>
    <w:rsid w:val="054A5317"/>
    <w:rsid w:val="054C5424"/>
    <w:rsid w:val="054E0D55"/>
    <w:rsid w:val="05537BA4"/>
    <w:rsid w:val="05706B86"/>
    <w:rsid w:val="05767156"/>
    <w:rsid w:val="0578283B"/>
    <w:rsid w:val="057857F0"/>
    <w:rsid w:val="05867A5F"/>
    <w:rsid w:val="05AA75F9"/>
    <w:rsid w:val="05BF1195"/>
    <w:rsid w:val="05C56758"/>
    <w:rsid w:val="05CF26FA"/>
    <w:rsid w:val="05D918C7"/>
    <w:rsid w:val="0609156B"/>
    <w:rsid w:val="06113EC5"/>
    <w:rsid w:val="06256E72"/>
    <w:rsid w:val="063E7FBE"/>
    <w:rsid w:val="06454049"/>
    <w:rsid w:val="064E0ABE"/>
    <w:rsid w:val="064E1E01"/>
    <w:rsid w:val="065065CB"/>
    <w:rsid w:val="066111B0"/>
    <w:rsid w:val="0668445E"/>
    <w:rsid w:val="067030A9"/>
    <w:rsid w:val="067F09B5"/>
    <w:rsid w:val="06837E0B"/>
    <w:rsid w:val="06927340"/>
    <w:rsid w:val="06994A84"/>
    <w:rsid w:val="069B2375"/>
    <w:rsid w:val="06B238FA"/>
    <w:rsid w:val="06CB0518"/>
    <w:rsid w:val="070729D4"/>
    <w:rsid w:val="07184CB5"/>
    <w:rsid w:val="07386C6B"/>
    <w:rsid w:val="076C6F78"/>
    <w:rsid w:val="07726BE5"/>
    <w:rsid w:val="07A969DE"/>
    <w:rsid w:val="07C31C7B"/>
    <w:rsid w:val="07DF3928"/>
    <w:rsid w:val="07F77F32"/>
    <w:rsid w:val="08191757"/>
    <w:rsid w:val="082A4B2D"/>
    <w:rsid w:val="082A6DEC"/>
    <w:rsid w:val="083C4A8F"/>
    <w:rsid w:val="086026F5"/>
    <w:rsid w:val="08977063"/>
    <w:rsid w:val="08AB2FDA"/>
    <w:rsid w:val="08AC4379"/>
    <w:rsid w:val="08C51D33"/>
    <w:rsid w:val="08CD03F8"/>
    <w:rsid w:val="08F540F1"/>
    <w:rsid w:val="0920642C"/>
    <w:rsid w:val="092B4E76"/>
    <w:rsid w:val="09380C46"/>
    <w:rsid w:val="09A20E16"/>
    <w:rsid w:val="09AA6B0A"/>
    <w:rsid w:val="09B23D32"/>
    <w:rsid w:val="09B951D7"/>
    <w:rsid w:val="09E33DCA"/>
    <w:rsid w:val="09E45997"/>
    <w:rsid w:val="09F07FF9"/>
    <w:rsid w:val="0A092218"/>
    <w:rsid w:val="0A26798D"/>
    <w:rsid w:val="0A326B00"/>
    <w:rsid w:val="0A7315F2"/>
    <w:rsid w:val="0AB61297"/>
    <w:rsid w:val="0AF72FE3"/>
    <w:rsid w:val="0B266665"/>
    <w:rsid w:val="0B30303F"/>
    <w:rsid w:val="0B4D3B6E"/>
    <w:rsid w:val="0B4E7969"/>
    <w:rsid w:val="0B537BAB"/>
    <w:rsid w:val="0B650CF4"/>
    <w:rsid w:val="0B6940EA"/>
    <w:rsid w:val="0B924268"/>
    <w:rsid w:val="0BC45929"/>
    <w:rsid w:val="0C136D81"/>
    <w:rsid w:val="0C1C1816"/>
    <w:rsid w:val="0C216DFD"/>
    <w:rsid w:val="0C587987"/>
    <w:rsid w:val="0C7E214D"/>
    <w:rsid w:val="0C865E84"/>
    <w:rsid w:val="0C8C32F3"/>
    <w:rsid w:val="0CAE3F07"/>
    <w:rsid w:val="0CB6050B"/>
    <w:rsid w:val="0CBE697C"/>
    <w:rsid w:val="0CC61495"/>
    <w:rsid w:val="0CDA7707"/>
    <w:rsid w:val="0CDC732C"/>
    <w:rsid w:val="0CE42333"/>
    <w:rsid w:val="0CE753CF"/>
    <w:rsid w:val="0CFB0B17"/>
    <w:rsid w:val="0D0C5A0C"/>
    <w:rsid w:val="0D373A0B"/>
    <w:rsid w:val="0D531FED"/>
    <w:rsid w:val="0D536A2B"/>
    <w:rsid w:val="0D6214AA"/>
    <w:rsid w:val="0D6D2BE9"/>
    <w:rsid w:val="0DA43871"/>
    <w:rsid w:val="0DC47BD4"/>
    <w:rsid w:val="0DD2058B"/>
    <w:rsid w:val="0DD70BBE"/>
    <w:rsid w:val="0DF63C8E"/>
    <w:rsid w:val="0E007287"/>
    <w:rsid w:val="0E1C7140"/>
    <w:rsid w:val="0E2A4EBB"/>
    <w:rsid w:val="0E2E4511"/>
    <w:rsid w:val="0E673D99"/>
    <w:rsid w:val="0E71212C"/>
    <w:rsid w:val="0E725829"/>
    <w:rsid w:val="0E762757"/>
    <w:rsid w:val="0E786D01"/>
    <w:rsid w:val="0E792B8A"/>
    <w:rsid w:val="0E7D6015"/>
    <w:rsid w:val="0E9B1118"/>
    <w:rsid w:val="0EAD3D4A"/>
    <w:rsid w:val="0EB45CE0"/>
    <w:rsid w:val="0EC341CA"/>
    <w:rsid w:val="0EDC3095"/>
    <w:rsid w:val="0EEA28EB"/>
    <w:rsid w:val="0EF95FD9"/>
    <w:rsid w:val="0F0B4394"/>
    <w:rsid w:val="0F223409"/>
    <w:rsid w:val="0F237467"/>
    <w:rsid w:val="0F3B0205"/>
    <w:rsid w:val="0F3B6457"/>
    <w:rsid w:val="0F424644"/>
    <w:rsid w:val="0F5F63AE"/>
    <w:rsid w:val="0F661BEE"/>
    <w:rsid w:val="0F952D09"/>
    <w:rsid w:val="0FA936AF"/>
    <w:rsid w:val="0FBF1235"/>
    <w:rsid w:val="0FC47870"/>
    <w:rsid w:val="0FC86C70"/>
    <w:rsid w:val="0FD032B4"/>
    <w:rsid w:val="0FF860F6"/>
    <w:rsid w:val="0FFC436C"/>
    <w:rsid w:val="1005368C"/>
    <w:rsid w:val="103055A6"/>
    <w:rsid w:val="104707F7"/>
    <w:rsid w:val="10591833"/>
    <w:rsid w:val="10685029"/>
    <w:rsid w:val="106F280D"/>
    <w:rsid w:val="10843A5D"/>
    <w:rsid w:val="10863CAA"/>
    <w:rsid w:val="109011CF"/>
    <w:rsid w:val="10926863"/>
    <w:rsid w:val="10B15F38"/>
    <w:rsid w:val="10F35875"/>
    <w:rsid w:val="10F61560"/>
    <w:rsid w:val="10F62635"/>
    <w:rsid w:val="111666F6"/>
    <w:rsid w:val="111C017B"/>
    <w:rsid w:val="1120775E"/>
    <w:rsid w:val="11323F23"/>
    <w:rsid w:val="114F2E95"/>
    <w:rsid w:val="115111A9"/>
    <w:rsid w:val="11525130"/>
    <w:rsid w:val="11561F57"/>
    <w:rsid w:val="11673533"/>
    <w:rsid w:val="116A40D1"/>
    <w:rsid w:val="116F4AFA"/>
    <w:rsid w:val="117071F7"/>
    <w:rsid w:val="118A59F2"/>
    <w:rsid w:val="11984A56"/>
    <w:rsid w:val="11CD69F4"/>
    <w:rsid w:val="11E06533"/>
    <w:rsid w:val="12000975"/>
    <w:rsid w:val="12086AC4"/>
    <w:rsid w:val="122114BC"/>
    <w:rsid w:val="122D4958"/>
    <w:rsid w:val="122E093D"/>
    <w:rsid w:val="123C49C0"/>
    <w:rsid w:val="12527D3F"/>
    <w:rsid w:val="125E6BD9"/>
    <w:rsid w:val="12834A7D"/>
    <w:rsid w:val="12B86A79"/>
    <w:rsid w:val="12C06995"/>
    <w:rsid w:val="12D559C7"/>
    <w:rsid w:val="12D80A40"/>
    <w:rsid w:val="12DB66FD"/>
    <w:rsid w:val="12DE0A65"/>
    <w:rsid w:val="12E3504E"/>
    <w:rsid w:val="13023655"/>
    <w:rsid w:val="13213D92"/>
    <w:rsid w:val="13397FAD"/>
    <w:rsid w:val="135703C9"/>
    <w:rsid w:val="13631A10"/>
    <w:rsid w:val="13652F65"/>
    <w:rsid w:val="13877EBC"/>
    <w:rsid w:val="138907D9"/>
    <w:rsid w:val="139C2569"/>
    <w:rsid w:val="139D0602"/>
    <w:rsid w:val="13A30D27"/>
    <w:rsid w:val="13D608C4"/>
    <w:rsid w:val="13E1642A"/>
    <w:rsid w:val="13E37517"/>
    <w:rsid w:val="13ED7281"/>
    <w:rsid w:val="14301D37"/>
    <w:rsid w:val="14393AD1"/>
    <w:rsid w:val="145204CA"/>
    <w:rsid w:val="146A4825"/>
    <w:rsid w:val="147C5547"/>
    <w:rsid w:val="14813A64"/>
    <w:rsid w:val="149F2FE4"/>
    <w:rsid w:val="14A75849"/>
    <w:rsid w:val="14B54B01"/>
    <w:rsid w:val="14BE346A"/>
    <w:rsid w:val="14C52FE6"/>
    <w:rsid w:val="14C8058D"/>
    <w:rsid w:val="14DF3E6F"/>
    <w:rsid w:val="14F77BF1"/>
    <w:rsid w:val="14FF642C"/>
    <w:rsid w:val="15163D07"/>
    <w:rsid w:val="153279F2"/>
    <w:rsid w:val="156F6E5A"/>
    <w:rsid w:val="15734D76"/>
    <w:rsid w:val="15764662"/>
    <w:rsid w:val="15915022"/>
    <w:rsid w:val="15A308B2"/>
    <w:rsid w:val="15AA58DF"/>
    <w:rsid w:val="15AE1730"/>
    <w:rsid w:val="15FE54DC"/>
    <w:rsid w:val="161E7EFB"/>
    <w:rsid w:val="16207125"/>
    <w:rsid w:val="16281D9C"/>
    <w:rsid w:val="16650B45"/>
    <w:rsid w:val="168144CE"/>
    <w:rsid w:val="16971E47"/>
    <w:rsid w:val="16A064EA"/>
    <w:rsid w:val="16A1400D"/>
    <w:rsid w:val="16A97B70"/>
    <w:rsid w:val="16B667DA"/>
    <w:rsid w:val="16BA0E4A"/>
    <w:rsid w:val="16C371C2"/>
    <w:rsid w:val="16E178E4"/>
    <w:rsid w:val="170D40E3"/>
    <w:rsid w:val="1727550D"/>
    <w:rsid w:val="17801A73"/>
    <w:rsid w:val="17AB4A9C"/>
    <w:rsid w:val="17D55010"/>
    <w:rsid w:val="181152FA"/>
    <w:rsid w:val="18323011"/>
    <w:rsid w:val="186D4557"/>
    <w:rsid w:val="188C387F"/>
    <w:rsid w:val="18965078"/>
    <w:rsid w:val="18A57217"/>
    <w:rsid w:val="18DE19FF"/>
    <w:rsid w:val="18E17B6B"/>
    <w:rsid w:val="19145D4E"/>
    <w:rsid w:val="192B4E46"/>
    <w:rsid w:val="19414DFD"/>
    <w:rsid w:val="19492DFC"/>
    <w:rsid w:val="195403E0"/>
    <w:rsid w:val="1957007D"/>
    <w:rsid w:val="195E269E"/>
    <w:rsid w:val="19680820"/>
    <w:rsid w:val="19765E94"/>
    <w:rsid w:val="197919D7"/>
    <w:rsid w:val="19873627"/>
    <w:rsid w:val="19876EED"/>
    <w:rsid w:val="199B4DE8"/>
    <w:rsid w:val="19A21112"/>
    <w:rsid w:val="19A370D2"/>
    <w:rsid w:val="19AA0086"/>
    <w:rsid w:val="19AF5431"/>
    <w:rsid w:val="19B82418"/>
    <w:rsid w:val="19C7547D"/>
    <w:rsid w:val="19F31E08"/>
    <w:rsid w:val="1A082948"/>
    <w:rsid w:val="1A0E305F"/>
    <w:rsid w:val="1A37707A"/>
    <w:rsid w:val="1A4268EB"/>
    <w:rsid w:val="1A58610F"/>
    <w:rsid w:val="1A82331E"/>
    <w:rsid w:val="1A9026A6"/>
    <w:rsid w:val="1A941212"/>
    <w:rsid w:val="1ABD7F1C"/>
    <w:rsid w:val="1AC32548"/>
    <w:rsid w:val="1AC53615"/>
    <w:rsid w:val="1ACB51FD"/>
    <w:rsid w:val="1ACC0364"/>
    <w:rsid w:val="1AE03B14"/>
    <w:rsid w:val="1AE46980"/>
    <w:rsid w:val="1AFB0015"/>
    <w:rsid w:val="1B0B6BC0"/>
    <w:rsid w:val="1B125895"/>
    <w:rsid w:val="1B17268B"/>
    <w:rsid w:val="1B1F6C2C"/>
    <w:rsid w:val="1B1F7C8F"/>
    <w:rsid w:val="1B4C1F6E"/>
    <w:rsid w:val="1B4D356B"/>
    <w:rsid w:val="1B643160"/>
    <w:rsid w:val="1B760734"/>
    <w:rsid w:val="1B7A1BE6"/>
    <w:rsid w:val="1B7B678F"/>
    <w:rsid w:val="1BBB0703"/>
    <w:rsid w:val="1BC44F86"/>
    <w:rsid w:val="1BCE3EBF"/>
    <w:rsid w:val="1BD619E1"/>
    <w:rsid w:val="1BD80238"/>
    <w:rsid w:val="1BD97FC2"/>
    <w:rsid w:val="1BEB47F2"/>
    <w:rsid w:val="1C1C2E82"/>
    <w:rsid w:val="1C3D7633"/>
    <w:rsid w:val="1C49396E"/>
    <w:rsid w:val="1C5C77AB"/>
    <w:rsid w:val="1C677676"/>
    <w:rsid w:val="1C6F7740"/>
    <w:rsid w:val="1C7443B6"/>
    <w:rsid w:val="1C7A0440"/>
    <w:rsid w:val="1C9B0535"/>
    <w:rsid w:val="1CD07AAC"/>
    <w:rsid w:val="1CFD2A80"/>
    <w:rsid w:val="1D0571E1"/>
    <w:rsid w:val="1D177C07"/>
    <w:rsid w:val="1D214EDE"/>
    <w:rsid w:val="1D2B7B0B"/>
    <w:rsid w:val="1D392781"/>
    <w:rsid w:val="1D5C2402"/>
    <w:rsid w:val="1D5D67D9"/>
    <w:rsid w:val="1D723821"/>
    <w:rsid w:val="1D7F7B44"/>
    <w:rsid w:val="1DA148E3"/>
    <w:rsid w:val="1DBE097F"/>
    <w:rsid w:val="1DD65F2E"/>
    <w:rsid w:val="1DEF321D"/>
    <w:rsid w:val="1DF35654"/>
    <w:rsid w:val="1E0026D8"/>
    <w:rsid w:val="1E042BDD"/>
    <w:rsid w:val="1E284B2B"/>
    <w:rsid w:val="1E535274"/>
    <w:rsid w:val="1E543091"/>
    <w:rsid w:val="1E6A3E74"/>
    <w:rsid w:val="1E8312AA"/>
    <w:rsid w:val="1EAA1138"/>
    <w:rsid w:val="1EB008AA"/>
    <w:rsid w:val="1EB07A6C"/>
    <w:rsid w:val="1ECF4C15"/>
    <w:rsid w:val="1ED8710B"/>
    <w:rsid w:val="1EDA3BD8"/>
    <w:rsid w:val="1EED583E"/>
    <w:rsid w:val="1EED6B26"/>
    <w:rsid w:val="1F00342A"/>
    <w:rsid w:val="1F152820"/>
    <w:rsid w:val="1F430143"/>
    <w:rsid w:val="1F492724"/>
    <w:rsid w:val="1F6317DE"/>
    <w:rsid w:val="1FC102B2"/>
    <w:rsid w:val="2027280B"/>
    <w:rsid w:val="202B3AD6"/>
    <w:rsid w:val="203415A5"/>
    <w:rsid w:val="20467B64"/>
    <w:rsid w:val="204834A0"/>
    <w:rsid w:val="20531852"/>
    <w:rsid w:val="20623843"/>
    <w:rsid w:val="206C021E"/>
    <w:rsid w:val="20AB3475"/>
    <w:rsid w:val="20AC0F62"/>
    <w:rsid w:val="20BB10DA"/>
    <w:rsid w:val="20DF4E94"/>
    <w:rsid w:val="20E24984"/>
    <w:rsid w:val="20F00F7A"/>
    <w:rsid w:val="20F326ED"/>
    <w:rsid w:val="210B1133"/>
    <w:rsid w:val="21203C37"/>
    <w:rsid w:val="21233350"/>
    <w:rsid w:val="213D2587"/>
    <w:rsid w:val="21461074"/>
    <w:rsid w:val="21480C86"/>
    <w:rsid w:val="215A0963"/>
    <w:rsid w:val="21677BAA"/>
    <w:rsid w:val="2188552B"/>
    <w:rsid w:val="219D2323"/>
    <w:rsid w:val="21A91391"/>
    <w:rsid w:val="21C37930"/>
    <w:rsid w:val="21E8421C"/>
    <w:rsid w:val="21F26E49"/>
    <w:rsid w:val="220014EE"/>
    <w:rsid w:val="22043EB8"/>
    <w:rsid w:val="2250591D"/>
    <w:rsid w:val="22610B9C"/>
    <w:rsid w:val="228F7F35"/>
    <w:rsid w:val="22984F2B"/>
    <w:rsid w:val="229A4D72"/>
    <w:rsid w:val="22B42350"/>
    <w:rsid w:val="22BA6D16"/>
    <w:rsid w:val="22C02AA3"/>
    <w:rsid w:val="22D14CB0"/>
    <w:rsid w:val="22D731FA"/>
    <w:rsid w:val="22E9024C"/>
    <w:rsid w:val="22EF2871"/>
    <w:rsid w:val="22F31289"/>
    <w:rsid w:val="22F37347"/>
    <w:rsid w:val="23041092"/>
    <w:rsid w:val="23264FFC"/>
    <w:rsid w:val="232708E7"/>
    <w:rsid w:val="233A2855"/>
    <w:rsid w:val="234715F3"/>
    <w:rsid w:val="235B1AEC"/>
    <w:rsid w:val="236C2F23"/>
    <w:rsid w:val="23786F7A"/>
    <w:rsid w:val="239721E6"/>
    <w:rsid w:val="23A3699F"/>
    <w:rsid w:val="23E01126"/>
    <w:rsid w:val="23E01397"/>
    <w:rsid w:val="241C4982"/>
    <w:rsid w:val="242C2446"/>
    <w:rsid w:val="24335A7F"/>
    <w:rsid w:val="243A5A22"/>
    <w:rsid w:val="24570100"/>
    <w:rsid w:val="24661193"/>
    <w:rsid w:val="24885842"/>
    <w:rsid w:val="248912CB"/>
    <w:rsid w:val="24A42751"/>
    <w:rsid w:val="24D12E80"/>
    <w:rsid w:val="24D3778F"/>
    <w:rsid w:val="24DD7BD6"/>
    <w:rsid w:val="24EA28E9"/>
    <w:rsid w:val="25024973"/>
    <w:rsid w:val="25066ECE"/>
    <w:rsid w:val="250714C1"/>
    <w:rsid w:val="251B63F4"/>
    <w:rsid w:val="251E4616"/>
    <w:rsid w:val="25257535"/>
    <w:rsid w:val="25423C43"/>
    <w:rsid w:val="25440B25"/>
    <w:rsid w:val="2556466D"/>
    <w:rsid w:val="25713C7F"/>
    <w:rsid w:val="259711F7"/>
    <w:rsid w:val="259B31B3"/>
    <w:rsid w:val="25A05850"/>
    <w:rsid w:val="25C873AC"/>
    <w:rsid w:val="25CD0E58"/>
    <w:rsid w:val="25D56614"/>
    <w:rsid w:val="26057CCD"/>
    <w:rsid w:val="262E68BC"/>
    <w:rsid w:val="2649167A"/>
    <w:rsid w:val="264B4D7A"/>
    <w:rsid w:val="264C3774"/>
    <w:rsid w:val="265E166E"/>
    <w:rsid w:val="266D0641"/>
    <w:rsid w:val="26810DF2"/>
    <w:rsid w:val="26866302"/>
    <w:rsid w:val="26924F43"/>
    <w:rsid w:val="26995AE5"/>
    <w:rsid w:val="26BA68FB"/>
    <w:rsid w:val="26C027E4"/>
    <w:rsid w:val="26C30DB4"/>
    <w:rsid w:val="26C50688"/>
    <w:rsid w:val="26D60AE7"/>
    <w:rsid w:val="26D93C9C"/>
    <w:rsid w:val="27151DCB"/>
    <w:rsid w:val="2716695B"/>
    <w:rsid w:val="271A5747"/>
    <w:rsid w:val="271D439F"/>
    <w:rsid w:val="271F29A7"/>
    <w:rsid w:val="272B62E8"/>
    <w:rsid w:val="27385564"/>
    <w:rsid w:val="2739458F"/>
    <w:rsid w:val="273A5FED"/>
    <w:rsid w:val="273C5AE9"/>
    <w:rsid w:val="274E0517"/>
    <w:rsid w:val="27617DF2"/>
    <w:rsid w:val="276E0D20"/>
    <w:rsid w:val="276E7FC0"/>
    <w:rsid w:val="279E0B42"/>
    <w:rsid w:val="279F537D"/>
    <w:rsid w:val="27A34676"/>
    <w:rsid w:val="27AC5366"/>
    <w:rsid w:val="27C34E9E"/>
    <w:rsid w:val="283B31B5"/>
    <w:rsid w:val="28743B4B"/>
    <w:rsid w:val="289B01AA"/>
    <w:rsid w:val="28A92821"/>
    <w:rsid w:val="28B23351"/>
    <w:rsid w:val="28CA7DEE"/>
    <w:rsid w:val="28D1580C"/>
    <w:rsid w:val="290C0606"/>
    <w:rsid w:val="29235AE3"/>
    <w:rsid w:val="29345F99"/>
    <w:rsid w:val="293807E2"/>
    <w:rsid w:val="296A3769"/>
    <w:rsid w:val="299D3B3E"/>
    <w:rsid w:val="29AB42A1"/>
    <w:rsid w:val="29B570DA"/>
    <w:rsid w:val="29B61E26"/>
    <w:rsid w:val="29CC61D1"/>
    <w:rsid w:val="29D03F99"/>
    <w:rsid w:val="29D812F2"/>
    <w:rsid w:val="29DB6F13"/>
    <w:rsid w:val="29E8419E"/>
    <w:rsid w:val="29EC35DB"/>
    <w:rsid w:val="29ED1DB9"/>
    <w:rsid w:val="2A003335"/>
    <w:rsid w:val="2A257F5A"/>
    <w:rsid w:val="2A273408"/>
    <w:rsid w:val="2A28357D"/>
    <w:rsid w:val="2A2C5EF9"/>
    <w:rsid w:val="2A3B4D38"/>
    <w:rsid w:val="2A78362C"/>
    <w:rsid w:val="2A8225E0"/>
    <w:rsid w:val="2AA43158"/>
    <w:rsid w:val="2ABA4F2F"/>
    <w:rsid w:val="2AC11AAE"/>
    <w:rsid w:val="2AC57281"/>
    <w:rsid w:val="2ACF41CB"/>
    <w:rsid w:val="2AFC7F9D"/>
    <w:rsid w:val="2B151618"/>
    <w:rsid w:val="2B240ED4"/>
    <w:rsid w:val="2B2C58D7"/>
    <w:rsid w:val="2B526F79"/>
    <w:rsid w:val="2B5740BA"/>
    <w:rsid w:val="2B7A2BBA"/>
    <w:rsid w:val="2C1E6A63"/>
    <w:rsid w:val="2C210716"/>
    <w:rsid w:val="2C224084"/>
    <w:rsid w:val="2C2C2E62"/>
    <w:rsid w:val="2C9104A3"/>
    <w:rsid w:val="2CAE6752"/>
    <w:rsid w:val="2CD91BE2"/>
    <w:rsid w:val="2D01620B"/>
    <w:rsid w:val="2D0B7690"/>
    <w:rsid w:val="2D16195F"/>
    <w:rsid w:val="2D4E142C"/>
    <w:rsid w:val="2D636E9F"/>
    <w:rsid w:val="2D780E25"/>
    <w:rsid w:val="2D8E0752"/>
    <w:rsid w:val="2DC62F01"/>
    <w:rsid w:val="2DE846A1"/>
    <w:rsid w:val="2E097E07"/>
    <w:rsid w:val="2E1046FC"/>
    <w:rsid w:val="2E267112"/>
    <w:rsid w:val="2E421BC1"/>
    <w:rsid w:val="2E6D1303"/>
    <w:rsid w:val="2E87783F"/>
    <w:rsid w:val="2E8928E3"/>
    <w:rsid w:val="2E894691"/>
    <w:rsid w:val="2E9A7AE7"/>
    <w:rsid w:val="2E9C2616"/>
    <w:rsid w:val="2EB02FB3"/>
    <w:rsid w:val="2EBF49DB"/>
    <w:rsid w:val="2EE463B9"/>
    <w:rsid w:val="2EF04EC3"/>
    <w:rsid w:val="2F083808"/>
    <w:rsid w:val="2F226C62"/>
    <w:rsid w:val="2F2D4FF3"/>
    <w:rsid w:val="2F384D18"/>
    <w:rsid w:val="2F3A6DCF"/>
    <w:rsid w:val="2F4C3F51"/>
    <w:rsid w:val="2F4E2935"/>
    <w:rsid w:val="2F6440CA"/>
    <w:rsid w:val="2F776026"/>
    <w:rsid w:val="2F9A013C"/>
    <w:rsid w:val="2FA06136"/>
    <w:rsid w:val="2FBA6CFA"/>
    <w:rsid w:val="2FEC6BC4"/>
    <w:rsid w:val="2FEE1054"/>
    <w:rsid w:val="2FF47F72"/>
    <w:rsid w:val="2FFC27E2"/>
    <w:rsid w:val="30064604"/>
    <w:rsid w:val="300E008A"/>
    <w:rsid w:val="30182EF1"/>
    <w:rsid w:val="303858BC"/>
    <w:rsid w:val="30693876"/>
    <w:rsid w:val="306A22A0"/>
    <w:rsid w:val="308D4D16"/>
    <w:rsid w:val="30B1468C"/>
    <w:rsid w:val="30C35828"/>
    <w:rsid w:val="30DB745D"/>
    <w:rsid w:val="30EB350E"/>
    <w:rsid w:val="30F43299"/>
    <w:rsid w:val="310F5409"/>
    <w:rsid w:val="312017B7"/>
    <w:rsid w:val="31253BE4"/>
    <w:rsid w:val="31315319"/>
    <w:rsid w:val="313A1498"/>
    <w:rsid w:val="313D4D07"/>
    <w:rsid w:val="31530A21"/>
    <w:rsid w:val="31653F38"/>
    <w:rsid w:val="31897174"/>
    <w:rsid w:val="31A00580"/>
    <w:rsid w:val="31B23EFF"/>
    <w:rsid w:val="31B91281"/>
    <w:rsid w:val="31C4532A"/>
    <w:rsid w:val="31D16A7B"/>
    <w:rsid w:val="32074121"/>
    <w:rsid w:val="32081D71"/>
    <w:rsid w:val="321766AE"/>
    <w:rsid w:val="32295A9A"/>
    <w:rsid w:val="32484598"/>
    <w:rsid w:val="324B3775"/>
    <w:rsid w:val="3257790D"/>
    <w:rsid w:val="32653D88"/>
    <w:rsid w:val="327F26A5"/>
    <w:rsid w:val="32850A3A"/>
    <w:rsid w:val="328829CA"/>
    <w:rsid w:val="3295140A"/>
    <w:rsid w:val="32C215B3"/>
    <w:rsid w:val="32E71C43"/>
    <w:rsid w:val="32F95CB7"/>
    <w:rsid w:val="330C52A8"/>
    <w:rsid w:val="33184147"/>
    <w:rsid w:val="332F5B8B"/>
    <w:rsid w:val="33395897"/>
    <w:rsid w:val="335E7861"/>
    <w:rsid w:val="33A7521A"/>
    <w:rsid w:val="33B56090"/>
    <w:rsid w:val="33C55CA7"/>
    <w:rsid w:val="33D95773"/>
    <w:rsid w:val="33DF0372"/>
    <w:rsid w:val="33EA5CAB"/>
    <w:rsid w:val="33FD3B57"/>
    <w:rsid w:val="34023DD2"/>
    <w:rsid w:val="341D33E7"/>
    <w:rsid w:val="34522BF7"/>
    <w:rsid w:val="345C7BA2"/>
    <w:rsid w:val="345E0C5E"/>
    <w:rsid w:val="3473401C"/>
    <w:rsid w:val="34B24A2F"/>
    <w:rsid w:val="34CD0C0B"/>
    <w:rsid w:val="34E15227"/>
    <w:rsid w:val="34E50629"/>
    <w:rsid w:val="34F138B2"/>
    <w:rsid w:val="350512F4"/>
    <w:rsid w:val="351C3AC1"/>
    <w:rsid w:val="351E4524"/>
    <w:rsid w:val="351F3A34"/>
    <w:rsid w:val="351F7AFD"/>
    <w:rsid w:val="35305866"/>
    <w:rsid w:val="3531347E"/>
    <w:rsid w:val="35366152"/>
    <w:rsid w:val="35815059"/>
    <w:rsid w:val="35A60906"/>
    <w:rsid w:val="35BB43A3"/>
    <w:rsid w:val="35BC0844"/>
    <w:rsid w:val="35BE1287"/>
    <w:rsid w:val="35C90051"/>
    <w:rsid w:val="35D179D8"/>
    <w:rsid w:val="35D457D9"/>
    <w:rsid w:val="35E533FD"/>
    <w:rsid w:val="35F03248"/>
    <w:rsid w:val="36387B7A"/>
    <w:rsid w:val="365612FD"/>
    <w:rsid w:val="36584736"/>
    <w:rsid w:val="36673764"/>
    <w:rsid w:val="36682873"/>
    <w:rsid w:val="368D0B85"/>
    <w:rsid w:val="36A60D74"/>
    <w:rsid w:val="36AD3D17"/>
    <w:rsid w:val="36AF6640"/>
    <w:rsid w:val="36B80102"/>
    <w:rsid w:val="36D24873"/>
    <w:rsid w:val="36DE18DC"/>
    <w:rsid w:val="36EF1205"/>
    <w:rsid w:val="36F95F9A"/>
    <w:rsid w:val="370228E9"/>
    <w:rsid w:val="37304231"/>
    <w:rsid w:val="37533C5A"/>
    <w:rsid w:val="3755686B"/>
    <w:rsid w:val="37557BBE"/>
    <w:rsid w:val="375D2B5F"/>
    <w:rsid w:val="375D66BB"/>
    <w:rsid w:val="37860E6B"/>
    <w:rsid w:val="378F7207"/>
    <w:rsid w:val="37983666"/>
    <w:rsid w:val="37B3316C"/>
    <w:rsid w:val="37D13BBF"/>
    <w:rsid w:val="37F940E0"/>
    <w:rsid w:val="38002855"/>
    <w:rsid w:val="380205D3"/>
    <w:rsid w:val="380D6A28"/>
    <w:rsid w:val="3814652D"/>
    <w:rsid w:val="38291A7F"/>
    <w:rsid w:val="383C2774"/>
    <w:rsid w:val="384D3CF2"/>
    <w:rsid w:val="38546316"/>
    <w:rsid w:val="3860038E"/>
    <w:rsid w:val="38634F5B"/>
    <w:rsid w:val="388B12FA"/>
    <w:rsid w:val="388C1B7E"/>
    <w:rsid w:val="38A25EEC"/>
    <w:rsid w:val="38B80E59"/>
    <w:rsid w:val="38BA25C8"/>
    <w:rsid w:val="38BC39AE"/>
    <w:rsid w:val="38C904AC"/>
    <w:rsid w:val="38D343A6"/>
    <w:rsid w:val="38E86458"/>
    <w:rsid w:val="38FC52CA"/>
    <w:rsid w:val="390A586B"/>
    <w:rsid w:val="391B4A7F"/>
    <w:rsid w:val="39210769"/>
    <w:rsid w:val="39277A0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C438C"/>
    <w:rsid w:val="3A2D246A"/>
    <w:rsid w:val="3A376124"/>
    <w:rsid w:val="3A6304FA"/>
    <w:rsid w:val="3A641E70"/>
    <w:rsid w:val="3A6601A9"/>
    <w:rsid w:val="3A863661"/>
    <w:rsid w:val="3AA30EF2"/>
    <w:rsid w:val="3AAA4C5C"/>
    <w:rsid w:val="3AC05299"/>
    <w:rsid w:val="3AE8417F"/>
    <w:rsid w:val="3AEB0F20"/>
    <w:rsid w:val="3B08311F"/>
    <w:rsid w:val="3B0E2B69"/>
    <w:rsid w:val="3B0E6055"/>
    <w:rsid w:val="3B1F2605"/>
    <w:rsid w:val="3B2E5D86"/>
    <w:rsid w:val="3B3847B4"/>
    <w:rsid w:val="3B7E03CD"/>
    <w:rsid w:val="3B8E522A"/>
    <w:rsid w:val="3B8E6CFB"/>
    <w:rsid w:val="3B9C7F8B"/>
    <w:rsid w:val="3B9E66EB"/>
    <w:rsid w:val="3BDB2700"/>
    <w:rsid w:val="3BDC04F6"/>
    <w:rsid w:val="3BE641D9"/>
    <w:rsid w:val="3BF54015"/>
    <w:rsid w:val="3C415BC1"/>
    <w:rsid w:val="3C4F1540"/>
    <w:rsid w:val="3C577B7C"/>
    <w:rsid w:val="3C8B75CB"/>
    <w:rsid w:val="3C8E44DC"/>
    <w:rsid w:val="3CA64660"/>
    <w:rsid w:val="3CB46D7D"/>
    <w:rsid w:val="3CCF005B"/>
    <w:rsid w:val="3CE31410"/>
    <w:rsid w:val="3CE94CFE"/>
    <w:rsid w:val="3CF70042"/>
    <w:rsid w:val="3CFE26EE"/>
    <w:rsid w:val="3CFE4428"/>
    <w:rsid w:val="3D0A283C"/>
    <w:rsid w:val="3D0F7A78"/>
    <w:rsid w:val="3D1A29C0"/>
    <w:rsid w:val="3D261297"/>
    <w:rsid w:val="3D2C6921"/>
    <w:rsid w:val="3D3F6339"/>
    <w:rsid w:val="3D4F112B"/>
    <w:rsid w:val="3D563144"/>
    <w:rsid w:val="3D6700C8"/>
    <w:rsid w:val="3D6C3F8F"/>
    <w:rsid w:val="3D80381B"/>
    <w:rsid w:val="3D965592"/>
    <w:rsid w:val="3D9B69D7"/>
    <w:rsid w:val="3DA921CE"/>
    <w:rsid w:val="3DAA3846"/>
    <w:rsid w:val="3DC6513E"/>
    <w:rsid w:val="3DCC1B3F"/>
    <w:rsid w:val="3E126451"/>
    <w:rsid w:val="3E3654C6"/>
    <w:rsid w:val="3E425E9E"/>
    <w:rsid w:val="3E5154C3"/>
    <w:rsid w:val="3E622B56"/>
    <w:rsid w:val="3E7D27A9"/>
    <w:rsid w:val="3EA700D4"/>
    <w:rsid w:val="3EB0155F"/>
    <w:rsid w:val="3EB4528A"/>
    <w:rsid w:val="3EB83E8C"/>
    <w:rsid w:val="3ED4395B"/>
    <w:rsid w:val="3EE65813"/>
    <w:rsid w:val="3EEE5D94"/>
    <w:rsid w:val="3F281C8B"/>
    <w:rsid w:val="3F2B369B"/>
    <w:rsid w:val="3F2D1271"/>
    <w:rsid w:val="3F490E2C"/>
    <w:rsid w:val="3F8A11C4"/>
    <w:rsid w:val="3FA21E68"/>
    <w:rsid w:val="3FA51E2D"/>
    <w:rsid w:val="3FBA42C9"/>
    <w:rsid w:val="3FC21B60"/>
    <w:rsid w:val="3FE55BE1"/>
    <w:rsid w:val="3FEC7045"/>
    <w:rsid w:val="400F298B"/>
    <w:rsid w:val="40176E56"/>
    <w:rsid w:val="401A15ED"/>
    <w:rsid w:val="40281319"/>
    <w:rsid w:val="402B24D9"/>
    <w:rsid w:val="40583AA7"/>
    <w:rsid w:val="4063752F"/>
    <w:rsid w:val="40791B32"/>
    <w:rsid w:val="408E6128"/>
    <w:rsid w:val="40B01F51"/>
    <w:rsid w:val="40B7580A"/>
    <w:rsid w:val="40E8658C"/>
    <w:rsid w:val="40EA0A47"/>
    <w:rsid w:val="41120914"/>
    <w:rsid w:val="41122359"/>
    <w:rsid w:val="41583781"/>
    <w:rsid w:val="41590F18"/>
    <w:rsid w:val="41B75F56"/>
    <w:rsid w:val="41DD0677"/>
    <w:rsid w:val="41EA1107"/>
    <w:rsid w:val="41F8595E"/>
    <w:rsid w:val="420D0BFB"/>
    <w:rsid w:val="42135081"/>
    <w:rsid w:val="421D7172"/>
    <w:rsid w:val="42325536"/>
    <w:rsid w:val="423821FE"/>
    <w:rsid w:val="424C0DDC"/>
    <w:rsid w:val="425965CC"/>
    <w:rsid w:val="42745CCA"/>
    <w:rsid w:val="42981E02"/>
    <w:rsid w:val="42982C9D"/>
    <w:rsid w:val="42BF33F5"/>
    <w:rsid w:val="42F5057E"/>
    <w:rsid w:val="430F2E28"/>
    <w:rsid w:val="43317379"/>
    <w:rsid w:val="435D0552"/>
    <w:rsid w:val="43770B04"/>
    <w:rsid w:val="43B43389"/>
    <w:rsid w:val="43CE758C"/>
    <w:rsid w:val="43D30430"/>
    <w:rsid w:val="43E62E42"/>
    <w:rsid w:val="43ED2A01"/>
    <w:rsid w:val="43ED41F8"/>
    <w:rsid w:val="43FE2FD4"/>
    <w:rsid w:val="4415186B"/>
    <w:rsid w:val="44205379"/>
    <w:rsid w:val="442B21C2"/>
    <w:rsid w:val="44810C39"/>
    <w:rsid w:val="4487082B"/>
    <w:rsid w:val="44C47E8D"/>
    <w:rsid w:val="44CB77D6"/>
    <w:rsid w:val="44D644A6"/>
    <w:rsid w:val="44E87F0C"/>
    <w:rsid w:val="44FA6FBA"/>
    <w:rsid w:val="45251A0E"/>
    <w:rsid w:val="457D0EE3"/>
    <w:rsid w:val="457D77F6"/>
    <w:rsid w:val="458F65D9"/>
    <w:rsid w:val="45940C6E"/>
    <w:rsid w:val="45990D03"/>
    <w:rsid w:val="45B50FCD"/>
    <w:rsid w:val="45C46374"/>
    <w:rsid w:val="45C46C52"/>
    <w:rsid w:val="45C85BFA"/>
    <w:rsid w:val="45DE7D14"/>
    <w:rsid w:val="45F44B62"/>
    <w:rsid w:val="46112DA2"/>
    <w:rsid w:val="46165921"/>
    <w:rsid w:val="46201AB9"/>
    <w:rsid w:val="46205EC3"/>
    <w:rsid w:val="46270ACB"/>
    <w:rsid w:val="462D60CB"/>
    <w:rsid w:val="46445615"/>
    <w:rsid w:val="46545338"/>
    <w:rsid w:val="466E4D67"/>
    <w:rsid w:val="467535AE"/>
    <w:rsid w:val="4678062E"/>
    <w:rsid w:val="46821C9A"/>
    <w:rsid w:val="46870808"/>
    <w:rsid w:val="46AE0D89"/>
    <w:rsid w:val="46CB70CA"/>
    <w:rsid w:val="46E21A9F"/>
    <w:rsid w:val="46EC357A"/>
    <w:rsid w:val="46F801AE"/>
    <w:rsid w:val="46FC1A4C"/>
    <w:rsid w:val="47152CBF"/>
    <w:rsid w:val="47370CD6"/>
    <w:rsid w:val="474C2536"/>
    <w:rsid w:val="474F1229"/>
    <w:rsid w:val="47585533"/>
    <w:rsid w:val="47633B87"/>
    <w:rsid w:val="47810CC8"/>
    <w:rsid w:val="478F466E"/>
    <w:rsid w:val="479A729D"/>
    <w:rsid w:val="479B73DD"/>
    <w:rsid w:val="47CC3A50"/>
    <w:rsid w:val="480B64F6"/>
    <w:rsid w:val="481D43A9"/>
    <w:rsid w:val="48304801"/>
    <w:rsid w:val="48341101"/>
    <w:rsid w:val="48450FFC"/>
    <w:rsid w:val="486B4979"/>
    <w:rsid w:val="4880599F"/>
    <w:rsid w:val="48C0308B"/>
    <w:rsid w:val="48E704DA"/>
    <w:rsid w:val="48F826E7"/>
    <w:rsid w:val="48FC68D1"/>
    <w:rsid w:val="48FE2934"/>
    <w:rsid w:val="490F4A1B"/>
    <w:rsid w:val="49166B02"/>
    <w:rsid w:val="49234B7F"/>
    <w:rsid w:val="49303C2F"/>
    <w:rsid w:val="493A060A"/>
    <w:rsid w:val="494752E2"/>
    <w:rsid w:val="494858A8"/>
    <w:rsid w:val="496040B8"/>
    <w:rsid w:val="49813938"/>
    <w:rsid w:val="49877E1D"/>
    <w:rsid w:val="499E1D69"/>
    <w:rsid w:val="49BD1E5B"/>
    <w:rsid w:val="49C609B6"/>
    <w:rsid w:val="49CD3F23"/>
    <w:rsid w:val="49D2778F"/>
    <w:rsid w:val="49E669E4"/>
    <w:rsid w:val="4A4A3B86"/>
    <w:rsid w:val="4A704B0B"/>
    <w:rsid w:val="4A871534"/>
    <w:rsid w:val="4A9C1E58"/>
    <w:rsid w:val="4ABB39CC"/>
    <w:rsid w:val="4ADE0BBB"/>
    <w:rsid w:val="4AE43967"/>
    <w:rsid w:val="4AE629AF"/>
    <w:rsid w:val="4AEF3676"/>
    <w:rsid w:val="4B0F2A62"/>
    <w:rsid w:val="4B20778C"/>
    <w:rsid w:val="4B6B53F2"/>
    <w:rsid w:val="4B734FCB"/>
    <w:rsid w:val="4B7F5330"/>
    <w:rsid w:val="4B9261F2"/>
    <w:rsid w:val="4BBA3F83"/>
    <w:rsid w:val="4BBE1D9B"/>
    <w:rsid w:val="4BC66ACD"/>
    <w:rsid w:val="4BDE56B2"/>
    <w:rsid w:val="4BFA32A7"/>
    <w:rsid w:val="4C691265"/>
    <w:rsid w:val="4C6B6F86"/>
    <w:rsid w:val="4C82218F"/>
    <w:rsid w:val="4CBD27F7"/>
    <w:rsid w:val="4CC8576A"/>
    <w:rsid w:val="4CE731CB"/>
    <w:rsid w:val="4CF972CF"/>
    <w:rsid w:val="4D140AFF"/>
    <w:rsid w:val="4D265A75"/>
    <w:rsid w:val="4D4F4080"/>
    <w:rsid w:val="4D524A2E"/>
    <w:rsid w:val="4D550108"/>
    <w:rsid w:val="4D796F28"/>
    <w:rsid w:val="4D7C6465"/>
    <w:rsid w:val="4D8B4016"/>
    <w:rsid w:val="4D9421A4"/>
    <w:rsid w:val="4DBF250C"/>
    <w:rsid w:val="4DC95FEB"/>
    <w:rsid w:val="4DFC2F26"/>
    <w:rsid w:val="4E117EDA"/>
    <w:rsid w:val="4E283E25"/>
    <w:rsid w:val="4E2D4B0B"/>
    <w:rsid w:val="4E386F08"/>
    <w:rsid w:val="4E5F48B6"/>
    <w:rsid w:val="4EA54FF4"/>
    <w:rsid w:val="4EAD70C9"/>
    <w:rsid w:val="4EF0521B"/>
    <w:rsid w:val="4F0C7728"/>
    <w:rsid w:val="4F32649A"/>
    <w:rsid w:val="4F3460FE"/>
    <w:rsid w:val="4F534DF8"/>
    <w:rsid w:val="4F602D94"/>
    <w:rsid w:val="4F776F22"/>
    <w:rsid w:val="4FF37764"/>
    <w:rsid w:val="4FFC5272"/>
    <w:rsid w:val="501E4A7F"/>
    <w:rsid w:val="501F0559"/>
    <w:rsid w:val="5020585D"/>
    <w:rsid w:val="50242014"/>
    <w:rsid w:val="50275690"/>
    <w:rsid w:val="506802DF"/>
    <w:rsid w:val="50795316"/>
    <w:rsid w:val="5080057E"/>
    <w:rsid w:val="508807F5"/>
    <w:rsid w:val="509D67B6"/>
    <w:rsid w:val="50A73956"/>
    <w:rsid w:val="50AE73B1"/>
    <w:rsid w:val="50C418BE"/>
    <w:rsid w:val="511235E1"/>
    <w:rsid w:val="51332C9A"/>
    <w:rsid w:val="515D42F8"/>
    <w:rsid w:val="51701F58"/>
    <w:rsid w:val="51800E1F"/>
    <w:rsid w:val="518C4FEB"/>
    <w:rsid w:val="51991216"/>
    <w:rsid w:val="519A7B89"/>
    <w:rsid w:val="51A97CBF"/>
    <w:rsid w:val="51B7614C"/>
    <w:rsid w:val="51D0506A"/>
    <w:rsid w:val="51D94D95"/>
    <w:rsid w:val="51F25B66"/>
    <w:rsid w:val="51F31543"/>
    <w:rsid w:val="52127A77"/>
    <w:rsid w:val="52192AB0"/>
    <w:rsid w:val="521C0E43"/>
    <w:rsid w:val="52232583"/>
    <w:rsid w:val="522349CD"/>
    <w:rsid w:val="524B1CBA"/>
    <w:rsid w:val="5265735D"/>
    <w:rsid w:val="5269105C"/>
    <w:rsid w:val="5276494B"/>
    <w:rsid w:val="528A4B76"/>
    <w:rsid w:val="52A83907"/>
    <w:rsid w:val="52C5363A"/>
    <w:rsid w:val="52C67471"/>
    <w:rsid w:val="52C67A35"/>
    <w:rsid w:val="52D61478"/>
    <w:rsid w:val="52E55A8A"/>
    <w:rsid w:val="52EB06DF"/>
    <w:rsid w:val="530E2DF9"/>
    <w:rsid w:val="53203FDF"/>
    <w:rsid w:val="53311227"/>
    <w:rsid w:val="53413510"/>
    <w:rsid w:val="53476745"/>
    <w:rsid w:val="537961D3"/>
    <w:rsid w:val="53B97671"/>
    <w:rsid w:val="53E25011"/>
    <w:rsid w:val="54033236"/>
    <w:rsid w:val="541F321E"/>
    <w:rsid w:val="542C180D"/>
    <w:rsid w:val="542F18EE"/>
    <w:rsid w:val="544832CE"/>
    <w:rsid w:val="54516A3D"/>
    <w:rsid w:val="54531EE2"/>
    <w:rsid w:val="54637A30"/>
    <w:rsid w:val="546834BD"/>
    <w:rsid w:val="547221EC"/>
    <w:rsid w:val="54A87CBF"/>
    <w:rsid w:val="54E135EF"/>
    <w:rsid w:val="54E13A1D"/>
    <w:rsid w:val="54ED5120"/>
    <w:rsid w:val="54F41075"/>
    <w:rsid w:val="55002C50"/>
    <w:rsid w:val="55314FB7"/>
    <w:rsid w:val="553A5F54"/>
    <w:rsid w:val="55460217"/>
    <w:rsid w:val="554F18E1"/>
    <w:rsid w:val="55541FE5"/>
    <w:rsid w:val="556E7AEA"/>
    <w:rsid w:val="556F5ADF"/>
    <w:rsid w:val="5573623D"/>
    <w:rsid w:val="55B76E8B"/>
    <w:rsid w:val="560011AE"/>
    <w:rsid w:val="56040FDB"/>
    <w:rsid w:val="560F57AD"/>
    <w:rsid w:val="562945FA"/>
    <w:rsid w:val="565B3F85"/>
    <w:rsid w:val="56A24FEE"/>
    <w:rsid w:val="56A2639A"/>
    <w:rsid w:val="56B72191"/>
    <w:rsid w:val="571476B3"/>
    <w:rsid w:val="571E77BD"/>
    <w:rsid w:val="573503FB"/>
    <w:rsid w:val="574C432A"/>
    <w:rsid w:val="57760FF6"/>
    <w:rsid w:val="577A40F1"/>
    <w:rsid w:val="57825340"/>
    <w:rsid w:val="578265ED"/>
    <w:rsid w:val="578831DF"/>
    <w:rsid w:val="57AC4DC9"/>
    <w:rsid w:val="57AD0853"/>
    <w:rsid w:val="57C2283E"/>
    <w:rsid w:val="58066C65"/>
    <w:rsid w:val="58310E9E"/>
    <w:rsid w:val="5842443E"/>
    <w:rsid w:val="5846633A"/>
    <w:rsid w:val="585A4825"/>
    <w:rsid w:val="586D265D"/>
    <w:rsid w:val="58786777"/>
    <w:rsid w:val="58983F2C"/>
    <w:rsid w:val="58997962"/>
    <w:rsid w:val="58BF0B2C"/>
    <w:rsid w:val="58EA5C33"/>
    <w:rsid w:val="59000F93"/>
    <w:rsid w:val="59004D18"/>
    <w:rsid w:val="591A2257"/>
    <w:rsid w:val="591E2E5A"/>
    <w:rsid w:val="592940E3"/>
    <w:rsid w:val="593A010E"/>
    <w:rsid w:val="59460625"/>
    <w:rsid w:val="59554F3A"/>
    <w:rsid w:val="596F1D6D"/>
    <w:rsid w:val="59771406"/>
    <w:rsid w:val="59861D78"/>
    <w:rsid w:val="5989006F"/>
    <w:rsid w:val="59907946"/>
    <w:rsid w:val="59972F13"/>
    <w:rsid w:val="59C43A48"/>
    <w:rsid w:val="59FA6411"/>
    <w:rsid w:val="59FA6EB5"/>
    <w:rsid w:val="59FC4889"/>
    <w:rsid w:val="5A0D2F69"/>
    <w:rsid w:val="5A2A464D"/>
    <w:rsid w:val="5A3E78D4"/>
    <w:rsid w:val="5A3F0176"/>
    <w:rsid w:val="5A44201E"/>
    <w:rsid w:val="5A4B6512"/>
    <w:rsid w:val="5A6F4506"/>
    <w:rsid w:val="5A850088"/>
    <w:rsid w:val="5A997ACC"/>
    <w:rsid w:val="5AA60A01"/>
    <w:rsid w:val="5AD6708D"/>
    <w:rsid w:val="5B080EF4"/>
    <w:rsid w:val="5B0D0A72"/>
    <w:rsid w:val="5B156B57"/>
    <w:rsid w:val="5B2933A2"/>
    <w:rsid w:val="5B293B29"/>
    <w:rsid w:val="5B423CA3"/>
    <w:rsid w:val="5B5D75AF"/>
    <w:rsid w:val="5B664347"/>
    <w:rsid w:val="5B6B7CAB"/>
    <w:rsid w:val="5B915E2F"/>
    <w:rsid w:val="5B9A274A"/>
    <w:rsid w:val="5B9F15AA"/>
    <w:rsid w:val="5BA945B6"/>
    <w:rsid w:val="5BAC4388"/>
    <w:rsid w:val="5BB4249E"/>
    <w:rsid w:val="5BB64A5F"/>
    <w:rsid w:val="5BC12BCC"/>
    <w:rsid w:val="5BD00ECD"/>
    <w:rsid w:val="5BDE15B3"/>
    <w:rsid w:val="5BF154A0"/>
    <w:rsid w:val="5C0640D6"/>
    <w:rsid w:val="5C1B3D9C"/>
    <w:rsid w:val="5C2C386A"/>
    <w:rsid w:val="5C2E3E7A"/>
    <w:rsid w:val="5C314204"/>
    <w:rsid w:val="5C5477DD"/>
    <w:rsid w:val="5C8747C8"/>
    <w:rsid w:val="5C974299"/>
    <w:rsid w:val="5CE01400"/>
    <w:rsid w:val="5CE5618C"/>
    <w:rsid w:val="5D064BB6"/>
    <w:rsid w:val="5D191318"/>
    <w:rsid w:val="5D201D45"/>
    <w:rsid w:val="5D2023EF"/>
    <w:rsid w:val="5D230805"/>
    <w:rsid w:val="5D243F74"/>
    <w:rsid w:val="5D2C556F"/>
    <w:rsid w:val="5D331AE8"/>
    <w:rsid w:val="5D3E4715"/>
    <w:rsid w:val="5D6210FF"/>
    <w:rsid w:val="5D6736A1"/>
    <w:rsid w:val="5D6C57C7"/>
    <w:rsid w:val="5D7320A4"/>
    <w:rsid w:val="5D9263BD"/>
    <w:rsid w:val="5DA4012C"/>
    <w:rsid w:val="5DBF61E0"/>
    <w:rsid w:val="5DC5106F"/>
    <w:rsid w:val="5DC714A4"/>
    <w:rsid w:val="5DDD3161"/>
    <w:rsid w:val="5DE52DE2"/>
    <w:rsid w:val="5DE643F1"/>
    <w:rsid w:val="5DEE7EF0"/>
    <w:rsid w:val="5DF5171A"/>
    <w:rsid w:val="5E070ADA"/>
    <w:rsid w:val="5E0F4E23"/>
    <w:rsid w:val="5E5E507D"/>
    <w:rsid w:val="5E7128C8"/>
    <w:rsid w:val="5E765872"/>
    <w:rsid w:val="5E8548E7"/>
    <w:rsid w:val="5E931C97"/>
    <w:rsid w:val="5EB43A7B"/>
    <w:rsid w:val="5ED456F4"/>
    <w:rsid w:val="5ED8453E"/>
    <w:rsid w:val="5EDB2012"/>
    <w:rsid w:val="5EDD73F4"/>
    <w:rsid w:val="5EEC7DCA"/>
    <w:rsid w:val="5EF32E58"/>
    <w:rsid w:val="5EF774F9"/>
    <w:rsid w:val="5F0228C7"/>
    <w:rsid w:val="5F097502"/>
    <w:rsid w:val="5F0C2975"/>
    <w:rsid w:val="5F16521D"/>
    <w:rsid w:val="5F170343"/>
    <w:rsid w:val="5F233DB9"/>
    <w:rsid w:val="5F2F4A52"/>
    <w:rsid w:val="5F3F0B7E"/>
    <w:rsid w:val="5F3F1DD6"/>
    <w:rsid w:val="5F42773D"/>
    <w:rsid w:val="5F427DC1"/>
    <w:rsid w:val="5F4650C3"/>
    <w:rsid w:val="5F4E5E14"/>
    <w:rsid w:val="5F4F0D4C"/>
    <w:rsid w:val="5F4F545C"/>
    <w:rsid w:val="5F5874BC"/>
    <w:rsid w:val="5F5A3F05"/>
    <w:rsid w:val="5F6138D2"/>
    <w:rsid w:val="5F775CBC"/>
    <w:rsid w:val="5F833A67"/>
    <w:rsid w:val="5F906D7E"/>
    <w:rsid w:val="5F945CAA"/>
    <w:rsid w:val="5FA144ED"/>
    <w:rsid w:val="5FB16BF3"/>
    <w:rsid w:val="5FB7050B"/>
    <w:rsid w:val="5FC03B6F"/>
    <w:rsid w:val="5FCB425A"/>
    <w:rsid w:val="5FE445EE"/>
    <w:rsid w:val="5FFC6E31"/>
    <w:rsid w:val="60011A2A"/>
    <w:rsid w:val="60134C9A"/>
    <w:rsid w:val="602A42DD"/>
    <w:rsid w:val="603806E6"/>
    <w:rsid w:val="604A14D9"/>
    <w:rsid w:val="606E2574"/>
    <w:rsid w:val="607B1928"/>
    <w:rsid w:val="607E307A"/>
    <w:rsid w:val="608B44BF"/>
    <w:rsid w:val="608F5FC8"/>
    <w:rsid w:val="6093595B"/>
    <w:rsid w:val="60BA591C"/>
    <w:rsid w:val="60C25F34"/>
    <w:rsid w:val="60D513B9"/>
    <w:rsid w:val="60F35B17"/>
    <w:rsid w:val="610712C2"/>
    <w:rsid w:val="612D0B66"/>
    <w:rsid w:val="614F7CC5"/>
    <w:rsid w:val="615677DD"/>
    <w:rsid w:val="61582975"/>
    <w:rsid w:val="61725A9D"/>
    <w:rsid w:val="617821BF"/>
    <w:rsid w:val="619A1895"/>
    <w:rsid w:val="61A33FF9"/>
    <w:rsid w:val="61C55F81"/>
    <w:rsid w:val="61CC6169"/>
    <w:rsid w:val="61CD238F"/>
    <w:rsid w:val="61FA3ECE"/>
    <w:rsid w:val="6207667E"/>
    <w:rsid w:val="622540F5"/>
    <w:rsid w:val="62387844"/>
    <w:rsid w:val="623A31A1"/>
    <w:rsid w:val="624B44C8"/>
    <w:rsid w:val="624D43A8"/>
    <w:rsid w:val="627A393A"/>
    <w:rsid w:val="62944DD7"/>
    <w:rsid w:val="62996886"/>
    <w:rsid w:val="62B66AFB"/>
    <w:rsid w:val="62B9686D"/>
    <w:rsid w:val="62D326E3"/>
    <w:rsid w:val="62DB0B1C"/>
    <w:rsid w:val="63052873"/>
    <w:rsid w:val="630755A9"/>
    <w:rsid w:val="630B64B3"/>
    <w:rsid w:val="632C4010"/>
    <w:rsid w:val="63363C32"/>
    <w:rsid w:val="63365FD2"/>
    <w:rsid w:val="6353075B"/>
    <w:rsid w:val="63594A26"/>
    <w:rsid w:val="63827325"/>
    <w:rsid w:val="6392012A"/>
    <w:rsid w:val="63A90BE4"/>
    <w:rsid w:val="63AE5BC7"/>
    <w:rsid w:val="63C14E26"/>
    <w:rsid w:val="63F0428F"/>
    <w:rsid w:val="63F23619"/>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00BA2"/>
    <w:rsid w:val="651D1DC2"/>
    <w:rsid w:val="6530528B"/>
    <w:rsid w:val="653D52B2"/>
    <w:rsid w:val="65531F20"/>
    <w:rsid w:val="655B70F7"/>
    <w:rsid w:val="655F347A"/>
    <w:rsid w:val="65B23EF2"/>
    <w:rsid w:val="65B732B6"/>
    <w:rsid w:val="65C94588"/>
    <w:rsid w:val="65D56535"/>
    <w:rsid w:val="65EC449B"/>
    <w:rsid w:val="65F94B59"/>
    <w:rsid w:val="661C51AF"/>
    <w:rsid w:val="66252916"/>
    <w:rsid w:val="6646463A"/>
    <w:rsid w:val="66892DBC"/>
    <w:rsid w:val="66A575B3"/>
    <w:rsid w:val="66B37C22"/>
    <w:rsid w:val="66C22275"/>
    <w:rsid w:val="66CE6E16"/>
    <w:rsid w:val="66D07C4E"/>
    <w:rsid w:val="66D63366"/>
    <w:rsid w:val="66D95112"/>
    <w:rsid w:val="66E07A35"/>
    <w:rsid w:val="670C7BD0"/>
    <w:rsid w:val="6729107E"/>
    <w:rsid w:val="67310C06"/>
    <w:rsid w:val="674D53C6"/>
    <w:rsid w:val="67915D89"/>
    <w:rsid w:val="67A80BB7"/>
    <w:rsid w:val="67A91325"/>
    <w:rsid w:val="67BA095D"/>
    <w:rsid w:val="67C46B19"/>
    <w:rsid w:val="67F359BF"/>
    <w:rsid w:val="67FF2F87"/>
    <w:rsid w:val="68127402"/>
    <w:rsid w:val="68320C29"/>
    <w:rsid w:val="683E06EB"/>
    <w:rsid w:val="684F4F95"/>
    <w:rsid w:val="685D060D"/>
    <w:rsid w:val="68630615"/>
    <w:rsid w:val="689F3A7C"/>
    <w:rsid w:val="68A14604"/>
    <w:rsid w:val="68B47F81"/>
    <w:rsid w:val="68C117F4"/>
    <w:rsid w:val="68C469F7"/>
    <w:rsid w:val="68D05A8B"/>
    <w:rsid w:val="68DA686A"/>
    <w:rsid w:val="68DB5BCE"/>
    <w:rsid w:val="69163C3C"/>
    <w:rsid w:val="693E3722"/>
    <w:rsid w:val="696C43B8"/>
    <w:rsid w:val="698A3C4F"/>
    <w:rsid w:val="69A73642"/>
    <w:rsid w:val="69AA597C"/>
    <w:rsid w:val="69D74A2D"/>
    <w:rsid w:val="69E05665"/>
    <w:rsid w:val="69E57583"/>
    <w:rsid w:val="69EA3D78"/>
    <w:rsid w:val="6A192B41"/>
    <w:rsid w:val="6A1E6B18"/>
    <w:rsid w:val="6A31794F"/>
    <w:rsid w:val="6A412E9B"/>
    <w:rsid w:val="6A593A14"/>
    <w:rsid w:val="6A5F7488"/>
    <w:rsid w:val="6A624042"/>
    <w:rsid w:val="6AB26742"/>
    <w:rsid w:val="6AC56663"/>
    <w:rsid w:val="6AD06124"/>
    <w:rsid w:val="6AE9375D"/>
    <w:rsid w:val="6AFA20DD"/>
    <w:rsid w:val="6B2660F3"/>
    <w:rsid w:val="6B4C6148"/>
    <w:rsid w:val="6B600D2D"/>
    <w:rsid w:val="6B7D0E3F"/>
    <w:rsid w:val="6B820818"/>
    <w:rsid w:val="6BA666A4"/>
    <w:rsid w:val="6BA81365"/>
    <w:rsid w:val="6BAD1029"/>
    <w:rsid w:val="6BD4750E"/>
    <w:rsid w:val="6C0905E4"/>
    <w:rsid w:val="6C2458E5"/>
    <w:rsid w:val="6C3A2120"/>
    <w:rsid w:val="6C6527EF"/>
    <w:rsid w:val="6C786FF5"/>
    <w:rsid w:val="6C85541D"/>
    <w:rsid w:val="6C8A6FA0"/>
    <w:rsid w:val="6C8C14EE"/>
    <w:rsid w:val="6C9B7EC5"/>
    <w:rsid w:val="6CB01BBD"/>
    <w:rsid w:val="6CE401DB"/>
    <w:rsid w:val="6CEE18BF"/>
    <w:rsid w:val="6D1E00BF"/>
    <w:rsid w:val="6D1F5636"/>
    <w:rsid w:val="6D2706B7"/>
    <w:rsid w:val="6D2E2B6D"/>
    <w:rsid w:val="6D4056B0"/>
    <w:rsid w:val="6D45389E"/>
    <w:rsid w:val="6D536C7D"/>
    <w:rsid w:val="6D5E495F"/>
    <w:rsid w:val="6D7E1A57"/>
    <w:rsid w:val="6D870433"/>
    <w:rsid w:val="6D900B54"/>
    <w:rsid w:val="6DA1076F"/>
    <w:rsid w:val="6DE704B1"/>
    <w:rsid w:val="6E00534A"/>
    <w:rsid w:val="6E206262"/>
    <w:rsid w:val="6E302EF0"/>
    <w:rsid w:val="6E334775"/>
    <w:rsid w:val="6E363B46"/>
    <w:rsid w:val="6E4539AB"/>
    <w:rsid w:val="6E6535D7"/>
    <w:rsid w:val="6E794BCD"/>
    <w:rsid w:val="6E8421A4"/>
    <w:rsid w:val="6ECA14A5"/>
    <w:rsid w:val="6EDA6267"/>
    <w:rsid w:val="6EF84EB7"/>
    <w:rsid w:val="6EFA159E"/>
    <w:rsid w:val="6F053BD8"/>
    <w:rsid w:val="6F4251EF"/>
    <w:rsid w:val="6F48373C"/>
    <w:rsid w:val="6F68729A"/>
    <w:rsid w:val="6F6B7A12"/>
    <w:rsid w:val="6F9F715B"/>
    <w:rsid w:val="6FB6638D"/>
    <w:rsid w:val="6FB67A04"/>
    <w:rsid w:val="6FBE0AF8"/>
    <w:rsid w:val="6FC2500E"/>
    <w:rsid w:val="6FCF03C8"/>
    <w:rsid w:val="6FE64CCD"/>
    <w:rsid w:val="6FEB00C8"/>
    <w:rsid w:val="6FF98DB1"/>
    <w:rsid w:val="700E26F1"/>
    <w:rsid w:val="70221706"/>
    <w:rsid w:val="702D2765"/>
    <w:rsid w:val="704E64D7"/>
    <w:rsid w:val="704F5243"/>
    <w:rsid w:val="70675738"/>
    <w:rsid w:val="706D0578"/>
    <w:rsid w:val="706D3F0A"/>
    <w:rsid w:val="706E499A"/>
    <w:rsid w:val="70725D14"/>
    <w:rsid w:val="708B2215"/>
    <w:rsid w:val="70A037EE"/>
    <w:rsid w:val="70AC59E2"/>
    <w:rsid w:val="70B86680"/>
    <w:rsid w:val="70C507BD"/>
    <w:rsid w:val="70F36FF5"/>
    <w:rsid w:val="71110B79"/>
    <w:rsid w:val="71351762"/>
    <w:rsid w:val="713E488C"/>
    <w:rsid w:val="71552D10"/>
    <w:rsid w:val="71631BB4"/>
    <w:rsid w:val="716442E9"/>
    <w:rsid w:val="71B318F8"/>
    <w:rsid w:val="71B74DFA"/>
    <w:rsid w:val="71BD2ACE"/>
    <w:rsid w:val="71C9237C"/>
    <w:rsid w:val="71E34B28"/>
    <w:rsid w:val="71F56214"/>
    <w:rsid w:val="72076A30"/>
    <w:rsid w:val="72110648"/>
    <w:rsid w:val="722577FA"/>
    <w:rsid w:val="723C0660"/>
    <w:rsid w:val="724C2FD8"/>
    <w:rsid w:val="72543AEC"/>
    <w:rsid w:val="72785B7B"/>
    <w:rsid w:val="72936E59"/>
    <w:rsid w:val="72AB5F51"/>
    <w:rsid w:val="72AE3C93"/>
    <w:rsid w:val="72AF7142"/>
    <w:rsid w:val="72D22FDD"/>
    <w:rsid w:val="72D848E7"/>
    <w:rsid w:val="72E0464A"/>
    <w:rsid w:val="72E17BC5"/>
    <w:rsid w:val="73060B04"/>
    <w:rsid w:val="730944EC"/>
    <w:rsid w:val="73095DD8"/>
    <w:rsid w:val="730A35E7"/>
    <w:rsid w:val="730F10D1"/>
    <w:rsid w:val="731E7C07"/>
    <w:rsid w:val="731F2ADD"/>
    <w:rsid w:val="73371579"/>
    <w:rsid w:val="734343DB"/>
    <w:rsid w:val="734B1B9C"/>
    <w:rsid w:val="734D342D"/>
    <w:rsid w:val="734D44BC"/>
    <w:rsid w:val="73724CC1"/>
    <w:rsid w:val="739444AA"/>
    <w:rsid w:val="73BF3510"/>
    <w:rsid w:val="73CB1EA3"/>
    <w:rsid w:val="73EE3133"/>
    <w:rsid w:val="73FC31D8"/>
    <w:rsid w:val="73FC5DA2"/>
    <w:rsid w:val="74542522"/>
    <w:rsid w:val="74597D1C"/>
    <w:rsid w:val="745A2312"/>
    <w:rsid w:val="749D7B1B"/>
    <w:rsid w:val="74BE21E6"/>
    <w:rsid w:val="74CD114F"/>
    <w:rsid w:val="75132CB2"/>
    <w:rsid w:val="752543DE"/>
    <w:rsid w:val="75573F66"/>
    <w:rsid w:val="756920EF"/>
    <w:rsid w:val="75705230"/>
    <w:rsid w:val="757B534A"/>
    <w:rsid w:val="758A423F"/>
    <w:rsid w:val="75C4089A"/>
    <w:rsid w:val="75D43E4C"/>
    <w:rsid w:val="75EE584D"/>
    <w:rsid w:val="75FC051E"/>
    <w:rsid w:val="760E4653"/>
    <w:rsid w:val="766F54E7"/>
    <w:rsid w:val="76745657"/>
    <w:rsid w:val="76880357"/>
    <w:rsid w:val="769374F5"/>
    <w:rsid w:val="76975959"/>
    <w:rsid w:val="76D66A0B"/>
    <w:rsid w:val="76DB492B"/>
    <w:rsid w:val="76DF2CE5"/>
    <w:rsid w:val="76E17369"/>
    <w:rsid w:val="76F43195"/>
    <w:rsid w:val="76FC483D"/>
    <w:rsid w:val="770D6993"/>
    <w:rsid w:val="77235A0E"/>
    <w:rsid w:val="77242776"/>
    <w:rsid w:val="774615E8"/>
    <w:rsid w:val="774F05B4"/>
    <w:rsid w:val="77795FC5"/>
    <w:rsid w:val="77884963"/>
    <w:rsid w:val="778C339B"/>
    <w:rsid w:val="77A535A4"/>
    <w:rsid w:val="77B0693E"/>
    <w:rsid w:val="77C359EF"/>
    <w:rsid w:val="77DB4976"/>
    <w:rsid w:val="77E01900"/>
    <w:rsid w:val="77EB042B"/>
    <w:rsid w:val="77F66378"/>
    <w:rsid w:val="78105FE1"/>
    <w:rsid w:val="781D1021"/>
    <w:rsid w:val="78296451"/>
    <w:rsid w:val="784A7FBA"/>
    <w:rsid w:val="78872FBC"/>
    <w:rsid w:val="7895695A"/>
    <w:rsid w:val="789A7551"/>
    <w:rsid w:val="78A35FA6"/>
    <w:rsid w:val="78B813C8"/>
    <w:rsid w:val="78C814F1"/>
    <w:rsid w:val="78DD3C0F"/>
    <w:rsid w:val="78F61612"/>
    <w:rsid w:val="78F746CD"/>
    <w:rsid w:val="790B7602"/>
    <w:rsid w:val="793A0F25"/>
    <w:rsid w:val="793C353D"/>
    <w:rsid w:val="79525DD0"/>
    <w:rsid w:val="79684030"/>
    <w:rsid w:val="797846B3"/>
    <w:rsid w:val="79874288"/>
    <w:rsid w:val="799A7968"/>
    <w:rsid w:val="79B77FBE"/>
    <w:rsid w:val="79CD2C51"/>
    <w:rsid w:val="79E63D12"/>
    <w:rsid w:val="79ED0FE1"/>
    <w:rsid w:val="7A006755"/>
    <w:rsid w:val="7A067AFF"/>
    <w:rsid w:val="7A266805"/>
    <w:rsid w:val="7A455228"/>
    <w:rsid w:val="7A59242C"/>
    <w:rsid w:val="7AAD58D6"/>
    <w:rsid w:val="7ABC10AC"/>
    <w:rsid w:val="7ABE2FB8"/>
    <w:rsid w:val="7AD459B8"/>
    <w:rsid w:val="7AEA5035"/>
    <w:rsid w:val="7AF20636"/>
    <w:rsid w:val="7AF4245F"/>
    <w:rsid w:val="7AF81F4F"/>
    <w:rsid w:val="7B033E9B"/>
    <w:rsid w:val="7B0B7EA2"/>
    <w:rsid w:val="7B4D0CE7"/>
    <w:rsid w:val="7B5E08D0"/>
    <w:rsid w:val="7BB5399C"/>
    <w:rsid w:val="7BC77B4C"/>
    <w:rsid w:val="7BD61B65"/>
    <w:rsid w:val="7BEB1AB4"/>
    <w:rsid w:val="7BF10DD0"/>
    <w:rsid w:val="7BF36259"/>
    <w:rsid w:val="7BF92AE3"/>
    <w:rsid w:val="7C022754"/>
    <w:rsid w:val="7C452FFC"/>
    <w:rsid w:val="7C7406A4"/>
    <w:rsid w:val="7C79211D"/>
    <w:rsid w:val="7C7D7793"/>
    <w:rsid w:val="7C9F79C8"/>
    <w:rsid w:val="7CA20363"/>
    <w:rsid w:val="7CA60D6B"/>
    <w:rsid w:val="7CA95B7D"/>
    <w:rsid w:val="7CB66269"/>
    <w:rsid w:val="7CBC13FC"/>
    <w:rsid w:val="7CBC3B1C"/>
    <w:rsid w:val="7CBF58F7"/>
    <w:rsid w:val="7CE427EA"/>
    <w:rsid w:val="7D09342C"/>
    <w:rsid w:val="7D0E2628"/>
    <w:rsid w:val="7D1144BC"/>
    <w:rsid w:val="7D250FF6"/>
    <w:rsid w:val="7D367F79"/>
    <w:rsid w:val="7D4A1795"/>
    <w:rsid w:val="7D636E1C"/>
    <w:rsid w:val="7D6A0D4C"/>
    <w:rsid w:val="7D6F58E0"/>
    <w:rsid w:val="7D796C4C"/>
    <w:rsid w:val="7D7B6AC6"/>
    <w:rsid w:val="7D80192E"/>
    <w:rsid w:val="7DD11A81"/>
    <w:rsid w:val="7DD8324B"/>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B46B59"/>
    <w:rsid w:val="7ED311A8"/>
    <w:rsid w:val="7ED32079"/>
    <w:rsid w:val="7EE527EB"/>
    <w:rsid w:val="7F0245EE"/>
    <w:rsid w:val="7F082BC8"/>
    <w:rsid w:val="7F2642EE"/>
    <w:rsid w:val="7F295DA0"/>
    <w:rsid w:val="7F47036D"/>
    <w:rsid w:val="7F7431CA"/>
    <w:rsid w:val="7F930548"/>
    <w:rsid w:val="7FA06127"/>
    <w:rsid w:val="7FA906E9"/>
    <w:rsid w:val="7FAB79E7"/>
    <w:rsid w:val="7FD7317A"/>
    <w:rsid w:val="7FD8246A"/>
    <w:rsid w:val="7FDE68D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12"/>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1"/>
    <w:link w:val="1038"/>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5"/>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7"/>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9"/>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8"/>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7"/>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6"/>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6"/>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61"/>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7"/>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201"/>
    <w:autoRedefine/>
    <w:qFormat/>
    <w:uiPriority w:val="0"/>
    <w:pPr>
      <w:ind w:firstLine="420"/>
    </w:pPr>
    <w:rPr>
      <w:szCs w:val="20"/>
    </w:rPr>
  </w:style>
  <w:style w:type="paragraph" w:styleId="25">
    <w:name w:val="caption"/>
    <w:basedOn w:val="1"/>
    <w:next w:val="1"/>
    <w:link w:val="193"/>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60"/>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9"/>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8"/>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next w:val="1"/>
    <w:link w:val="294"/>
    <w:autoRedefine/>
    <w:qFormat/>
    <w:uiPriority w:val="0"/>
    <w:pPr>
      <w:spacing w:after="120"/>
    </w:pPr>
    <w:rPr>
      <w:sz w:val="28"/>
    </w:rPr>
  </w:style>
  <w:style w:type="paragraph" w:styleId="38">
    <w:name w:val="Body Text Indent"/>
    <w:basedOn w:val="1"/>
    <w:next w:val="1"/>
    <w:link w:val="155"/>
    <w:autoRedefine/>
    <w:qFormat/>
    <w:uiPriority w:val="0"/>
    <w:pPr>
      <w:spacing w:line="200" w:lineRule="exact"/>
      <w:ind w:firstLine="301"/>
    </w:pPr>
    <w:rPr>
      <w:rFonts w:ascii="宋体" w:hAnsi="Courier New"/>
      <w:spacing w:val="-4"/>
      <w:sz w:val="18"/>
      <w:szCs w:val="20"/>
    </w:rPr>
  </w:style>
  <w:style w:type="paragraph" w:styleId="39">
    <w:name w:val="List Number 3"/>
    <w:basedOn w:val="1"/>
    <w:autoRedefine/>
    <w:qFormat/>
    <w:uiPriority w:val="0"/>
    <w:pPr>
      <w:tabs>
        <w:tab w:val="left" w:pos="1200"/>
      </w:tabs>
      <w:ind w:left="1200" w:hanging="360"/>
    </w:pPr>
  </w:style>
  <w:style w:type="paragraph" w:styleId="40">
    <w:name w:val="List 2"/>
    <w:basedOn w:val="1"/>
    <w:autoRedefine/>
    <w:qFormat/>
    <w:uiPriority w:val="0"/>
    <w:pPr>
      <w:ind w:left="100" w:leftChars="200" w:hanging="200" w:hangingChars="200"/>
    </w:pPr>
    <w:rPr>
      <w:sz w:val="28"/>
    </w:rPr>
  </w:style>
  <w:style w:type="paragraph" w:styleId="41">
    <w:name w:val="List Continue"/>
    <w:basedOn w:val="1"/>
    <w:autoRedefine/>
    <w:qFormat/>
    <w:uiPriority w:val="0"/>
    <w:pPr>
      <w:spacing w:after="120"/>
      <w:ind w:left="420" w:leftChars="200"/>
    </w:pPr>
  </w:style>
  <w:style w:type="paragraph" w:styleId="42">
    <w:name w:val="Block Text"/>
    <w:basedOn w:val="1"/>
    <w:autoRedefine/>
    <w:qFormat/>
    <w:uiPriority w:val="0"/>
    <w:pPr>
      <w:spacing w:after="120"/>
      <w:ind w:left="1440" w:leftChars="700" w:right="1440" w:rightChars="700"/>
    </w:pPr>
    <w:rPr>
      <w:szCs w:val="20"/>
    </w:rPr>
  </w:style>
  <w:style w:type="paragraph" w:styleId="43">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4">
    <w:name w:val="HTML Address"/>
    <w:basedOn w:val="1"/>
    <w:autoRedefine/>
    <w:qFormat/>
    <w:uiPriority w:val="0"/>
    <w:pPr>
      <w:spacing w:beforeLines="40" w:afterLines="40" w:line="300" w:lineRule="auto"/>
      <w:ind w:firstLine="420"/>
    </w:pPr>
    <w:rPr>
      <w:i/>
      <w:iCs/>
    </w:rPr>
  </w:style>
  <w:style w:type="paragraph" w:styleId="45">
    <w:name w:val="index 4"/>
    <w:basedOn w:val="1"/>
    <w:next w:val="1"/>
    <w:autoRedefine/>
    <w:semiHidden/>
    <w:qFormat/>
    <w:uiPriority w:val="0"/>
    <w:pPr>
      <w:ind w:left="600" w:leftChars="600"/>
    </w:pPr>
  </w:style>
  <w:style w:type="paragraph" w:styleId="46">
    <w:name w:val="toc 5"/>
    <w:basedOn w:val="1"/>
    <w:next w:val="1"/>
    <w:autoRedefine/>
    <w:semiHidden/>
    <w:qFormat/>
    <w:uiPriority w:val="0"/>
    <w:pPr>
      <w:spacing w:afterLines="50"/>
      <w:ind w:left="840"/>
      <w:jc w:val="left"/>
    </w:pPr>
    <w:rPr>
      <w:snapToGrid w:val="0"/>
      <w:kern w:val="0"/>
      <w:sz w:val="18"/>
      <w:szCs w:val="18"/>
    </w:rPr>
  </w:style>
  <w:style w:type="paragraph" w:styleId="47">
    <w:name w:val="toc 3"/>
    <w:basedOn w:val="1"/>
    <w:next w:val="1"/>
    <w:autoRedefine/>
    <w:qFormat/>
    <w:uiPriority w:val="0"/>
    <w:pPr>
      <w:tabs>
        <w:tab w:val="right" w:leader="dot" w:pos="8296"/>
      </w:tabs>
      <w:jc w:val="left"/>
    </w:pPr>
    <w:rPr>
      <w:b/>
      <w:bCs/>
      <w:iCs/>
    </w:rPr>
  </w:style>
  <w:style w:type="paragraph" w:styleId="48">
    <w:name w:val="Plain Text"/>
    <w:basedOn w:val="1"/>
    <w:link w:val="332"/>
    <w:autoRedefine/>
    <w:qFormat/>
    <w:uiPriority w:val="0"/>
    <w:pPr>
      <w:spacing w:beforeLines="50" w:afterLines="50" w:line="400" w:lineRule="exact"/>
    </w:pPr>
    <w:rPr>
      <w:rFonts w:ascii="宋体" w:hAnsi="Courier New"/>
    </w:rPr>
  </w:style>
  <w:style w:type="paragraph" w:styleId="49">
    <w:name w:val="List Bullet 5"/>
    <w:basedOn w:val="1"/>
    <w:autoRedefine/>
    <w:qFormat/>
    <w:uiPriority w:val="0"/>
    <w:pPr>
      <w:tabs>
        <w:tab w:val="left" w:pos="2182"/>
      </w:tabs>
      <w:ind w:left="2182" w:hanging="360"/>
    </w:pPr>
  </w:style>
  <w:style w:type="paragraph" w:styleId="50">
    <w:name w:val="List Number 4"/>
    <w:basedOn w:val="1"/>
    <w:autoRedefine/>
    <w:qFormat/>
    <w:uiPriority w:val="0"/>
    <w:pPr>
      <w:tabs>
        <w:tab w:val="left" w:pos="1620"/>
      </w:tabs>
      <w:ind w:left="1620" w:leftChars="600" w:hanging="360" w:hangingChars="200"/>
    </w:pPr>
  </w:style>
  <w:style w:type="paragraph" w:styleId="51">
    <w:name w:val="index 3"/>
    <w:basedOn w:val="1"/>
    <w:next w:val="1"/>
    <w:autoRedefine/>
    <w:semiHidden/>
    <w:qFormat/>
    <w:uiPriority w:val="0"/>
    <w:pPr>
      <w:ind w:left="400" w:leftChars="400"/>
    </w:pPr>
  </w:style>
  <w:style w:type="paragraph" w:styleId="52">
    <w:name w:val="Date"/>
    <w:basedOn w:val="1"/>
    <w:next w:val="1"/>
    <w:link w:val="232"/>
    <w:autoRedefine/>
    <w:qFormat/>
    <w:uiPriority w:val="0"/>
    <w:pPr>
      <w:ind w:left="2500" w:leftChars="2500"/>
    </w:pPr>
    <w:rPr>
      <w:rFonts w:eastAsia="楷体_GB2312"/>
      <w:sz w:val="32"/>
      <w:szCs w:val="20"/>
    </w:rPr>
  </w:style>
  <w:style w:type="paragraph" w:styleId="53">
    <w:name w:val="Body Text Indent 2"/>
    <w:basedOn w:val="1"/>
    <w:autoRedefine/>
    <w:qFormat/>
    <w:uiPriority w:val="0"/>
    <w:pPr>
      <w:snapToGrid w:val="0"/>
      <w:ind w:firstLine="542" w:firstLineChars="225"/>
    </w:pPr>
    <w:rPr>
      <w:rFonts w:ascii="仿宋_GB2312" w:hAnsi="宋体" w:cs="Arial"/>
      <w:b/>
      <w:bCs/>
      <w:color w:val="000000"/>
    </w:rPr>
  </w:style>
  <w:style w:type="paragraph" w:styleId="54">
    <w:name w:val="endnote text"/>
    <w:basedOn w:val="1"/>
    <w:autoRedefine/>
    <w:semiHidden/>
    <w:qFormat/>
    <w:uiPriority w:val="0"/>
    <w:pPr>
      <w:snapToGrid w:val="0"/>
      <w:spacing w:afterLines="50"/>
      <w:jc w:val="left"/>
    </w:pPr>
    <w:rPr>
      <w:rFonts w:ascii="宋体"/>
      <w:snapToGrid w:val="0"/>
      <w:kern w:val="0"/>
      <w:szCs w:val="20"/>
    </w:rPr>
  </w:style>
  <w:style w:type="paragraph" w:styleId="55">
    <w:name w:val="List Continue 5"/>
    <w:basedOn w:val="1"/>
    <w:autoRedefine/>
    <w:qFormat/>
    <w:uiPriority w:val="0"/>
    <w:pPr>
      <w:spacing w:after="120"/>
      <w:ind w:left="2100" w:leftChars="1000"/>
    </w:pPr>
  </w:style>
  <w:style w:type="paragraph" w:styleId="56">
    <w:name w:val="footer"/>
    <w:basedOn w:val="1"/>
    <w:link w:val="360"/>
    <w:autoRedefine/>
    <w:unhideWhenUsed/>
    <w:qFormat/>
    <w:uiPriority w:val="0"/>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8">
    <w:name w:val="header"/>
    <w:basedOn w:val="1"/>
    <w:link w:val="22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85"/>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20"/>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link w:val="134"/>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autoRedefine/>
    <w:semiHidden/>
    <w:qFormat/>
    <w:uiPriority w:val="0"/>
    <w:rPr>
      <w:b/>
      <w:bCs/>
    </w:rPr>
  </w:style>
  <w:style w:type="paragraph" w:styleId="87">
    <w:name w:val="Body Text First Indent"/>
    <w:basedOn w:val="37"/>
    <w:next w:val="1"/>
    <w:link w:val="148"/>
    <w:autoRedefine/>
    <w:qFormat/>
    <w:uiPriority w:val="0"/>
    <w:pPr>
      <w:ind w:firstLine="420" w:firstLineChars="100"/>
    </w:pPr>
    <w:rPr>
      <w:rFonts w:ascii="Calibri" w:hAnsi="Calibri"/>
      <w:sz w:val="21"/>
      <w:szCs w:val="22"/>
    </w:rPr>
  </w:style>
  <w:style w:type="paragraph" w:styleId="88">
    <w:name w:val="Body Text First Indent 2"/>
    <w:basedOn w:val="38"/>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首行缩进"/>
    <w:basedOn w:val="1"/>
    <w:autoRedefine/>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109">
    <w:name w:val="[Normal]"/>
    <w:autoRedefine/>
    <w:qFormat/>
    <w:uiPriority w:val="0"/>
    <w:rPr>
      <w:rFonts w:ascii="宋体" w:hAnsi="宋体" w:eastAsia="宋体" w:cs="Times New Roman"/>
      <w:sz w:val="24"/>
      <w:szCs w:val="22"/>
      <w:lang w:val="zh-CN" w:eastAsia="zh-CN" w:bidi="ar-SA"/>
    </w:rPr>
  </w:style>
  <w:style w:type="character" w:customStyle="1" w:styleId="110">
    <w:name w:val="标题 2 Char"/>
    <w:basedOn w:val="95"/>
    <w:autoRedefine/>
    <w:semiHidden/>
    <w:qFormat/>
    <w:uiPriority w:val="0"/>
    <w:rPr>
      <w:rFonts w:ascii="Cambria" w:hAnsi="Cambria" w:eastAsia="宋体" w:cs="Times New Roman"/>
      <w:b/>
      <w:bCs/>
      <w:sz w:val="32"/>
      <w:szCs w:val="32"/>
    </w:rPr>
  </w:style>
  <w:style w:type="paragraph" w:customStyle="1" w:styleId="111">
    <w:name w:val="样式1"/>
    <w:basedOn w:val="1"/>
    <w:next w:val="1"/>
    <w:autoRedefine/>
    <w:qFormat/>
    <w:uiPriority w:val="0"/>
    <w:pPr>
      <w:spacing w:beforeLines="40" w:afterLines="40" w:line="300" w:lineRule="auto"/>
      <w:ind w:firstLine="480" w:firstLineChars="200"/>
    </w:pPr>
  </w:style>
  <w:style w:type="character" w:customStyle="1" w:styleId="112">
    <w:name w:val="标题 1 Char"/>
    <w:link w:val="5"/>
    <w:autoRedefine/>
    <w:qFormat/>
    <w:uiPriority w:val="0"/>
    <w:rPr>
      <w:rFonts w:eastAsia="仿宋"/>
      <w:b/>
      <w:bCs/>
      <w:sz w:val="36"/>
      <w:szCs w:val="36"/>
    </w:rPr>
  </w:style>
  <w:style w:type="paragraph" w:customStyle="1" w:styleId="113">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character" w:customStyle="1" w:styleId="114">
    <w:name w:val="h105-2"/>
    <w:autoRedefine/>
    <w:qFormat/>
    <w:uiPriority w:val="0"/>
    <w:rPr>
      <w:rFonts w:hint="default" w:ascii="Tahoma" w:hAnsi="Tahoma" w:eastAsia="宋体" w:cs="Tahoma"/>
      <w:kern w:val="2"/>
      <w:sz w:val="36"/>
      <w:szCs w:val="36"/>
      <w:lang w:val="en-US" w:eastAsia="zh-CN" w:bidi="ar-SA"/>
    </w:rPr>
  </w:style>
  <w:style w:type="character" w:customStyle="1" w:styleId="115">
    <w:name w:val="maywed421"/>
    <w:autoRedefine/>
    <w:qFormat/>
    <w:uiPriority w:val="0"/>
    <w:rPr>
      <w:color w:val="366FB6"/>
      <w:u w:val="none"/>
    </w:rPr>
  </w:style>
  <w:style w:type="character" w:customStyle="1" w:styleId="116">
    <w:name w:val="标题 8 Char"/>
    <w:link w:val="11"/>
    <w:autoRedefine/>
    <w:qFormat/>
    <w:uiPriority w:val="0"/>
    <w:rPr>
      <w:rFonts w:ascii="Arial" w:hAnsi="Arial" w:eastAsia="黑体"/>
      <w:sz w:val="24"/>
    </w:rPr>
  </w:style>
  <w:style w:type="character" w:customStyle="1" w:styleId="117">
    <w:name w:val="tw4winInternal"/>
    <w:autoRedefine/>
    <w:qFormat/>
    <w:uiPriority w:val="0"/>
    <w:rPr>
      <w:rFonts w:ascii="Courier New" w:hAnsi="Courier New"/>
      <w:color w:val="FF0000"/>
    </w:rPr>
  </w:style>
  <w:style w:type="character" w:customStyle="1" w:styleId="118">
    <w:name w:val="H1 Char1"/>
    <w:autoRedefine/>
    <w:qFormat/>
    <w:uiPriority w:val="0"/>
    <w:rPr>
      <w:rFonts w:eastAsia="隶书"/>
      <w:b/>
      <w:bCs/>
      <w:sz w:val="36"/>
      <w:szCs w:val="36"/>
      <w:lang w:val="en-US" w:eastAsia="zh-CN" w:bidi="ar-SA"/>
    </w:rPr>
  </w:style>
  <w:style w:type="character" w:customStyle="1" w:styleId="119">
    <w:name w:val="普通文字 Char1 Char"/>
    <w:autoRedefine/>
    <w:qFormat/>
    <w:uiPriority w:val="0"/>
    <w:rPr>
      <w:rFonts w:ascii="宋体" w:hAnsi="Courier New" w:eastAsia="宋体"/>
      <w:kern w:val="2"/>
      <w:sz w:val="21"/>
      <w:szCs w:val="24"/>
      <w:lang w:val="en-US" w:eastAsia="zh-CN" w:bidi="ar-SA"/>
    </w:rPr>
  </w:style>
  <w:style w:type="character" w:customStyle="1" w:styleId="120">
    <w:name w:val="Table Heading Char Char"/>
    <w:link w:val="121"/>
    <w:autoRedefine/>
    <w:qFormat/>
    <w:uiPriority w:val="0"/>
    <w:rPr>
      <w:rFonts w:eastAsia="宋体"/>
      <w:b/>
      <w:kern w:val="2"/>
      <w:sz w:val="16"/>
      <w:szCs w:val="24"/>
      <w:lang w:val="en-US" w:eastAsia="zh-CN" w:bidi="ar-SA"/>
    </w:rPr>
  </w:style>
  <w:style w:type="paragraph" w:customStyle="1" w:styleId="121">
    <w:name w:val="Table Heading"/>
    <w:basedOn w:val="122"/>
    <w:link w:val="120"/>
    <w:autoRedefine/>
    <w:qFormat/>
    <w:uiPriority w:val="0"/>
    <w:rPr>
      <w:b/>
    </w:rPr>
  </w:style>
  <w:style w:type="paragraph" w:customStyle="1" w:styleId="122">
    <w:name w:val="Table Text"/>
    <w:basedOn w:val="1"/>
    <w:link w:val="243"/>
    <w:autoRedefine/>
    <w:qFormat/>
    <w:uiPriority w:val="0"/>
    <w:pPr>
      <w:keepLines/>
      <w:spacing w:beforeLines="40" w:afterLines="40"/>
    </w:pPr>
    <w:rPr>
      <w:sz w:val="16"/>
    </w:rPr>
  </w:style>
  <w:style w:type="character" w:customStyle="1" w:styleId="123">
    <w:name w:val="tw4winExternal"/>
    <w:autoRedefine/>
    <w:qFormat/>
    <w:uiPriority w:val="0"/>
    <w:rPr>
      <w:rFonts w:ascii="Courier New" w:hAnsi="Courier New"/>
      <w:color w:val="808080"/>
    </w:rPr>
  </w:style>
  <w:style w:type="character" w:customStyle="1" w:styleId="124">
    <w:name w:val="style81"/>
    <w:autoRedefine/>
    <w:qFormat/>
    <w:uiPriority w:val="0"/>
    <w:rPr>
      <w:color w:val="003366"/>
    </w:rPr>
  </w:style>
  <w:style w:type="character" w:customStyle="1" w:styleId="125">
    <w:name w:val="样式 小四"/>
    <w:autoRedefine/>
    <w:qFormat/>
    <w:uiPriority w:val="0"/>
    <w:rPr>
      <w:sz w:val="21"/>
    </w:rPr>
  </w:style>
  <w:style w:type="character" w:customStyle="1" w:styleId="126">
    <w:name w:val="ziti1"/>
    <w:autoRedefine/>
    <w:qFormat/>
    <w:uiPriority w:val="0"/>
    <w:rPr>
      <w:rFonts w:hint="default"/>
      <w:color w:val="282726"/>
      <w:spacing w:val="360"/>
      <w:sz w:val="21"/>
      <w:szCs w:val="21"/>
      <w:u w:val="none"/>
    </w:rPr>
  </w:style>
  <w:style w:type="character" w:customStyle="1" w:styleId="127">
    <w:name w:val="标准 Char Char Char Char"/>
    <w:link w:val="128"/>
    <w:autoRedefine/>
    <w:qFormat/>
    <w:locked/>
    <w:uiPriority w:val="0"/>
    <w:rPr>
      <w:rFonts w:ascii="宋体" w:hAnsi="宋体" w:eastAsia="宋体"/>
      <w:color w:val="000000"/>
      <w:kern w:val="2"/>
      <w:sz w:val="24"/>
      <w:lang w:val="en-US" w:eastAsia="zh-CN" w:bidi="ar-SA"/>
    </w:rPr>
  </w:style>
  <w:style w:type="paragraph" w:customStyle="1" w:styleId="128">
    <w:name w:val="标准 Char Char Char"/>
    <w:basedOn w:val="1"/>
    <w:link w:val="127"/>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9">
    <w:name w:val="批注文字 Char"/>
    <w:link w:val="31"/>
    <w:autoRedefine/>
    <w:qFormat/>
    <w:uiPriority w:val="0"/>
    <w:rPr>
      <w:rFonts w:ascii="Calibri" w:hAnsi="Calibri" w:eastAsia="宋体"/>
      <w:kern w:val="2"/>
      <w:sz w:val="21"/>
      <w:szCs w:val="22"/>
      <w:lang w:val="en-US" w:eastAsia="zh-CN" w:bidi="ar-SA"/>
    </w:rPr>
  </w:style>
  <w:style w:type="character" w:customStyle="1" w:styleId="130">
    <w:name w:val="tw4winTerm"/>
    <w:autoRedefine/>
    <w:qFormat/>
    <w:uiPriority w:val="0"/>
    <w:rPr>
      <w:color w:val="0000FF"/>
    </w:rPr>
  </w:style>
  <w:style w:type="character" w:customStyle="1" w:styleId="131">
    <w:name w:val="图注 Char"/>
    <w:link w:val="132"/>
    <w:autoRedefine/>
    <w:qFormat/>
    <w:uiPriority w:val="0"/>
    <w:rPr>
      <w:rFonts w:eastAsia="宋体"/>
      <w:sz w:val="18"/>
      <w:lang w:val="en-US" w:eastAsia="zh-CN" w:bidi="ar-SA"/>
    </w:rPr>
  </w:style>
  <w:style w:type="paragraph" w:customStyle="1" w:styleId="132">
    <w:name w:val="图注"/>
    <w:basedOn w:val="1"/>
    <w:next w:val="24"/>
    <w:link w:val="131"/>
    <w:autoRedefine/>
    <w:qFormat/>
    <w:uiPriority w:val="0"/>
    <w:pPr>
      <w:spacing w:beforeLines="40" w:afterLines="40"/>
      <w:jc w:val="center"/>
    </w:pPr>
    <w:rPr>
      <w:kern w:val="0"/>
      <w:sz w:val="18"/>
      <w:szCs w:val="20"/>
    </w:rPr>
  </w:style>
  <w:style w:type="character" w:customStyle="1" w:styleId="133">
    <w:name w:val="个人撰写风格"/>
    <w:autoRedefine/>
    <w:qFormat/>
    <w:uiPriority w:val="0"/>
    <w:rPr>
      <w:rFonts w:ascii="Arial" w:hAnsi="Arial" w:eastAsia="宋体" w:cs="Arial"/>
      <w:color w:val="auto"/>
      <w:sz w:val="20"/>
    </w:rPr>
  </w:style>
  <w:style w:type="character" w:customStyle="1" w:styleId="134">
    <w:name w:val="标题 Char"/>
    <w:link w:val="85"/>
    <w:autoRedefine/>
    <w:qFormat/>
    <w:uiPriority w:val="0"/>
    <w:rPr>
      <w:kern w:val="2"/>
      <w:sz w:val="18"/>
      <w:szCs w:val="18"/>
    </w:rPr>
  </w:style>
  <w:style w:type="character" w:customStyle="1" w:styleId="135">
    <w:name w:val="浅色列表 - 强调文字颜色 5 Char"/>
    <w:link w:val="136"/>
    <w:autoRedefine/>
    <w:qFormat/>
    <w:locked/>
    <w:uiPriority w:val="0"/>
    <w:rPr>
      <w:rFonts w:ascii="Calibri" w:hAnsi="Calibri" w:eastAsia="宋体"/>
      <w:lang w:bidi="ar-SA"/>
    </w:rPr>
  </w:style>
  <w:style w:type="paragraph" w:customStyle="1" w:styleId="136">
    <w:name w:val="浅色列表 - 强调文字颜色 52"/>
    <w:basedOn w:val="1"/>
    <w:link w:val="135"/>
    <w:autoRedefine/>
    <w:qFormat/>
    <w:uiPriority w:val="0"/>
    <w:pPr>
      <w:ind w:firstLine="420" w:firstLineChars="200"/>
    </w:pPr>
    <w:rPr>
      <w:rFonts w:ascii="Calibri" w:hAnsi="Calibri"/>
      <w:kern w:val="0"/>
      <w:sz w:val="20"/>
      <w:szCs w:val="20"/>
    </w:rPr>
  </w:style>
  <w:style w:type="character" w:customStyle="1" w:styleId="137">
    <w:name w:val="标准文本 Char"/>
    <w:link w:val="138"/>
    <w:autoRedefine/>
    <w:qFormat/>
    <w:locked/>
    <w:uiPriority w:val="0"/>
    <w:rPr>
      <w:rFonts w:eastAsia="宋体"/>
      <w:kern w:val="2"/>
      <w:sz w:val="24"/>
      <w:szCs w:val="24"/>
      <w:lang w:val="en-US" w:eastAsia="zh-CN" w:bidi="ar-SA"/>
    </w:rPr>
  </w:style>
  <w:style w:type="paragraph" w:customStyle="1" w:styleId="138">
    <w:name w:val="标准文本"/>
    <w:basedOn w:val="1"/>
    <w:link w:val="137"/>
    <w:autoRedefine/>
    <w:qFormat/>
    <w:uiPriority w:val="0"/>
    <w:pPr>
      <w:ind w:firstLine="480" w:firstLineChars="200"/>
    </w:pPr>
  </w:style>
  <w:style w:type="character" w:customStyle="1" w:styleId="139">
    <w:name w:val="正 文 1 Char Char"/>
    <w:autoRedefine/>
    <w:qFormat/>
    <w:uiPriority w:val="0"/>
    <w:rPr>
      <w:rFonts w:ascii="宋体" w:hAnsi="Courier New" w:eastAsia="宋体"/>
      <w:kern w:val="2"/>
      <w:sz w:val="21"/>
      <w:lang w:val="en-US" w:eastAsia="zh-CN" w:bidi="ar-SA"/>
    </w:rPr>
  </w:style>
  <w:style w:type="character" w:customStyle="1" w:styleId="140">
    <w:name w:val="插图说明 Char"/>
    <w:link w:val="141"/>
    <w:autoRedefine/>
    <w:qFormat/>
    <w:uiPriority w:val="0"/>
    <w:rPr>
      <w:rFonts w:eastAsia="黑体"/>
      <w:sz w:val="24"/>
      <w:lang w:val="en-US" w:eastAsia="zh-CN" w:bidi="ar-SA"/>
    </w:rPr>
  </w:style>
  <w:style w:type="paragraph" w:customStyle="1" w:styleId="141">
    <w:name w:val="插图说明"/>
    <w:basedOn w:val="1"/>
    <w:link w:val="140"/>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42">
    <w:name w:val="标准正文格式 Char"/>
    <w:link w:val="143"/>
    <w:autoRedefine/>
    <w:qFormat/>
    <w:uiPriority w:val="0"/>
    <w:rPr>
      <w:rFonts w:ascii="宋体" w:eastAsia="仿宋_GB2312"/>
      <w:color w:val="000000"/>
      <w:sz w:val="24"/>
      <w:lang w:bidi="ar-SA"/>
    </w:rPr>
  </w:style>
  <w:style w:type="paragraph" w:customStyle="1" w:styleId="143">
    <w:name w:val="标准正文格式"/>
    <w:basedOn w:val="1"/>
    <w:link w:val="142"/>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4">
    <w:name w:val="h4 Char"/>
    <w:autoRedefine/>
    <w:qFormat/>
    <w:uiPriority w:val="0"/>
    <w:rPr>
      <w:rFonts w:ascii="Arial" w:hAnsi="Arial" w:eastAsia="黑体"/>
      <w:b/>
      <w:bCs/>
      <w:kern w:val="2"/>
      <w:sz w:val="28"/>
      <w:szCs w:val="28"/>
      <w:lang w:val="en-US" w:eastAsia="zh-CN" w:bidi="ar-SA"/>
    </w:rPr>
  </w:style>
  <w:style w:type="character" w:customStyle="1" w:styleId="145">
    <w:name w:val="font_e1"/>
    <w:autoRedefine/>
    <w:qFormat/>
    <w:uiPriority w:val="0"/>
    <w:rPr>
      <w:rFonts w:hint="default" w:ascii="Arial" w:hAnsi="Arial" w:cs="Arial"/>
      <w:sz w:val="18"/>
      <w:szCs w:val="18"/>
      <w:u w:val="none"/>
    </w:rPr>
  </w:style>
  <w:style w:type="character" w:customStyle="1" w:styleId="146">
    <w:name w:val="H2 Char"/>
    <w:autoRedefine/>
    <w:qFormat/>
    <w:uiPriority w:val="0"/>
    <w:rPr>
      <w:rFonts w:ascii="Arial" w:hAnsi="Arial" w:eastAsia="黑体" w:cs="Times New Roman"/>
      <w:b/>
      <w:bCs/>
      <w:sz w:val="32"/>
      <w:szCs w:val="32"/>
    </w:rPr>
  </w:style>
  <w:style w:type="character" w:customStyle="1" w:styleId="147">
    <w:name w:val="标题 2 Char Char"/>
    <w:autoRedefine/>
    <w:qFormat/>
    <w:uiPriority w:val="0"/>
    <w:rPr>
      <w:rFonts w:eastAsia="黑体"/>
      <w:kern w:val="2"/>
      <w:sz w:val="30"/>
      <w:szCs w:val="30"/>
      <w:lang w:val="en-US" w:eastAsia="zh-CN" w:bidi="ar-SA"/>
    </w:rPr>
  </w:style>
  <w:style w:type="character" w:customStyle="1" w:styleId="148">
    <w:name w:val="正文首行缩进 Char1"/>
    <w:link w:val="87"/>
    <w:autoRedefine/>
    <w:qFormat/>
    <w:uiPriority w:val="0"/>
    <w:rPr>
      <w:rFonts w:ascii="Calibri" w:hAnsi="Calibri" w:eastAsia="宋体"/>
      <w:kern w:val="2"/>
      <w:sz w:val="21"/>
      <w:szCs w:val="22"/>
      <w:lang w:val="en-US" w:eastAsia="zh-CN" w:bidi="ar-SA"/>
    </w:rPr>
  </w:style>
  <w:style w:type="character" w:customStyle="1" w:styleId="149">
    <w:name w:val="Item List Char"/>
    <w:link w:val="150"/>
    <w:autoRedefine/>
    <w:qFormat/>
    <w:uiPriority w:val="0"/>
    <w:rPr>
      <w:rFonts w:ascii="Arial" w:hAnsi="Arial"/>
      <w:sz w:val="21"/>
      <w:lang w:val="en-US" w:eastAsia="en-US" w:bidi="ar-SA"/>
    </w:rPr>
  </w:style>
  <w:style w:type="paragraph" w:customStyle="1" w:styleId="150">
    <w:name w:val="Item List"/>
    <w:link w:val="149"/>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51">
    <w:name w:val="sony12"/>
    <w:autoRedefine/>
    <w:qFormat/>
    <w:uiPriority w:val="0"/>
    <w:rPr>
      <w:rFonts w:hint="default" w:ascii="Tahoma" w:hAnsi="Tahoma" w:eastAsia="宋体" w:cs="Tahoma"/>
      <w:kern w:val="2"/>
      <w:sz w:val="36"/>
      <w:szCs w:val="36"/>
      <w:lang w:val="en-US" w:eastAsia="zh-CN" w:bidi="ar-SA"/>
    </w:rPr>
  </w:style>
  <w:style w:type="character" w:customStyle="1" w:styleId="152">
    <w:name w:val="md"/>
    <w:basedOn w:val="95"/>
    <w:autoRedefine/>
    <w:qFormat/>
    <w:uiPriority w:val="0"/>
  </w:style>
  <w:style w:type="character" w:customStyle="1" w:styleId="153">
    <w:name w:val="large1"/>
    <w:autoRedefine/>
    <w:qFormat/>
    <w:uiPriority w:val="0"/>
    <w:rPr>
      <w:rFonts w:hint="eastAsia" w:ascii="宋体" w:hAnsi="宋体" w:eastAsia="宋体"/>
      <w:sz w:val="21"/>
      <w:szCs w:val="21"/>
    </w:rPr>
  </w:style>
  <w:style w:type="character" w:customStyle="1" w:styleId="154">
    <w:name w:val="标题 51 Char"/>
    <w:autoRedefine/>
    <w:qFormat/>
    <w:uiPriority w:val="0"/>
    <w:rPr>
      <w:rFonts w:eastAsia="宋体"/>
      <w:kern w:val="2"/>
      <w:sz w:val="24"/>
      <w:szCs w:val="24"/>
      <w:lang w:val="en-US" w:eastAsia="zh-CN" w:bidi="ar-SA"/>
    </w:rPr>
  </w:style>
  <w:style w:type="character" w:customStyle="1" w:styleId="155">
    <w:name w:val="正文文本缩进 Char"/>
    <w:link w:val="38"/>
    <w:autoRedefine/>
    <w:qFormat/>
    <w:locked/>
    <w:uiPriority w:val="0"/>
    <w:rPr>
      <w:rFonts w:ascii="宋体" w:hAnsi="Courier New"/>
      <w:spacing w:val="-4"/>
      <w:kern w:val="2"/>
      <w:sz w:val="18"/>
    </w:rPr>
  </w:style>
  <w:style w:type="character" w:customStyle="1" w:styleId="156">
    <w:name w:val="段 Char Char Char"/>
    <w:autoRedefine/>
    <w:qFormat/>
    <w:uiPriority w:val="0"/>
    <w:rPr>
      <w:rFonts w:hint="eastAsia" w:ascii="宋体" w:hAnsi="宋体" w:eastAsia="宋体"/>
      <w:sz w:val="21"/>
      <w:lang w:val="en-US" w:eastAsia="zh-CN" w:bidi="ar-SA"/>
    </w:rPr>
  </w:style>
  <w:style w:type="character" w:customStyle="1" w:styleId="157">
    <w:name w:val="个人答复风格"/>
    <w:autoRedefine/>
    <w:qFormat/>
    <w:uiPriority w:val="0"/>
    <w:rPr>
      <w:rFonts w:ascii="Arial" w:hAnsi="Arial" w:eastAsia="宋体" w:cs="Arial"/>
      <w:color w:val="auto"/>
      <w:sz w:val="20"/>
    </w:rPr>
  </w:style>
  <w:style w:type="character" w:customStyle="1" w:styleId="158">
    <w:name w:val="hui"/>
    <w:basedOn w:val="95"/>
    <w:autoRedefine/>
    <w:qFormat/>
    <w:uiPriority w:val="0"/>
  </w:style>
  <w:style w:type="character" w:customStyle="1" w:styleId="159">
    <w:name w:val="H1 Char3"/>
    <w:autoRedefine/>
    <w:qFormat/>
    <w:uiPriority w:val="0"/>
    <w:rPr>
      <w:rFonts w:eastAsia="隶书"/>
      <w:b/>
      <w:bCs/>
      <w:sz w:val="36"/>
      <w:szCs w:val="36"/>
      <w:lang w:val="en-US" w:eastAsia="zh-CN" w:bidi="ar-SA"/>
    </w:rPr>
  </w:style>
  <w:style w:type="character" w:customStyle="1" w:styleId="160">
    <w:name w:val="文档结构图 Char"/>
    <w:link w:val="29"/>
    <w:autoRedefine/>
    <w:qFormat/>
    <w:uiPriority w:val="0"/>
    <w:rPr>
      <w:rFonts w:ascii="宋体" w:hAnsi="Courier New" w:eastAsia="宋体"/>
      <w:sz w:val="21"/>
      <w:lang w:val="en-US" w:eastAsia="zh-CN" w:bidi="ar-SA"/>
    </w:rPr>
  </w:style>
  <w:style w:type="character" w:customStyle="1" w:styleId="161">
    <w:name w:val="技术指标项"/>
    <w:autoRedefine/>
    <w:qFormat/>
    <w:uiPriority w:val="0"/>
    <w:rPr>
      <w:rFonts w:ascii="仿宋_GB2312" w:hAnsi="仿宋_GB2312" w:eastAsia="仿宋_GB2312"/>
      <w:sz w:val="24"/>
    </w:rPr>
  </w:style>
  <w:style w:type="character" w:customStyle="1" w:styleId="162">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63">
    <w:name w:val="正文 居中 Char"/>
    <w:link w:val="164"/>
    <w:autoRedefine/>
    <w:qFormat/>
    <w:locked/>
    <w:uiPriority w:val="0"/>
    <w:rPr>
      <w:rFonts w:eastAsia="宋体" w:cs="宋体"/>
      <w:kern w:val="2"/>
      <w:sz w:val="24"/>
      <w:lang w:val="en-US" w:eastAsia="zh-CN" w:bidi="ar-SA"/>
    </w:rPr>
  </w:style>
  <w:style w:type="paragraph" w:customStyle="1" w:styleId="164">
    <w:name w:val="正文 居中"/>
    <w:basedOn w:val="1"/>
    <w:link w:val="163"/>
    <w:autoRedefine/>
    <w:qFormat/>
    <w:uiPriority w:val="0"/>
    <w:pPr>
      <w:jc w:val="center"/>
    </w:pPr>
    <w:rPr>
      <w:rFonts w:cs="宋体"/>
      <w:szCs w:val="20"/>
    </w:rPr>
  </w:style>
  <w:style w:type="character" w:customStyle="1" w:styleId="165">
    <w:name w:val="样式 黑体 二号 加粗"/>
    <w:autoRedefine/>
    <w:qFormat/>
    <w:uiPriority w:val="0"/>
    <w:rPr>
      <w:rFonts w:hint="eastAsia" w:ascii="黑体" w:hAnsi="黑体" w:eastAsia="黑体"/>
      <w:b/>
      <w:bCs/>
      <w:sz w:val="44"/>
    </w:rPr>
  </w:style>
  <w:style w:type="character" w:customStyle="1" w:styleId="166">
    <w:name w:val="tw4winPopup"/>
    <w:autoRedefine/>
    <w:qFormat/>
    <w:uiPriority w:val="0"/>
    <w:rPr>
      <w:rFonts w:ascii="Courier New" w:hAnsi="Courier New"/>
      <w:color w:val="008000"/>
    </w:rPr>
  </w:style>
  <w:style w:type="character" w:customStyle="1" w:styleId="167">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8">
    <w:name w:val="p1"/>
    <w:autoRedefine/>
    <w:qFormat/>
    <w:uiPriority w:val="0"/>
    <w:rPr>
      <w:color w:val="000000"/>
    </w:rPr>
  </w:style>
  <w:style w:type="character" w:customStyle="1" w:styleId="169">
    <w:name w:val="H1 Char4"/>
    <w:autoRedefine/>
    <w:qFormat/>
    <w:uiPriority w:val="0"/>
    <w:rPr>
      <w:rFonts w:eastAsia="隶书"/>
      <w:b/>
      <w:bCs/>
      <w:sz w:val="36"/>
      <w:szCs w:val="36"/>
      <w:lang w:val="en-US" w:eastAsia="zh-CN" w:bidi="ar-SA"/>
    </w:rPr>
  </w:style>
  <w:style w:type="character" w:customStyle="1" w:styleId="170">
    <w:name w:val="样式 题注 + 黑体1 Char"/>
    <w:link w:val="171"/>
    <w:autoRedefine/>
    <w:qFormat/>
    <w:locked/>
    <w:uiPriority w:val="0"/>
    <w:rPr>
      <w:rFonts w:ascii="黑体" w:hAnsi="黑体" w:eastAsia="黑体" w:cs="Arial"/>
      <w:kern w:val="2"/>
      <w:lang w:val="en-US" w:eastAsia="zh-CN" w:bidi="ar-SA"/>
    </w:rPr>
  </w:style>
  <w:style w:type="paragraph" w:customStyle="1" w:styleId="171">
    <w:name w:val="样式 题注 + 黑体1"/>
    <w:basedOn w:val="25"/>
    <w:link w:val="170"/>
    <w:autoRedefine/>
    <w:qFormat/>
    <w:uiPriority w:val="0"/>
    <w:pPr>
      <w:spacing w:beforeLines="40" w:afterLines="40"/>
      <w:jc w:val="center"/>
    </w:pPr>
    <w:rPr>
      <w:rFonts w:ascii="黑体" w:hAnsi="黑体" w:cs="Arial"/>
    </w:rPr>
  </w:style>
  <w:style w:type="character" w:customStyle="1" w:styleId="172">
    <w:name w:val="List Paragraph Char"/>
    <w:link w:val="173"/>
    <w:autoRedefine/>
    <w:qFormat/>
    <w:locked/>
    <w:uiPriority w:val="0"/>
    <w:rPr>
      <w:rFonts w:eastAsia="宋体"/>
      <w:kern w:val="2"/>
      <w:sz w:val="21"/>
      <w:szCs w:val="24"/>
      <w:lang w:val="en-US" w:eastAsia="zh-CN" w:bidi="ar-SA"/>
    </w:rPr>
  </w:style>
  <w:style w:type="paragraph" w:customStyle="1" w:styleId="173">
    <w:name w:val="列出段落1"/>
    <w:basedOn w:val="1"/>
    <w:link w:val="172"/>
    <w:autoRedefine/>
    <w:qFormat/>
    <w:uiPriority w:val="0"/>
    <w:pPr>
      <w:ind w:firstLine="420" w:firstLineChars="200"/>
    </w:pPr>
  </w:style>
  <w:style w:type="character" w:customStyle="1" w:styleId="174">
    <w:name w:val="hui3"/>
    <w:autoRedefine/>
    <w:qFormat/>
    <w:uiPriority w:val="0"/>
    <w:rPr>
      <w:color w:val="333333"/>
    </w:rPr>
  </w:style>
  <w:style w:type="character" w:customStyle="1" w:styleId="175">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6">
    <w:name w:val="h4 Char3"/>
    <w:autoRedefine/>
    <w:qFormat/>
    <w:uiPriority w:val="0"/>
    <w:rPr>
      <w:rFonts w:ascii="Arial" w:hAnsi="Arial" w:eastAsia="黑体"/>
      <w:b/>
      <w:bCs/>
      <w:kern w:val="2"/>
      <w:sz w:val="28"/>
      <w:szCs w:val="28"/>
      <w:lang w:val="en-US" w:eastAsia="zh-CN" w:bidi="ar-SA"/>
    </w:rPr>
  </w:style>
  <w:style w:type="character" w:customStyle="1" w:styleId="177">
    <w:name w:val="标题 7 Char"/>
    <w:link w:val="10"/>
    <w:autoRedefine/>
    <w:qFormat/>
    <w:uiPriority w:val="0"/>
    <w:rPr>
      <w:rFonts w:ascii="宋体" w:eastAsia="仿宋_GB2312"/>
      <w:b/>
      <w:sz w:val="24"/>
    </w:rPr>
  </w:style>
  <w:style w:type="character" w:customStyle="1" w:styleId="178">
    <w:name w:val="样式  + 首行缩进:  2 字符 Char"/>
    <w:link w:val="179"/>
    <w:autoRedefine/>
    <w:qFormat/>
    <w:uiPriority w:val="0"/>
    <w:rPr>
      <w:rFonts w:eastAsia="宋体" w:cs="宋体"/>
      <w:kern w:val="2"/>
      <w:sz w:val="24"/>
      <w:lang w:val="en-US" w:eastAsia="zh-CN" w:bidi="ar-SA"/>
    </w:rPr>
  </w:style>
  <w:style w:type="paragraph" w:customStyle="1" w:styleId="179">
    <w:name w:val="样式  + 首行缩进:  2 字符"/>
    <w:basedOn w:val="1"/>
    <w:link w:val="178"/>
    <w:autoRedefine/>
    <w:qFormat/>
    <w:uiPriority w:val="0"/>
    <w:pPr>
      <w:spacing w:before="60" w:after="60"/>
      <w:ind w:firstLine="480" w:firstLineChars="200"/>
    </w:pPr>
    <w:rPr>
      <w:rFonts w:cs="宋体"/>
      <w:szCs w:val="20"/>
    </w:rPr>
  </w:style>
  <w:style w:type="character" w:customStyle="1" w:styleId="180">
    <w:name w:val="样式 标题 5H5PIM 5h5Level 3 - iTitre5Block Label1.1.1口Secon... Char"/>
    <w:link w:val="181"/>
    <w:autoRedefine/>
    <w:qFormat/>
    <w:uiPriority w:val="0"/>
    <w:rPr>
      <w:rFonts w:eastAsia="黑体"/>
      <w:bCs/>
      <w:kern w:val="2"/>
      <w:sz w:val="24"/>
      <w:szCs w:val="24"/>
      <w:lang w:val="en-US" w:eastAsia="zh-CN" w:bidi="ar-SA"/>
    </w:rPr>
  </w:style>
  <w:style w:type="paragraph" w:customStyle="1" w:styleId="181">
    <w:name w:val="样式 标题 5H5PIM 5h5Level 3 - iTitre5Block Label1.1.1口Secon..."/>
    <w:basedOn w:val="8"/>
    <w:link w:val="180"/>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2">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83">
    <w:name w:val="gf正文1 Char"/>
    <w:link w:val="184"/>
    <w:autoRedefine/>
    <w:qFormat/>
    <w:uiPriority w:val="0"/>
    <w:rPr>
      <w:rFonts w:ascii="宋体" w:hAnsi="宋体" w:eastAsia="宋体"/>
      <w:sz w:val="24"/>
      <w:szCs w:val="24"/>
      <w:lang w:bidi="ar-SA"/>
    </w:rPr>
  </w:style>
  <w:style w:type="paragraph" w:customStyle="1" w:styleId="184">
    <w:name w:val="gf正文1"/>
    <w:basedOn w:val="1"/>
    <w:link w:val="183"/>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5">
    <w:name w:val="列出段落 Char"/>
    <w:autoRedefine/>
    <w:qFormat/>
    <w:uiPriority w:val="34"/>
    <w:rPr>
      <w:rFonts w:ascii="Calibri" w:hAnsi="Calibri" w:eastAsia="宋体" w:cs="Times New Roman"/>
    </w:rPr>
  </w:style>
  <w:style w:type="character" w:customStyle="1" w:styleId="186">
    <w:name w:val="Char Char5"/>
    <w:autoRedefine/>
    <w:qFormat/>
    <w:uiPriority w:val="0"/>
    <w:rPr>
      <w:rFonts w:eastAsia="隶书"/>
      <w:b/>
      <w:bCs/>
      <w:sz w:val="36"/>
      <w:szCs w:val="36"/>
      <w:lang w:val="en-US" w:eastAsia="zh-CN" w:bidi="ar-SA"/>
    </w:rPr>
  </w:style>
  <w:style w:type="character" w:customStyle="1" w:styleId="187">
    <w:name w:val="书籍标题1"/>
    <w:autoRedefine/>
    <w:qFormat/>
    <w:uiPriority w:val="0"/>
    <w:rPr>
      <w:b/>
      <w:bCs/>
      <w:smallCaps/>
      <w:spacing w:val="5"/>
    </w:rPr>
  </w:style>
  <w:style w:type="character" w:customStyle="1" w:styleId="188">
    <w:name w:val="样式 题注 + 黑体2 Char"/>
    <w:link w:val="189"/>
    <w:autoRedefine/>
    <w:qFormat/>
    <w:locked/>
    <w:uiPriority w:val="0"/>
    <w:rPr>
      <w:rFonts w:ascii="黑体" w:hAnsi="黑体" w:eastAsia="黑体" w:cs="Arial"/>
      <w:kern w:val="2"/>
      <w:sz w:val="21"/>
      <w:lang w:val="en-US" w:eastAsia="zh-CN" w:bidi="ar-SA"/>
    </w:rPr>
  </w:style>
  <w:style w:type="paragraph" w:customStyle="1" w:styleId="189">
    <w:name w:val="样式 题注 + 黑体2"/>
    <w:basedOn w:val="25"/>
    <w:link w:val="188"/>
    <w:autoRedefine/>
    <w:qFormat/>
    <w:uiPriority w:val="0"/>
    <w:pPr>
      <w:spacing w:beforeLines="40" w:afterLines="40"/>
      <w:jc w:val="center"/>
    </w:pPr>
    <w:rPr>
      <w:rFonts w:ascii="黑体" w:hAnsi="黑体" w:cs="Arial"/>
      <w:sz w:val="21"/>
    </w:rPr>
  </w:style>
  <w:style w:type="character" w:customStyle="1" w:styleId="190">
    <w:name w:val="title14"/>
    <w:basedOn w:val="95"/>
    <w:autoRedefine/>
    <w:qFormat/>
    <w:uiPriority w:val="0"/>
  </w:style>
  <w:style w:type="character" w:customStyle="1" w:styleId="191">
    <w:name w:val="ptt1"/>
    <w:autoRedefine/>
    <w:qFormat/>
    <w:uiPriority w:val="0"/>
    <w:rPr>
      <w:rFonts w:hint="eastAsia" w:ascii="宋体" w:hAnsi="宋体" w:eastAsia="宋体"/>
      <w:spacing w:val="375"/>
      <w:kern w:val="2"/>
      <w:sz w:val="18"/>
      <w:szCs w:val="18"/>
      <w:lang w:val="en-US" w:eastAsia="zh-CN" w:bidi="ar-SA"/>
    </w:rPr>
  </w:style>
  <w:style w:type="character" w:customStyle="1" w:styleId="192">
    <w:name w:val="H2 Char4"/>
    <w:autoRedefine/>
    <w:qFormat/>
    <w:uiPriority w:val="0"/>
    <w:rPr>
      <w:rFonts w:ascii="Arial" w:hAnsi="Arial" w:eastAsia="黑体"/>
      <w:b/>
      <w:bCs/>
      <w:kern w:val="2"/>
      <w:sz w:val="32"/>
      <w:szCs w:val="32"/>
      <w:lang w:val="en-US" w:eastAsia="zh-CN" w:bidi="ar-SA"/>
    </w:rPr>
  </w:style>
  <w:style w:type="character" w:customStyle="1" w:styleId="193">
    <w:name w:val="题注 Char1"/>
    <w:link w:val="25"/>
    <w:autoRedefine/>
    <w:qFormat/>
    <w:uiPriority w:val="0"/>
    <w:rPr>
      <w:rFonts w:ascii="Arial" w:hAnsi="Arial" w:eastAsia="黑体" w:cs="Arial"/>
      <w:kern w:val="2"/>
    </w:rPr>
  </w:style>
  <w:style w:type="character" w:customStyle="1" w:styleId="194">
    <w:name w:val="正文2 Char"/>
    <w:link w:val="195"/>
    <w:autoRedefine/>
    <w:qFormat/>
    <w:uiPriority w:val="0"/>
    <w:rPr>
      <w:rFonts w:ascii="宋体" w:hAnsi="宋体" w:eastAsia="仿宋_GB2312" w:cs="Arial"/>
      <w:kern w:val="2"/>
      <w:sz w:val="24"/>
      <w:lang w:val="en-US" w:eastAsia="zh-CN" w:bidi="ar-SA"/>
    </w:rPr>
  </w:style>
  <w:style w:type="paragraph" w:customStyle="1" w:styleId="195">
    <w:name w:val="正文2"/>
    <w:basedOn w:val="1"/>
    <w:link w:val="194"/>
    <w:autoRedefine/>
    <w:qFormat/>
    <w:uiPriority w:val="0"/>
    <w:pPr>
      <w:spacing w:before="156"/>
      <w:ind w:firstLine="510" w:firstLineChars="200"/>
      <w:jc w:val="left"/>
    </w:pPr>
    <w:rPr>
      <w:rFonts w:ascii="宋体" w:hAnsi="宋体" w:eastAsia="仿宋_GB2312" w:cs="Arial"/>
      <w:szCs w:val="20"/>
    </w:rPr>
  </w:style>
  <w:style w:type="character" w:customStyle="1" w:styleId="196">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7">
    <w:name w:val="正文空两格 Char"/>
    <w:link w:val="198"/>
    <w:autoRedefine/>
    <w:qFormat/>
    <w:locked/>
    <w:uiPriority w:val="0"/>
    <w:rPr>
      <w:rFonts w:ascii="FuturaA Bk BT" w:hAnsi="FuturaA Bk BT" w:eastAsia="宋体" w:cs="FuturaA Bk BT"/>
      <w:kern w:val="2"/>
      <w:sz w:val="24"/>
      <w:szCs w:val="24"/>
      <w:lang w:val="en-US" w:eastAsia="zh-CN" w:bidi="ar-SA"/>
    </w:rPr>
  </w:style>
  <w:style w:type="paragraph" w:customStyle="1" w:styleId="198">
    <w:name w:val="正文空两格"/>
    <w:basedOn w:val="1"/>
    <w:link w:val="197"/>
    <w:autoRedefine/>
    <w:qFormat/>
    <w:uiPriority w:val="0"/>
    <w:pPr>
      <w:spacing w:beforeLines="40" w:afterLines="40"/>
      <w:ind w:firstLine="480" w:firstLineChars="200"/>
    </w:pPr>
    <w:rPr>
      <w:rFonts w:ascii="FuturaA Bk BT" w:hAnsi="FuturaA Bk BT" w:cs="FuturaA Bk BT"/>
    </w:rPr>
  </w:style>
  <w:style w:type="character" w:customStyle="1" w:styleId="199">
    <w:name w:val="样式 题注 + (符号) 宋体 Char"/>
    <w:link w:val="200"/>
    <w:autoRedefine/>
    <w:qFormat/>
    <w:locked/>
    <w:uiPriority w:val="0"/>
    <w:rPr>
      <w:rFonts w:ascii="Arial" w:hAnsi="Arial" w:eastAsia="黑体" w:cs="Arial"/>
      <w:kern w:val="2"/>
      <w:sz w:val="21"/>
      <w:lang w:val="en-US" w:eastAsia="zh-CN" w:bidi="ar-SA"/>
    </w:rPr>
  </w:style>
  <w:style w:type="paragraph" w:customStyle="1" w:styleId="200">
    <w:name w:val="样式 题注 + (符号) 宋体"/>
    <w:basedOn w:val="25"/>
    <w:link w:val="199"/>
    <w:autoRedefine/>
    <w:qFormat/>
    <w:uiPriority w:val="0"/>
    <w:pPr>
      <w:spacing w:beforeLines="40" w:afterLines="40"/>
      <w:jc w:val="center"/>
    </w:pPr>
    <w:rPr>
      <w:rFonts w:cs="Arial"/>
      <w:sz w:val="21"/>
    </w:rPr>
  </w:style>
  <w:style w:type="character" w:customStyle="1" w:styleId="201">
    <w:name w:val="正文缩进 Char2"/>
    <w:link w:val="24"/>
    <w:autoRedefine/>
    <w:qFormat/>
    <w:uiPriority w:val="0"/>
    <w:rPr>
      <w:rFonts w:eastAsia="宋体"/>
      <w:kern w:val="2"/>
      <w:sz w:val="21"/>
      <w:lang w:val="en-US" w:eastAsia="zh-CN" w:bidi="ar-SA"/>
    </w:rPr>
  </w:style>
  <w:style w:type="character" w:customStyle="1" w:styleId="202">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03">
    <w:name w:val="font01"/>
    <w:basedOn w:val="95"/>
    <w:autoRedefine/>
    <w:qFormat/>
    <w:uiPriority w:val="0"/>
    <w:rPr>
      <w:rFonts w:hint="eastAsia" w:ascii="宋体" w:hAnsi="宋体" w:eastAsia="宋体" w:cs="宋体"/>
      <w:color w:val="000000"/>
      <w:sz w:val="20"/>
      <w:szCs w:val="20"/>
      <w:u w:val="none"/>
    </w:rPr>
  </w:style>
  <w:style w:type="character" w:customStyle="1" w:styleId="204">
    <w:name w:val="样式 标题 2 + Arial Char"/>
    <w:link w:val="205"/>
    <w:autoRedefine/>
    <w:qFormat/>
    <w:uiPriority w:val="0"/>
    <w:rPr>
      <w:rFonts w:ascii="Arial" w:hAnsi="Arial" w:eastAsia="黑体"/>
      <w:kern w:val="2"/>
      <w:sz w:val="30"/>
      <w:szCs w:val="30"/>
      <w:lang w:val="en-US" w:eastAsia="zh-CN" w:bidi="ar-SA"/>
    </w:rPr>
  </w:style>
  <w:style w:type="paragraph" w:customStyle="1" w:styleId="205">
    <w:name w:val="样式 标题 2 + Arial"/>
    <w:basedOn w:val="2"/>
    <w:link w:val="204"/>
    <w:autoRedefine/>
    <w:qFormat/>
    <w:uiPriority w:val="0"/>
    <w:pPr>
      <w:spacing w:before="0" w:after="0" w:line="360" w:lineRule="auto"/>
      <w:ind w:left="0" w:firstLine="0"/>
    </w:pPr>
    <w:rPr>
      <w:b w:val="0"/>
      <w:bCs w:val="0"/>
      <w:sz w:val="30"/>
      <w:szCs w:val="30"/>
    </w:rPr>
  </w:style>
  <w:style w:type="character" w:customStyle="1" w:styleId="206">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7">
    <w:name w:val="样式 题注 + 仿宋_GB2312 Char"/>
    <w:link w:val="208"/>
    <w:autoRedefine/>
    <w:qFormat/>
    <w:locked/>
    <w:uiPriority w:val="0"/>
    <w:rPr>
      <w:rFonts w:ascii="黑体" w:hAnsi="仿宋_GB2312" w:eastAsia="黑体" w:cs="Arial"/>
      <w:kern w:val="2"/>
      <w:szCs w:val="24"/>
      <w:lang w:val="en-US" w:eastAsia="zh-CN" w:bidi="ar-SA"/>
    </w:rPr>
  </w:style>
  <w:style w:type="paragraph" w:customStyle="1" w:styleId="208">
    <w:name w:val="样式 题注 + 仿宋_GB2312"/>
    <w:basedOn w:val="25"/>
    <w:link w:val="207"/>
    <w:autoRedefine/>
    <w:qFormat/>
    <w:uiPriority w:val="0"/>
    <w:pPr>
      <w:spacing w:beforeLines="40" w:afterLines="40"/>
      <w:jc w:val="center"/>
    </w:pPr>
    <w:rPr>
      <w:rFonts w:ascii="黑体" w:hAnsi="仿宋_GB2312" w:cs="Arial"/>
      <w:szCs w:val="24"/>
    </w:rPr>
  </w:style>
  <w:style w:type="character" w:customStyle="1" w:styleId="209">
    <w:name w:val="paramname3"/>
    <w:autoRedefine/>
    <w:qFormat/>
    <w:uiPriority w:val="0"/>
    <w:rPr>
      <w:color w:val="999999"/>
    </w:rPr>
  </w:style>
  <w:style w:type="character" w:customStyle="1" w:styleId="210">
    <w:name w:val="mark"/>
    <w:basedOn w:val="95"/>
    <w:autoRedefine/>
    <w:qFormat/>
    <w:uiPriority w:val="0"/>
  </w:style>
  <w:style w:type="character" w:customStyle="1" w:styleId="211">
    <w:name w:val="无间隔 Char"/>
    <w:link w:val="212"/>
    <w:autoRedefine/>
    <w:qFormat/>
    <w:locked/>
    <w:uiPriority w:val="0"/>
    <w:rPr>
      <w:kern w:val="2"/>
      <w:sz w:val="21"/>
      <w:szCs w:val="24"/>
      <w:lang w:val="en-US" w:eastAsia="zh-CN" w:bidi="ar-SA"/>
    </w:rPr>
  </w:style>
  <w:style w:type="paragraph" w:customStyle="1" w:styleId="212">
    <w:name w:val="无间隔1"/>
    <w:link w:val="2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3">
    <w:name w:val="Char Char8"/>
    <w:autoRedefine/>
    <w:qFormat/>
    <w:uiPriority w:val="0"/>
    <w:rPr>
      <w:rFonts w:eastAsia="隶书"/>
      <w:b/>
      <w:bCs/>
      <w:sz w:val="36"/>
      <w:szCs w:val="36"/>
      <w:lang w:val="en-US" w:eastAsia="zh-CN" w:bidi="ar-SA"/>
    </w:rPr>
  </w:style>
  <w:style w:type="character" w:customStyle="1" w:styleId="214">
    <w:name w:val="Char Char9"/>
    <w:autoRedefine/>
    <w:qFormat/>
    <w:uiPriority w:val="0"/>
    <w:rPr>
      <w:rFonts w:eastAsia="宋体"/>
      <w:kern w:val="2"/>
      <w:sz w:val="18"/>
      <w:szCs w:val="18"/>
      <w:lang w:val="en-US" w:eastAsia="zh-CN" w:bidi="ar-SA"/>
    </w:rPr>
  </w:style>
  <w:style w:type="character" w:customStyle="1" w:styleId="215">
    <w:name w:val="shadow11"/>
    <w:autoRedefine/>
    <w:qFormat/>
    <w:uiPriority w:val="0"/>
    <w:rPr>
      <w:color w:val="000000"/>
      <w:sz w:val="21"/>
    </w:rPr>
  </w:style>
  <w:style w:type="character" w:customStyle="1" w:styleId="216">
    <w:name w:val="msonormal"/>
    <w:autoRedefine/>
    <w:qFormat/>
    <w:uiPriority w:val="0"/>
    <w:rPr>
      <w:rFonts w:hint="default" w:ascii="Tahoma" w:hAnsi="Tahoma" w:eastAsia="宋体" w:cs="Tahoma"/>
      <w:kern w:val="2"/>
      <w:sz w:val="36"/>
      <w:szCs w:val="36"/>
      <w:lang w:val="en-US" w:eastAsia="zh-CN" w:bidi="ar-SA"/>
    </w:rPr>
  </w:style>
  <w:style w:type="character" w:customStyle="1" w:styleId="217">
    <w:name w:val="style101"/>
    <w:autoRedefine/>
    <w:qFormat/>
    <w:uiPriority w:val="0"/>
    <w:rPr>
      <w:color w:val="000000"/>
    </w:rPr>
  </w:style>
  <w:style w:type="character" w:customStyle="1" w:styleId="218">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9">
    <w:name w:val="备注说明 Char Char Char Char"/>
    <w:autoRedefine/>
    <w:qFormat/>
    <w:uiPriority w:val="0"/>
    <w:rPr>
      <w:rFonts w:hint="eastAsia" w:ascii="宋体" w:hAnsi="宋体" w:eastAsia="宋体"/>
      <w:kern w:val="2"/>
      <w:sz w:val="21"/>
      <w:lang w:val="en-US" w:eastAsia="zh-CN" w:bidi="ar-SA"/>
    </w:rPr>
  </w:style>
  <w:style w:type="character" w:customStyle="1" w:styleId="220">
    <w:name w:val="Footer Char"/>
    <w:autoRedefine/>
    <w:qFormat/>
    <w:locked/>
    <w:uiPriority w:val="0"/>
    <w:rPr>
      <w:rFonts w:ascii="Calibri" w:hAnsi="Calibri" w:eastAsia="宋体" w:cs="Calibri"/>
      <w:sz w:val="18"/>
      <w:szCs w:val="18"/>
    </w:rPr>
  </w:style>
  <w:style w:type="character" w:customStyle="1" w:styleId="221">
    <w:name w:val="常规 Char"/>
    <w:link w:val="222"/>
    <w:autoRedefine/>
    <w:qFormat/>
    <w:uiPriority w:val="0"/>
    <w:rPr>
      <w:rFonts w:eastAsia="宋体"/>
      <w:kern w:val="2"/>
      <w:sz w:val="21"/>
      <w:szCs w:val="21"/>
      <w:lang w:val="en-US" w:eastAsia="zh-CN" w:bidi="ar-SA"/>
    </w:rPr>
  </w:style>
  <w:style w:type="paragraph" w:customStyle="1" w:styleId="222">
    <w:name w:val="常规"/>
    <w:basedOn w:val="1"/>
    <w:link w:val="221"/>
    <w:autoRedefine/>
    <w:qFormat/>
    <w:uiPriority w:val="0"/>
    <w:pPr>
      <w:spacing w:beforeLines="100" w:afterLines="100"/>
      <w:ind w:left="1134"/>
    </w:pPr>
    <w:rPr>
      <w:szCs w:val="21"/>
    </w:rPr>
  </w:style>
  <w:style w:type="character" w:customStyle="1" w:styleId="223">
    <w:name w:val="point_normal1"/>
    <w:autoRedefine/>
    <w:qFormat/>
    <w:uiPriority w:val="0"/>
    <w:rPr>
      <w:rFonts w:hint="default" w:ascii="Arial" w:hAnsi="Arial" w:cs="Arial"/>
      <w:sz w:val="18"/>
      <w:szCs w:val="18"/>
    </w:rPr>
  </w:style>
  <w:style w:type="character" w:customStyle="1" w:styleId="224">
    <w:name w:val="text03"/>
    <w:autoRedefine/>
    <w:qFormat/>
    <w:uiPriority w:val="0"/>
    <w:rPr>
      <w:rFonts w:hint="default" w:ascii="Tahoma" w:hAnsi="Tahoma" w:eastAsia="宋体" w:cs="Tahoma"/>
      <w:kern w:val="2"/>
      <w:sz w:val="36"/>
      <w:szCs w:val="36"/>
      <w:lang w:val="en-US" w:eastAsia="zh-CN" w:bidi="ar-SA"/>
    </w:rPr>
  </w:style>
  <w:style w:type="character" w:customStyle="1" w:styleId="225">
    <w:name w:val="正文（缩进） Char"/>
    <w:link w:val="226"/>
    <w:autoRedefine/>
    <w:qFormat/>
    <w:uiPriority w:val="0"/>
    <w:rPr>
      <w:rFonts w:eastAsia="宋体"/>
      <w:kern w:val="2"/>
      <w:sz w:val="24"/>
      <w:szCs w:val="24"/>
      <w:lang w:bidi="ar-SA"/>
    </w:rPr>
  </w:style>
  <w:style w:type="paragraph" w:customStyle="1" w:styleId="226">
    <w:name w:val="正文（缩进）"/>
    <w:basedOn w:val="1"/>
    <w:link w:val="225"/>
    <w:autoRedefine/>
    <w:qFormat/>
    <w:uiPriority w:val="0"/>
    <w:pPr>
      <w:spacing w:beforeLines="50" w:afterLines="50"/>
      <w:ind w:firstLine="480" w:firstLineChars="200"/>
    </w:pPr>
  </w:style>
  <w:style w:type="character" w:customStyle="1" w:styleId="227">
    <w:name w:val="页眉 Char"/>
    <w:link w:val="58"/>
    <w:autoRedefine/>
    <w:qFormat/>
    <w:uiPriority w:val="99"/>
    <w:rPr>
      <w:kern w:val="2"/>
      <w:sz w:val="18"/>
      <w:szCs w:val="18"/>
    </w:rPr>
  </w:style>
  <w:style w:type="character" w:customStyle="1" w:styleId="228">
    <w:name w:val="text1"/>
    <w:basedOn w:val="95"/>
    <w:autoRedefine/>
    <w:qFormat/>
    <w:uiPriority w:val="0"/>
  </w:style>
  <w:style w:type="character" w:customStyle="1" w:styleId="229">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30">
    <w:name w:val="招标正文 Char"/>
    <w:link w:val="231"/>
    <w:autoRedefine/>
    <w:qFormat/>
    <w:uiPriority w:val="0"/>
    <w:rPr>
      <w:rFonts w:ascii="仿宋_GB2312" w:eastAsia="仿宋_GB2312" w:cs="宋体"/>
      <w:kern w:val="1"/>
      <w:sz w:val="30"/>
      <w:lang w:eastAsia="ar-SA"/>
    </w:rPr>
  </w:style>
  <w:style w:type="paragraph" w:customStyle="1" w:styleId="231">
    <w:name w:val="招标正文"/>
    <w:basedOn w:val="1"/>
    <w:link w:val="230"/>
    <w:autoRedefine/>
    <w:qFormat/>
    <w:uiPriority w:val="0"/>
    <w:pPr>
      <w:suppressAutoHyphens/>
      <w:ind w:firstLine="480"/>
    </w:pPr>
    <w:rPr>
      <w:rFonts w:ascii="仿宋_GB2312" w:eastAsia="仿宋_GB2312"/>
      <w:kern w:val="1"/>
      <w:sz w:val="30"/>
      <w:szCs w:val="20"/>
      <w:lang w:eastAsia="ar-SA"/>
    </w:rPr>
  </w:style>
  <w:style w:type="character" w:customStyle="1" w:styleId="232">
    <w:name w:val="日期 Char"/>
    <w:link w:val="52"/>
    <w:autoRedefine/>
    <w:semiHidden/>
    <w:qFormat/>
    <w:uiPriority w:val="0"/>
    <w:rPr>
      <w:rFonts w:eastAsia="楷体_GB2312"/>
      <w:kern w:val="2"/>
      <w:sz w:val="32"/>
      <w:lang w:val="en-US" w:eastAsia="zh-CN" w:bidi="ar-SA"/>
    </w:rPr>
  </w:style>
  <w:style w:type="character" w:customStyle="1" w:styleId="233">
    <w:name w:val="标题 8 Char Char"/>
    <w:autoRedefine/>
    <w:qFormat/>
    <w:uiPriority w:val="0"/>
    <w:rPr>
      <w:rFonts w:ascii="Cambria" w:hAnsi="Cambria" w:eastAsia="宋体" w:cs="Times New Roman"/>
      <w:sz w:val="24"/>
      <w:szCs w:val="24"/>
    </w:rPr>
  </w:style>
  <w:style w:type="character" w:customStyle="1" w:styleId="234">
    <w:name w:val="style91"/>
    <w:autoRedefine/>
    <w:qFormat/>
    <w:uiPriority w:val="0"/>
    <w:rPr>
      <w:color w:val="666666"/>
    </w:rPr>
  </w:style>
  <w:style w:type="character" w:customStyle="1" w:styleId="235">
    <w:name w:val="标题 3 Char"/>
    <w:autoRedefine/>
    <w:qFormat/>
    <w:uiPriority w:val="0"/>
    <w:rPr>
      <w:rFonts w:ascii="Times New Roman" w:hAnsi="Times New Roman" w:eastAsia="宋体" w:cs="Times New Roman"/>
      <w:b/>
      <w:bCs/>
      <w:sz w:val="32"/>
      <w:szCs w:val="32"/>
    </w:rPr>
  </w:style>
  <w:style w:type="character" w:customStyle="1" w:styleId="236">
    <w:name w:val="正文格式 Char1"/>
    <w:link w:val="237"/>
    <w:autoRedefine/>
    <w:qFormat/>
    <w:uiPriority w:val="0"/>
    <w:rPr>
      <w:rFonts w:ascii="宋体" w:hAnsi="宋体" w:eastAsia="宋体"/>
      <w:bCs/>
      <w:color w:val="000000"/>
      <w:sz w:val="24"/>
      <w:szCs w:val="24"/>
      <w:lang w:val="en-US" w:eastAsia="zh-CN" w:bidi="ar-SA"/>
    </w:rPr>
  </w:style>
  <w:style w:type="paragraph" w:customStyle="1" w:styleId="237">
    <w:name w:val="正文格式"/>
    <w:basedOn w:val="1"/>
    <w:link w:val="236"/>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8">
    <w:name w:val="Char Char4"/>
    <w:autoRedefine/>
    <w:qFormat/>
    <w:uiPriority w:val="0"/>
    <w:rPr>
      <w:rFonts w:ascii="Arial" w:hAnsi="Arial" w:eastAsia="黑体"/>
      <w:b/>
      <w:bCs/>
      <w:kern w:val="2"/>
      <w:sz w:val="32"/>
      <w:szCs w:val="32"/>
      <w:lang w:val="en-US" w:eastAsia="zh-CN" w:bidi="ar-SA"/>
    </w:rPr>
  </w:style>
  <w:style w:type="character" w:customStyle="1" w:styleId="239">
    <w:name w:val="页眉 Char1"/>
    <w:autoRedefine/>
    <w:semiHidden/>
    <w:qFormat/>
    <w:uiPriority w:val="0"/>
    <w:rPr>
      <w:sz w:val="18"/>
      <w:szCs w:val="18"/>
    </w:rPr>
  </w:style>
  <w:style w:type="character" w:customStyle="1" w:styleId="240">
    <w:name w:val="Char Char34"/>
    <w:autoRedefine/>
    <w:qFormat/>
    <w:uiPriority w:val="0"/>
    <w:rPr>
      <w:rFonts w:ascii="宋体" w:hAnsi="Courier New" w:eastAsia="宋体"/>
      <w:kern w:val="2"/>
      <w:sz w:val="24"/>
      <w:szCs w:val="24"/>
      <w:lang w:val="en-US" w:eastAsia="zh-CN" w:bidi="ar-SA"/>
    </w:rPr>
  </w:style>
  <w:style w:type="character" w:customStyle="1" w:styleId="241">
    <w:name w:val="表正文 Char1"/>
    <w:autoRedefine/>
    <w:qFormat/>
    <w:uiPriority w:val="0"/>
    <w:rPr>
      <w:rFonts w:eastAsia="宋体"/>
      <w:kern w:val="2"/>
      <w:sz w:val="21"/>
      <w:lang w:val="en-US" w:eastAsia="zh-CN"/>
    </w:rPr>
  </w:style>
  <w:style w:type="character" w:customStyle="1" w:styleId="242">
    <w:name w:val="nr"/>
    <w:basedOn w:val="95"/>
    <w:autoRedefine/>
    <w:qFormat/>
    <w:uiPriority w:val="0"/>
  </w:style>
  <w:style w:type="character" w:customStyle="1" w:styleId="243">
    <w:name w:val="Table Text Char1"/>
    <w:link w:val="122"/>
    <w:autoRedefine/>
    <w:qFormat/>
    <w:uiPriority w:val="0"/>
    <w:rPr>
      <w:rFonts w:eastAsia="宋体"/>
      <w:kern w:val="2"/>
      <w:sz w:val="16"/>
      <w:szCs w:val="24"/>
      <w:lang w:val="en-US" w:eastAsia="zh-CN" w:bidi="ar-SA"/>
    </w:rPr>
  </w:style>
  <w:style w:type="character" w:customStyle="1" w:styleId="244">
    <w:name w:val="H1 Char5"/>
    <w:autoRedefine/>
    <w:qFormat/>
    <w:uiPriority w:val="0"/>
    <w:rPr>
      <w:rFonts w:eastAsia="隶书"/>
      <w:b/>
      <w:bCs/>
      <w:sz w:val="36"/>
      <w:szCs w:val="36"/>
      <w:lang w:val="en-US" w:eastAsia="zh-CN" w:bidi="ar-SA"/>
    </w:rPr>
  </w:style>
  <w:style w:type="character" w:customStyle="1" w:styleId="245">
    <w:name w:val="标题 3 Char1"/>
    <w:link w:val="6"/>
    <w:autoRedefine/>
    <w:qFormat/>
    <w:uiPriority w:val="0"/>
    <w:rPr>
      <w:rFonts w:eastAsia="仿宋"/>
      <w:b/>
      <w:bCs/>
      <w:kern w:val="2"/>
      <w:sz w:val="30"/>
      <w:szCs w:val="32"/>
    </w:rPr>
  </w:style>
  <w:style w:type="character" w:customStyle="1" w:styleId="246">
    <w:name w:val="dectext1"/>
    <w:autoRedefine/>
    <w:qFormat/>
    <w:uiPriority w:val="0"/>
    <w:rPr>
      <w:rFonts w:ascii="宋体" w:hAnsi="宋体" w:eastAsia="宋体"/>
      <w:color w:val="333333"/>
      <w:sz w:val="21"/>
      <w:szCs w:val="21"/>
      <w:u w:val="none"/>
    </w:rPr>
  </w:style>
  <w:style w:type="character" w:customStyle="1" w:styleId="247">
    <w:name w:val="基础框架 Char Char"/>
    <w:link w:val="248"/>
    <w:autoRedefine/>
    <w:qFormat/>
    <w:uiPriority w:val="0"/>
    <w:rPr>
      <w:rFonts w:ascii="宋体" w:hAnsi="宋体" w:eastAsia="宋体"/>
      <w:kern w:val="2"/>
      <w:sz w:val="18"/>
      <w:szCs w:val="21"/>
      <w:lang w:val="en-US" w:eastAsia="zh-CN" w:bidi="ar-SA"/>
    </w:rPr>
  </w:style>
  <w:style w:type="paragraph" w:customStyle="1" w:styleId="248">
    <w:name w:val="基础框架"/>
    <w:basedOn w:val="1"/>
    <w:link w:val="247"/>
    <w:autoRedefine/>
    <w:qFormat/>
    <w:uiPriority w:val="0"/>
    <w:pPr>
      <w:ind w:firstLine="198" w:firstLineChars="198"/>
    </w:pPr>
    <w:rPr>
      <w:rFonts w:ascii="宋体" w:hAnsi="宋体"/>
      <w:sz w:val="18"/>
      <w:szCs w:val="21"/>
    </w:rPr>
  </w:style>
  <w:style w:type="character" w:customStyle="1" w:styleId="249">
    <w:name w:val="Normal Indent Char Char"/>
    <w:autoRedefine/>
    <w:qFormat/>
    <w:uiPriority w:val="0"/>
    <w:rPr>
      <w:rFonts w:eastAsia="宋体"/>
      <w:kern w:val="2"/>
      <w:sz w:val="21"/>
      <w:lang w:val="en-US" w:eastAsia="zh-CN" w:bidi="ar-SA"/>
    </w:rPr>
  </w:style>
  <w:style w:type="character" w:customStyle="1" w:styleId="250">
    <w:name w:val="tw4winMark"/>
    <w:autoRedefine/>
    <w:qFormat/>
    <w:uiPriority w:val="0"/>
    <w:rPr>
      <w:rFonts w:ascii="Courier New" w:hAnsi="Courier New"/>
      <w:vanish/>
      <w:color w:val="800080"/>
      <w:vertAlign w:val="subscript"/>
    </w:rPr>
  </w:style>
  <w:style w:type="character" w:customStyle="1" w:styleId="251">
    <w:name w:val="文档正文 Char"/>
    <w:link w:val="252"/>
    <w:autoRedefine/>
    <w:qFormat/>
    <w:locked/>
    <w:uiPriority w:val="0"/>
    <w:rPr>
      <w:rFonts w:ascii="Arial Narrow" w:hAnsi="Arial Narrow" w:eastAsia="宋体"/>
      <w:sz w:val="24"/>
      <w:szCs w:val="24"/>
      <w:lang w:val="en-US" w:eastAsia="zh-CN" w:bidi="ar-SA"/>
    </w:rPr>
  </w:style>
  <w:style w:type="paragraph" w:customStyle="1" w:styleId="252">
    <w:name w:val="文档正文"/>
    <w:basedOn w:val="1"/>
    <w:link w:val="251"/>
    <w:autoRedefine/>
    <w:qFormat/>
    <w:uiPriority w:val="0"/>
    <w:pPr>
      <w:adjustRightInd w:val="0"/>
      <w:spacing w:line="440" w:lineRule="exact"/>
      <w:ind w:firstLine="567"/>
      <w:textAlignment w:val="baseline"/>
    </w:pPr>
    <w:rPr>
      <w:rFonts w:ascii="Arial Narrow" w:hAnsi="Arial Narrow"/>
      <w:kern w:val="0"/>
    </w:rPr>
  </w:style>
  <w:style w:type="character" w:customStyle="1" w:styleId="253">
    <w:name w:val="标题 2 Char1"/>
    <w:link w:val="2"/>
    <w:autoRedefine/>
    <w:qFormat/>
    <w:uiPriority w:val="0"/>
    <w:rPr>
      <w:rFonts w:ascii="仿宋" w:hAnsi="仿宋" w:eastAsia="仿宋"/>
      <w:b/>
      <w:bCs/>
      <w:kern w:val="2"/>
      <w:sz w:val="32"/>
      <w:szCs w:val="32"/>
    </w:rPr>
  </w:style>
  <w:style w:type="character" w:customStyle="1" w:styleId="254">
    <w:name w:val="样式9 Char"/>
    <w:link w:val="255"/>
    <w:autoRedefine/>
    <w:qFormat/>
    <w:uiPriority w:val="0"/>
    <w:rPr>
      <w:b/>
      <w:kern w:val="2"/>
      <w:sz w:val="24"/>
      <w:szCs w:val="24"/>
    </w:rPr>
  </w:style>
  <w:style w:type="paragraph" w:customStyle="1" w:styleId="255">
    <w:name w:val="样式9"/>
    <w:basedOn w:val="1"/>
    <w:link w:val="254"/>
    <w:autoRedefine/>
    <w:qFormat/>
    <w:uiPriority w:val="0"/>
    <w:pPr>
      <w:keepNext/>
      <w:ind w:left="1151" w:hanging="1009"/>
    </w:pPr>
    <w:rPr>
      <w:b/>
    </w:rPr>
  </w:style>
  <w:style w:type="character" w:customStyle="1" w:styleId="256">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7">
    <w:name w:val="fbt"/>
    <w:basedOn w:val="95"/>
    <w:autoRedefine/>
    <w:qFormat/>
    <w:uiPriority w:val="0"/>
  </w:style>
  <w:style w:type="character" w:customStyle="1" w:styleId="258">
    <w:name w:val="tw4winError"/>
    <w:autoRedefine/>
    <w:qFormat/>
    <w:uiPriority w:val="0"/>
    <w:rPr>
      <w:rFonts w:ascii="Courier New" w:hAnsi="Courier New"/>
      <w:color w:val="00FF00"/>
      <w:sz w:val="40"/>
    </w:rPr>
  </w:style>
  <w:style w:type="character" w:customStyle="1" w:styleId="259">
    <w:name w:val="pfont11"/>
    <w:autoRedefine/>
    <w:qFormat/>
    <w:uiPriority w:val="0"/>
    <w:rPr>
      <w:rFonts w:hint="default" w:ascii="Tahoma" w:hAnsi="Tahoma" w:eastAsia="宋体" w:cs="Tahoma"/>
      <w:kern w:val="2"/>
      <w:sz w:val="18"/>
      <w:szCs w:val="18"/>
      <w:lang w:val="en-US" w:eastAsia="zh-CN" w:bidi="ar-SA"/>
    </w:rPr>
  </w:style>
  <w:style w:type="character" w:customStyle="1" w:styleId="260">
    <w:name w:val="p121"/>
    <w:autoRedefine/>
    <w:qFormat/>
    <w:uiPriority w:val="0"/>
    <w:rPr>
      <w:color w:val="000000"/>
      <w:sz w:val="21"/>
      <w:szCs w:val="21"/>
      <w:u w:val="none"/>
    </w:rPr>
  </w:style>
  <w:style w:type="character" w:customStyle="1" w:styleId="261">
    <w:name w:val="表格 Char Char"/>
    <w:link w:val="4"/>
    <w:autoRedefine/>
    <w:qFormat/>
    <w:uiPriority w:val="0"/>
    <w:rPr>
      <w:rFonts w:eastAsia="宋体"/>
      <w:kern w:val="2"/>
      <w:sz w:val="28"/>
      <w:szCs w:val="24"/>
      <w:lang w:val="en-US" w:eastAsia="zh-CN" w:bidi="ar-SA"/>
    </w:rPr>
  </w:style>
  <w:style w:type="character" w:customStyle="1" w:styleId="262">
    <w:name w:val="H1 Char2"/>
    <w:autoRedefine/>
    <w:qFormat/>
    <w:uiPriority w:val="0"/>
    <w:rPr>
      <w:rFonts w:eastAsia="隶书"/>
      <w:b/>
      <w:bCs/>
      <w:sz w:val="36"/>
      <w:szCs w:val="36"/>
      <w:lang w:val="en-US" w:eastAsia="zh-CN" w:bidi="ar-SA"/>
    </w:rPr>
  </w:style>
  <w:style w:type="character" w:customStyle="1" w:styleId="263">
    <w:name w:val="样式 题注 + 黑体 Char"/>
    <w:link w:val="264"/>
    <w:autoRedefine/>
    <w:qFormat/>
    <w:locked/>
    <w:uiPriority w:val="0"/>
    <w:rPr>
      <w:rFonts w:ascii="黑体" w:hAnsi="黑体" w:eastAsia="黑体" w:cs="Arial"/>
      <w:kern w:val="2"/>
      <w:sz w:val="21"/>
      <w:lang w:val="en-US" w:eastAsia="zh-CN" w:bidi="ar-SA"/>
    </w:rPr>
  </w:style>
  <w:style w:type="paragraph" w:customStyle="1" w:styleId="264">
    <w:name w:val="样式 题注 + 黑体"/>
    <w:basedOn w:val="25"/>
    <w:link w:val="263"/>
    <w:autoRedefine/>
    <w:qFormat/>
    <w:uiPriority w:val="0"/>
    <w:pPr>
      <w:spacing w:beforeLines="40" w:afterLines="40"/>
      <w:jc w:val="center"/>
    </w:pPr>
    <w:rPr>
      <w:rFonts w:ascii="黑体" w:hAnsi="黑体" w:cs="Arial"/>
      <w:sz w:val="21"/>
    </w:rPr>
  </w:style>
  <w:style w:type="character" w:customStyle="1" w:styleId="265">
    <w:name w:val="Header Char"/>
    <w:autoRedefine/>
    <w:qFormat/>
    <w:locked/>
    <w:uiPriority w:val="0"/>
    <w:rPr>
      <w:rFonts w:ascii="Calibri" w:hAnsi="Calibri" w:eastAsia="宋体" w:cs="Calibri"/>
      <w:sz w:val="18"/>
      <w:szCs w:val="18"/>
    </w:rPr>
  </w:style>
  <w:style w:type="character" w:customStyle="1" w:styleId="266">
    <w:name w:val="公司一级标题"/>
    <w:autoRedefine/>
    <w:qFormat/>
    <w:uiPriority w:val="0"/>
    <w:rPr>
      <w:rFonts w:ascii="黑体" w:hAnsi="黑体" w:eastAsia="黑体"/>
      <w:color w:val="333300"/>
      <w:sz w:val="30"/>
    </w:rPr>
  </w:style>
  <w:style w:type="character" w:customStyle="1" w:styleId="267">
    <w:name w:val="ca-8"/>
    <w:basedOn w:val="95"/>
    <w:autoRedefine/>
    <w:qFormat/>
    <w:uiPriority w:val="0"/>
  </w:style>
  <w:style w:type="character" w:customStyle="1" w:styleId="268">
    <w:name w:val="para"/>
    <w:basedOn w:val="95"/>
    <w:autoRedefine/>
    <w:qFormat/>
    <w:uiPriority w:val="0"/>
  </w:style>
  <w:style w:type="character" w:customStyle="1" w:styleId="269">
    <w:name w:val="p3"/>
    <w:basedOn w:val="95"/>
    <w:autoRedefine/>
    <w:qFormat/>
    <w:uiPriority w:val="0"/>
  </w:style>
  <w:style w:type="character" w:customStyle="1" w:styleId="270">
    <w:name w:val="unnamed1"/>
    <w:autoRedefine/>
    <w:qFormat/>
    <w:uiPriority w:val="0"/>
    <w:rPr>
      <w:rFonts w:hint="default" w:ascii="Tahoma" w:hAnsi="Tahoma" w:eastAsia="宋体" w:cs="Tahoma"/>
      <w:kern w:val="2"/>
      <w:sz w:val="36"/>
      <w:szCs w:val="36"/>
      <w:lang w:val="en-US" w:eastAsia="zh-CN" w:bidi="ar-SA"/>
    </w:rPr>
  </w:style>
  <w:style w:type="character" w:customStyle="1" w:styleId="271">
    <w:name w:val="图文字 Char"/>
    <w:link w:val="272"/>
    <w:autoRedefine/>
    <w:qFormat/>
    <w:uiPriority w:val="0"/>
    <w:rPr>
      <w:rFonts w:eastAsia="文鼎CS仿宋体"/>
      <w:kern w:val="2"/>
      <w:sz w:val="24"/>
      <w:szCs w:val="24"/>
      <w:lang w:val="en-US" w:eastAsia="zh-CN" w:bidi="ar-SA"/>
    </w:rPr>
  </w:style>
  <w:style w:type="paragraph" w:customStyle="1" w:styleId="272">
    <w:name w:val="图文字"/>
    <w:link w:val="271"/>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3">
    <w:name w:val="正文2 Char Char"/>
    <w:autoRedefine/>
    <w:qFormat/>
    <w:uiPriority w:val="0"/>
    <w:rPr>
      <w:rFonts w:eastAsia="宋体"/>
      <w:kern w:val="2"/>
      <w:sz w:val="24"/>
      <w:lang w:val="en-US" w:eastAsia="zh-CN" w:bidi="ar-SA"/>
    </w:rPr>
  </w:style>
  <w:style w:type="character" w:customStyle="1" w:styleId="274">
    <w:name w:val="Legal Level 1.1.1. Char"/>
    <w:autoRedefine/>
    <w:qFormat/>
    <w:uiPriority w:val="0"/>
    <w:rPr>
      <w:rFonts w:ascii="Arial" w:hAnsi="Arial" w:eastAsia="黑体"/>
      <w:sz w:val="24"/>
      <w:lang w:val="en-US" w:eastAsia="zh-CN" w:bidi="ar-SA"/>
    </w:rPr>
  </w:style>
  <w:style w:type="character" w:customStyle="1" w:styleId="275">
    <w:name w:val="flname7"/>
    <w:basedOn w:val="95"/>
    <w:autoRedefine/>
    <w:qFormat/>
    <w:uiPriority w:val="0"/>
  </w:style>
  <w:style w:type="character" w:customStyle="1" w:styleId="276">
    <w:name w:val="标题 9 Char"/>
    <w:link w:val="12"/>
    <w:autoRedefine/>
    <w:qFormat/>
    <w:uiPriority w:val="0"/>
    <w:rPr>
      <w:rFonts w:ascii="Arial" w:hAnsi="Arial" w:eastAsia="黑体"/>
      <w:sz w:val="28"/>
    </w:rPr>
  </w:style>
  <w:style w:type="character" w:customStyle="1" w:styleId="277">
    <w:name w:val="标题 4 Char"/>
    <w:link w:val="7"/>
    <w:autoRedefine/>
    <w:qFormat/>
    <w:uiPriority w:val="0"/>
    <w:rPr>
      <w:rFonts w:ascii="仿宋" w:hAnsi="仿宋" w:eastAsia="仿宋"/>
      <w:b/>
      <w:bCs/>
      <w:kern w:val="2"/>
      <w:sz w:val="28"/>
      <w:szCs w:val="28"/>
    </w:rPr>
  </w:style>
  <w:style w:type="character" w:customStyle="1" w:styleId="278">
    <w:name w:val="标题 1 Char Char"/>
    <w:autoRedefine/>
    <w:qFormat/>
    <w:uiPriority w:val="0"/>
    <w:rPr>
      <w:rFonts w:eastAsia="宋体"/>
      <w:b/>
      <w:spacing w:val="-2"/>
      <w:sz w:val="24"/>
      <w:lang w:val="en-US" w:eastAsia="zh-CN" w:bidi="ar-SA"/>
    </w:rPr>
  </w:style>
  <w:style w:type="character" w:customStyle="1" w:styleId="279">
    <w:name w:val="H1 Char"/>
    <w:autoRedefine/>
    <w:qFormat/>
    <w:locked/>
    <w:uiPriority w:val="0"/>
    <w:rPr>
      <w:rFonts w:eastAsia="隶书"/>
      <w:b/>
      <w:bCs/>
      <w:sz w:val="36"/>
      <w:szCs w:val="36"/>
      <w:lang w:val="en-US" w:eastAsia="zh-CN" w:bidi="ar-SA"/>
    </w:rPr>
  </w:style>
  <w:style w:type="character" w:customStyle="1" w:styleId="280">
    <w:name w:val="text_main1"/>
    <w:autoRedefine/>
    <w:qFormat/>
    <w:uiPriority w:val="0"/>
    <w:rPr>
      <w:rFonts w:hint="default" w:ascii="ˎ̥" w:hAnsi="ˎ̥" w:eastAsia="宋体"/>
      <w:color w:val="000000"/>
      <w:kern w:val="2"/>
      <w:sz w:val="22"/>
      <w:szCs w:val="22"/>
      <w:lang w:val="en-US" w:eastAsia="zh-CN" w:bidi="ar-SA"/>
    </w:rPr>
  </w:style>
  <w:style w:type="character" w:customStyle="1" w:styleId="281">
    <w:name w:val="样式 首行缩进:  2 字符 Char"/>
    <w:link w:val="282"/>
    <w:autoRedefine/>
    <w:qFormat/>
    <w:uiPriority w:val="0"/>
    <w:rPr>
      <w:rFonts w:eastAsia="仿宋_GB2312"/>
      <w:kern w:val="24"/>
      <w:sz w:val="24"/>
      <w:lang w:val="en-US" w:eastAsia="zh-CN" w:bidi="ar-SA"/>
    </w:rPr>
  </w:style>
  <w:style w:type="paragraph" w:customStyle="1" w:styleId="282">
    <w:name w:val="样式 首行缩进:  2 字符"/>
    <w:basedOn w:val="1"/>
    <w:link w:val="281"/>
    <w:autoRedefine/>
    <w:qFormat/>
    <w:uiPriority w:val="0"/>
    <w:pPr>
      <w:ind w:firstLine="200" w:firstLineChars="200"/>
    </w:pPr>
    <w:rPr>
      <w:rFonts w:eastAsia="仿宋_GB2312"/>
      <w:kern w:val="24"/>
      <w:szCs w:val="20"/>
    </w:rPr>
  </w:style>
  <w:style w:type="character" w:customStyle="1" w:styleId="283">
    <w:name w:val="样式 题注 + 黑体3 Char"/>
    <w:link w:val="284"/>
    <w:autoRedefine/>
    <w:qFormat/>
    <w:locked/>
    <w:uiPriority w:val="0"/>
    <w:rPr>
      <w:rFonts w:ascii="黑体" w:hAnsi="黑体" w:eastAsia="黑体" w:cs="Arial"/>
      <w:kern w:val="2"/>
      <w:sz w:val="21"/>
      <w:lang w:val="en-US" w:eastAsia="zh-CN" w:bidi="ar-SA"/>
    </w:rPr>
  </w:style>
  <w:style w:type="paragraph" w:customStyle="1" w:styleId="284">
    <w:name w:val="样式 题注 + 黑体3"/>
    <w:basedOn w:val="25"/>
    <w:link w:val="283"/>
    <w:autoRedefine/>
    <w:qFormat/>
    <w:uiPriority w:val="0"/>
    <w:pPr>
      <w:spacing w:beforeLines="40" w:afterLines="40"/>
      <w:jc w:val="center"/>
    </w:pPr>
    <w:rPr>
      <w:rFonts w:ascii="黑体" w:hAnsi="黑体" w:cs="Arial"/>
      <w:sz w:val="21"/>
    </w:rPr>
  </w:style>
  <w:style w:type="character" w:customStyle="1" w:styleId="285">
    <w:name w:val="正文文本缩进 3 Char"/>
    <w:link w:val="71"/>
    <w:autoRedefine/>
    <w:qFormat/>
    <w:uiPriority w:val="0"/>
    <w:rPr>
      <w:rFonts w:ascii="仿宋_GB2312" w:hAnsi="宋体" w:eastAsia="仿宋_GB2312"/>
      <w:color w:val="000000"/>
      <w:kern w:val="2"/>
      <w:sz w:val="24"/>
      <w:szCs w:val="24"/>
    </w:rPr>
  </w:style>
  <w:style w:type="character" w:customStyle="1" w:styleId="286">
    <w:name w:val="font11"/>
    <w:basedOn w:val="95"/>
    <w:autoRedefine/>
    <w:qFormat/>
    <w:uiPriority w:val="0"/>
    <w:rPr>
      <w:rFonts w:hint="default" w:ascii="Tahoma" w:hAnsi="Tahoma" w:eastAsia="宋体" w:cs="Tahoma"/>
      <w:kern w:val="2"/>
      <w:sz w:val="18"/>
      <w:szCs w:val="18"/>
      <w:lang w:val="en-US" w:eastAsia="zh-CN" w:bidi="ar-SA"/>
    </w:rPr>
  </w:style>
  <w:style w:type="character" w:customStyle="1" w:styleId="287">
    <w:name w:val="Indent Normal Char"/>
    <w:link w:val="288"/>
    <w:autoRedefine/>
    <w:qFormat/>
    <w:uiPriority w:val="0"/>
    <w:rPr>
      <w:kern w:val="2"/>
      <w:sz w:val="21"/>
      <w:lang w:bidi="ar-SA"/>
    </w:rPr>
  </w:style>
  <w:style w:type="paragraph" w:customStyle="1" w:styleId="288">
    <w:name w:val="Indent Normal"/>
    <w:basedOn w:val="1"/>
    <w:link w:val="287"/>
    <w:autoRedefine/>
    <w:qFormat/>
    <w:uiPriority w:val="0"/>
    <w:pPr>
      <w:ind w:firstLine="420"/>
    </w:pPr>
    <w:rPr>
      <w:szCs w:val="20"/>
    </w:rPr>
  </w:style>
  <w:style w:type="character" w:customStyle="1" w:styleId="289">
    <w:name w:val="mark8"/>
    <w:autoRedefine/>
    <w:qFormat/>
    <w:uiPriority w:val="0"/>
    <w:rPr>
      <w:b/>
      <w:bCs/>
      <w:sz w:val="21"/>
      <w:szCs w:val="21"/>
    </w:rPr>
  </w:style>
  <w:style w:type="character" w:customStyle="1" w:styleId="290">
    <w:name w:val="textcontents1"/>
    <w:autoRedefine/>
    <w:qFormat/>
    <w:uiPriority w:val="0"/>
    <w:rPr>
      <w:color w:val="000000"/>
      <w:sz w:val="30"/>
      <w:szCs w:val="30"/>
    </w:rPr>
  </w:style>
  <w:style w:type="character" w:customStyle="1" w:styleId="291">
    <w:name w:val="最新正文 Char"/>
    <w:link w:val="292"/>
    <w:autoRedefine/>
    <w:qFormat/>
    <w:uiPriority w:val="0"/>
    <w:rPr>
      <w:rFonts w:ascii="仿宋_GB2312" w:eastAsia="仿宋_GB2312" w:cs="宋体"/>
      <w:kern w:val="2"/>
      <w:sz w:val="24"/>
      <w:szCs w:val="24"/>
      <w:lang w:val="en-US" w:eastAsia="zh-CN" w:bidi="he-IL"/>
    </w:rPr>
  </w:style>
  <w:style w:type="paragraph" w:customStyle="1" w:styleId="292">
    <w:name w:val="最新正文"/>
    <w:basedOn w:val="1"/>
    <w:link w:val="291"/>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93">
    <w:name w:val="h4 Char1"/>
    <w:autoRedefine/>
    <w:qFormat/>
    <w:uiPriority w:val="0"/>
    <w:rPr>
      <w:rFonts w:ascii="Arial" w:hAnsi="Arial" w:eastAsia="黑体"/>
      <w:b/>
      <w:bCs/>
      <w:kern w:val="2"/>
      <w:sz w:val="28"/>
      <w:szCs w:val="28"/>
      <w:lang w:val="en-US" w:eastAsia="zh-CN" w:bidi="ar-SA"/>
    </w:rPr>
  </w:style>
  <w:style w:type="character" w:customStyle="1" w:styleId="294">
    <w:name w:val="正文文本 Char"/>
    <w:link w:val="37"/>
    <w:autoRedefine/>
    <w:qFormat/>
    <w:uiPriority w:val="0"/>
    <w:rPr>
      <w:rFonts w:eastAsia="宋体"/>
      <w:kern w:val="2"/>
      <w:sz w:val="28"/>
      <w:szCs w:val="24"/>
      <w:lang w:val="en-US" w:eastAsia="zh-CN" w:bidi="ar-SA"/>
    </w:rPr>
  </w:style>
  <w:style w:type="character" w:customStyle="1" w:styleId="295">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6">
    <w:name w:val="tx1"/>
    <w:autoRedefine/>
    <w:qFormat/>
    <w:uiPriority w:val="0"/>
    <w:rPr>
      <w:rFonts w:hint="default" w:ascii="Tahoma" w:hAnsi="Tahoma" w:eastAsia="宋体" w:cs="Tahoma"/>
      <w:b/>
      <w:bCs/>
      <w:kern w:val="2"/>
      <w:sz w:val="36"/>
      <w:szCs w:val="36"/>
      <w:lang w:val="en-US" w:eastAsia="zh-CN" w:bidi="ar-SA"/>
    </w:rPr>
  </w:style>
  <w:style w:type="character" w:customStyle="1" w:styleId="297">
    <w:name w:val="发布"/>
    <w:autoRedefine/>
    <w:qFormat/>
    <w:uiPriority w:val="0"/>
    <w:rPr>
      <w:rFonts w:ascii="黑体" w:eastAsia="黑体"/>
      <w:spacing w:val="22"/>
      <w:w w:val="100"/>
      <w:position w:val="3"/>
      <w:sz w:val="28"/>
    </w:rPr>
  </w:style>
  <w:style w:type="character" w:customStyle="1" w:styleId="298">
    <w:name w:val="加重文字 Char"/>
    <w:link w:val="299"/>
    <w:autoRedefine/>
    <w:qFormat/>
    <w:locked/>
    <w:uiPriority w:val="0"/>
    <w:rPr>
      <w:rFonts w:eastAsia="宋体"/>
      <w:b/>
      <w:bCs/>
      <w:kern w:val="2"/>
      <w:sz w:val="24"/>
      <w:szCs w:val="24"/>
      <w:u w:val="thick"/>
      <w:lang w:val="en-US" w:eastAsia="zh-CN" w:bidi="ar-SA"/>
    </w:rPr>
  </w:style>
  <w:style w:type="paragraph" w:customStyle="1" w:styleId="299">
    <w:name w:val="加重文字"/>
    <w:basedOn w:val="138"/>
    <w:link w:val="298"/>
    <w:autoRedefine/>
    <w:qFormat/>
    <w:uiPriority w:val="0"/>
    <w:pPr>
      <w:ind w:firstLine="0" w:firstLineChars="0"/>
    </w:pPr>
    <w:rPr>
      <w:b/>
      <w:bCs/>
      <w:u w:val="thick"/>
    </w:rPr>
  </w:style>
  <w:style w:type="character" w:customStyle="1" w:styleId="300">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301">
    <w:name w:val="Char Char7"/>
    <w:autoRedefine/>
    <w:qFormat/>
    <w:uiPriority w:val="0"/>
    <w:rPr>
      <w:kern w:val="2"/>
      <w:sz w:val="18"/>
      <w:szCs w:val="18"/>
    </w:rPr>
  </w:style>
  <w:style w:type="character" w:customStyle="1" w:styleId="302">
    <w:name w:val="point_small1"/>
    <w:autoRedefine/>
    <w:qFormat/>
    <w:uiPriority w:val="0"/>
    <w:rPr>
      <w:rFonts w:hint="default" w:ascii="Arial" w:hAnsi="Arial" w:cs="Arial"/>
      <w:sz w:val="18"/>
      <w:szCs w:val="18"/>
    </w:rPr>
  </w:style>
  <w:style w:type="character" w:customStyle="1" w:styleId="303">
    <w:name w:val="title_emph1"/>
    <w:autoRedefine/>
    <w:qFormat/>
    <w:uiPriority w:val="0"/>
    <w:rPr>
      <w:rFonts w:hint="default" w:ascii="Arial" w:hAnsi="Arial" w:cs="Arial"/>
      <w:b/>
      <w:bCs/>
      <w:sz w:val="18"/>
      <w:szCs w:val="18"/>
    </w:rPr>
  </w:style>
  <w:style w:type="character" w:customStyle="1" w:styleId="304">
    <w:name w:val="memo"/>
    <w:autoRedefine/>
    <w:qFormat/>
    <w:uiPriority w:val="0"/>
  </w:style>
  <w:style w:type="character" w:customStyle="1" w:styleId="305">
    <w:name w:val="tw4winJump"/>
    <w:autoRedefine/>
    <w:qFormat/>
    <w:uiPriority w:val="0"/>
    <w:rPr>
      <w:rFonts w:ascii="Courier New" w:hAnsi="Courier New"/>
      <w:color w:val="008080"/>
    </w:rPr>
  </w:style>
  <w:style w:type="character" w:customStyle="1" w:styleId="306">
    <w:name w:val="tpc_content1"/>
    <w:autoRedefine/>
    <w:qFormat/>
    <w:uiPriority w:val="0"/>
    <w:rPr>
      <w:sz w:val="20"/>
    </w:rPr>
  </w:style>
  <w:style w:type="character" w:customStyle="1" w:styleId="307">
    <w:name w:val="it1"/>
    <w:autoRedefine/>
    <w:qFormat/>
    <w:uiPriority w:val="0"/>
    <w:rPr>
      <w:rFonts w:hint="eastAsia" w:ascii="宋体" w:hAnsi="宋体" w:eastAsia="宋体"/>
      <w:color w:val="000000"/>
      <w:sz w:val="18"/>
      <w:szCs w:val="18"/>
    </w:rPr>
  </w:style>
  <w:style w:type="character" w:customStyle="1" w:styleId="308">
    <w:name w:val="页脚 Char1"/>
    <w:autoRedefine/>
    <w:semiHidden/>
    <w:qFormat/>
    <w:uiPriority w:val="0"/>
    <w:rPr>
      <w:sz w:val="18"/>
      <w:szCs w:val="18"/>
    </w:rPr>
  </w:style>
  <w:style w:type="character" w:customStyle="1" w:styleId="309">
    <w:name w:val="red1"/>
    <w:autoRedefine/>
    <w:qFormat/>
    <w:uiPriority w:val="0"/>
    <w:rPr>
      <w:rFonts w:hint="default" w:ascii="ˎ̥" w:hAnsi="ˎ̥"/>
      <w:color w:val="CC0001"/>
      <w:sz w:val="18"/>
      <w:szCs w:val="18"/>
    </w:rPr>
  </w:style>
  <w:style w:type="character" w:customStyle="1" w:styleId="310">
    <w:name w:val="line"/>
    <w:basedOn w:val="95"/>
    <w:autoRedefine/>
    <w:qFormat/>
    <w:uiPriority w:val="0"/>
  </w:style>
  <w:style w:type="character" w:customStyle="1" w:styleId="311">
    <w:name w:val="unnamed11"/>
    <w:autoRedefine/>
    <w:qFormat/>
    <w:uiPriority w:val="0"/>
    <w:rPr>
      <w:spacing w:val="360"/>
      <w:sz w:val="20"/>
      <w:szCs w:val="20"/>
    </w:rPr>
  </w:style>
  <w:style w:type="character" w:customStyle="1" w:styleId="312">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13">
    <w:name w:val="huide001"/>
    <w:autoRedefine/>
    <w:qFormat/>
    <w:uiPriority w:val="0"/>
    <w:rPr>
      <w:rFonts w:hint="default" w:ascii="Arial" w:hAnsi="Arial" w:cs="Arial"/>
      <w:color w:val="666666"/>
      <w:sz w:val="18"/>
      <w:szCs w:val="18"/>
    </w:rPr>
  </w:style>
  <w:style w:type="character" w:customStyle="1" w:styleId="314">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5">
    <w:name w:val="编写说明 Char"/>
    <w:link w:val="316"/>
    <w:autoRedefine/>
    <w:qFormat/>
    <w:uiPriority w:val="0"/>
    <w:rPr>
      <w:i/>
      <w:color w:val="0000FF"/>
      <w:kern w:val="2"/>
      <w:sz w:val="21"/>
      <w:szCs w:val="24"/>
      <w:lang w:bidi="ar-SA"/>
    </w:rPr>
  </w:style>
  <w:style w:type="paragraph" w:customStyle="1" w:styleId="316">
    <w:name w:val="编写说明"/>
    <w:basedOn w:val="1"/>
    <w:link w:val="315"/>
    <w:autoRedefine/>
    <w:qFormat/>
    <w:uiPriority w:val="0"/>
    <w:rPr>
      <w:i/>
      <w:color w:val="0000FF"/>
    </w:rPr>
  </w:style>
  <w:style w:type="character" w:customStyle="1" w:styleId="317">
    <w:name w:val="Char Char81"/>
    <w:autoRedefine/>
    <w:qFormat/>
    <w:uiPriority w:val="0"/>
    <w:rPr>
      <w:rFonts w:eastAsia="宋体"/>
      <w:b/>
      <w:sz w:val="24"/>
      <w:lang w:val="en-GB" w:eastAsia="zh-CN"/>
    </w:rPr>
  </w:style>
  <w:style w:type="character" w:customStyle="1" w:styleId="31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9">
    <w:name w:val="自定义正文 Char"/>
    <w:link w:val="320"/>
    <w:autoRedefine/>
    <w:qFormat/>
    <w:uiPriority w:val="0"/>
    <w:rPr>
      <w:rFonts w:ascii="仿宋_GB2312" w:eastAsia="仿宋_GB2312"/>
      <w:kern w:val="2"/>
      <w:sz w:val="28"/>
      <w:szCs w:val="24"/>
      <w:lang w:val="en-US" w:eastAsia="zh-CN" w:bidi="ar-SA"/>
    </w:rPr>
  </w:style>
  <w:style w:type="paragraph" w:customStyle="1" w:styleId="320">
    <w:name w:val="自定义正文"/>
    <w:basedOn w:val="1"/>
    <w:link w:val="319"/>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21">
    <w:name w:val="Char Char71"/>
    <w:autoRedefine/>
    <w:qFormat/>
    <w:uiPriority w:val="0"/>
    <w:rPr>
      <w:rFonts w:eastAsia="宋体"/>
      <w:kern w:val="2"/>
      <w:sz w:val="18"/>
      <w:szCs w:val="18"/>
      <w:lang w:val="en-US" w:eastAsia="zh-CN" w:bidi="ar-SA"/>
    </w:rPr>
  </w:style>
  <w:style w:type="character" w:customStyle="1" w:styleId="322">
    <w:name w:val="H2 Char3"/>
    <w:autoRedefine/>
    <w:qFormat/>
    <w:uiPriority w:val="0"/>
    <w:rPr>
      <w:rFonts w:ascii="Arial" w:hAnsi="Arial" w:eastAsia="黑体"/>
      <w:b/>
      <w:bCs/>
      <w:kern w:val="2"/>
      <w:sz w:val="32"/>
      <w:szCs w:val="32"/>
      <w:lang w:val="en-US" w:eastAsia="zh-CN" w:bidi="ar-SA"/>
    </w:rPr>
  </w:style>
  <w:style w:type="character" w:customStyle="1" w:styleId="323">
    <w:name w:val="txt"/>
    <w:basedOn w:val="95"/>
    <w:autoRedefine/>
    <w:qFormat/>
    <w:uiPriority w:val="0"/>
  </w:style>
  <w:style w:type="character" w:customStyle="1" w:styleId="324">
    <w:name w:val="Ò³Ã¼ Char"/>
    <w:autoRedefine/>
    <w:qFormat/>
    <w:uiPriority w:val="0"/>
    <w:rPr>
      <w:rFonts w:eastAsia="宋体"/>
      <w:kern w:val="2"/>
      <w:sz w:val="18"/>
      <w:szCs w:val="18"/>
      <w:lang w:val="en-US" w:eastAsia="zh-CN" w:bidi="ar-SA"/>
    </w:rPr>
  </w:style>
  <w:style w:type="character" w:customStyle="1" w:styleId="325">
    <w:name w:val="二级条标题 Char1"/>
    <w:link w:val="326"/>
    <w:autoRedefine/>
    <w:qFormat/>
    <w:locked/>
    <w:uiPriority w:val="0"/>
    <w:rPr>
      <w:rFonts w:ascii="黑体" w:eastAsia="黑体"/>
      <w:sz w:val="21"/>
      <w:lang w:val="en-US" w:eastAsia="zh-CN" w:bidi="ar-SA"/>
    </w:rPr>
  </w:style>
  <w:style w:type="paragraph" w:customStyle="1" w:styleId="326">
    <w:name w:val="二级条标题"/>
    <w:basedOn w:val="327"/>
    <w:next w:val="107"/>
    <w:link w:val="325"/>
    <w:autoRedefine/>
    <w:qFormat/>
    <w:uiPriority w:val="0"/>
    <w:pPr>
      <w:ind w:left="630" w:hanging="630"/>
      <w:outlineLvl w:val="3"/>
    </w:pPr>
  </w:style>
  <w:style w:type="paragraph" w:customStyle="1" w:styleId="327">
    <w:name w:val="一级条标题"/>
    <w:basedOn w:val="1"/>
    <w:next w:val="107"/>
    <w:autoRedefine/>
    <w:qFormat/>
    <w:uiPriority w:val="0"/>
    <w:pPr>
      <w:widowControl/>
      <w:spacing w:beforeLines="40" w:afterLines="40"/>
      <w:outlineLvl w:val="2"/>
    </w:pPr>
    <w:rPr>
      <w:rFonts w:ascii="黑体" w:eastAsia="黑体"/>
      <w:kern w:val="0"/>
      <w:szCs w:val="20"/>
    </w:rPr>
  </w:style>
  <w:style w:type="character" w:customStyle="1" w:styleId="328">
    <w:name w:val="font3"/>
    <w:basedOn w:val="95"/>
    <w:autoRedefine/>
    <w:qFormat/>
    <w:uiPriority w:val="0"/>
  </w:style>
  <w:style w:type="character" w:customStyle="1" w:styleId="329">
    <w:name w:val="FtrF Char"/>
    <w:autoRedefine/>
    <w:qFormat/>
    <w:uiPriority w:val="0"/>
    <w:rPr>
      <w:rFonts w:eastAsia="宋体"/>
      <w:kern w:val="2"/>
      <w:sz w:val="18"/>
      <w:szCs w:val="18"/>
      <w:lang w:val="en-US" w:eastAsia="zh-CN" w:bidi="ar-SA"/>
    </w:rPr>
  </w:style>
  <w:style w:type="character" w:customStyle="1" w:styleId="330">
    <w:name w:val="H2 Char2"/>
    <w:autoRedefine/>
    <w:qFormat/>
    <w:uiPriority w:val="0"/>
    <w:rPr>
      <w:rFonts w:ascii="Arial" w:hAnsi="Arial" w:eastAsia="黑体"/>
      <w:b/>
      <w:bCs/>
      <w:kern w:val="2"/>
      <w:sz w:val="32"/>
      <w:szCs w:val="32"/>
      <w:lang w:val="en-US" w:eastAsia="zh-CN" w:bidi="ar-SA"/>
    </w:rPr>
  </w:style>
  <w:style w:type="character" w:customStyle="1" w:styleId="331">
    <w:name w:val="line1"/>
    <w:autoRedefine/>
    <w:qFormat/>
    <w:uiPriority w:val="0"/>
    <w:rPr>
      <w:spacing w:val="360"/>
      <w:u w:val="none"/>
    </w:rPr>
  </w:style>
  <w:style w:type="character" w:customStyle="1" w:styleId="332">
    <w:name w:val="纯文本 Char"/>
    <w:link w:val="48"/>
    <w:autoRedefine/>
    <w:qFormat/>
    <w:uiPriority w:val="0"/>
    <w:rPr>
      <w:rFonts w:ascii="宋体" w:hAnsi="Courier New"/>
      <w:kern w:val="2"/>
      <w:sz w:val="24"/>
      <w:szCs w:val="24"/>
    </w:rPr>
  </w:style>
  <w:style w:type="character" w:customStyle="1" w:styleId="333">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4">
    <w:name w:val="我的正文 Char"/>
    <w:link w:val="335"/>
    <w:autoRedefine/>
    <w:qFormat/>
    <w:uiPriority w:val="0"/>
    <w:rPr>
      <w:rFonts w:eastAsia="仿宋_GB2312" w:cs="宋体"/>
      <w:kern w:val="2"/>
      <w:sz w:val="24"/>
      <w:lang w:val="en-US" w:eastAsia="zh-CN" w:bidi="ar-SA"/>
    </w:rPr>
  </w:style>
  <w:style w:type="paragraph" w:customStyle="1" w:styleId="335">
    <w:name w:val="我的正文"/>
    <w:basedOn w:val="1"/>
    <w:link w:val="334"/>
    <w:autoRedefine/>
    <w:qFormat/>
    <w:uiPriority w:val="0"/>
    <w:pPr>
      <w:spacing w:afterLines="100"/>
      <w:ind w:firstLine="480" w:firstLineChars="200"/>
    </w:pPr>
    <w:rPr>
      <w:rFonts w:eastAsia="仿宋_GB2312" w:cs="宋体"/>
      <w:szCs w:val="20"/>
    </w:rPr>
  </w:style>
  <w:style w:type="character" w:customStyle="1" w:styleId="336">
    <w:name w:val="正文缩进 Char"/>
    <w:autoRedefine/>
    <w:qFormat/>
    <w:uiPriority w:val="0"/>
    <w:rPr>
      <w:rFonts w:eastAsia="宋体"/>
      <w:kern w:val="2"/>
      <w:sz w:val="21"/>
      <w:lang w:val="en-US" w:eastAsia="zh-CN" w:bidi="ar-SA"/>
    </w:rPr>
  </w:style>
  <w:style w:type="character" w:customStyle="1" w:styleId="337">
    <w:name w:val="批注框文本 Char"/>
    <w:link w:val="22"/>
    <w:autoRedefine/>
    <w:qFormat/>
    <w:locked/>
    <w:uiPriority w:val="0"/>
    <w:rPr>
      <w:rFonts w:ascii="Calibri" w:hAnsi="Calibri" w:eastAsia="宋体"/>
      <w:kern w:val="2"/>
      <w:sz w:val="18"/>
      <w:szCs w:val="18"/>
      <w:lang w:val="en-US" w:eastAsia="zh-CN" w:bidi="ar-SA"/>
    </w:rPr>
  </w:style>
  <w:style w:type="character" w:customStyle="1" w:styleId="338">
    <w:name w:val="h4 Char2"/>
    <w:autoRedefine/>
    <w:qFormat/>
    <w:uiPriority w:val="0"/>
    <w:rPr>
      <w:rFonts w:ascii="Arial" w:hAnsi="Arial" w:eastAsia="黑体"/>
      <w:b/>
      <w:bCs/>
      <w:kern w:val="2"/>
      <w:sz w:val="28"/>
      <w:szCs w:val="28"/>
      <w:lang w:val="en-US" w:eastAsia="zh-CN" w:bidi="ar-SA"/>
    </w:rPr>
  </w:style>
  <w:style w:type="character" w:customStyle="1" w:styleId="339">
    <w:name w:val="正文缩进 Char1"/>
    <w:link w:val="340"/>
    <w:autoRedefine/>
    <w:qFormat/>
    <w:uiPriority w:val="0"/>
    <w:rPr>
      <w:rFonts w:eastAsia="宋体"/>
      <w:lang w:bidi="ar-SA"/>
    </w:rPr>
  </w:style>
  <w:style w:type="paragraph" w:customStyle="1" w:styleId="340">
    <w:name w:val="正文缩进2"/>
    <w:basedOn w:val="1"/>
    <w:link w:val="339"/>
    <w:autoRedefine/>
    <w:qFormat/>
    <w:uiPriority w:val="0"/>
    <w:pPr>
      <w:widowControl/>
      <w:ind w:firstLine="420"/>
      <w:jc w:val="left"/>
    </w:pPr>
    <w:rPr>
      <w:kern w:val="0"/>
      <w:sz w:val="20"/>
      <w:szCs w:val="20"/>
    </w:rPr>
  </w:style>
  <w:style w:type="character" w:customStyle="1" w:styleId="341">
    <w:name w:val="样式 宋体"/>
    <w:autoRedefine/>
    <w:qFormat/>
    <w:uiPriority w:val="0"/>
    <w:rPr>
      <w:rFonts w:ascii="宋体" w:hAnsi="宋体" w:eastAsia="宋体"/>
      <w:sz w:val="24"/>
      <w:szCs w:val="24"/>
    </w:rPr>
  </w:style>
  <w:style w:type="character" w:customStyle="1" w:styleId="342">
    <w:name w:val="哈哈正文 Char"/>
    <w:link w:val="343"/>
    <w:autoRedefine/>
    <w:qFormat/>
    <w:uiPriority w:val="0"/>
    <w:rPr>
      <w:rFonts w:ascii="宋体" w:hAnsi="宋体" w:eastAsia="宋体" w:cs="宋体"/>
      <w:kern w:val="2"/>
      <w:sz w:val="24"/>
      <w:lang w:val="en-US" w:eastAsia="zh-CN" w:bidi="ar-SA"/>
    </w:rPr>
  </w:style>
  <w:style w:type="paragraph" w:customStyle="1" w:styleId="343">
    <w:name w:val="哈哈正文"/>
    <w:basedOn w:val="1"/>
    <w:link w:val="342"/>
    <w:autoRedefine/>
    <w:qFormat/>
    <w:uiPriority w:val="0"/>
    <w:pPr>
      <w:ind w:firstLine="200" w:firstLineChars="200"/>
    </w:pPr>
    <w:rPr>
      <w:rFonts w:ascii="宋体" w:hAnsi="宋体" w:cs="宋体"/>
      <w:szCs w:val="20"/>
    </w:rPr>
  </w:style>
  <w:style w:type="character" w:customStyle="1" w:styleId="344">
    <w:name w:val="表格标题(居中) Char"/>
    <w:link w:val="345"/>
    <w:autoRedefine/>
    <w:qFormat/>
    <w:uiPriority w:val="0"/>
    <w:rPr>
      <w:rFonts w:eastAsia="黑体"/>
      <w:kern w:val="2"/>
      <w:sz w:val="24"/>
      <w:lang w:val="en-US" w:eastAsia="zh-CN" w:bidi="ar-SA"/>
    </w:rPr>
  </w:style>
  <w:style w:type="paragraph" w:customStyle="1" w:styleId="345">
    <w:name w:val="表格标题(居中)"/>
    <w:basedOn w:val="1"/>
    <w:link w:val="344"/>
    <w:autoRedefine/>
    <w:qFormat/>
    <w:uiPriority w:val="0"/>
    <w:pPr>
      <w:snapToGrid w:val="0"/>
      <w:spacing w:line="300" w:lineRule="auto"/>
      <w:jc w:val="center"/>
    </w:pPr>
    <w:rPr>
      <w:rFonts w:eastAsia="黑体"/>
      <w:szCs w:val="20"/>
    </w:rPr>
  </w:style>
  <w:style w:type="character" w:customStyle="1" w:styleId="346">
    <w:name w:val="H2 Char1"/>
    <w:autoRedefine/>
    <w:qFormat/>
    <w:uiPriority w:val="0"/>
    <w:rPr>
      <w:rFonts w:ascii="Arial" w:hAnsi="Arial" w:eastAsia="黑体"/>
      <w:b/>
      <w:bCs/>
      <w:kern w:val="2"/>
      <w:sz w:val="32"/>
      <w:szCs w:val="32"/>
      <w:lang w:val="en-US" w:eastAsia="zh-CN" w:bidi="ar-SA"/>
    </w:rPr>
  </w:style>
  <w:style w:type="character" w:customStyle="1" w:styleId="347">
    <w:name w:val="H2 Char5"/>
    <w:autoRedefine/>
    <w:qFormat/>
    <w:uiPriority w:val="0"/>
    <w:rPr>
      <w:rFonts w:ascii="Arial" w:hAnsi="Arial" w:eastAsia="黑体"/>
      <w:b/>
      <w:bCs/>
      <w:kern w:val="2"/>
      <w:sz w:val="32"/>
      <w:szCs w:val="32"/>
      <w:lang w:val="en-US" w:eastAsia="zh-CN" w:bidi="ar-SA"/>
    </w:rPr>
  </w:style>
  <w:style w:type="character" w:customStyle="1" w:styleId="348">
    <w:name w:val="title_black_141"/>
    <w:autoRedefine/>
    <w:qFormat/>
    <w:uiPriority w:val="0"/>
    <w:rPr>
      <w:color w:val="000000"/>
      <w:sz w:val="21"/>
      <w:szCs w:val="21"/>
      <w:u w:val="none"/>
    </w:rPr>
  </w:style>
  <w:style w:type="character" w:customStyle="1" w:styleId="349">
    <w:name w:val="备注说明 Char Char"/>
    <w:link w:val="350"/>
    <w:autoRedefine/>
    <w:qFormat/>
    <w:locked/>
    <w:uiPriority w:val="0"/>
    <w:rPr>
      <w:rFonts w:ascii="宋体" w:hAnsi="宋体" w:eastAsia="宋体"/>
      <w:sz w:val="21"/>
      <w:lang w:val="en-US" w:eastAsia="zh-CN" w:bidi="ar-SA"/>
    </w:rPr>
  </w:style>
  <w:style w:type="paragraph" w:customStyle="1" w:styleId="350">
    <w:name w:val="备注说明 Char"/>
    <w:basedOn w:val="67"/>
    <w:link w:val="349"/>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1">
    <w:name w:val="keywords1"/>
    <w:autoRedefine/>
    <w:qFormat/>
    <w:uiPriority w:val="0"/>
    <w:rPr>
      <w:rFonts w:hint="default" w:ascii="Verdana" w:hAnsi="Verdana"/>
      <w:color w:val="FF6600"/>
      <w:sz w:val="20"/>
      <w:szCs w:val="20"/>
    </w:rPr>
  </w:style>
  <w:style w:type="character" w:customStyle="1" w:styleId="352">
    <w:name w:val="表格文字 Char"/>
    <w:autoRedefine/>
    <w:qFormat/>
    <w:uiPriority w:val="0"/>
    <w:rPr>
      <w:rFonts w:ascii="宋体" w:hAnsi="Courier New" w:eastAsia="宋体"/>
      <w:kern w:val="2"/>
      <w:sz w:val="21"/>
      <w:lang w:val="en-US" w:eastAsia="zh-CN" w:bidi="ar-SA"/>
    </w:rPr>
  </w:style>
  <w:style w:type="character" w:customStyle="1" w:styleId="353">
    <w:name w:val="样式 题注 + 黑色 Char"/>
    <w:link w:val="354"/>
    <w:autoRedefine/>
    <w:qFormat/>
    <w:locked/>
    <w:uiPriority w:val="0"/>
    <w:rPr>
      <w:rFonts w:ascii="Arial" w:hAnsi="Arial" w:eastAsia="黑体" w:cs="Arial"/>
      <w:color w:val="000000"/>
      <w:kern w:val="2"/>
      <w:sz w:val="24"/>
      <w:lang w:val="en-US" w:eastAsia="zh-CN" w:bidi="ar-SA"/>
    </w:rPr>
  </w:style>
  <w:style w:type="paragraph" w:customStyle="1" w:styleId="354">
    <w:name w:val="样式 题注 + 黑色"/>
    <w:basedOn w:val="25"/>
    <w:link w:val="353"/>
    <w:autoRedefine/>
    <w:qFormat/>
    <w:uiPriority w:val="0"/>
    <w:pPr>
      <w:spacing w:beforeLines="40" w:afterLines="40"/>
      <w:jc w:val="center"/>
    </w:pPr>
    <w:rPr>
      <w:rFonts w:cs="Arial"/>
      <w:color w:val="000000"/>
      <w:sz w:val="24"/>
    </w:rPr>
  </w:style>
  <w:style w:type="character" w:customStyle="1" w:styleId="355">
    <w:name w:val="公文正文 Char"/>
    <w:link w:val="356"/>
    <w:autoRedefine/>
    <w:qFormat/>
    <w:uiPriority w:val="0"/>
    <w:rPr>
      <w:rFonts w:ascii="仿宋_GB2312" w:hAnsi="宋体" w:eastAsia="仿宋_GB2312"/>
      <w:kern w:val="28"/>
      <w:sz w:val="28"/>
      <w:szCs w:val="24"/>
      <w:lang w:val="en-US" w:eastAsia="zh-CN" w:bidi="ar-SA"/>
    </w:rPr>
  </w:style>
  <w:style w:type="paragraph" w:customStyle="1" w:styleId="356">
    <w:name w:val="公文正文"/>
    <w:basedOn w:val="38"/>
    <w:link w:val="355"/>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7">
    <w:name w:val="Char Char91"/>
    <w:autoRedefine/>
    <w:semiHidden/>
    <w:qFormat/>
    <w:uiPriority w:val="0"/>
    <w:rPr>
      <w:kern w:val="2"/>
      <w:sz w:val="18"/>
      <w:szCs w:val="18"/>
    </w:rPr>
  </w:style>
  <w:style w:type="character" w:customStyle="1" w:styleId="358">
    <w:name w:val="标题 6 Char1"/>
    <w:link w:val="9"/>
    <w:autoRedefine/>
    <w:qFormat/>
    <w:uiPriority w:val="0"/>
    <w:rPr>
      <w:rFonts w:ascii="Arial" w:hAnsi="Arial" w:eastAsia="黑体"/>
      <w:b/>
      <w:bCs/>
      <w:kern w:val="2"/>
      <w:sz w:val="24"/>
    </w:rPr>
  </w:style>
  <w:style w:type="character" w:customStyle="1" w:styleId="359">
    <w:name w:val="纯文本 Char2"/>
    <w:autoRedefine/>
    <w:qFormat/>
    <w:uiPriority w:val="0"/>
    <w:rPr>
      <w:rFonts w:ascii="宋体" w:hAnsi="Courier New"/>
      <w:kern w:val="2"/>
      <w:sz w:val="24"/>
      <w:szCs w:val="24"/>
    </w:rPr>
  </w:style>
  <w:style w:type="character" w:customStyle="1" w:styleId="360">
    <w:name w:val="页脚 Char"/>
    <w:link w:val="56"/>
    <w:autoRedefine/>
    <w:qFormat/>
    <w:uiPriority w:val="99"/>
    <w:rPr>
      <w:kern w:val="2"/>
      <w:sz w:val="18"/>
      <w:szCs w:val="18"/>
    </w:rPr>
  </w:style>
  <w:style w:type="character" w:customStyle="1" w:styleId="361">
    <w:name w:val="My标题1 Char"/>
    <w:link w:val="362"/>
    <w:autoRedefine/>
    <w:qFormat/>
    <w:uiPriority w:val="0"/>
    <w:rPr>
      <w:rFonts w:ascii="Arial" w:hAnsi="Arial"/>
      <w:b/>
      <w:kern w:val="44"/>
      <w:sz w:val="32"/>
    </w:rPr>
  </w:style>
  <w:style w:type="paragraph" w:customStyle="1" w:styleId="362">
    <w:name w:val="My标题1"/>
    <w:basedOn w:val="5"/>
    <w:next w:val="1"/>
    <w:link w:val="361"/>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3">
    <w:name w:val="FA正文 Char Char"/>
    <w:link w:val="364"/>
    <w:autoRedefine/>
    <w:qFormat/>
    <w:uiPriority w:val="0"/>
    <w:rPr>
      <w:rFonts w:hAnsi="宋体"/>
      <w:sz w:val="24"/>
      <w:lang w:bidi="ar-SA"/>
    </w:rPr>
  </w:style>
  <w:style w:type="paragraph" w:customStyle="1" w:styleId="364">
    <w:name w:val="FA正文"/>
    <w:basedOn w:val="1"/>
    <w:link w:val="363"/>
    <w:autoRedefine/>
    <w:qFormat/>
    <w:uiPriority w:val="0"/>
    <w:pPr>
      <w:ind w:firstLine="480" w:firstLineChars="200"/>
    </w:pPr>
    <w:rPr>
      <w:rFonts w:hAnsi="宋体"/>
      <w:kern w:val="0"/>
      <w:szCs w:val="20"/>
    </w:rPr>
  </w:style>
  <w:style w:type="character" w:customStyle="1" w:styleId="365">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6">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7">
    <w:name w:val="大纲正文"/>
    <w:basedOn w:val="1"/>
    <w:autoRedefine/>
    <w:qFormat/>
    <w:uiPriority w:val="0"/>
    <w:pPr>
      <w:ind w:firstLine="480" w:firstLineChars="200"/>
    </w:pPr>
    <w:rPr>
      <w:rFonts w:cs="宋体"/>
      <w:szCs w:val="20"/>
    </w:rPr>
  </w:style>
  <w:style w:type="paragraph" w:customStyle="1" w:styleId="368">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9">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70">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71">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72">
    <w:name w:val="一级无标题条"/>
    <w:basedOn w:val="1"/>
    <w:autoRedefine/>
    <w:qFormat/>
    <w:uiPriority w:val="0"/>
    <w:pPr>
      <w:spacing w:beforeLines="40" w:afterLines="40"/>
    </w:pPr>
  </w:style>
  <w:style w:type="paragraph" w:customStyle="1" w:styleId="373">
    <w:name w:val="标题 37"/>
    <w:basedOn w:val="1"/>
    <w:autoRedefine/>
    <w:qFormat/>
    <w:uiPriority w:val="0"/>
    <w:pPr>
      <w:adjustRightInd w:val="0"/>
      <w:snapToGrid w:val="0"/>
      <w:ind w:left="-2" w:leftChars="-1"/>
    </w:pPr>
    <w:rPr>
      <w:rFonts w:ascii="Arial" w:hAnsi="Arial" w:cs="Arial"/>
    </w:rPr>
  </w:style>
  <w:style w:type="paragraph" w:customStyle="1" w:styleId="374">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5">
    <w:name w:val="pa-7"/>
    <w:basedOn w:val="1"/>
    <w:autoRedefine/>
    <w:qFormat/>
    <w:uiPriority w:val="0"/>
    <w:pPr>
      <w:widowControl/>
      <w:spacing w:before="150" w:after="150"/>
      <w:jc w:val="left"/>
    </w:pPr>
    <w:rPr>
      <w:rFonts w:ascii="宋体" w:hAnsi="宋体" w:cs="宋体"/>
      <w:kern w:val="0"/>
    </w:rPr>
  </w:style>
  <w:style w:type="paragraph" w:customStyle="1" w:styleId="376">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7">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8">
    <w:name w:val="样式 纯文本 + 首行缩进:  2 字符 Char Char Char Char Char Char Char Char Char Char Char Char Char Char Char Char Char Char Char Char Char Char Char Char"/>
    <w:basedOn w:val="48"/>
    <w:autoRedefine/>
    <w:qFormat/>
    <w:uiPriority w:val="0"/>
    <w:pPr>
      <w:spacing w:beforeLines="0" w:afterLines="0" w:line="360" w:lineRule="auto"/>
      <w:jc w:val="left"/>
    </w:pPr>
    <w:rPr>
      <w:rFonts w:eastAsia="仿宋_GB2312" w:cs="Arial"/>
      <w:sz w:val="28"/>
      <w:szCs w:val="20"/>
    </w:rPr>
  </w:style>
  <w:style w:type="paragraph" w:customStyle="1" w:styleId="379">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8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2">
    <w:name w:val="S4-L15-C"/>
    <w:basedOn w:val="1"/>
    <w:autoRedefine/>
    <w:qFormat/>
    <w:uiPriority w:val="0"/>
    <w:pPr>
      <w:spacing w:after="120"/>
      <w:jc w:val="center"/>
    </w:pPr>
    <w:rPr>
      <w:szCs w:val="21"/>
    </w:rPr>
  </w:style>
  <w:style w:type="paragraph" w:customStyle="1" w:styleId="383">
    <w:name w:val="标题 01"/>
    <w:basedOn w:val="2"/>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4">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5">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6">
    <w:name w:val="此正文"/>
    <w:basedOn w:val="1"/>
    <w:autoRedefine/>
    <w:qFormat/>
    <w:uiPriority w:val="0"/>
    <w:pPr>
      <w:ind w:firstLine="200" w:firstLineChars="200"/>
    </w:pPr>
    <w:rPr>
      <w:szCs w:val="20"/>
    </w:rPr>
  </w:style>
  <w:style w:type="paragraph" w:customStyle="1" w:styleId="387">
    <w:name w:val="编号 2"/>
    <w:basedOn w:val="388"/>
    <w:autoRedefine/>
    <w:qFormat/>
    <w:uiPriority w:val="0"/>
    <w:pPr>
      <w:tabs>
        <w:tab w:val="left" w:pos="432"/>
      </w:tabs>
    </w:pPr>
    <w:rPr>
      <w:szCs w:val="20"/>
    </w:rPr>
  </w:style>
  <w:style w:type="paragraph" w:customStyle="1" w:styleId="388">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9">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90">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91">
    <w:name w:val="Char3 Char Char"/>
    <w:basedOn w:val="1"/>
    <w:autoRedefine/>
    <w:qFormat/>
    <w:uiPriority w:val="0"/>
    <w:pPr>
      <w:widowControl/>
      <w:spacing w:after="160" w:line="240" w:lineRule="exact"/>
      <w:jc w:val="left"/>
    </w:pPr>
    <w:rPr>
      <w:szCs w:val="20"/>
    </w:rPr>
  </w:style>
  <w:style w:type="paragraph" w:customStyle="1" w:styleId="392">
    <w:name w:val="Char Char5 Char Char Char Char"/>
    <w:basedOn w:val="1"/>
    <w:autoRedefine/>
    <w:qFormat/>
    <w:uiPriority w:val="0"/>
    <w:pPr>
      <w:spacing w:beforeLines="40" w:afterLines="40"/>
    </w:pPr>
    <w:rPr>
      <w:rFonts w:ascii="Tahoma" w:hAnsi="Tahoma"/>
      <w:sz w:val="36"/>
      <w:szCs w:val="36"/>
    </w:rPr>
  </w:style>
  <w:style w:type="paragraph" w:customStyle="1" w:styleId="393">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4">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395">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6">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7">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8">
    <w:name w:val="表格内容"/>
    <w:basedOn w:val="37"/>
    <w:autoRedefine/>
    <w:qFormat/>
    <w:uiPriority w:val="0"/>
    <w:pPr>
      <w:suppressLineNumbers/>
      <w:suppressAutoHyphens/>
    </w:pPr>
    <w:rPr>
      <w:kern w:val="1"/>
      <w:sz w:val="21"/>
      <w:lang w:eastAsia="ar-SA"/>
    </w:rPr>
  </w:style>
  <w:style w:type="paragraph" w:customStyle="1" w:styleId="399">
    <w:name w:val="中文标题 1"/>
    <w:basedOn w:val="38"/>
    <w:next w:val="38"/>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00">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1">
    <w:name w:val="Main Title"/>
    <w:basedOn w:val="1"/>
    <w:autoRedefine/>
    <w:qFormat/>
    <w:uiPriority w:val="0"/>
    <w:pPr>
      <w:spacing w:before="480" w:afterLines="50"/>
      <w:jc w:val="center"/>
    </w:pPr>
    <w:rPr>
      <w:rFonts w:ascii="宋体"/>
      <w:b/>
      <w:snapToGrid w:val="0"/>
      <w:kern w:val="28"/>
      <w:sz w:val="32"/>
      <w:szCs w:val="20"/>
    </w:rPr>
  </w:style>
  <w:style w:type="paragraph" w:customStyle="1" w:styleId="402">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3">
    <w:name w:val="附录表标题"/>
    <w:next w:val="107"/>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4">
    <w:name w:val="Char Char5 Char Char Char Char Char Char Char Char Char Char Char Char"/>
    <w:basedOn w:val="1"/>
    <w:autoRedefine/>
    <w:qFormat/>
    <w:uiPriority w:val="0"/>
    <w:rPr>
      <w:rFonts w:ascii="Tahoma" w:hAnsi="Tahoma"/>
      <w:sz w:val="36"/>
      <w:szCs w:val="36"/>
    </w:rPr>
  </w:style>
  <w:style w:type="paragraph" w:customStyle="1" w:styleId="405">
    <w:name w:val="普通 (Web)"/>
    <w:basedOn w:val="1"/>
    <w:autoRedefine/>
    <w:qFormat/>
    <w:uiPriority w:val="0"/>
    <w:pPr>
      <w:widowControl/>
      <w:spacing w:beforeLines="40" w:afterLines="40"/>
      <w:jc w:val="left"/>
    </w:pPr>
    <w:rPr>
      <w:rFonts w:ascii="宋体" w:hAnsi="宋体"/>
      <w:kern w:val="0"/>
    </w:rPr>
  </w:style>
  <w:style w:type="paragraph" w:customStyle="1" w:styleId="406">
    <w:name w:val="标题5，章节第五层"/>
    <w:basedOn w:val="1"/>
    <w:next w:val="237"/>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7">
    <w:name w:val="Char2 Char Char Char"/>
    <w:basedOn w:val="1"/>
    <w:autoRedefine/>
    <w:qFormat/>
    <w:uiPriority w:val="0"/>
    <w:rPr>
      <w:rFonts w:ascii="仿宋_GB2312" w:eastAsia="仿宋_GB2312"/>
      <w:b/>
      <w:sz w:val="32"/>
      <w:szCs w:val="32"/>
    </w:rPr>
  </w:style>
  <w:style w:type="paragraph" w:customStyle="1" w:styleId="408">
    <w:name w:val="标题2，章节第二层"/>
    <w:basedOn w:val="1"/>
    <w:next w:val="237"/>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9">
    <w:name w:val="正文5"/>
    <w:basedOn w:val="1"/>
    <w:autoRedefine/>
    <w:qFormat/>
    <w:uiPriority w:val="0"/>
    <w:pPr>
      <w:spacing w:beforeLines="50" w:afterLines="50"/>
      <w:ind w:firstLine="420" w:firstLineChars="200"/>
    </w:pPr>
  </w:style>
  <w:style w:type="paragraph" w:customStyle="1" w:styleId="410">
    <w:name w:val="样式 标题 2 + (中文) 黑体 四号 黑色"/>
    <w:basedOn w:val="2"/>
    <w:autoRedefine/>
    <w:qFormat/>
    <w:uiPriority w:val="0"/>
    <w:pPr>
      <w:spacing w:line="520" w:lineRule="exact"/>
      <w:ind w:left="0" w:firstLine="0"/>
      <w:jc w:val="left"/>
    </w:pPr>
    <w:rPr>
      <w:bCs w:val="0"/>
      <w:color w:val="000000"/>
      <w:kern w:val="24"/>
      <w:sz w:val="28"/>
      <w:szCs w:val="20"/>
    </w:rPr>
  </w:style>
  <w:style w:type="paragraph" w:customStyle="1" w:styleId="411">
    <w:name w:val="Char Char3 Char Char Char Char Char Char Char Char Char Char Char Char2 Char Char Char Char"/>
    <w:basedOn w:val="1"/>
    <w:autoRedefine/>
    <w:qFormat/>
    <w:uiPriority w:val="0"/>
    <w:rPr>
      <w:rFonts w:ascii="Tahoma" w:hAnsi="Tahoma"/>
      <w:sz w:val="36"/>
      <w:szCs w:val="36"/>
    </w:rPr>
  </w:style>
  <w:style w:type="paragraph" w:customStyle="1" w:styleId="412">
    <w:name w:val="图"/>
    <w:basedOn w:val="1"/>
    <w:autoRedefine/>
    <w:qFormat/>
    <w:uiPriority w:val="0"/>
    <w:pPr>
      <w:spacing w:beforeLines="40" w:afterLines="40"/>
      <w:jc w:val="center"/>
    </w:pPr>
    <w:rPr>
      <w:sz w:val="28"/>
    </w:rPr>
  </w:style>
  <w:style w:type="paragraph" w:customStyle="1" w:styleId="413">
    <w:name w:val="段 1"/>
    <w:basedOn w:val="1"/>
    <w:autoRedefine/>
    <w:qFormat/>
    <w:uiPriority w:val="0"/>
    <w:rPr>
      <w:b/>
      <w:bCs/>
    </w:rPr>
  </w:style>
  <w:style w:type="paragraph" w:customStyle="1" w:styleId="414">
    <w:name w:val="样式 文档正文 + 首行缩进:  2 字符2"/>
    <w:basedOn w:val="252"/>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5">
    <w:name w:val="IBM 正文"/>
    <w:basedOn w:val="1"/>
    <w:autoRedefine/>
    <w:qFormat/>
    <w:uiPriority w:val="0"/>
    <w:pPr>
      <w:spacing w:line="360" w:lineRule="atLeast"/>
    </w:pPr>
    <w:rPr>
      <w:szCs w:val="20"/>
    </w:rPr>
  </w:style>
  <w:style w:type="paragraph" w:customStyle="1" w:styleId="416">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7">
    <w:name w:val="方案正文"/>
    <w:basedOn w:val="1"/>
    <w:autoRedefine/>
    <w:qFormat/>
    <w:uiPriority w:val="0"/>
    <w:pPr>
      <w:spacing w:beforeLines="50" w:line="300" w:lineRule="auto"/>
      <w:ind w:left="210" w:leftChars="100" w:firstLine="480" w:firstLineChars="200"/>
    </w:pPr>
    <w:rPr>
      <w:color w:val="000000"/>
    </w:rPr>
  </w:style>
  <w:style w:type="paragraph" w:customStyle="1" w:styleId="418">
    <w:name w:val="附录图标题"/>
    <w:next w:val="107"/>
    <w:autoRedefine/>
    <w:qFormat/>
    <w:uiPriority w:val="0"/>
    <w:pPr>
      <w:jc w:val="center"/>
    </w:pPr>
    <w:rPr>
      <w:rFonts w:ascii="黑体" w:hAnsi="Times New Roman" w:eastAsia="黑体" w:cs="Times New Roman"/>
      <w:sz w:val="21"/>
      <w:lang w:val="en-US" w:eastAsia="zh-CN" w:bidi="ar-SA"/>
    </w:rPr>
  </w:style>
  <w:style w:type="paragraph" w:customStyle="1" w:styleId="419">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20">
    <w:name w:val="文章正文 Char Char1"/>
    <w:basedOn w:val="1"/>
    <w:autoRedefine/>
    <w:qFormat/>
    <w:uiPriority w:val="0"/>
    <w:pPr>
      <w:spacing w:beforeLines="40" w:afterLines="40"/>
      <w:ind w:firstLine="420"/>
    </w:pPr>
  </w:style>
  <w:style w:type="paragraph" w:customStyle="1" w:styleId="42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2">
    <w:name w:val="标准小四"/>
    <w:basedOn w:val="1"/>
    <w:autoRedefine/>
    <w:qFormat/>
    <w:uiPriority w:val="0"/>
    <w:pPr>
      <w:ind w:firstLine="480" w:firstLineChars="200"/>
    </w:pPr>
    <w:rPr>
      <w:rFonts w:ascii="Arial" w:hAnsi="Arial"/>
      <w:szCs w:val="21"/>
    </w:rPr>
  </w:style>
  <w:style w:type="paragraph" w:customStyle="1" w:styleId="423">
    <w:name w:val="标题1，章节第一层"/>
    <w:basedOn w:val="1"/>
    <w:next w:val="237"/>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5">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6">
    <w:name w:val="数标题1"/>
    <w:basedOn w:val="1"/>
    <w:autoRedefine/>
    <w:qFormat/>
    <w:uiPriority w:val="0"/>
    <w:pPr>
      <w:tabs>
        <w:tab w:val="left" w:pos="1440"/>
      </w:tabs>
      <w:adjustRightInd w:val="0"/>
      <w:spacing w:beforeLines="40" w:afterLines="40"/>
    </w:pPr>
    <w:rPr>
      <w:b/>
      <w:kern w:val="0"/>
      <w:szCs w:val="20"/>
    </w:rPr>
  </w:style>
  <w:style w:type="paragraph" w:customStyle="1" w:styleId="427">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8">
    <w:name w:val="msoacetate"/>
    <w:basedOn w:val="1"/>
    <w:autoRedefine/>
    <w:qFormat/>
    <w:uiPriority w:val="0"/>
    <w:pPr>
      <w:spacing w:beforeLines="40" w:afterLines="40"/>
    </w:pPr>
    <w:rPr>
      <w:sz w:val="18"/>
      <w:szCs w:val="18"/>
    </w:rPr>
  </w:style>
  <w:style w:type="paragraph" w:customStyle="1" w:styleId="429">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30">
    <w:name w:val="样式 标题 5 + 加粗"/>
    <w:basedOn w:val="8"/>
    <w:autoRedefine/>
    <w:qFormat/>
    <w:uiPriority w:val="0"/>
    <w:pPr>
      <w:tabs>
        <w:tab w:val="clear" w:pos="1008"/>
      </w:tabs>
      <w:ind w:left="0" w:firstLine="0"/>
    </w:pPr>
    <w:rPr>
      <w:b w:val="0"/>
      <w:sz w:val="24"/>
    </w:rPr>
  </w:style>
  <w:style w:type="paragraph" w:customStyle="1" w:styleId="431">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3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3">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4">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5">
    <w:name w:val="WW序号样式"/>
    <w:basedOn w:val="369"/>
    <w:autoRedefine/>
    <w:qFormat/>
    <w:uiPriority w:val="0"/>
    <w:pPr>
      <w:tabs>
        <w:tab w:val="left" w:pos="900"/>
      </w:tabs>
      <w:ind w:left="309" w:firstLine="0" w:firstLineChars="0"/>
    </w:pPr>
  </w:style>
  <w:style w:type="paragraph" w:customStyle="1" w:styleId="436">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7">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8">
    <w:name w:val="二级无标题条"/>
    <w:basedOn w:val="1"/>
    <w:autoRedefine/>
    <w:qFormat/>
    <w:uiPriority w:val="0"/>
    <w:pPr>
      <w:spacing w:beforeLines="40" w:afterLines="40"/>
      <w:ind w:left="945"/>
    </w:pPr>
  </w:style>
  <w:style w:type="paragraph" w:customStyle="1" w:styleId="439">
    <w:name w:val="标记1"/>
    <w:basedOn w:val="1"/>
    <w:autoRedefine/>
    <w:qFormat/>
    <w:uiPriority w:val="0"/>
    <w:pPr>
      <w:spacing w:beforeLines="40" w:afterLines="40"/>
    </w:pPr>
    <w:rPr>
      <w:rFonts w:eastAsia="楷体_GB2312"/>
      <w:b/>
      <w:bCs/>
      <w:sz w:val="28"/>
      <w:szCs w:val="20"/>
    </w:rPr>
  </w:style>
  <w:style w:type="paragraph" w:customStyle="1" w:styleId="440">
    <w:name w:val="注："/>
    <w:next w:val="107"/>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1">
    <w:name w:val="MM Title"/>
    <w:basedOn w:val="85"/>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3">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4">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5">
    <w:name w:val="样式 样式4 + 宋体 两端对齐"/>
    <w:basedOn w:val="446"/>
    <w:autoRedefine/>
    <w:qFormat/>
    <w:uiPriority w:val="0"/>
    <w:pPr>
      <w:ind w:firstLine="200" w:firstLineChars="200"/>
      <w:jc w:val="both"/>
    </w:pPr>
  </w:style>
  <w:style w:type="paragraph" w:customStyle="1" w:styleId="446">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7">
    <w:name w:val="编号小标题"/>
    <w:basedOn w:val="448"/>
    <w:autoRedefine/>
    <w:qFormat/>
    <w:uiPriority w:val="0"/>
    <w:pPr>
      <w:tabs>
        <w:tab w:val="left" w:pos="1440"/>
      </w:tabs>
      <w:spacing w:beforeLines="40" w:afterLines="40"/>
      <w:ind w:firstLine="0" w:firstLineChars="0"/>
    </w:pPr>
    <w:rPr>
      <w:rFonts w:ascii="Times New Roman" w:eastAsia="宋体"/>
    </w:rPr>
  </w:style>
  <w:style w:type="paragraph" w:customStyle="1" w:styleId="448">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0">
    <w:name w:val="符号 2"/>
    <w:basedOn w:val="451"/>
    <w:autoRedefine/>
    <w:qFormat/>
    <w:uiPriority w:val="0"/>
    <w:pPr>
      <w:tabs>
        <w:tab w:val="left" w:pos="900"/>
        <w:tab w:val="left" w:pos="1320"/>
      </w:tabs>
      <w:spacing w:beforeLines="40" w:afterLines="40"/>
      <w:ind w:left="1320"/>
    </w:pPr>
  </w:style>
  <w:style w:type="paragraph" w:customStyle="1" w:styleId="451">
    <w:name w:val="符号 1"/>
    <w:basedOn w:val="38"/>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2">
    <w:name w:val="默认段落字体 Para Char Char Char Char"/>
    <w:basedOn w:val="1"/>
    <w:autoRedefine/>
    <w:qFormat/>
    <w:uiPriority w:val="0"/>
  </w:style>
  <w:style w:type="paragraph" w:customStyle="1" w:styleId="453">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4">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5">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6">
    <w:name w:val="样式 四号 行距: 1.5 倍行距"/>
    <w:basedOn w:val="1"/>
    <w:autoRedefine/>
    <w:qFormat/>
    <w:uiPriority w:val="0"/>
    <w:pPr>
      <w:spacing w:line="312" w:lineRule="auto"/>
      <w:ind w:firstLine="202" w:firstLineChars="202"/>
    </w:pPr>
    <w:rPr>
      <w:rFonts w:cs="宋体"/>
      <w:szCs w:val="20"/>
    </w:rPr>
  </w:style>
  <w:style w:type="paragraph" w:customStyle="1" w:styleId="457">
    <w:name w:val="Style-正文"/>
    <w:basedOn w:val="1"/>
    <w:autoRedefine/>
    <w:qFormat/>
    <w:uiPriority w:val="0"/>
    <w:pPr>
      <w:ind w:firstLine="420"/>
    </w:pPr>
    <w:rPr>
      <w:rFonts w:ascii="宋体" w:hAnsi="宋体"/>
    </w:rPr>
  </w:style>
  <w:style w:type="paragraph" w:customStyle="1" w:styleId="458">
    <w:name w:val="_"/>
    <w:basedOn w:val="1"/>
    <w:autoRedefine/>
    <w:qFormat/>
    <w:uiPriority w:val="0"/>
    <w:pPr>
      <w:adjustRightInd w:val="0"/>
      <w:spacing w:beforeLines="40" w:afterLines="40"/>
      <w:ind w:left="480"/>
    </w:pPr>
    <w:rPr>
      <w:kern w:val="0"/>
      <w:szCs w:val="20"/>
    </w:rPr>
  </w:style>
  <w:style w:type="paragraph" w:customStyle="1" w:styleId="459">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60">
    <w:name w:val="公文标题"/>
    <w:basedOn w:val="356"/>
    <w:next w:val="356"/>
    <w:autoRedefine/>
    <w:qFormat/>
    <w:uiPriority w:val="0"/>
    <w:pPr>
      <w:ind w:firstLine="0" w:firstLineChars="0"/>
      <w:jc w:val="center"/>
    </w:pPr>
    <w:rPr>
      <w:b/>
      <w:bCs/>
      <w:sz w:val="44"/>
    </w:rPr>
  </w:style>
  <w:style w:type="paragraph" w:customStyle="1" w:styleId="461">
    <w:name w:val="正文（首行缩进2字符）"/>
    <w:basedOn w:val="1"/>
    <w:autoRedefine/>
    <w:qFormat/>
    <w:uiPriority w:val="0"/>
    <w:pPr>
      <w:ind w:firstLine="480" w:firstLineChars="200"/>
    </w:pPr>
    <w:rPr>
      <w:szCs w:val="20"/>
    </w:rPr>
  </w:style>
  <w:style w:type="paragraph" w:customStyle="1" w:styleId="462">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3">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4">
    <w:name w:val="数字标题2"/>
    <w:basedOn w:val="2"/>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5">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7">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8">
    <w:name w:val="标题 0（绿盟科技）"/>
    <w:basedOn w:val="85"/>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9">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70">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7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2">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3">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4">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6">
    <w:name w:val="Char Char5 Char Char Char Char1"/>
    <w:basedOn w:val="1"/>
    <w:autoRedefine/>
    <w:qFormat/>
    <w:uiPriority w:val="0"/>
    <w:rPr>
      <w:rFonts w:ascii="Tahoma" w:hAnsi="Tahoma"/>
      <w:sz w:val="36"/>
      <w:szCs w:val="36"/>
    </w:rPr>
  </w:style>
  <w:style w:type="paragraph" w:customStyle="1" w:styleId="477">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0">
    <w:name w:val="正文无缩进 Char"/>
    <w:basedOn w:val="1"/>
    <w:autoRedefine/>
    <w:qFormat/>
    <w:uiPriority w:val="0"/>
    <w:pPr>
      <w:tabs>
        <w:tab w:val="left" w:pos="420"/>
      </w:tabs>
      <w:spacing w:beforeLines="40" w:afterLines="40"/>
    </w:pPr>
  </w:style>
  <w:style w:type="paragraph" w:customStyle="1" w:styleId="481">
    <w:name w:val="样式 文档正文 + 首行缩进:  2 字符"/>
    <w:basedOn w:val="252"/>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2">
    <w:name w:val="四级无标题条"/>
    <w:basedOn w:val="1"/>
    <w:autoRedefine/>
    <w:qFormat/>
    <w:uiPriority w:val="0"/>
    <w:pPr>
      <w:spacing w:beforeLines="40" w:afterLines="40"/>
    </w:pPr>
  </w:style>
  <w:style w:type="paragraph" w:customStyle="1" w:styleId="48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4">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5">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6">
    <w:name w:val="样式 标题 2 + 四号"/>
    <w:basedOn w:val="1"/>
    <w:autoRedefine/>
    <w:qFormat/>
    <w:uiPriority w:val="0"/>
    <w:pPr>
      <w:tabs>
        <w:tab w:val="left" w:pos="1260"/>
      </w:tabs>
      <w:ind w:left="1260" w:hanging="420"/>
    </w:pPr>
  </w:style>
  <w:style w:type="paragraph" w:customStyle="1" w:styleId="487">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8">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9">
    <w:name w:val="Char2 Char Char Char Char Char Char"/>
    <w:basedOn w:val="1"/>
    <w:autoRedefine/>
    <w:qFormat/>
    <w:uiPriority w:val="0"/>
    <w:pPr>
      <w:spacing w:beforeLines="40" w:afterLines="40"/>
    </w:pPr>
    <w:rPr>
      <w:rFonts w:ascii="仿宋_GB2312"/>
      <w:b/>
      <w:sz w:val="30"/>
      <w:szCs w:val="32"/>
    </w:rPr>
  </w:style>
  <w:style w:type="paragraph" w:customStyle="1" w:styleId="490">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1">
    <w:name w:val="标准标题2"/>
    <w:basedOn w:val="2"/>
    <w:autoRedefine/>
    <w:qFormat/>
    <w:uiPriority w:val="0"/>
    <w:pPr>
      <w:spacing w:line="360" w:lineRule="auto"/>
    </w:pPr>
    <w:rPr>
      <w:rFonts w:eastAsia="仿宋_GB2312"/>
      <w:bCs w:val="0"/>
      <w:sz w:val="28"/>
    </w:rPr>
  </w:style>
  <w:style w:type="paragraph" w:customStyle="1" w:styleId="492">
    <w:name w:val="贷方"/>
    <w:basedOn w:val="1"/>
    <w:autoRedefine/>
    <w:qFormat/>
    <w:uiPriority w:val="0"/>
    <w:pPr>
      <w:ind w:left="1890" w:leftChars="900"/>
    </w:pPr>
  </w:style>
  <w:style w:type="paragraph" w:customStyle="1" w:styleId="493">
    <w:name w:val="数字标题3"/>
    <w:basedOn w:val="6"/>
    <w:next w:val="1"/>
    <w:autoRedefine/>
    <w:qFormat/>
    <w:uiPriority w:val="0"/>
    <w:pPr>
      <w:spacing w:line="240" w:lineRule="auto"/>
      <w:ind w:left="0" w:firstLine="0"/>
    </w:pPr>
    <w:rPr>
      <w:kern w:val="0"/>
      <w:sz w:val="28"/>
      <w:szCs w:val="28"/>
    </w:rPr>
  </w:style>
  <w:style w:type="paragraph" w:customStyle="1" w:styleId="494">
    <w:name w:val="文本框内文字"/>
    <w:basedOn w:val="1"/>
    <w:autoRedefine/>
    <w:qFormat/>
    <w:uiPriority w:val="0"/>
    <w:pPr>
      <w:spacing w:line="0" w:lineRule="atLeast"/>
    </w:pPr>
    <w:rPr>
      <w:rFonts w:eastAsia="仿宋_GB2312"/>
      <w:sz w:val="22"/>
    </w:rPr>
  </w:style>
  <w:style w:type="paragraph" w:customStyle="1" w:styleId="495">
    <w:name w:val="文本框文字"/>
    <w:basedOn w:val="1"/>
    <w:autoRedefine/>
    <w:qFormat/>
    <w:uiPriority w:val="0"/>
    <w:pPr>
      <w:adjustRightInd w:val="0"/>
      <w:snapToGrid w:val="0"/>
      <w:spacing w:beforeLines="40" w:afterLines="40"/>
    </w:pPr>
    <w:rPr>
      <w:rFonts w:cs="Angsana New"/>
    </w:rPr>
  </w:style>
  <w:style w:type="paragraph" w:customStyle="1" w:styleId="496">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7">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8">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第一条"/>
    <w:basedOn w:val="356"/>
    <w:autoRedefine/>
    <w:qFormat/>
    <w:uiPriority w:val="0"/>
    <w:pPr>
      <w:tabs>
        <w:tab w:val="left" w:pos="1542"/>
      </w:tabs>
      <w:ind w:left="500" w:firstLine="0" w:firstLineChars="0"/>
    </w:pPr>
    <w:rPr>
      <w:szCs w:val="28"/>
    </w:rPr>
  </w:style>
  <w:style w:type="paragraph" w:customStyle="1" w:styleId="501">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2">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3">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5">
    <w:name w:val="Char2 Char Char"/>
    <w:basedOn w:val="1"/>
    <w:autoRedefine/>
    <w:qFormat/>
    <w:uiPriority w:val="0"/>
    <w:pPr>
      <w:adjustRightInd w:val="0"/>
    </w:pPr>
    <w:rPr>
      <w:szCs w:val="20"/>
    </w:rPr>
  </w:style>
  <w:style w:type="paragraph" w:customStyle="1" w:styleId="506">
    <w:name w:val="正文1"/>
    <w:basedOn w:val="1"/>
    <w:autoRedefine/>
    <w:qFormat/>
    <w:uiPriority w:val="0"/>
    <w:pPr>
      <w:adjustRightInd w:val="0"/>
      <w:spacing w:beforeLines="40" w:afterLines="40" w:line="312" w:lineRule="atLeast"/>
      <w:ind w:firstLine="425"/>
    </w:pPr>
    <w:rPr>
      <w:kern w:val="0"/>
      <w:szCs w:val="20"/>
    </w:rPr>
  </w:style>
  <w:style w:type="paragraph" w:customStyle="1" w:styleId="507">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8">
    <w:name w:val="我的标题4"/>
    <w:next w:val="335"/>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9">
    <w:name w:val="样式 标题 2H2 + 黑体"/>
    <w:basedOn w:val="2"/>
    <w:autoRedefine/>
    <w:qFormat/>
    <w:uiPriority w:val="0"/>
    <w:pPr>
      <w:widowControl/>
      <w:spacing w:beforeLines="40" w:afterLines="40" w:line="415" w:lineRule="auto"/>
      <w:ind w:left="0" w:firstLine="0"/>
      <w:jc w:val="left"/>
    </w:pPr>
    <w:rPr>
      <w:kern w:val="0"/>
      <w:szCs w:val="20"/>
    </w:rPr>
  </w:style>
  <w:style w:type="paragraph" w:customStyle="1" w:styleId="510">
    <w:name w:val="默认段落样式"/>
    <w:basedOn w:val="195"/>
    <w:autoRedefine/>
    <w:qFormat/>
    <w:uiPriority w:val="0"/>
    <w:pPr>
      <w:spacing w:before="0"/>
      <w:ind w:firstLine="480"/>
      <w:jc w:val="both"/>
      <w:outlineLvl w:val="2"/>
    </w:pPr>
    <w:rPr>
      <w:rFonts w:ascii="仿宋_GB2312" w:cs="Times New Roman"/>
      <w:color w:val="000000"/>
      <w:kern w:val="0"/>
      <w:szCs w:val="24"/>
    </w:rPr>
  </w:style>
  <w:style w:type="paragraph" w:customStyle="1" w:styleId="511">
    <w:name w:val="节"/>
    <w:basedOn w:val="2"/>
    <w:autoRedefine/>
    <w:qFormat/>
    <w:uiPriority w:val="0"/>
    <w:pPr>
      <w:spacing w:before="160" w:after="160" w:line="720" w:lineRule="exact"/>
      <w:ind w:left="0" w:firstLine="0"/>
    </w:pPr>
    <w:rPr>
      <w:b w:val="0"/>
      <w:bCs w:val="0"/>
      <w:spacing w:val="14"/>
      <w:kern w:val="24"/>
      <w:sz w:val="28"/>
      <w:szCs w:val="20"/>
    </w:rPr>
  </w:style>
  <w:style w:type="paragraph" w:customStyle="1" w:styleId="512">
    <w:name w:val="表格标题"/>
    <w:basedOn w:val="398"/>
    <w:autoRedefine/>
    <w:qFormat/>
    <w:uiPriority w:val="0"/>
    <w:pPr>
      <w:jc w:val="center"/>
    </w:pPr>
    <w:rPr>
      <w:b/>
      <w:bCs/>
      <w:i/>
      <w:iCs/>
    </w:rPr>
  </w:style>
  <w:style w:type="paragraph" w:customStyle="1" w:styleId="513">
    <w:name w:val="Char1"/>
    <w:basedOn w:val="1"/>
    <w:autoRedefine/>
    <w:qFormat/>
    <w:uiPriority w:val="0"/>
    <w:rPr>
      <w:rFonts w:ascii="Tahoma" w:hAnsi="Tahoma"/>
      <w:szCs w:val="20"/>
    </w:rPr>
  </w:style>
  <w:style w:type="paragraph" w:customStyle="1" w:styleId="514">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5">
    <w:name w:val="封面_项目建设单位"/>
    <w:basedOn w:val="48"/>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6">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7">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8">
    <w:name w:val="段落内容"/>
    <w:basedOn w:val="1"/>
    <w:autoRedefine/>
    <w:qFormat/>
    <w:uiPriority w:val="0"/>
    <w:pPr>
      <w:spacing w:afterLines="50"/>
      <w:ind w:firstLine="560" w:firstLineChars="200"/>
    </w:pPr>
    <w:rPr>
      <w:rFonts w:cs="宋体"/>
      <w:sz w:val="28"/>
      <w:szCs w:val="20"/>
    </w:rPr>
  </w:style>
  <w:style w:type="paragraph" w:customStyle="1" w:styleId="519">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0">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1">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2">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3">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4">
    <w:name w:val="Char2 Char Char Char Char Char Char1"/>
    <w:basedOn w:val="1"/>
    <w:autoRedefine/>
    <w:qFormat/>
    <w:uiPriority w:val="0"/>
    <w:rPr>
      <w:rFonts w:ascii="仿宋_GB2312"/>
      <w:b/>
      <w:sz w:val="30"/>
      <w:szCs w:val="32"/>
    </w:rPr>
  </w:style>
  <w:style w:type="paragraph" w:customStyle="1" w:styleId="5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6">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7">
    <w:name w:val="Char Char3 Char Char Char Char Char Char Char Char Char Char Char Char2 Char Char1"/>
    <w:basedOn w:val="1"/>
    <w:autoRedefine/>
    <w:qFormat/>
    <w:uiPriority w:val="0"/>
    <w:rPr>
      <w:rFonts w:ascii="Tahoma" w:hAnsi="Tahoma"/>
      <w:sz w:val="36"/>
      <w:szCs w:val="36"/>
    </w:rPr>
  </w:style>
  <w:style w:type="paragraph" w:customStyle="1" w:styleId="528">
    <w:name w:val="附图居中"/>
    <w:basedOn w:val="1"/>
    <w:next w:val="529"/>
    <w:autoRedefine/>
    <w:qFormat/>
    <w:uiPriority w:val="0"/>
    <w:pPr>
      <w:keepNext/>
      <w:jc w:val="center"/>
    </w:pPr>
  </w:style>
  <w:style w:type="paragraph" w:customStyle="1" w:styleId="529">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30">
    <w:name w:val="列表标题"/>
    <w:basedOn w:val="1"/>
    <w:next w:val="1"/>
    <w:autoRedefine/>
    <w:qFormat/>
    <w:uiPriority w:val="0"/>
    <w:pPr>
      <w:spacing w:beforeLines="40" w:afterLines="40"/>
      <w:jc w:val="center"/>
    </w:pPr>
    <w:rPr>
      <w:szCs w:val="20"/>
    </w:rPr>
  </w:style>
  <w:style w:type="paragraph" w:customStyle="1" w:styleId="531">
    <w:name w:val="Char Char31"/>
    <w:basedOn w:val="1"/>
    <w:autoRedefine/>
    <w:qFormat/>
    <w:uiPriority w:val="0"/>
    <w:pPr>
      <w:spacing w:beforeLines="40" w:afterLines="40"/>
    </w:pPr>
    <w:rPr>
      <w:rFonts w:ascii="Tahoma" w:hAnsi="Tahoma"/>
      <w:sz w:val="36"/>
      <w:szCs w:val="36"/>
    </w:rPr>
  </w:style>
  <w:style w:type="paragraph" w:customStyle="1" w:styleId="532">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3">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4">
    <w:name w:val="Tabletext"/>
    <w:basedOn w:val="1"/>
    <w:autoRedefine/>
    <w:qFormat/>
    <w:uiPriority w:val="0"/>
    <w:pPr>
      <w:keepLines/>
      <w:spacing w:afterLines="50"/>
      <w:jc w:val="left"/>
    </w:pPr>
    <w:rPr>
      <w:rFonts w:ascii="宋体"/>
      <w:snapToGrid w:val="0"/>
      <w:kern w:val="0"/>
      <w:szCs w:val="20"/>
    </w:rPr>
  </w:style>
  <w:style w:type="paragraph" w:customStyle="1" w:styleId="535">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6">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规范正文"/>
    <w:basedOn w:val="53"/>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9">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40">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1">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42">
    <w:name w:val="附录标识"/>
    <w:basedOn w:val="1"/>
    <w:autoRedefine/>
    <w:qFormat/>
    <w:uiPriority w:val="0"/>
    <w:pPr>
      <w:spacing w:line="312" w:lineRule="auto"/>
    </w:pPr>
  </w:style>
  <w:style w:type="paragraph" w:customStyle="1" w:styleId="543">
    <w:name w:val="无标题条"/>
    <w:next w:val="107"/>
    <w:autoRedefine/>
    <w:qFormat/>
    <w:uiPriority w:val="0"/>
    <w:pPr>
      <w:jc w:val="both"/>
    </w:pPr>
    <w:rPr>
      <w:rFonts w:ascii="Times New Roman" w:hAnsi="Times New Roman" w:eastAsia="宋体" w:cs="Times New Roman"/>
      <w:sz w:val="21"/>
      <w:lang w:val="en-US" w:eastAsia="zh-CN" w:bidi="ar-SA"/>
    </w:rPr>
  </w:style>
  <w:style w:type="paragraph" w:customStyle="1" w:styleId="544">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5">
    <w:name w:val="中文标题 4"/>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7">
    <w:name w:val="附录四级条标题"/>
    <w:basedOn w:val="1"/>
    <w:autoRedefine/>
    <w:qFormat/>
    <w:uiPriority w:val="0"/>
    <w:pPr>
      <w:spacing w:line="312" w:lineRule="auto"/>
    </w:pPr>
  </w:style>
  <w:style w:type="paragraph" w:customStyle="1" w:styleId="548">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9">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50">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51">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2">
    <w:name w:val="首信标准正文 Char Char Char Char"/>
    <w:basedOn w:val="1"/>
    <w:autoRedefine/>
    <w:qFormat/>
    <w:uiPriority w:val="0"/>
    <w:pPr>
      <w:spacing w:beforeLines="40" w:afterLines="40"/>
    </w:pPr>
    <w:rPr>
      <w:rFonts w:ascii="Tahoma" w:hAnsi="Tahoma"/>
      <w:szCs w:val="20"/>
    </w:rPr>
  </w:style>
  <w:style w:type="paragraph" w:customStyle="1" w:styleId="55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my标题5"/>
    <w:basedOn w:val="1"/>
    <w:autoRedefine/>
    <w:qFormat/>
    <w:uiPriority w:val="0"/>
    <w:pPr>
      <w:tabs>
        <w:tab w:val="left" w:pos="992"/>
      </w:tabs>
      <w:ind w:left="992" w:hanging="992"/>
    </w:pPr>
  </w:style>
  <w:style w:type="paragraph" w:customStyle="1" w:styleId="555">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7">
    <w:name w:val="Char4 Char Char Char Char Char Char Char Char"/>
    <w:basedOn w:val="1"/>
    <w:autoRedefine/>
    <w:qFormat/>
    <w:uiPriority w:val="0"/>
    <w:rPr>
      <w:rFonts w:ascii="Tahoma" w:hAnsi="Tahoma"/>
      <w:sz w:val="36"/>
      <w:szCs w:val="36"/>
    </w:rPr>
  </w:style>
  <w:style w:type="paragraph" w:customStyle="1" w:styleId="558">
    <w:name w:val="pa-17"/>
    <w:basedOn w:val="1"/>
    <w:autoRedefine/>
    <w:qFormat/>
    <w:uiPriority w:val="0"/>
    <w:pPr>
      <w:widowControl/>
      <w:spacing w:before="150" w:after="150"/>
      <w:jc w:val="left"/>
    </w:pPr>
    <w:rPr>
      <w:rFonts w:ascii="宋体" w:hAnsi="宋体" w:cs="宋体"/>
      <w:kern w:val="0"/>
    </w:rPr>
  </w:style>
  <w:style w:type="paragraph" w:customStyle="1" w:styleId="559">
    <w:name w:val="Paragraph4"/>
    <w:basedOn w:val="1"/>
    <w:autoRedefine/>
    <w:qFormat/>
    <w:uiPriority w:val="0"/>
    <w:pPr>
      <w:spacing w:before="80" w:afterLines="50"/>
      <w:ind w:left="2250"/>
    </w:pPr>
    <w:rPr>
      <w:rFonts w:ascii="宋体"/>
      <w:snapToGrid w:val="0"/>
      <w:kern w:val="0"/>
      <w:szCs w:val="20"/>
    </w:rPr>
  </w:style>
  <w:style w:type="paragraph" w:customStyle="1" w:styleId="56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1">
    <w:name w:val="首行缩进正文"/>
    <w:basedOn w:val="1"/>
    <w:autoRedefine/>
    <w:qFormat/>
    <w:uiPriority w:val="0"/>
    <w:pPr>
      <w:spacing w:beforeLines="40" w:afterLines="40"/>
      <w:ind w:firstLine="480"/>
    </w:pPr>
    <w:rPr>
      <w:szCs w:val="20"/>
    </w:rPr>
  </w:style>
  <w:style w:type="paragraph" w:customStyle="1" w:styleId="562">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3">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5">
    <w:name w:val="封面版本"/>
    <w:basedOn w:val="1"/>
    <w:autoRedefine/>
    <w:qFormat/>
    <w:uiPriority w:val="0"/>
    <w:pPr>
      <w:jc w:val="center"/>
    </w:pPr>
    <w:rPr>
      <w:rFonts w:ascii="宋体" w:hAnsi="宋体" w:cs="宋体"/>
      <w:sz w:val="30"/>
      <w:szCs w:val="20"/>
    </w:rPr>
  </w:style>
  <w:style w:type="paragraph" w:customStyle="1" w:styleId="566">
    <w:name w:val="正文--表格内正文"/>
    <w:basedOn w:val="1"/>
    <w:autoRedefine/>
    <w:qFormat/>
    <w:uiPriority w:val="0"/>
    <w:pPr>
      <w:spacing w:beforeLines="50" w:line="0" w:lineRule="atLeast"/>
      <w:jc w:val="center"/>
    </w:pPr>
    <w:rPr>
      <w:rFonts w:ascii="宋体" w:hAnsi="宋体"/>
    </w:rPr>
  </w:style>
  <w:style w:type="paragraph" w:customStyle="1" w:styleId="567">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8">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9">
    <w:name w:val="最新标题2"/>
    <w:basedOn w:val="570"/>
    <w:next w:val="571"/>
    <w:autoRedefine/>
    <w:qFormat/>
    <w:uiPriority w:val="0"/>
    <w:pPr>
      <w:tabs>
        <w:tab w:val="left" w:pos="576"/>
      </w:tabs>
      <w:spacing w:after="120"/>
    </w:pPr>
  </w:style>
  <w:style w:type="paragraph" w:customStyle="1" w:styleId="570">
    <w:name w:val="样式 标题 2"/>
    <w:basedOn w:val="2"/>
    <w:next w:val="571"/>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1">
    <w:name w:val="最新标题3"/>
    <w:basedOn w:val="572"/>
    <w:next w:val="573"/>
    <w:autoRedefine/>
    <w:qFormat/>
    <w:uiPriority w:val="0"/>
    <w:pPr>
      <w:tabs>
        <w:tab w:val="left" w:pos="720"/>
      </w:tabs>
      <w:spacing w:after="120"/>
    </w:pPr>
  </w:style>
  <w:style w:type="paragraph" w:customStyle="1" w:styleId="572">
    <w:name w:val="样式 标题 3"/>
    <w:basedOn w:val="6"/>
    <w:next w:val="573"/>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3">
    <w:name w:val="最新标题4"/>
    <w:basedOn w:val="574"/>
    <w:next w:val="1"/>
    <w:autoRedefine/>
    <w:qFormat/>
    <w:uiPriority w:val="0"/>
    <w:pPr>
      <w:tabs>
        <w:tab w:val="left" w:pos="864"/>
        <w:tab w:val="left" w:pos="2100"/>
      </w:tabs>
      <w:spacing w:after="120"/>
      <w:ind w:left="0" w:firstLine="0"/>
    </w:pPr>
  </w:style>
  <w:style w:type="paragraph" w:customStyle="1" w:styleId="574">
    <w:name w:val="样式 标题 4"/>
    <w:basedOn w:val="575"/>
    <w:next w:val="576"/>
    <w:autoRedefine/>
    <w:qFormat/>
    <w:uiPriority w:val="0"/>
    <w:pPr>
      <w:tabs>
        <w:tab w:val="left" w:pos="864"/>
        <w:tab w:val="left" w:pos="2100"/>
      </w:tabs>
      <w:spacing w:after="50"/>
      <w:ind w:left="2100" w:hanging="420"/>
    </w:pPr>
  </w:style>
  <w:style w:type="paragraph" w:customStyle="1" w:styleId="575">
    <w:name w:val="样式 标题 4Chapter X.X.X.X. + 段后: 0.5 行1"/>
    <w:basedOn w:val="402"/>
    <w:autoRedefine/>
    <w:qFormat/>
    <w:uiPriority w:val="0"/>
    <w:pPr>
      <w:spacing w:after="120"/>
    </w:pPr>
  </w:style>
  <w:style w:type="paragraph" w:customStyle="1" w:styleId="576">
    <w:name w:val="样式 正文"/>
    <w:basedOn w:val="1"/>
    <w:next w:val="1"/>
    <w:autoRedefine/>
    <w:qFormat/>
    <w:uiPriority w:val="0"/>
    <w:pPr>
      <w:spacing w:afterLines="50"/>
      <w:jc w:val="left"/>
    </w:pPr>
    <w:rPr>
      <w:rFonts w:ascii="宋体" w:cs="宋体"/>
      <w:snapToGrid w:val="0"/>
      <w:kern w:val="0"/>
      <w:szCs w:val="20"/>
    </w:rPr>
  </w:style>
  <w:style w:type="paragraph" w:customStyle="1" w:styleId="577">
    <w:name w:val="Date1"/>
    <w:basedOn w:val="1"/>
    <w:next w:val="1"/>
    <w:autoRedefine/>
    <w:qFormat/>
    <w:uiPriority w:val="0"/>
    <w:pPr>
      <w:adjustRightInd w:val="0"/>
      <w:spacing w:beforeLines="40" w:afterLines="40" w:line="312" w:lineRule="atLeast"/>
    </w:pPr>
    <w:rPr>
      <w:kern w:val="0"/>
      <w:szCs w:val="20"/>
    </w:rPr>
  </w:style>
  <w:style w:type="paragraph" w:customStyle="1" w:styleId="578">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9">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80">
    <w:name w:val="默认段落字体 Para Char Char"/>
    <w:basedOn w:val="1"/>
    <w:autoRedefine/>
    <w:semiHidden/>
    <w:qFormat/>
    <w:uiPriority w:val="0"/>
  </w:style>
  <w:style w:type="paragraph" w:customStyle="1" w:styleId="581">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2">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3">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4">
    <w:name w:val="标题 36"/>
    <w:basedOn w:val="1"/>
    <w:autoRedefine/>
    <w:qFormat/>
    <w:uiPriority w:val="0"/>
    <w:pPr>
      <w:adjustRightInd w:val="0"/>
      <w:snapToGrid w:val="0"/>
      <w:ind w:left="-2" w:leftChars="-1"/>
    </w:pPr>
    <w:rPr>
      <w:rFonts w:ascii="Arial" w:hAnsi="Arial" w:cs="Arial"/>
    </w:rPr>
  </w:style>
  <w:style w:type="paragraph" w:customStyle="1" w:styleId="585">
    <w:name w:val="样式　标题4"/>
    <w:basedOn w:val="586"/>
    <w:next w:val="1"/>
    <w:autoRedefine/>
    <w:qFormat/>
    <w:uiPriority w:val="0"/>
    <w:pPr>
      <w:tabs>
        <w:tab w:val="left" w:pos="864"/>
      </w:tabs>
    </w:pPr>
  </w:style>
  <w:style w:type="paragraph" w:customStyle="1" w:styleId="586">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7">
    <w:name w:val="0"/>
    <w:basedOn w:val="1"/>
    <w:autoRedefine/>
    <w:qFormat/>
    <w:uiPriority w:val="0"/>
    <w:pPr>
      <w:widowControl/>
    </w:pPr>
    <w:rPr>
      <w:kern w:val="0"/>
      <w:szCs w:val="20"/>
    </w:rPr>
  </w:style>
  <w:style w:type="paragraph" w:customStyle="1" w:styleId="58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9">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90">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91">
    <w:name w:val="U2标题"/>
    <w:basedOn w:val="2"/>
    <w:autoRedefine/>
    <w:qFormat/>
    <w:uiPriority w:val="0"/>
    <w:pPr>
      <w:spacing w:beforeLines="40" w:afterLines="40" w:line="415" w:lineRule="auto"/>
      <w:ind w:left="0" w:firstLine="0"/>
    </w:pPr>
    <w:rPr>
      <w:rFonts w:eastAsia="宋体"/>
      <w:color w:val="000000"/>
      <w:sz w:val="24"/>
      <w:szCs w:val="24"/>
    </w:rPr>
  </w:style>
  <w:style w:type="paragraph" w:customStyle="1" w:styleId="592">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3">
    <w:name w:val="样式 目录 2 + 段前: 0.2 行 段后: 0.2 行"/>
    <w:basedOn w:val="75"/>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4">
    <w:name w:val="三级无标题条"/>
    <w:basedOn w:val="1"/>
    <w:autoRedefine/>
    <w:qFormat/>
    <w:uiPriority w:val="0"/>
    <w:pPr>
      <w:spacing w:beforeLines="40" w:afterLines="40"/>
    </w:pPr>
  </w:style>
  <w:style w:type="paragraph" w:customStyle="1" w:styleId="595">
    <w:name w:val="List Paragraph1"/>
    <w:basedOn w:val="1"/>
    <w:next w:val="596"/>
    <w:autoRedefine/>
    <w:qFormat/>
    <w:uiPriority w:val="0"/>
    <w:pPr>
      <w:ind w:firstLine="420" w:firstLineChars="200"/>
    </w:pPr>
  </w:style>
  <w:style w:type="paragraph" w:styleId="596">
    <w:name w:val="List Paragraph"/>
    <w:basedOn w:val="1"/>
    <w:autoRedefine/>
    <w:qFormat/>
    <w:uiPriority w:val="99"/>
    <w:pPr>
      <w:ind w:firstLine="420" w:firstLineChars="200"/>
    </w:pPr>
  </w:style>
  <w:style w:type="paragraph" w:customStyle="1" w:styleId="597">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8">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9">
    <w:name w:val="封面单位"/>
    <w:basedOn w:val="1"/>
    <w:autoRedefine/>
    <w:qFormat/>
    <w:uiPriority w:val="0"/>
    <w:pPr>
      <w:jc w:val="center"/>
    </w:pPr>
    <w:rPr>
      <w:rFonts w:ascii="楷体_GB2312" w:eastAsia="楷体_GB2312" w:cs="宋体"/>
      <w:b/>
      <w:bCs/>
      <w:sz w:val="32"/>
      <w:szCs w:val="20"/>
    </w:rPr>
  </w:style>
  <w:style w:type="paragraph" w:customStyle="1" w:styleId="600">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601">
    <w:name w:val="正文段"/>
    <w:basedOn w:val="1"/>
    <w:autoRedefine/>
    <w:qFormat/>
    <w:uiPriority w:val="0"/>
    <w:pPr>
      <w:widowControl/>
      <w:snapToGrid w:val="0"/>
      <w:spacing w:afterLines="50"/>
      <w:ind w:firstLine="200" w:firstLineChars="200"/>
    </w:pPr>
    <w:rPr>
      <w:kern w:val="0"/>
      <w:szCs w:val="20"/>
    </w:rPr>
  </w:style>
  <w:style w:type="paragraph" w:customStyle="1" w:styleId="602">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603">
    <w:name w:val="发布部门"/>
    <w:next w:val="10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4">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5">
    <w:name w:val="公文标题 2"/>
    <w:basedOn w:val="606"/>
    <w:next w:val="356"/>
    <w:autoRedefine/>
    <w:qFormat/>
    <w:uiPriority w:val="0"/>
    <w:pPr>
      <w:ind w:firstLine="561"/>
      <w:outlineLvl w:val="1"/>
    </w:pPr>
  </w:style>
  <w:style w:type="paragraph" w:customStyle="1" w:styleId="606">
    <w:name w:val="公文标题 1"/>
    <w:basedOn w:val="356"/>
    <w:next w:val="356"/>
    <w:autoRedefine/>
    <w:qFormat/>
    <w:uiPriority w:val="0"/>
    <w:pPr>
      <w:ind w:firstLine="0" w:firstLineChars="0"/>
      <w:outlineLvl w:val="0"/>
    </w:pPr>
  </w:style>
  <w:style w:type="paragraph" w:customStyle="1" w:styleId="607">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8">
    <w:name w:val="默认段落字体 Para Char Char Char1 Char"/>
    <w:basedOn w:val="1"/>
    <w:autoRedefine/>
    <w:qFormat/>
    <w:uiPriority w:val="0"/>
    <w:pPr>
      <w:spacing w:line="240" w:lineRule="atLeast"/>
      <w:ind w:left="420" w:firstLine="420"/>
    </w:pPr>
  </w:style>
  <w:style w:type="paragraph" w:customStyle="1" w:styleId="609">
    <w:name w:val="需求正文"/>
    <w:basedOn w:val="1"/>
    <w:autoRedefine/>
    <w:qFormat/>
    <w:uiPriority w:val="0"/>
    <w:pPr>
      <w:spacing w:line="300" w:lineRule="auto"/>
      <w:ind w:firstLine="420" w:firstLineChars="200"/>
    </w:pPr>
    <w:rPr>
      <w:szCs w:val="20"/>
    </w:rPr>
  </w:style>
  <w:style w:type="paragraph" w:customStyle="1" w:styleId="610">
    <w:name w:val="列表段落1"/>
    <w:basedOn w:val="1"/>
    <w:autoRedefine/>
    <w:qFormat/>
    <w:uiPriority w:val="34"/>
    <w:pPr>
      <w:ind w:firstLine="420" w:firstLineChars="200"/>
    </w:pPr>
  </w:style>
  <w:style w:type="paragraph" w:customStyle="1" w:styleId="611">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12">
    <w:name w:val="S4-B-L15"/>
    <w:basedOn w:val="1"/>
    <w:autoRedefine/>
    <w:qFormat/>
    <w:uiPriority w:val="0"/>
    <w:rPr>
      <w:b/>
      <w:bCs/>
    </w:rPr>
  </w:style>
  <w:style w:type="paragraph" w:customStyle="1" w:styleId="613">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4">
    <w:name w:val="表格内容1"/>
    <w:basedOn w:val="1"/>
    <w:autoRedefine/>
    <w:qFormat/>
    <w:uiPriority w:val="0"/>
    <w:pPr>
      <w:spacing w:beforeLines="40" w:afterLines="40"/>
    </w:pPr>
    <w:rPr>
      <w:szCs w:val="20"/>
    </w:rPr>
  </w:style>
  <w:style w:type="paragraph" w:customStyle="1" w:styleId="615">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6">
    <w:name w:val="作者"/>
    <w:basedOn w:val="1"/>
    <w:autoRedefine/>
    <w:qFormat/>
    <w:uiPriority w:val="0"/>
    <w:pPr>
      <w:spacing w:beforeLines="40" w:afterLines="40"/>
      <w:jc w:val="center"/>
    </w:pPr>
    <w:rPr>
      <w:rFonts w:cs="Angsana New"/>
    </w:rPr>
  </w:style>
  <w:style w:type="paragraph" w:customStyle="1" w:styleId="617">
    <w:name w:val="文章正文"/>
    <w:basedOn w:val="1"/>
    <w:autoRedefine/>
    <w:qFormat/>
    <w:uiPriority w:val="0"/>
    <w:pPr>
      <w:spacing w:beforeLines="40" w:afterLines="40"/>
      <w:ind w:firstLine="420"/>
    </w:pPr>
  </w:style>
  <w:style w:type="paragraph" w:customStyle="1" w:styleId="618">
    <w:name w:val="样式 标题 2h2Level 2 Topic HeadingHD2Heading 2 HiddenHeading 2 ...1"/>
    <w:basedOn w:val="9"/>
    <w:next w:val="619"/>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9">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20">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2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2">
    <w:name w:val="样式 标题 3(A-3)sect1.2.3h3H3level_3PIM 3Level 3 HeadHeading..."/>
    <w:basedOn w:val="6"/>
    <w:autoRedefine/>
    <w:qFormat/>
    <w:uiPriority w:val="0"/>
    <w:pPr>
      <w:ind w:left="0" w:firstLine="0"/>
    </w:pPr>
    <w:rPr>
      <w:rFonts w:ascii="Arial" w:hAnsi="Arial"/>
    </w:rPr>
  </w:style>
  <w:style w:type="paragraph" w:customStyle="1" w:styleId="62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4">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5">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6">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7">
    <w:name w:val="标题 310"/>
    <w:basedOn w:val="1"/>
    <w:autoRedefine/>
    <w:qFormat/>
    <w:uiPriority w:val="0"/>
    <w:pPr>
      <w:adjustRightInd w:val="0"/>
      <w:snapToGrid w:val="0"/>
      <w:ind w:left="-2" w:leftChars="-1"/>
    </w:pPr>
    <w:rPr>
      <w:rFonts w:ascii="Arial" w:hAnsi="Arial" w:cs="Arial"/>
    </w:rPr>
  </w:style>
  <w:style w:type="paragraph" w:customStyle="1" w:styleId="628">
    <w:name w:val="我的标题5"/>
    <w:next w:val="335"/>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9">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0">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31">
    <w:name w:val="图表脚注"/>
    <w:next w:val="107"/>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2">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4">
    <w:name w:val="样式 表格正文 +"/>
    <w:basedOn w:val="1"/>
    <w:autoRedefine/>
    <w:qFormat/>
    <w:uiPriority w:val="0"/>
    <w:pPr>
      <w:spacing w:beforeLines="40" w:afterLines="40" w:line="300" w:lineRule="auto"/>
    </w:pPr>
    <w:rPr>
      <w:rFonts w:ascii="宋体" w:hAnsi="宋体" w:cs="宋体"/>
      <w:szCs w:val="20"/>
    </w:rPr>
  </w:style>
  <w:style w:type="paragraph" w:customStyle="1" w:styleId="635">
    <w:name w:val="linyang-正文"/>
    <w:basedOn w:val="1"/>
    <w:autoRedefine/>
    <w:qFormat/>
    <w:uiPriority w:val="0"/>
    <w:pPr>
      <w:spacing w:before="120" w:after="120" w:line="400" w:lineRule="exact"/>
      <w:ind w:firstLine="200" w:firstLineChars="200"/>
    </w:pPr>
  </w:style>
  <w:style w:type="paragraph" w:customStyle="1" w:styleId="636">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7">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9">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40">
    <w:name w:val="段落"/>
    <w:basedOn w:val="1"/>
    <w:autoRedefine/>
    <w:qFormat/>
    <w:uiPriority w:val="0"/>
    <w:pPr>
      <w:spacing w:beforeLines="40" w:afterLines="40" w:line="480" w:lineRule="auto"/>
      <w:ind w:firstLine="540" w:firstLineChars="225"/>
    </w:pPr>
    <w:rPr>
      <w:rFonts w:ascii="宋体" w:hAnsi="宋体"/>
    </w:rPr>
  </w:style>
  <w:style w:type="paragraph" w:customStyle="1" w:styleId="641">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42">
    <w:name w:val="标题二"/>
    <w:basedOn w:val="2"/>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3">
    <w:name w:val="模板页脚"/>
    <w:basedOn w:val="56"/>
    <w:autoRedefine/>
    <w:qFormat/>
    <w:uiPriority w:val="0"/>
    <w:pPr>
      <w:spacing w:beforeLines="40" w:afterLines="40"/>
    </w:pPr>
    <w:rPr>
      <w:rFonts w:ascii="宋体" w:hAnsi="宋体"/>
      <w:bCs/>
    </w:rPr>
  </w:style>
  <w:style w:type="paragraph" w:customStyle="1" w:styleId="644">
    <w:name w:val="附录章标题"/>
    <w:next w:val="107"/>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5">
    <w:name w:val="附录二级条标题"/>
    <w:basedOn w:val="1"/>
    <w:autoRedefine/>
    <w:qFormat/>
    <w:uiPriority w:val="0"/>
    <w:pPr>
      <w:spacing w:line="312" w:lineRule="auto"/>
    </w:pPr>
  </w:style>
  <w:style w:type="paragraph" w:customStyle="1" w:styleId="646">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7">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8">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9">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50">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1">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2">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3">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4">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5">
    <w:name w:val="图表"/>
    <w:basedOn w:val="25"/>
    <w:next w:val="37"/>
    <w:autoRedefine/>
    <w:qFormat/>
    <w:uiPriority w:val="0"/>
    <w:pPr>
      <w:spacing w:beforeLines="40" w:afterLines="40"/>
      <w:ind w:firstLine="420"/>
      <w:jc w:val="center"/>
    </w:pPr>
    <w:rPr>
      <w:sz w:val="21"/>
      <w:szCs w:val="24"/>
    </w:rPr>
  </w:style>
  <w:style w:type="paragraph" w:customStyle="1" w:styleId="656">
    <w:name w:val="版本控制标题"/>
    <w:basedOn w:val="1"/>
    <w:autoRedefine/>
    <w:qFormat/>
    <w:uiPriority w:val="0"/>
    <w:pPr>
      <w:spacing w:before="156" w:after="156"/>
    </w:pPr>
    <w:rPr>
      <w:rFonts w:cs="宋体"/>
      <w:b/>
      <w:bCs/>
      <w:szCs w:val="20"/>
    </w:rPr>
  </w:style>
  <w:style w:type="paragraph" w:customStyle="1" w:styleId="65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8">
    <w:name w:val="表格头"/>
    <w:basedOn w:val="1"/>
    <w:autoRedefine/>
    <w:qFormat/>
    <w:uiPriority w:val="0"/>
    <w:pPr>
      <w:jc w:val="center"/>
    </w:pPr>
    <w:rPr>
      <w:rFonts w:cs="宋体"/>
      <w:b/>
      <w:bCs/>
      <w:szCs w:val="20"/>
    </w:rPr>
  </w:style>
  <w:style w:type="paragraph" w:customStyle="1" w:styleId="659">
    <w:name w:val="公文标题 4"/>
    <w:basedOn w:val="660"/>
    <w:next w:val="356"/>
    <w:autoRedefine/>
    <w:qFormat/>
    <w:uiPriority w:val="0"/>
    <w:pPr>
      <w:outlineLvl w:val="9"/>
    </w:pPr>
  </w:style>
  <w:style w:type="paragraph" w:customStyle="1" w:styleId="660">
    <w:name w:val="公文标题 3"/>
    <w:basedOn w:val="605"/>
    <w:next w:val="356"/>
    <w:autoRedefine/>
    <w:qFormat/>
    <w:uiPriority w:val="0"/>
    <w:pPr>
      <w:outlineLvl w:val="2"/>
    </w:pPr>
  </w:style>
  <w:style w:type="paragraph" w:customStyle="1" w:styleId="661">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2">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3">
    <w:name w:val="样式1-2"/>
    <w:basedOn w:val="664"/>
    <w:autoRedefine/>
    <w:qFormat/>
    <w:uiPriority w:val="0"/>
  </w:style>
  <w:style w:type="paragraph" w:customStyle="1" w:styleId="664">
    <w:name w:val="表格1-1"/>
    <w:basedOn w:val="1"/>
    <w:autoRedefine/>
    <w:qFormat/>
    <w:uiPriority w:val="0"/>
    <w:pPr>
      <w:spacing w:beforeLines="40" w:afterLines="40"/>
    </w:pPr>
    <w:rPr>
      <w:szCs w:val="20"/>
    </w:rPr>
  </w:style>
  <w:style w:type="paragraph" w:customStyle="1" w:styleId="665">
    <w:name w:val="Proposals body"/>
    <w:basedOn w:val="1"/>
    <w:next w:val="1"/>
    <w:autoRedefine/>
    <w:qFormat/>
    <w:uiPriority w:val="0"/>
    <w:pPr>
      <w:widowControl/>
      <w:jc w:val="left"/>
    </w:pPr>
    <w:rPr>
      <w:rFonts w:ascii="宋体"/>
      <w:snapToGrid w:val="0"/>
      <w:color w:val="000000"/>
      <w:kern w:val="0"/>
      <w:szCs w:val="20"/>
    </w:rPr>
  </w:style>
  <w:style w:type="paragraph" w:customStyle="1" w:styleId="666">
    <w:name w:val="默认段落字体 Para Char Char Char Char Char Char Char"/>
    <w:basedOn w:val="1"/>
    <w:autoRedefine/>
    <w:qFormat/>
    <w:uiPriority w:val="0"/>
    <w:rPr>
      <w:rFonts w:ascii="Tahoma" w:hAnsi="Tahoma"/>
      <w:szCs w:val="20"/>
    </w:rPr>
  </w:style>
  <w:style w:type="paragraph" w:customStyle="1" w:styleId="667">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8">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9">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70">
    <w:name w:val="样式2"/>
    <w:basedOn w:val="2"/>
    <w:autoRedefine/>
    <w:qFormat/>
    <w:uiPriority w:val="0"/>
    <w:pPr>
      <w:spacing w:before="0" w:after="0" w:line="415" w:lineRule="auto"/>
    </w:pPr>
    <w:rPr>
      <w:rFonts w:ascii="宋体" w:hAnsi="宋体" w:eastAsia="仿宋_GB2312"/>
      <w:bCs w:val="0"/>
      <w:szCs w:val="20"/>
    </w:rPr>
  </w:style>
  <w:style w:type="paragraph" w:customStyle="1" w:styleId="671">
    <w:name w:val="正文（标题三）"/>
    <w:basedOn w:val="1"/>
    <w:autoRedefine/>
    <w:qFormat/>
    <w:uiPriority w:val="0"/>
    <w:pPr>
      <w:ind w:firstLine="200" w:firstLineChars="200"/>
    </w:pPr>
  </w:style>
  <w:style w:type="paragraph" w:customStyle="1" w:styleId="672">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3">
    <w:name w:val="WW-纯文本"/>
    <w:basedOn w:val="1"/>
    <w:autoRedefine/>
    <w:qFormat/>
    <w:uiPriority w:val="0"/>
    <w:pPr>
      <w:suppressAutoHyphens/>
      <w:spacing w:beforeLines="40" w:afterLines="40"/>
    </w:pPr>
    <w:rPr>
      <w:rFonts w:ascii="宋体" w:hAnsi="宋体"/>
      <w:szCs w:val="20"/>
    </w:rPr>
  </w:style>
  <w:style w:type="paragraph" w:customStyle="1" w:styleId="674">
    <w:name w:val="其他发布部门"/>
    <w:basedOn w:val="603"/>
    <w:autoRedefine/>
    <w:qFormat/>
    <w:uiPriority w:val="0"/>
    <w:pPr>
      <w:framePr w:wrap="around"/>
      <w:spacing w:line="0" w:lineRule="atLeast"/>
    </w:pPr>
    <w:rPr>
      <w:rFonts w:ascii="黑体" w:eastAsia="黑体"/>
      <w:b w:val="0"/>
    </w:rPr>
  </w:style>
  <w:style w:type="paragraph" w:customStyle="1" w:styleId="675">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6">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7">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9">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80">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1">
    <w:name w:val="封面标准号2"/>
    <w:basedOn w:val="483"/>
    <w:autoRedefine/>
    <w:qFormat/>
    <w:uiPriority w:val="0"/>
    <w:pPr>
      <w:framePr w:w="9138" w:h="1244" w:hRule="exact" w:wrap="around" w:vAnchor="page" w:hAnchor="margin" w:y="2908"/>
      <w:adjustRightInd w:val="0"/>
      <w:spacing w:before="357" w:line="280" w:lineRule="exact"/>
    </w:pPr>
  </w:style>
  <w:style w:type="paragraph" w:customStyle="1" w:styleId="682">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3">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4">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5">
    <w:name w:val="P1"/>
    <w:basedOn w:val="1"/>
    <w:autoRedefine/>
    <w:qFormat/>
    <w:uiPriority w:val="0"/>
    <w:pPr>
      <w:widowControl/>
      <w:spacing w:before="240" w:line="240" w:lineRule="atLeast"/>
      <w:jc w:val="left"/>
    </w:pPr>
    <w:rPr>
      <w:b/>
      <w:kern w:val="0"/>
      <w:szCs w:val="21"/>
      <w:lang w:val="en-AU" w:eastAsia="en-US"/>
    </w:rPr>
  </w:style>
  <w:style w:type="paragraph" w:customStyle="1" w:styleId="686">
    <w:name w:val="标题3"/>
    <w:basedOn w:val="6"/>
    <w:autoRedefine/>
    <w:qFormat/>
    <w:uiPriority w:val="0"/>
    <w:pPr>
      <w:ind w:left="0" w:firstLine="0"/>
    </w:pPr>
    <w:rPr>
      <w:rFonts w:ascii="宋体" w:hAnsi="宋体"/>
      <w:sz w:val="28"/>
      <w:szCs w:val="28"/>
    </w:rPr>
  </w:style>
  <w:style w:type="paragraph" w:customStyle="1" w:styleId="687">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8">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9">
    <w:name w:val="标题 34"/>
    <w:basedOn w:val="1"/>
    <w:autoRedefine/>
    <w:qFormat/>
    <w:uiPriority w:val="0"/>
    <w:pPr>
      <w:adjustRightInd w:val="0"/>
      <w:snapToGrid w:val="0"/>
      <w:ind w:left="-2" w:leftChars="-1"/>
    </w:pPr>
    <w:rPr>
      <w:rFonts w:ascii="Arial" w:hAnsi="Arial" w:cs="Arial"/>
    </w:rPr>
  </w:style>
  <w:style w:type="paragraph" w:customStyle="1" w:styleId="690">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91">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2">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3">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4">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5">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6">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7">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8">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9">
    <w:name w:val="五级条标题"/>
    <w:basedOn w:val="700"/>
    <w:next w:val="107"/>
    <w:autoRedefine/>
    <w:qFormat/>
    <w:uiPriority w:val="0"/>
    <w:pPr>
      <w:outlineLvl w:val="6"/>
    </w:pPr>
  </w:style>
  <w:style w:type="paragraph" w:customStyle="1" w:styleId="700">
    <w:name w:val="四级条标题"/>
    <w:basedOn w:val="701"/>
    <w:next w:val="107"/>
    <w:autoRedefine/>
    <w:qFormat/>
    <w:uiPriority w:val="0"/>
    <w:pPr>
      <w:outlineLvl w:val="5"/>
    </w:pPr>
    <w:rPr>
      <w:rFonts w:ascii="Times New Roman"/>
    </w:rPr>
  </w:style>
  <w:style w:type="paragraph" w:customStyle="1" w:styleId="701">
    <w:name w:val="三级条标题"/>
    <w:basedOn w:val="326"/>
    <w:next w:val="107"/>
    <w:autoRedefine/>
    <w:qFormat/>
    <w:uiPriority w:val="0"/>
    <w:pPr>
      <w:ind w:left="0" w:firstLine="0"/>
      <w:outlineLvl w:val="4"/>
    </w:pPr>
  </w:style>
  <w:style w:type="paragraph" w:customStyle="1" w:styleId="702">
    <w:name w:val="段落文字"/>
    <w:basedOn w:val="87"/>
    <w:autoRedefine/>
    <w:qFormat/>
    <w:uiPriority w:val="0"/>
    <w:pPr>
      <w:spacing w:after="60"/>
      <w:ind w:left="420" w:firstLine="200" w:firstLineChars="200"/>
    </w:pPr>
    <w:rPr>
      <w:rFonts w:ascii="Times New Roman" w:hAnsi="Times New Roman"/>
      <w:szCs w:val="24"/>
    </w:rPr>
  </w:style>
  <w:style w:type="paragraph" w:customStyle="1" w:styleId="703">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4">
    <w:name w:val="表项"/>
    <w:next w:val="705"/>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5">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7">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8">
    <w:name w:val="浅色列表 - 强调文字颜色 51"/>
    <w:basedOn w:val="1"/>
    <w:autoRedefine/>
    <w:qFormat/>
    <w:uiPriority w:val="0"/>
    <w:pPr>
      <w:ind w:firstLine="420" w:firstLineChars="200"/>
    </w:pPr>
    <w:rPr>
      <w:kern w:val="0"/>
      <w:sz w:val="20"/>
      <w:szCs w:val="20"/>
    </w:rPr>
  </w:style>
  <w:style w:type="paragraph" w:customStyle="1" w:styleId="709">
    <w:name w:val="列表内容"/>
    <w:basedOn w:val="1"/>
    <w:next w:val="1"/>
    <w:autoRedefine/>
    <w:qFormat/>
    <w:uiPriority w:val="0"/>
    <w:pPr>
      <w:widowControl/>
      <w:tabs>
        <w:tab w:val="left" w:pos="840"/>
      </w:tabs>
      <w:ind w:left="840" w:hanging="420"/>
      <w:jc w:val="left"/>
    </w:pPr>
    <w:rPr>
      <w:kern w:val="0"/>
      <w:sz w:val="18"/>
    </w:rPr>
  </w:style>
  <w:style w:type="paragraph" w:customStyle="1" w:styleId="710">
    <w:name w:val="附图标注"/>
    <w:basedOn w:val="24"/>
    <w:autoRedefine/>
    <w:qFormat/>
    <w:uiPriority w:val="0"/>
    <w:pPr>
      <w:tabs>
        <w:tab w:val="left" w:pos="420"/>
      </w:tabs>
      <w:ind w:left="420" w:hanging="420"/>
    </w:pPr>
    <w:rPr>
      <w:szCs w:val="24"/>
    </w:rPr>
  </w:style>
  <w:style w:type="paragraph" w:customStyle="1" w:styleId="711">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2">
    <w:name w:val="样式 标题 2Chapter X.X. Statementh22Header 2l2Level 2 Headhea..."/>
    <w:basedOn w:val="2"/>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3">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4">
    <w:name w:val="标题4，章节第四层"/>
    <w:basedOn w:val="1"/>
    <w:next w:val="237"/>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5">
    <w:name w:val="我的标题1"/>
    <w:next w:val="335"/>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6">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7">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8">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9">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20">
    <w:name w:val="样式 文档正文 + 首行缩进:  2 字符1"/>
    <w:basedOn w:val="252"/>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1">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22">
    <w:name w:val="样式 标题 4Chapter X.X.X. + 段后: 0.5 行1 + 段后: 0.5 行"/>
    <w:basedOn w:val="586"/>
    <w:autoRedefine/>
    <w:qFormat/>
    <w:uiPriority w:val="0"/>
    <w:rPr>
      <w:szCs w:val="21"/>
    </w:rPr>
  </w:style>
  <w:style w:type="paragraph" w:customStyle="1" w:styleId="723">
    <w:name w:val="小标题"/>
    <w:basedOn w:val="1"/>
    <w:next w:val="24"/>
    <w:autoRedefine/>
    <w:qFormat/>
    <w:uiPriority w:val="0"/>
    <w:pPr>
      <w:tabs>
        <w:tab w:val="left" w:pos="1440"/>
      </w:tabs>
      <w:spacing w:afterLines="50"/>
    </w:pPr>
    <w:rPr>
      <w:b/>
    </w:rPr>
  </w:style>
  <w:style w:type="paragraph" w:customStyle="1" w:styleId="724">
    <w:name w:val="样式 标题 2h2Level 2 Topic HeadingHD2Heading 2 HiddenHeading 2 ..."/>
    <w:basedOn w:val="5"/>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5">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6">
    <w:name w:val="最新标题1"/>
    <w:basedOn w:val="727"/>
    <w:next w:val="569"/>
    <w:autoRedefine/>
    <w:qFormat/>
    <w:uiPriority w:val="0"/>
    <w:pPr>
      <w:tabs>
        <w:tab w:val="left" w:pos="1140"/>
      </w:tabs>
      <w:spacing w:after="120"/>
    </w:pPr>
    <w:rPr>
      <w:bCs/>
    </w:rPr>
  </w:style>
  <w:style w:type="paragraph" w:customStyle="1" w:styleId="727">
    <w:name w:val="样式 标题1"/>
    <w:basedOn w:val="682"/>
    <w:next w:val="569"/>
    <w:autoRedefine/>
    <w:qFormat/>
    <w:uiPriority w:val="0"/>
    <w:pPr>
      <w:tabs>
        <w:tab w:val="left" w:pos="1140"/>
        <w:tab w:val="clear" w:pos="432"/>
      </w:tabs>
      <w:spacing w:after="50"/>
      <w:ind w:left="1140" w:hanging="720"/>
    </w:pPr>
    <w:rPr>
      <w:bCs w:val="0"/>
      <w:sz w:val="32"/>
    </w:rPr>
  </w:style>
  <w:style w:type="paragraph" w:customStyle="1" w:styleId="728">
    <w:name w:val="目次、标准名称标题"/>
    <w:basedOn w:val="729"/>
    <w:next w:val="107"/>
    <w:autoRedefine/>
    <w:qFormat/>
    <w:uiPriority w:val="0"/>
    <w:pPr>
      <w:shd w:val="clear" w:color="FFFFFF" w:fill="FFFFFF"/>
      <w:spacing w:beforeLines="0" w:afterLines="0" w:line="460" w:lineRule="exact"/>
    </w:pPr>
  </w:style>
  <w:style w:type="paragraph" w:customStyle="1" w:styleId="729">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30">
    <w:name w:val="列出段落11"/>
    <w:basedOn w:val="1"/>
    <w:autoRedefine/>
    <w:qFormat/>
    <w:uiPriority w:val="0"/>
    <w:pPr>
      <w:ind w:firstLine="420" w:firstLineChars="200"/>
    </w:pPr>
  </w:style>
  <w:style w:type="paragraph" w:customStyle="1" w:styleId="731">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3">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4">
    <w:name w:val="项目符号：二级"/>
    <w:basedOn w:val="237"/>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5">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6">
    <w:name w:val="我的标题2"/>
    <w:next w:val="335"/>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8">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0">
    <w:name w:val="Char4 Char Char Char"/>
    <w:basedOn w:val="1"/>
    <w:autoRedefine/>
    <w:qFormat/>
    <w:uiPriority w:val="0"/>
    <w:rPr>
      <w:rFonts w:ascii="仿宋_GB2312" w:eastAsia="仿宋_GB2312"/>
      <w:b/>
      <w:sz w:val="32"/>
      <w:szCs w:val="32"/>
    </w:rPr>
  </w:style>
  <w:style w:type="paragraph" w:customStyle="1" w:styleId="741">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42">
    <w:name w:val="Char Char51"/>
    <w:basedOn w:val="1"/>
    <w:autoRedefine/>
    <w:qFormat/>
    <w:uiPriority w:val="0"/>
    <w:pPr>
      <w:spacing w:beforeLines="40" w:afterLines="40"/>
    </w:pPr>
    <w:rPr>
      <w:rFonts w:ascii="Tahoma" w:hAnsi="Tahoma"/>
      <w:sz w:val="36"/>
      <w:szCs w:val="36"/>
    </w:rPr>
  </w:style>
  <w:style w:type="paragraph" w:customStyle="1" w:styleId="743">
    <w:name w:val="样式4"/>
    <w:basedOn w:val="7"/>
    <w:next w:val="50"/>
    <w:autoRedefine/>
    <w:qFormat/>
    <w:uiPriority w:val="0"/>
    <w:pPr>
      <w:spacing w:beforeLines="40" w:afterLines="40" w:line="374" w:lineRule="auto"/>
      <w:ind w:left="0" w:firstLine="0"/>
    </w:pPr>
    <w:rPr>
      <w:sz w:val="30"/>
    </w:rPr>
  </w:style>
  <w:style w:type="paragraph" w:customStyle="1" w:styleId="744">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5">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6">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8">
    <w:name w:val="正文无缩进"/>
    <w:basedOn w:val="1"/>
    <w:autoRedefine/>
    <w:qFormat/>
    <w:uiPriority w:val="0"/>
    <w:pPr>
      <w:tabs>
        <w:tab w:val="left" w:pos="420"/>
      </w:tabs>
      <w:spacing w:beforeLines="40" w:afterLines="40"/>
      <w:ind w:right="-154"/>
    </w:pPr>
  </w:style>
  <w:style w:type="paragraph" w:customStyle="1" w:styleId="749">
    <w:name w:val="枚举项"/>
    <w:basedOn w:val="1"/>
    <w:autoRedefine/>
    <w:qFormat/>
    <w:uiPriority w:val="0"/>
    <w:pPr>
      <w:widowControl/>
      <w:tabs>
        <w:tab w:val="left" w:pos="1440"/>
      </w:tabs>
      <w:spacing w:beforeLines="40" w:afterLines="40"/>
      <w:jc w:val="left"/>
    </w:pPr>
    <w:rPr>
      <w:kern w:val="0"/>
    </w:rPr>
  </w:style>
  <w:style w:type="paragraph" w:customStyle="1" w:styleId="750">
    <w:name w:val="正文lzq"/>
    <w:basedOn w:val="1"/>
    <w:autoRedefine/>
    <w:qFormat/>
    <w:uiPriority w:val="0"/>
    <w:pPr>
      <w:adjustRightInd w:val="0"/>
      <w:spacing w:beforeLines="40" w:afterLines="40"/>
      <w:ind w:firstLine="480"/>
    </w:pPr>
    <w:rPr>
      <w:kern w:val="0"/>
      <w:szCs w:val="20"/>
    </w:rPr>
  </w:style>
  <w:style w:type="paragraph" w:customStyle="1" w:styleId="751">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52">
    <w:name w:val="正文应用"/>
    <w:basedOn w:val="1"/>
    <w:autoRedefine/>
    <w:qFormat/>
    <w:uiPriority w:val="0"/>
    <w:pPr>
      <w:ind w:firstLine="480" w:firstLineChars="200"/>
      <w:jc w:val="left"/>
    </w:pPr>
    <w:rPr>
      <w:bCs/>
    </w:rPr>
  </w:style>
  <w:style w:type="paragraph" w:customStyle="1" w:styleId="753">
    <w:name w:val="封面正文"/>
    <w:autoRedefine/>
    <w:qFormat/>
    <w:uiPriority w:val="0"/>
    <w:pPr>
      <w:jc w:val="both"/>
    </w:pPr>
    <w:rPr>
      <w:rFonts w:ascii="Times New Roman" w:hAnsi="Times New Roman" w:eastAsia="宋体" w:cs="Times New Roman"/>
      <w:lang w:val="en-US" w:eastAsia="zh-CN" w:bidi="ar-SA"/>
    </w:rPr>
  </w:style>
  <w:style w:type="paragraph" w:customStyle="1" w:styleId="754">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5">
    <w:name w:val="正文缩进1"/>
    <w:basedOn w:val="1"/>
    <w:autoRedefine/>
    <w:qFormat/>
    <w:uiPriority w:val="0"/>
    <w:pPr>
      <w:ind w:firstLine="480"/>
    </w:pPr>
    <w:rPr>
      <w:rFonts w:cs="宋体"/>
      <w:szCs w:val="20"/>
    </w:rPr>
  </w:style>
  <w:style w:type="paragraph" w:customStyle="1" w:styleId="756">
    <w:name w:val="Char4"/>
    <w:basedOn w:val="1"/>
    <w:autoRedefine/>
    <w:qFormat/>
    <w:uiPriority w:val="0"/>
    <w:rPr>
      <w:rFonts w:ascii="Tahoma" w:hAnsi="Tahoma"/>
      <w:szCs w:val="20"/>
    </w:rPr>
  </w:style>
  <w:style w:type="paragraph" w:customStyle="1" w:styleId="757">
    <w:name w:val="图样式"/>
    <w:basedOn w:val="1"/>
    <w:autoRedefine/>
    <w:qFormat/>
    <w:uiPriority w:val="0"/>
    <w:pPr>
      <w:keepNext/>
      <w:widowControl/>
      <w:spacing w:before="80" w:after="80"/>
      <w:jc w:val="center"/>
    </w:pPr>
    <w:rPr>
      <w:szCs w:val="20"/>
    </w:rPr>
  </w:style>
  <w:style w:type="paragraph" w:customStyle="1" w:styleId="758">
    <w:name w:val="附录三级条标题"/>
    <w:basedOn w:val="1"/>
    <w:autoRedefine/>
    <w:qFormat/>
    <w:uiPriority w:val="0"/>
    <w:pPr>
      <w:spacing w:line="312" w:lineRule="auto"/>
    </w:pPr>
  </w:style>
  <w:style w:type="paragraph" w:customStyle="1" w:styleId="75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60">
    <w:name w:val="封面副标题"/>
    <w:basedOn w:val="1"/>
    <w:autoRedefine/>
    <w:qFormat/>
    <w:uiPriority w:val="0"/>
    <w:pPr>
      <w:jc w:val="center"/>
    </w:pPr>
    <w:rPr>
      <w:rFonts w:ascii="宋体" w:hAnsi="宋体"/>
      <w:color w:val="000000"/>
      <w:sz w:val="44"/>
      <w:szCs w:val="20"/>
    </w:rPr>
  </w:style>
  <w:style w:type="paragraph" w:customStyle="1" w:styleId="761">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2">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3">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4">
    <w:name w:val="Char3"/>
    <w:basedOn w:val="1"/>
    <w:autoRedefine/>
    <w:qFormat/>
    <w:uiPriority w:val="0"/>
    <w:rPr>
      <w:rFonts w:ascii="仿宋_GB2312" w:eastAsia="仿宋_GB2312"/>
      <w:b/>
      <w:sz w:val="32"/>
      <w:szCs w:val="32"/>
    </w:rPr>
  </w:style>
  <w:style w:type="paragraph" w:customStyle="1" w:styleId="765">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6">
    <w:name w:val="Paragraph3"/>
    <w:basedOn w:val="1"/>
    <w:autoRedefine/>
    <w:qFormat/>
    <w:uiPriority w:val="0"/>
    <w:pPr>
      <w:spacing w:before="80" w:afterLines="50"/>
      <w:ind w:left="1530"/>
    </w:pPr>
    <w:rPr>
      <w:rFonts w:ascii="宋体"/>
      <w:snapToGrid w:val="0"/>
      <w:kern w:val="0"/>
      <w:szCs w:val="20"/>
    </w:rPr>
  </w:style>
  <w:style w:type="paragraph" w:customStyle="1" w:styleId="767">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8">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9">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70">
    <w:name w:val="Char12"/>
    <w:basedOn w:val="1"/>
    <w:autoRedefine/>
    <w:qFormat/>
    <w:uiPriority w:val="0"/>
    <w:rPr>
      <w:rFonts w:ascii="仿宋_GB2312" w:eastAsia="仿宋_GB2312"/>
      <w:b/>
      <w:sz w:val="32"/>
      <w:szCs w:val="32"/>
    </w:rPr>
  </w:style>
  <w:style w:type="paragraph" w:customStyle="1" w:styleId="771">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2">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5">
    <w:name w:val="样式 标题 2 + 五号"/>
    <w:basedOn w:val="2"/>
    <w:autoRedefine/>
    <w:qFormat/>
    <w:uiPriority w:val="0"/>
    <w:pPr>
      <w:spacing w:before="0" w:after="0" w:line="240" w:lineRule="auto"/>
    </w:pPr>
    <w:rPr>
      <w:rFonts w:ascii="宋体" w:hAnsi="宋体" w:eastAsia="宋体"/>
      <w:sz w:val="21"/>
    </w:rPr>
  </w:style>
  <w:style w:type="paragraph" w:customStyle="1" w:styleId="776">
    <w:name w:val="样式 模板描述"/>
    <w:basedOn w:val="1"/>
    <w:next w:val="576"/>
    <w:autoRedefine/>
    <w:qFormat/>
    <w:uiPriority w:val="0"/>
    <w:pPr>
      <w:spacing w:afterLines="50"/>
      <w:jc w:val="left"/>
    </w:pPr>
    <w:rPr>
      <w:rFonts w:ascii="宋体" w:cs="宋体"/>
      <w:i/>
      <w:iCs/>
      <w:snapToGrid w:val="0"/>
      <w:color w:val="0000FF"/>
      <w:kern w:val="0"/>
      <w:szCs w:val="21"/>
    </w:rPr>
  </w:style>
  <w:style w:type="paragraph" w:customStyle="1" w:styleId="777">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8">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9">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80">
    <w:name w:val="Test2"/>
    <w:basedOn w:val="2"/>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1">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2">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3">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4">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5">
    <w:name w:val="Date3"/>
    <w:basedOn w:val="1"/>
    <w:next w:val="1"/>
    <w:autoRedefine/>
    <w:qFormat/>
    <w:uiPriority w:val="0"/>
    <w:pPr>
      <w:adjustRightInd w:val="0"/>
      <w:spacing w:beforeLines="40" w:afterLines="40" w:line="312" w:lineRule="atLeast"/>
    </w:pPr>
    <w:rPr>
      <w:kern w:val="0"/>
      <w:szCs w:val="20"/>
    </w:rPr>
  </w:style>
  <w:style w:type="paragraph" w:customStyle="1" w:styleId="786">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7">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8">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9">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90">
    <w:name w:val="文本段落"/>
    <w:basedOn w:val="1"/>
    <w:autoRedefine/>
    <w:qFormat/>
    <w:uiPriority w:val="0"/>
    <w:pPr>
      <w:spacing w:before="60" w:after="60"/>
      <w:ind w:left="709" w:firstLine="200" w:firstLineChars="200"/>
    </w:pPr>
    <w:rPr>
      <w:kern w:val="0"/>
      <w:szCs w:val="20"/>
    </w:rPr>
  </w:style>
  <w:style w:type="paragraph" w:customStyle="1" w:styleId="791">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2">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4">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5">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6">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7">
    <w:name w:val="标题1"/>
    <w:basedOn w:val="48"/>
    <w:autoRedefine/>
    <w:qFormat/>
    <w:uiPriority w:val="0"/>
    <w:pPr>
      <w:spacing w:beforeLines="0" w:afterLines="0" w:line="360" w:lineRule="auto"/>
    </w:pPr>
    <w:rPr>
      <w:b/>
      <w:sz w:val="30"/>
      <w:szCs w:val="20"/>
    </w:rPr>
  </w:style>
  <w:style w:type="paragraph" w:customStyle="1" w:styleId="798">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9">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00">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1">
    <w:name w:val="大表 mt"/>
    <w:basedOn w:val="1"/>
    <w:autoRedefine/>
    <w:qFormat/>
    <w:uiPriority w:val="0"/>
    <w:pPr>
      <w:widowControl/>
      <w:jc w:val="left"/>
    </w:pPr>
    <w:rPr>
      <w:rFonts w:ascii="宋体" w:hAnsi="宋体" w:cs="宋体"/>
      <w:kern w:val="0"/>
      <w:szCs w:val="21"/>
    </w:rPr>
  </w:style>
  <w:style w:type="paragraph" w:customStyle="1" w:styleId="802">
    <w:name w:val="xl23"/>
    <w:basedOn w:val="1"/>
    <w:autoRedefine/>
    <w:qFormat/>
    <w:uiPriority w:val="0"/>
    <w:pPr>
      <w:widowControl/>
      <w:spacing w:beforeLines="40" w:afterLines="40"/>
    </w:pPr>
    <w:rPr>
      <w:kern w:val="0"/>
    </w:rPr>
  </w:style>
  <w:style w:type="paragraph" w:customStyle="1" w:styleId="803">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4">
    <w:name w:val="样式 目录 3 + 段前: 0.2 行 段后: 0.2 行"/>
    <w:basedOn w:val="47"/>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6">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7">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8">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9">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10">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11">
    <w:name w:val="Char Char3 Char Char Char Char Char Char Char Char Char Char1"/>
    <w:basedOn w:val="1"/>
    <w:autoRedefine/>
    <w:qFormat/>
    <w:uiPriority w:val="0"/>
    <w:rPr>
      <w:rFonts w:ascii="Tahoma" w:hAnsi="Tahoma"/>
      <w:sz w:val="36"/>
      <w:szCs w:val="36"/>
    </w:rPr>
  </w:style>
  <w:style w:type="paragraph" w:customStyle="1" w:styleId="812">
    <w:name w:val="标准标题1"/>
    <w:basedOn w:val="5"/>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3">
    <w:name w:val="标题一"/>
    <w:basedOn w:val="5"/>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4">
    <w:name w:val="简单回函地址"/>
    <w:basedOn w:val="1"/>
    <w:autoRedefine/>
    <w:qFormat/>
    <w:uiPriority w:val="0"/>
    <w:pPr>
      <w:spacing w:beforeLines="40" w:afterLines="40"/>
    </w:pPr>
  </w:style>
  <w:style w:type="paragraph" w:customStyle="1" w:styleId="815">
    <w:name w:val="正文文字表格居中"/>
    <w:basedOn w:val="1"/>
    <w:next w:val="77"/>
    <w:autoRedefine/>
    <w:qFormat/>
    <w:uiPriority w:val="0"/>
    <w:pPr>
      <w:spacing w:beforeLines="100" w:afterLines="50"/>
    </w:pPr>
    <w:rPr>
      <w:szCs w:val="18"/>
    </w:rPr>
  </w:style>
  <w:style w:type="paragraph" w:customStyle="1" w:styleId="816">
    <w:name w:val="附录五级条标题"/>
    <w:basedOn w:val="1"/>
    <w:autoRedefine/>
    <w:qFormat/>
    <w:uiPriority w:val="0"/>
    <w:pPr>
      <w:spacing w:line="312" w:lineRule="auto"/>
    </w:pPr>
  </w:style>
  <w:style w:type="paragraph" w:customStyle="1" w:styleId="817">
    <w:name w:val="标准正文"/>
    <w:basedOn w:val="1"/>
    <w:autoRedefine/>
    <w:qFormat/>
    <w:uiPriority w:val="0"/>
    <w:pPr>
      <w:adjustRightInd w:val="0"/>
      <w:spacing w:beforeLines="40" w:afterLines="40"/>
      <w:jc w:val="center"/>
    </w:pPr>
    <w:rPr>
      <w:kern w:val="0"/>
      <w:szCs w:val="20"/>
    </w:rPr>
  </w:style>
  <w:style w:type="paragraph" w:customStyle="1" w:styleId="818">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9">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20">
    <w:name w:val="Paragraph1"/>
    <w:basedOn w:val="1"/>
    <w:autoRedefine/>
    <w:qFormat/>
    <w:uiPriority w:val="0"/>
    <w:pPr>
      <w:spacing w:before="80" w:afterLines="50"/>
    </w:pPr>
    <w:rPr>
      <w:rFonts w:ascii="宋体"/>
      <w:snapToGrid w:val="0"/>
      <w:kern w:val="0"/>
      <w:szCs w:val="20"/>
    </w:rPr>
  </w:style>
  <w:style w:type="paragraph" w:customStyle="1" w:styleId="82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2">
    <w:name w:val="Char1 Char Char Char"/>
    <w:basedOn w:val="1"/>
    <w:autoRedefine/>
    <w:qFormat/>
    <w:uiPriority w:val="0"/>
    <w:rPr>
      <w:rFonts w:ascii="Tahoma" w:hAnsi="Tahoma"/>
      <w:szCs w:val="20"/>
    </w:rPr>
  </w:style>
  <w:style w:type="paragraph" w:customStyle="1" w:styleId="823">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4">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5">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6">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7">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8">
    <w:name w:val="分项斜体"/>
    <w:basedOn w:val="1"/>
    <w:autoRedefine/>
    <w:qFormat/>
    <w:uiPriority w:val="0"/>
    <w:pPr>
      <w:widowControl/>
      <w:spacing w:beforeLines="40" w:afterLines="40"/>
      <w:jc w:val="left"/>
    </w:pPr>
    <w:rPr>
      <w:i/>
      <w:kern w:val="0"/>
    </w:rPr>
  </w:style>
  <w:style w:type="paragraph" w:customStyle="1" w:styleId="829">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30">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1">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2">
    <w:name w:val="MM Topic 2"/>
    <w:basedOn w:val="2"/>
    <w:autoRedefine/>
    <w:qFormat/>
    <w:uiPriority w:val="0"/>
    <w:pPr>
      <w:tabs>
        <w:tab w:val="left" w:pos="992"/>
        <w:tab w:val="clear" w:pos="576"/>
      </w:tabs>
      <w:spacing w:beforeLines="40" w:afterLines="40" w:line="415" w:lineRule="auto"/>
      <w:ind w:left="0" w:firstLine="0"/>
    </w:pPr>
  </w:style>
  <w:style w:type="paragraph" w:customStyle="1" w:styleId="833">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4">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5">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6">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7">
    <w:name w:val="样式 题注 + 居中"/>
    <w:basedOn w:val="25"/>
    <w:autoRedefine/>
    <w:qFormat/>
    <w:uiPriority w:val="0"/>
    <w:pPr>
      <w:spacing w:beforeLines="40" w:afterLines="40"/>
      <w:jc w:val="center"/>
    </w:pPr>
    <w:rPr>
      <w:rFonts w:cs="宋体"/>
      <w:sz w:val="24"/>
    </w:rPr>
  </w:style>
  <w:style w:type="paragraph" w:customStyle="1" w:styleId="838">
    <w:name w:val="Char2 Char Char Char1"/>
    <w:basedOn w:val="1"/>
    <w:autoRedefine/>
    <w:qFormat/>
    <w:uiPriority w:val="0"/>
    <w:rPr>
      <w:rFonts w:ascii="仿宋_GB2312"/>
      <w:b/>
      <w:sz w:val="30"/>
      <w:szCs w:val="32"/>
    </w:rPr>
  </w:style>
  <w:style w:type="paragraph" w:customStyle="1" w:styleId="839">
    <w:name w:val="Char41"/>
    <w:basedOn w:val="1"/>
    <w:autoRedefine/>
    <w:qFormat/>
    <w:uiPriority w:val="0"/>
    <w:rPr>
      <w:rFonts w:ascii="仿宋_GB2312" w:eastAsia="仿宋_GB2312"/>
      <w:b/>
      <w:sz w:val="32"/>
      <w:szCs w:val="32"/>
    </w:rPr>
  </w:style>
  <w:style w:type="paragraph" w:customStyle="1" w:styleId="840">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1">
    <w:name w:val="默认段落字体 Para Char Char Char Char Char Char Char Char Char1 Char Char Char Char"/>
    <w:basedOn w:val="1"/>
    <w:autoRedefine/>
    <w:qFormat/>
    <w:uiPriority w:val="0"/>
    <w:rPr>
      <w:rFonts w:ascii="Tahoma" w:hAnsi="Tahoma"/>
      <w:szCs w:val="20"/>
    </w:rPr>
  </w:style>
  <w:style w:type="paragraph" w:customStyle="1" w:styleId="842">
    <w:name w:val="章正文"/>
    <w:basedOn w:val="1"/>
    <w:autoRedefine/>
    <w:qFormat/>
    <w:uiPriority w:val="0"/>
    <w:pPr>
      <w:spacing w:beforeLines="50" w:after="120" w:line="300" w:lineRule="auto"/>
      <w:ind w:firstLine="480"/>
    </w:pPr>
    <w:rPr>
      <w:rFonts w:ascii="Helvetica" w:hAnsi="Helvetica"/>
      <w:kern w:val="0"/>
    </w:rPr>
  </w:style>
  <w:style w:type="paragraph" w:customStyle="1" w:styleId="843">
    <w:name w:val="图1"/>
    <w:basedOn w:val="74"/>
    <w:autoRedefine/>
    <w:qFormat/>
    <w:uiPriority w:val="0"/>
    <w:pPr>
      <w:spacing w:beforeLines="40" w:afterLines="40"/>
      <w:ind w:left="0" w:firstLine="0"/>
      <w:jc w:val="center"/>
    </w:pPr>
    <w:rPr>
      <w:rFonts w:ascii="宋体" w:hAnsi="宋体"/>
      <w:b/>
      <w:bCs/>
      <w:smallCaps w:val="0"/>
      <w:sz w:val="18"/>
      <w:szCs w:val="24"/>
    </w:rPr>
  </w:style>
  <w:style w:type="paragraph" w:customStyle="1" w:styleId="844">
    <w:name w:val="样式 标题 1H1章PIM 1Section Headh1l1Heading 0H11H12H111H13..."/>
    <w:basedOn w:val="5"/>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5">
    <w:name w:val="正文 + 宋体"/>
    <w:basedOn w:val="82"/>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6">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7">
    <w:name w:val="样式 标题 2第一章 标题 2Heading 2 HiddenHeading 2 CCBSheading 2H2h2..."/>
    <w:basedOn w:val="2"/>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8">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50">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51">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52">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4">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5">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6">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7">
    <w:name w:val="默认段落字体 Para Char Char Char Char Char Char Char Char Char Char Char Char Char"/>
    <w:basedOn w:val="1"/>
    <w:autoRedefine/>
    <w:qFormat/>
    <w:uiPriority w:val="0"/>
    <w:rPr>
      <w:rFonts w:ascii="Tahoma" w:hAnsi="Tahoma"/>
      <w:szCs w:val="20"/>
    </w:rPr>
  </w:style>
  <w:style w:type="paragraph" w:customStyle="1" w:styleId="858">
    <w:name w:val="标准有序列表（L1）"/>
    <w:basedOn w:val="24"/>
    <w:autoRedefine/>
    <w:qFormat/>
    <w:uiPriority w:val="0"/>
    <w:pPr>
      <w:tabs>
        <w:tab w:val="left" w:pos="0"/>
      </w:tabs>
      <w:ind w:firstLine="0"/>
    </w:pPr>
    <w:rPr>
      <w:rFonts w:ascii="黑体" w:eastAsia="黑体"/>
      <w:color w:val="000000"/>
    </w:rPr>
  </w:style>
  <w:style w:type="paragraph" w:customStyle="1" w:styleId="859">
    <w:name w:val="样式 宋体 小四 行距: 1.5 倍行距1"/>
    <w:basedOn w:val="1"/>
    <w:autoRedefine/>
    <w:qFormat/>
    <w:uiPriority w:val="0"/>
    <w:pPr>
      <w:spacing w:beforeLines="40" w:afterLines="40"/>
    </w:pPr>
    <w:rPr>
      <w:rFonts w:ascii="宋体" w:hAnsi="宋体"/>
      <w:szCs w:val="20"/>
    </w:rPr>
  </w:style>
  <w:style w:type="paragraph" w:customStyle="1" w:styleId="860">
    <w:name w:val="二级项目符号"/>
    <w:basedOn w:val="1"/>
    <w:autoRedefine/>
    <w:qFormat/>
    <w:uiPriority w:val="0"/>
    <w:pPr>
      <w:widowControl/>
      <w:tabs>
        <w:tab w:val="left" w:pos="964"/>
      </w:tabs>
      <w:ind w:left="964" w:hanging="482"/>
    </w:pPr>
    <w:rPr>
      <w:kern w:val="0"/>
      <w:szCs w:val="20"/>
    </w:rPr>
  </w:style>
  <w:style w:type="paragraph" w:customStyle="1" w:styleId="861">
    <w:name w:val="Char2"/>
    <w:basedOn w:val="1"/>
    <w:autoRedefine/>
    <w:qFormat/>
    <w:uiPriority w:val="0"/>
    <w:rPr>
      <w:rFonts w:ascii="Tahoma" w:hAnsi="Tahoma"/>
      <w:szCs w:val="20"/>
    </w:rPr>
  </w:style>
  <w:style w:type="paragraph" w:customStyle="1" w:styleId="862">
    <w:name w:val="Char Char41"/>
    <w:basedOn w:val="1"/>
    <w:autoRedefine/>
    <w:qFormat/>
    <w:uiPriority w:val="0"/>
    <w:pPr>
      <w:spacing w:beforeLines="40" w:afterLines="40"/>
    </w:pPr>
    <w:rPr>
      <w:rFonts w:ascii="Tahoma" w:hAnsi="Tahoma"/>
      <w:sz w:val="36"/>
      <w:szCs w:val="36"/>
    </w:rPr>
  </w:style>
  <w:style w:type="paragraph" w:customStyle="1" w:styleId="863">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5">
    <w:name w:val="MM Topic 1"/>
    <w:basedOn w:val="5"/>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6">
    <w:name w:val="Char3 Char Char Char1"/>
    <w:basedOn w:val="1"/>
    <w:autoRedefine/>
    <w:qFormat/>
    <w:uiPriority w:val="0"/>
    <w:pPr>
      <w:widowControl/>
      <w:spacing w:after="160" w:line="240" w:lineRule="exact"/>
      <w:jc w:val="left"/>
    </w:pPr>
    <w:rPr>
      <w:szCs w:val="20"/>
    </w:rPr>
  </w:style>
  <w:style w:type="paragraph" w:customStyle="1" w:styleId="867">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8">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0">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1">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2">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3">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4">
    <w:name w:val="标题四"/>
    <w:basedOn w:val="1"/>
    <w:next w:val="1"/>
    <w:autoRedefine/>
    <w:qFormat/>
    <w:uiPriority w:val="0"/>
    <w:rPr>
      <w:rFonts w:eastAsia="黑体"/>
    </w:rPr>
  </w:style>
  <w:style w:type="paragraph" w:customStyle="1" w:styleId="875">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6">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7">
    <w:name w:val="Char1 Char Char Char1"/>
    <w:basedOn w:val="1"/>
    <w:autoRedefine/>
    <w:qFormat/>
    <w:uiPriority w:val="0"/>
    <w:rPr>
      <w:rFonts w:ascii="Tahoma" w:hAnsi="Tahoma"/>
      <w:szCs w:val="20"/>
    </w:rPr>
  </w:style>
  <w:style w:type="paragraph" w:customStyle="1" w:styleId="878">
    <w:name w:val="标题 38"/>
    <w:basedOn w:val="1"/>
    <w:autoRedefine/>
    <w:qFormat/>
    <w:uiPriority w:val="0"/>
    <w:pPr>
      <w:adjustRightInd w:val="0"/>
      <w:snapToGrid w:val="0"/>
      <w:ind w:left="-2" w:leftChars="-1"/>
    </w:pPr>
    <w:rPr>
      <w:rFonts w:ascii="Arial" w:hAnsi="Arial" w:cs="Arial"/>
    </w:rPr>
  </w:style>
  <w:style w:type="paragraph" w:customStyle="1" w:styleId="879">
    <w:name w:val="Date2"/>
    <w:basedOn w:val="1"/>
    <w:next w:val="1"/>
    <w:autoRedefine/>
    <w:qFormat/>
    <w:uiPriority w:val="0"/>
    <w:pPr>
      <w:adjustRightInd w:val="0"/>
      <w:spacing w:beforeLines="40" w:afterLines="40" w:line="312" w:lineRule="atLeast"/>
    </w:pPr>
    <w:rPr>
      <w:kern w:val="0"/>
      <w:szCs w:val="20"/>
    </w:rPr>
  </w:style>
  <w:style w:type="paragraph" w:customStyle="1" w:styleId="880">
    <w:name w:val="项目符2"/>
    <w:basedOn w:val="1"/>
    <w:autoRedefine/>
    <w:qFormat/>
    <w:uiPriority w:val="0"/>
    <w:pPr>
      <w:tabs>
        <w:tab w:val="left" w:pos="840"/>
      </w:tabs>
      <w:spacing w:afterLines="50"/>
      <w:ind w:left="1260" w:hanging="420"/>
    </w:pPr>
    <w:rPr>
      <w:szCs w:val="21"/>
    </w:rPr>
  </w:style>
  <w:style w:type="paragraph" w:customStyle="1" w:styleId="881">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82">
    <w:name w:val="示例"/>
    <w:next w:val="107"/>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3">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4">
    <w:name w:val="中文标题 2"/>
    <w:basedOn w:val="38"/>
    <w:next w:val="38"/>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5">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6">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7">
    <w:name w:val="数字标题5"/>
    <w:basedOn w:val="8"/>
    <w:next w:val="1"/>
    <w:autoRedefine/>
    <w:qFormat/>
    <w:uiPriority w:val="0"/>
    <w:pPr>
      <w:tabs>
        <w:tab w:val="left" w:pos="1080"/>
        <w:tab w:val="clear" w:pos="1008"/>
      </w:tabs>
      <w:ind w:left="1080" w:hanging="1080"/>
    </w:pPr>
    <w:rPr>
      <w:kern w:val="0"/>
    </w:rPr>
  </w:style>
  <w:style w:type="paragraph" w:customStyle="1" w:styleId="888">
    <w:name w:val="标准书眉_偶数页"/>
    <w:basedOn w:val="678"/>
    <w:next w:val="1"/>
    <w:autoRedefine/>
    <w:qFormat/>
    <w:uiPriority w:val="0"/>
    <w:pPr>
      <w:jc w:val="left"/>
    </w:pPr>
  </w:style>
  <w:style w:type="paragraph" w:customStyle="1" w:styleId="889">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0">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91">
    <w:name w:val="默认段落字体 Para Char"/>
    <w:basedOn w:val="1"/>
    <w:autoRedefine/>
    <w:qFormat/>
    <w:uiPriority w:val="0"/>
    <w:pPr>
      <w:adjustRightInd w:val="0"/>
      <w:ind w:firstLine="480"/>
    </w:pPr>
    <w:rPr>
      <w:rFonts w:ascii="宋体" w:hAnsi="宋体"/>
      <w:kern w:val="0"/>
      <w:szCs w:val="20"/>
    </w:rPr>
  </w:style>
  <w:style w:type="paragraph" w:customStyle="1" w:styleId="892">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3">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4">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5">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7">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8">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9">
    <w:name w:val="样式3 (1)"/>
    <w:basedOn w:val="1"/>
    <w:autoRedefine/>
    <w:qFormat/>
    <w:uiPriority w:val="0"/>
    <w:pPr>
      <w:widowControl/>
      <w:tabs>
        <w:tab w:val="left" w:pos="510"/>
      </w:tabs>
      <w:adjustRightInd w:val="0"/>
    </w:pPr>
    <w:rPr>
      <w:kern w:val="0"/>
      <w:szCs w:val="20"/>
    </w:rPr>
  </w:style>
  <w:style w:type="paragraph" w:customStyle="1" w:styleId="9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1">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902">
    <w:name w:val="Char5"/>
    <w:basedOn w:val="1"/>
    <w:autoRedefine/>
    <w:qFormat/>
    <w:uiPriority w:val="0"/>
    <w:rPr>
      <w:szCs w:val="20"/>
    </w:rPr>
  </w:style>
  <w:style w:type="paragraph" w:customStyle="1" w:styleId="903">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4">
    <w:name w:val="Char21"/>
    <w:basedOn w:val="1"/>
    <w:autoRedefine/>
    <w:qFormat/>
    <w:uiPriority w:val="0"/>
    <w:rPr>
      <w:rFonts w:ascii="仿宋_GB2312" w:eastAsia="仿宋_GB2312"/>
      <w:b/>
      <w:sz w:val="32"/>
      <w:szCs w:val="32"/>
    </w:rPr>
  </w:style>
  <w:style w:type="paragraph" w:customStyle="1" w:styleId="905">
    <w:name w:val="msolistparagraph"/>
    <w:basedOn w:val="1"/>
    <w:autoRedefine/>
    <w:qFormat/>
    <w:uiPriority w:val="0"/>
    <w:pPr>
      <w:ind w:firstLine="420" w:firstLineChars="200"/>
    </w:pPr>
  </w:style>
  <w:style w:type="paragraph" w:customStyle="1" w:styleId="906">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7">
    <w:name w:val="数字标题1"/>
    <w:basedOn w:val="5"/>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8">
    <w:name w:val="标题 39"/>
    <w:basedOn w:val="1"/>
    <w:autoRedefine/>
    <w:qFormat/>
    <w:uiPriority w:val="0"/>
    <w:pPr>
      <w:adjustRightInd w:val="0"/>
      <w:snapToGrid w:val="0"/>
      <w:ind w:left="-2" w:leftChars="-1"/>
    </w:pPr>
    <w:rPr>
      <w:rFonts w:ascii="Arial" w:hAnsi="Arial" w:cs="Arial"/>
    </w:rPr>
  </w:style>
  <w:style w:type="paragraph" w:customStyle="1" w:styleId="909">
    <w:name w:val="封面标准代替信息"/>
    <w:basedOn w:val="681"/>
    <w:autoRedefine/>
    <w:qFormat/>
    <w:uiPriority w:val="0"/>
    <w:pPr>
      <w:framePr w:wrap="around"/>
      <w:spacing w:before="57"/>
    </w:pPr>
    <w:rPr>
      <w:rFonts w:ascii="宋体"/>
      <w:sz w:val="21"/>
    </w:rPr>
  </w:style>
  <w:style w:type="paragraph" w:customStyle="1" w:styleId="910">
    <w:name w:val="参考文献、索引标题"/>
    <w:basedOn w:val="729"/>
    <w:next w:val="1"/>
    <w:autoRedefine/>
    <w:qFormat/>
    <w:uiPriority w:val="0"/>
    <w:pPr>
      <w:shd w:val="clear" w:color="FFFFFF" w:fill="FFFFFF"/>
      <w:spacing w:beforeLines="0" w:afterLines="0"/>
    </w:pPr>
    <w:rPr>
      <w:sz w:val="21"/>
    </w:rPr>
  </w:style>
  <w:style w:type="paragraph" w:customStyle="1" w:styleId="911">
    <w:name w:val="模板普通正文"/>
    <w:basedOn w:val="38"/>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2">
    <w:name w:val="招标标题4"/>
    <w:basedOn w:val="7"/>
    <w:next w:val="231"/>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3">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4">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5">
    <w:name w:val="左对齐的表内文字"/>
    <w:basedOn w:val="1"/>
    <w:autoRedefine/>
    <w:qFormat/>
    <w:uiPriority w:val="0"/>
    <w:rPr>
      <w:rFonts w:eastAsia="仿宋_GB2312" w:cs="宋体"/>
      <w:szCs w:val="20"/>
    </w:rPr>
  </w:style>
  <w:style w:type="paragraph" w:customStyle="1" w:styleId="91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7">
    <w:name w:val="Char1 Char Char Char2"/>
    <w:basedOn w:val="1"/>
    <w:autoRedefine/>
    <w:qFormat/>
    <w:uiPriority w:val="0"/>
    <w:pPr>
      <w:spacing w:beforeLines="40" w:afterLines="40"/>
    </w:pPr>
    <w:rPr>
      <w:rFonts w:ascii="Tahoma" w:hAnsi="Tahoma"/>
      <w:szCs w:val="20"/>
    </w:rPr>
  </w:style>
  <w:style w:type="paragraph" w:customStyle="1" w:styleId="918">
    <w:name w:val="paragraph1"/>
    <w:basedOn w:val="1"/>
    <w:autoRedefine/>
    <w:qFormat/>
    <w:uiPriority w:val="0"/>
    <w:pPr>
      <w:spacing w:afterLines="30"/>
      <w:ind w:firstLine="420" w:firstLineChars="200"/>
    </w:pPr>
    <w:rPr>
      <w:rFonts w:eastAsia="楷体_GB2312"/>
      <w:szCs w:val="20"/>
    </w:rPr>
  </w:style>
  <w:style w:type="paragraph" w:customStyle="1" w:styleId="919">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20">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1">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2">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3">
    <w:name w:val="项目编号"/>
    <w:basedOn w:val="1"/>
    <w:autoRedefine/>
    <w:qFormat/>
    <w:uiPriority w:val="0"/>
    <w:pPr>
      <w:spacing w:before="156" w:after="156"/>
    </w:pPr>
    <w:rPr>
      <w:rFonts w:ascii="Arial" w:hAnsi="Arial" w:eastAsia="仿宋_GB2312"/>
      <w:szCs w:val="20"/>
    </w:rPr>
  </w:style>
  <w:style w:type="paragraph" w:customStyle="1" w:styleId="924">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925">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6">
    <w:name w:val="表格样式"/>
    <w:basedOn w:val="1"/>
    <w:autoRedefine/>
    <w:qFormat/>
    <w:uiPriority w:val="0"/>
    <w:pPr>
      <w:spacing w:beforeLines="40" w:afterLines="40"/>
    </w:pPr>
    <w:rPr>
      <w:rFonts w:eastAsia="幼圆"/>
      <w:szCs w:val="20"/>
    </w:rPr>
  </w:style>
  <w:style w:type="paragraph" w:customStyle="1" w:styleId="927">
    <w:name w:val="附录一级条标题"/>
    <w:basedOn w:val="1"/>
    <w:autoRedefine/>
    <w:qFormat/>
    <w:uiPriority w:val="0"/>
    <w:pPr>
      <w:spacing w:line="312" w:lineRule="auto"/>
    </w:pPr>
  </w:style>
  <w:style w:type="paragraph" w:customStyle="1" w:styleId="928">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30">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31">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2">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3">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4">
    <w:name w:val="样式 标题 1 + Arial 段前: 0.5 行 段后: 0.5 行"/>
    <w:basedOn w:val="5"/>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5">
    <w:name w:val="Plain Text1"/>
    <w:basedOn w:val="1"/>
    <w:autoRedefine/>
    <w:qFormat/>
    <w:uiPriority w:val="0"/>
    <w:pPr>
      <w:autoSpaceDE w:val="0"/>
      <w:autoSpaceDN w:val="0"/>
      <w:adjustRightInd w:val="0"/>
    </w:pPr>
    <w:rPr>
      <w:rFonts w:hint="eastAsia" w:ascii="宋体" w:hAnsi="宋体"/>
      <w:szCs w:val="20"/>
    </w:rPr>
  </w:style>
  <w:style w:type="paragraph" w:customStyle="1" w:styleId="936">
    <w:name w:val="Char4 Char Char Char Char Char Char Char Char Char Char Char Char Char"/>
    <w:basedOn w:val="1"/>
    <w:autoRedefine/>
    <w:qFormat/>
    <w:uiPriority w:val="0"/>
    <w:rPr>
      <w:rFonts w:ascii="Tahoma" w:hAnsi="Tahoma"/>
      <w:sz w:val="36"/>
      <w:szCs w:val="36"/>
    </w:rPr>
  </w:style>
  <w:style w:type="paragraph" w:customStyle="1" w:styleId="937">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autoRedefine/>
    <w:qFormat/>
    <w:uiPriority w:val="0"/>
    <w:pPr>
      <w:tabs>
        <w:tab w:val="left" w:pos="720"/>
      </w:tabs>
      <w:ind w:hanging="720"/>
    </w:pPr>
  </w:style>
  <w:style w:type="paragraph" w:customStyle="1" w:styleId="940">
    <w:name w:val="S4-L15"/>
    <w:basedOn w:val="1"/>
    <w:autoRedefine/>
    <w:qFormat/>
    <w:uiPriority w:val="0"/>
    <w:pPr>
      <w:spacing w:after="120"/>
      <w:ind w:left="720" w:firstLine="392"/>
    </w:pPr>
    <w:rPr>
      <w:szCs w:val="21"/>
      <w:lang w:val="fr-FR"/>
    </w:rPr>
  </w:style>
  <w:style w:type="paragraph" w:customStyle="1" w:styleId="941">
    <w:name w:val="列表（编号二级）（绿盟科技）"/>
    <w:basedOn w:val="942"/>
    <w:autoRedefine/>
    <w:qFormat/>
    <w:uiPriority w:val="0"/>
    <w:pPr>
      <w:spacing w:beforeLines="0"/>
      <w:ind w:left="1260"/>
    </w:pPr>
  </w:style>
  <w:style w:type="paragraph" w:customStyle="1" w:styleId="942">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5">
    <w:name w:val="表格文字"/>
    <w:basedOn w:val="1"/>
    <w:autoRedefine/>
    <w:qFormat/>
    <w:uiPriority w:val="0"/>
    <w:pPr>
      <w:jc w:val="left"/>
      <w:textAlignment w:val="top"/>
    </w:pPr>
    <w:rPr>
      <w:sz w:val="18"/>
    </w:rPr>
  </w:style>
  <w:style w:type="paragraph" w:customStyle="1" w:styleId="946">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8">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autoRedefine/>
    <w:qFormat/>
    <w:uiPriority w:val="0"/>
  </w:style>
  <w:style w:type="paragraph" w:customStyle="1" w:styleId="953">
    <w:name w:val="S4-I-U-L15-No-dot"/>
    <w:basedOn w:val="1"/>
    <w:autoRedefine/>
    <w:qFormat/>
    <w:uiPriority w:val="0"/>
    <w:pPr>
      <w:tabs>
        <w:tab w:val="left" w:pos="1112"/>
      </w:tabs>
      <w:spacing w:after="120"/>
      <w:ind w:left="1112" w:hanging="420"/>
    </w:pPr>
    <w:rPr>
      <w:i/>
      <w:u w:val="single"/>
    </w:rPr>
  </w:style>
  <w:style w:type="paragraph" w:customStyle="1" w:styleId="954">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autoRedefine/>
    <w:qFormat/>
    <w:uiPriority w:val="0"/>
    <w:rPr>
      <w:b/>
      <w:i/>
      <w:u w:val="single"/>
    </w:rPr>
  </w:style>
  <w:style w:type="paragraph" w:customStyle="1" w:styleId="9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9">
    <w:name w:val="图5"/>
    <w:basedOn w:val="1"/>
    <w:autoRedefine/>
    <w:qFormat/>
    <w:uiPriority w:val="0"/>
    <w:pPr>
      <w:spacing w:beforeLines="40" w:afterLines="40" w:line="240" w:lineRule="exact"/>
      <w:jc w:val="center"/>
    </w:pPr>
    <w:rPr>
      <w:szCs w:val="20"/>
    </w:rPr>
  </w:style>
  <w:style w:type="paragraph" w:customStyle="1" w:styleId="960">
    <w:name w:val="正文样式1"/>
    <w:basedOn w:val="1"/>
    <w:autoRedefine/>
    <w:qFormat/>
    <w:uiPriority w:val="0"/>
    <w:pPr>
      <w:spacing w:beforeLines="40" w:afterLines="40"/>
      <w:ind w:firstLine="510"/>
    </w:pPr>
    <w:rPr>
      <w:rFonts w:ascii="Arial" w:hAnsi="Arial"/>
      <w:szCs w:val="20"/>
    </w:rPr>
  </w:style>
  <w:style w:type="paragraph" w:customStyle="1" w:styleId="961">
    <w:name w:val="正文（首行缩进）"/>
    <w:basedOn w:val="1"/>
    <w:autoRedefine/>
    <w:qFormat/>
    <w:uiPriority w:val="0"/>
    <w:pPr>
      <w:spacing w:beforeLines="40" w:afterLines="40"/>
      <w:ind w:firstLine="420"/>
    </w:pPr>
    <w:rPr>
      <w:rFonts w:cs="宋体"/>
      <w:szCs w:val="20"/>
    </w:rPr>
  </w:style>
  <w:style w:type="paragraph" w:customStyle="1" w:styleId="962">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autoRedefine/>
    <w:qFormat/>
    <w:uiPriority w:val="0"/>
    <w:pPr>
      <w:widowControl/>
      <w:spacing w:before="60" w:afterLines="50"/>
      <w:jc w:val="left"/>
    </w:pPr>
    <w:rPr>
      <w:kern w:val="0"/>
      <w:szCs w:val="20"/>
      <w:lang w:eastAsia="en-US"/>
    </w:rPr>
  </w:style>
  <w:style w:type="paragraph" w:customStyle="1" w:styleId="964">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autoRedefine/>
    <w:qFormat/>
    <w:uiPriority w:val="0"/>
    <w:pPr>
      <w:spacing w:line="300" w:lineRule="auto"/>
      <w:ind w:firstLine="510"/>
    </w:pPr>
    <w:rPr>
      <w:szCs w:val="20"/>
    </w:rPr>
  </w:style>
  <w:style w:type="paragraph" w:customStyle="1" w:styleId="966">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7"/>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6"/>
    <w:autoRedefine/>
    <w:qFormat/>
    <w:uiPriority w:val="0"/>
    <w:rPr>
      <w:rFonts w:eastAsia="黑体"/>
      <w:b w:val="0"/>
      <w:sz w:val="28"/>
    </w:rPr>
  </w:style>
  <w:style w:type="paragraph" w:customStyle="1" w:styleId="972">
    <w:name w:val="我的标题3"/>
    <w:next w:val="335"/>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autoRedefine/>
    <w:qFormat/>
    <w:uiPriority w:val="0"/>
    <w:pPr>
      <w:adjustRightInd w:val="0"/>
      <w:snapToGrid w:val="0"/>
      <w:ind w:left="-2" w:leftChars="-1"/>
    </w:pPr>
    <w:rPr>
      <w:rFonts w:ascii="Arial" w:hAnsi="Arial" w:cs="Arial"/>
    </w:rPr>
  </w:style>
  <w:style w:type="paragraph" w:customStyle="1" w:styleId="976">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9">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81">
    <w:name w:val="实施日期"/>
    <w:basedOn w:val="739"/>
    <w:autoRedefine/>
    <w:qFormat/>
    <w:uiPriority w:val="0"/>
    <w:pPr>
      <w:framePr w:hSpace="0" w:wrap="around" w:xAlign="right"/>
      <w:jc w:val="right"/>
    </w:pPr>
  </w:style>
  <w:style w:type="paragraph" w:customStyle="1" w:styleId="982">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autoRedefine/>
    <w:qFormat/>
    <w:uiPriority w:val="0"/>
    <w:pPr>
      <w:spacing w:beforeLines="40" w:afterLines="40"/>
    </w:pPr>
  </w:style>
  <w:style w:type="paragraph" w:customStyle="1" w:styleId="984">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5">
    <w:name w:val="pa-30"/>
    <w:basedOn w:val="1"/>
    <w:autoRedefine/>
    <w:qFormat/>
    <w:uiPriority w:val="0"/>
    <w:pPr>
      <w:widowControl/>
      <w:spacing w:before="150" w:after="150"/>
      <w:jc w:val="left"/>
    </w:pPr>
    <w:rPr>
      <w:rFonts w:ascii="宋体" w:hAnsi="宋体" w:cs="宋体"/>
      <w:kern w:val="0"/>
    </w:rPr>
  </w:style>
  <w:style w:type="paragraph" w:customStyle="1" w:styleId="986">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68"/>
    <w:autoRedefine/>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9">
    <w:name w:val="正文首行缩进1"/>
    <w:basedOn w:val="37"/>
    <w:autoRedefine/>
    <w:qFormat/>
    <w:uiPriority w:val="0"/>
    <w:pPr>
      <w:suppressAutoHyphens/>
      <w:ind w:firstLine="420"/>
      <w:jc w:val="left"/>
    </w:pPr>
    <w:rPr>
      <w:kern w:val="1"/>
      <w:lang w:eastAsia="ar-SA"/>
    </w:rPr>
  </w:style>
  <w:style w:type="paragraph" w:customStyle="1" w:styleId="990">
    <w:name w:val="样式 仿宋_GB2312 小三 左侧:  1.06 厘米"/>
    <w:basedOn w:val="1"/>
    <w:autoRedefine/>
    <w:qFormat/>
    <w:uiPriority w:val="0"/>
    <w:pPr>
      <w:ind w:left="601"/>
    </w:pPr>
    <w:rPr>
      <w:rFonts w:ascii="仿宋_GB2312" w:eastAsia="仿宋_GB2312"/>
      <w:szCs w:val="20"/>
    </w:rPr>
  </w:style>
  <w:style w:type="paragraph" w:customStyle="1" w:styleId="991">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2"/>
    <w:autoRedefine/>
    <w:qFormat/>
    <w:uiPriority w:val="0"/>
    <w:pPr>
      <w:spacing w:after="120"/>
    </w:pPr>
  </w:style>
  <w:style w:type="paragraph" w:customStyle="1" w:styleId="994">
    <w:name w:val="4"/>
    <w:basedOn w:val="1"/>
    <w:next w:val="53"/>
    <w:autoRedefine/>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6">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7">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autoRedefine/>
    <w:qFormat/>
    <w:uiPriority w:val="0"/>
    <w:pPr>
      <w:autoSpaceDE w:val="0"/>
      <w:autoSpaceDN w:val="0"/>
      <w:adjustRightInd w:val="0"/>
      <w:jc w:val="left"/>
    </w:pPr>
    <w:rPr>
      <w:kern w:val="0"/>
      <w:szCs w:val="20"/>
    </w:rPr>
  </w:style>
  <w:style w:type="paragraph" w:customStyle="1" w:styleId="999">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autoRedefine/>
    <w:qFormat/>
    <w:uiPriority w:val="0"/>
    <w:pPr>
      <w:spacing w:beforeLines="40" w:afterLines="40"/>
      <w:ind w:firstLine="200" w:firstLineChars="200"/>
    </w:pPr>
    <w:rPr>
      <w:rFonts w:cs="宋体"/>
      <w:szCs w:val="20"/>
    </w:rPr>
  </w:style>
  <w:style w:type="paragraph" w:customStyle="1" w:styleId="1001">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2"/>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7">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autoRedefine/>
    <w:qFormat/>
    <w:uiPriority w:val="0"/>
    <w:rPr>
      <w:rFonts w:ascii="Tahoma" w:hAnsi="Tahoma"/>
      <w:sz w:val="36"/>
      <w:szCs w:val="36"/>
    </w:rPr>
  </w:style>
  <w:style w:type="paragraph" w:customStyle="1" w:styleId="100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1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autoRedefine/>
    <w:qFormat/>
    <w:uiPriority w:val="0"/>
    <w:rPr>
      <w:rFonts w:ascii="Arial" w:hAnsi="Arial" w:eastAsia="黑体" w:cs="Arial"/>
      <w:kern w:val="2"/>
    </w:rPr>
  </w:style>
  <w:style w:type="paragraph" w:customStyle="1" w:styleId="1016">
    <w:name w:val="Char6"/>
    <w:basedOn w:val="1"/>
    <w:autoRedefine/>
    <w:qFormat/>
    <w:uiPriority w:val="0"/>
    <w:rPr>
      <w:szCs w:val="20"/>
    </w:rPr>
  </w:style>
  <w:style w:type="paragraph" w:customStyle="1" w:styleId="1017">
    <w:name w:val="Char7"/>
    <w:basedOn w:val="1"/>
    <w:autoRedefine/>
    <w:qFormat/>
    <w:uiPriority w:val="0"/>
    <w:rPr>
      <w:rFonts w:ascii="Calibri" w:hAnsi="Calibri"/>
      <w:szCs w:val="20"/>
    </w:rPr>
  </w:style>
  <w:style w:type="character" w:customStyle="1" w:styleId="1018">
    <w:name w:val="称呼 Char"/>
    <w:link w:val="33"/>
    <w:autoRedefine/>
    <w:qFormat/>
    <w:uiPriority w:val="0"/>
    <w:rPr>
      <w:kern w:val="2"/>
      <w:sz w:val="24"/>
      <w:szCs w:val="24"/>
    </w:rPr>
  </w:style>
  <w:style w:type="character" w:customStyle="1" w:styleId="1019">
    <w:name w:val="标题 5 Char"/>
    <w:basedOn w:val="95"/>
    <w:link w:val="8"/>
    <w:autoRedefine/>
    <w:qFormat/>
    <w:uiPriority w:val="9"/>
    <w:rPr>
      <w:b/>
      <w:bCs/>
      <w:kern w:val="2"/>
      <w:sz w:val="28"/>
      <w:szCs w:val="28"/>
    </w:rPr>
  </w:style>
  <w:style w:type="character" w:customStyle="1" w:styleId="1020">
    <w:name w:val="普通(网站) Char"/>
    <w:link w:val="82"/>
    <w:autoRedefine/>
    <w:qFormat/>
    <w:uiPriority w:val="0"/>
    <w:rPr>
      <w:rFonts w:ascii="宋体" w:hAnsi="宋体" w:cs="宋体"/>
      <w:sz w:val="24"/>
      <w:szCs w:val="24"/>
    </w:rPr>
  </w:style>
  <w:style w:type="paragraph" w:customStyle="1" w:styleId="1021">
    <w:name w:val="WPSOffice手动目录 1"/>
    <w:autoRedefine/>
    <w:qFormat/>
    <w:uiPriority w:val="0"/>
    <w:rPr>
      <w:rFonts w:asciiTheme="minorHAnsi" w:hAnsiTheme="minorHAnsi" w:eastAsiaTheme="minorEastAsia" w:cstheme="minorBidi"/>
      <w:lang w:val="en-US" w:eastAsia="zh-CN" w:bidi="ar-SA"/>
    </w:rPr>
  </w:style>
  <w:style w:type="character" w:customStyle="1" w:styleId="1022">
    <w:name w:val="font21"/>
    <w:basedOn w:val="95"/>
    <w:autoRedefine/>
    <w:qFormat/>
    <w:uiPriority w:val="0"/>
    <w:rPr>
      <w:rFonts w:hint="eastAsia" w:ascii="宋体" w:hAnsi="宋体" w:eastAsia="宋体" w:cs="宋体"/>
      <w:b/>
      <w:color w:val="000000"/>
      <w:sz w:val="21"/>
      <w:szCs w:val="21"/>
      <w:u w:val="none"/>
    </w:rPr>
  </w:style>
  <w:style w:type="character" w:customStyle="1" w:styleId="1023">
    <w:name w:val="font31"/>
    <w:basedOn w:val="95"/>
    <w:autoRedefine/>
    <w:qFormat/>
    <w:uiPriority w:val="0"/>
    <w:rPr>
      <w:rFonts w:hint="eastAsia" w:ascii="宋体" w:hAnsi="宋体" w:eastAsia="宋体" w:cs="宋体"/>
      <w:color w:val="000000"/>
      <w:sz w:val="21"/>
      <w:szCs w:val="21"/>
      <w:u w:val="none"/>
    </w:rPr>
  </w:style>
  <w:style w:type="character" w:customStyle="1" w:styleId="1024">
    <w:name w:val="font91"/>
    <w:basedOn w:val="95"/>
    <w:autoRedefine/>
    <w:qFormat/>
    <w:uiPriority w:val="0"/>
    <w:rPr>
      <w:rFonts w:hint="eastAsia" w:ascii="宋体" w:hAnsi="宋体" w:eastAsia="宋体" w:cs="宋体"/>
      <w:color w:val="000000"/>
      <w:sz w:val="20"/>
      <w:szCs w:val="20"/>
      <w:u w:val="none"/>
    </w:rPr>
  </w:style>
  <w:style w:type="paragraph" w:customStyle="1" w:styleId="1025">
    <w:name w:val="纯文本_0_0"/>
    <w:basedOn w:val="1026"/>
    <w:autoRedefine/>
    <w:qFormat/>
    <w:uiPriority w:val="0"/>
    <w:rPr>
      <w:rFonts w:ascii="宋体" w:hAnsi="Courier New"/>
      <w:szCs w:val="21"/>
    </w:rPr>
  </w:style>
  <w:style w:type="paragraph" w:customStyle="1" w:styleId="10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autoRedefine/>
    <w:qFormat/>
    <w:uiPriority w:val="1"/>
    <w:pPr>
      <w:jc w:val="left"/>
    </w:pPr>
    <w:rPr>
      <w:rFonts w:ascii="Calibri" w:hAnsi="Calibri"/>
      <w:kern w:val="0"/>
      <w:sz w:val="22"/>
      <w:szCs w:val="22"/>
      <w:lang w:eastAsia="en-US"/>
    </w:rPr>
  </w:style>
  <w:style w:type="paragraph" w:customStyle="1" w:styleId="1029">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autoRedefine/>
    <w:qFormat/>
    <w:uiPriority w:val="2"/>
    <w:tblPr>
      <w:tblCellMar>
        <w:top w:w="0" w:type="dxa"/>
        <w:left w:w="0" w:type="dxa"/>
        <w:bottom w:w="0" w:type="dxa"/>
        <w:right w:w="0" w:type="dxa"/>
      </w:tblCellMar>
    </w:tblPr>
  </w:style>
  <w:style w:type="paragraph" w:customStyle="1" w:styleId="1031">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autoRedefine/>
    <w:qFormat/>
    <w:uiPriority w:val="0"/>
    <w:rPr>
      <w:rFonts w:ascii="Times New Roman" w:hAnsi="Times New Roman"/>
      <w:kern w:val="2"/>
      <w:sz w:val="21"/>
      <w:lang w:val="en-US" w:eastAsia="zh-CN" w:bidi="ar-SA"/>
    </w:rPr>
  </w:style>
  <w:style w:type="paragraph" w:customStyle="1" w:styleId="1033">
    <w:name w:val="正文（1）"/>
    <w:basedOn w:val="1"/>
    <w:autoRedefine/>
    <w:qFormat/>
    <w:uiPriority w:val="0"/>
    <w:pPr>
      <w:numPr>
        <w:ilvl w:val="0"/>
        <w:numId w:val="1"/>
      </w:numPr>
    </w:pPr>
    <w:rPr>
      <w:szCs w:val="21"/>
    </w:rPr>
  </w:style>
  <w:style w:type="paragraph" w:customStyle="1" w:styleId="1034">
    <w:name w:val="样式 首行缩进:  0 字符"/>
    <w:basedOn w:val="1"/>
    <w:autoRedefine/>
    <w:qFormat/>
    <w:uiPriority w:val="0"/>
    <w:pPr>
      <w:ind w:firstLine="200" w:firstLineChars="200"/>
    </w:pPr>
    <w:rPr>
      <w:rFonts w:ascii="Arial" w:hAnsi="Arial" w:eastAsia="宋体" w:cs="宋体"/>
      <w:szCs w:val="20"/>
    </w:rPr>
  </w:style>
  <w:style w:type="paragraph" w:customStyle="1" w:styleId="1035">
    <w:name w:val="正文文字"/>
    <w:basedOn w:val="1"/>
    <w:autoRedefine/>
    <w:qFormat/>
    <w:uiPriority w:val="0"/>
    <w:pPr>
      <w:widowControl/>
      <w:snapToGrid/>
      <w:spacing w:line="952" w:lineRule="atLeast"/>
      <w:ind w:firstLine="419"/>
    </w:pPr>
    <w:rPr>
      <w:b/>
      <w:color w:val="000000"/>
      <w:sz w:val="44"/>
      <w:u w:val="none" w:color="000000"/>
    </w:rPr>
  </w:style>
  <w:style w:type="paragraph" w:customStyle="1" w:styleId="1036">
    <w:name w:val="正文 仿宋"/>
    <w:basedOn w:val="1"/>
    <w:autoRedefine/>
    <w:qFormat/>
    <w:uiPriority w:val="0"/>
    <w:pPr>
      <w:adjustRightInd w:val="0"/>
      <w:spacing w:line="360" w:lineRule="auto"/>
      <w:ind w:firstLine="200" w:firstLineChars="200"/>
      <w:contextualSpacing/>
    </w:pPr>
    <w:rPr>
      <w:sz w:val="28"/>
      <w:szCs w:val="20"/>
    </w:rPr>
  </w:style>
  <w:style w:type="paragraph" w:customStyle="1" w:styleId="1037">
    <w:name w:val="图片居中"/>
    <w:basedOn w:val="1036"/>
    <w:autoRedefine/>
    <w:qFormat/>
    <w:uiPriority w:val="0"/>
    <w:pPr>
      <w:ind w:firstLine="0" w:firstLineChars="0"/>
      <w:jc w:val="center"/>
    </w:pPr>
  </w:style>
  <w:style w:type="character" w:customStyle="1" w:styleId="1038">
    <w:name w:val="标题 2 字符"/>
    <w:basedOn w:val="95"/>
    <w:link w:val="2"/>
    <w:autoRedefine/>
    <w:qFormat/>
    <w:uiPriority w:val="9"/>
    <w:rPr>
      <w:rFonts w:ascii="仿宋_GB2312" w:hAnsi="Times New Roman" w:eastAsia="仿宋_GB2312" w:cs="Times New Roman"/>
      <w:sz w:val="30"/>
      <w:szCs w:val="30"/>
    </w:rPr>
  </w:style>
  <w:style w:type="paragraph" w:customStyle="1" w:styleId="1039">
    <w:name w:val="4级标题"/>
    <w:basedOn w:val="1040"/>
    <w:next w:val="1040"/>
    <w:autoRedefine/>
    <w:qFormat/>
    <w:uiPriority w:val="0"/>
    <w:pPr>
      <w:tabs>
        <w:tab w:val="left" w:pos="770"/>
      </w:tabs>
      <w:spacing w:line="480" w:lineRule="exact"/>
      <w:ind w:left="767" w:hanging="767" w:hangingChars="364"/>
      <w:outlineLvl w:val="3"/>
    </w:pPr>
    <w:rPr>
      <w:rFonts w:ascii="Times New Roman" w:hAnsi="Times New Roman" w:eastAsia="宋体" w:cs="Times New Roman"/>
      <w:b/>
      <w:kern w:val="0"/>
      <w:sz w:val="20"/>
      <w:szCs w:val="20"/>
    </w:rPr>
  </w:style>
  <w:style w:type="paragraph" w:customStyle="1" w:styleId="1040">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kern w:val="2"/>
      <w:sz w:val="21"/>
      <w:szCs w:val="22"/>
      <w:lang w:val="en-US" w:eastAsia="zh-CN" w:bidi="ar-SA"/>
    </w:rPr>
  </w:style>
  <w:style w:type="paragraph" w:customStyle="1" w:styleId="1041">
    <w:name w:val="2级标题"/>
    <w:basedOn w:val="1040"/>
    <w:next w:val="1040"/>
    <w:autoRedefine/>
    <w:qFormat/>
    <w:uiPriority w:val="0"/>
    <w:pPr>
      <w:spacing w:line="640" w:lineRule="exact"/>
      <w:ind w:left="770" w:hanging="770" w:hangingChars="275"/>
      <w:outlineLvl w:val="1"/>
    </w:pPr>
    <w:rPr>
      <w:rFonts w:ascii="微软雅黑" w:hAnsi="微软雅黑" w:eastAsia="微软雅黑" w:cs="Times New Roman"/>
      <w:kern w:val="0"/>
      <w:sz w:val="28"/>
      <w:szCs w:val="20"/>
    </w:rPr>
  </w:style>
  <w:style w:type="paragraph" w:customStyle="1" w:styleId="1042">
    <w:name w:val="3级标题"/>
    <w:basedOn w:val="1040"/>
    <w:next w:val="1040"/>
    <w:autoRedefine/>
    <w:qFormat/>
    <w:uiPriority w:val="0"/>
    <w:pPr>
      <w:spacing w:line="600" w:lineRule="exact"/>
      <w:ind w:left="320" w:hanging="320" w:hangingChars="320"/>
      <w:outlineLvl w:val="2"/>
    </w:pPr>
    <w:rPr>
      <w:rFonts w:ascii="微软雅黑" w:hAnsi="微软雅黑" w:eastAsia="微软雅黑" w:cs="Times New Roman"/>
      <w:kern w:val="0"/>
      <w:sz w:val="24"/>
      <w:szCs w:val="20"/>
    </w:rPr>
  </w:style>
  <w:style w:type="paragraph" w:customStyle="1" w:styleId="1043">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92</Pages>
  <Words>18376</Words>
  <Characters>19335</Characters>
  <Lines>334</Lines>
  <Paragraphs>94</Paragraphs>
  <TotalTime>198</TotalTime>
  <ScaleCrop>false</ScaleCrop>
  <LinksUpToDate>false</LinksUpToDate>
  <CharactersWithSpaces>19737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张建</cp:lastModifiedBy>
  <cp:lastPrinted>2024-06-24T00:42:00Z</cp:lastPrinted>
  <dcterms:modified xsi:type="dcterms:W3CDTF">2024-11-19T02:15:44Z</dcterms:modified>
  <dc:title>公开招标（样稿）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B1ABFB44EBC747E9800904A44ECD9B35_13</vt:lpwstr>
  </property>
  <property fmtid="{D5CDD505-2E9C-101B-9397-08002B2CF9AE}" pid="4" name="commondata">
    <vt:lpwstr>eyJoZGlkIjoiOWJiOGJlZmQ4Y2I5Mzg4ZmQ1MDU4OWVlOGY5Y2E4MTcifQ==</vt:lpwstr>
  </property>
</Properties>
</file>