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BFE92">
      <w:pPr>
        <w:suppressAutoHyphens/>
        <w:outlineLvl w:val="0"/>
        <w:rPr>
          <w:rFonts w:hint="default" w:eastAsia="黑体"/>
          <w:color w:val="auto"/>
          <w:sz w:val="36"/>
          <w:lang w:val="en-US" w:eastAsia="zh-CN"/>
        </w:rPr>
      </w:pPr>
    </w:p>
    <w:p w14:paraId="5EACD6B9">
      <w:pPr>
        <w:suppressAutoHyphens/>
        <w:outlineLvl w:val="0"/>
        <w:rPr>
          <w:rFonts w:eastAsia="黑体"/>
          <w:color w:val="auto"/>
          <w:sz w:val="36"/>
          <w:lang w:val="en-GB"/>
        </w:rPr>
      </w:pPr>
      <w:r>
        <w:rPr>
          <w:rFonts w:hint="eastAsia" w:eastAsia="黑体"/>
          <w:color w:val="auto"/>
          <w:sz w:val="36"/>
          <w:lang w:val="en-GB"/>
        </w:rPr>
        <w:tab/>
      </w:r>
      <w:r>
        <w:rPr>
          <w:rFonts w:eastAsia="黑体"/>
          <w:color w:val="auto"/>
          <w:sz w:val="36"/>
          <w:lang w:val="en-GB"/>
        </w:rPr>
        <w:tab/>
      </w:r>
    </w:p>
    <w:tbl>
      <w:tblPr>
        <w:tblStyle w:val="5"/>
        <w:tblpPr w:leftFromText="180" w:rightFromText="180" w:vertAnchor="page" w:horzAnchor="page" w:tblpX="19450" w:tblpY="1989"/>
        <w:tblW w:w="0" w:type="auto"/>
        <w:tblInd w:w="0" w:type="dxa"/>
        <w:tblBorders>
          <w:top w:val="thinThickSmallGap" w:color="auto" w:sz="24" w:space="0"/>
          <w:left w:val="thinThickSmallGap" w:color="auto" w:sz="24" w:space="0"/>
          <w:bottom w:val="thickThinSmallGap" w:color="auto" w:sz="24" w:space="0"/>
          <w:right w:val="thickThinSmallGap" w:color="auto" w:sz="2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</w:tblGrid>
      <w:tr w14:paraId="5D3C3491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92" w:type="dxa"/>
            <w:vAlign w:val="bottom"/>
          </w:tcPr>
          <w:p w14:paraId="56986033">
            <w:pPr>
              <w:spacing w:line="300" w:lineRule="auto"/>
              <w:jc w:val="center"/>
              <w:rPr>
                <w:b/>
                <w:color w:val="auto"/>
                <w:sz w:val="30"/>
              </w:rPr>
            </w:pPr>
            <w:r>
              <w:rPr>
                <w:rFonts w:hint="eastAsia"/>
                <w:b/>
                <w:color w:val="auto"/>
                <w:sz w:val="30"/>
              </w:rPr>
              <w:t>卷册检索号</w:t>
            </w:r>
          </w:p>
        </w:tc>
      </w:tr>
      <w:tr w14:paraId="137EFE77">
        <w:tblPrEx>
          <w:tblBorders>
            <w:top w:val="thinThickSmallGap" w:color="auto" w:sz="24" w:space="0"/>
            <w:left w:val="thinThickSmallGap" w:color="auto" w:sz="24" w:space="0"/>
            <w:bottom w:val="thickThinSmallGap" w:color="auto" w:sz="24" w:space="0"/>
            <w:right w:val="thickThinSmallGap" w:color="auto" w:sz="2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392" w:type="dxa"/>
            <w:vAlign w:val="bottom"/>
          </w:tcPr>
          <w:p w14:paraId="659B5597">
            <w:pPr>
              <w:spacing w:line="300" w:lineRule="auto"/>
              <w:jc w:val="center"/>
              <w:rPr>
                <w:color w:val="auto"/>
                <w:sz w:val="24"/>
              </w:rPr>
            </w:pPr>
          </w:p>
        </w:tc>
      </w:tr>
    </w:tbl>
    <w:p w14:paraId="4EA07DB5">
      <w:pPr>
        <w:jc w:val="center"/>
        <w:rPr>
          <w:rFonts w:ascii="黑体" w:hAnsi="黑体" w:eastAsia="黑体" w:cs="黑体"/>
          <w:b/>
          <w:bCs/>
          <w:color w:val="auto"/>
          <w:sz w:val="72"/>
          <w:szCs w:val="72"/>
        </w:rPr>
      </w:pPr>
      <w:bookmarkStart w:id="0" w:name="_Toc3320"/>
      <w:bookmarkStart w:id="1" w:name="_Toc4064"/>
      <w:bookmarkStart w:id="2" w:name="_Toc526759695"/>
      <w:bookmarkStart w:id="3" w:name="_Toc7468"/>
      <w:bookmarkStart w:id="4" w:name="_Toc13207"/>
      <w:bookmarkStart w:id="5" w:name="_Toc26176"/>
      <w:bookmarkStart w:id="6" w:name="_Toc19939"/>
    </w:p>
    <w:bookmarkEnd w:id="0"/>
    <w:bookmarkEnd w:id="1"/>
    <w:bookmarkEnd w:id="2"/>
    <w:bookmarkEnd w:id="3"/>
    <w:bookmarkEnd w:id="4"/>
    <w:bookmarkEnd w:id="5"/>
    <w:bookmarkEnd w:id="6"/>
    <w:p w14:paraId="47BBF030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bookmarkStart w:id="7" w:name="_Toc14996"/>
      <w:bookmarkStart w:id="8" w:name="_Toc2933"/>
      <w:bookmarkStart w:id="9" w:name="_Toc9564"/>
      <w:bookmarkStart w:id="10" w:name="_Toc18097"/>
      <w:bookmarkStart w:id="11" w:name="_Toc3048"/>
      <w:bookmarkStart w:id="12" w:name="_Toc17072"/>
      <w:bookmarkStart w:id="13" w:name="_Toc30559"/>
      <w:bookmarkStart w:id="14" w:name="_Toc13593"/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中交城市投资(宁波)有限公司-宁波市奉化区县江及其支流河道综合治理工程(四明路-山隍路)-电力市政业扩工程(临时用电)</w:t>
      </w:r>
    </w:p>
    <w:p w14:paraId="2B2E9B8A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 xml:space="preserve">(顺浦路以北约750米)                             </w:t>
      </w:r>
    </w:p>
    <w:p w14:paraId="11379B65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6D8CC6A8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施工图（市政）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D3FBF09">
      <w:pPr>
        <w:spacing w:before="240" w:after="480"/>
        <w:jc w:val="center"/>
        <w:rPr>
          <w:rFonts w:hint="eastAsia" w:ascii="宋体" w:hAnsi="宋体" w:cs="宋体"/>
          <w:b/>
          <w:bCs w:val="0"/>
          <w:color w:val="auto"/>
          <w:spacing w:val="44"/>
          <w:sz w:val="72"/>
          <w:szCs w:val="72"/>
          <w:lang w:val="en-US" w:eastAsia="zh-CN"/>
        </w:rPr>
      </w:pPr>
    </w:p>
    <w:p w14:paraId="35926FB0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7AF1D117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2AE4080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37E766FA">
      <w:pPr>
        <w:suppressAutoHyphens/>
        <w:spacing w:line="360" w:lineRule="auto"/>
        <w:ind w:firstLine="7271" w:firstLineChars="2012"/>
        <w:rPr>
          <w:rFonts w:eastAsia="方正姚体"/>
          <w:b/>
          <w:color w:val="auto"/>
          <w:sz w:val="36"/>
        </w:rPr>
      </w:pPr>
    </w:p>
    <w:p w14:paraId="63364832">
      <w:pPr>
        <w:suppressAutoHyphens/>
        <w:spacing w:line="360" w:lineRule="auto"/>
        <w:rPr>
          <w:rFonts w:eastAsia="方正姚体"/>
          <w:b/>
          <w:color w:val="auto"/>
          <w:sz w:val="36"/>
        </w:rPr>
      </w:pPr>
    </w:p>
    <w:p w14:paraId="14561E4E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宁波恒晨电力建设有限公司</w:t>
      </w:r>
    </w:p>
    <w:p w14:paraId="2BD27D50">
      <w:pPr>
        <w:jc w:val="center"/>
        <w:rPr>
          <w:rFonts w:ascii="仿宋_GB2312" w:eastAsia="仿宋_GB2312"/>
          <w:b/>
          <w:color w:val="auto"/>
          <w:sz w:val="36"/>
          <w:szCs w:val="36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>建设部设证：</w:t>
      </w:r>
      <w:r>
        <w:rPr>
          <w:rFonts w:hint="eastAsia" w:ascii="仿宋_GB2312" w:eastAsia="仿宋_GB2312"/>
          <w:b/>
          <w:color w:val="auto"/>
          <w:sz w:val="36"/>
          <w:szCs w:val="36"/>
        </w:rPr>
        <w:t>A233025088</w:t>
      </w:r>
    </w:p>
    <w:p w14:paraId="3B699E5C">
      <w:pPr>
        <w:jc w:val="center"/>
        <w:rPr>
          <w:rFonts w:eastAsia="黑体"/>
          <w:b/>
          <w:color w:val="auto"/>
          <w:spacing w:val="44"/>
          <w:sz w:val="72"/>
          <w:szCs w:val="72"/>
        </w:rPr>
      </w:pPr>
      <w:r>
        <w:rPr>
          <w:rFonts w:hint="eastAsia" w:ascii="仿宋_GB2312" w:hAnsi="宋体" w:eastAsia="仿宋_GB2312"/>
          <w:b/>
          <w:color w:val="auto"/>
          <w:sz w:val="36"/>
          <w:szCs w:val="36"/>
        </w:rPr>
        <w:t xml:space="preserve"> 年   月   日</w:t>
      </w:r>
    </w:p>
    <w:p w14:paraId="0E48A373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sectPr>
          <w:headerReference r:id="rId3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6243F377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</w:p>
    <w:p w14:paraId="38887BC5">
      <w:pPr>
        <w:jc w:val="center"/>
        <w:rPr>
          <w:rFonts w:hint="eastAsia" w:ascii="宋体" w:hAnsi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中交城市投资(宁波)有限公司-宁波市奉化区县江及其支流河道综合治理工程(四明路-山隍路)-电力市政业扩工程(临时用电)</w:t>
      </w:r>
    </w:p>
    <w:p w14:paraId="355B27A7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(顺浦路以北约750米)</w:t>
      </w:r>
    </w:p>
    <w:p w14:paraId="4950CE5D">
      <w:pPr>
        <w:jc w:val="center"/>
        <w:rPr>
          <w:rFonts w:hint="eastAsia" w:ascii="宋体" w:hAnsi="宋体" w:cs="宋体"/>
          <w:b/>
          <w:bCs/>
          <w:sz w:val="72"/>
          <w:szCs w:val="72"/>
          <w:lang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val="en-US" w:eastAsia="zh-CN"/>
        </w:rPr>
        <w:t>电气部分</w:t>
      </w:r>
    </w:p>
    <w:p w14:paraId="272FB349">
      <w:pPr>
        <w:jc w:val="center"/>
        <w:rPr>
          <w:rFonts w:hint="default" w:ascii="宋体" w:hAnsi="宋体" w:cs="宋体"/>
          <w:b/>
          <w:bCs/>
          <w:color w:val="auto"/>
          <w:sz w:val="72"/>
          <w:szCs w:val="72"/>
          <w:lang w:val="en-US" w:eastAsia="zh-CN"/>
        </w:rPr>
      </w:pPr>
      <w:r>
        <w:rPr>
          <w:rFonts w:hint="eastAsia" w:ascii="宋体" w:hAnsi="宋体" w:cs="宋体"/>
          <w:b/>
          <w:bCs/>
          <w:sz w:val="72"/>
          <w:szCs w:val="72"/>
          <w:lang w:eastAsia="zh-CN"/>
        </w:rPr>
        <w:t>施工图</w:t>
      </w:r>
      <w:r>
        <w:rPr>
          <w:rFonts w:hint="eastAsia" w:ascii="宋体" w:hAnsi="宋体" w:cs="宋体"/>
          <w:b/>
          <w:bCs/>
          <w:sz w:val="72"/>
          <w:szCs w:val="72"/>
        </w:rPr>
        <w:t>（市政）</w:t>
      </w:r>
    </w:p>
    <w:p w14:paraId="424BDCE8">
      <w:pPr>
        <w:jc w:val="center"/>
        <w:rPr>
          <w:rFonts w:ascii="宋体" w:hAnsi="宋体"/>
          <w:b/>
          <w:color w:val="auto"/>
          <w:spacing w:val="44"/>
          <w:sz w:val="72"/>
          <w:szCs w:val="72"/>
        </w:rPr>
      </w:pPr>
    </w:p>
    <w:p w14:paraId="06B19EB0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  <w:r>
        <w:rPr>
          <w:rFonts w:eastAsia="隶书"/>
          <w:color w:val="auto"/>
          <w:sz w:val="52"/>
        </w:rPr>
        <w:t xml:space="preserve">       </w:t>
      </w:r>
      <w:r>
        <w:rPr>
          <w:rFonts w:hint="eastAsia" w:eastAsia="隶书"/>
          <w:color w:val="auto"/>
          <w:sz w:val="52"/>
        </w:rPr>
        <w:t xml:space="preserve">                 </w:t>
      </w:r>
    </w:p>
    <w:p w14:paraId="3EB8AF4E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</w:p>
    <w:p w14:paraId="31A9CE7B">
      <w:pPr>
        <w:suppressAutoHyphens/>
        <w:spacing w:line="360" w:lineRule="auto"/>
        <w:outlineLvl w:val="0"/>
        <w:rPr>
          <w:rFonts w:hint="eastAsia" w:eastAsia="隶书"/>
          <w:color w:val="auto"/>
          <w:sz w:val="52"/>
        </w:rPr>
      </w:pPr>
    </w:p>
    <w:p w14:paraId="0C26D222">
      <w:pPr>
        <w:suppressAutoHyphens/>
        <w:spacing w:line="360" w:lineRule="auto"/>
        <w:outlineLvl w:val="0"/>
        <w:rPr>
          <w:rFonts w:eastAsia="隶书"/>
          <w:color w:val="auto"/>
          <w:sz w:val="52"/>
        </w:rPr>
      </w:pPr>
    </w:p>
    <w:p w14:paraId="573EBA85">
      <w:pPr>
        <w:suppressAutoHyphens/>
        <w:spacing w:line="360" w:lineRule="auto"/>
        <w:ind w:firstLine="7485" w:firstLineChars="2071"/>
        <w:outlineLvl w:val="0"/>
        <w:rPr>
          <w:b/>
          <w:color w:val="auto"/>
          <w:sz w:val="36"/>
        </w:rPr>
      </w:pPr>
    </w:p>
    <w:p w14:paraId="015180EF">
      <w:pPr>
        <w:jc w:val="center"/>
        <w:rPr>
          <w:b/>
          <w:bCs/>
          <w:color w:val="auto"/>
          <w:sz w:val="36"/>
          <w:szCs w:val="36"/>
        </w:rPr>
      </w:pPr>
      <w:bookmarkStart w:id="15" w:name="_Toc19924"/>
      <w:bookmarkStart w:id="16" w:name="_Toc5002"/>
      <w:bookmarkStart w:id="17" w:name="_Toc12312"/>
      <w:bookmarkStart w:id="18" w:name="_Toc22303"/>
      <w:bookmarkStart w:id="19" w:name="_Toc32625"/>
      <w:bookmarkStart w:id="20" w:name="_Toc27535"/>
      <w:bookmarkStart w:id="21" w:name="_Toc15862"/>
      <w:bookmarkStart w:id="22" w:name="_Toc526759696"/>
      <w:bookmarkStart w:id="23" w:name="_Toc8583"/>
      <w:bookmarkStart w:id="24" w:name="_Toc7330"/>
      <w:bookmarkStart w:id="25" w:name="_Toc15894"/>
      <w:bookmarkStart w:id="26" w:name="_Toc8654"/>
      <w:bookmarkStart w:id="27" w:name="_Toc11443"/>
      <w:bookmarkStart w:id="28" w:name="_Toc31494"/>
      <w:bookmarkStart w:id="29" w:name="_Toc32296"/>
      <w:r>
        <w:rPr>
          <w:rFonts w:hint="eastAsia"/>
          <w:b/>
          <w:bCs/>
          <w:color w:val="auto"/>
          <w:sz w:val="36"/>
          <w:szCs w:val="36"/>
        </w:rPr>
        <w:t>审      定：___________________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C94709">
      <w:pPr>
        <w:jc w:val="center"/>
        <w:rPr>
          <w:b/>
          <w:bCs/>
          <w:color w:val="auto"/>
          <w:sz w:val="36"/>
          <w:szCs w:val="36"/>
        </w:rPr>
      </w:pPr>
      <w:bookmarkStart w:id="30" w:name="_Toc16074"/>
      <w:bookmarkStart w:id="31" w:name="_Toc11985"/>
      <w:bookmarkStart w:id="32" w:name="_Toc12942"/>
      <w:bookmarkStart w:id="33" w:name="_Toc7532"/>
      <w:bookmarkStart w:id="34" w:name="_Toc526759697"/>
      <w:bookmarkStart w:id="35" w:name="_Toc18498"/>
      <w:bookmarkStart w:id="36" w:name="_Toc17312"/>
      <w:bookmarkStart w:id="37" w:name="_Toc16098"/>
      <w:bookmarkStart w:id="38" w:name="_Toc27837"/>
      <w:bookmarkStart w:id="39" w:name="_Toc15253"/>
      <w:bookmarkStart w:id="40" w:name="_Toc20116"/>
      <w:bookmarkStart w:id="41" w:name="_Toc13198"/>
      <w:bookmarkStart w:id="42" w:name="_Toc20724"/>
      <w:bookmarkStart w:id="43" w:name="_Toc3685"/>
      <w:bookmarkStart w:id="44" w:name="_Toc26792"/>
      <w:r>
        <w:rPr>
          <w:rFonts w:hint="eastAsia"/>
          <w:b/>
          <w:bCs/>
          <w:color w:val="auto"/>
          <w:sz w:val="36"/>
          <w:szCs w:val="36"/>
        </w:rPr>
        <w:t>审      核：___________________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27AB5F">
      <w:pPr>
        <w:jc w:val="center"/>
        <w:rPr>
          <w:b/>
          <w:bCs/>
          <w:color w:val="auto"/>
          <w:sz w:val="36"/>
          <w:szCs w:val="36"/>
        </w:rPr>
      </w:pPr>
      <w:bookmarkStart w:id="45" w:name="_Toc27972"/>
      <w:bookmarkStart w:id="46" w:name="_Toc9329"/>
      <w:bookmarkStart w:id="47" w:name="_Toc20413"/>
      <w:bookmarkStart w:id="48" w:name="_Toc5784"/>
      <w:bookmarkStart w:id="49" w:name="_Toc9989"/>
      <w:bookmarkStart w:id="50" w:name="_Toc2070"/>
      <w:bookmarkStart w:id="51" w:name="_Toc13143"/>
      <w:bookmarkStart w:id="52" w:name="_Toc526759699"/>
      <w:bookmarkStart w:id="53" w:name="_Toc1275"/>
      <w:bookmarkStart w:id="54" w:name="_Toc25662"/>
      <w:bookmarkStart w:id="55" w:name="_Toc31537"/>
      <w:bookmarkStart w:id="56" w:name="_Toc12183"/>
      <w:bookmarkStart w:id="57" w:name="_Toc1034"/>
      <w:bookmarkStart w:id="58" w:name="_Toc13904"/>
      <w:bookmarkStart w:id="59" w:name="_Toc16963"/>
      <w:r>
        <w:rPr>
          <w:rFonts w:hint="eastAsia"/>
          <w:b/>
          <w:bCs/>
          <w:color w:val="auto"/>
          <w:sz w:val="36"/>
          <w:szCs w:val="36"/>
        </w:rPr>
        <w:t>校      核：___________________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AC572C6">
      <w:pPr>
        <w:jc w:val="center"/>
        <w:rPr>
          <w:b/>
          <w:bCs/>
          <w:color w:val="auto"/>
          <w:sz w:val="36"/>
          <w:szCs w:val="36"/>
        </w:rPr>
      </w:pPr>
      <w:bookmarkStart w:id="60" w:name="_Toc6708"/>
      <w:bookmarkStart w:id="61" w:name="_Toc21985"/>
      <w:bookmarkStart w:id="62" w:name="_Toc15576"/>
      <w:bookmarkStart w:id="63" w:name="_Toc3391"/>
      <w:bookmarkStart w:id="64" w:name="_Toc29520"/>
      <w:bookmarkStart w:id="65" w:name="_Toc16720"/>
      <w:bookmarkStart w:id="66" w:name="_Toc1190"/>
      <w:bookmarkStart w:id="67" w:name="_Toc5227"/>
      <w:bookmarkStart w:id="68" w:name="_Toc28989"/>
      <w:bookmarkStart w:id="69" w:name="_Toc28971"/>
      <w:bookmarkStart w:id="70" w:name="_Toc12398"/>
      <w:bookmarkStart w:id="71" w:name="_Toc5101"/>
      <w:bookmarkStart w:id="72" w:name="_Toc526759700"/>
      <w:bookmarkStart w:id="73" w:name="_Toc8153"/>
      <w:bookmarkStart w:id="74" w:name="_Toc29577"/>
      <w:r>
        <w:rPr>
          <w:rFonts w:hint="eastAsia"/>
          <w:b/>
          <w:bCs/>
          <w:color w:val="auto"/>
          <w:sz w:val="36"/>
          <w:szCs w:val="36"/>
        </w:rPr>
        <w:t>编      写：___________________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0F525D6">
      <w:pPr>
        <w:jc w:val="center"/>
        <w:rPr>
          <w:rFonts w:eastAsia="华文中宋"/>
          <w:b/>
          <w:color w:val="auto"/>
          <w:sz w:val="36"/>
        </w:rPr>
      </w:pPr>
    </w:p>
    <w:p w14:paraId="553DF929">
      <w:pPr>
        <w:jc w:val="center"/>
        <w:rPr>
          <w:rFonts w:eastAsia="华文中宋"/>
          <w:b/>
          <w:color w:val="auto"/>
          <w:sz w:val="36"/>
        </w:rPr>
      </w:pPr>
    </w:p>
    <w:p w14:paraId="406E8E27">
      <w:pPr>
        <w:tabs>
          <w:tab w:val="left" w:pos="2042"/>
          <w:tab w:val="center" w:pos="10436"/>
        </w:tabs>
        <w:jc w:val="left"/>
        <w:rPr>
          <w:rFonts w:eastAsia="华文中宋"/>
          <w:b/>
          <w:color w:val="auto"/>
          <w:sz w:val="36"/>
        </w:rPr>
        <w:sectPr>
          <w:footerReference r:id="rId4" w:type="default"/>
          <w:pgSz w:w="23814" w:h="16840" w:orient="landscape"/>
          <w:pgMar w:top="1418" w:right="1247" w:bottom="1418" w:left="1814" w:header="851" w:footer="851" w:gutter="0"/>
          <w:paperSrc w:first="15" w:other="15"/>
          <w:pgNumType w:fmt="decimal" w:start="1"/>
          <w:cols w:space="720" w:num="1"/>
          <w:docGrid w:type="lines" w:linePitch="318" w:charSpace="0"/>
        </w:sectPr>
      </w:pPr>
    </w:p>
    <w:p w14:paraId="3246B00B">
      <w:pPr>
        <w:snapToGrid w:val="0"/>
        <w:spacing w:beforeLines="50" w:afterLines="50" w:line="400" w:lineRule="atLeast"/>
        <w:jc w:val="center"/>
        <w:rPr>
          <w:rFonts w:eastAsia="黑体"/>
          <w:b/>
          <w:color w:val="auto"/>
          <w:sz w:val="36"/>
          <w:szCs w:val="36"/>
        </w:rPr>
      </w:pPr>
      <w:r>
        <w:rPr>
          <w:rFonts w:hint="eastAsia" w:eastAsia="黑体"/>
          <w:b/>
          <w:color w:val="auto"/>
          <w:sz w:val="36"/>
          <w:szCs w:val="36"/>
          <w:lang w:val="en-US" w:eastAsia="zh-CN"/>
        </w:rPr>
        <w:t>施工图</w:t>
      </w:r>
      <w:r>
        <w:rPr>
          <w:rFonts w:hint="eastAsia" w:eastAsia="黑体"/>
          <w:b/>
          <w:color w:val="auto"/>
          <w:sz w:val="36"/>
          <w:szCs w:val="36"/>
        </w:rPr>
        <w:t>说明书</w:t>
      </w:r>
    </w:p>
    <w:p w14:paraId="010937BD">
      <w:pPr>
        <w:tabs>
          <w:tab w:val="left" w:pos="9741"/>
        </w:tabs>
        <w:spacing w:before="240"/>
        <w:jc w:val="center"/>
        <w:rPr>
          <w:color w:val="auto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第一部分：总述</w:t>
      </w:r>
    </w:p>
    <w:p w14:paraId="53BE48FF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bookmarkStart w:id="75" w:name="_Toc6942"/>
      <w:r>
        <w:rPr>
          <w:rFonts w:hint="eastAsia" w:ascii="Arial" w:hAnsi="Arial"/>
          <w:color w:val="auto"/>
          <w:sz w:val="24"/>
          <w:szCs w:val="24"/>
        </w:rPr>
        <w:t>1.设计依据</w:t>
      </w:r>
      <w:bookmarkEnd w:id="75"/>
    </w:p>
    <w:p w14:paraId="13FC96F9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bookmarkStart w:id="76" w:name="_Toc25546"/>
      <w:bookmarkStart w:id="77" w:name="_Toc463769599"/>
      <w:bookmarkStart w:id="78" w:name="_Toc428516879"/>
      <w:bookmarkStart w:id="79" w:name="_Toc428516720"/>
      <w:r>
        <w:rPr>
          <w:rFonts w:hint="eastAsia" w:ascii="Arial" w:hAnsi="Arial"/>
          <w:color w:val="auto"/>
          <w:sz w:val="24"/>
        </w:rPr>
        <w:t>工程设计委托书；</w:t>
      </w:r>
    </w:p>
    <w:p w14:paraId="0AB75EA7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工程及电网规划资料</w:t>
      </w:r>
      <w:r>
        <w:rPr>
          <w:rFonts w:hint="eastAsia" w:ascii="Arial" w:hAnsi="Arial"/>
          <w:color w:val="auto"/>
          <w:sz w:val="24"/>
        </w:rPr>
        <w:t>；</w:t>
      </w:r>
    </w:p>
    <w:p w14:paraId="712E6021">
      <w:pPr>
        <w:numPr>
          <w:ilvl w:val="2"/>
          <w:numId w:val="1"/>
        </w:numPr>
        <w:tabs>
          <w:tab w:val="left" w:pos="567"/>
          <w:tab w:val="left" w:pos="709"/>
          <w:tab w:val="clear" w:pos="851"/>
        </w:tabs>
        <w:suppressAutoHyphens/>
        <w:spacing w:line="360" w:lineRule="auto"/>
        <w:ind w:left="0" w:firstLine="0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sz w:val="24"/>
          <w:lang w:eastAsia="zh-CN"/>
        </w:rPr>
        <w:t>道路设计及管线资料</w:t>
      </w:r>
      <w:r>
        <w:rPr>
          <w:rFonts w:hint="eastAsia" w:ascii="Arial" w:hAnsi="Arial"/>
          <w:color w:val="auto"/>
          <w:sz w:val="24"/>
        </w:rPr>
        <w:t>；</w:t>
      </w:r>
    </w:p>
    <w:p w14:paraId="776CB2F0">
      <w:pPr>
        <w:pStyle w:val="2"/>
        <w:adjustRightInd/>
        <w:spacing w:before="120" w:after="0" w:line="360" w:lineRule="auto"/>
        <w:textAlignment w:val="auto"/>
        <w:rPr>
          <w:rFonts w:ascii="Arial" w:hAnsi="Arial"/>
          <w:color w:val="auto"/>
          <w:sz w:val="24"/>
          <w:szCs w:val="24"/>
        </w:rPr>
      </w:pPr>
      <w:r>
        <w:rPr>
          <w:rFonts w:hint="eastAsia" w:ascii="Arial" w:hAnsi="Arial"/>
          <w:color w:val="auto"/>
          <w:sz w:val="24"/>
          <w:szCs w:val="24"/>
        </w:rPr>
        <w:t>1.2.规程、规范、标准</w:t>
      </w:r>
      <w:bookmarkEnd w:id="76"/>
      <w:bookmarkEnd w:id="77"/>
      <w:bookmarkEnd w:id="78"/>
      <w:bookmarkEnd w:id="79"/>
    </w:p>
    <w:p w14:paraId="5E812FF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《环形混凝土电杆》（GB/T 4623-2014）；</w:t>
      </w:r>
    </w:p>
    <w:p w14:paraId="737E49A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《额定电压10kV架空绝缘导线》（GB 14049-2008）</w:t>
      </w:r>
    </w:p>
    <w:p w14:paraId="5562DEF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《混凝土结构设计规范》（GB 50010-2010）</w:t>
      </w:r>
    </w:p>
    <w:p w14:paraId="3054F64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《供配电系统设计规范》（GB 50052-2009）</w:t>
      </w:r>
    </w:p>
    <w:p w14:paraId="00B08E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《66kV及以下架空电力线路设计技术规范》（GB 50061-2010）</w:t>
      </w:r>
    </w:p>
    <w:p w14:paraId="3448B23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《架空绝缘配电线路设计技术规程》（DL/T 601-1996）</w:t>
      </w:r>
    </w:p>
    <w:p w14:paraId="6EE1114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《交流电气装置的接地》（GB 50065-2011）</w:t>
      </w:r>
    </w:p>
    <w:p w14:paraId="352956D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《架空送电线路钢管杆设计技术规定》（DL/T 5130-2001）</w:t>
      </w:r>
    </w:p>
    <w:p w14:paraId="647D877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《农村电网建设与改造技术导则》（DL/T 5131-2015）</w:t>
      </w:r>
    </w:p>
    <w:p w14:paraId="54CCA27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《架空送电线路杆杆结构设计技术规定》（DL/T 5154-2002）</w:t>
      </w:r>
    </w:p>
    <w:p w14:paraId="2D3F4EBB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《架空送电线路基础设计技术规定》（DL/T 5219-2005）</w:t>
      </w:r>
    </w:p>
    <w:p w14:paraId="17ECFF93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《10kV及以下架空配电线路设计技术规程》（DL/T 5220-2005）</w:t>
      </w:r>
    </w:p>
    <w:p w14:paraId="20639D94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《电力工程电缆设计》（GB 50217-2007）</w:t>
      </w:r>
    </w:p>
    <w:p w14:paraId="6F2CA2F6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《电气装置安装工程电缆工程施工及验收规范》（GB 50168-2006）</w:t>
      </w:r>
    </w:p>
    <w:p w14:paraId="13BBB538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《城市电力电缆线路设计技术规定》（DL/T 5221-2005）</w:t>
      </w:r>
    </w:p>
    <w:p w14:paraId="74C72F6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《电缆防火措施设计和施工与验收标准》（DLGJ 154-2000）</w:t>
      </w:r>
    </w:p>
    <w:p w14:paraId="76FCF95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《高压电缆选用导则》（DL/T 401-2002）</w:t>
      </w:r>
    </w:p>
    <w:p w14:paraId="59A10B40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《电力电缆线路运行规程》（Q/GDW 512-2010）；</w:t>
      </w:r>
    </w:p>
    <w:p w14:paraId="10AA6B15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《混凝土结构工程施工质量验收规范》（GB 50204-2015）；</w:t>
      </w:r>
    </w:p>
    <w:p w14:paraId="758B8F6D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《10（6）kV~500kV电缆线路技术标准》（Q/GDW 371-2009）。</w:t>
      </w:r>
    </w:p>
    <w:p w14:paraId="25F5D5E2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2"/>
        </w:rPr>
      </w:pPr>
      <w:r>
        <w:rPr>
          <w:rFonts w:hint="eastAsia" w:ascii="宋体" w:hAnsi="宋体"/>
          <w:color w:val="auto"/>
          <w:sz w:val="24"/>
          <w:szCs w:val="22"/>
        </w:rPr>
        <w:t>以及其它有关规程规范。</w:t>
      </w:r>
    </w:p>
    <w:p w14:paraId="44E712EA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0" w:name="_Toc22880"/>
      <w:r>
        <w:rPr>
          <w:rFonts w:hint="eastAsia" w:ascii="Arial" w:hAnsi="Arial"/>
          <w:color w:val="auto"/>
          <w:sz w:val="24"/>
          <w:szCs w:val="24"/>
        </w:rPr>
        <w:t>1.3.设计范围</w:t>
      </w:r>
      <w:bookmarkEnd w:id="80"/>
    </w:p>
    <w:p w14:paraId="6C67DAB3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本工程为</w:t>
      </w:r>
      <w:r>
        <w:rPr>
          <w:rFonts w:hint="eastAsia" w:asciiTheme="minorEastAsia" w:hAnsiTheme="minorEastAsia" w:eastAsiaTheme="minorEastAsia"/>
          <w:b/>
          <w:bCs/>
          <w:sz w:val="24"/>
        </w:rPr>
        <w:t>中交城市投资(宁波)有限公司-宁波市奉化区县江及其支流河道综合治理工程(四明路-山隍路)-电力市政业扩工程(临时用电)(顺浦路以北约750米)</w:t>
      </w:r>
      <w:r>
        <w:rPr>
          <w:rFonts w:hint="eastAsia" w:asciiTheme="minorEastAsia" w:hAnsiTheme="minorEastAsia" w:eastAsiaTheme="minorEastAsia"/>
          <w:sz w:val="24"/>
        </w:rPr>
        <w:t>本体设计图纸及工程预算书编制。</w:t>
      </w:r>
    </w:p>
    <w:p w14:paraId="25FD6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</w:rPr>
        <w:t>因</w:t>
      </w:r>
      <w:r>
        <w:rPr>
          <w:rFonts w:hint="eastAsia" w:asciiTheme="minorEastAsia" w:hAnsiTheme="minorEastAsia" w:eastAsiaTheme="minorEastAsia"/>
          <w:sz w:val="24"/>
          <w:lang w:eastAsia="zh-CN"/>
        </w:rPr>
        <w:t>宁波市奉化区县江及其支流河道综合治理工程(四明路-山隍路)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建设需要，需在</w:t>
      </w:r>
      <w:r>
        <w:rPr>
          <w:rFonts w:hint="eastAsia" w:asciiTheme="minorEastAsia" w:hAnsiTheme="minorEastAsia" w:eastAsiaTheme="minorEastAsia"/>
          <w:sz w:val="24"/>
          <w:lang w:eastAsia="zh-CN"/>
        </w:rPr>
        <w:t>县江及其支流河道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新建1座500kV</w:t>
      </w:r>
      <w:bookmarkStart w:id="85" w:name="_GoBack"/>
      <w:bookmarkEnd w:id="85"/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A欧式箱变。</w:t>
      </w:r>
    </w:p>
    <w:p w14:paraId="05DAC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新建箱变(500kVA)由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110KV方桥变10KV徒竺D519线阮家3号环网单元待用DH902间隔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新敷设</w:t>
      </w: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ZR-YJV22-8.7/15-3×70高压电缆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至新建箱变(500kVA)；</w:t>
      </w:r>
    </w:p>
    <w:p w14:paraId="609423FE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供电线路建设方式采用电力电缆供电方式。</w:t>
      </w:r>
    </w:p>
    <w:p w14:paraId="47132905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ascii="Arial" w:hAnsi="Arial"/>
          <w:color w:val="auto"/>
          <w:sz w:val="24"/>
          <w:szCs w:val="24"/>
        </w:rPr>
      </w:pPr>
      <w:bookmarkStart w:id="81" w:name="_Toc24449"/>
      <w:r>
        <w:rPr>
          <w:rFonts w:hint="eastAsia" w:ascii="Arial" w:hAnsi="Arial"/>
          <w:color w:val="auto"/>
          <w:sz w:val="24"/>
          <w:szCs w:val="24"/>
        </w:rPr>
        <w:t>1.4.工程规模</w:t>
      </w:r>
      <w:bookmarkEnd w:id="81"/>
    </w:p>
    <w:p w14:paraId="7D0B693A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新敷设ZC-YJV22-8.7/15-3×70电缆0.61千米，新建3×70户内普通终端2套，，3×70前插T型终端1套。</w:t>
      </w:r>
    </w:p>
    <w:p w14:paraId="1C7C2D1F">
      <w:pPr>
        <w:tabs>
          <w:tab w:val="left" w:pos="567"/>
          <w:tab w:val="left" w:pos="709"/>
        </w:tabs>
        <w:spacing w:line="360" w:lineRule="auto"/>
        <w:rPr>
          <w:rFonts w:ascii="Arial" w:hAnsi="Arial"/>
          <w:color w:val="auto"/>
          <w:sz w:val="24"/>
        </w:rPr>
      </w:pPr>
      <w:r>
        <w:rPr>
          <w:rFonts w:hint="eastAsia" w:ascii="Arial" w:hAnsi="Arial"/>
          <w:b/>
          <w:color w:val="auto"/>
          <w:kern w:val="44"/>
          <w:sz w:val="24"/>
          <w:szCs w:val="24"/>
        </w:rPr>
        <w:t>1.4.1</w:t>
      </w:r>
      <w:r>
        <w:rPr>
          <w:rFonts w:hint="eastAsia" w:ascii="Arial" w:hAnsi="Arial"/>
          <w:color w:val="auto"/>
          <w:sz w:val="24"/>
        </w:rPr>
        <w:t>工程竣工后需另行委托有资质的勘测单位进行竣工复测，复测资料交与奉化供电公司保管，待10kV线路投产时交与相关运行单位。</w:t>
      </w:r>
    </w:p>
    <w:p w14:paraId="720C2858">
      <w:pPr>
        <w:pStyle w:val="2"/>
        <w:adjustRightInd/>
        <w:spacing w:before="120" w:after="0" w:line="480" w:lineRule="auto"/>
        <w:textAlignment w:val="auto"/>
        <w:rPr>
          <w:rFonts w:ascii="Arial" w:hAnsi="Arial"/>
          <w:color w:val="auto"/>
          <w:szCs w:val="28"/>
        </w:rPr>
      </w:pPr>
      <w:bookmarkStart w:id="82" w:name="_Toc22373"/>
      <w:r>
        <w:rPr>
          <w:rFonts w:hint="eastAsia" w:ascii="Arial" w:hAnsi="Arial"/>
          <w:color w:val="auto"/>
          <w:szCs w:val="28"/>
        </w:rPr>
        <w:t>2.工程概况</w:t>
      </w:r>
      <w:bookmarkEnd w:id="82"/>
    </w:p>
    <w:p w14:paraId="518F08D3">
      <w:pPr>
        <w:pStyle w:val="2"/>
        <w:tabs>
          <w:tab w:val="left" w:pos="567"/>
        </w:tabs>
        <w:adjustRightInd/>
        <w:spacing w:before="0" w:after="0" w:line="360" w:lineRule="auto"/>
        <w:ind w:left="420"/>
        <w:textAlignment w:val="auto"/>
        <w:rPr>
          <w:rFonts w:hint="eastAsia" w:ascii="Arial" w:hAnsi="Arial" w:eastAsia="宋体"/>
          <w:color w:val="auto"/>
          <w:sz w:val="24"/>
          <w:szCs w:val="24"/>
          <w:lang w:eastAsia="zh-CN"/>
        </w:rPr>
      </w:pPr>
      <w:bookmarkStart w:id="83" w:name="_Toc21523"/>
      <w:r>
        <w:rPr>
          <w:rFonts w:hint="eastAsia" w:ascii="Arial" w:hAnsi="Arial"/>
          <w:color w:val="auto"/>
          <w:sz w:val="24"/>
          <w:szCs w:val="24"/>
        </w:rPr>
        <w:t>2.1工程</w:t>
      </w:r>
      <w:bookmarkEnd w:id="83"/>
      <w:r>
        <w:rPr>
          <w:rFonts w:hint="eastAsia" w:ascii="Arial" w:hAnsi="Arial"/>
          <w:color w:val="auto"/>
          <w:sz w:val="24"/>
          <w:szCs w:val="24"/>
          <w:lang w:val="en-US" w:eastAsia="zh-CN"/>
        </w:rPr>
        <w:t>概况</w:t>
      </w:r>
    </w:p>
    <w:p w14:paraId="682E314D">
      <w:pPr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="宋体" w:hAnsi="宋体" w:cs="Times New Roman"/>
          <w:color w:val="auto"/>
          <w:sz w:val="24"/>
          <w:szCs w:val="22"/>
          <w:lang w:val="en-US" w:eastAsia="zh-CN"/>
        </w:rPr>
      </w:pPr>
      <w:bookmarkStart w:id="84" w:name="_Toc12170"/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由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110KV方桥变10KV徒竺D519线阮家3号环网单元待用DH902间隔</w:t>
      </w:r>
      <w:r>
        <w:rPr>
          <w:rFonts w:hint="eastAsia" w:asciiTheme="minorEastAsia" w:hAnsiTheme="minorEastAsia" w:eastAsiaTheme="minorEastAsia"/>
          <w:sz w:val="24"/>
          <w:highlight w:val="none"/>
          <w:lang w:val="en-US" w:eastAsia="zh-CN"/>
        </w:rPr>
        <w:t>至新建箱变(630kVA)新敷设</w:t>
      </w: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ZR-YJV22-8.7/15-3×70电缆0.61千米；</w:t>
      </w:r>
    </w:p>
    <w:p w14:paraId="2C3499A3">
      <w:pPr>
        <w:tabs>
          <w:tab w:val="left" w:pos="9741"/>
        </w:tabs>
        <w:spacing w:before="240"/>
        <w:jc w:val="both"/>
        <w:rPr>
          <w:rFonts w:hint="eastAsia" w:eastAsia="黑体"/>
          <w:b/>
          <w:color w:val="auto"/>
          <w:sz w:val="32"/>
        </w:rPr>
      </w:pPr>
    </w:p>
    <w:p w14:paraId="385D53B9">
      <w:pPr>
        <w:spacing w:line="360" w:lineRule="auto"/>
        <w:ind w:firstLine="643" w:firstLineChars="200"/>
        <w:jc w:val="center"/>
        <w:rPr>
          <w:color w:val="auto"/>
          <w:sz w:val="24"/>
        </w:rPr>
      </w:pPr>
      <w:r>
        <w:rPr>
          <w:rFonts w:hint="eastAsia" w:eastAsia="黑体"/>
          <w:b/>
          <w:color w:val="auto"/>
          <w:sz w:val="32"/>
        </w:rPr>
        <w:t>第</w:t>
      </w:r>
      <w:r>
        <w:rPr>
          <w:rFonts w:hint="eastAsia" w:eastAsia="黑体"/>
          <w:b/>
          <w:color w:val="auto"/>
          <w:sz w:val="32"/>
          <w:lang w:val="en-US" w:eastAsia="zh-CN"/>
        </w:rPr>
        <w:t>二</w:t>
      </w:r>
      <w:r>
        <w:rPr>
          <w:rFonts w:hint="eastAsia" w:eastAsia="黑体"/>
          <w:b/>
          <w:color w:val="auto"/>
          <w:sz w:val="32"/>
        </w:rPr>
        <w:t>部分：电缆线路</w:t>
      </w:r>
      <w:bookmarkEnd w:id="84"/>
    </w:p>
    <w:p w14:paraId="5870C41D">
      <w:pPr>
        <w:spacing w:line="360" w:lineRule="auto"/>
        <w:ind w:firstLine="422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一、工程概况：</w:t>
      </w:r>
    </w:p>
    <w:p w14:paraId="4A169CE7">
      <w:pPr>
        <w:spacing w:line="360" w:lineRule="auto"/>
        <w:ind w:firstLine="480" w:firstLineChars="200"/>
        <w:rPr>
          <w:rFonts w:hint="eastAsia"/>
          <w:b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  <w:lang w:val="en-US" w:eastAsia="zh-CN"/>
        </w:rPr>
        <w:t>本工程新敷设ZC-YJV22-8.7/15-3×70电缆0.61千米，新建3×70户内普通终端2套，3×70前插T型终端1套。</w:t>
      </w:r>
    </w:p>
    <w:p w14:paraId="4314BEA1">
      <w:pPr>
        <w:tabs>
          <w:tab w:val="left" w:leader="middleDot" w:pos="8820"/>
        </w:tabs>
        <w:spacing w:beforeLines="50" w:line="360" w:lineRule="auto"/>
        <w:ind w:firstLine="482" w:firstLineChars="200"/>
        <w:rPr>
          <w:color w:val="auto"/>
          <w:sz w:val="24"/>
        </w:rPr>
      </w:pPr>
      <w:r>
        <w:rPr>
          <w:rFonts w:hint="eastAsia"/>
          <w:b/>
          <w:color w:val="auto"/>
          <w:sz w:val="24"/>
        </w:rPr>
        <w:t>地质、地貌</w:t>
      </w:r>
    </w:p>
    <w:p w14:paraId="2DD17A27">
      <w:pPr>
        <w:spacing w:line="360" w:lineRule="auto"/>
        <w:ind w:firstLine="379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本工程线路所及地形平地100 %。沿线地质情况为</w:t>
      </w:r>
      <w:r>
        <w:rPr>
          <w:rFonts w:hint="eastAsia" w:ascii="宋体" w:hAnsi="宋体"/>
          <w:color w:val="auto"/>
          <w:sz w:val="24"/>
          <w:lang w:val="en-US" w:eastAsia="zh-CN"/>
        </w:rPr>
        <w:t>10</w:t>
      </w:r>
      <w:r>
        <w:rPr>
          <w:rFonts w:hint="eastAsia" w:ascii="宋体" w:hAnsi="宋体"/>
          <w:color w:val="auto"/>
          <w:sz w:val="24"/>
        </w:rPr>
        <w:t>0%</w:t>
      </w:r>
      <w:r>
        <w:rPr>
          <w:rFonts w:hint="eastAsia" w:ascii="宋体" w:hAnsi="宋体"/>
          <w:color w:val="auto"/>
          <w:sz w:val="24"/>
          <w:lang w:eastAsia="zh-CN"/>
        </w:rPr>
        <w:t>普通土</w:t>
      </w:r>
      <w:r>
        <w:rPr>
          <w:rFonts w:hint="eastAsia"/>
          <w:color w:val="auto"/>
          <w:sz w:val="24"/>
        </w:rPr>
        <w:t>。汽车运距</w:t>
      </w:r>
      <w:r>
        <w:rPr>
          <w:rFonts w:hint="eastAsia"/>
          <w:color w:val="auto"/>
          <w:sz w:val="24"/>
          <w:lang w:val="en-US" w:eastAsia="zh-CN"/>
        </w:rPr>
        <w:t>18</w:t>
      </w:r>
      <w:r>
        <w:rPr>
          <w:rFonts w:hint="eastAsia"/>
          <w:color w:val="auto"/>
          <w:sz w:val="24"/>
        </w:rPr>
        <w:t>km，人力运距0.</w:t>
      </w:r>
      <w:r>
        <w:rPr>
          <w:rFonts w:hint="eastAsia"/>
          <w:color w:val="auto"/>
          <w:sz w:val="24"/>
          <w:lang w:val="en-US" w:eastAsia="zh-CN"/>
        </w:rPr>
        <w:t>5</w:t>
      </w:r>
      <w:r>
        <w:rPr>
          <w:rFonts w:hint="eastAsia"/>
          <w:color w:val="auto"/>
          <w:sz w:val="24"/>
        </w:rPr>
        <w:t>km。（运输距离按平均列）</w:t>
      </w:r>
    </w:p>
    <w:p w14:paraId="171DC281">
      <w:pPr>
        <w:spacing w:line="360" w:lineRule="auto"/>
        <w:ind w:firstLine="379"/>
        <w:rPr>
          <w:color w:val="auto"/>
        </w:rPr>
      </w:pPr>
      <w:r>
        <w:rPr>
          <w:rFonts w:hint="eastAsia" w:eastAsia="黑体"/>
          <w:b/>
          <w:color w:val="auto"/>
          <w:sz w:val="28"/>
        </w:rPr>
        <w:t>二、特殊说明：</w:t>
      </w:r>
    </w:p>
    <w:p w14:paraId="6A503B9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1.电缆工作井、预留井</w:t>
      </w:r>
    </w:p>
    <w:p w14:paraId="46FC6B16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①电缆在对接的预留井预留1～2圈；</w:t>
      </w:r>
    </w:p>
    <w:p w14:paraId="70A3A8DA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2.电缆敷设</w:t>
      </w:r>
    </w:p>
    <w:p w14:paraId="41D4CC48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①电缆预留井尽量增大电缆转弯半径，原则现场放样；</w:t>
      </w:r>
    </w:p>
    <w:p w14:paraId="73825E34">
      <w:pPr>
        <w:spacing w:line="360" w:lineRule="auto"/>
        <w:ind w:firstLine="480" w:firstLineChars="200"/>
        <w:rPr>
          <w:rFonts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 xml:space="preserve">②电缆工作井电缆必须落地，防止电缆受力。 </w:t>
      </w:r>
    </w:p>
    <w:p w14:paraId="3B5CE0E4">
      <w:pPr>
        <w:spacing w:line="360" w:lineRule="auto"/>
        <w:ind w:firstLine="379"/>
        <w:rPr>
          <w:rFonts w:hint="eastAsia" w:eastAsia="黑体"/>
          <w:b/>
          <w:color w:val="auto"/>
          <w:sz w:val="28"/>
        </w:rPr>
      </w:pPr>
      <w:r>
        <w:rPr>
          <w:rFonts w:hint="eastAsia" w:eastAsia="黑体"/>
          <w:b/>
          <w:color w:val="auto"/>
          <w:sz w:val="28"/>
        </w:rPr>
        <w:t>三、主设备清单：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2339"/>
        <w:gridCol w:w="5928"/>
        <w:gridCol w:w="637"/>
        <w:gridCol w:w="733"/>
      </w:tblGrid>
      <w:tr w14:paraId="43D9A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01480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5905D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CD52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型号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3222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7E00B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</w:rPr>
              <w:t>数量</w:t>
            </w:r>
          </w:p>
        </w:tc>
      </w:tr>
      <w:tr w14:paraId="053A86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77560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A045F8A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2"/>
              </w:rPr>
              <w:t>10kV电力电缆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6052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10kV电力电缆,ZC-YJV22-8.7/15-3×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F65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千米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2517B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0.61</w:t>
            </w:r>
          </w:p>
        </w:tc>
      </w:tr>
      <w:tr w14:paraId="3D6873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76CED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140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A09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0mm2,3芯,户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,冷缩,铜(高可靠)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4DF9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1A640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76CD4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2E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52B2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</w:t>
            </w:r>
          </w:p>
        </w:tc>
        <w:tc>
          <w:tcPr>
            <w:tcW w:w="2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1182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电缆终端,10kV,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0mm2,3芯,设备终端,冷缩前插T型,铜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FE859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41037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</w:tr>
    </w:tbl>
    <w:p w14:paraId="33571113">
      <w:pPr>
        <w:rPr>
          <w:color w:val="auto"/>
        </w:rPr>
      </w:pPr>
    </w:p>
    <w:sectPr>
      <w:headerReference r:id="rId5" w:type="default"/>
      <w:footerReference r:id="rId6" w:type="default"/>
      <w:pgSz w:w="23757" w:h="16783" w:orient="landscape"/>
      <w:pgMar w:top="1418" w:right="1418" w:bottom="1134" w:left="1418" w:header="851" w:footer="992" w:gutter="0"/>
      <w:pgNumType w:fmt="decimal" w:start="1"/>
      <w:cols w:equalWidth="0" w:num="2">
        <w:col w:w="10248" w:space="425"/>
        <w:col w:w="1024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D9F7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BAEDC">
    <w:pPr>
      <w:pStyle w:val="3"/>
      <w:jc w:val="center"/>
      <w:rPr>
        <w:rFonts w:ascii="Arial" w:hAnsi="Arial" w:cs="Arial"/>
        <w:sz w:val="16"/>
        <w:szCs w:val="16"/>
      </w:rPr>
    </w:pPr>
    <w:r>
      <w:rPr>
        <w:sz w:val="16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 w14:paraId="4263C7E5"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rPr>
                    <w:rFonts w:hint="eastAsia"/>
                    <w:lang w:val="en-US" w:eastAsia="zh-CN"/>
                  </w:rPr>
                  <w:t>3</w:t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A454C">
    <w:pPr>
      <w:pStyle w:val="4"/>
      <w:pBdr>
        <w:bottom w:val="none" w:color="auto" w:sz="0" w:space="0"/>
      </w:pBdr>
      <w:jc w:val="both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382B0">
    <w:pPr>
      <w:snapToGrid w:val="0"/>
      <w:spacing w:line="400" w:lineRule="atLeast"/>
      <w:ind w:firstLine="420" w:firstLineChars="200"/>
      <w:jc w:val="left"/>
      <w:rPr>
        <w:lang w:val="en-GB"/>
      </w:rPr>
    </w:pPr>
    <w:r>
      <w:rPr>
        <w:rFonts w:hint="eastAsia" w:ascii="楷体_GB2312" w:eastAsia="楷体_GB2312"/>
        <w:szCs w:val="21"/>
      </w:rPr>
      <w:t xml:space="preserve">宁波恒晨电力建设有限公司                                                    </w:t>
    </w:r>
    <w:r>
      <w:rPr>
        <w:rFonts w:hint="eastAsia" w:ascii="楷体_GB2312" w:eastAsia="楷体_GB2312"/>
        <w:szCs w:val="21"/>
        <w:lang w:val="en-US" w:eastAsia="zh-CN"/>
      </w:rPr>
      <w:t xml:space="preserve">          中交城市投资(宁波)有限公司-宁波市奉化区县江及其支流河道综合治理工程(四明路-山隍路)-电力市政业扩工程(临时用电) </w:t>
    </w:r>
    <w:r>
      <w:rPr>
        <w:rFonts w:hint="eastAsia" w:ascii="楷体_GB2312" w:eastAsia="楷体_GB2312"/>
        <w:szCs w:val="21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73FDD"/>
    <w:multiLevelType w:val="multilevel"/>
    <w:tmpl w:val="38D73FD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宋体" w:hAnsi="宋体" w:eastAsia="宋体" w:cs="宋体"/>
        <w:lang w:val="en-US"/>
      </w:rPr>
    </w:lvl>
    <w:lvl w:ilvl="1" w:tentative="0">
      <w:start w:val="1"/>
      <w:numFmt w:val="decimal"/>
      <w:lvlText w:val="%1.%2."/>
      <w:lvlJc w:val="left"/>
      <w:pPr>
        <w:tabs>
          <w:tab w:val="left" w:pos="709"/>
        </w:tabs>
        <w:ind w:left="1129" w:hanging="567"/>
      </w:pPr>
      <w:rPr>
        <w:rFonts w:hint="eastAsia"/>
        <w:b/>
        <w:i w:val="0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709"/>
      </w:pPr>
      <w:rPr>
        <w:rFonts w:hint="eastAsia"/>
        <w:b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79EA4D6C"/>
    <w:multiLevelType w:val="singleLevel"/>
    <w:tmpl w:val="79EA4D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DViYmU3ZDM3NTQzZGZiZWYyZDk2NjZiYzAyY2VjODUifQ=="/>
  </w:docVars>
  <w:rsids>
    <w:rsidRoot w:val="00172A27"/>
    <w:rsid w:val="001E4C65"/>
    <w:rsid w:val="006836D3"/>
    <w:rsid w:val="007C78CF"/>
    <w:rsid w:val="00A10993"/>
    <w:rsid w:val="00B95037"/>
    <w:rsid w:val="00DE3F69"/>
    <w:rsid w:val="012A0989"/>
    <w:rsid w:val="015A012D"/>
    <w:rsid w:val="01A66995"/>
    <w:rsid w:val="01D54ECF"/>
    <w:rsid w:val="01FC5CB4"/>
    <w:rsid w:val="01FD75A7"/>
    <w:rsid w:val="02477986"/>
    <w:rsid w:val="02571C51"/>
    <w:rsid w:val="03155676"/>
    <w:rsid w:val="043F023A"/>
    <w:rsid w:val="044945DF"/>
    <w:rsid w:val="04621A06"/>
    <w:rsid w:val="0501064E"/>
    <w:rsid w:val="05411F75"/>
    <w:rsid w:val="056A749A"/>
    <w:rsid w:val="05AF5534"/>
    <w:rsid w:val="05C05A2B"/>
    <w:rsid w:val="05C22462"/>
    <w:rsid w:val="05D53C60"/>
    <w:rsid w:val="05E01F5E"/>
    <w:rsid w:val="069C40D7"/>
    <w:rsid w:val="06A21C01"/>
    <w:rsid w:val="06B80BDB"/>
    <w:rsid w:val="06BA455D"/>
    <w:rsid w:val="06C126A9"/>
    <w:rsid w:val="06E31D05"/>
    <w:rsid w:val="07162614"/>
    <w:rsid w:val="074107DA"/>
    <w:rsid w:val="07592E73"/>
    <w:rsid w:val="077862A9"/>
    <w:rsid w:val="078B22FB"/>
    <w:rsid w:val="07E42F75"/>
    <w:rsid w:val="07E446C0"/>
    <w:rsid w:val="083A10B9"/>
    <w:rsid w:val="08F77D6D"/>
    <w:rsid w:val="091A7535"/>
    <w:rsid w:val="092A791F"/>
    <w:rsid w:val="094602C1"/>
    <w:rsid w:val="09BD094B"/>
    <w:rsid w:val="0A140428"/>
    <w:rsid w:val="0A223E51"/>
    <w:rsid w:val="0B233DF4"/>
    <w:rsid w:val="0B453C6A"/>
    <w:rsid w:val="0B566408"/>
    <w:rsid w:val="0C175925"/>
    <w:rsid w:val="0D95362E"/>
    <w:rsid w:val="0DA30D3E"/>
    <w:rsid w:val="0DBF68FD"/>
    <w:rsid w:val="0E9B1118"/>
    <w:rsid w:val="0EA2281B"/>
    <w:rsid w:val="0EC51CF1"/>
    <w:rsid w:val="0EC57C37"/>
    <w:rsid w:val="0EEB2481"/>
    <w:rsid w:val="0EFE38B6"/>
    <w:rsid w:val="0F0B78A0"/>
    <w:rsid w:val="0F3C2108"/>
    <w:rsid w:val="0FCB3337"/>
    <w:rsid w:val="104B2C2F"/>
    <w:rsid w:val="10BC7123"/>
    <w:rsid w:val="10C75E2F"/>
    <w:rsid w:val="10D4446D"/>
    <w:rsid w:val="112E6273"/>
    <w:rsid w:val="117770FF"/>
    <w:rsid w:val="11905CA0"/>
    <w:rsid w:val="12284580"/>
    <w:rsid w:val="12BB3442"/>
    <w:rsid w:val="12CA5B28"/>
    <w:rsid w:val="135C4629"/>
    <w:rsid w:val="1370283F"/>
    <w:rsid w:val="13A03A37"/>
    <w:rsid w:val="147A56EA"/>
    <w:rsid w:val="14A20427"/>
    <w:rsid w:val="14FC0436"/>
    <w:rsid w:val="15460FAE"/>
    <w:rsid w:val="15E12D6E"/>
    <w:rsid w:val="165B2F3A"/>
    <w:rsid w:val="16881F81"/>
    <w:rsid w:val="17875466"/>
    <w:rsid w:val="17CF598E"/>
    <w:rsid w:val="18700F1F"/>
    <w:rsid w:val="188B70F7"/>
    <w:rsid w:val="18A40BC9"/>
    <w:rsid w:val="18CB52D7"/>
    <w:rsid w:val="190855FC"/>
    <w:rsid w:val="19444C50"/>
    <w:rsid w:val="19552B0F"/>
    <w:rsid w:val="19A91C26"/>
    <w:rsid w:val="19D11E91"/>
    <w:rsid w:val="1AAB3DA7"/>
    <w:rsid w:val="1ACC0089"/>
    <w:rsid w:val="1ACD6E1F"/>
    <w:rsid w:val="1AD079FC"/>
    <w:rsid w:val="1AF44089"/>
    <w:rsid w:val="1B202D4D"/>
    <w:rsid w:val="1B3A7C44"/>
    <w:rsid w:val="1BE02851"/>
    <w:rsid w:val="1BE13EE2"/>
    <w:rsid w:val="1C0A588B"/>
    <w:rsid w:val="1C261BF2"/>
    <w:rsid w:val="1C8859BE"/>
    <w:rsid w:val="1CB810E7"/>
    <w:rsid w:val="1D0B5791"/>
    <w:rsid w:val="1D440AD1"/>
    <w:rsid w:val="1D481109"/>
    <w:rsid w:val="1D8F160A"/>
    <w:rsid w:val="1DF27CC4"/>
    <w:rsid w:val="1E200CF1"/>
    <w:rsid w:val="1E2460F7"/>
    <w:rsid w:val="1E5D48EC"/>
    <w:rsid w:val="1ECE4809"/>
    <w:rsid w:val="1F31553C"/>
    <w:rsid w:val="1FB461D9"/>
    <w:rsid w:val="1FB83246"/>
    <w:rsid w:val="1FC57DA2"/>
    <w:rsid w:val="1FD44489"/>
    <w:rsid w:val="1FD77AD6"/>
    <w:rsid w:val="1FEF263B"/>
    <w:rsid w:val="200D34F7"/>
    <w:rsid w:val="2059498F"/>
    <w:rsid w:val="206F0274"/>
    <w:rsid w:val="20BA367F"/>
    <w:rsid w:val="20FB2A06"/>
    <w:rsid w:val="214D7FE4"/>
    <w:rsid w:val="21E62252"/>
    <w:rsid w:val="220E62D0"/>
    <w:rsid w:val="223622FA"/>
    <w:rsid w:val="227E7037"/>
    <w:rsid w:val="22AE018B"/>
    <w:rsid w:val="22FF181D"/>
    <w:rsid w:val="23CB3B95"/>
    <w:rsid w:val="24005A67"/>
    <w:rsid w:val="24215D08"/>
    <w:rsid w:val="247921A5"/>
    <w:rsid w:val="25304584"/>
    <w:rsid w:val="25912D53"/>
    <w:rsid w:val="2618447C"/>
    <w:rsid w:val="26345C82"/>
    <w:rsid w:val="26770932"/>
    <w:rsid w:val="268A6428"/>
    <w:rsid w:val="273566E0"/>
    <w:rsid w:val="273729F6"/>
    <w:rsid w:val="27591CC5"/>
    <w:rsid w:val="275F6374"/>
    <w:rsid w:val="278C564A"/>
    <w:rsid w:val="28667C49"/>
    <w:rsid w:val="298A3E0B"/>
    <w:rsid w:val="2A662182"/>
    <w:rsid w:val="2A940D02"/>
    <w:rsid w:val="2B254A12"/>
    <w:rsid w:val="2C2D78C2"/>
    <w:rsid w:val="2C974875"/>
    <w:rsid w:val="2CB371D5"/>
    <w:rsid w:val="2CBA1964"/>
    <w:rsid w:val="2D164EF4"/>
    <w:rsid w:val="2D4300C9"/>
    <w:rsid w:val="2E0665C5"/>
    <w:rsid w:val="2E24482E"/>
    <w:rsid w:val="2E921798"/>
    <w:rsid w:val="2EB37960"/>
    <w:rsid w:val="2EFF3F02"/>
    <w:rsid w:val="2F1E05A0"/>
    <w:rsid w:val="2FC75471"/>
    <w:rsid w:val="30534F57"/>
    <w:rsid w:val="308C7855"/>
    <w:rsid w:val="31363DD7"/>
    <w:rsid w:val="317F5F95"/>
    <w:rsid w:val="31C11B09"/>
    <w:rsid w:val="31C75BFC"/>
    <w:rsid w:val="31F43B9D"/>
    <w:rsid w:val="321D2B37"/>
    <w:rsid w:val="323D5EBE"/>
    <w:rsid w:val="32911E22"/>
    <w:rsid w:val="32BF0681"/>
    <w:rsid w:val="32F154A3"/>
    <w:rsid w:val="3334297D"/>
    <w:rsid w:val="33437504"/>
    <w:rsid w:val="33515506"/>
    <w:rsid w:val="33B73A4E"/>
    <w:rsid w:val="33C30645"/>
    <w:rsid w:val="33CF2B46"/>
    <w:rsid w:val="33F22CD8"/>
    <w:rsid w:val="33F56325"/>
    <w:rsid w:val="34232E92"/>
    <w:rsid w:val="34392D69"/>
    <w:rsid w:val="34607876"/>
    <w:rsid w:val="3469061B"/>
    <w:rsid w:val="34AA2DD1"/>
    <w:rsid w:val="355038EB"/>
    <w:rsid w:val="35CB04DD"/>
    <w:rsid w:val="36581519"/>
    <w:rsid w:val="365C268B"/>
    <w:rsid w:val="36742278"/>
    <w:rsid w:val="369167D9"/>
    <w:rsid w:val="36C161A3"/>
    <w:rsid w:val="36E2456F"/>
    <w:rsid w:val="36EF6EE9"/>
    <w:rsid w:val="373F3144"/>
    <w:rsid w:val="37465500"/>
    <w:rsid w:val="37CE0EE9"/>
    <w:rsid w:val="37E50B6C"/>
    <w:rsid w:val="37EF7191"/>
    <w:rsid w:val="38207E14"/>
    <w:rsid w:val="383B2EA0"/>
    <w:rsid w:val="38B45EEC"/>
    <w:rsid w:val="38DC40C3"/>
    <w:rsid w:val="39031265"/>
    <w:rsid w:val="390C00B9"/>
    <w:rsid w:val="395D2673"/>
    <w:rsid w:val="39795166"/>
    <w:rsid w:val="3A524952"/>
    <w:rsid w:val="3A9374E3"/>
    <w:rsid w:val="3B312BA8"/>
    <w:rsid w:val="3B533CA4"/>
    <w:rsid w:val="3BB84807"/>
    <w:rsid w:val="3BEA114C"/>
    <w:rsid w:val="3C1D41B4"/>
    <w:rsid w:val="3C6D2CDC"/>
    <w:rsid w:val="3D0E510B"/>
    <w:rsid w:val="3D5567B2"/>
    <w:rsid w:val="3D570250"/>
    <w:rsid w:val="3DED6F16"/>
    <w:rsid w:val="3E222088"/>
    <w:rsid w:val="3E734810"/>
    <w:rsid w:val="3E884E2B"/>
    <w:rsid w:val="3F19380F"/>
    <w:rsid w:val="3F3D5761"/>
    <w:rsid w:val="3F6A3A6A"/>
    <w:rsid w:val="3F94406A"/>
    <w:rsid w:val="3FA57E6B"/>
    <w:rsid w:val="3FBB16BD"/>
    <w:rsid w:val="3FDD38DB"/>
    <w:rsid w:val="408677D1"/>
    <w:rsid w:val="408B2B8A"/>
    <w:rsid w:val="40A1586A"/>
    <w:rsid w:val="40C913D4"/>
    <w:rsid w:val="41183C44"/>
    <w:rsid w:val="41345E57"/>
    <w:rsid w:val="418937EC"/>
    <w:rsid w:val="419A1241"/>
    <w:rsid w:val="41A876AF"/>
    <w:rsid w:val="41CD6E83"/>
    <w:rsid w:val="428C42F8"/>
    <w:rsid w:val="42A63A5B"/>
    <w:rsid w:val="42CC7849"/>
    <w:rsid w:val="433504EC"/>
    <w:rsid w:val="43EC2C15"/>
    <w:rsid w:val="44407044"/>
    <w:rsid w:val="44E703FF"/>
    <w:rsid w:val="451721D8"/>
    <w:rsid w:val="454235F8"/>
    <w:rsid w:val="45454D2E"/>
    <w:rsid w:val="4656785A"/>
    <w:rsid w:val="466F1F67"/>
    <w:rsid w:val="468679DC"/>
    <w:rsid w:val="469043B7"/>
    <w:rsid w:val="471079BF"/>
    <w:rsid w:val="475D515C"/>
    <w:rsid w:val="478D6B48"/>
    <w:rsid w:val="487F35F8"/>
    <w:rsid w:val="48912668"/>
    <w:rsid w:val="48936376"/>
    <w:rsid w:val="48B00446"/>
    <w:rsid w:val="48DC0E02"/>
    <w:rsid w:val="48E16B80"/>
    <w:rsid w:val="497558AC"/>
    <w:rsid w:val="49CB26EF"/>
    <w:rsid w:val="49ED7450"/>
    <w:rsid w:val="4A3E237C"/>
    <w:rsid w:val="4AD62618"/>
    <w:rsid w:val="4AFD6C6D"/>
    <w:rsid w:val="4BF067A0"/>
    <w:rsid w:val="4CB47AB2"/>
    <w:rsid w:val="4CF5766A"/>
    <w:rsid w:val="4D185106"/>
    <w:rsid w:val="4D4F590B"/>
    <w:rsid w:val="4E4836EB"/>
    <w:rsid w:val="4EBE07D4"/>
    <w:rsid w:val="4ED84E7A"/>
    <w:rsid w:val="4EDB1528"/>
    <w:rsid w:val="4F5144DC"/>
    <w:rsid w:val="4FB530E0"/>
    <w:rsid w:val="504D50C7"/>
    <w:rsid w:val="50A170F8"/>
    <w:rsid w:val="50EE4AFC"/>
    <w:rsid w:val="50F84668"/>
    <w:rsid w:val="50FE442D"/>
    <w:rsid w:val="51407FD9"/>
    <w:rsid w:val="51844B18"/>
    <w:rsid w:val="52512185"/>
    <w:rsid w:val="528E1C15"/>
    <w:rsid w:val="52A55A32"/>
    <w:rsid w:val="5334287E"/>
    <w:rsid w:val="53532AD0"/>
    <w:rsid w:val="542213D8"/>
    <w:rsid w:val="547F1F0F"/>
    <w:rsid w:val="54AF6350"/>
    <w:rsid w:val="5537199B"/>
    <w:rsid w:val="5562480E"/>
    <w:rsid w:val="55657914"/>
    <w:rsid w:val="55DB0836"/>
    <w:rsid w:val="562F2848"/>
    <w:rsid w:val="569B6B68"/>
    <w:rsid w:val="576F2F50"/>
    <w:rsid w:val="58193EDE"/>
    <w:rsid w:val="585B1424"/>
    <w:rsid w:val="586C1684"/>
    <w:rsid w:val="588D419D"/>
    <w:rsid w:val="589846B3"/>
    <w:rsid w:val="58C73D39"/>
    <w:rsid w:val="59193FFE"/>
    <w:rsid w:val="59553682"/>
    <w:rsid w:val="59F1740B"/>
    <w:rsid w:val="59F42A57"/>
    <w:rsid w:val="5A00764E"/>
    <w:rsid w:val="5A3D4747"/>
    <w:rsid w:val="5AC365B6"/>
    <w:rsid w:val="5B5A4B3C"/>
    <w:rsid w:val="5BA04C44"/>
    <w:rsid w:val="5BE639E9"/>
    <w:rsid w:val="5C3523C9"/>
    <w:rsid w:val="5C6A5252"/>
    <w:rsid w:val="5C8A31FF"/>
    <w:rsid w:val="5C9A5FF3"/>
    <w:rsid w:val="5CA1310C"/>
    <w:rsid w:val="5CD84380"/>
    <w:rsid w:val="5E2C6943"/>
    <w:rsid w:val="5E303CEE"/>
    <w:rsid w:val="5E3830C3"/>
    <w:rsid w:val="5E48511F"/>
    <w:rsid w:val="5E650CF9"/>
    <w:rsid w:val="5E8845A1"/>
    <w:rsid w:val="5EC61241"/>
    <w:rsid w:val="5EF01A3F"/>
    <w:rsid w:val="5F6E5059"/>
    <w:rsid w:val="5FAB005C"/>
    <w:rsid w:val="5FB062AB"/>
    <w:rsid w:val="5FBB1958"/>
    <w:rsid w:val="5FD50C35"/>
    <w:rsid w:val="602045A6"/>
    <w:rsid w:val="60261188"/>
    <w:rsid w:val="613A6B4A"/>
    <w:rsid w:val="614E3BA7"/>
    <w:rsid w:val="6197187E"/>
    <w:rsid w:val="623B56C7"/>
    <w:rsid w:val="62797F9D"/>
    <w:rsid w:val="62EF025F"/>
    <w:rsid w:val="636F0515"/>
    <w:rsid w:val="636F146E"/>
    <w:rsid w:val="63771D8C"/>
    <w:rsid w:val="637E4CEA"/>
    <w:rsid w:val="63A50FB6"/>
    <w:rsid w:val="63AC4391"/>
    <w:rsid w:val="63AD3923"/>
    <w:rsid w:val="63CB6A53"/>
    <w:rsid w:val="6401241C"/>
    <w:rsid w:val="64344556"/>
    <w:rsid w:val="643E4FFA"/>
    <w:rsid w:val="64A03C73"/>
    <w:rsid w:val="65183842"/>
    <w:rsid w:val="654865F8"/>
    <w:rsid w:val="657607C4"/>
    <w:rsid w:val="658E7B9D"/>
    <w:rsid w:val="65B512EC"/>
    <w:rsid w:val="66B522DA"/>
    <w:rsid w:val="66C800E0"/>
    <w:rsid w:val="66E74596"/>
    <w:rsid w:val="67080C09"/>
    <w:rsid w:val="673E3F19"/>
    <w:rsid w:val="67670D0C"/>
    <w:rsid w:val="67BA181D"/>
    <w:rsid w:val="686966AD"/>
    <w:rsid w:val="688C42F6"/>
    <w:rsid w:val="69226C1A"/>
    <w:rsid w:val="69963CC4"/>
    <w:rsid w:val="69D92325"/>
    <w:rsid w:val="69E20B1E"/>
    <w:rsid w:val="69E2467A"/>
    <w:rsid w:val="6A331379"/>
    <w:rsid w:val="6B6A0284"/>
    <w:rsid w:val="6BA77929"/>
    <w:rsid w:val="6C150D37"/>
    <w:rsid w:val="6C4909E0"/>
    <w:rsid w:val="6C6875E6"/>
    <w:rsid w:val="6C9D2ADA"/>
    <w:rsid w:val="6CB70F1F"/>
    <w:rsid w:val="6CBA6F26"/>
    <w:rsid w:val="6CCA7D73"/>
    <w:rsid w:val="6CDD04AE"/>
    <w:rsid w:val="6D3236CC"/>
    <w:rsid w:val="6D3A315F"/>
    <w:rsid w:val="6D4F3856"/>
    <w:rsid w:val="6DD45613"/>
    <w:rsid w:val="6DE73BAD"/>
    <w:rsid w:val="6DF96B04"/>
    <w:rsid w:val="6E31701D"/>
    <w:rsid w:val="6E751F61"/>
    <w:rsid w:val="6F6F4C02"/>
    <w:rsid w:val="6F7F686B"/>
    <w:rsid w:val="6FA12ADA"/>
    <w:rsid w:val="6FAD572A"/>
    <w:rsid w:val="700D0083"/>
    <w:rsid w:val="70235E37"/>
    <w:rsid w:val="702459EC"/>
    <w:rsid w:val="702B5E7B"/>
    <w:rsid w:val="70974410"/>
    <w:rsid w:val="70C765F0"/>
    <w:rsid w:val="715856A4"/>
    <w:rsid w:val="716B31A7"/>
    <w:rsid w:val="71D376CA"/>
    <w:rsid w:val="71D945B4"/>
    <w:rsid w:val="71DB657E"/>
    <w:rsid w:val="720930EC"/>
    <w:rsid w:val="726E514B"/>
    <w:rsid w:val="72836A56"/>
    <w:rsid w:val="72995965"/>
    <w:rsid w:val="72B72607"/>
    <w:rsid w:val="73806773"/>
    <w:rsid w:val="743D5CC4"/>
    <w:rsid w:val="74652FE8"/>
    <w:rsid w:val="74C4255B"/>
    <w:rsid w:val="75167647"/>
    <w:rsid w:val="7548217D"/>
    <w:rsid w:val="754B3A1B"/>
    <w:rsid w:val="75501031"/>
    <w:rsid w:val="75B675B5"/>
    <w:rsid w:val="75DB3961"/>
    <w:rsid w:val="76011D98"/>
    <w:rsid w:val="76403626"/>
    <w:rsid w:val="76712163"/>
    <w:rsid w:val="76843A2F"/>
    <w:rsid w:val="76A2501E"/>
    <w:rsid w:val="76A41635"/>
    <w:rsid w:val="76C4350E"/>
    <w:rsid w:val="77406331"/>
    <w:rsid w:val="774549A7"/>
    <w:rsid w:val="775D2EE9"/>
    <w:rsid w:val="777617F1"/>
    <w:rsid w:val="783A0CDB"/>
    <w:rsid w:val="78BB1892"/>
    <w:rsid w:val="78F40ED5"/>
    <w:rsid w:val="78F543CA"/>
    <w:rsid w:val="78F64FB8"/>
    <w:rsid w:val="79182469"/>
    <w:rsid w:val="797F3DBA"/>
    <w:rsid w:val="79912F52"/>
    <w:rsid w:val="79AC4C45"/>
    <w:rsid w:val="79DA7153"/>
    <w:rsid w:val="79F521A7"/>
    <w:rsid w:val="7A1A2CDA"/>
    <w:rsid w:val="7A4B1DC7"/>
    <w:rsid w:val="7AC027B5"/>
    <w:rsid w:val="7AE75CEF"/>
    <w:rsid w:val="7B325A22"/>
    <w:rsid w:val="7B3867F0"/>
    <w:rsid w:val="7B9A4C6B"/>
    <w:rsid w:val="7BA07EF1"/>
    <w:rsid w:val="7BEB5610"/>
    <w:rsid w:val="7C0D74BE"/>
    <w:rsid w:val="7C240B22"/>
    <w:rsid w:val="7C2E3242"/>
    <w:rsid w:val="7C701FB9"/>
    <w:rsid w:val="7CDD6F10"/>
    <w:rsid w:val="7D341239"/>
    <w:rsid w:val="7D667E3B"/>
    <w:rsid w:val="7DA0067C"/>
    <w:rsid w:val="7E024E93"/>
    <w:rsid w:val="7E3D3175"/>
    <w:rsid w:val="7E9E4BBC"/>
    <w:rsid w:val="7F6019E3"/>
    <w:rsid w:val="7FA94FA8"/>
    <w:rsid w:val="7FFE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rFonts w:ascii="宋体"/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9"/>
    <w:rPr>
      <w:rFonts w:ascii="宋体" w:hAnsi="Times New Roman" w:eastAsia="宋体" w:cs="Times New Roman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1288</Words>
  <Characters>1825</Characters>
  <Lines>88</Lines>
  <Paragraphs>24</Paragraphs>
  <TotalTime>0</TotalTime>
  <ScaleCrop>false</ScaleCrop>
  <LinksUpToDate>false</LinksUpToDate>
  <CharactersWithSpaces>1933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2022-01-09T04:02:00Z</dcterms:created>
  <dc:creator>admin</dc:creator>
  <cp:lastModifiedBy>东1420009518</cp:lastModifiedBy>
  <cp:lastPrinted>2024-11-29T04:52:00Z</cp:lastPrinted>
  <dcterms:modified xsi:type="dcterms:W3CDTF">2024-12-31T02:16:49Z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28080F5063624FD5AF801BB646B6E8AF</vt:lpwstr>
  </property>
  <property fmtid="{D5CDD505-2E9C-101B-9397-08002B2CF9AE}" pid="4" name="commondata">
    <vt:lpwstr>eyJoZGlkIjoiZWU3OWNiMDFlNGVmMjViNzdmYTIzNmQzZDQwY2M1ZDYifQ==</vt:lpwstr>
  </property>
  <property fmtid="{D5CDD505-2E9C-101B-9397-08002B2CF9AE}" pid="5" name="KSOTemplateDocerSaveRecord">
    <vt:lpwstr>eyJoZGlkIjoiMDViYmU3ZDM3NTQzZGZiZWYyZDk2NjZiYzAyY2VjODUiLCJ1c2VySWQiOiIyNzgyODMyNSJ9</vt:lpwstr>
  </property>
</Properties>
</file>