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6B0FC3">
      <w:pPr>
        <w:pageBreakBefore w:val="0"/>
        <w:widowControl w:val="0"/>
        <w:kinsoku/>
        <w:wordWrap/>
        <w:overflowPunct/>
        <w:topLinePunct w:val="0"/>
        <w:bidi w:val="0"/>
        <w:spacing w:line="360" w:lineRule="auto"/>
        <w:rPr>
          <w:rFonts w:hint="eastAsia" w:ascii="仿宋" w:hAnsi="仿宋" w:eastAsia="仿宋" w:cs="仿宋"/>
          <w:b/>
          <w:color w:val="auto"/>
          <w:sz w:val="28"/>
          <w:szCs w:val="28"/>
          <w:highlight w:val="none"/>
        </w:rPr>
      </w:pPr>
      <w:bookmarkStart w:id="0" w:name="_GoBack"/>
      <w:bookmarkEnd w:id="0"/>
      <w:r>
        <w:rPr>
          <w:rFonts w:hint="eastAsia" w:ascii="仿宋" w:hAnsi="仿宋" w:eastAsia="仿宋" w:cs="仿宋"/>
          <w:b/>
          <w:color w:val="auto"/>
          <w:sz w:val="28"/>
          <w:szCs w:val="28"/>
          <w:highlight w:val="none"/>
        </w:rPr>
        <w:t>基本格式：</w:t>
      </w:r>
    </w:p>
    <w:p w14:paraId="6DC59605">
      <w:pPr>
        <w:pageBreakBefore w:val="0"/>
        <w:widowControl w:val="0"/>
        <w:kinsoku/>
        <w:wordWrap/>
        <w:overflowPunct/>
        <w:topLinePunct w:val="0"/>
        <w:bidi w:val="0"/>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关于对******************项目的意见建议</w:t>
      </w:r>
    </w:p>
    <w:p w14:paraId="0F410C1A">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致：浙江</w:t>
      </w:r>
      <w:r>
        <w:rPr>
          <w:rFonts w:hint="eastAsia" w:ascii="仿宋" w:hAnsi="仿宋" w:eastAsia="仿宋" w:cs="仿宋"/>
          <w:color w:val="auto"/>
          <w:sz w:val="28"/>
          <w:szCs w:val="28"/>
          <w:highlight w:val="none"/>
          <w:lang w:val="en-US" w:eastAsia="zh-CN"/>
        </w:rPr>
        <w:t>佰顺</w:t>
      </w:r>
      <w:r>
        <w:rPr>
          <w:rFonts w:hint="eastAsia" w:ascii="仿宋" w:hAnsi="仿宋" w:eastAsia="仿宋" w:cs="仿宋"/>
          <w:color w:val="auto"/>
          <w:sz w:val="28"/>
          <w:szCs w:val="28"/>
          <w:highlight w:val="none"/>
        </w:rPr>
        <w:t>项目管理有限公司</w:t>
      </w:r>
    </w:p>
    <w:p w14:paraId="548FE289">
      <w:pPr>
        <w:pageBreakBefore w:val="0"/>
        <w:widowControl w:val="0"/>
        <w:kinsoku/>
        <w:wordWrap/>
        <w:overflowPunct/>
        <w:topLinePunct w:val="0"/>
        <w:bidi w:val="0"/>
        <w:spacing w:line="360" w:lineRule="auto"/>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对于贵公司于202</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年*月*日公示的*********************项目采购要素，我公司有如下意见建议：</w:t>
      </w:r>
    </w:p>
    <w:tbl>
      <w:tblPr>
        <w:tblStyle w:val="22"/>
        <w:tblW w:w="8522" w:type="dxa"/>
        <w:tblInd w:w="0" w:type="dxa"/>
        <w:tblLayout w:type="fixed"/>
        <w:tblCellMar>
          <w:top w:w="0" w:type="dxa"/>
          <w:left w:w="108" w:type="dxa"/>
          <w:bottom w:w="0" w:type="dxa"/>
          <w:right w:w="108" w:type="dxa"/>
        </w:tblCellMar>
      </w:tblPr>
      <w:tblGrid>
        <w:gridCol w:w="4261"/>
        <w:gridCol w:w="4261"/>
      </w:tblGrid>
      <w:tr w14:paraId="25B3CCCE">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vAlign w:val="top"/>
          </w:tcPr>
          <w:p w14:paraId="007CB5FD">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原条款</w:t>
            </w:r>
          </w:p>
        </w:tc>
        <w:tc>
          <w:tcPr>
            <w:tcW w:w="4261" w:type="dxa"/>
            <w:tcBorders>
              <w:top w:val="single" w:color="auto" w:sz="4" w:space="0"/>
              <w:left w:val="single" w:color="auto" w:sz="4" w:space="0"/>
              <w:bottom w:val="single" w:color="auto" w:sz="4" w:space="0"/>
              <w:right w:val="single" w:color="auto" w:sz="4" w:space="0"/>
            </w:tcBorders>
            <w:vAlign w:val="top"/>
          </w:tcPr>
          <w:p w14:paraId="1302AC41">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本公司意见建议</w:t>
            </w:r>
          </w:p>
        </w:tc>
      </w:tr>
      <w:tr w14:paraId="10ADDFA5">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vAlign w:val="top"/>
          </w:tcPr>
          <w:p w14:paraId="4F0D3574">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vAlign w:val="top"/>
          </w:tcPr>
          <w:p w14:paraId="528D6E7A">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r>
      <w:tr w14:paraId="3184D193">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vAlign w:val="top"/>
          </w:tcPr>
          <w:p w14:paraId="4E2F75CF">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vAlign w:val="top"/>
          </w:tcPr>
          <w:p w14:paraId="15846EA2">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r>
      <w:tr w14:paraId="3551F9F5">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vAlign w:val="top"/>
          </w:tcPr>
          <w:p w14:paraId="169753C3">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c>
          <w:tcPr>
            <w:tcW w:w="4261" w:type="dxa"/>
            <w:tcBorders>
              <w:top w:val="single" w:color="auto" w:sz="4" w:space="0"/>
              <w:left w:val="single" w:color="auto" w:sz="4" w:space="0"/>
              <w:bottom w:val="single" w:color="auto" w:sz="4" w:space="0"/>
              <w:right w:val="single" w:color="auto" w:sz="4" w:space="0"/>
            </w:tcBorders>
            <w:vAlign w:val="top"/>
          </w:tcPr>
          <w:p w14:paraId="30E915B3">
            <w:pPr>
              <w:pageBreakBefore w:val="0"/>
              <w:widowControl w:val="0"/>
              <w:pBdr>
                <w:top w:val="single" w:color="auto" w:sz="4" w:space="0"/>
                <w:left w:val="single" w:color="auto" w:sz="4" w:space="0"/>
                <w:bottom w:val="single" w:color="auto" w:sz="4" w:space="0"/>
                <w:right w:val="single" w:color="auto" w:sz="4" w:space="0"/>
              </w:pBdr>
              <w:kinsoku/>
              <w:wordWrap/>
              <w:overflowPunct/>
              <w:topLinePunct w:val="0"/>
              <w:bidi w:val="0"/>
              <w:spacing w:before="100" w:beforeAutospacing="1" w:after="100" w:afterAutospacing="1" w:line="360" w:lineRule="auto"/>
              <w:jc w:val="center"/>
              <w:rPr>
                <w:rFonts w:hint="eastAsia" w:ascii="仿宋" w:hAnsi="仿宋" w:eastAsia="仿宋" w:cs="仿宋"/>
                <w:color w:val="auto"/>
                <w:sz w:val="28"/>
                <w:szCs w:val="28"/>
                <w:highlight w:val="none"/>
              </w:rPr>
            </w:pPr>
          </w:p>
        </w:tc>
      </w:tr>
    </w:tbl>
    <w:p w14:paraId="38F380EE">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p>
    <w:p w14:paraId="53AE1483">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传真：********</w:t>
      </w:r>
    </w:p>
    <w:p w14:paraId="3B3C3FE1">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联系人：********</w:t>
      </w:r>
    </w:p>
    <w:p w14:paraId="42EBBE2C">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联系电话：**********</w:t>
      </w:r>
    </w:p>
    <w:p w14:paraId="558ECD6E">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联系手机：**********</w:t>
      </w:r>
    </w:p>
    <w:p w14:paraId="156D227E">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p>
    <w:p w14:paraId="6D7A4EA5">
      <w:pPr>
        <w:pageBreakBefore w:val="0"/>
        <w:widowControl w:val="0"/>
        <w:kinsoku/>
        <w:wordWrap/>
        <w:overflowPunct/>
        <w:topLinePunct w:val="0"/>
        <w:bidi w:val="0"/>
        <w:spacing w:line="360" w:lineRule="auto"/>
        <w:rPr>
          <w:rFonts w:hint="eastAsia" w:ascii="仿宋" w:hAnsi="仿宋" w:eastAsia="仿宋" w:cs="仿宋"/>
          <w:color w:val="auto"/>
          <w:sz w:val="28"/>
          <w:szCs w:val="28"/>
          <w:highlight w:val="none"/>
        </w:rPr>
      </w:pPr>
    </w:p>
    <w:p w14:paraId="1D0C253A">
      <w:pPr>
        <w:pageBreakBefore w:val="0"/>
        <w:widowControl w:val="0"/>
        <w:kinsoku/>
        <w:wordWrap/>
        <w:overflowPunct/>
        <w:topLinePunct w:val="0"/>
        <w:bidi w:val="0"/>
        <w:spacing w:line="360" w:lineRule="auto"/>
        <w:ind w:left="4480" w:hanging="4480" w:hangingChars="16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单位名称：</w:t>
      </w:r>
      <w:r>
        <w:rPr>
          <w:rFonts w:hint="eastAsia" w:ascii="仿宋" w:hAnsi="仿宋" w:eastAsia="仿宋" w:cs="仿宋"/>
          <w:color w:val="auto"/>
          <w:sz w:val="28"/>
          <w:szCs w:val="28"/>
          <w:highlight w:val="none"/>
          <w:u w:val="single"/>
        </w:rPr>
        <w:t>（加盖公章）</w:t>
      </w:r>
    </w:p>
    <w:p w14:paraId="11F2A06D">
      <w:pPr>
        <w:pageBreakBefore w:val="0"/>
        <w:widowControl w:val="0"/>
        <w:kinsoku/>
        <w:wordWrap/>
        <w:overflowPunct/>
        <w:topLinePunct w:val="0"/>
        <w:bidi w:val="0"/>
        <w:spacing w:line="360" w:lineRule="auto"/>
        <w:jc w:val="left"/>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二O二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年*月*日</w:t>
      </w:r>
    </w:p>
    <w:p w14:paraId="0078E882">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bCs/>
          <w:color w:val="auto"/>
          <w:sz w:val="24"/>
          <w:szCs w:val="24"/>
          <w:highlight w:val="none"/>
          <w:lang w:val="en-US" w:eastAsia="zh-CN"/>
        </w:rPr>
      </w:pPr>
    </w:p>
    <w:p w14:paraId="484248ED">
      <w:pPr>
        <w:pStyle w:val="6"/>
        <w:rPr>
          <w:rFonts w:hint="eastAsia" w:ascii="仿宋" w:hAnsi="仿宋" w:eastAsia="仿宋" w:cs="仿宋"/>
          <w:b/>
          <w:bCs/>
          <w:color w:val="auto"/>
          <w:sz w:val="24"/>
          <w:szCs w:val="24"/>
          <w:highlight w:val="none"/>
          <w:lang w:val="en-US" w:eastAsia="zh-CN"/>
        </w:rPr>
      </w:pPr>
    </w:p>
    <w:p w14:paraId="0D56B44F">
      <w:pPr>
        <w:rPr>
          <w:rFonts w:hint="eastAsia" w:ascii="仿宋" w:hAnsi="仿宋" w:eastAsia="仿宋" w:cs="仿宋"/>
          <w:b/>
          <w:bCs/>
          <w:color w:val="auto"/>
          <w:sz w:val="24"/>
          <w:szCs w:val="24"/>
          <w:highlight w:val="none"/>
          <w:lang w:val="en-US" w:eastAsia="zh-CN"/>
        </w:rPr>
      </w:pPr>
    </w:p>
    <w:p w14:paraId="234BD7C5">
      <w:pPr>
        <w:pageBreakBefore w:val="0"/>
        <w:widowControl w:val="0"/>
        <w:numPr>
          <w:ilvl w:val="0"/>
          <w:numId w:val="0"/>
        </w:numPr>
        <w:kinsoku/>
        <w:wordWrap/>
        <w:overflowPunct/>
        <w:topLinePunct w:val="0"/>
        <w:bidi w:val="0"/>
        <w:spacing w:line="360" w:lineRule="auto"/>
        <w:jc w:val="center"/>
        <w:rPr>
          <w:rFonts w:hint="eastAsia" w:ascii="仿宋" w:hAnsi="仿宋" w:eastAsia="仿宋" w:cs="仿宋"/>
          <w:b/>
          <w:bCs/>
          <w:i w:val="0"/>
          <w:iCs w:val="0"/>
          <w:caps w:val="0"/>
          <w:color w:val="auto"/>
          <w:spacing w:val="0"/>
          <w:sz w:val="32"/>
          <w:szCs w:val="32"/>
          <w:highlight w:val="none"/>
          <w:lang w:val="en-US" w:eastAsia="zh-CN"/>
        </w:rPr>
      </w:pPr>
    </w:p>
    <w:p w14:paraId="1953BD6A">
      <w:pPr>
        <w:pageBreakBefore w:val="0"/>
        <w:widowControl w:val="0"/>
        <w:numPr>
          <w:ilvl w:val="0"/>
          <w:numId w:val="0"/>
        </w:numPr>
        <w:kinsoku/>
        <w:wordWrap/>
        <w:overflowPunct/>
        <w:topLinePunct w:val="0"/>
        <w:bidi w:val="0"/>
        <w:spacing w:line="360" w:lineRule="auto"/>
        <w:jc w:val="center"/>
        <w:rPr>
          <w:rFonts w:hint="eastAsia" w:ascii="仿宋" w:hAnsi="仿宋" w:eastAsia="仿宋" w:cs="仿宋"/>
          <w:b/>
          <w:bCs/>
          <w:i w:val="0"/>
          <w:iCs w:val="0"/>
          <w:caps w:val="0"/>
          <w:color w:val="auto"/>
          <w:spacing w:val="0"/>
          <w:sz w:val="32"/>
          <w:szCs w:val="32"/>
          <w:highlight w:val="none"/>
          <w:lang w:val="en-US" w:eastAsia="zh-CN"/>
        </w:rPr>
      </w:pPr>
      <w:r>
        <w:rPr>
          <w:rFonts w:hint="eastAsia" w:ascii="仿宋" w:hAnsi="仿宋" w:eastAsia="仿宋" w:cs="仿宋"/>
          <w:b/>
          <w:bCs/>
          <w:i w:val="0"/>
          <w:iCs w:val="0"/>
          <w:caps w:val="0"/>
          <w:color w:val="auto"/>
          <w:spacing w:val="0"/>
          <w:sz w:val="32"/>
          <w:szCs w:val="32"/>
          <w:highlight w:val="none"/>
          <w:lang w:val="en-US" w:eastAsia="zh-CN"/>
        </w:rPr>
        <w:t>诸暨市城市生活污水治理扩面提效项目—大唐街道金科路雨污</w:t>
      </w:r>
    </w:p>
    <w:p w14:paraId="66D3FCFC">
      <w:pPr>
        <w:pageBreakBefore w:val="0"/>
        <w:widowControl w:val="0"/>
        <w:numPr>
          <w:ilvl w:val="0"/>
          <w:numId w:val="0"/>
        </w:numPr>
        <w:kinsoku/>
        <w:wordWrap/>
        <w:overflowPunct/>
        <w:topLinePunct w:val="0"/>
        <w:bidi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i w:val="0"/>
          <w:iCs w:val="0"/>
          <w:caps w:val="0"/>
          <w:color w:val="auto"/>
          <w:spacing w:val="0"/>
          <w:sz w:val="32"/>
          <w:szCs w:val="32"/>
          <w:highlight w:val="none"/>
          <w:lang w:val="en-US" w:eastAsia="zh-CN"/>
        </w:rPr>
        <w:t>分流提升改造工程监理服务采购项目的</w:t>
      </w:r>
      <w:r>
        <w:rPr>
          <w:rFonts w:hint="eastAsia" w:ascii="仿宋" w:hAnsi="仿宋" w:eastAsia="仿宋" w:cs="仿宋"/>
          <w:b/>
          <w:bCs/>
          <w:color w:val="auto"/>
          <w:sz w:val="32"/>
          <w:szCs w:val="32"/>
          <w:highlight w:val="none"/>
        </w:rPr>
        <w:t>采购要素</w:t>
      </w:r>
    </w:p>
    <w:p w14:paraId="7B6FC7BE">
      <w:pPr>
        <w:pStyle w:val="27"/>
        <w:pageBreakBefore w:val="0"/>
        <w:widowControl w:val="0"/>
        <w:kinsoku/>
        <w:wordWrap/>
        <w:overflowPunct/>
        <w:topLinePunct w:val="0"/>
        <w:bidi w:val="0"/>
        <w:spacing w:line="360" w:lineRule="auto"/>
        <w:rPr>
          <w:rFonts w:hint="eastAsia" w:ascii="仿宋" w:hAnsi="仿宋" w:eastAsia="仿宋" w:cs="仿宋"/>
          <w:color w:val="auto"/>
          <w:highlight w:val="none"/>
          <w:lang w:val="en-US" w:eastAsia="zh-CN"/>
        </w:rPr>
      </w:pPr>
    </w:p>
    <w:p w14:paraId="013EC321">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lang w:val="en-US" w:eastAsia="zh-CN"/>
        </w:rPr>
        <w:t>一、</w:t>
      </w:r>
      <w:r>
        <w:rPr>
          <w:rFonts w:hint="eastAsia" w:ascii="仿宋" w:hAnsi="仿宋" w:eastAsia="仿宋" w:cs="仿宋"/>
          <w:b/>
          <w:color w:val="auto"/>
          <w:sz w:val="24"/>
          <w:highlight w:val="none"/>
        </w:rPr>
        <w:t>项目名称</w:t>
      </w:r>
      <w:r>
        <w:rPr>
          <w:rFonts w:hint="eastAsia" w:ascii="仿宋" w:hAnsi="仿宋" w:eastAsia="仿宋" w:cs="仿宋"/>
          <w:b/>
          <w:color w:val="auto"/>
          <w:sz w:val="24"/>
          <w:highlight w:val="none"/>
          <w:lang w:eastAsia="zh-CN"/>
        </w:rPr>
        <w:t>：</w:t>
      </w:r>
      <w:r>
        <w:rPr>
          <w:rFonts w:hint="eastAsia" w:ascii="仿宋" w:hAnsi="仿宋" w:eastAsia="仿宋" w:cs="仿宋"/>
          <w:b w:val="0"/>
          <w:bCs/>
          <w:color w:val="auto"/>
          <w:sz w:val="24"/>
          <w:highlight w:val="none"/>
          <w:lang w:eastAsia="zh-CN"/>
        </w:rPr>
        <w:t>诸暨市城市生活污水治理扩面提效项目—大唐街道金科路雨污分流提升改造工程监理服务采购项目</w:t>
      </w:r>
    </w:p>
    <w:p w14:paraId="375EB4DB">
      <w:pPr>
        <w:keepNext w:val="0"/>
        <w:keepLines w:val="0"/>
        <w:pageBreakBefore w:val="0"/>
        <w:widowControl w:val="0"/>
        <w:kinsoku/>
        <w:wordWrap/>
        <w:overflowPunct/>
        <w:topLinePunct w:val="0"/>
        <w:bidi w:val="0"/>
        <w:adjustRightInd w:val="0"/>
        <w:snapToGrid w:val="0"/>
        <w:spacing w:line="420" w:lineRule="exact"/>
        <w:ind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二、项目内容及规模：</w:t>
      </w:r>
      <w:r>
        <w:rPr>
          <w:rFonts w:hint="eastAsia" w:ascii="仿宋" w:hAnsi="仿宋" w:eastAsia="仿宋" w:cs="仿宋"/>
          <w:color w:val="auto"/>
          <w:sz w:val="24"/>
          <w:highlight w:val="none"/>
          <w:lang w:val="en-US" w:eastAsia="zh-CN"/>
        </w:rPr>
        <w:t>诸暨市城市生活污水治理扩面提效项目—大唐街道金科路雨污分流提升改造工程监理服务采购项目，按折扣进行报价，采购预算金额为人民币叁拾万捌仟元整（¥308000.00），具体内容详见采购需求。</w:t>
      </w:r>
    </w:p>
    <w:p w14:paraId="5EA70E43">
      <w:pPr>
        <w:keepNext w:val="0"/>
        <w:keepLines w:val="0"/>
        <w:pageBreakBefore w:val="0"/>
        <w:widowControl w:val="0"/>
        <w:kinsoku/>
        <w:wordWrap/>
        <w:overflowPunct/>
        <w:topLinePunct w:val="0"/>
        <w:bidi w:val="0"/>
        <w:adjustRightInd w:val="0"/>
        <w:snapToGrid w:val="0"/>
        <w:spacing w:line="420" w:lineRule="exact"/>
        <w:ind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bCs w:val="0"/>
          <w:color w:val="auto"/>
          <w:sz w:val="24"/>
          <w:highlight w:val="none"/>
        </w:rPr>
        <w:t>合同履约期限</w:t>
      </w:r>
      <w:r>
        <w:rPr>
          <w:rFonts w:hint="eastAsia" w:ascii="仿宋" w:hAnsi="仿宋" w:eastAsia="仿宋" w:cs="仿宋"/>
          <w:b w:val="0"/>
          <w:bCs/>
          <w:color w:val="auto"/>
          <w:sz w:val="24"/>
          <w:highlight w:val="none"/>
        </w:rPr>
        <w:t>：</w:t>
      </w:r>
      <w:r>
        <w:rPr>
          <w:rFonts w:hint="eastAsia" w:ascii="仿宋" w:hAnsi="仿宋" w:eastAsia="仿宋" w:cs="仿宋"/>
          <w:color w:val="auto"/>
          <w:sz w:val="24"/>
          <w:highlight w:val="none"/>
          <w:lang w:val="en-US" w:eastAsia="zh-CN"/>
        </w:rPr>
        <w:t>按招标文件要求执行</w:t>
      </w:r>
      <w:r>
        <w:rPr>
          <w:rFonts w:hint="eastAsia" w:eastAsia="仿宋"/>
          <w:b w:val="0"/>
          <w:bCs/>
          <w:color w:val="auto"/>
          <w:sz w:val="24"/>
          <w:highlight w:val="none"/>
          <w:lang w:val="en-US" w:eastAsia="zh-CN"/>
        </w:rPr>
        <w:t>。</w:t>
      </w:r>
    </w:p>
    <w:p w14:paraId="61C7069C">
      <w:pPr>
        <w:keepNext w:val="0"/>
        <w:keepLines w:val="0"/>
        <w:pageBreakBefore w:val="0"/>
        <w:widowControl w:val="0"/>
        <w:kinsoku/>
        <w:wordWrap/>
        <w:overflowPunct/>
        <w:topLinePunct w:val="0"/>
        <w:autoSpaceDE w:val="0"/>
        <w:autoSpaceDN w:val="0"/>
        <w:bidi w:val="0"/>
        <w:adjustRightInd w:val="0"/>
        <w:snapToGrid/>
        <w:spacing w:line="42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w:t>
      </w:r>
      <w:r>
        <w:rPr>
          <w:rFonts w:hint="eastAsia" w:ascii="仿宋" w:hAnsi="仿宋" w:eastAsia="仿宋" w:cs="仿宋"/>
          <w:b/>
          <w:color w:val="auto"/>
          <w:sz w:val="24"/>
          <w:highlight w:val="none"/>
          <w:lang w:eastAsia="zh-CN"/>
        </w:rPr>
        <w:t>中标人</w:t>
      </w:r>
      <w:r>
        <w:rPr>
          <w:rFonts w:hint="eastAsia" w:ascii="仿宋" w:hAnsi="仿宋" w:eastAsia="仿宋" w:cs="仿宋"/>
          <w:b/>
          <w:color w:val="auto"/>
          <w:sz w:val="24"/>
          <w:highlight w:val="none"/>
        </w:rPr>
        <w:t>（供应商）资格要求：</w:t>
      </w:r>
    </w:p>
    <w:p w14:paraId="32AAD898">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满足《中华人民共和国政府采购法》第二十二条规定</w:t>
      </w:r>
      <w:r>
        <w:rPr>
          <w:rFonts w:hint="eastAsia" w:ascii="仿宋" w:hAnsi="仿宋" w:eastAsia="仿宋" w:cs="仿宋"/>
          <w:color w:val="auto"/>
          <w:sz w:val="24"/>
          <w:szCs w:val="24"/>
          <w:highlight w:val="none"/>
          <w:lang w:eastAsia="zh-CN"/>
        </w:rPr>
        <w:t>。</w:t>
      </w:r>
    </w:p>
    <w:p w14:paraId="67A48A4B">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未被“信用中国”（www.creditchina.gov.cn）、中国政府采购网（www.ccgp.gov.cn）列入失信被执行人、重大税收违法案件当事人名单、政府采购严重违法失信行为记录名单</w:t>
      </w:r>
      <w:r>
        <w:rPr>
          <w:rFonts w:hint="eastAsia" w:ascii="仿宋" w:hAnsi="仿宋" w:eastAsia="仿宋" w:cs="仿宋"/>
          <w:color w:val="auto"/>
          <w:sz w:val="24"/>
          <w:szCs w:val="24"/>
          <w:highlight w:val="none"/>
          <w:lang w:eastAsia="zh-CN"/>
        </w:rPr>
        <w:t>。</w:t>
      </w:r>
    </w:p>
    <w:p w14:paraId="19CACF9C">
      <w:pPr>
        <w:keepNext w:val="0"/>
        <w:keepLines w:val="0"/>
        <w:pageBreakBefore w:val="0"/>
        <w:widowControl w:val="0"/>
        <w:kinsoku/>
        <w:wordWrap/>
        <w:overflowPunct/>
        <w:topLinePunct w:val="0"/>
        <w:bidi w:val="0"/>
        <w:adjustRightInd w:val="0"/>
        <w:spacing w:line="420" w:lineRule="exact"/>
        <w:ind w:left="0" w:leftChars="0" w:firstLine="48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Cs/>
          <w:color w:val="auto"/>
          <w:sz w:val="24"/>
          <w:highlight w:val="none"/>
        </w:rPr>
        <w:t>3</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本项目的特定资格要求：</w:t>
      </w:r>
      <w:r>
        <w:rPr>
          <w:rFonts w:hint="eastAsia" w:ascii="仿宋" w:hAnsi="仿宋" w:eastAsia="仿宋" w:cs="仿宋"/>
          <w:b/>
          <w:bCs w:val="0"/>
          <w:color w:val="auto"/>
          <w:sz w:val="24"/>
          <w:highlight w:val="none"/>
          <w:lang w:val="en-US" w:eastAsia="zh-CN"/>
        </w:rPr>
        <w:t>具有工程监理综合资质或市政公用工程监理丙级（含）以上资质。</w:t>
      </w:r>
    </w:p>
    <w:p w14:paraId="0E1FB989">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本项目</w:t>
      </w:r>
      <w:r>
        <w:rPr>
          <w:rFonts w:hint="eastAsia" w:ascii="仿宋" w:hAnsi="仿宋" w:eastAsia="仿宋" w:cs="仿宋"/>
          <w:b/>
          <w:bCs/>
          <w:color w:val="auto"/>
          <w:sz w:val="24"/>
          <w:szCs w:val="24"/>
          <w:highlight w:val="none"/>
          <w:u w:val="single"/>
        </w:rPr>
        <w:t>不</w:t>
      </w:r>
      <w:r>
        <w:rPr>
          <w:rFonts w:hint="eastAsia" w:ascii="仿宋" w:hAnsi="仿宋" w:eastAsia="仿宋" w:cs="仿宋"/>
          <w:color w:val="auto"/>
          <w:sz w:val="24"/>
          <w:szCs w:val="24"/>
          <w:highlight w:val="none"/>
        </w:rPr>
        <w:t>接受联合体投标。</w:t>
      </w:r>
    </w:p>
    <w:p w14:paraId="109BC34A">
      <w:pPr>
        <w:keepNext w:val="0"/>
        <w:keepLines w:val="0"/>
        <w:pageBreakBefore w:val="0"/>
        <w:widowControl w:val="0"/>
        <w:kinsoku/>
        <w:wordWrap/>
        <w:overflowPunct/>
        <w:topLinePunct w:val="0"/>
        <w:autoSpaceDE w:val="0"/>
        <w:autoSpaceDN w:val="0"/>
        <w:bidi w:val="0"/>
        <w:adjustRightInd w:val="0"/>
        <w:snapToGrid/>
        <w:spacing w:line="42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四、评标办法：综合评分法</w:t>
      </w:r>
    </w:p>
    <w:p w14:paraId="6017F318">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（1）满分为100分。总得分=商务技术得分+报价得分；</w:t>
      </w:r>
    </w:p>
    <w:p w14:paraId="0B020E70">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（2）商务技术得分=商务技术评分，商务技术评分=</w:t>
      </w:r>
      <w:r>
        <w:rPr>
          <w:rFonts w:hint="eastAsia" w:ascii="仿宋" w:hAnsi="仿宋" w:eastAsia="仿宋" w:cs="仿宋"/>
          <w:color w:val="auto"/>
          <w:spacing w:val="-6"/>
          <w:sz w:val="24"/>
          <w:highlight w:val="none"/>
        </w:rPr>
        <w:t>所有评委的有效评分的算术平均数</w:t>
      </w:r>
      <w:r>
        <w:rPr>
          <w:rFonts w:hint="eastAsia" w:ascii="仿宋" w:hAnsi="仿宋" w:eastAsia="仿宋" w:cs="仿宋"/>
          <w:color w:val="auto"/>
          <w:sz w:val="24"/>
          <w:highlight w:val="none"/>
        </w:rPr>
        <w:t>；</w:t>
      </w:r>
    </w:p>
    <w:p w14:paraId="0CC5B5F2">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（3）报价得分=（评标基准价/投标</w:t>
      </w:r>
      <w:r>
        <w:rPr>
          <w:rFonts w:hint="eastAsia" w:ascii="仿宋" w:hAnsi="仿宋" w:eastAsia="仿宋" w:cs="仿宋"/>
          <w:color w:val="auto"/>
          <w:sz w:val="24"/>
          <w:highlight w:val="none"/>
          <w:lang w:val="en-US" w:eastAsia="zh-CN"/>
        </w:rPr>
        <w:t>报价</w:t>
      </w:r>
      <w:r>
        <w:rPr>
          <w:rFonts w:hint="eastAsia" w:ascii="仿宋" w:hAnsi="仿宋" w:eastAsia="仿宋" w:cs="仿宋"/>
          <w:color w:val="auto"/>
          <w:sz w:val="24"/>
          <w:highlight w:val="none"/>
        </w:rPr>
        <w:t>）*价格权值*100，评标基准价=有效</w:t>
      </w:r>
      <w:r>
        <w:rPr>
          <w:rFonts w:hint="eastAsia" w:ascii="仿宋" w:hAnsi="仿宋" w:eastAsia="仿宋" w:cs="仿宋"/>
          <w:color w:val="auto"/>
          <w:sz w:val="24"/>
          <w:highlight w:val="none"/>
          <w:lang w:val="en-US" w:eastAsia="zh-CN"/>
        </w:rPr>
        <w:t>投</w:t>
      </w:r>
      <w:r>
        <w:rPr>
          <w:rFonts w:hint="eastAsia" w:ascii="仿宋" w:hAnsi="仿宋" w:eastAsia="仿宋" w:cs="仿宋"/>
          <w:color w:val="auto"/>
          <w:sz w:val="24"/>
          <w:highlight w:val="none"/>
          <w:lang w:eastAsia="zh-CN"/>
        </w:rPr>
        <w:t>标人</w:t>
      </w:r>
      <w:r>
        <w:rPr>
          <w:rFonts w:hint="eastAsia" w:ascii="仿宋" w:hAnsi="仿宋" w:eastAsia="仿宋" w:cs="仿宋"/>
          <w:color w:val="auto"/>
          <w:sz w:val="24"/>
          <w:highlight w:val="none"/>
        </w:rPr>
        <w:t>的最低投标报价，价格权值=</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p>
    <w:p w14:paraId="5A908924">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Times New Roman"/>
          <w:b/>
          <w:i/>
          <w:color w:val="auto"/>
          <w:sz w:val="24"/>
          <w:szCs w:val="24"/>
          <w:highlight w:val="none"/>
          <w:lang w:eastAsia="zh-CN"/>
        </w:rPr>
      </w:pPr>
      <w:r>
        <w:rPr>
          <w:rFonts w:hint="eastAsia" w:ascii="仿宋" w:hAnsi="仿宋" w:eastAsia="仿宋" w:cs="仿宋"/>
          <w:color w:val="auto"/>
          <w:sz w:val="24"/>
          <w:highlight w:val="none"/>
        </w:rPr>
        <w:t>（4）商务技术分评分细则（</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0分）</w:t>
      </w:r>
    </w:p>
    <w:tbl>
      <w:tblPr>
        <w:tblStyle w:val="22"/>
        <w:tblW w:w="1024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846"/>
        <w:gridCol w:w="1034"/>
        <w:gridCol w:w="7625"/>
        <w:gridCol w:w="741"/>
      </w:tblGrid>
      <w:tr w14:paraId="3F692A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695" w:hRule="atLeast"/>
          <w:jc w:val="center"/>
        </w:trPr>
        <w:tc>
          <w:tcPr>
            <w:tcW w:w="846" w:type="dxa"/>
            <w:tcBorders>
              <w:tl2br w:val="nil"/>
              <w:tr2bl w:val="nil"/>
            </w:tcBorders>
            <w:noWrap w:val="0"/>
            <w:vAlign w:val="center"/>
          </w:tcPr>
          <w:p w14:paraId="5DF09FFA">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034" w:type="dxa"/>
            <w:tcBorders>
              <w:tl2br w:val="nil"/>
              <w:tr2bl w:val="nil"/>
            </w:tcBorders>
            <w:noWrap w:val="0"/>
            <w:vAlign w:val="center"/>
          </w:tcPr>
          <w:p w14:paraId="601DCECE">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评分项目</w:t>
            </w:r>
          </w:p>
        </w:tc>
        <w:tc>
          <w:tcPr>
            <w:tcW w:w="7625" w:type="dxa"/>
            <w:tcBorders>
              <w:tl2br w:val="nil"/>
              <w:tr2bl w:val="nil"/>
            </w:tcBorders>
            <w:noWrap w:val="0"/>
            <w:vAlign w:val="center"/>
          </w:tcPr>
          <w:p w14:paraId="2DBA7DEC">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评分标准</w:t>
            </w:r>
          </w:p>
        </w:tc>
        <w:tc>
          <w:tcPr>
            <w:tcW w:w="741" w:type="dxa"/>
            <w:tcBorders>
              <w:tl2br w:val="nil"/>
              <w:tr2bl w:val="nil"/>
            </w:tcBorders>
            <w:noWrap w:val="0"/>
            <w:vAlign w:val="center"/>
          </w:tcPr>
          <w:p w14:paraId="3C2979F8">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center"/>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r>
      <w:tr w14:paraId="6AFAD1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tcBorders>
              <w:tl2br w:val="nil"/>
              <w:tr2bl w:val="nil"/>
            </w:tcBorders>
            <w:noWrap w:val="0"/>
            <w:vAlign w:val="center"/>
          </w:tcPr>
          <w:p w14:paraId="190E6FE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w:t>
            </w:r>
          </w:p>
        </w:tc>
        <w:tc>
          <w:tcPr>
            <w:tcW w:w="1034" w:type="dxa"/>
            <w:tcBorders>
              <w:tl2br w:val="nil"/>
              <w:tr2bl w:val="nil"/>
            </w:tcBorders>
            <w:noWrap w:val="0"/>
            <w:vAlign w:val="center"/>
          </w:tcPr>
          <w:p w14:paraId="0DB1D528">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企业资信</w:t>
            </w:r>
          </w:p>
        </w:tc>
        <w:tc>
          <w:tcPr>
            <w:tcW w:w="7625" w:type="dxa"/>
            <w:tcBorders>
              <w:tl2br w:val="nil"/>
              <w:tr2bl w:val="nil"/>
            </w:tcBorders>
            <w:noWrap w:val="0"/>
            <w:vAlign w:val="center"/>
          </w:tcPr>
          <w:p w14:paraId="4FC0ECEF">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供应商具有有效期内的质量管理体系认证证书、职业健康安全管理体系认证证书、环境管理体系认证证书的，每提供一个证书得1分，最高得3分。</w:t>
            </w:r>
          </w:p>
          <w:p w14:paraId="59769277">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注：需提供有效期内证书复印件及国家认证认可监督管理委员会官网截图 </w:t>
            </w:r>
          </w:p>
          <w:p w14:paraId="2B773EEC">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证明并加盖供应商CA签章，否则不得分。</w:t>
            </w:r>
          </w:p>
        </w:tc>
        <w:tc>
          <w:tcPr>
            <w:tcW w:w="741" w:type="dxa"/>
            <w:tcBorders>
              <w:tl2br w:val="nil"/>
              <w:tr2bl w:val="nil"/>
            </w:tcBorders>
            <w:noWrap w:val="0"/>
            <w:vAlign w:val="center"/>
          </w:tcPr>
          <w:p w14:paraId="762B2E00">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firstLine="241" w:firstLineChars="100"/>
              <w:jc w:val="both"/>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3分</w:t>
            </w:r>
          </w:p>
        </w:tc>
      </w:tr>
      <w:tr w14:paraId="4B54F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tcBorders>
              <w:tl2br w:val="nil"/>
              <w:tr2bl w:val="nil"/>
            </w:tcBorders>
            <w:noWrap w:val="0"/>
            <w:vAlign w:val="center"/>
          </w:tcPr>
          <w:p w14:paraId="2932CE9A">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2</w:t>
            </w:r>
          </w:p>
        </w:tc>
        <w:tc>
          <w:tcPr>
            <w:tcW w:w="1034" w:type="dxa"/>
            <w:tcBorders>
              <w:tl2br w:val="nil"/>
              <w:tr2bl w:val="nil"/>
            </w:tcBorders>
            <w:noWrap w:val="0"/>
            <w:vAlign w:val="center"/>
          </w:tcPr>
          <w:p w14:paraId="67F8D89E">
            <w:pPr>
              <w:keepNext w:val="0"/>
              <w:keepLines w:val="0"/>
              <w:pageBreakBefore w:val="0"/>
              <w:widowControl w:val="0"/>
              <w:kinsoku/>
              <w:wordWrap/>
              <w:overflowPunct/>
              <w:topLinePunct w:val="0"/>
              <w:bidi w:val="0"/>
              <w:snapToGrid/>
              <w:spacing w:line="38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项目业绩</w:t>
            </w:r>
          </w:p>
        </w:tc>
        <w:tc>
          <w:tcPr>
            <w:tcW w:w="7625" w:type="dxa"/>
            <w:tcBorders>
              <w:tl2br w:val="nil"/>
              <w:tr2bl w:val="nil"/>
            </w:tcBorders>
            <w:noWrap w:val="0"/>
            <w:vAlign w:val="center"/>
          </w:tcPr>
          <w:p w14:paraId="342B8ED8">
            <w:pPr>
              <w:keepNext w:val="0"/>
              <w:keepLines w:val="0"/>
              <w:pageBreakBefore w:val="0"/>
              <w:widowControl w:val="0"/>
              <w:kinsoku/>
              <w:wordWrap/>
              <w:overflowPunct/>
              <w:topLinePunct w:val="0"/>
              <w:bidi w:val="0"/>
              <w:snapToGrid/>
              <w:spacing w:line="38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供应商自2022年1月1日以来（以合同签订时间为准）承接过同类或类似项目业绩的，每提供一个得1分，本项最高得2分。</w:t>
            </w:r>
          </w:p>
          <w:p w14:paraId="6BDEEC74">
            <w:pPr>
              <w:keepNext w:val="0"/>
              <w:keepLines w:val="0"/>
              <w:pageBreakBefore w:val="0"/>
              <w:widowControl w:val="0"/>
              <w:kinsoku/>
              <w:wordWrap/>
              <w:overflowPunct/>
              <w:topLinePunct w:val="0"/>
              <w:bidi w:val="0"/>
              <w:snapToGrid/>
              <w:spacing w:line="380" w:lineRule="exact"/>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lang w:val="en-US" w:eastAsia="zh-CN"/>
              </w:rPr>
              <w:t>注：同一合同不重复计分，时间认定以合同签订时间为准；需提供合同（包括但不限于合同内容、双方签字盖章、签署时间；若合同内容不能体现相关信息的，还需提供合同业主盖章的证明材料）复印件并加盖供应商CA签章，否则不得分。</w:t>
            </w:r>
          </w:p>
        </w:tc>
        <w:tc>
          <w:tcPr>
            <w:tcW w:w="741" w:type="dxa"/>
            <w:tcBorders>
              <w:tl2br w:val="nil"/>
              <w:tr2bl w:val="nil"/>
            </w:tcBorders>
            <w:noWrap w:val="0"/>
            <w:vAlign w:val="center"/>
          </w:tcPr>
          <w:p w14:paraId="7042099F">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2分</w:t>
            </w:r>
          </w:p>
        </w:tc>
      </w:tr>
      <w:tr w14:paraId="1CA08D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615" w:hRule="atLeast"/>
          <w:jc w:val="center"/>
        </w:trPr>
        <w:tc>
          <w:tcPr>
            <w:tcW w:w="846" w:type="dxa"/>
            <w:tcBorders>
              <w:tl2br w:val="nil"/>
              <w:tr2bl w:val="nil"/>
            </w:tcBorders>
            <w:noWrap w:val="0"/>
            <w:vAlign w:val="center"/>
          </w:tcPr>
          <w:p w14:paraId="4BFC3851">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3</w:t>
            </w:r>
          </w:p>
        </w:tc>
        <w:tc>
          <w:tcPr>
            <w:tcW w:w="1034" w:type="dxa"/>
            <w:tcBorders>
              <w:tl2br w:val="nil"/>
              <w:tr2bl w:val="nil"/>
            </w:tcBorders>
            <w:noWrap w:val="0"/>
            <w:vAlign w:val="center"/>
          </w:tcPr>
          <w:p w14:paraId="1CEEBAC4">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拟派人员</w:t>
            </w:r>
          </w:p>
        </w:tc>
        <w:tc>
          <w:tcPr>
            <w:tcW w:w="7625" w:type="dxa"/>
            <w:tcBorders>
              <w:tl2br w:val="nil"/>
              <w:tr2bl w:val="nil"/>
            </w:tcBorders>
            <w:noWrap w:val="0"/>
            <w:vAlign w:val="center"/>
          </w:tcPr>
          <w:p w14:paraId="4507639F">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 xml:space="preserve">供应商在采购需求中要求的基础上，每增加一个市政公用工程专业监理工 </w:t>
            </w:r>
          </w:p>
          <w:p w14:paraId="05A6168C">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程师的得2分，每增加一个市政公用工程专业监理员的得1分，本项最高得10 分。</w:t>
            </w:r>
          </w:p>
          <w:p w14:paraId="20CF8D9A">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人员必须为供应商在职员工（不含离、退休返聘人员），需提供人员相关证书复印件以及在供应商最近连续3个月的社保缴纳证明并加盖供应商CA签章，社保缴纳证明以社保机构出具的社保证明为准；以上材料未提供或提供不全不得分。</w:t>
            </w:r>
          </w:p>
        </w:tc>
        <w:tc>
          <w:tcPr>
            <w:tcW w:w="741" w:type="dxa"/>
            <w:tcBorders>
              <w:tl2br w:val="nil"/>
              <w:tr2bl w:val="nil"/>
            </w:tcBorders>
            <w:noWrap w:val="0"/>
            <w:vAlign w:val="center"/>
          </w:tcPr>
          <w:p w14:paraId="464C888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10分</w:t>
            </w:r>
          </w:p>
        </w:tc>
      </w:tr>
      <w:tr w14:paraId="67C589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tcBorders>
              <w:tl2br w:val="nil"/>
              <w:tr2bl w:val="nil"/>
            </w:tcBorders>
            <w:noWrap w:val="0"/>
            <w:vAlign w:val="center"/>
          </w:tcPr>
          <w:p w14:paraId="45DC20C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p>
        </w:tc>
        <w:tc>
          <w:tcPr>
            <w:tcW w:w="1034" w:type="dxa"/>
            <w:tcBorders>
              <w:tl2br w:val="nil"/>
              <w:tr2bl w:val="nil"/>
            </w:tcBorders>
            <w:noWrap w:val="0"/>
            <w:vAlign w:val="center"/>
          </w:tcPr>
          <w:p w14:paraId="40CBD8F9">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重难点</w:t>
            </w:r>
          </w:p>
          <w:p w14:paraId="37604CDC">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分析</w:t>
            </w:r>
          </w:p>
        </w:tc>
        <w:tc>
          <w:tcPr>
            <w:tcW w:w="7625" w:type="dxa"/>
            <w:tcBorders>
              <w:tl2br w:val="nil"/>
              <w:tr2bl w:val="nil"/>
            </w:tcBorders>
            <w:noWrap w:val="0"/>
            <w:vAlign w:val="center"/>
          </w:tcPr>
          <w:p w14:paraId="568382F5">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根据供应商结合项目需求及自身经验对项目监理包括雨污分流工程的重难点、关键性技术难题和应对措施的分析阐述</w:t>
            </w:r>
            <w:r>
              <w:rPr>
                <w:rFonts w:hint="eastAsia" w:ascii="仿宋" w:hAnsi="仿宋" w:eastAsia="仿宋" w:cs="仿宋"/>
                <w:color w:val="auto"/>
                <w:sz w:val="24"/>
                <w:szCs w:val="24"/>
                <w:highlight w:val="none"/>
                <w:lang w:val="en-US" w:eastAsia="zh-CN"/>
              </w:rPr>
              <w:t>，由评审专家进行综合打分</w:t>
            </w:r>
            <w:r>
              <w:rPr>
                <w:rFonts w:hint="eastAsia" w:ascii="仿宋" w:hAnsi="仿宋" w:eastAsia="仿宋" w:cs="仿宋"/>
                <w:color w:val="auto"/>
                <w:sz w:val="24"/>
                <w:szCs w:val="24"/>
                <w:highlight w:val="none"/>
                <w:lang w:val="en-US" w:eastAsia="zh-CN" w:bidi="ar-SA"/>
              </w:rPr>
              <w:t>。</w:t>
            </w:r>
          </w:p>
          <w:p w14:paraId="0EB97A9D">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w:t>
            </w:r>
            <w:r>
              <w:rPr>
                <w:rFonts w:hint="eastAsia" w:ascii="仿宋" w:hAnsi="仿宋" w:eastAsia="仿宋" w:cs="宋体"/>
                <w:color w:val="auto"/>
                <w:sz w:val="24"/>
                <w:highlight w:val="none"/>
                <w:lang w:val="en-US" w:eastAsia="zh-CN"/>
              </w:rPr>
              <w:t>阐述详细，内容全面、合理、清晰，可行性强的得(4,7]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61F2542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7分</w:t>
            </w:r>
          </w:p>
        </w:tc>
      </w:tr>
      <w:tr w14:paraId="7EAFF1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restart"/>
            <w:tcBorders>
              <w:tl2br w:val="nil"/>
              <w:tr2bl w:val="nil"/>
            </w:tcBorders>
            <w:noWrap w:val="0"/>
            <w:vAlign w:val="center"/>
          </w:tcPr>
          <w:p w14:paraId="484DFCFB">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5</w:t>
            </w:r>
          </w:p>
        </w:tc>
        <w:tc>
          <w:tcPr>
            <w:tcW w:w="1034" w:type="dxa"/>
            <w:vMerge w:val="restart"/>
            <w:tcBorders>
              <w:tl2br w:val="nil"/>
              <w:tr2bl w:val="nil"/>
            </w:tcBorders>
            <w:noWrap w:val="0"/>
            <w:vAlign w:val="center"/>
          </w:tcPr>
          <w:p w14:paraId="12C62164">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服务方案</w:t>
            </w:r>
          </w:p>
        </w:tc>
        <w:tc>
          <w:tcPr>
            <w:tcW w:w="7625" w:type="dxa"/>
            <w:tcBorders>
              <w:tl2br w:val="nil"/>
              <w:tr2bl w:val="nil"/>
            </w:tcBorders>
            <w:noWrap w:val="0"/>
            <w:vAlign w:val="center"/>
          </w:tcPr>
          <w:p w14:paraId="161B88D1">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根据供应商提供的监理组织、监理规范和监理管理制度是否全面合理，监理工作流程是否科学可行，由评审专家进行综合打分。</w:t>
            </w:r>
          </w:p>
          <w:p w14:paraId="149CBBC6">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宋体"/>
                <w:color w:val="auto"/>
                <w:sz w:val="24"/>
                <w:highlight w:val="none"/>
                <w:lang w:val="en-US" w:eastAsia="zh-CN"/>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2045F8AA">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6CF003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3FEFDA15">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645A960D">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rPr>
            </w:pPr>
          </w:p>
        </w:tc>
        <w:tc>
          <w:tcPr>
            <w:tcW w:w="7625" w:type="dxa"/>
            <w:tcBorders>
              <w:tl2br w:val="nil"/>
              <w:tr2bl w:val="nil"/>
            </w:tcBorders>
            <w:noWrap w:val="0"/>
            <w:vAlign w:val="center"/>
          </w:tcPr>
          <w:p w14:paraId="47BAECE1">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w:t>
            </w:r>
            <w:r>
              <w:rPr>
                <w:rFonts w:hint="eastAsia" w:ascii="仿宋" w:hAnsi="仿宋" w:eastAsia="仿宋" w:cs="仿宋"/>
                <w:color w:val="auto"/>
                <w:sz w:val="24"/>
                <w:szCs w:val="24"/>
                <w:highlight w:val="none"/>
                <w:lang w:val="zh-CN" w:eastAsia="zh-CN" w:bidi="ar-SA"/>
              </w:rPr>
              <w:t>监理资料管理方案（包括监理流程、资料管理的流程、资料信息的收集、处理、归档内容等）、</w:t>
            </w:r>
            <w:r>
              <w:rPr>
                <w:rFonts w:hint="eastAsia" w:ascii="仿宋" w:hAnsi="仿宋" w:eastAsia="仿宋" w:cs="仿宋"/>
                <w:color w:val="auto"/>
                <w:sz w:val="24"/>
                <w:szCs w:val="24"/>
                <w:highlight w:val="none"/>
                <w:lang w:val="en-US" w:eastAsia="zh-CN" w:bidi="ar-SA"/>
              </w:rPr>
              <w:t>保密制度是否完善可行等，由评审专家进行综合打分。</w:t>
            </w:r>
          </w:p>
          <w:p w14:paraId="2EBAA463">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57BEF7F7">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1A6BC9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678806DC">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57D856A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rPr>
            </w:pPr>
          </w:p>
        </w:tc>
        <w:tc>
          <w:tcPr>
            <w:tcW w:w="7625" w:type="dxa"/>
            <w:tcBorders>
              <w:tl2br w:val="nil"/>
              <w:tr2bl w:val="nil"/>
            </w:tcBorders>
            <w:noWrap w:val="0"/>
            <w:vAlign w:val="center"/>
          </w:tcPr>
          <w:p w14:paraId="2BF6C2E5">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根据供应商提供的监理日常各项工作制度、监理人员权利和责任是否详细明确、合理可行，由评审专家进行综合打分。</w:t>
            </w:r>
          </w:p>
          <w:p w14:paraId="19853411">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00BAC6C4">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7395A4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383017B6">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37BD3255">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eastAsia="zh-CN"/>
              </w:rPr>
            </w:pPr>
          </w:p>
        </w:tc>
        <w:tc>
          <w:tcPr>
            <w:tcW w:w="7625" w:type="dxa"/>
            <w:tcBorders>
              <w:tl2br w:val="nil"/>
              <w:tr2bl w:val="nil"/>
            </w:tcBorders>
            <w:noWrap w:val="0"/>
            <w:vAlign w:val="center"/>
          </w:tcPr>
          <w:p w14:paraId="666B7D75">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质量目标控制及手段（包括检验批、分部、分项工程的实体质量控制、隐蔽验收、专项验收等复核，功能检测，原材料构配件、节能的把关及方案审核，旁站和质量事故处理手段等）是否科学合理、全面等，由评审专家进行综合打分。</w:t>
            </w:r>
          </w:p>
          <w:p w14:paraId="656BE936">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20EFA5F8">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71BEE9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33D6556D">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7FD89726">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eastAsia="zh-CN"/>
              </w:rPr>
            </w:pPr>
          </w:p>
        </w:tc>
        <w:tc>
          <w:tcPr>
            <w:tcW w:w="7625" w:type="dxa"/>
            <w:tcBorders>
              <w:tl2br w:val="nil"/>
              <w:tr2bl w:val="nil"/>
            </w:tcBorders>
            <w:noWrap w:val="0"/>
            <w:vAlign w:val="center"/>
          </w:tcPr>
          <w:p w14:paraId="221DF1B0">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根据供应商提供的投资控制方案内容全面性、完整性，以及针对本项目有可能存在的风险分析和制定防范性对策的合理性、可行性</w:t>
            </w:r>
            <w:r>
              <w:rPr>
                <w:rFonts w:hint="default" w:ascii="仿宋" w:hAnsi="仿宋" w:eastAsia="仿宋" w:cs="仿宋"/>
                <w:color w:val="auto"/>
                <w:sz w:val="24"/>
                <w:szCs w:val="24"/>
                <w:highlight w:val="none"/>
                <w:lang w:val="en-US" w:eastAsia="zh-CN" w:bidi="ar-SA"/>
              </w:rPr>
              <w:t>，</w:t>
            </w:r>
            <w:r>
              <w:rPr>
                <w:rFonts w:hint="eastAsia" w:ascii="仿宋" w:hAnsi="仿宋" w:eastAsia="仿宋" w:cs="仿宋"/>
                <w:color w:val="auto"/>
                <w:sz w:val="24"/>
                <w:szCs w:val="24"/>
                <w:highlight w:val="none"/>
                <w:lang w:val="en-US" w:eastAsia="zh-CN" w:bidi="ar-SA"/>
              </w:rPr>
              <w:t>由评审专家进行综合打分。</w:t>
            </w:r>
          </w:p>
          <w:p w14:paraId="47E31FEB">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5E00E9F1">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6CCE18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46EE9551">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620BC698">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eastAsia="zh-CN"/>
              </w:rPr>
            </w:pPr>
          </w:p>
        </w:tc>
        <w:tc>
          <w:tcPr>
            <w:tcW w:w="7625" w:type="dxa"/>
            <w:tcBorders>
              <w:tl2br w:val="nil"/>
              <w:tr2bl w:val="nil"/>
            </w:tcBorders>
            <w:noWrap w:val="0"/>
            <w:vAlign w:val="center"/>
          </w:tcPr>
          <w:p w14:paraId="12EB7E86">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根据供应商提供的人员、设备的配置和进场计划是否合理，廉政建设、职业操守措施是否合理等，由评审专家进行综合打分。</w:t>
            </w:r>
          </w:p>
          <w:p w14:paraId="330E5414">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4393E17D">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6分</w:t>
            </w:r>
          </w:p>
        </w:tc>
      </w:tr>
      <w:tr w14:paraId="1FC7D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7CC31F62">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kern w:val="0"/>
                <w:sz w:val="24"/>
                <w:szCs w:val="24"/>
                <w:highlight w:val="none"/>
                <w:lang w:val="en-US" w:eastAsia="zh-CN" w:bidi="ar-SA"/>
              </w:rPr>
            </w:pPr>
          </w:p>
        </w:tc>
        <w:tc>
          <w:tcPr>
            <w:tcW w:w="1034" w:type="dxa"/>
            <w:vMerge w:val="continue"/>
            <w:tcBorders>
              <w:tl2br w:val="nil"/>
              <w:tr2bl w:val="nil"/>
            </w:tcBorders>
            <w:noWrap w:val="0"/>
            <w:vAlign w:val="center"/>
          </w:tcPr>
          <w:p w14:paraId="6EA17444">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eastAsia="zh-CN"/>
              </w:rPr>
            </w:pPr>
          </w:p>
        </w:tc>
        <w:tc>
          <w:tcPr>
            <w:tcW w:w="7625" w:type="dxa"/>
            <w:tcBorders>
              <w:tl2br w:val="nil"/>
              <w:tr2bl w:val="nil"/>
            </w:tcBorders>
            <w:noWrap w:val="0"/>
            <w:vAlign w:val="center"/>
          </w:tcPr>
          <w:p w14:paraId="71BAB198">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根据供应商编制的进度管理计划内容是否全面，进度控制目标是否详细，跟踪计划是否及时到位等，由评审专家进行综合打分。</w:t>
            </w:r>
          </w:p>
          <w:p w14:paraId="3E23185A">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06CF7837">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6分</w:t>
            </w:r>
          </w:p>
        </w:tc>
      </w:tr>
      <w:tr w14:paraId="7ECA5B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vMerge w:val="continue"/>
            <w:tcBorders>
              <w:tl2br w:val="nil"/>
              <w:tr2bl w:val="nil"/>
            </w:tcBorders>
            <w:noWrap w:val="0"/>
            <w:vAlign w:val="center"/>
          </w:tcPr>
          <w:p w14:paraId="2AE294DB">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rPr>
            </w:pPr>
          </w:p>
        </w:tc>
        <w:tc>
          <w:tcPr>
            <w:tcW w:w="1034" w:type="dxa"/>
            <w:vMerge w:val="continue"/>
            <w:tcBorders>
              <w:tl2br w:val="nil"/>
              <w:tr2bl w:val="nil"/>
            </w:tcBorders>
            <w:noWrap w:val="0"/>
            <w:vAlign w:val="center"/>
          </w:tcPr>
          <w:p w14:paraId="1E8AD26D">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color w:val="auto"/>
                <w:sz w:val="24"/>
                <w:szCs w:val="24"/>
                <w:highlight w:val="none"/>
                <w:lang w:val="en-US" w:eastAsia="zh-CN" w:bidi="ar-SA"/>
              </w:rPr>
            </w:pPr>
          </w:p>
        </w:tc>
        <w:tc>
          <w:tcPr>
            <w:tcW w:w="7625" w:type="dxa"/>
            <w:tcBorders>
              <w:tl2br w:val="nil"/>
              <w:tr2bl w:val="nil"/>
            </w:tcBorders>
            <w:noWrap w:val="0"/>
            <w:vAlign w:val="center"/>
          </w:tcPr>
          <w:p w14:paraId="52C9693C">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根据供应商提供的现场安全、文明施工控制方案是否全面，安全文明措施是否可行等，由评审专家进行综合打分。</w:t>
            </w:r>
          </w:p>
          <w:p w14:paraId="7210CE1C">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(4,6]分；阐述较为详细，内容较为全面、合理、清晰，具有一定可行性的得(2,4]分；阐述较为粗略，内容不够全面、欠缺合理性，可行性较弱的得(0,2]分；无相关内容阐述或不符合项目的不得分。</w:t>
            </w:r>
          </w:p>
        </w:tc>
        <w:tc>
          <w:tcPr>
            <w:tcW w:w="741" w:type="dxa"/>
            <w:tcBorders>
              <w:tl2br w:val="nil"/>
              <w:tr2bl w:val="nil"/>
            </w:tcBorders>
            <w:noWrap w:val="0"/>
            <w:vAlign w:val="center"/>
          </w:tcPr>
          <w:p w14:paraId="4B41148B">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6分</w:t>
            </w:r>
          </w:p>
        </w:tc>
      </w:tr>
      <w:tr w14:paraId="35E92A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tcBorders>
              <w:tl2br w:val="nil"/>
              <w:tr2bl w:val="nil"/>
            </w:tcBorders>
            <w:noWrap w:val="0"/>
            <w:vAlign w:val="center"/>
          </w:tcPr>
          <w:p w14:paraId="395672EF">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w:t>
            </w:r>
          </w:p>
        </w:tc>
        <w:tc>
          <w:tcPr>
            <w:tcW w:w="1034" w:type="dxa"/>
            <w:tcBorders>
              <w:tl2br w:val="nil"/>
              <w:tr2bl w:val="nil"/>
            </w:tcBorders>
            <w:noWrap w:val="0"/>
            <w:vAlign w:val="center"/>
          </w:tcPr>
          <w:p w14:paraId="7E597E8F">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服务承诺</w:t>
            </w:r>
          </w:p>
        </w:tc>
        <w:tc>
          <w:tcPr>
            <w:tcW w:w="7625" w:type="dxa"/>
            <w:tcBorders>
              <w:tl2br w:val="nil"/>
              <w:tr2bl w:val="nil"/>
            </w:tcBorders>
            <w:noWrap w:val="0"/>
            <w:vAlign w:val="center"/>
          </w:tcPr>
          <w:p w14:paraId="5039B8AA">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根据供应商提供的服务承诺（如服务响应时间、优惠措施等承诺）是否合理可行等，由评审专家进行综合打分。</w:t>
            </w:r>
          </w:p>
          <w:p w14:paraId="5F022651">
            <w:pPr>
              <w:keepNext w:val="0"/>
              <w:keepLines w:val="0"/>
              <w:pageBreakBefore w:val="0"/>
              <w:widowControl w:val="0"/>
              <w:kinsoku/>
              <w:wordWrap/>
              <w:overflowPunct/>
              <w:topLinePunct w:val="0"/>
              <w:autoSpaceDE w:val="0"/>
              <w:autoSpaceDN w:val="0"/>
              <w:bidi w:val="0"/>
              <w:adjustRightInd w:val="0"/>
              <w:snapToGrid/>
              <w:spacing w:line="380" w:lineRule="exact"/>
              <w:ind w:right="0" w:rightChars="0"/>
              <w:jc w:val="left"/>
              <w:textAlignment w:val="auto"/>
              <w:outlineLvl w:val="9"/>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(3,5]分；阐述较为详细，内容较为全面、合理、清晰，具有一定可行性的得(1,3]分；阐述较为粗略，内容不够全面、欠缺合理性，可行性较弱的得(0,1]分；无相关内容阐述或不符合项目的不得分。</w:t>
            </w:r>
          </w:p>
        </w:tc>
        <w:tc>
          <w:tcPr>
            <w:tcW w:w="741" w:type="dxa"/>
            <w:tcBorders>
              <w:tl2br w:val="nil"/>
              <w:tr2bl w:val="nil"/>
            </w:tcBorders>
            <w:noWrap w:val="0"/>
            <w:vAlign w:val="center"/>
          </w:tcPr>
          <w:p w14:paraId="4951C50D">
            <w:pPr>
              <w:keepNext w:val="0"/>
              <w:keepLines w:val="0"/>
              <w:pageBreakBefore w:val="0"/>
              <w:kinsoku/>
              <w:wordWrap/>
              <w:overflowPunct/>
              <w:topLinePunct w:val="0"/>
              <w:autoSpaceDE/>
              <w:autoSpaceDN/>
              <w:bidi w:val="0"/>
              <w:snapToGrid/>
              <w:spacing w:line="380" w:lineRule="exact"/>
              <w:jc w:val="center"/>
              <w:textAlignment w:val="auto"/>
              <w:rPr>
                <w:rFonts w:hint="eastAsia" w:ascii="仿宋" w:hAnsi="仿宋" w:eastAsia="仿宋" w:cs="仿宋"/>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5分</w:t>
            </w:r>
          </w:p>
        </w:tc>
      </w:tr>
      <w:tr w14:paraId="4D153C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846" w:type="dxa"/>
            <w:tcBorders>
              <w:tl2br w:val="nil"/>
              <w:tr2bl w:val="nil"/>
            </w:tcBorders>
            <w:noWrap w:val="0"/>
            <w:vAlign w:val="center"/>
          </w:tcPr>
          <w:p w14:paraId="41CFF079">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w:t>
            </w:r>
          </w:p>
        </w:tc>
        <w:tc>
          <w:tcPr>
            <w:tcW w:w="1034" w:type="dxa"/>
            <w:tcBorders>
              <w:tl2br w:val="nil"/>
              <w:tr2bl w:val="nil"/>
            </w:tcBorders>
            <w:noWrap w:val="0"/>
            <w:vAlign w:val="center"/>
          </w:tcPr>
          <w:p w14:paraId="300BEB2D">
            <w:pPr>
              <w:keepNext w:val="0"/>
              <w:keepLines w:val="0"/>
              <w:pageBreakBefore w:val="0"/>
              <w:widowControl w:val="0"/>
              <w:kinsoku/>
              <w:wordWrap/>
              <w:overflowPunct/>
              <w:topLinePunct w:val="0"/>
              <w:autoSpaceDE w:val="0"/>
              <w:autoSpaceDN w:val="0"/>
              <w:bidi w:val="0"/>
              <w:adjustRightInd w:val="0"/>
              <w:snapToGrid/>
              <w:spacing w:line="380" w:lineRule="exact"/>
              <w:ind w:left="0" w:leftChars="0" w:right="0" w:rightChars="0"/>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应急服务</w:t>
            </w:r>
          </w:p>
        </w:tc>
        <w:tc>
          <w:tcPr>
            <w:tcW w:w="7625" w:type="dxa"/>
            <w:tcBorders>
              <w:tl2br w:val="nil"/>
              <w:tr2bl w:val="nil"/>
            </w:tcBorders>
            <w:noWrap w:val="0"/>
            <w:vAlign w:val="center"/>
          </w:tcPr>
          <w:p w14:paraId="3F04A4BD">
            <w:pPr>
              <w:pStyle w:val="32"/>
              <w:keepNext w:val="0"/>
              <w:keepLines w:val="0"/>
              <w:pageBreakBefore w:val="0"/>
              <w:kinsoku/>
              <w:wordWrap/>
              <w:overflowPunct/>
              <w:topLinePunct w:val="0"/>
              <w:autoSpaceDE/>
              <w:autoSpaceDN/>
              <w:bidi w:val="0"/>
              <w:snapToGrid/>
              <w:spacing w:line="380" w:lineRule="exact"/>
              <w:jc w:val="both"/>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根据供应商针对本项目采购单位提出的应急响应方案，包括应急响应时效、人员应急安排等应急保障措施情况的合理程度及完备程度，由评审专家进行综合打分。</w:t>
            </w:r>
          </w:p>
          <w:p w14:paraId="4B7BB61F">
            <w:pPr>
              <w:pStyle w:val="32"/>
              <w:keepNext w:val="0"/>
              <w:keepLines w:val="0"/>
              <w:pageBreakBefore w:val="0"/>
              <w:kinsoku/>
              <w:wordWrap/>
              <w:overflowPunct/>
              <w:topLinePunct w:val="0"/>
              <w:autoSpaceDE/>
              <w:autoSpaceDN/>
              <w:bidi w:val="0"/>
              <w:snapToGrid/>
              <w:spacing w:line="380" w:lineRule="exact"/>
              <w:jc w:val="both"/>
              <w:textAlignment w:val="auto"/>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注：阐述详细，内容全面、合理、清晰，可行性强的得(3,5]分；阐述较为详细，内容较为全面、合理、清晰，具有一定可行性的得(1,3]分；阐述较为粗略，内容不够全面、欠缺合理性，可行性较弱的得(0,1]分；无相关内容阐述或不符合项目的不得分。</w:t>
            </w:r>
          </w:p>
        </w:tc>
        <w:tc>
          <w:tcPr>
            <w:tcW w:w="741" w:type="dxa"/>
            <w:tcBorders>
              <w:tl2br w:val="nil"/>
              <w:tr2bl w:val="nil"/>
            </w:tcBorders>
            <w:noWrap w:val="0"/>
            <w:vAlign w:val="center"/>
          </w:tcPr>
          <w:p w14:paraId="6AB62633">
            <w:pPr>
              <w:keepNext w:val="0"/>
              <w:keepLines w:val="0"/>
              <w:pageBreakBefore w:val="0"/>
              <w:kinsoku/>
              <w:wordWrap/>
              <w:overflowPunct/>
              <w:topLinePunct w:val="0"/>
              <w:autoSpaceDE/>
              <w:autoSpaceDN/>
              <w:bidi w:val="0"/>
              <w:snapToGrid/>
              <w:spacing w:line="380" w:lineRule="exact"/>
              <w:jc w:val="center"/>
              <w:textAlignment w:val="auto"/>
              <w:rPr>
                <w:rFonts w:hint="eastAsia" w:ascii="仿宋" w:hAnsi="仿宋" w:eastAsia="仿宋" w:cs="仿宋"/>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5分</w:t>
            </w:r>
          </w:p>
        </w:tc>
      </w:tr>
    </w:tbl>
    <w:p w14:paraId="6DF258E9">
      <w:pPr>
        <w:keepNext w:val="0"/>
        <w:keepLines w:val="0"/>
        <w:pageBreakBefore w:val="0"/>
        <w:kinsoku/>
        <w:wordWrap/>
        <w:overflowPunct/>
        <w:topLinePunct w:val="0"/>
        <w:autoSpaceDE/>
        <w:autoSpaceDN/>
        <w:bidi w:val="0"/>
        <w:snapToGrid w:val="0"/>
        <w:spacing w:line="42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（5）通过资格审查和符合性评审的投标人全部入围进行报价评审。</w:t>
      </w:r>
    </w:p>
    <w:p w14:paraId="258E93CC">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w:t>
      </w:r>
      <w:r>
        <w:rPr>
          <w:rFonts w:hint="eastAsia" w:ascii="仿宋" w:hAnsi="仿宋" w:eastAsia="仿宋" w:cs="宋体"/>
          <w:color w:val="auto"/>
          <w:sz w:val="24"/>
          <w:szCs w:val="24"/>
          <w:highlight w:val="none"/>
          <w:lang w:eastAsia="zh-CN"/>
        </w:rPr>
        <w:t>。</w:t>
      </w:r>
    </w:p>
    <w:p w14:paraId="3053FB36">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1A4B24C3">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3103E4FD">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25C71CC6">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436D9FF0">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1D1D353D">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284CD3F3">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3384E3A1">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07F8735F">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3686B152">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29D9830D">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49B5C39C">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74CD3503">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7E6DE07A">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146EE5A4">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605D99FB">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4BD7110D">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5B2435AB">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371C1823">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65BD7A34">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62EB17EA">
      <w:pPr>
        <w:keepNext w:val="0"/>
        <w:keepLines w:val="0"/>
        <w:pageBreakBefore w:val="0"/>
        <w:widowControl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color w:val="auto"/>
          <w:sz w:val="24"/>
          <w:szCs w:val="24"/>
          <w:highlight w:val="none"/>
          <w:lang w:val="en-US" w:eastAsia="zh-CN"/>
        </w:rPr>
      </w:pPr>
    </w:p>
    <w:p w14:paraId="2C570939">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五、</w:t>
      </w:r>
      <w:r>
        <w:rPr>
          <w:rFonts w:hint="eastAsia" w:ascii="仿宋" w:hAnsi="仿宋" w:eastAsia="仿宋" w:cs="仿宋"/>
          <w:b/>
          <w:color w:val="auto"/>
          <w:sz w:val="32"/>
          <w:szCs w:val="32"/>
          <w:highlight w:val="none"/>
        </w:rPr>
        <w:t>采购需求</w:t>
      </w:r>
    </w:p>
    <w:p w14:paraId="00421D0E">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b/>
          <w:color w:val="auto"/>
          <w:sz w:val="24"/>
          <w:highlight w:val="none"/>
          <w:lang w:eastAsia="zh-CN"/>
        </w:rPr>
      </w:pPr>
      <w:r>
        <w:rPr>
          <w:rFonts w:hint="eastAsia" w:ascii="仿宋" w:hAnsi="仿宋" w:eastAsia="仿宋"/>
          <w:b/>
          <w:color w:val="auto"/>
          <w:sz w:val="24"/>
          <w:highlight w:val="none"/>
          <w:lang w:eastAsia="zh-CN"/>
        </w:rPr>
        <w:t>（</w:t>
      </w:r>
      <w:r>
        <w:rPr>
          <w:rFonts w:hint="eastAsia" w:ascii="仿宋" w:hAnsi="仿宋" w:eastAsia="仿宋"/>
          <w:b/>
          <w:color w:val="auto"/>
          <w:sz w:val="24"/>
          <w:highlight w:val="none"/>
          <w:lang w:val="en-US" w:eastAsia="zh-CN"/>
        </w:rPr>
        <w:t>一</w:t>
      </w:r>
      <w:r>
        <w:rPr>
          <w:rFonts w:hint="eastAsia" w:ascii="仿宋" w:hAnsi="仿宋" w:eastAsia="仿宋"/>
          <w:b/>
          <w:color w:val="auto"/>
          <w:sz w:val="24"/>
          <w:highlight w:val="none"/>
          <w:lang w:eastAsia="zh-CN"/>
        </w:rPr>
        <w:t>）</w:t>
      </w:r>
      <w:r>
        <w:rPr>
          <w:rFonts w:ascii="仿宋" w:hAnsi="仿宋" w:eastAsia="仿宋"/>
          <w:b/>
          <w:color w:val="auto"/>
          <w:sz w:val="24"/>
          <w:highlight w:val="none"/>
        </w:rPr>
        <w:t>项目</w:t>
      </w:r>
      <w:r>
        <w:rPr>
          <w:rFonts w:hint="eastAsia" w:ascii="仿宋" w:hAnsi="仿宋" w:eastAsia="仿宋"/>
          <w:b/>
          <w:color w:val="auto"/>
          <w:sz w:val="24"/>
          <w:highlight w:val="none"/>
          <w:lang w:val="en-US" w:eastAsia="zh-CN"/>
        </w:rPr>
        <w:t>内容</w:t>
      </w:r>
    </w:p>
    <w:p w14:paraId="7AF5696D">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宋体"/>
          <w:color w:val="auto"/>
          <w:sz w:val="24"/>
          <w:szCs w:val="24"/>
          <w:highlight w:val="none"/>
        </w:rPr>
      </w:pPr>
      <w:r>
        <w:rPr>
          <w:rFonts w:hint="eastAsia" w:ascii="仿宋" w:hAnsi="仿宋" w:eastAsia="仿宋"/>
          <w:color w:val="auto"/>
          <w:sz w:val="24"/>
          <w:highlight w:val="none"/>
          <w:lang w:val="en-US" w:eastAsia="zh-CN"/>
        </w:rPr>
        <w:t>本项目</w:t>
      </w:r>
      <w:r>
        <w:rPr>
          <w:rFonts w:hint="eastAsia" w:ascii="仿宋" w:hAnsi="仿宋" w:eastAsia="仿宋"/>
          <w:color w:val="auto"/>
          <w:sz w:val="24"/>
          <w:highlight w:val="none"/>
        </w:rPr>
        <w:t>包括</w:t>
      </w:r>
      <w:r>
        <w:rPr>
          <w:rFonts w:hint="eastAsia" w:ascii="仿宋" w:hAnsi="仿宋" w:eastAsia="仿宋"/>
          <w:color w:val="auto"/>
          <w:sz w:val="24"/>
          <w:highlight w:val="none"/>
          <w:lang w:eastAsia="zh-CN"/>
        </w:rPr>
        <w:t>诸暨市城市生活污水治理扩面提效项目—大唐街道金科路雨污分流提升改造工程</w:t>
      </w:r>
      <w:r>
        <w:rPr>
          <w:rFonts w:hint="eastAsia" w:ascii="仿宋" w:hAnsi="仿宋" w:eastAsia="仿宋" w:cs="仿宋"/>
          <w:color w:val="auto"/>
          <w:sz w:val="24"/>
          <w:highlight w:val="none"/>
          <w:lang w:val="en-US" w:eastAsia="zh-CN"/>
        </w:rPr>
        <w:t>，项目</w:t>
      </w:r>
      <w:r>
        <w:rPr>
          <w:rFonts w:hint="eastAsia" w:ascii="仿宋" w:hAnsi="仿宋" w:eastAsia="仿宋"/>
          <w:color w:val="auto"/>
          <w:sz w:val="24"/>
          <w:highlight w:val="none"/>
        </w:rPr>
        <w:t>实施过程中的工程质量、安全、进度、投资控制、组织协调、合同、信息与资料管理</w:t>
      </w:r>
      <w:r>
        <w:rPr>
          <w:rFonts w:hint="eastAsia" w:ascii="仿宋" w:hAnsi="仿宋" w:eastAsia="仿宋"/>
          <w:color w:val="auto"/>
          <w:sz w:val="24"/>
          <w:highlight w:val="none"/>
          <w:lang w:eastAsia="zh-CN"/>
        </w:rPr>
        <w:t>等</w:t>
      </w:r>
      <w:r>
        <w:rPr>
          <w:rFonts w:hint="eastAsia" w:ascii="仿宋" w:hAnsi="仿宋" w:eastAsia="仿宋"/>
          <w:color w:val="auto"/>
          <w:sz w:val="24"/>
          <w:highlight w:val="none"/>
        </w:rPr>
        <w:t>，工程项目各参建方及外层关系的协调工作，工程缺陷责任期内等所有的建设内容的全过程施工监理工作</w:t>
      </w:r>
      <w:r>
        <w:rPr>
          <w:rFonts w:hint="eastAsia" w:ascii="仿宋" w:hAnsi="仿宋" w:eastAsia="仿宋" w:cs="仿宋"/>
          <w:color w:val="auto"/>
          <w:sz w:val="24"/>
          <w:szCs w:val="24"/>
          <w:highlight w:val="none"/>
        </w:rPr>
        <w:t>。</w:t>
      </w:r>
    </w:p>
    <w:p w14:paraId="004A3481">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b/>
          <w:color w:val="auto"/>
          <w:sz w:val="24"/>
          <w:highlight w:val="none"/>
        </w:rPr>
      </w:pPr>
      <w:r>
        <w:rPr>
          <w:rFonts w:hint="eastAsia" w:ascii="仿宋" w:hAnsi="仿宋" w:eastAsia="仿宋"/>
          <w:b/>
          <w:color w:val="auto"/>
          <w:sz w:val="24"/>
          <w:highlight w:val="none"/>
          <w:lang w:eastAsia="zh-CN"/>
        </w:rPr>
        <w:t>（</w:t>
      </w:r>
      <w:r>
        <w:rPr>
          <w:rFonts w:hint="eastAsia" w:ascii="仿宋" w:hAnsi="仿宋" w:eastAsia="仿宋"/>
          <w:b/>
          <w:color w:val="auto"/>
          <w:sz w:val="24"/>
          <w:highlight w:val="none"/>
          <w:lang w:val="en-US" w:eastAsia="zh-CN"/>
        </w:rPr>
        <w:t>二</w:t>
      </w:r>
      <w:r>
        <w:rPr>
          <w:rFonts w:hint="eastAsia" w:ascii="仿宋" w:hAnsi="仿宋" w:eastAsia="仿宋"/>
          <w:b/>
          <w:color w:val="auto"/>
          <w:sz w:val="24"/>
          <w:highlight w:val="none"/>
          <w:lang w:eastAsia="zh-CN"/>
        </w:rPr>
        <w:t>）</w:t>
      </w:r>
      <w:r>
        <w:rPr>
          <w:rFonts w:ascii="仿宋" w:hAnsi="仿宋" w:eastAsia="仿宋"/>
          <w:b/>
          <w:color w:val="auto"/>
          <w:sz w:val="24"/>
          <w:highlight w:val="none"/>
        </w:rPr>
        <w:t>服务内容及要求</w:t>
      </w:r>
    </w:p>
    <w:p w14:paraId="5F7F4045">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1、工程监理工作范围（包含但不限于）：</w:t>
      </w:r>
    </w:p>
    <w:p w14:paraId="704437A3">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实施过程中的质量控制、进度控制、投资控制、变更控制、组织协调、合同管理、信息管理、安全管理，协调工程项目采购人与工程建设有关各方的工作关系，以及工作缺陷责任期内等所有的建设内容的全过程施工监理工作。具体监理工作应严格按《建设工程监理规范》工作要求组织实施。具体监理项目根据采购人委托确认。</w:t>
      </w:r>
    </w:p>
    <w:p w14:paraId="3D0DCDE8">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2、工程监理服务内容（包含但不限于）：</w:t>
      </w:r>
    </w:p>
    <w:p w14:paraId="152DAD1A">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监理人派出与工程规模相适应的监理班子，做好工程的监理工作。监理人必须按照国家和有关建设工程监理规定进行监理，代表采购人对工程建设进行全过程、全方位监理,监理人按自行职责对工程质量终身负责。</w:t>
      </w:r>
    </w:p>
    <w:p w14:paraId="5E8D1DC7">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2.2监理工作人员不得与承包本工程的有关承包人及其施工管理人员及材料设备供应商发生经济利益关系。</w:t>
      </w:r>
    </w:p>
    <w:p w14:paraId="00BAAF2B">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2.3监理人应配备经验丰富的专业技术人员审核施工图纸的设计质量，对设计存在的不合理、不完整、不准确、不安全等情况应及时书面向采购人和设计单位提出修正意见。</w:t>
      </w:r>
    </w:p>
    <w:p w14:paraId="651A1395">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严把施工质量关。监理人应按施工进度编制监理规划和各专业及分部施工实施细则。掌握好各个施工环节，在整个施工过程中要认真检查、督促施工单位严格执行国家和省颁布的有关建筑工程施工验收规范和工程技术标准，并根据施工工序进行全程旁站监理、拍照存档，杜绝偷工减料和粗制滥造。</w:t>
      </w:r>
    </w:p>
    <w:p w14:paraId="071B94F7">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2.5协助采购人审核施工图的设计和概(预)算,参与主持组织图纸会审,做好记录,写出会审纪要。</w:t>
      </w:r>
    </w:p>
    <w:p w14:paraId="2E64A291">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2.6参与采购人与施工承包商签订施工承包合同,审核施工进度计划，并在实施过程中检查、督促承包商严格按合同和施工规范、工程技术标准、设计要求进行施工，监督承包商现场施工管理。</w:t>
      </w:r>
    </w:p>
    <w:p w14:paraId="630E13D1">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2.7协助采购人做好开工前准备，审批开工报告，复核灰线，经业主同意下达开工令。</w:t>
      </w:r>
    </w:p>
    <w:p w14:paraId="4798355E">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2.8审查承包商采购清单及样品的品牌、质量和价格，检查工程使用材料、构件、设备的规格、质量与数量。督促承包商编制材料的供需计划，协助业主安排甲供材料的供应计划。</w:t>
      </w:r>
    </w:p>
    <w:p w14:paraId="27C46728">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2.9按采购人意见，办理设计与施工变更联系单，把好监理关，并负责对施工变更的签证、复核，主持施工图交底，参与设计变更的签证。工程变更的签证须经监理人拟派的注册造价师审核，并由总监签字确认。</w:t>
      </w:r>
    </w:p>
    <w:p w14:paraId="7CD46854">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2.10主持召开工程协调会议，并做好会议纪要，调解有关工程建设各种合同争议，处理索赔事项。</w:t>
      </w:r>
    </w:p>
    <w:p w14:paraId="363FC383">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2.11检查安全防护措施和文明施工,检查督促工程进度、施工质量。</w:t>
      </w:r>
    </w:p>
    <w:p w14:paraId="48BCDBCB">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2.12督促施工方及时整理技术资料及竣工验收资料。</w:t>
      </w:r>
    </w:p>
    <w:p w14:paraId="41F9791D">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2.13协助采购人对工程投资进行控制，对施工单位提出的付款申请进行审核签发，参加审核工程结算，协助采购人审核工程造价，努力降低工程费用。</w:t>
      </w:r>
    </w:p>
    <w:p w14:paraId="3289F84D">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2.14做好工程项目监理总结，及时提供完整的监理资料（一式二份原件），定期编制监理简报。</w:t>
      </w:r>
    </w:p>
    <w:p w14:paraId="4939BA38">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2.15负责隐蔽工程、分部、分项工程和工程计量工作，协助采购人组织竣工初验和竣工验收，提交竣工验收报告。</w:t>
      </w:r>
    </w:p>
    <w:p w14:paraId="6F90AC83">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2.16负责各种技术资料资料的收集、整理工作，及时提供完整的施工技术档案资料一式三份原件。</w:t>
      </w:r>
    </w:p>
    <w:p w14:paraId="755A74C5">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2.17负责定期检查工程质量，对可能发生的质量问题或事故提出责任鉴定意见，处理好善后工作。督促承包商认真履行保修职责，及时回访修缮。履行其他法律、法规规定的监理职责义务，提供其他可免费提供的监理服务。</w:t>
      </w:r>
    </w:p>
    <w:p w14:paraId="2E4F61C6">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2.18完成监理规范要求的其他工作内容。</w:t>
      </w:r>
    </w:p>
    <w:p w14:paraId="0162B27E">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3、项目成果</w:t>
      </w:r>
    </w:p>
    <w:p w14:paraId="2ACFF370">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3.1成果报告：质量评估报告、监理合同、监理会议纪要、监理日志、采购人及采购人要求提供的有关文件及资料。</w:t>
      </w:r>
    </w:p>
    <w:p w14:paraId="359C0040">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3.2成果报告份数：具体文件、资料、份数等成果及数量以采购人及采购人实际要求为准。</w:t>
      </w:r>
    </w:p>
    <w:p w14:paraId="750E5ABC">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三</w:t>
      </w:r>
      <w:r>
        <w:rPr>
          <w:rFonts w:hint="eastAsia" w:ascii="仿宋" w:hAnsi="仿宋" w:eastAsia="仿宋" w:cs="仿宋"/>
          <w:b/>
          <w:color w:val="auto"/>
          <w:sz w:val="24"/>
          <w:szCs w:val="24"/>
          <w:highlight w:val="none"/>
          <w:lang w:eastAsia="zh-CN"/>
        </w:rPr>
        <w:t>）</w:t>
      </w:r>
      <w:r>
        <w:rPr>
          <w:rFonts w:ascii="仿宋" w:hAnsi="仿宋" w:eastAsia="仿宋" w:cs="仿宋"/>
          <w:b/>
          <w:color w:val="auto"/>
          <w:sz w:val="24"/>
          <w:szCs w:val="24"/>
          <w:highlight w:val="none"/>
        </w:rPr>
        <w:t>其它要求</w:t>
      </w:r>
    </w:p>
    <w:p w14:paraId="7F65A67C">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1、监理单位应组建满足工作需要的项目监理机构，配备必要的检测设备。项目监理机构的主要人员应具有相应的资格条件。</w:t>
      </w:r>
    </w:p>
    <w:p w14:paraId="2F70BA3A">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总监理工程师及重要岗位监理人员应保持相对稳定，以保证监理工作正常进行，未经采购人书面同意，不得更换前述工作人员；监理单位可根据工程进展和工作需要调整项目监理机构人员，监理单位更换项目监理机构其他监理人员，并先书面通知采购人，经采购人书面确认同意后方可更换或调整，并且更换或调整人员的资格与能力应当满足该阶段项目监理工作的要求。</w:t>
      </w:r>
    </w:p>
    <w:p w14:paraId="7150E1E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3、因工程项目进展需要，采购人提出增加管理人员时，监理方必须保证及时补充符合要求的监理人员。</w:t>
      </w:r>
    </w:p>
    <w:p w14:paraId="17631388">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szCs w:val="24"/>
          <w:highlight w:val="none"/>
        </w:rPr>
        <w:t>4、监理单位在监理过程中应独立地进行检测、检验、试验工作，即施工单位须做的检测、检验、试验项目，经过监理单位的旁站见证或独立检测、检验、试验后，能足以客观反映施工单位所做的检测、检验、试验项目数据及工程质量的真实情况。</w:t>
      </w:r>
    </w:p>
    <w:p w14:paraId="524D0D35">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监理单位在监理过程中不得使用施工单位的任何仪器、设备，不得使用施工单位的任何技术资料，不得与施工单位送到同一检测中心（站）进行检测。施工过程中的各类测量复核、设备安装等检测测试工作，均应按国家相关规定组织实施，监理单位与施工单位的测试数据不得相互套用。</w:t>
      </w:r>
    </w:p>
    <w:p w14:paraId="3CA97814">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6、监理单位提供的资料应符合《建设工程监理规范》之规定，同时需满足采购人针对工程档案资料提交的相关要求与规定。</w:t>
      </w:r>
    </w:p>
    <w:p w14:paraId="06781919">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7、如因监理单位过失而造成采购人的经济损失，应当向采购人进行赔偿。</w:t>
      </w:r>
    </w:p>
    <w:p w14:paraId="5B6AF4A1">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8、如监理单位对施工单位上报的已完工作量未能准确复核，并签署了与实际不符的工作量的工程进度付款凭证，采购人将追究其责任，对由此造成的损失应当向采购人进行赔偿。</w:t>
      </w:r>
    </w:p>
    <w:p w14:paraId="6AF23E4A">
      <w:pPr>
        <w:keepNext w:val="0"/>
        <w:keepLines w:val="0"/>
        <w:pageBreakBefore w:val="0"/>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9、人员专业及人数要求</w:t>
      </w:r>
    </w:p>
    <w:p w14:paraId="26780BD4">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仿宋" w:hAnsi="仿宋" w:eastAsia="仿宋" w:cs="仿宋"/>
          <w:b/>
          <w:bCs/>
          <w:color w:val="auto"/>
          <w:sz w:val="24"/>
          <w:highlight w:val="none"/>
          <w:u w:val="none"/>
        </w:rPr>
      </w:pPr>
      <w:r>
        <w:rPr>
          <w:rFonts w:hint="eastAsia" w:ascii="仿宋" w:hAnsi="仿宋" w:eastAsia="仿宋" w:cs="仿宋"/>
          <w:b/>
          <w:bCs/>
          <w:color w:val="auto"/>
          <w:sz w:val="24"/>
          <w:highlight w:val="none"/>
          <w:u w:val="none"/>
          <w:lang w:val="en-US" w:eastAsia="zh-CN"/>
        </w:rPr>
        <w:t>★9.1</w:t>
      </w:r>
      <w:r>
        <w:rPr>
          <w:rFonts w:hint="eastAsia" w:ascii="仿宋" w:hAnsi="仿宋" w:eastAsia="仿宋" w:cs="仿宋"/>
          <w:b/>
          <w:bCs/>
          <w:color w:val="auto"/>
          <w:sz w:val="24"/>
          <w:highlight w:val="none"/>
          <w:u w:val="none"/>
        </w:rPr>
        <w:t>项目监理实行人员定岗、持证上岗和总监负责制度。监理单位应派驻由总监、各专业监理工程师组成的监理机构，且专业人员配套，项目总监和监理工程师应具有相应资质并持证上岗。专业监理人员应当与项目监理机构人员名单相符。本工程监理机构人员配置数量不得少于</w:t>
      </w:r>
      <w:r>
        <w:rPr>
          <w:rFonts w:hint="eastAsia" w:ascii="仿宋" w:hAnsi="仿宋" w:eastAsia="仿宋" w:cs="仿宋"/>
          <w:b/>
          <w:bCs/>
          <w:color w:val="auto"/>
          <w:sz w:val="24"/>
          <w:highlight w:val="none"/>
          <w:u w:val="none"/>
          <w:lang w:val="en-US" w:eastAsia="zh-CN"/>
        </w:rPr>
        <w:t>3</w:t>
      </w:r>
      <w:r>
        <w:rPr>
          <w:rFonts w:hint="eastAsia" w:ascii="仿宋" w:hAnsi="仿宋" w:eastAsia="仿宋" w:cs="仿宋"/>
          <w:b/>
          <w:bCs/>
          <w:color w:val="auto"/>
          <w:sz w:val="24"/>
          <w:highlight w:val="none"/>
          <w:u w:val="none"/>
        </w:rPr>
        <w:t>人，监理人员配备必须符合下列要求：</w:t>
      </w:r>
    </w:p>
    <w:tbl>
      <w:tblPr>
        <w:tblStyle w:val="22"/>
        <w:tblW w:w="9663"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981"/>
        <w:gridCol w:w="1830"/>
        <w:gridCol w:w="790"/>
        <w:gridCol w:w="1755"/>
        <w:gridCol w:w="2598"/>
      </w:tblGrid>
      <w:tr w14:paraId="63D10A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tcBorders>
              <w:tl2br w:val="nil"/>
              <w:tr2bl w:val="nil"/>
            </w:tcBorders>
            <w:noWrap w:val="0"/>
            <w:vAlign w:val="center"/>
          </w:tcPr>
          <w:p w14:paraId="5C2B478B">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981" w:type="dxa"/>
            <w:tcBorders>
              <w:tl2br w:val="nil"/>
              <w:tr2bl w:val="nil"/>
            </w:tcBorders>
            <w:noWrap w:val="0"/>
            <w:vAlign w:val="center"/>
          </w:tcPr>
          <w:p w14:paraId="363D654D">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职务/专业</w:t>
            </w:r>
          </w:p>
        </w:tc>
        <w:tc>
          <w:tcPr>
            <w:tcW w:w="1830" w:type="dxa"/>
            <w:tcBorders>
              <w:tl2br w:val="nil"/>
              <w:tr2bl w:val="nil"/>
            </w:tcBorders>
            <w:noWrap w:val="0"/>
            <w:vAlign w:val="center"/>
          </w:tcPr>
          <w:p w14:paraId="0657A400">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资格要求</w:t>
            </w:r>
          </w:p>
        </w:tc>
        <w:tc>
          <w:tcPr>
            <w:tcW w:w="790" w:type="dxa"/>
            <w:tcBorders>
              <w:tl2br w:val="nil"/>
              <w:tr2bl w:val="nil"/>
            </w:tcBorders>
            <w:noWrap w:val="0"/>
            <w:vAlign w:val="center"/>
          </w:tcPr>
          <w:p w14:paraId="11CC4CA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人数</w:t>
            </w:r>
          </w:p>
        </w:tc>
        <w:tc>
          <w:tcPr>
            <w:tcW w:w="1755" w:type="dxa"/>
            <w:tcBorders>
              <w:tl2br w:val="nil"/>
              <w:tr2bl w:val="nil"/>
            </w:tcBorders>
            <w:noWrap w:val="0"/>
            <w:vAlign w:val="center"/>
          </w:tcPr>
          <w:p w14:paraId="4775F656">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在岗时间</w:t>
            </w:r>
          </w:p>
        </w:tc>
        <w:tc>
          <w:tcPr>
            <w:tcW w:w="2598" w:type="dxa"/>
            <w:tcBorders>
              <w:tl2br w:val="nil"/>
              <w:tr2bl w:val="nil"/>
            </w:tcBorders>
            <w:noWrap w:val="0"/>
            <w:vAlign w:val="center"/>
          </w:tcPr>
          <w:p w14:paraId="7ED40F80">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备注</w:t>
            </w:r>
          </w:p>
        </w:tc>
      </w:tr>
      <w:tr w14:paraId="1A0279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tcBorders>
              <w:tl2br w:val="nil"/>
              <w:tr2bl w:val="nil"/>
            </w:tcBorders>
            <w:noWrap w:val="0"/>
            <w:vAlign w:val="center"/>
          </w:tcPr>
          <w:p w14:paraId="0AF015EB">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highlight w:val="none"/>
              </w:rPr>
              <w:t>1</w:t>
            </w:r>
          </w:p>
        </w:tc>
        <w:tc>
          <w:tcPr>
            <w:tcW w:w="1981" w:type="dxa"/>
            <w:tcBorders>
              <w:tl2br w:val="nil"/>
              <w:tr2bl w:val="nil"/>
            </w:tcBorders>
            <w:noWrap w:val="0"/>
            <w:vAlign w:val="center"/>
          </w:tcPr>
          <w:p w14:paraId="58AA1C8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highlight w:val="none"/>
              </w:rPr>
              <w:t>总监理工程师</w:t>
            </w:r>
          </w:p>
        </w:tc>
        <w:tc>
          <w:tcPr>
            <w:tcW w:w="1830" w:type="dxa"/>
            <w:tcBorders>
              <w:tl2br w:val="nil"/>
              <w:tr2bl w:val="nil"/>
            </w:tcBorders>
            <w:noWrap w:val="0"/>
            <w:vAlign w:val="center"/>
          </w:tcPr>
          <w:p w14:paraId="1A209C32">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highlight w:val="none"/>
              </w:rPr>
              <w:t>国家注册监理工程师（</w:t>
            </w:r>
            <w:r>
              <w:rPr>
                <w:rFonts w:hint="eastAsia" w:ascii="仿宋" w:hAnsi="仿宋" w:eastAsia="仿宋" w:cs="仿宋"/>
                <w:b/>
                <w:color w:val="auto"/>
                <w:sz w:val="24"/>
                <w:highlight w:val="none"/>
                <w:lang w:val="en-US" w:eastAsia="zh-CN"/>
              </w:rPr>
              <w:t>市政公用工程</w:t>
            </w:r>
            <w:r>
              <w:rPr>
                <w:rFonts w:hint="eastAsia" w:ascii="仿宋" w:hAnsi="仿宋" w:eastAsia="仿宋" w:cs="仿宋"/>
                <w:b/>
                <w:color w:val="auto"/>
                <w:sz w:val="24"/>
                <w:highlight w:val="none"/>
              </w:rPr>
              <w:t>）</w:t>
            </w:r>
          </w:p>
        </w:tc>
        <w:tc>
          <w:tcPr>
            <w:tcW w:w="790" w:type="dxa"/>
            <w:tcBorders>
              <w:tl2br w:val="nil"/>
              <w:tr2bl w:val="nil"/>
            </w:tcBorders>
            <w:noWrap w:val="0"/>
            <w:vAlign w:val="center"/>
          </w:tcPr>
          <w:p w14:paraId="6F09CFA2">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highlight w:val="none"/>
              </w:rPr>
              <w:t>1</w:t>
            </w:r>
          </w:p>
        </w:tc>
        <w:tc>
          <w:tcPr>
            <w:tcW w:w="1755" w:type="dxa"/>
            <w:tcBorders>
              <w:tl2br w:val="nil"/>
              <w:tr2bl w:val="nil"/>
            </w:tcBorders>
            <w:noWrap w:val="0"/>
            <w:vAlign w:val="center"/>
          </w:tcPr>
          <w:p w14:paraId="22BABA7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2"/>
                <w:sz w:val="24"/>
                <w:szCs w:val="22"/>
                <w:highlight w:val="none"/>
                <w:lang w:val="en-US" w:eastAsia="zh-CN" w:bidi="ar-SA"/>
              </w:rPr>
            </w:pPr>
            <w:r>
              <w:rPr>
                <w:rFonts w:hint="eastAsia" w:ascii="仿宋" w:hAnsi="仿宋" w:eastAsia="仿宋" w:cs="仿宋"/>
                <w:b/>
                <w:color w:val="auto"/>
                <w:sz w:val="24"/>
                <w:highlight w:val="none"/>
              </w:rPr>
              <w:t>每月到岗时间不少于</w:t>
            </w:r>
            <w:r>
              <w:rPr>
                <w:rFonts w:hint="eastAsia" w:ascii="仿宋" w:hAnsi="仿宋" w:eastAsia="仿宋" w:cs="仿宋"/>
                <w:b/>
                <w:color w:val="auto"/>
                <w:sz w:val="24"/>
                <w:highlight w:val="none"/>
                <w:lang w:val="en-US" w:eastAsia="zh-CN"/>
              </w:rPr>
              <w:t>19</w:t>
            </w:r>
            <w:r>
              <w:rPr>
                <w:rFonts w:hint="eastAsia" w:ascii="仿宋" w:hAnsi="仿宋" w:eastAsia="仿宋" w:cs="仿宋"/>
                <w:b/>
                <w:color w:val="auto"/>
                <w:sz w:val="24"/>
                <w:highlight w:val="none"/>
              </w:rPr>
              <w:t>天</w:t>
            </w:r>
          </w:p>
        </w:tc>
        <w:tc>
          <w:tcPr>
            <w:tcW w:w="2598" w:type="dxa"/>
            <w:tcBorders>
              <w:tl2br w:val="nil"/>
              <w:tr2bl w:val="nil"/>
            </w:tcBorders>
            <w:noWrap w:val="0"/>
            <w:vAlign w:val="center"/>
          </w:tcPr>
          <w:p w14:paraId="10AD6E63">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在</w:t>
            </w:r>
            <w:r>
              <w:rPr>
                <w:rFonts w:hint="eastAsia" w:ascii="仿宋" w:hAnsi="仿宋" w:eastAsia="仿宋" w:cs="仿宋"/>
                <w:b/>
                <w:color w:val="auto"/>
                <w:sz w:val="24"/>
                <w:highlight w:val="none"/>
                <w:lang w:val="en-US" w:eastAsia="zh-CN"/>
              </w:rPr>
              <w:t>诸暨市</w:t>
            </w:r>
            <w:r>
              <w:rPr>
                <w:rFonts w:hint="eastAsia" w:ascii="仿宋" w:hAnsi="仿宋" w:eastAsia="仿宋" w:cs="仿宋"/>
                <w:b/>
                <w:color w:val="auto"/>
                <w:sz w:val="24"/>
                <w:highlight w:val="none"/>
              </w:rPr>
              <w:t>范围内</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诸暨市</w:t>
            </w:r>
            <w:r>
              <w:rPr>
                <w:rFonts w:hint="eastAsia" w:ascii="仿宋" w:hAnsi="仿宋" w:eastAsia="仿宋" w:cs="仿宋"/>
                <w:b/>
                <w:color w:val="auto"/>
                <w:sz w:val="24"/>
                <w:highlight w:val="none"/>
              </w:rPr>
              <w:t>外</w:t>
            </w:r>
            <w:r>
              <w:rPr>
                <w:rFonts w:hint="eastAsia" w:ascii="仿宋" w:hAnsi="仿宋" w:eastAsia="仿宋" w:cs="仿宋"/>
                <w:b/>
                <w:color w:val="auto"/>
                <w:sz w:val="24"/>
                <w:highlight w:val="none"/>
                <w:lang w:eastAsia="zh-CN"/>
              </w:rPr>
              <w:t>均</w:t>
            </w:r>
            <w:r>
              <w:rPr>
                <w:rFonts w:hint="eastAsia" w:ascii="仿宋" w:hAnsi="仿宋" w:eastAsia="仿宋" w:cs="仿宋"/>
                <w:b/>
                <w:color w:val="auto"/>
                <w:sz w:val="24"/>
                <w:highlight w:val="none"/>
              </w:rPr>
              <w:t>无在</w:t>
            </w:r>
            <w:r>
              <w:rPr>
                <w:rFonts w:hint="eastAsia" w:ascii="仿宋" w:hAnsi="仿宋" w:eastAsia="仿宋" w:cs="仿宋"/>
                <w:b/>
                <w:color w:val="auto"/>
                <w:sz w:val="24"/>
                <w:highlight w:val="none"/>
                <w:lang w:eastAsia="zh-CN"/>
              </w:rPr>
              <w:t>建</w:t>
            </w:r>
            <w:r>
              <w:rPr>
                <w:rFonts w:hint="eastAsia" w:ascii="仿宋" w:hAnsi="仿宋" w:eastAsia="仿宋" w:cs="仿宋"/>
                <w:b/>
                <w:color w:val="auto"/>
                <w:sz w:val="24"/>
                <w:highlight w:val="none"/>
              </w:rPr>
              <w:t>项目担任总监理工程师</w:t>
            </w:r>
          </w:p>
        </w:tc>
      </w:tr>
      <w:tr w14:paraId="26E83F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tcBorders>
              <w:tl2br w:val="nil"/>
              <w:tr2bl w:val="nil"/>
            </w:tcBorders>
            <w:noWrap w:val="0"/>
            <w:vAlign w:val="center"/>
          </w:tcPr>
          <w:p w14:paraId="4A93E2D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2</w:t>
            </w:r>
          </w:p>
        </w:tc>
        <w:tc>
          <w:tcPr>
            <w:tcW w:w="1981" w:type="dxa"/>
            <w:tcBorders>
              <w:tl2br w:val="nil"/>
              <w:tr2bl w:val="nil"/>
            </w:tcBorders>
            <w:noWrap w:val="0"/>
            <w:vAlign w:val="center"/>
          </w:tcPr>
          <w:p w14:paraId="75131D10">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专业监理工程师</w:t>
            </w:r>
          </w:p>
        </w:tc>
        <w:tc>
          <w:tcPr>
            <w:tcW w:w="1830" w:type="dxa"/>
            <w:tcBorders>
              <w:tl2br w:val="nil"/>
              <w:tr2bl w:val="nil"/>
            </w:tcBorders>
            <w:noWrap w:val="0"/>
            <w:vAlign w:val="center"/>
          </w:tcPr>
          <w:p w14:paraId="2BBF9E2F">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市政公用工程专业</w:t>
            </w:r>
          </w:p>
        </w:tc>
        <w:tc>
          <w:tcPr>
            <w:tcW w:w="790" w:type="dxa"/>
            <w:tcBorders>
              <w:tl2br w:val="nil"/>
              <w:tr2bl w:val="nil"/>
            </w:tcBorders>
            <w:noWrap w:val="0"/>
            <w:vAlign w:val="center"/>
          </w:tcPr>
          <w:p w14:paraId="50052E28">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w:t>
            </w:r>
          </w:p>
        </w:tc>
        <w:tc>
          <w:tcPr>
            <w:tcW w:w="1755" w:type="dxa"/>
            <w:tcBorders>
              <w:tl2br w:val="nil"/>
              <w:tr2bl w:val="nil"/>
            </w:tcBorders>
            <w:noWrap w:val="0"/>
            <w:vAlign w:val="center"/>
          </w:tcPr>
          <w:p w14:paraId="6EFAFD7E">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每月到岗时间不少于</w:t>
            </w:r>
            <w:r>
              <w:rPr>
                <w:rFonts w:hint="eastAsia" w:ascii="仿宋" w:hAnsi="仿宋" w:eastAsia="仿宋" w:cs="仿宋"/>
                <w:b/>
                <w:color w:val="auto"/>
                <w:sz w:val="24"/>
                <w:highlight w:val="none"/>
                <w:lang w:val="en-US" w:eastAsia="zh-CN"/>
              </w:rPr>
              <w:t>23</w:t>
            </w:r>
            <w:r>
              <w:rPr>
                <w:rFonts w:hint="eastAsia" w:ascii="仿宋" w:hAnsi="仿宋" w:eastAsia="仿宋" w:cs="仿宋"/>
                <w:b/>
                <w:color w:val="auto"/>
                <w:sz w:val="24"/>
                <w:highlight w:val="none"/>
              </w:rPr>
              <w:t>天</w:t>
            </w:r>
          </w:p>
        </w:tc>
        <w:tc>
          <w:tcPr>
            <w:tcW w:w="2598" w:type="dxa"/>
            <w:tcBorders>
              <w:tl2br w:val="nil"/>
              <w:tr2bl w:val="nil"/>
            </w:tcBorders>
            <w:noWrap w:val="0"/>
            <w:vAlign w:val="center"/>
          </w:tcPr>
          <w:p w14:paraId="65623E9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p>
        </w:tc>
      </w:tr>
      <w:tr w14:paraId="20EBC36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tcBorders>
              <w:tl2br w:val="nil"/>
              <w:tr2bl w:val="nil"/>
            </w:tcBorders>
            <w:noWrap w:val="0"/>
            <w:vAlign w:val="center"/>
          </w:tcPr>
          <w:p w14:paraId="28127E88">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3</w:t>
            </w:r>
          </w:p>
        </w:tc>
        <w:tc>
          <w:tcPr>
            <w:tcW w:w="1981" w:type="dxa"/>
            <w:tcBorders>
              <w:tl2br w:val="nil"/>
              <w:tr2bl w:val="nil"/>
            </w:tcBorders>
            <w:noWrap w:val="0"/>
            <w:vAlign w:val="center"/>
          </w:tcPr>
          <w:p w14:paraId="78DCD4AA">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监理员</w:t>
            </w:r>
          </w:p>
        </w:tc>
        <w:tc>
          <w:tcPr>
            <w:tcW w:w="1830" w:type="dxa"/>
            <w:tcBorders>
              <w:tl2br w:val="nil"/>
              <w:tr2bl w:val="nil"/>
            </w:tcBorders>
            <w:noWrap w:val="0"/>
            <w:vAlign w:val="center"/>
          </w:tcPr>
          <w:p w14:paraId="57054211">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市政公用工程专业</w:t>
            </w:r>
          </w:p>
        </w:tc>
        <w:tc>
          <w:tcPr>
            <w:tcW w:w="790" w:type="dxa"/>
            <w:tcBorders>
              <w:tl2br w:val="nil"/>
              <w:tr2bl w:val="nil"/>
            </w:tcBorders>
            <w:noWrap w:val="0"/>
            <w:vAlign w:val="center"/>
          </w:tcPr>
          <w:p w14:paraId="0B9BBD5E">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1</w:t>
            </w:r>
          </w:p>
        </w:tc>
        <w:tc>
          <w:tcPr>
            <w:tcW w:w="1755" w:type="dxa"/>
            <w:tcBorders>
              <w:tl2br w:val="nil"/>
              <w:tr2bl w:val="nil"/>
            </w:tcBorders>
            <w:noWrap w:val="0"/>
            <w:vAlign w:val="center"/>
          </w:tcPr>
          <w:p w14:paraId="58EBF9A8">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每月到岗时间不少于</w:t>
            </w:r>
            <w:r>
              <w:rPr>
                <w:rFonts w:hint="eastAsia" w:ascii="仿宋" w:hAnsi="仿宋" w:eastAsia="仿宋" w:cs="仿宋"/>
                <w:b/>
                <w:color w:val="auto"/>
                <w:sz w:val="24"/>
                <w:highlight w:val="none"/>
                <w:lang w:val="en-US" w:eastAsia="zh-CN"/>
              </w:rPr>
              <w:t>23</w:t>
            </w:r>
            <w:r>
              <w:rPr>
                <w:rFonts w:hint="eastAsia" w:ascii="仿宋" w:hAnsi="仿宋" w:eastAsia="仿宋" w:cs="仿宋"/>
                <w:b/>
                <w:color w:val="auto"/>
                <w:sz w:val="24"/>
                <w:highlight w:val="none"/>
              </w:rPr>
              <w:t>天</w:t>
            </w:r>
          </w:p>
        </w:tc>
        <w:tc>
          <w:tcPr>
            <w:tcW w:w="2598" w:type="dxa"/>
            <w:tcBorders>
              <w:tl2br w:val="nil"/>
              <w:tr2bl w:val="nil"/>
            </w:tcBorders>
            <w:noWrap w:val="0"/>
            <w:vAlign w:val="center"/>
          </w:tcPr>
          <w:p w14:paraId="73684FB4">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sz w:val="24"/>
                <w:highlight w:val="none"/>
              </w:rPr>
            </w:pPr>
          </w:p>
        </w:tc>
      </w:tr>
    </w:tbl>
    <w:p w14:paraId="545365B7">
      <w:pPr>
        <w:keepNext w:val="0"/>
        <w:keepLines w:val="0"/>
        <w:pageBreakBefore w:val="0"/>
        <w:widowControl/>
        <w:kinsoku/>
        <w:wordWrap/>
        <w:overflowPunct/>
        <w:topLinePunct w:val="0"/>
        <w:autoSpaceDE/>
        <w:autoSpaceDN/>
        <w:bidi w:val="0"/>
        <w:adjustRightInd/>
        <w:snapToGrid/>
        <w:spacing w:line="420" w:lineRule="exact"/>
        <w:ind w:right="0" w:firstLine="482" w:firstLineChars="200"/>
        <w:textAlignment w:val="auto"/>
        <w:rPr>
          <w:rFonts w:hint="eastAsia" w:ascii="仿宋" w:hAnsi="仿宋" w:eastAsia="仿宋" w:cs="仿宋"/>
          <w:b w:val="0"/>
          <w:bCs w:val="0"/>
          <w:color w:val="auto"/>
          <w:sz w:val="24"/>
          <w:highlight w:val="none"/>
          <w:u w:val="none"/>
          <w:lang w:val="en-US" w:eastAsia="zh-CN"/>
        </w:rPr>
      </w:pPr>
      <w:r>
        <w:rPr>
          <w:rFonts w:hint="eastAsia" w:ascii="仿宋" w:hAnsi="仿宋" w:eastAsia="仿宋" w:cs="仿宋"/>
          <w:b/>
          <w:bCs/>
          <w:color w:val="auto"/>
          <w:sz w:val="24"/>
          <w:szCs w:val="24"/>
          <w:highlight w:val="none"/>
          <w:lang w:val="en-US" w:eastAsia="zh-CN"/>
        </w:rPr>
        <w:t>投标单位须在投标文件中提供相关人员名单、证书、相关承诺并加盖供应商公章。</w:t>
      </w:r>
    </w:p>
    <w:p w14:paraId="24C6A83F">
      <w:pPr>
        <w:keepNext w:val="0"/>
        <w:keepLines w:val="0"/>
        <w:pageBreakBefore w:val="0"/>
        <w:widowControl/>
        <w:kinsoku/>
        <w:wordWrap/>
        <w:overflowPunct/>
        <w:topLinePunct w:val="0"/>
        <w:autoSpaceDE/>
        <w:autoSpaceDN/>
        <w:bidi w:val="0"/>
        <w:adjustRightInd/>
        <w:snapToGrid/>
        <w:spacing w:line="420" w:lineRule="exact"/>
        <w:ind w:right="0" w:firstLine="482" w:firstLineChars="200"/>
        <w:textAlignment w:val="auto"/>
        <w:rPr>
          <w:rFonts w:hint="eastAsia" w:ascii="仿宋" w:hAnsi="仿宋" w:eastAsia="仿宋" w:cs="仿宋"/>
          <w:b/>
          <w:bCs/>
          <w:color w:val="auto"/>
          <w:sz w:val="24"/>
          <w:highlight w:val="none"/>
          <w:u w:val="none"/>
          <w:lang w:val="en-US" w:eastAsia="zh-CN"/>
        </w:rPr>
      </w:pPr>
      <w:r>
        <w:rPr>
          <w:rFonts w:hint="eastAsia" w:ascii="仿宋" w:hAnsi="仿宋" w:eastAsia="仿宋" w:cs="仿宋"/>
          <w:b/>
          <w:bCs/>
          <w:color w:val="auto"/>
          <w:sz w:val="24"/>
          <w:highlight w:val="none"/>
          <w:u w:val="none"/>
          <w:lang w:val="en-US" w:eastAsia="zh-CN"/>
        </w:rPr>
        <w:t>★9.2</w:t>
      </w:r>
      <w:r>
        <w:rPr>
          <w:rFonts w:hint="eastAsia" w:ascii="仿宋" w:hAnsi="仿宋" w:eastAsia="仿宋" w:cs="仿宋"/>
          <w:b/>
          <w:bCs/>
          <w:color w:val="auto"/>
          <w:sz w:val="24"/>
          <w:szCs w:val="24"/>
          <w:highlight w:val="none"/>
        </w:rPr>
        <w:t>投标人拟派项目总监要求:拟派总监</w:t>
      </w:r>
      <w:r>
        <w:rPr>
          <w:rFonts w:hint="eastAsia" w:ascii="仿宋" w:hAnsi="仿宋" w:eastAsia="仿宋" w:cs="仿宋"/>
          <w:b/>
          <w:bCs/>
          <w:color w:val="auto"/>
          <w:sz w:val="24"/>
          <w:szCs w:val="24"/>
          <w:highlight w:val="none"/>
          <w:lang w:eastAsia="zh-CN"/>
        </w:rPr>
        <w:t>在</w:t>
      </w:r>
      <w:r>
        <w:rPr>
          <w:rFonts w:hint="eastAsia" w:ascii="仿宋" w:hAnsi="仿宋" w:eastAsia="仿宋" w:cs="仿宋"/>
          <w:b/>
          <w:bCs/>
          <w:color w:val="auto"/>
          <w:sz w:val="24"/>
          <w:szCs w:val="24"/>
          <w:highlight w:val="none"/>
        </w:rPr>
        <w:t>诸暨市外</w:t>
      </w:r>
      <w:r>
        <w:rPr>
          <w:rFonts w:hint="eastAsia" w:ascii="仿宋" w:hAnsi="仿宋" w:eastAsia="仿宋" w:cs="仿宋"/>
          <w:b/>
          <w:bCs/>
          <w:color w:val="auto"/>
          <w:sz w:val="24"/>
          <w:szCs w:val="24"/>
          <w:highlight w:val="none"/>
          <w:lang w:eastAsia="zh-CN"/>
        </w:rPr>
        <w:t>、及诸暨市范围内均无</w:t>
      </w:r>
      <w:r>
        <w:rPr>
          <w:rFonts w:hint="eastAsia" w:ascii="仿宋" w:hAnsi="仿宋" w:eastAsia="仿宋" w:cs="仿宋"/>
          <w:b/>
          <w:bCs/>
          <w:color w:val="auto"/>
          <w:sz w:val="24"/>
          <w:szCs w:val="24"/>
          <w:highlight w:val="none"/>
        </w:rPr>
        <w:t>在建项目，并须提供项目总监签字的无在建项目承诺函(格式自拟)</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未提供或提供不全的作</w:t>
      </w:r>
      <w:r>
        <w:rPr>
          <w:rFonts w:hint="eastAsia" w:ascii="仿宋" w:hAnsi="仿宋" w:eastAsia="仿宋" w:cs="仿宋"/>
          <w:b/>
          <w:bCs/>
          <w:color w:val="auto"/>
          <w:sz w:val="24"/>
          <w:szCs w:val="24"/>
          <w:highlight w:val="none"/>
          <w:lang w:val="en-US" w:eastAsia="zh-CN"/>
        </w:rPr>
        <w:t>无效</w:t>
      </w:r>
      <w:r>
        <w:rPr>
          <w:rFonts w:hint="eastAsia" w:ascii="仿宋" w:hAnsi="仿宋" w:eastAsia="仿宋" w:cs="仿宋"/>
          <w:b/>
          <w:bCs/>
          <w:color w:val="auto"/>
          <w:sz w:val="24"/>
          <w:szCs w:val="24"/>
          <w:highlight w:val="none"/>
        </w:rPr>
        <w:t>投标处理。</w:t>
      </w:r>
    </w:p>
    <w:p w14:paraId="13CBBA5D">
      <w:pPr>
        <w:keepNext w:val="0"/>
        <w:keepLines w:val="0"/>
        <w:pageBreakBefore w:val="0"/>
        <w:widowControl/>
        <w:kinsoku/>
        <w:wordWrap/>
        <w:overflowPunct/>
        <w:topLinePunct w:val="0"/>
        <w:autoSpaceDE/>
        <w:autoSpaceDN/>
        <w:bidi w:val="0"/>
        <w:adjustRightInd/>
        <w:snapToGrid/>
        <w:spacing w:line="420" w:lineRule="exact"/>
        <w:ind w:right="0" w:firstLine="480" w:firstLineChars="200"/>
        <w:textAlignment w:val="auto"/>
        <w:rPr>
          <w:rFonts w:hint="eastAsia" w:ascii="仿宋" w:hAnsi="仿宋" w:eastAsia="仿宋" w:cs="仿宋"/>
          <w:b w:val="0"/>
          <w:bCs w:val="0"/>
          <w:color w:val="auto"/>
          <w:highlight w:val="none"/>
          <w:lang w:eastAsia="zh-CN"/>
        </w:rPr>
      </w:pPr>
      <w:r>
        <w:rPr>
          <w:rFonts w:hint="eastAsia" w:ascii="仿宋" w:hAnsi="仿宋" w:eastAsia="仿宋" w:cs="仿宋"/>
          <w:b w:val="0"/>
          <w:bCs w:val="0"/>
          <w:color w:val="auto"/>
          <w:sz w:val="24"/>
          <w:highlight w:val="none"/>
          <w:u w:val="none"/>
          <w:lang w:val="en-US" w:eastAsia="zh-CN"/>
        </w:rPr>
        <w:t>9.</w:t>
      </w:r>
      <w:r>
        <w:rPr>
          <w:rFonts w:hint="eastAsia" w:ascii="仿宋" w:hAnsi="仿宋" w:eastAsia="仿宋" w:cs="仿宋"/>
          <w:b w:val="0"/>
          <w:bCs w:val="0"/>
          <w:color w:val="auto"/>
          <w:sz w:val="24"/>
          <w:szCs w:val="24"/>
          <w:highlight w:val="none"/>
          <w:lang w:val="en-US" w:eastAsia="zh-CN"/>
        </w:rPr>
        <w:t>3相关人员</w:t>
      </w:r>
      <w:r>
        <w:rPr>
          <w:rFonts w:hint="eastAsia" w:ascii="仿宋" w:hAnsi="仿宋" w:eastAsia="仿宋" w:cs="仿宋"/>
          <w:b w:val="0"/>
          <w:bCs w:val="0"/>
          <w:color w:val="auto"/>
          <w:sz w:val="24"/>
          <w:szCs w:val="24"/>
          <w:highlight w:val="none"/>
        </w:rPr>
        <w:t>如达不到</w:t>
      </w:r>
      <w:r>
        <w:rPr>
          <w:rFonts w:hint="eastAsia" w:ascii="仿宋" w:hAnsi="仿宋" w:eastAsia="仿宋" w:cs="仿宋"/>
          <w:b w:val="0"/>
          <w:bCs w:val="0"/>
          <w:color w:val="auto"/>
          <w:sz w:val="24"/>
          <w:szCs w:val="24"/>
          <w:highlight w:val="none"/>
          <w:lang w:val="en-US" w:eastAsia="zh-CN"/>
        </w:rPr>
        <w:t>采购人</w:t>
      </w:r>
      <w:r>
        <w:rPr>
          <w:rFonts w:hint="eastAsia" w:ascii="仿宋" w:hAnsi="仿宋" w:eastAsia="仿宋" w:cs="仿宋"/>
          <w:b w:val="0"/>
          <w:bCs w:val="0"/>
          <w:color w:val="auto"/>
          <w:sz w:val="24"/>
          <w:szCs w:val="24"/>
          <w:highlight w:val="none"/>
        </w:rPr>
        <w:t>要求，</w:t>
      </w:r>
      <w:r>
        <w:rPr>
          <w:rFonts w:hint="eastAsia" w:ascii="仿宋" w:hAnsi="仿宋" w:eastAsia="仿宋" w:cs="仿宋"/>
          <w:b w:val="0"/>
          <w:bCs w:val="0"/>
          <w:color w:val="auto"/>
          <w:sz w:val="24"/>
          <w:szCs w:val="24"/>
          <w:highlight w:val="none"/>
          <w:lang w:val="en-US" w:eastAsia="zh-CN"/>
        </w:rPr>
        <w:t>采购人</w:t>
      </w:r>
      <w:r>
        <w:rPr>
          <w:rFonts w:hint="eastAsia" w:ascii="仿宋" w:hAnsi="仿宋" w:eastAsia="仿宋" w:cs="仿宋"/>
          <w:b w:val="0"/>
          <w:bCs w:val="0"/>
          <w:color w:val="auto"/>
          <w:sz w:val="24"/>
          <w:szCs w:val="24"/>
          <w:highlight w:val="none"/>
        </w:rPr>
        <w:t>有权提出重新更换</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同时</w:t>
      </w:r>
      <w:r>
        <w:rPr>
          <w:rFonts w:hint="eastAsia" w:ascii="仿宋" w:hAnsi="仿宋" w:eastAsia="仿宋" w:cs="仿宋"/>
          <w:b w:val="0"/>
          <w:bCs w:val="0"/>
          <w:color w:val="auto"/>
          <w:sz w:val="24"/>
          <w:szCs w:val="24"/>
          <w:highlight w:val="none"/>
          <w:lang w:val="en-US" w:eastAsia="zh-CN"/>
        </w:rPr>
        <w:t>采购人</w:t>
      </w:r>
      <w:r>
        <w:rPr>
          <w:rFonts w:hint="eastAsia" w:ascii="仿宋" w:hAnsi="仿宋" w:eastAsia="仿宋" w:cs="仿宋"/>
          <w:b w:val="0"/>
          <w:bCs w:val="0"/>
          <w:color w:val="auto"/>
          <w:sz w:val="24"/>
          <w:szCs w:val="24"/>
          <w:highlight w:val="none"/>
        </w:rPr>
        <w:t>保留采取一切非常措施权利。</w:t>
      </w:r>
    </w:p>
    <w:p w14:paraId="43F8F9E3">
      <w:pPr>
        <w:keepNext w:val="0"/>
        <w:keepLines w:val="0"/>
        <w:pageBreakBefore w:val="0"/>
        <w:widowControl/>
        <w:kinsoku/>
        <w:wordWrap/>
        <w:overflowPunct/>
        <w:topLinePunct w:val="0"/>
        <w:autoSpaceDE/>
        <w:autoSpaceDN/>
        <w:bidi w:val="0"/>
        <w:adjustRightInd/>
        <w:snapToGrid/>
        <w:spacing w:line="420" w:lineRule="exact"/>
        <w:ind w:right="0" w:firstLine="480" w:firstLineChars="200"/>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9.4采购人通知监理人员到维护项目现场监理，监理单位应在收到通知后1小时内赶到指定地点。</w:t>
      </w:r>
    </w:p>
    <w:p w14:paraId="1078910A">
      <w:pPr>
        <w:pStyle w:val="10"/>
        <w:keepNext w:val="0"/>
        <w:keepLines w:val="0"/>
        <w:pageBreakBefore w:val="0"/>
        <w:widowControl w:val="0"/>
        <w:kinsoku/>
        <w:wordWrap/>
        <w:overflowPunct/>
        <w:topLinePunct w:val="0"/>
        <w:autoSpaceDE/>
        <w:autoSpaceDN/>
        <w:bidi w:val="0"/>
        <w:adjustRightInd/>
        <w:snapToGrid/>
        <w:spacing w:beforeLines="0" w:afterLines="0" w:line="420" w:lineRule="exact"/>
        <w:ind w:firstLine="480" w:firstLineChars="200"/>
        <w:textAlignment w:val="auto"/>
        <w:rPr>
          <w:rFonts w:hint="eastAsia" w:ascii="仿宋" w:hAnsi="仿宋" w:eastAsia="仿宋" w:cs="仿宋"/>
          <w:b/>
          <w:bCs/>
          <w:color w:val="auto"/>
          <w:sz w:val="24"/>
          <w:highlight w:val="none"/>
          <w:u w:val="none"/>
          <w:lang w:val="en-US" w:eastAsia="zh-CN"/>
        </w:rPr>
      </w:pPr>
      <w:r>
        <w:rPr>
          <w:rFonts w:hint="eastAsia" w:ascii="仿宋" w:hAnsi="仿宋" w:eastAsia="仿宋" w:cs="仿宋"/>
          <w:color w:val="auto"/>
          <w:kern w:val="2"/>
          <w:sz w:val="24"/>
          <w:szCs w:val="20"/>
          <w:highlight w:val="none"/>
          <w:lang w:val="en-US" w:eastAsia="zh-CN" w:bidi="ar-SA"/>
        </w:rPr>
        <w:t>9.5监理人员的交通食宿问题由监理单位自行解决。</w:t>
      </w:r>
    </w:p>
    <w:p w14:paraId="76CB29D0">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10、监理人管理要求：</w:t>
      </w:r>
    </w:p>
    <w:p w14:paraId="5673770D">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color w:val="auto"/>
          <w:sz w:val="24"/>
          <w:szCs w:val="24"/>
          <w:highlight w:val="none"/>
        </w:rPr>
        <w:t>10.1项目监理机构人员必须严格按照国家、行业及有关要求履行职责，必须严格实行指纹考勤制度，保证人员到岗到位。施工期间，</w:t>
      </w:r>
      <w:r>
        <w:rPr>
          <w:rFonts w:hint="eastAsia" w:ascii="仿宋" w:hAnsi="仿宋" w:eastAsia="仿宋" w:cs="仿宋"/>
          <w:b w:val="0"/>
          <w:bCs/>
          <w:color w:val="auto"/>
          <w:sz w:val="24"/>
          <w:szCs w:val="24"/>
          <w:highlight w:val="none"/>
        </w:rPr>
        <w:t>总监理工程师每月必须到岗</w:t>
      </w:r>
      <w:r>
        <w:rPr>
          <w:rFonts w:hint="eastAsia" w:ascii="仿宋" w:hAnsi="仿宋" w:eastAsia="仿宋" w:cs="仿宋"/>
          <w:b w:val="0"/>
          <w:bCs/>
          <w:color w:val="auto"/>
          <w:sz w:val="24"/>
          <w:szCs w:val="24"/>
          <w:highlight w:val="none"/>
          <w:lang w:val="en-US" w:eastAsia="zh-CN"/>
        </w:rPr>
        <w:t>19</w:t>
      </w:r>
      <w:r>
        <w:rPr>
          <w:rFonts w:hint="eastAsia" w:ascii="仿宋" w:hAnsi="仿宋" w:eastAsia="仿宋" w:cs="仿宋"/>
          <w:b w:val="0"/>
          <w:bCs/>
          <w:color w:val="auto"/>
          <w:sz w:val="24"/>
          <w:szCs w:val="24"/>
          <w:highlight w:val="none"/>
        </w:rPr>
        <w:t>日历天以上，专业监理工程师和监理员每月必须到岗2</w:t>
      </w: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b w:val="0"/>
          <w:bCs/>
          <w:color w:val="auto"/>
          <w:sz w:val="24"/>
          <w:szCs w:val="24"/>
          <w:highlight w:val="none"/>
        </w:rPr>
        <w:t>日历天以上</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监理机构人员出勤天数未达到规定的每缺勤1天或虽已按指纹但经抽查不在岗，</w:t>
      </w:r>
      <w:r>
        <w:rPr>
          <w:rFonts w:hint="eastAsia" w:ascii="仿宋" w:hAnsi="仿宋" w:eastAsia="仿宋" w:cs="仿宋"/>
          <w:color w:val="auto"/>
          <w:sz w:val="24"/>
          <w:szCs w:val="24"/>
          <w:highlight w:val="none"/>
        </w:rPr>
        <w:t>每缺勤一天按以下方式进行罚款：总监理工程师为</w:t>
      </w:r>
      <w:r>
        <w:rPr>
          <w:rFonts w:hint="eastAsia" w:ascii="仿宋" w:hAnsi="仿宋" w:eastAsia="仿宋" w:cs="仿宋"/>
          <w:color w:val="auto"/>
          <w:sz w:val="24"/>
          <w:szCs w:val="24"/>
          <w:highlight w:val="none"/>
          <w:lang w:val="en-US" w:eastAsia="zh-CN"/>
        </w:rPr>
        <w:t>3000</w:t>
      </w:r>
      <w:r>
        <w:rPr>
          <w:rFonts w:hint="eastAsia" w:ascii="仿宋" w:hAnsi="仿宋" w:eastAsia="仿宋" w:cs="仿宋"/>
          <w:color w:val="auto"/>
          <w:sz w:val="24"/>
          <w:szCs w:val="24"/>
          <w:highlight w:val="none"/>
        </w:rPr>
        <w:t>元/天</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专业监理工程师及监理员为</w:t>
      </w:r>
      <w:r>
        <w:rPr>
          <w:rFonts w:hint="eastAsia" w:ascii="仿宋" w:hAnsi="仿宋" w:eastAsia="仿宋" w:cs="仿宋"/>
          <w:color w:val="auto"/>
          <w:sz w:val="24"/>
          <w:szCs w:val="24"/>
          <w:highlight w:val="none"/>
          <w:lang w:val="en-US" w:eastAsia="zh-CN"/>
        </w:rPr>
        <w:t>1000</w:t>
      </w:r>
      <w:r>
        <w:rPr>
          <w:rFonts w:hint="eastAsia" w:ascii="仿宋" w:hAnsi="仿宋" w:eastAsia="仿宋" w:cs="仿宋"/>
          <w:color w:val="auto"/>
          <w:sz w:val="24"/>
          <w:szCs w:val="24"/>
          <w:highlight w:val="none"/>
        </w:rPr>
        <w:t>元/天，以上所有人员在项目监理期内累计缺勤达到5次（含）以上</w:t>
      </w:r>
      <w:r>
        <w:rPr>
          <w:rFonts w:hint="eastAsia" w:ascii="仿宋" w:hAnsi="仿宋" w:eastAsia="仿宋" w:cs="仿宋"/>
          <w:color w:val="auto"/>
          <w:sz w:val="24"/>
          <w:szCs w:val="24"/>
          <w:highlight w:val="none"/>
          <w:lang w:val="en-US" w:eastAsia="zh-CN"/>
        </w:rPr>
        <w:t>的，</w:t>
      </w:r>
      <w:r>
        <w:rPr>
          <w:rFonts w:hint="eastAsia" w:ascii="仿宋" w:hAnsi="仿宋" w:eastAsia="仿宋" w:cs="仿宋"/>
          <w:b w:val="0"/>
          <w:bCs w:val="0"/>
          <w:color w:val="auto"/>
          <w:sz w:val="24"/>
          <w:szCs w:val="24"/>
          <w:highlight w:val="none"/>
          <w:lang w:val="en-US" w:eastAsia="zh-CN"/>
        </w:rPr>
        <w:t>采购人</w:t>
      </w:r>
      <w:r>
        <w:rPr>
          <w:rFonts w:hint="eastAsia" w:ascii="仿宋" w:hAnsi="仿宋" w:eastAsia="仿宋" w:cs="仿宋"/>
          <w:b w:val="0"/>
          <w:bCs/>
          <w:color w:val="auto"/>
          <w:sz w:val="24"/>
          <w:szCs w:val="24"/>
          <w:highlight w:val="none"/>
        </w:rPr>
        <w:t>有权解除监理合同，所造成的损失由监理方承担。（请假必须办理书面请假手续，其它请假方式一律视为缺勤或脱岗处理）。</w:t>
      </w:r>
    </w:p>
    <w:p w14:paraId="33ED1D94">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10.2在工程中对工程质量、造价、进度等监理时弄虚作假损害业主利益的，一经查实，每发现一例，即扣除监理项目监理费总额的10%。</w:t>
      </w:r>
    </w:p>
    <w:p w14:paraId="6E28CDF4">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加强对施工中安全问题的监督，如施工中发现安全隐患，应及时向业主报告，并及时要求施工单位整改。因监理工作不到位引起施工安全问题的，每起扣除监理费1000—5000元不等，如造成施工安全事故的，则除扣除全部监理费外将提请建设行政主管部门依法处理。</w:t>
      </w:r>
    </w:p>
    <w:p w14:paraId="4D59D093">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根据监理规范必须旁站的关键部位及关键工序须有专业监理工程师或总监进行旁站，并做好旁站、隐蔽工程记录及监理日记，记录可用文字及影像的形式。专业监理工程师除了每天必须进行巡查外，须督促施工单位严格按图施工，发现问题及时处理，并报总监及发包人现场管理人员。如没有做好相关记录的视情扣罚监理费1000-20000元，如监理工程师没有按要求进行旁站的每查到一次：第一次罚款1000元；第二次罚款2000元；第三次罚款3000元；三次（不含）以上采购人有权解除监理合同，并由监理人承担一切责任。</w:t>
      </w:r>
    </w:p>
    <w:p w14:paraId="6CD3AA2B">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10.5监理到岗人员必须与</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文件中的人员相一致，未经采购人书面同意，监理人不得私自调换。监理人应派遣</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文件中承诺的监理人员进驻现场，除非采购人另有要求或其它不可抗力，</w:t>
      </w:r>
      <w:r>
        <w:rPr>
          <w:rFonts w:hint="eastAsia" w:ascii="仿宋" w:hAnsi="仿宋" w:eastAsia="仿宋" w:cs="仿宋"/>
          <w:color w:val="auto"/>
          <w:sz w:val="24"/>
          <w:szCs w:val="24"/>
          <w:highlight w:val="none"/>
        </w:rPr>
        <w:t>监理人不得以任何理由更换</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文件中拟定的总监理工程师、专业监理工程师等主要监理人员，否则将被视为监理单位违约。项目监理期间，若监理人因特殊要求更换人员，必须事先取得采购人的书面批准同意以后，才能替换监理人员，否则按擅自更换人员处理：擅自更换监理员的每人次罚款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000元，擅自更换专业监理工程师的每人次罚款</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000元，擅自更换总监的每人次罚款</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0000元。</w:t>
      </w:r>
    </w:p>
    <w:p w14:paraId="57F4D1A6">
      <w:pPr>
        <w:keepNext w:val="0"/>
        <w:keepLines w:val="0"/>
        <w:pageBreakBefore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10.6监理人员在审核工程洽商、设计变更单、工程变更单时应及时认真对照</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施工合同、施工图纸、现场监理记录、预算及市场价格等，确保工程量属实，工程费用合理合规。监理人必须督促施工单位及时上报工程洽商、工程变更单，一般的洽商、变更必须在施工单位上报后7天内签署或提出意见，否则每发生一次扣除监理费1000元，若由于监理人员工作疏忽导致核定的变更明显有误或不合理的，一经认定，每发生一例，即扣除监理费1000元。扣罚款累计超过监理项目合同价的50%的，采购人有权解除合同，并且由此造成的损失由监理人承担一切责任。</w:t>
      </w:r>
    </w:p>
    <w:p w14:paraId="46F0781A">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10.7监理人不得以任何形式向采购人工作人员或与监理项目工程相关的管理单位人员赠送各种礼品、礼券或现金，也不得接受承包人或与监理项目工程有利益关系人赠送的各种礼品、礼券、卡、现金或任何其他形式的馈赠，不得接受承包人或与监理项目工程有利益关系人的招待、宴请等，否则，每发生一次，罚款 2000元，累计罚款次数达到5次的，采购人有权解除合同并且由此造成的损失由监理人承担一切责任</w:t>
      </w:r>
      <w:r>
        <w:rPr>
          <w:rFonts w:hint="eastAsia" w:ascii="仿宋" w:hAnsi="仿宋" w:eastAsia="仿宋" w:cs="仿宋"/>
          <w:color w:val="auto"/>
          <w:sz w:val="24"/>
          <w:szCs w:val="24"/>
          <w:highlight w:val="none"/>
          <w:lang w:val="en-US" w:eastAsia="zh-CN"/>
        </w:rPr>
        <w:t>。</w:t>
      </w:r>
    </w:p>
    <w:p w14:paraId="5C074415">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（四）</w:t>
      </w:r>
      <w:r>
        <w:rPr>
          <w:rFonts w:ascii="仿宋" w:hAnsi="仿宋" w:eastAsia="仿宋" w:cs="仿宋"/>
          <w:b/>
          <w:color w:val="auto"/>
          <w:sz w:val="24"/>
          <w:szCs w:val="24"/>
          <w:highlight w:val="none"/>
        </w:rPr>
        <w:t>验收</w:t>
      </w:r>
    </w:p>
    <w:p w14:paraId="6E7636F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严格遵循国家和行业质量验收相关规范、标准执行。</w:t>
      </w:r>
    </w:p>
    <w:p w14:paraId="23C1CA77">
      <w:pPr>
        <w:keepNext w:val="0"/>
        <w:keepLines w:val="0"/>
        <w:pageBreakBefore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（五）服务时间及服务地点</w:t>
      </w:r>
    </w:p>
    <w:p w14:paraId="30FF6C5F">
      <w:pPr>
        <w:pStyle w:val="10"/>
        <w:keepNext w:val="0"/>
        <w:keepLines w:val="0"/>
        <w:pageBreakBefore w:val="0"/>
        <w:kinsoku/>
        <w:wordWrap/>
        <w:overflowPunct/>
        <w:topLinePunct w:val="0"/>
        <w:autoSpaceDE/>
        <w:autoSpaceDN/>
        <w:bidi w:val="0"/>
        <w:adjustRightInd/>
        <w:snapToGrid/>
        <w:spacing w:beforeLines="0" w:afterLines="0" w:line="42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1、服务时间：</w:t>
      </w:r>
      <w:r>
        <w:rPr>
          <w:rFonts w:hint="eastAsia" w:ascii="仿宋" w:hAnsi="仿宋" w:eastAsia="仿宋" w:cs="仿宋"/>
          <w:color w:val="auto"/>
          <w:sz w:val="24"/>
          <w:highlight w:val="none"/>
        </w:rPr>
        <w:t>自开工报告签发之日开始，至承接范围内所有工程竣工验收合格结束。项目前期准备、合同签订后至开工之日、结算审核、资料归档及保修阶段须无偿配合工作。</w:t>
      </w:r>
    </w:p>
    <w:p w14:paraId="483B532A">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2、服务地点：按采购人指定地点。</w:t>
      </w:r>
    </w:p>
    <w:p w14:paraId="10C26868">
      <w:pPr>
        <w:keepNext w:val="0"/>
        <w:keepLines w:val="0"/>
        <w:pageBreakBefore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（六）结算方式</w:t>
      </w:r>
    </w:p>
    <w:p w14:paraId="4D83FDB2">
      <w:pPr>
        <w:keepNext w:val="0"/>
        <w:keepLines w:val="0"/>
        <w:pageBreakBefore w:val="0"/>
        <w:widowControl w:val="0"/>
        <w:kinsoku/>
        <w:wordWrap/>
        <w:overflowPunct/>
        <w:topLinePunct w:val="0"/>
        <w:autoSpaceDE/>
        <w:autoSpaceDN/>
        <w:bidi w:val="0"/>
        <w:adjustRightInd/>
        <w:snapToGrid/>
        <w:spacing w:line="420" w:lineRule="exact"/>
        <w:ind w:firstLine="480" w:firstLineChars="200"/>
        <w:jc w:val="left"/>
        <w:textAlignment w:val="auto"/>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val="0"/>
          <w:bCs/>
          <w:i w:val="0"/>
          <w:iCs w:val="0"/>
          <w:color w:val="auto"/>
          <w:kern w:val="2"/>
          <w:sz w:val="24"/>
          <w:szCs w:val="20"/>
          <w:highlight w:val="none"/>
          <w:lang w:val="en-US" w:eastAsia="zh-CN" w:bidi="ar-SA"/>
        </w:rPr>
        <w:t>监理费按（发改价格[2007] 670号）收费标准计算。监理费=施工监理收费基价×专业调整系数×工程复杂程度调整系数×高程调整系数×中标折扣。本工程高程调整系数为1，工程复杂程度调整系数为1，专业调整系数为1。施工监理收费基价按《施工监理收费基价表》确定，</w:t>
      </w:r>
      <w:r>
        <w:rPr>
          <w:rFonts w:hint="eastAsia" w:ascii="仿宋" w:hAnsi="仿宋" w:eastAsia="仿宋" w:cs="仿宋"/>
          <w:b w:val="0"/>
          <w:bCs/>
          <w:color w:val="auto"/>
          <w:kern w:val="0"/>
          <w:sz w:val="24"/>
          <w:szCs w:val="24"/>
          <w:highlight w:val="none"/>
          <w:lang w:eastAsia="zh-CN"/>
        </w:rPr>
        <w:t>监理合同中</w:t>
      </w:r>
      <w:r>
        <w:rPr>
          <w:rFonts w:hint="eastAsia" w:ascii="仿宋" w:hAnsi="仿宋" w:eastAsia="仿宋" w:cs="仿宋"/>
          <w:b w:val="0"/>
          <w:bCs/>
          <w:color w:val="auto"/>
          <w:kern w:val="0"/>
          <w:sz w:val="24"/>
          <w:szCs w:val="24"/>
          <w:highlight w:val="none"/>
        </w:rPr>
        <w:t>暂按施工中标价作为取费基数，</w:t>
      </w:r>
      <w:r>
        <w:rPr>
          <w:rFonts w:hint="eastAsia" w:ascii="仿宋" w:hAnsi="仿宋" w:eastAsia="仿宋" w:cs="仿宋"/>
          <w:b w:val="0"/>
          <w:bCs/>
          <w:i w:val="0"/>
          <w:iCs w:val="0"/>
          <w:color w:val="auto"/>
          <w:kern w:val="2"/>
          <w:sz w:val="24"/>
          <w:szCs w:val="20"/>
          <w:highlight w:val="none"/>
          <w:lang w:val="en-US" w:eastAsia="zh-CN" w:bidi="ar-SA"/>
        </w:rPr>
        <w:t>最终计费额以招标范围内竣工结算经审计后的造价为准，计费额处于两个数值区间的，采用直线内插入法确定施工监理收费基价。</w:t>
      </w:r>
    </w:p>
    <w:p w14:paraId="48D5AECD">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0"/>
          <w:sz w:val="24"/>
          <w:szCs w:val="24"/>
          <w:highlight w:val="none"/>
          <w:lang w:val="en-US" w:eastAsia="zh-CN"/>
        </w:rPr>
      </w:pPr>
      <w:r>
        <w:rPr>
          <w:rFonts w:hint="eastAsia" w:ascii="仿宋" w:hAnsi="仿宋" w:eastAsia="仿宋" w:cs="仿宋"/>
          <w:b/>
          <w:color w:val="auto"/>
          <w:kern w:val="0"/>
          <w:sz w:val="24"/>
          <w:szCs w:val="24"/>
          <w:highlight w:val="none"/>
          <w:lang w:val="en-US" w:eastAsia="zh-CN"/>
        </w:rPr>
        <w:t>施工监理服务收费基价表（单位：万元）</w:t>
      </w:r>
    </w:p>
    <w:tbl>
      <w:tblPr>
        <w:tblStyle w:val="22"/>
        <w:tblW w:w="0" w:type="auto"/>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2835"/>
        <w:gridCol w:w="2835"/>
        <w:gridCol w:w="2835"/>
      </w:tblGrid>
      <w:tr w14:paraId="6667DB9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376E5C7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序号</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02159681">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计费额</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2B04BD4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收费基价</w:t>
            </w:r>
          </w:p>
        </w:tc>
      </w:tr>
      <w:tr w14:paraId="3930E5B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7F355C0F">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181D4EBB">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500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5C457099">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16.5</w:t>
            </w:r>
          </w:p>
        </w:tc>
      </w:tr>
      <w:tr w14:paraId="4720546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1DC387A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2</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0527B6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489B560F">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30.1</w:t>
            </w:r>
          </w:p>
        </w:tc>
      </w:tr>
      <w:tr w14:paraId="30C085A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6C0C543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3</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C397957">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3000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55BA294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78.1</w:t>
            </w:r>
          </w:p>
        </w:tc>
      </w:tr>
      <w:tr w14:paraId="3ED8EDC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63542111">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4</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722A5F46">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5000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5E728404">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120.8</w:t>
            </w:r>
          </w:p>
        </w:tc>
      </w:tr>
      <w:tr w14:paraId="61D776D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39E2D85D">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5</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1CB604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8000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42D4A24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181.0</w:t>
            </w:r>
          </w:p>
        </w:tc>
      </w:tr>
      <w:tr w14:paraId="15F0716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0B236D4B">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6</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55275F3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110DB091">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218.6</w:t>
            </w:r>
          </w:p>
        </w:tc>
      </w:tr>
      <w:tr w14:paraId="3C959FB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24E416F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7</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9578DC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20000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26EDF37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393.4</w:t>
            </w:r>
          </w:p>
        </w:tc>
      </w:tr>
      <w:tr w14:paraId="2710554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5FF9DD88">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8</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074F8F5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40000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23372AD6">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708.2</w:t>
            </w:r>
          </w:p>
        </w:tc>
      </w:tr>
      <w:tr w14:paraId="530CC01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0DE4AE72">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9</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26DB43A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60000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0BDBA1E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991.4</w:t>
            </w:r>
          </w:p>
        </w:tc>
      </w:tr>
      <w:tr w14:paraId="6E0F10D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7D1A981A">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73DD8B6">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80000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0BAD5BB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1255.8</w:t>
            </w:r>
          </w:p>
        </w:tc>
      </w:tr>
      <w:tr w14:paraId="2F9F3A7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48E8D49E">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11</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72B4B9D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70060961">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1507.0</w:t>
            </w:r>
          </w:p>
        </w:tc>
      </w:tr>
      <w:tr w14:paraId="0EA30AC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2B79229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12</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005C1EF5">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200000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0CC53E2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2712.5</w:t>
            </w:r>
          </w:p>
        </w:tc>
      </w:tr>
      <w:tr w14:paraId="686D909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01B3BFEE">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13</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54365800">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400000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199FC723">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4882.6</w:t>
            </w:r>
          </w:p>
        </w:tc>
      </w:tr>
      <w:tr w14:paraId="63C89E0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760EE7C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14</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7642DD06">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600000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2272F117">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6835.6</w:t>
            </w:r>
          </w:p>
        </w:tc>
      </w:tr>
      <w:tr w14:paraId="3DD29A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1CE4B008">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15</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652A2B7C">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800000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5ADDE9D4">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8658.4</w:t>
            </w:r>
          </w:p>
        </w:tc>
      </w:tr>
      <w:tr w14:paraId="633FD80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40" w:hRule="atLeast"/>
          <w:tblCellSpacing w:w="0" w:type="dxa"/>
          <w:jc w:val="center"/>
        </w:trPr>
        <w:tc>
          <w:tcPr>
            <w:tcW w:w="2835" w:type="dxa"/>
            <w:tcBorders>
              <w:top w:val="outset" w:color="auto" w:sz="6" w:space="0"/>
              <w:left w:val="outset" w:color="auto" w:sz="6" w:space="0"/>
              <w:bottom w:val="outset" w:color="auto" w:sz="6" w:space="0"/>
              <w:right w:val="outset" w:color="auto" w:sz="6" w:space="0"/>
            </w:tcBorders>
            <w:noWrap w:val="0"/>
            <w:vAlign w:val="top"/>
          </w:tcPr>
          <w:p w14:paraId="5F3E0299">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16</w:t>
            </w:r>
          </w:p>
        </w:tc>
        <w:tc>
          <w:tcPr>
            <w:tcW w:w="2835" w:type="dxa"/>
            <w:tcBorders>
              <w:top w:val="outset" w:color="auto" w:sz="6" w:space="0"/>
              <w:left w:val="outset" w:color="auto" w:sz="6" w:space="0"/>
              <w:bottom w:val="outset" w:color="auto" w:sz="6" w:space="0"/>
              <w:right w:val="outset" w:color="auto" w:sz="6" w:space="0"/>
            </w:tcBorders>
            <w:noWrap w:val="0"/>
            <w:vAlign w:val="top"/>
          </w:tcPr>
          <w:p w14:paraId="34949422">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1000000</w:t>
            </w:r>
          </w:p>
        </w:tc>
        <w:tc>
          <w:tcPr>
            <w:tcW w:w="2835" w:type="dxa"/>
            <w:tcBorders>
              <w:top w:val="outset" w:color="auto" w:sz="6" w:space="0"/>
              <w:left w:val="outset" w:color="auto" w:sz="6" w:space="0"/>
              <w:bottom w:val="outset" w:color="auto" w:sz="6" w:space="0"/>
              <w:right w:val="outset" w:color="auto" w:sz="6" w:space="0"/>
            </w:tcBorders>
            <w:noWrap w:val="0"/>
            <w:vAlign w:val="bottom"/>
          </w:tcPr>
          <w:p w14:paraId="0365382E">
            <w:pPr>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10390.1</w:t>
            </w:r>
          </w:p>
        </w:tc>
      </w:tr>
    </w:tbl>
    <w:p w14:paraId="7CC80D57">
      <w:pPr>
        <w:keepNext w:val="0"/>
        <w:keepLines w:val="0"/>
        <w:pageBreakBefore w:val="0"/>
        <w:widowControl w:val="0"/>
        <w:kinsoku/>
        <w:wordWrap/>
        <w:overflowPunct/>
        <w:topLinePunct w:val="0"/>
        <w:autoSpaceDE/>
        <w:autoSpaceDN/>
        <w:bidi w:val="0"/>
        <w:adjustRightInd/>
        <w:snapToGrid/>
        <w:spacing w:line="420" w:lineRule="exact"/>
        <w:jc w:val="center"/>
        <w:textAlignment w:val="auto"/>
        <w:rPr>
          <w:rFonts w:hint="eastAsia" w:ascii="仿宋" w:hAnsi="仿宋" w:eastAsia="仿宋" w:cs="仿宋"/>
          <w:b/>
          <w:bCs/>
          <w:color w:val="auto"/>
          <w:sz w:val="24"/>
          <w:highlight w:val="none"/>
          <w:lang w:eastAsia="zh-CN"/>
        </w:rPr>
      </w:pPr>
      <w:r>
        <w:rPr>
          <w:rFonts w:hint="eastAsia" w:ascii="仿宋" w:hAnsi="仿宋" w:eastAsia="仿宋" w:cs="仿宋"/>
          <w:b w:val="0"/>
          <w:bCs/>
          <w:color w:val="auto"/>
          <w:kern w:val="0"/>
          <w:sz w:val="24"/>
          <w:szCs w:val="24"/>
          <w:highlight w:val="none"/>
        </w:rPr>
        <w:t>注：计费额大于1000000万元的，以计费额乘以1.039%的收费率计算收费基价。</w:t>
      </w:r>
    </w:p>
    <w:p w14:paraId="20344AE6">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（七）</w:t>
      </w:r>
      <w:r>
        <w:rPr>
          <w:rFonts w:ascii="仿宋" w:hAnsi="仿宋" w:eastAsia="仿宋" w:cs="仿宋"/>
          <w:b/>
          <w:color w:val="auto"/>
          <w:sz w:val="24"/>
          <w:szCs w:val="24"/>
          <w:highlight w:val="none"/>
        </w:rPr>
        <w:t>履约保证金</w:t>
      </w:r>
      <w:r>
        <w:rPr>
          <w:rFonts w:hint="eastAsia" w:ascii="仿宋" w:hAnsi="仿宋" w:eastAsia="仿宋" w:cs="仿宋"/>
          <w:b/>
          <w:color w:val="auto"/>
          <w:sz w:val="24"/>
          <w:szCs w:val="24"/>
          <w:highlight w:val="none"/>
          <w:lang w:val="en-US" w:eastAsia="zh-CN"/>
        </w:rPr>
        <w:t>及</w:t>
      </w:r>
      <w:r>
        <w:rPr>
          <w:rFonts w:ascii="仿宋" w:hAnsi="仿宋" w:eastAsia="仿宋" w:cs="仿宋"/>
          <w:b/>
          <w:color w:val="auto"/>
          <w:sz w:val="24"/>
          <w:szCs w:val="24"/>
          <w:highlight w:val="none"/>
        </w:rPr>
        <w:t>付款方式</w:t>
      </w:r>
    </w:p>
    <w:p w14:paraId="5BC86B48">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
          <w:bCs/>
          <w:color w:val="auto"/>
          <w:sz w:val="24"/>
          <w:szCs w:val="24"/>
          <w:highlight w:val="none"/>
        </w:rPr>
        <w:t>1、履约保证金：</w:t>
      </w:r>
      <w:r>
        <w:rPr>
          <w:rFonts w:hint="eastAsia" w:ascii="仿宋" w:hAnsi="仿宋" w:eastAsia="仿宋" w:cs="仿宋"/>
          <w:color w:val="auto"/>
          <w:sz w:val="24"/>
          <w:szCs w:val="24"/>
          <w:highlight w:val="none"/>
          <w:lang w:val="en-US" w:eastAsia="zh-CN"/>
        </w:rPr>
        <w:t>合同签订前，</w:t>
      </w:r>
      <w:r>
        <w:rPr>
          <w:rFonts w:hint="eastAsia" w:ascii="仿宋" w:hAnsi="仿宋" w:eastAsia="仿宋" w:cs="仿宋"/>
          <w:color w:val="auto"/>
          <w:sz w:val="24"/>
          <w:szCs w:val="24"/>
          <w:highlight w:val="none"/>
          <w:lang w:val="en-US" w:eastAsia="zh-CN"/>
        </w:rPr>
        <w:t>中标人须向采购单位缴纳合同金额1%的履约保证金，项目全部工程竣工验收合格后30天内退回，不计息</w:t>
      </w:r>
      <w:r>
        <w:rPr>
          <w:rFonts w:hint="eastAsia" w:ascii="仿宋" w:hAnsi="仿宋" w:eastAsia="仿宋" w:cs="仿宋"/>
          <w:bCs/>
          <w:color w:val="auto"/>
          <w:sz w:val="24"/>
          <w:szCs w:val="24"/>
          <w:highlight w:val="none"/>
        </w:rPr>
        <w:t>。</w:t>
      </w:r>
    </w:p>
    <w:p w14:paraId="0C93AD7F">
      <w:pPr>
        <w:spacing w:line="360" w:lineRule="auto"/>
        <w:ind w:firstLine="482" w:firstLineChars="200"/>
        <w:rPr>
          <w:rFonts w:hint="eastAsia" w:ascii="仿宋" w:hAnsi="仿宋" w:eastAsia="仿宋" w:cs="仿宋"/>
          <w:bCs/>
          <w:color w:val="auto"/>
          <w:sz w:val="24"/>
          <w:szCs w:val="24"/>
          <w:highlight w:val="none"/>
          <w:lang w:val="en-US" w:eastAsia="zh-CN"/>
        </w:rPr>
      </w:pPr>
      <w:r>
        <w:rPr>
          <w:rFonts w:hint="eastAsia" w:ascii="仿宋" w:hAnsi="仿宋" w:eastAsia="仿宋" w:cs="仿宋"/>
          <w:b/>
          <w:bCs w:val="0"/>
          <w:color w:val="auto"/>
          <w:sz w:val="24"/>
          <w:szCs w:val="24"/>
          <w:highlight w:val="none"/>
        </w:rPr>
        <w:t>2、付款方式：</w:t>
      </w:r>
      <w:r>
        <w:rPr>
          <w:rFonts w:hint="eastAsia" w:ascii="仿宋" w:hAnsi="仿宋" w:eastAsia="仿宋" w:cs="仿宋"/>
          <w:bCs/>
          <w:color w:val="auto"/>
          <w:sz w:val="24"/>
          <w:szCs w:val="24"/>
          <w:highlight w:val="none"/>
        </w:rPr>
        <w:t>工程量完成50%</w:t>
      </w:r>
      <w:r>
        <w:rPr>
          <w:rFonts w:hint="eastAsia" w:ascii="仿宋" w:hAnsi="仿宋" w:eastAsia="仿宋" w:cs="仿宋"/>
          <w:bCs/>
          <w:color w:val="auto"/>
          <w:sz w:val="24"/>
          <w:szCs w:val="24"/>
          <w:highlight w:val="none"/>
          <w:lang w:val="en-US" w:eastAsia="zh-CN"/>
        </w:rPr>
        <w:t>后支付至</w:t>
      </w:r>
      <w:r>
        <w:rPr>
          <w:rFonts w:hint="eastAsia" w:ascii="仿宋" w:hAnsi="仿宋" w:eastAsia="仿宋" w:cs="仿宋"/>
          <w:bCs/>
          <w:color w:val="auto"/>
          <w:sz w:val="24"/>
          <w:szCs w:val="24"/>
          <w:highlight w:val="none"/>
        </w:rPr>
        <w:t>暂定监理合同款的</w:t>
      </w:r>
      <w:r>
        <w:rPr>
          <w:rFonts w:hint="eastAsia" w:ascii="仿宋" w:hAnsi="仿宋" w:eastAsia="仿宋" w:cs="仿宋"/>
          <w:bCs/>
          <w:color w:val="auto"/>
          <w:sz w:val="24"/>
          <w:szCs w:val="24"/>
          <w:highlight w:val="none"/>
          <w:lang w:val="en-US" w:eastAsia="zh-CN"/>
        </w:rPr>
        <w:t>30</w:t>
      </w:r>
      <w:r>
        <w:rPr>
          <w:rFonts w:hint="eastAsia" w:ascii="仿宋" w:hAnsi="仿宋" w:eastAsia="仿宋" w:cs="仿宋"/>
          <w:bCs/>
          <w:color w:val="auto"/>
          <w:sz w:val="24"/>
          <w:szCs w:val="24"/>
          <w:highlight w:val="none"/>
        </w:rPr>
        <w:t>%</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竣工验收合格</w:t>
      </w:r>
      <w:r>
        <w:rPr>
          <w:rFonts w:hint="eastAsia" w:ascii="仿宋" w:hAnsi="仿宋" w:eastAsia="仿宋" w:cs="仿宋"/>
          <w:bCs/>
          <w:color w:val="auto"/>
          <w:sz w:val="24"/>
          <w:szCs w:val="24"/>
          <w:highlight w:val="none"/>
          <w:lang w:eastAsia="zh-CN"/>
        </w:rPr>
        <w:t>后</w:t>
      </w:r>
      <w:r>
        <w:rPr>
          <w:rFonts w:hint="eastAsia" w:ascii="仿宋" w:hAnsi="仿宋" w:eastAsia="仿宋" w:cs="仿宋"/>
          <w:bCs/>
          <w:color w:val="auto"/>
          <w:sz w:val="24"/>
          <w:szCs w:val="24"/>
          <w:highlight w:val="none"/>
          <w:lang w:val="en-US" w:eastAsia="zh-CN"/>
        </w:rPr>
        <w:t>支</w:t>
      </w:r>
      <w:r>
        <w:rPr>
          <w:rFonts w:hint="eastAsia" w:ascii="仿宋" w:hAnsi="仿宋" w:eastAsia="仿宋" w:cs="仿宋"/>
          <w:bCs/>
          <w:color w:val="auto"/>
          <w:sz w:val="24"/>
          <w:szCs w:val="24"/>
          <w:highlight w:val="none"/>
        </w:rPr>
        <w:t>付至暂定监理合同款的50%</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竣工</w:t>
      </w:r>
      <w:r>
        <w:rPr>
          <w:rFonts w:hint="eastAsia" w:ascii="仿宋" w:hAnsi="仿宋" w:eastAsia="仿宋" w:cs="仿宋"/>
          <w:bCs/>
          <w:color w:val="auto"/>
          <w:sz w:val="24"/>
          <w:szCs w:val="24"/>
          <w:highlight w:val="none"/>
          <w:lang w:eastAsia="zh-CN"/>
        </w:rPr>
        <w:t>结</w:t>
      </w:r>
      <w:r>
        <w:rPr>
          <w:rFonts w:hint="eastAsia" w:ascii="仿宋" w:hAnsi="仿宋" w:eastAsia="仿宋" w:cs="仿宋"/>
          <w:bCs/>
          <w:color w:val="auto"/>
          <w:sz w:val="24"/>
          <w:szCs w:val="24"/>
          <w:highlight w:val="none"/>
        </w:rPr>
        <w:t>算经审计后</w:t>
      </w:r>
      <w:r>
        <w:rPr>
          <w:rFonts w:hint="eastAsia" w:ascii="仿宋" w:hAnsi="仿宋" w:eastAsia="仿宋" w:cs="仿宋"/>
          <w:bCs/>
          <w:color w:val="auto"/>
          <w:sz w:val="24"/>
          <w:szCs w:val="24"/>
          <w:highlight w:val="none"/>
          <w:lang w:val="en-US" w:eastAsia="zh-CN"/>
        </w:rPr>
        <w:t>付清剩余款项。</w:t>
      </w:r>
    </w:p>
    <w:p w14:paraId="22583991">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（八）最高限价</w:t>
      </w:r>
    </w:p>
    <w:p w14:paraId="37D0547F">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本项目按折扣进行报价，最高折扣为80.00%，任何超过最高折扣的报价将被认定为无效报价（报价包括履行本项目所有规定服务所产生的全部税金、利润和费用，投标人应充分考虑并将有关本项目实施所涉及的一切费用均计入报价）。</w:t>
      </w:r>
    </w:p>
    <w:p w14:paraId="2D9C0C05">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firstLine="482" w:firstLineChars="200"/>
        <w:textAlignment w:val="auto"/>
        <w:rPr>
          <w:rFonts w:hint="eastAsia" w:ascii="仿宋" w:hAnsi="仿宋" w:eastAsia="仿宋" w:cs="仿宋"/>
          <w:b w:val="0"/>
          <w:bCs/>
          <w:color w:val="auto"/>
          <w:sz w:val="24"/>
          <w:szCs w:val="24"/>
          <w:highlight w:val="none"/>
          <w:u w:val="none"/>
          <w:lang w:val="en-US" w:eastAsia="zh-CN"/>
        </w:rPr>
      </w:pPr>
      <w:r>
        <w:rPr>
          <w:rFonts w:hint="eastAsia" w:ascii="仿宋" w:hAnsi="仿宋" w:eastAsia="仿宋" w:cs="仿宋"/>
          <w:b/>
          <w:bCs/>
          <w:color w:val="auto"/>
          <w:sz w:val="24"/>
          <w:szCs w:val="24"/>
          <w:highlight w:val="none"/>
          <w:lang w:val="en-US" w:eastAsia="zh-CN"/>
        </w:rPr>
        <w:t>最高合同金额为人民币贰拾玖万元整（¥290000.00）。</w:t>
      </w:r>
    </w:p>
    <w:p w14:paraId="0849F232">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（九）特别说明</w:t>
      </w:r>
    </w:p>
    <w:p w14:paraId="47CA60BA">
      <w:pPr>
        <w:pStyle w:val="37"/>
        <w:keepNext w:val="0"/>
        <w:keepLines w:val="0"/>
        <w:pageBreakBefore w:val="0"/>
        <w:kinsoku/>
        <w:wordWrap/>
        <w:overflowPunct/>
        <w:topLinePunct w:val="0"/>
        <w:bidi w:val="0"/>
        <w:adjustRightInd w:val="0"/>
        <w:snapToGrid/>
        <w:spacing w:line="420" w:lineRule="exact"/>
        <w:ind w:firstLine="482" w:firstLineChars="200"/>
        <w:textAlignment w:val="auto"/>
        <w:rPr>
          <w:rFonts w:hint="eastAsia"/>
          <w:color w:val="auto"/>
          <w:spacing w:val="0"/>
          <w:position w:val="0"/>
          <w:highlight w:val="none"/>
          <w:lang w:val="en-US" w:eastAsia="zh-CN"/>
        </w:rPr>
      </w:pPr>
      <w:r>
        <w:rPr>
          <w:rFonts w:hint="eastAsia" w:ascii="仿宋" w:hAnsi="仿宋" w:eastAsia="仿宋" w:cs="仿宋"/>
          <w:b/>
          <w:color w:val="auto"/>
          <w:sz w:val="24"/>
          <w:szCs w:val="24"/>
          <w:highlight w:val="none"/>
        </w:rPr>
        <w:t>本采购需求中标注“★”项为实质性要求条款，必须作出实质性响应。若其中任意一条打“★”的条款不满足（或出现“负偏离”）则投标无效。供应商须在投标文件中提供相关证明材料复印件或作出相关承诺（承诺函格式自拟），未提供相关证明材料复印件或相关承诺（或承诺内容不符）均作无效投标处理。</w:t>
      </w:r>
    </w:p>
    <w:sectPr>
      <w:footerReference r:id="rId3" w:type="default"/>
      <w:pgSz w:w="11905" w:h="16838"/>
      <w:pgMar w:top="1440" w:right="1417" w:bottom="1440" w:left="1417" w:header="850" w:footer="992" w:gutter="0"/>
      <w:pgNumType w:fmt="decimal"/>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F93D3">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E6725C">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4E6725C">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210"/>
  <w:drawingGridVerticalSpacing w:val="159"/>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0NGVmYjUyMjM2OTkwMzM0YTdkNjRkMDZmMDJiZWEifQ=="/>
  </w:docVars>
  <w:rsids>
    <w:rsidRoot w:val="341F1155"/>
    <w:rsid w:val="01B74261"/>
    <w:rsid w:val="02264CD0"/>
    <w:rsid w:val="02413045"/>
    <w:rsid w:val="02CE01A5"/>
    <w:rsid w:val="03D423E4"/>
    <w:rsid w:val="03EC2B7B"/>
    <w:rsid w:val="0512295E"/>
    <w:rsid w:val="05556889"/>
    <w:rsid w:val="056858EB"/>
    <w:rsid w:val="0622059D"/>
    <w:rsid w:val="06447858"/>
    <w:rsid w:val="06C2667A"/>
    <w:rsid w:val="07C963B1"/>
    <w:rsid w:val="08CD2C39"/>
    <w:rsid w:val="09055BBE"/>
    <w:rsid w:val="09114AF1"/>
    <w:rsid w:val="0A3C4EDA"/>
    <w:rsid w:val="0A3E03DD"/>
    <w:rsid w:val="0ABD45E4"/>
    <w:rsid w:val="0B4A7615"/>
    <w:rsid w:val="0B50371D"/>
    <w:rsid w:val="0BC87EE4"/>
    <w:rsid w:val="0D737F1F"/>
    <w:rsid w:val="0D9F4266"/>
    <w:rsid w:val="0E120D40"/>
    <w:rsid w:val="0E9D6E26"/>
    <w:rsid w:val="0EA76C97"/>
    <w:rsid w:val="0EDE2DB2"/>
    <w:rsid w:val="0F00642C"/>
    <w:rsid w:val="0F5F308D"/>
    <w:rsid w:val="0FD03282"/>
    <w:rsid w:val="109A074C"/>
    <w:rsid w:val="10AC760C"/>
    <w:rsid w:val="10C80814"/>
    <w:rsid w:val="1190091D"/>
    <w:rsid w:val="11D56E4F"/>
    <w:rsid w:val="123C2076"/>
    <w:rsid w:val="12A32D1F"/>
    <w:rsid w:val="142741A0"/>
    <w:rsid w:val="14B7278A"/>
    <w:rsid w:val="16024E20"/>
    <w:rsid w:val="162064D9"/>
    <w:rsid w:val="16A257AE"/>
    <w:rsid w:val="16CC6617"/>
    <w:rsid w:val="16F14633"/>
    <w:rsid w:val="173975AD"/>
    <w:rsid w:val="17CB1D98"/>
    <w:rsid w:val="182F1ABD"/>
    <w:rsid w:val="18DD19B3"/>
    <w:rsid w:val="195C5098"/>
    <w:rsid w:val="195D472D"/>
    <w:rsid w:val="197F26E3"/>
    <w:rsid w:val="1A364410"/>
    <w:rsid w:val="1B8C6F40"/>
    <w:rsid w:val="1D0A6375"/>
    <w:rsid w:val="1D217761"/>
    <w:rsid w:val="1D584F32"/>
    <w:rsid w:val="202E4A5B"/>
    <w:rsid w:val="205A0DA2"/>
    <w:rsid w:val="2107473E"/>
    <w:rsid w:val="217A6C7B"/>
    <w:rsid w:val="219E0B0A"/>
    <w:rsid w:val="22402A36"/>
    <w:rsid w:val="225443E0"/>
    <w:rsid w:val="228700B2"/>
    <w:rsid w:val="22B6537E"/>
    <w:rsid w:val="23387ED6"/>
    <w:rsid w:val="233D40F4"/>
    <w:rsid w:val="243279D1"/>
    <w:rsid w:val="248655F9"/>
    <w:rsid w:val="250C6559"/>
    <w:rsid w:val="25CB70E9"/>
    <w:rsid w:val="25EF4432"/>
    <w:rsid w:val="2725553C"/>
    <w:rsid w:val="27A6325E"/>
    <w:rsid w:val="28175856"/>
    <w:rsid w:val="2846729E"/>
    <w:rsid w:val="28BD3A65"/>
    <w:rsid w:val="2A9C51F4"/>
    <w:rsid w:val="2AD0584D"/>
    <w:rsid w:val="2AF93390"/>
    <w:rsid w:val="2AFD1D96"/>
    <w:rsid w:val="2C5E29BB"/>
    <w:rsid w:val="2CA406AA"/>
    <w:rsid w:val="2CF61B50"/>
    <w:rsid w:val="2E747DC3"/>
    <w:rsid w:val="30216B85"/>
    <w:rsid w:val="305B4138"/>
    <w:rsid w:val="30A432D6"/>
    <w:rsid w:val="31382815"/>
    <w:rsid w:val="31F920E7"/>
    <w:rsid w:val="32167F39"/>
    <w:rsid w:val="32424281"/>
    <w:rsid w:val="32C957DF"/>
    <w:rsid w:val="33306488"/>
    <w:rsid w:val="33A22F43"/>
    <w:rsid w:val="33B9096A"/>
    <w:rsid w:val="341F1155"/>
    <w:rsid w:val="346F6E14"/>
    <w:rsid w:val="348A3241"/>
    <w:rsid w:val="354D6802"/>
    <w:rsid w:val="371B2276"/>
    <w:rsid w:val="37D1071F"/>
    <w:rsid w:val="38895CD0"/>
    <w:rsid w:val="38D75A4F"/>
    <w:rsid w:val="38DE58D2"/>
    <w:rsid w:val="3A883217"/>
    <w:rsid w:val="3AD72F96"/>
    <w:rsid w:val="3B040E8D"/>
    <w:rsid w:val="3B075CE3"/>
    <w:rsid w:val="3B162426"/>
    <w:rsid w:val="3B1662FE"/>
    <w:rsid w:val="3C3245BA"/>
    <w:rsid w:val="3CAC1D33"/>
    <w:rsid w:val="3D8C6B5E"/>
    <w:rsid w:val="3DAE0540"/>
    <w:rsid w:val="3DBD32DC"/>
    <w:rsid w:val="3DE27716"/>
    <w:rsid w:val="3E156059"/>
    <w:rsid w:val="3EB81F09"/>
    <w:rsid w:val="3ECE0618"/>
    <w:rsid w:val="3F1B24AA"/>
    <w:rsid w:val="400366B5"/>
    <w:rsid w:val="401B2838"/>
    <w:rsid w:val="41003A0B"/>
    <w:rsid w:val="42176DFB"/>
    <w:rsid w:val="427C23A2"/>
    <w:rsid w:val="42845230"/>
    <w:rsid w:val="42927902"/>
    <w:rsid w:val="43212B30"/>
    <w:rsid w:val="43EB387E"/>
    <w:rsid w:val="440A08B0"/>
    <w:rsid w:val="44757F5F"/>
    <w:rsid w:val="44954C10"/>
    <w:rsid w:val="44BB4E50"/>
    <w:rsid w:val="451B2DDC"/>
    <w:rsid w:val="46962E75"/>
    <w:rsid w:val="46CE7964"/>
    <w:rsid w:val="46E44843"/>
    <w:rsid w:val="4719143C"/>
    <w:rsid w:val="473F5E74"/>
    <w:rsid w:val="47461F7B"/>
    <w:rsid w:val="48B57E90"/>
    <w:rsid w:val="48F50E49"/>
    <w:rsid w:val="49C37D91"/>
    <w:rsid w:val="4C05373B"/>
    <w:rsid w:val="4C110443"/>
    <w:rsid w:val="4C722250"/>
    <w:rsid w:val="4CA914C6"/>
    <w:rsid w:val="4CEF2847"/>
    <w:rsid w:val="4DA71FF5"/>
    <w:rsid w:val="4E474FD2"/>
    <w:rsid w:val="501677F0"/>
    <w:rsid w:val="50D21228"/>
    <w:rsid w:val="51276734"/>
    <w:rsid w:val="514D5D82"/>
    <w:rsid w:val="521D59C7"/>
    <w:rsid w:val="52406284"/>
    <w:rsid w:val="526F66CB"/>
    <w:rsid w:val="5342719F"/>
    <w:rsid w:val="540C73F1"/>
    <w:rsid w:val="54664607"/>
    <w:rsid w:val="547748A2"/>
    <w:rsid w:val="55D74A56"/>
    <w:rsid w:val="56685052"/>
    <w:rsid w:val="56840B58"/>
    <w:rsid w:val="56D70B89"/>
    <w:rsid w:val="57387D6D"/>
    <w:rsid w:val="574C0B47"/>
    <w:rsid w:val="57831D4A"/>
    <w:rsid w:val="57952240"/>
    <w:rsid w:val="58240E03"/>
    <w:rsid w:val="58556DFB"/>
    <w:rsid w:val="59265E4F"/>
    <w:rsid w:val="5A6A0117"/>
    <w:rsid w:val="5A735AF1"/>
    <w:rsid w:val="5AD90D18"/>
    <w:rsid w:val="5B253396"/>
    <w:rsid w:val="5C2E323C"/>
    <w:rsid w:val="5C7E2212"/>
    <w:rsid w:val="5DA46C2D"/>
    <w:rsid w:val="5E0559CD"/>
    <w:rsid w:val="5E103F17"/>
    <w:rsid w:val="5F613FF3"/>
    <w:rsid w:val="60610DA9"/>
    <w:rsid w:val="61834A0A"/>
    <w:rsid w:val="621C64C4"/>
    <w:rsid w:val="63EA4534"/>
    <w:rsid w:val="6592214C"/>
    <w:rsid w:val="65B243E4"/>
    <w:rsid w:val="65F12FD0"/>
    <w:rsid w:val="661D1895"/>
    <w:rsid w:val="67B2192C"/>
    <w:rsid w:val="698758AC"/>
    <w:rsid w:val="6A4576E6"/>
    <w:rsid w:val="6AC56D3B"/>
    <w:rsid w:val="6AC95741"/>
    <w:rsid w:val="6BF95E33"/>
    <w:rsid w:val="6C0D6CD2"/>
    <w:rsid w:val="6C61362D"/>
    <w:rsid w:val="6CED64FE"/>
    <w:rsid w:val="6D172A07"/>
    <w:rsid w:val="6E6526A9"/>
    <w:rsid w:val="6E923579"/>
    <w:rsid w:val="6F3647DC"/>
    <w:rsid w:val="6F3E5C10"/>
    <w:rsid w:val="6F555E27"/>
    <w:rsid w:val="700C318E"/>
    <w:rsid w:val="702D331A"/>
    <w:rsid w:val="703F7DF3"/>
    <w:rsid w:val="705C4D63"/>
    <w:rsid w:val="71A2507A"/>
    <w:rsid w:val="738A079E"/>
    <w:rsid w:val="742E5972"/>
    <w:rsid w:val="744B2DDA"/>
    <w:rsid w:val="745201E6"/>
    <w:rsid w:val="74BE1A94"/>
    <w:rsid w:val="75D83866"/>
    <w:rsid w:val="75FE18F4"/>
    <w:rsid w:val="76072D30"/>
    <w:rsid w:val="768129FA"/>
    <w:rsid w:val="76C137E3"/>
    <w:rsid w:val="76D46471"/>
    <w:rsid w:val="77C0518E"/>
    <w:rsid w:val="77C4430A"/>
    <w:rsid w:val="78376848"/>
    <w:rsid w:val="788159C2"/>
    <w:rsid w:val="78905FDD"/>
    <w:rsid w:val="79AD76AE"/>
    <w:rsid w:val="7A017138"/>
    <w:rsid w:val="7B912E74"/>
    <w:rsid w:val="7BE0414B"/>
    <w:rsid w:val="7C792C1C"/>
    <w:rsid w:val="7CA14209"/>
    <w:rsid w:val="7D0E6DBB"/>
    <w:rsid w:val="7D301272"/>
    <w:rsid w:val="7F4469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9" w:semiHidden="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3">
    <w:name w:val="heading 2"/>
    <w:basedOn w:val="1"/>
    <w:next w:val="1"/>
    <w:qFormat/>
    <w:uiPriority w:val="9"/>
    <w:pPr>
      <w:widowControl/>
      <w:spacing w:before="100" w:beforeAutospacing="1" w:after="100" w:afterAutospacing="1"/>
      <w:jc w:val="left"/>
      <w:outlineLvl w:val="1"/>
    </w:pPr>
    <w:rPr>
      <w:rFonts w:ascii="Times New Roman" w:hAnsi="Times New Roman" w:eastAsia="等线"/>
      <w:b/>
      <w:bCs/>
      <w:kern w:val="0"/>
      <w:sz w:val="36"/>
      <w:szCs w:val="36"/>
    </w:rPr>
  </w:style>
  <w:style w:type="paragraph" w:styleId="4">
    <w:name w:val="heading 3"/>
    <w:basedOn w:val="1"/>
    <w:next w:val="5"/>
    <w:qFormat/>
    <w:uiPriority w:val="99"/>
    <w:pPr>
      <w:keepNext/>
      <w:keepLines/>
      <w:spacing w:before="260" w:after="260" w:line="360" w:lineRule="auto"/>
      <w:ind w:firstLine="602" w:firstLineChars="200"/>
      <w:outlineLvl w:val="2"/>
    </w:pPr>
    <w:rPr>
      <w:rFonts w:ascii="仿宋_GB2312" w:hAnsi="Calibri" w:eastAsia="仿宋_GB2312" w:cs="Times New Roman"/>
      <w:b/>
      <w:bCs/>
      <w:sz w:val="30"/>
      <w:szCs w:val="20"/>
    </w:rPr>
  </w:style>
  <w:style w:type="paragraph" w:styleId="6">
    <w:name w:val="heading 6"/>
    <w:basedOn w:val="1"/>
    <w:next w:val="1"/>
    <w:qFormat/>
    <w:uiPriority w:val="0"/>
    <w:pPr>
      <w:keepNext/>
      <w:keepLines/>
      <w:widowControl/>
      <w:tabs>
        <w:tab w:val="left" w:pos="1152"/>
      </w:tabs>
      <w:overflowPunct w:val="0"/>
      <w:autoSpaceDE/>
      <w:autoSpaceDN/>
      <w:snapToGrid w:val="0"/>
      <w:spacing w:before="120" w:after="120" w:line="360" w:lineRule="auto"/>
      <w:ind w:left="1152" w:hanging="1152"/>
      <w:textAlignment w:val="baseline"/>
      <w:outlineLvl w:val="5"/>
    </w:pPr>
    <w:rPr>
      <w:kern w:val="24"/>
      <w:sz w:val="24"/>
      <w:szCs w:val="24"/>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5">
    <w:name w:val="Normal Indent"/>
    <w:basedOn w:val="1"/>
    <w:next w:val="1"/>
    <w:qFormat/>
    <w:uiPriority w:val="0"/>
    <w:pPr>
      <w:ind w:firstLine="420"/>
    </w:pPr>
    <w:rPr>
      <w:rFonts w:eastAsia="宋体"/>
    </w:rPr>
  </w:style>
  <w:style w:type="paragraph" w:styleId="7">
    <w:name w:val="Body Text"/>
    <w:basedOn w:val="1"/>
    <w:qFormat/>
    <w:uiPriority w:val="0"/>
    <w:pPr>
      <w:spacing w:after="120"/>
    </w:pPr>
  </w:style>
  <w:style w:type="paragraph" w:styleId="8">
    <w:name w:val="Body Text Indent"/>
    <w:basedOn w:val="1"/>
    <w:next w:val="1"/>
    <w:qFormat/>
    <w:uiPriority w:val="0"/>
    <w:pPr>
      <w:spacing w:line="460" w:lineRule="exact"/>
      <w:ind w:firstLine="480" w:firstLineChars="200"/>
    </w:pPr>
  </w:style>
  <w:style w:type="paragraph" w:styleId="9">
    <w:name w:val="Block Text"/>
    <w:basedOn w:val="1"/>
    <w:unhideWhenUsed/>
    <w:qFormat/>
    <w:uiPriority w:val="99"/>
    <w:pPr>
      <w:spacing w:after="120"/>
      <w:ind w:left="1440" w:leftChars="700" w:right="1440" w:rightChars="700"/>
    </w:pPr>
  </w:style>
  <w:style w:type="paragraph" w:styleId="10">
    <w:name w:val="Plain Text"/>
    <w:basedOn w:val="1"/>
    <w:next w:val="11"/>
    <w:qFormat/>
    <w:uiPriority w:val="0"/>
    <w:rPr>
      <w:rFonts w:ascii="宋体" w:hAnsi="Courier New"/>
      <w:kern w:val="0"/>
      <w:szCs w:val="21"/>
    </w:rPr>
  </w:style>
  <w:style w:type="paragraph" w:styleId="11">
    <w:name w:val="index 7"/>
    <w:basedOn w:val="1"/>
    <w:next w:val="1"/>
    <w:qFormat/>
    <w:uiPriority w:val="0"/>
    <w:pPr>
      <w:ind w:left="1200" w:leftChars="1200"/>
    </w:pPr>
    <w:rPr>
      <w:rFonts w:ascii="Times New Roman" w:hAnsi="Times New Roman" w:eastAsia="宋体" w:cs="Times New Roman"/>
    </w:rPr>
  </w:style>
  <w:style w:type="paragraph" w:styleId="12">
    <w:name w:val="Body Text Indent 2"/>
    <w:basedOn w:val="1"/>
    <w:qFormat/>
    <w:uiPriority w:val="0"/>
    <w:pPr>
      <w:snapToGrid w:val="0"/>
      <w:spacing w:line="400" w:lineRule="exact"/>
      <w:ind w:firstLine="480"/>
    </w:pPr>
    <w:rPr>
      <w:rFonts w:ascii="Times New Roman" w:hAnsi="Times New Roman" w:eastAsia="仿宋_GB2312" w:cs="Times New Roman"/>
      <w:sz w:val="24"/>
    </w:rPr>
  </w:style>
  <w:style w:type="paragraph" w:styleId="13">
    <w:name w:val="footer"/>
    <w:basedOn w:val="1"/>
    <w:qFormat/>
    <w:uiPriority w:val="0"/>
    <w:pPr>
      <w:tabs>
        <w:tab w:val="center" w:pos="4153"/>
        <w:tab w:val="right" w:pos="8306"/>
      </w:tabs>
      <w:snapToGrid w:val="0"/>
      <w:jc w:val="left"/>
    </w:pPr>
    <w:rPr>
      <w:sz w:val="18"/>
    </w:rPr>
  </w:style>
  <w:style w:type="paragraph" w:styleId="14">
    <w:name w:val="envelope return"/>
    <w:basedOn w:val="1"/>
    <w:qFormat/>
    <w:uiPriority w:val="0"/>
    <w:pPr>
      <w:snapToGrid w:val="0"/>
    </w:pPr>
    <w:rPr>
      <w:rFonts w:ascii="Arial" w:hAnsi="Arial" w:cs="Arial"/>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39"/>
    <w:pPr>
      <w:tabs>
        <w:tab w:val="left" w:pos="780"/>
        <w:tab w:val="right" w:leader="dot" w:pos="9628"/>
      </w:tabs>
      <w:jc w:val="center"/>
    </w:pPr>
    <w:rPr>
      <w:sz w:val="24"/>
    </w:rPr>
  </w:style>
  <w:style w:type="paragraph" w:styleId="17">
    <w:name w:val="toc 6"/>
    <w:basedOn w:val="1"/>
    <w:next w:val="1"/>
    <w:qFormat/>
    <w:uiPriority w:val="99"/>
    <w:pPr>
      <w:ind w:left="2100" w:leftChars="1000"/>
    </w:pPr>
  </w:style>
  <w:style w:type="paragraph" w:styleId="18">
    <w:name w:val="Normal (Web)"/>
    <w:basedOn w:val="1"/>
    <w:qFormat/>
    <w:uiPriority w:val="99"/>
    <w:pPr>
      <w:widowControl/>
      <w:spacing w:before="100" w:beforeAutospacing="1" w:after="100" w:afterAutospacing="1"/>
      <w:jc w:val="left"/>
    </w:pPr>
    <w:rPr>
      <w:rFonts w:ascii="宋体" w:hAnsi="宋体"/>
      <w:sz w:val="24"/>
    </w:rPr>
  </w:style>
  <w:style w:type="paragraph" w:styleId="19">
    <w:name w:val="Body Text First Indent"/>
    <w:basedOn w:val="1"/>
    <w:next w:val="7"/>
    <w:qFormat/>
    <w:uiPriority w:val="99"/>
    <w:pPr>
      <w:ind w:firstLine="420"/>
    </w:pPr>
    <w:rPr>
      <w:rFonts w:hAnsi="Times New Roman" w:cs="Times New Roman"/>
      <w:szCs w:val="20"/>
    </w:rPr>
  </w:style>
  <w:style w:type="paragraph" w:styleId="20">
    <w:name w:val="Body Text First Indent 2"/>
    <w:basedOn w:val="8"/>
    <w:next w:val="21"/>
    <w:qFormat/>
    <w:uiPriority w:val="0"/>
    <w:pPr>
      <w:ind w:firstLine="420"/>
    </w:pPr>
    <w:rPr>
      <w:rFonts w:ascii="Times New Roman" w:hAnsi="Times New Roman" w:cs="宋体"/>
    </w:rPr>
  </w:style>
  <w:style w:type="paragraph" w:customStyle="1" w:styleId="21">
    <w:name w:val="样式 正文首行缩进 2 + Arial"/>
    <w:basedOn w:val="1"/>
    <w:next w:val="1"/>
    <w:qFormat/>
    <w:uiPriority w:val="0"/>
    <w:pPr>
      <w:spacing w:after="120" w:line="320" w:lineRule="atLeast"/>
      <w:ind w:firstLine="200" w:firstLineChars="200"/>
    </w:pPr>
    <w:rPr>
      <w:rFonts w:ascii="Arial" w:hAnsi="Arial"/>
      <w:kern w:val="0"/>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5">
    <w:name w:val="Body Text 3"/>
    <w:basedOn w:val="1"/>
    <w:qFormat/>
    <w:uiPriority w:val="0"/>
    <w:pPr>
      <w:spacing w:after="120" w:afterLines="0"/>
    </w:pPr>
    <w:rPr>
      <w:sz w:val="16"/>
      <w:szCs w:val="16"/>
    </w:rPr>
  </w:style>
  <w:style w:type="paragraph" w:customStyle="1" w:styleId="26">
    <w:name w:val="目录 53"/>
    <w:next w:val="1"/>
    <w:qFormat/>
    <w:uiPriority w:val="0"/>
    <w:pPr>
      <w:wordWrap w:val="0"/>
      <w:ind w:left="1275"/>
      <w:jc w:val="both"/>
    </w:pPr>
    <w:rPr>
      <w:rFonts w:ascii="Calibri" w:hAnsi="Calibri" w:eastAsia="宋体" w:cs="Times New Roman"/>
      <w:sz w:val="21"/>
      <w:lang w:val="en-US" w:eastAsia="zh-CN" w:bidi="ar-SA"/>
    </w:rPr>
  </w:style>
  <w:style w:type="paragraph" w:customStyle="1" w:styleId="27">
    <w:name w:val="表格文字"/>
    <w:basedOn w:val="10"/>
    <w:next w:val="7"/>
    <w:qFormat/>
    <w:uiPriority w:val="0"/>
    <w:pPr>
      <w:adjustRightInd w:val="0"/>
      <w:spacing w:line="420" w:lineRule="atLeast"/>
      <w:textAlignment w:val="baseline"/>
    </w:pPr>
  </w:style>
  <w:style w:type="paragraph" w:customStyle="1" w:styleId="28">
    <w:name w:val="表格文字（两侧对齐）"/>
    <w:basedOn w:val="1"/>
    <w:qFormat/>
    <w:uiPriority w:val="0"/>
    <w:pPr>
      <w:snapToGrid w:val="0"/>
    </w:pPr>
    <w:rPr>
      <w:sz w:val="20"/>
      <w:szCs w:val="24"/>
    </w:rPr>
  </w:style>
  <w:style w:type="paragraph" w:customStyle="1" w:styleId="29">
    <w:name w:val="Default"/>
    <w:next w:val="30"/>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31">
    <w:name w:val="Heading #1|1"/>
    <w:basedOn w:val="1"/>
    <w:qFormat/>
    <w:uiPriority w:val="0"/>
    <w:pPr>
      <w:widowControl w:val="0"/>
      <w:shd w:val="clear" w:color="auto" w:fill="auto"/>
      <w:spacing w:after="290"/>
      <w:outlineLvl w:val="0"/>
    </w:pPr>
    <w:rPr>
      <w:rFonts w:ascii="宋体" w:hAnsi="宋体" w:eastAsia="宋体" w:cs="宋体"/>
      <w:sz w:val="48"/>
      <w:szCs w:val="48"/>
      <w:u w:val="none"/>
      <w:shd w:val="clear" w:color="auto" w:fill="auto"/>
      <w:lang w:val="zh-TW" w:eastAsia="zh-TW" w:bidi="zh-TW"/>
    </w:rPr>
  </w:style>
  <w:style w:type="paragraph" w:styleId="32">
    <w:name w:val="No Spacing"/>
    <w:qFormat/>
    <w:uiPriority w:val="1"/>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customStyle="1" w:styleId="33">
    <w:name w:val="Body Text First Indent 21"/>
    <w:basedOn w:val="34"/>
    <w:qFormat/>
    <w:uiPriority w:val="0"/>
    <w:pPr>
      <w:ind w:firstLine="420"/>
    </w:pPr>
    <w:rPr>
      <w:rFonts w:cs="宋体"/>
    </w:rPr>
  </w:style>
  <w:style w:type="paragraph" w:customStyle="1" w:styleId="34">
    <w:name w:val="Body Text Indent1"/>
    <w:basedOn w:val="1"/>
    <w:next w:val="1"/>
    <w:qFormat/>
    <w:uiPriority w:val="0"/>
    <w:pPr>
      <w:spacing w:after="120"/>
      <w:ind w:left="420" w:leftChars="200"/>
    </w:pPr>
  </w:style>
  <w:style w:type="paragraph" w:customStyle="1" w:styleId="35">
    <w:name w:val="Table Text"/>
    <w:basedOn w:val="1"/>
    <w:semiHidden/>
    <w:qFormat/>
    <w:uiPriority w:val="0"/>
    <w:rPr>
      <w:rFonts w:ascii="仿宋" w:hAnsi="仿宋" w:eastAsia="仿宋" w:cs="仿宋"/>
      <w:sz w:val="24"/>
      <w:szCs w:val="24"/>
      <w:lang w:val="en-US" w:eastAsia="en-US" w:bidi="ar-SA"/>
    </w:rPr>
  </w:style>
  <w:style w:type="table" w:customStyle="1" w:styleId="36">
    <w:name w:val="Table Normal"/>
    <w:semiHidden/>
    <w:unhideWhenUsed/>
    <w:qFormat/>
    <w:uiPriority w:val="0"/>
    <w:tblPr>
      <w:tblCellMar>
        <w:top w:w="0" w:type="dxa"/>
        <w:left w:w="0" w:type="dxa"/>
        <w:bottom w:w="0" w:type="dxa"/>
        <w:right w:w="0" w:type="dxa"/>
      </w:tblCellMar>
    </w:tblPr>
  </w:style>
  <w:style w:type="paragraph" w:customStyle="1" w:styleId="37">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8024</Words>
  <Characters>8611</Characters>
  <Lines>0</Lines>
  <Paragraphs>0</Paragraphs>
  <TotalTime>5</TotalTime>
  <ScaleCrop>false</ScaleCrop>
  <LinksUpToDate>false</LinksUpToDate>
  <CharactersWithSpaces>8616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2024-06-04T02:10:00Z</dcterms:created>
  <dc:creator>LENOVO</dc:creator>
  <cp:lastModifiedBy>小手。。</cp:lastModifiedBy>
  <cp:lastPrinted>2024-12-12T01:29:00Z</cp:lastPrinted>
  <dcterms:modified xsi:type="dcterms:W3CDTF">2025-03-31T08:17:18Z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CADC238F3653421084D6D1AAB8C73B14_13</vt:lpwstr>
  </property>
  <property fmtid="{D5CDD505-2E9C-101B-9397-08002B2CF9AE}" pid="4" name="KSOTemplateDocerSaveRecord">
    <vt:lpwstr>eyJoZGlkIjoiNTQ0NGVmYjUyMjM2OTkwMzM0YTdkNjRkMDZmMDJiZWEiLCJ1c2VySWQiOiI0MDUzNjczMzQifQ==</vt:lpwstr>
  </property>
</Properties>
</file>