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98BE9">
      <w:pPr>
        <w:spacing w:line="240" w:lineRule="auto"/>
        <w:ind w:firstLine="138" w:firstLineChars="49"/>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基本格式：</w:t>
      </w:r>
    </w:p>
    <w:p w14:paraId="0F827897">
      <w:pPr>
        <w:spacing w:line="240" w:lineRule="auto"/>
        <w:ind w:firstLine="643" w:firstLineChars="200"/>
        <w:jc w:val="both"/>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关于对★★★★★★★★★★★★项目的意见建议</w:t>
      </w:r>
    </w:p>
    <w:p w14:paraId="7990C6A0">
      <w:pPr>
        <w:widowControl/>
        <w:shd w:val="clear" w:color="auto" w:fill="FFFFFF"/>
        <w:spacing w:line="240" w:lineRule="auto"/>
        <w:ind w:firstLine="0" w:firstLineChars="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致：诸暨市广顺工程管理服务有限公司 </w:t>
      </w:r>
      <w:bookmarkStart w:id="2" w:name="_GoBack"/>
      <w:bookmarkEnd w:id="2"/>
    </w:p>
    <w:p w14:paraId="3FBCC461">
      <w:pPr>
        <w:spacing w:line="24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对于贵公司于202</w:t>
      </w: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年★月★日公示的★★★★★★★★★★★★★★★★★★★★★项目采购要素，我公司有如下意见建议：</w:t>
      </w:r>
    </w:p>
    <w:tbl>
      <w:tblPr>
        <w:tblStyle w:val="14"/>
        <w:tblW w:w="0" w:type="auto"/>
        <w:tblInd w:w="0" w:type="dxa"/>
        <w:tblLayout w:type="fixed"/>
        <w:tblCellMar>
          <w:top w:w="0" w:type="dxa"/>
          <w:left w:w="108" w:type="dxa"/>
          <w:bottom w:w="0" w:type="dxa"/>
          <w:right w:w="108" w:type="dxa"/>
        </w:tblCellMar>
      </w:tblPr>
      <w:tblGrid>
        <w:gridCol w:w="4261"/>
        <w:gridCol w:w="4261"/>
      </w:tblGrid>
      <w:tr w14:paraId="504F061F">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4D8D7126">
            <w:pPr>
              <w:spacing w:line="240" w:lineRule="auto"/>
              <w:ind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1378E3D2">
            <w:pPr>
              <w:spacing w:line="240" w:lineRule="auto"/>
              <w:ind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本公司意见建议</w:t>
            </w:r>
          </w:p>
        </w:tc>
      </w:tr>
      <w:tr w14:paraId="45216556">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394F16D3">
            <w:pPr>
              <w:spacing w:line="240" w:lineRule="auto"/>
              <w:ind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532F7F1F">
            <w:pPr>
              <w:spacing w:line="240" w:lineRule="auto"/>
              <w:ind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BAF0835">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B91695E">
            <w:pPr>
              <w:spacing w:line="240" w:lineRule="auto"/>
              <w:ind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5A872FDF">
            <w:pPr>
              <w:spacing w:line="240" w:lineRule="auto"/>
              <w:ind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2116AA6">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3F73E27B">
            <w:pPr>
              <w:spacing w:line="240" w:lineRule="auto"/>
              <w:ind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1F5EA793">
            <w:pPr>
              <w:spacing w:line="240" w:lineRule="auto"/>
              <w:ind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6FE14336">
      <w:pPr>
        <w:spacing w:line="240" w:lineRule="auto"/>
        <w:ind w:firstLine="0" w:firstLineChars="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传    真：★★★★★★★★</w:t>
      </w:r>
    </w:p>
    <w:p w14:paraId="4BD3128D">
      <w:pPr>
        <w:spacing w:line="240" w:lineRule="auto"/>
        <w:ind w:firstLine="0" w:firstLineChars="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 系 人：★★★★★★★★</w:t>
      </w:r>
    </w:p>
    <w:p w14:paraId="4F1FB1B8">
      <w:pPr>
        <w:spacing w:line="240" w:lineRule="auto"/>
        <w:ind w:firstLine="0" w:firstLineChars="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联系电话：★★★★★★★★</w:t>
      </w:r>
    </w:p>
    <w:p w14:paraId="3519A4AB">
      <w:pPr>
        <w:spacing w:line="240" w:lineRule="auto"/>
        <w:ind w:firstLine="0" w:firstLineChars="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联系手机：★★★★★★★★</w:t>
      </w:r>
    </w:p>
    <w:p w14:paraId="03376FE1">
      <w:pPr>
        <w:spacing w:line="240" w:lineRule="auto"/>
        <w:ind w:left="4480" w:hanging="4480" w:hangingChars="16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电子邮箱：★★★★★★★★                       </w:t>
      </w:r>
    </w:p>
    <w:p w14:paraId="7CDE4077">
      <w:pPr>
        <w:spacing w:line="240" w:lineRule="auto"/>
        <w:ind w:firstLine="5320" w:firstLineChars="19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单位名称：（加盖公章）</w:t>
      </w:r>
    </w:p>
    <w:p w14:paraId="7225ED09">
      <w:pPr>
        <w:spacing w:line="240" w:lineRule="auto"/>
        <w:ind w:left="4760" w:hanging="4760" w:hangingChars="17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二〇二</w:t>
      </w:r>
      <w:r>
        <w:rPr>
          <w:rFonts w:hint="eastAsia" w:ascii="宋体" w:hAnsi="宋体" w:eastAsia="宋体" w:cs="宋体"/>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color w:val="000000" w:themeColor="text1"/>
          <w:sz w:val="28"/>
          <w:szCs w:val="28"/>
          <w:highlight w:val="none"/>
          <w14:textFill>
            <w14:solidFill>
              <w14:schemeClr w14:val="tx1"/>
            </w14:solidFill>
          </w14:textFill>
        </w:rPr>
        <w:t>年★月★日</w:t>
      </w:r>
    </w:p>
    <w:p w14:paraId="04066FB0">
      <w:pPr>
        <w:spacing w:line="240" w:lineRule="auto"/>
        <w:ind w:firstLine="0" w:firstLineChars="0"/>
        <w:rPr>
          <w:rFonts w:hint="eastAsia" w:ascii="宋体" w:hAnsi="宋体" w:eastAsia="宋体" w:cs="宋体"/>
          <w:color w:val="000000" w:themeColor="text1"/>
          <w:sz w:val="21"/>
          <w:highlight w:val="none"/>
          <w14:textFill>
            <w14:solidFill>
              <w14:schemeClr w14:val="tx1"/>
            </w14:solidFill>
          </w14:textFill>
        </w:rPr>
      </w:pPr>
    </w:p>
    <w:p w14:paraId="42970F5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w:t>
      </w:r>
    </w:p>
    <w:p w14:paraId="034D7B87">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1、针对本项目的意见建议仅供采购人完善采购需求参考所用！</w:t>
      </w:r>
    </w:p>
    <w:p w14:paraId="07F57B06">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2、意见建议以书面（含传真）为准，供应商必须同时提供WORD版电子稿，并电话与代理机构项目联系人确认接收，否则视为供应商未提交书面意见</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建议。</w:t>
      </w:r>
    </w:p>
    <w:p w14:paraId="0988F620">
      <w:pPr>
        <w:jc w:val="center"/>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br w:type="page"/>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2024年市综合执法局综合执法智慧管理系统</w:t>
      </w:r>
    </w:p>
    <w:p w14:paraId="07915820">
      <w:pPr>
        <w:jc w:val="center"/>
        <w:rPr>
          <w:rFonts w:hint="eastAsia" w:asciiTheme="majorEastAsia" w:hAnsiTheme="majorEastAsia" w:eastAsiaTheme="majorEastAsia" w:cstheme="majorEastAsia"/>
          <w:b/>
          <w:bCs/>
          <w:color w:val="000000" w:themeColor="text1"/>
          <w:sz w:val="15"/>
          <w:szCs w:val="16"/>
          <w:highlight w:val="none"/>
          <w:lang w:val="en-US"/>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采购项目采购要素</w:t>
      </w:r>
    </w:p>
    <w:p w14:paraId="7029D19A">
      <w:pPr>
        <w:rPr>
          <w:rFonts w:hint="eastAsia" w:asciiTheme="majorEastAsia" w:hAnsiTheme="majorEastAsia" w:eastAsiaTheme="majorEastAsia" w:cstheme="majorEastAsia"/>
          <w:color w:val="000000" w:themeColor="text1"/>
          <w:highlight w:val="none"/>
          <w14:textFill>
            <w14:solidFill>
              <w14:schemeClr w14:val="tx1"/>
            </w14:solidFill>
          </w14:textFill>
        </w:rPr>
      </w:pPr>
    </w:p>
    <w:p w14:paraId="09E640F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一、项目名称：</w:t>
      </w: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市综合执法局综合执法智慧管理系统采购项目</w:t>
      </w:r>
    </w:p>
    <w:p w14:paraId="20DC4A91">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二、项目内容及规模</w:t>
      </w:r>
    </w:p>
    <w:p w14:paraId="6A1289A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bookmarkStart w:id="0" w:name="_Hlk44574602"/>
      <w:bookmarkStart w:id="1" w:name="_Hlk44573494"/>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市综合执法局综合执法智慧管理系统采购项目</w:t>
      </w:r>
      <w:r>
        <w:rPr>
          <w:rFonts w:hint="eastAsia" w:ascii="仿宋" w:hAnsi="仿宋" w:eastAsia="仿宋" w:cs="仿宋"/>
          <w:color w:val="000000" w:themeColor="text1"/>
          <w:sz w:val="24"/>
          <w:szCs w:val="24"/>
          <w:highlight w:val="none"/>
          <w14:textFill>
            <w14:solidFill>
              <w14:schemeClr w14:val="tx1"/>
            </w14:solidFill>
          </w14:textFill>
        </w:rPr>
        <w:t>，</w:t>
      </w:r>
      <w:bookmarkEnd w:id="0"/>
      <w:bookmarkEnd w:id="1"/>
      <w:r>
        <w:rPr>
          <w:rFonts w:hint="eastAsia" w:ascii="仿宋" w:hAnsi="仿宋" w:eastAsia="仿宋" w:cs="仿宋"/>
          <w:color w:val="000000" w:themeColor="text1"/>
          <w:sz w:val="24"/>
          <w:szCs w:val="24"/>
          <w:highlight w:val="none"/>
          <w14:textFill>
            <w14:solidFill>
              <w14:schemeClr w14:val="tx1"/>
            </w14:solidFill>
          </w14:textFill>
        </w:rPr>
        <w:t>采购预算金额为人民币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225</w:t>
      </w:r>
      <w:r>
        <w:rPr>
          <w:rFonts w:hint="eastAsia" w:ascii="仿宋" w:hAnsi="仿宋" w:eastAsia="仿宋" w:cs="仿宋"/>
          <w:color w:val="000000" w:themeColor="text1"/>
          <w:sz w:val="24"/>
          <w:szCs w:val="24"/>
          <w:highlight w:val="none"/>
          <w14:textFill>
            <w14:solidFill>
              <w14:schemeClr w14:val="tx1"/>
            </w14:solidFill>
          </w14:textFill>
        </w:rPr>
        <w:t>万元整，具体内容详见采购需求。</w:t>
      </w:r>
    </w:p>
    <w:p w14:paraId="294A4F3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三、投标人资格要求</w:t>
      </w:r>
    </w:p>
    <w:p w14:paraId="0A4563D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1、满足《中华人民共和国政府采购法》第二十二条规定；</w:t>
      </w:r>
    </w:p>
    <w:p w14:paraId="380C9BB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2、未被“信用中国”（www.creditchina.gov.cn）、中国政府采购网（www.ccgp.gov.cn）列入失信被执行人、重大税收违法案件当事人名单、政府采购严重违法失信行为记录名单；</w:t>
      </w:r>
    </w:p>
    <w:p w14:paraId="1403999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3、具有本项目实施能力，且具有良好信誉的独立法人；</w:t>
      </w:r>
    </w:p>
    <w:p w14:paraId="6C8F789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4、本项目不接受联合体投标。</w:t>
      </w:r>
    </w:p>
    <w:p w14:paraId="64972827">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四、评标办法及评分标准</w:t>
      </w:r>
    </w:p>
    <w:p w14:paraId="2C8092E5">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1、采用</w:t>
      </w:r>
      <w:r>
        <w:rPr>
          <w:rFonts w:hint="eastAsia" w:ascii="仿宋" w:hAnsi="仿宋" w:eastAsia="仿宋" w:cs="仿宋"/>
          <w:color w:val="000000" w:themeColor="text1"/>
          <w:sz w:val="24"/>
          <w:szCs w:val="24"/>
          <w:highlight w:val="none"/>
          <w:u w:val="single"/>
          <w14:textFill>
            <w14:solidFill>
              <w14:schemeClr w14:val="tx1"/>
            </w14:solidFill>
          </w14:textFill>
        </w:rPr>
        <w:t>　综合评分法　</w:t>
      </w:r>
      <w:r>
        <w:rPr>
          <w:rFonts w:hint="eastAsia" w:ascii="仿宋" w:hAnsi="仿宋" w:eastAsia="仿宋" w:cs="仿宋"/>
          <w:color w:val="000000" w:themeColor="text1"/>
          <w:sz w:val="24"/>
          <w:szCs w:val="24"/>
          <w:highlight w:val="none"/>
          <w14:textFill>
            <w14:solidFill>
              <w14:schemeClr w14:val="tx1"/>
            </w14:solidFill>
          </w14:textFill>
        </w:rPr>
        <w:t>。即在符合招标文件要求的前提下，择定最高得分者为第一中标候选人，即预中标人。</w:t>
      </w:r>
    </w:p>
    <w:p w14:paraId="7EBB088F">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hAnsi="仿宋" w:eastAsia="仿宋" w:cs="仿宋"/>
          <w:bCs/>
          <w:color w:val="000000" w:themeColor="text1"/>
          <w:sz w:val="24"/>
          <w:szCs w:val="24"/>
          <w:highlight w:val="none"/>
          <w14:textFill>
            <w14:solidFill>
              <w14:schemeClr w14:val="tx1"/>
            </w14:solidFill>
          </w14:textFill>
        </w:rPr>
        <w:t>评分过程中采用四舍五入</w:t>
      </w:r>
      <w:r>
        <w:rPr>
          <w:rFonts w:hint="eastAsia" w:ascii="仿宋" w:hAnsi="仿宋" w:eastAsia="仿宋" w:cs="仿宋"/>
          <w:color w:val="000000" w:themeColor="text1"/>
          <w:sz w:val="24"/>
          <w:szCs w:val="24"/>
          <w:highlight w:val="none"/>
          <w14:textFill>
            <w14:solidFill>
              <w14:schemeClr w14:val="tx1"/>
            </w14:solidFill>
          </w14:textFill>
        </w:rPr>
        <w:t>法，并保留小数2位。</w:t>
      </w:r>
    </w:p>
    <w:p w14:paraId="3FFD8C52">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3、评分办法</w:t>
      </w:r>
    </w:p>
    <w:p w14:paraId="0B1108B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（1）满分为100分。总得分=商务技术得分+报价得分；</w:t>
      </w:r>
    </w:p>
    <w:p w14:paraId="48B359D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（2）商务技术得分=商务技术评分，商务技术评分=</w:t>
      </w:r>
      <w:r>
        <w:rPr>
          <w:rFonts w:hint="eastAsia" w:ascii="仿宋" w:hAnsi="仿宋" w:eastAsia="仿宋" w:cs="仿宋"/>
          <w:color w:val="000000" w:themeColor="text1"/>
          <w:spacing w:val="-6"/>
          <w:sz w:val="24"/>
          <w:szCs w:val="24"/>
          <w:highlight w:val="none"/>
          <w14:textFill>
            <w14:solidFill>
              <w14:schemeClr w14:val="tx1"/>
            </w14:solidFill>
          </w14:textFill>
        </w:rPr>
        <w:t>所有评委的有效评分的算术平均数。</w:t>
      </w:r>
    </w:p>
    <w:p w14:paraId="6C63BC5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（3）报价得分=（评标基准价/</w:t>
      </w:r>
      <w:r>
        <w:rPr>
          <w:rFonts w:hint="eastAsia" w:ascii="仿宋" w:hAnsi="仿宋" w:eastAsia="仿宋" w:cs="仿宋"/>
          <w:bCs/>
          <w:color w:val="000000" w:themeColor="text1"/>
          <w:sz w:val="24"/>
          <w:szCs w:val="24"/>
          <w:highlight w:val="none"/>
          <w14:textFill>
            <w14:solidFill>
              <w14:schemeClr w14:val="tx1"/>
            </w14:solidFill>
          </w14:textFill>
        </w:rPr>
        <w:t>投标报价</w:t>
      </w:r>
      <w:r>
        <w:rPr>
          <w:rFonts w:hint="eastAsia" w:ascii="仿宋" w:hAnsi="仿宋" w:eastAsia="仿宋" w:cs="仿宋"/>
          <w:color w:val="000000" w:themeColor="text1"/>
          <w:sz w:val="24"/>
          <w:szCs w:val="24"/>
          <w:highlight w:val="none"/>
          <w14:textFill>
            <w14:solidFill>
              <w14:schemeClr w14:val="tx1"/>
            </w14:solidFill>
          </w14:textFill>
        </w:rPr>
        <w:t>）×价格权值×100，评标基准价=有效投标人的最低投标报价，价格权值=30%；</w:t>
      </w:r>
    </w:p>
    <w:p w14:paraId="5593BE7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（4）商务技术分评分细则</w:t>
      </w:r>
      <w:r>
        <w:rPr>
          <w:rFonts w:hint="eastAsia" w:ascii="仿宋" w:hAnsi="仿宋" w:eastAsia="仿宋" w:cs="仿宋"/>
          <w:b w:val="0"/>
          <w:bCs w:val="0"/>
          <w:color w:val="000000" w:themeColor="text1"/>
          <w:sz w:val="24"/>
          <w:szCs w:val="24"/>
          <w:highlight w:val="none"/>
          <w14:textFill>
            <w14:solidFill>
              <w14:schemeClr w14:val="tx1"/>
            </w14:solidFill>
          </w14:textFill>
        </w:rPr>
        <w:t>（70分）</w:t>
      </w:r>
    </w:p>
    <w:tbl>
      <w:tblPr>
        <w:tblStyle w:val="14"/>
        <w:tblW w:w="5694" w:type="pct"/>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30"/>
        <w:gridCol w:w="6959"/>
        <w:gridCol w:w="755"/>
      </w:tblGrid>
      <w:tr w14:paraId="7669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92" w:type="pct"/>
            <w:noWrap w:val="0"/>
            <w:vAlign w:val="center"/>
          </w:tcPr>
          <w:p w14:paraId="63FFFE36">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633" w:type="pct"/>
            <w:noWrap w:val="0"/>
            <w:vAlign w:val="center"/>
          </w:tcPr>
          <w:p w14:paraId="0274A55D">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评分项目</w:t>
            </w:r>
          </w:p>
        </w:tc>
        <w:tc>
          <w:tcPr>
            <w:tcW w:w="3585" w:type="pct"/>
            <w:noWrap w:val="0"/>
            <w:vAlign w:val="center"/>
          </w:tcPr>
          <w:p w14:paraId="23C5DFF0">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评分标准</w:t>
            </w:r>
          </w:p>
        </w:tc>
        <w:tc>
          <w:tcPr>
            <w:tcW w:w="388" w:type="pct"/>
            <w:noWrap w:val="0"/>
            <w:vAlign w:val="center"/>
          </w:tcPr>
          <w:p w14:paraId="30E8C3A5">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分值</w:t>
            </w:r>
          </w:p>
        </w:tc>
      </w:tr>
      <w:tr w14:paraId="6EC2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392" w:type="pct"/>
            <w:noWrap w:val="0"/>
            <w:vAlign w:val="center"/>
          </w:tcPr>
          <w:p w14:paraId="50525FF2">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633" w:type="pct"/>
            <w:noWrap w:val="0"/>
            <w:vAlign w:val="center"/>
          </w:tcPr>
          <w:p w14:paraId="57AAC4F8">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产品资质</w:t>
            </w:r>
          </w:p>
        </w:tc>
        <w:tc>
          <w:tcPr>
            <w:tcW w:w="3585" w:type="pct"/>
            <w:noWrap w:val="0"/>
            <w:vAlign w:val="center"/>
          </w:tcPr>
          <w:p w14:paraId="27544C4B">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投标人投标所供的无人机综合管控平台系统为自研且拥有完整的产品资质，包括：软件著作权，产品测试报告、软件产品证书的，得3分。</w:t>
            </w:r>
          </w:p>
          <w:p w14:paraId="22872C47">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注：须提供完整清晰的证明材料扫描件并加盖投标人CA签章，未提供或不符合以上条件不得分。</w:t>
            </w:r>
          </w:p>
        </w:tc>
        <w:tc>
          <w:tcPr>
            <w:tcW w:w="388" w:type="pct"/>
            <w:noWrap w:val="0"/>
            <w:vAlign w:val="center"/>
          </w:tcPr>
          <w:p w14:paraId="749E8E52">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r>
      <w:tr w14:paraId="5F6F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2" w:type="pct"/>
            <w:noWrap w:val="0"/>
            <w:vAlign w:val="center"/>
          </w:tcPr>
          <w:p w14:paraId="3EA105F0">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633" w:type="pct"/>
            <w:noWrap w:val="0"/>
            <w:vAlign w:val="center"/>
          </w:tcPr>
          <w:p w14:paraId="0AF9252C">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业绩证明</w:t>
            </w:r>
          </w:p>
        </w:tc>
        <w:tc>
          <w:tcPr>
            <w:tcW w:w="3585" w:type="pct"/>
            <w:noWrap w:val="0"/>
            <w:vAlign w:val="center"/>
          </w:tcPr>
          <w:p w14:paraId="23A3C647">
            <w:pPr>
              <w:keepNext w:val="0"/>
              <w:keepLines w:val="0"/>
              <w:pageBreakBefore w:val="0"/>
              <w:kinsoku/>
              <w:wordWrap/>
              <w:overflowPunct/>
              <w:topLinePunct w:val="0"/>
              <w:autoSpaceDE/>
              <w:autoSpaceDN/>
              <w:bidi w:val="0"/>
              <w:adjustRightInd/>
              <w:spacing w:line="32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供应商提供自</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2021年10月1日</w:t>
            </w:r>
            <w:r>
              <w:rPr>
                <w:rFonts w:hint="eastAsia" w:ascii="仿宋" w:hAnsi="仿宋" w:eastAsia="仿宋" w:cs="仿宋"/>
                <w:color w:val="000000" w:themeColor="text1"/>
                <w:kern w:val="0"/>
                <w:sz w:val="24"/>
                <w:szCs w:val="24"/>
                <w:highlight w:val="none"/>
                <w14:textFill>
                  <w14:solidFill>
                    <w14:schemeClr w14:val="tx1"/>
                  </w14:solidFill>
                </w14:textFill>
              </w:rPr>
              <w:t>以来（以合同签订时间为准）成功实施的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无人机算法识别应用类</w:t>
            </w:r>
            <w:r>
              <w:rPr>
                <w:rFonts w:hint="eastAsia" w:ascii="仿宋" w:hAnsi="仿宋" w:eastAsia="仿宋" w:cs="仿宋"/>
                <w:color w:val="000000" w:themeColor="text1"/>
                <w:kern w:val="0"/>
                <w:sz w:val="24"/>
                <w:szCs w:val="24"/>
                <w:highlight w:val="none"/>
                <w14:textFill>
                  <w14:solidFill>
                    <w14:schemeClr w14:val="tx1"/>
                  </w14:solidFill>
                </w14:textFill>
              </w:rPr>
              <w:t>项目</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kern w:val="0"/>
                <w:sz w:val="24"/>
                <w:szCs w:val="24"/>
                <w:highlight w:val="none"/>
                <w14:textFill>
                  <w14:solidFill>
                    <w14:schemeClr w14:val="tx1"/>
                  </w14:solidFill>
                </w14:textFill>
              </w:rPr>
              <w:t>，每个得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分，最高得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分。</w:t>
            </w:r>
          </w:p>
          <w:p w14:paraId="1B75B96A">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注：须提供合同扫描件并加盖投标人CA签章，不提供不得分。</w:t>
            </w:r>
          </w:p>
        </w:tc>
        <w:tc>
          <w:tcPr>
            <w:tcW w:w="388" w:type="pct"/>
            <w:noWrap w:val="0"/>
            <w:vAlign w:val="center"/>
          </w:tcPr>
          <w:p w14:paraId="6BFED1E1">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r>
      <w:tr w14:paraId="4F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392" w:type="pct"/>
            <w:noWrap w:val="0"/>
            <w:vAlign w:val="center"/>
          </w:tcPr>
          <w:p w14:paraId="0E2A0DAF">
            <w:pPr>
              <w:keepNext w:val="0"/>
              <w:keepLines w:val="0"/>
              <w:pageBreakBefore w:val="0"/>
              <w:kinsoku/>
              <w:wordWrap/>
              <w:overflowPunct/>
              <w:topLinePunct w:val="0"/>
              <w:autoSpaceDE/>
              <w:autoSpaceDN/>
              <w:bidi w:val="0"/>
              <w:adjustRightInd/>
              <w:snapToGrid w:val="0"/>
              <w:spacing w:line="320" w:lineRule="exact"/>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633" w:type="pct"/>
            <w:noWrap w:val="0"/>
            <w:vAlign w:val="center"/>
          </w:tcPr>
          <w:p w14:paraId="6006A4DC">
            <w:pPr>
              <w:keepNext w:val="0"/>
              <w:keepLines w:val="0"/>
              <w:pageBreakBefore w:val="0"/>
              <w:kinsoku/>
              <w:wordWrap/>
              <w:overflowPunct/>
              <w:topLinePunct w:val="0"/>
              <w:autoSpaceDE/>
              <w:autoSpaceDN/>
              <w:bidi w:val="0"/>
              <w:adjustRightInd/>
              <w:snapToGrid w:val="0"/>
              <w:spacing w:line="320" w:lineRule="exact"/>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sz w:val="24"/>
                <w:szCs w:val="24"/>
                <w:highlight w:val="none"/>
                <w:u w:val="none"/>
                <w14:textFill>
                  <w14:solidFill>
                    <w14:schemeClr w14:val="tx1"/>
                  </w14:solidFill>
                </w14:textFill>
              </w:rPr>
              <w:t>技术指标</w:t>
            </w:r>
          </w:p>
        </w:tc>
        <w:tc>
          <w:tcPr>
            <w:tcW w:w="3585" w:type="pct"/>
            <w:noWrap w:val="0"/>
            <w:vAlign w:val="center"/>
          </w:tcPr>
          <w:p w14:paraId="358A6CF0">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评委</w:t>
            </w:r>
            <w:r>
              <w:rPr>
                <w:rFonts w:hint="eastAsia" w:ascii="仿宋" w:hAnsi="仿宋" w:eastAsia="仿宋" w:cs="仿宋"/>
                <w:b w:val="0"/>
                <w:i w:val="0"/>
                <w:iCs w:val="0"/>
                <w:color w:val="000000" w:themeColor="text1"/>
                <w:kern w:val="0"/>
                <w:sz w:val="24"/>
                <w:szCs w:val="24"/>
                <w:highlight w:val="none"/>
                <w:u w:val="none"/>
                <w:lang w:val="en-US" w:eastAsia="zh-CN" w:bidi="ar"/>
                <w14:textFill>
                  <w14:solidFill>
                    <w14:schemeClr w14:val="tx1"/>
                  </w14:solidFill>
                </w14:textFill>
              </w:rPr>
              <w:t>根据投标人所投产品与招标文件采购需求的偏离情况进行打分。招标文件</w:t>
            </w:r>
            <w:r>
              <w:rPr>
                <w:rFonts w:hint="eastAsia" w:ascii="仿宋" w:hAnsi="仿宋" w:eastAsia="仿宋" w:cs="仿宋"/>
                <w:color w:val="000000" w:themeColor="text1"/>
                <w:sz w:val="24"/>
                <w:szCs w:val="24"/>
                <w:highlight w:val="none"/>
                <w:lang w:val="en-US" w:eastAsia="zh-CN"/>
                <w14:textFill>
                  <w14:solidFill>
                    <w14:schemeClr w14:val="tx1"/>
                  </w14:solidFill>
                </w14:textFill>
              </w:rPr>
              <w:t>带“★”条款为实质性响应技术参数指标或条款，不满足则作无效投标处理。带“▲”条款为重要技术参数指标或条款，每负偏离一项扣2分；其他技术参数指标或条款，每负偏离一项扣1分，扣完为止。全部满足招标文件要求的得满分，本项最高得24分。</w:t>
            </w:r>
          </w:p>
          <w:p w14:paraId="7B371304">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（须提供所投设备的技术参数指标并如实填写入技术偏离表中；要求提供相关参数证明材料的，投标人应按要求提供，不提供不得分）</w:t>
            </w:r>
          </w:p>
        </w:tc>
        <w:tc>
          <w:tcPr>
            <w:tcW w:w="388" w:type="pct"/>
            <w:noWrap w:val="0"/>
            <w:vAlign w:val="center"/>
          </w:tcPr>
          <w:p w14:paraId="07E50CDF">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24</w:t>
            </w:r>
          </w:p>
        </w:tc>
      </w:tr>
      <w:tr w14:paraId="4AC9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2" w:type="pct"/>
            <w:noWrap w:val="0"/>
            <w:vAlign w:val="center"/>
          </w:tcPr>
          <w:p w14:paraId="4D80742E">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633" w:type="pct"/>
            <w:noWrap w:val="0"/>
            <w:vAlign w:val="center"/>
          </w:tcPr>
          <w:p w14:paraId="3F2371B8">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default"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项目建设整体框架</w:t>
            </w:r>
          </w:p>
        </w:tc>
        <w:tc>
          <w:tcPr>
            <w:tcW w:w="3585" w:type="pct"/>
            <w:noWrap w:val="0"/>
            <w:vAlign w:val="center"/>
          </w:tcPr>
          <w:p w14:paraId="12564855">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sz w:val="24"/>
                <w:szCs w:val="24"/>
                <w:highlight w:val="none"/>
                <w:u w:val="none"/>
                <w14:textFill>
                  <w14:solidFill>
                    <w14:schemeClr w14:val="tx1"/>
                  </w14:solidFill>
                </w14:textFill>
              </w:rPr>
              <w:t>根据投标人提供的建设总体框架内容的完整性、合理性、可行性由专家进行综合评分。</w:t>
            </w:r>
          </w:p>
          <w:p w14:paraId="75FDB02C">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i w:val="0"/>
                <w:iCs w:val="0"/>
                <w:color w:val="000000" w:themeColor="text1"/>
                <w:sz w:val="24"/>
                <w:szCs w:val="24"/>
                <w:highlight w:val="none"/>
                <w:u w:val="none"/>
                <w14:textFill>
                  <w14:solidFill>
                    <w14:schemeClr w14:val="tx1"/>
                  </w14:solidFill>
                </w14:textFill>
              </w:rPr>
              <w:t>对项目建设框架的理解条理清晰，层次分明、操作性强，合理可行的得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(4,6]</w:t>
            </w:r>
            <w:r>
              <w:rPr>
                <w:rFonts w:hint="eastAsia" w:ascii="仿宋" w:hAnsi="仿宋" w:eastAsia="仿宋" w:cs="仿宋"/>
                <w:i w:val="0"/>
                <w:iCs w:val="0"/>
                <w:color w:val="000000" w:themeColor="text1"/>
                <w:sz w:val="24"/>
                <w:szCs w:val="24"/>
                <w:highlight w:val="none"/>
                <w:u w:val="none"/>
                <w14:textFill>
                  <w14:solidFill>
                    <w14:schemeClr w14:val="tx1"/>
                  </w14:solidFill>
                </w14:textFill>
              </w:rPr>
              <w:t>分;</w:t>
            </w:r>
          </w:p>
          <w:p w14:paraId="11AA5619">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i w:val="0"/>
                <w:iCs w:val="0"/>
                <w:color w:val="000000" w:themeColor="text1"/>
                <w:sz w:val="24"/>
                <w:szCs w:val="24"/>
                <w:highlight w:val="none"/>
                <w:u w:val="none"/>
                <w14:textFill>
                  <w14:solidFill>
                    <w14:schemeClr w14:val="tx1"/>
                  </w14:solidFill>
                </w14:textFill>
              </w:rPr>
              <w:t>对项目建设框架的理解条理较清晰，层次较分明、操作性较强且较合理可行的得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i w:val="0"/>
                <w:iCs w:val="0"/>
                <w:color w:val="000000" w:themeColor="text1"/>
                <w:sz w:val="24"/>
                <w:szCs w:val="24"/>
                <w:highlight w:val="none"/>
                <w:u w:val="none"/>
                <w14:textFill>
                  <w14:solidFill>
                    <w14:schemeClr w14:val="tx1"/>
                  </w14:solidFill>
                </w14:textFill>
              </w:rPr>
              <w:t>分;</w:t>
            </w:r>
          </w:p>
          <w:p w14:paraId="36510FBA">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sz w:val="24"/>
                <w:szCs w:val="24"/>
                <w:highlight w:val="none"/>
                <w:u w:val="none"/>
                <w14:textFill>
                  <w14:solidFill>
                    <w14:schemeClr w14:val="tx1"/>
                  </w14:solidFill>
                </w14:textFill>
              </w:rPr>
              <w:t>(3)项目建设框架理解清晰度一般，层次分明、操作性一般，合理性、可行性般的得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i w:val="0"/>
                <w:iCs w:val="0"/>
                <w:color w:val="000000" w:themeColor="text1"/>
                <w:sz w:val="24"/>
                <w:szCs w:val="24"/>
                <w:highlight w:val="none"/>
                <w:u w:val="none"/>
                <w14:textFill>
                  <w14:solidFill>
                    <w14:schemeClr w14:val="tx1"/>
                  </w14:solidFill>
                </w14:textFill>
              </w:rPr>
              <w:t>分;</w:t>
            </w:r>
          </w:p>
          <w:p w14:paraId="492528C6">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sz w:val="24"/>
                <w:szCs w:val="24"/>
                <w:highlight w:val="none"/>
                <w:u w:val="none"/>
                <w:lang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14:textFill>
                  <w14:solidFill>
                    <w14:schemeClr w14:val="tx1"/>
                  </w14:solidFill>
                </w14:textFill>
              </w:rPr>
              <w:t>(4)项目建设框架理解不充分，层次不分明、操作性不强，可行性差的得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(0,1]</w:t>
            </w:r>
            <w:r>
              <w:rPr>
                <w:rFonts w:hint="eastAsia" w:ascii="仿宋" w:hAnsi="仿宋" w:eastAsia="仿宋" w:cs="仿宋"/>
                <w:i w:val="0"/>
                <w:iCs w:val="0"/>
                <w:color w:val="000000" w:themeColor="text1"/>
                <w:sz w:val="24"/>
                <w:szCs w:val="24"/>
                <w:highlight w:val="none"/>
                <w:u w:val="none"/>
                <w14:textFill>
                  <w14:solidFill>
                    <w14:schemeClr w14:val="tx1"/>
                  </w14:solidFill>
                </w14:textFill>
              </w:rPr>
              <w:t>分</w:t>
            </w:r>
            <w:r>
              <w:rPr>
                <w:rFonts w:hint="eastAsia" w:ascii="仿宋" w:hAnsi="仿宋" w:eastAsia="仿宋" w:cs="仿宋"/>
                <w:i w:val="0"/>
                <w:iCs w:val="0"/>
                <w:color w:val="000000" w:themeColor="text1"/>
                <w:sz w:val="24"/>
                <w:szCs w:val="24"/>
                <w:highlight w:val="none"/>
                <w:u w:val="none"/>
                <w:lang w:eastAsia="zh-CN"/>
                <w14:textFill>
                  <w14:solidFill>
                    <w14:schemeClr w14:val="tx1"/>
                  </w14:solidFill>
                </w14:textFill>
              </w:rPr>
              <w:t>；</w:t>
            </w:r>
          </w:p>
          <w:p w14:paraId="562E99E7">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sz w:val="24"/>
                <w:szCs w:val="24"/>
                <w:highlight w:val="none"/>
                <w:u w:val="none"/>
                <w14:textFill>
                  <w14:solidFill>
                    <w14:schemeClr w14:val="tx1"/>
                  </w14:solidFill>
                </w14:textFill>
              </w:rPr>
              <w:t>不提供不得分。</w:t>
            </w:r>
          </w:p>
        </w:tc>
        <w:tc>
          <w:tcPr>
            <w:tcW w:w="388" w:type="pct"/>
            <w:noWrap w:val="0"/>
            <w:vAlign w:val="center"/>
          </w:tcPr>
          <w:p w14:paraId="57F09AA6">
            <w:pPr>
              <w:keepNext w:val="0"/>
              <w:keepLines w:val="0"/>
              <w:pageBreakBefore w:val="0"/>
              <w:kinsoku/>
              <w:wordWrap/>
              <w:overflowPunct/>
              <w:topLinePunct w:val="0"/>
              <w:autoSpaceDE/>
              <w:autoSpaceDN/>
              <w:bidi w:val="0"/>
              <w:adjustRightInd/>
              <w:snapToGrid w:val="0"/>
              <w:spacing w:line="320" w:lineRule="exact"/>
              <w:jc w:val="center"/>
              <w:rPr>
                <w:rFonts w:hint="default"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6</w:t>
            </w:r>
          </w:p>
        </w:tc>
      </w:tr>
      <w:tr w14:paraId="106E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2" w:type="pct"/>
            <w:noWrap w:val="0"/>
            <w:vAlign w:val="center"/>
          </w:tcPr>
          <w:p w14:paraId="2E260C15">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5</w:t>
            </w:r>
          </w:p>
        </w:tc>
        <w:tc>
          <w:tcPr>
            <w:tcW w:w="633" w:type="pct"/>
            <w:noWrap w:val="0"/>
            <w:vAlign w:val="center"/>
          </w:tcPr>
          <w:p w14:paraId="76C70783">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无人机算法仓详细部署方案</w:t>
            </w:r>
          </w:p>
        </w:tc>
        <w:tc>
          <w:tcPr>
            <w:tcW w:w="3585" w:type="pct"/>
            <w:noWrap w:val="0"/>
            <w:vAlign w:val="center"/>
          </w:tcPr>
          <w:p w14:paraId="2D6AC4B9">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根据投标人对本项目业务需求的理解，制定专业、详细及科学的无人机算法仓开发部署实施方案，根据部署方案的可行性、科学性、业务需求的匹配程度等综合考虑情况，由专家进行综合评分。</w:t>
            </w:r>
          </w:p>
          <w:p w14:paraId="0B8D17CB">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（1）对项目业务需求理解深刻，提供完整的实施方案和关键技术解决方案，有严格细致的分步实施计划，方案与需求高度吻合，技术方案具有高可行性、科学性，且符合业务需求，得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(8,10]</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分；</w:t>
            </w:r>
          </w:p>
          <w:p w14:paraId="32186CF0">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（2）对项目业务需求理解较深刻，提供较完整的实施方案和关键技术解决方案，有较细致的分步实施计划，方案与需求较吻合，技术方案可行性、科学性较好，较为符合业务需求，得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(4,8]</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分；</w:t>
            </w:r>
          </w:p>
          <w:p w14:paraId="7D377AE2">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（3）对项目业务需求理解清晰，提供的实施方案和关键技术解决方案尚可行，有分步实施计划，方案与需求基本吻合，技术方案的可行性、科学性一般，基本符合业务需求，得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(0,4]</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分；</w:t>
            </w:r>
          </w:p>
          <w:p w14:paraId="43AB09A1">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（4）对项目需求理解错误或无理解需求，严重缺失的技术及实施方案，无明确的实施计划，不符合业务需求的，</w:t>
            </w:r>
            <w:r>
              <w:rPr>
                <w:rFonts w:hint="eastAsia" w:ascii="仿宋" w:hAnsi="仿宋" w:eastAsia="仿宋" w:cs="仿宋"/>
                <w:i w:val="0"/>
                <w:iCs w:val="0"/>
                <w:color w:val="000000" w:themeColor="text1"/>
                <w:sz w:val="24"/>
                <w:szCs w:val="24"/>
                <w:highlight w:val="none"/>
                <w:u w:val="none"/>
                <w14:textFill>
                  <w14:solidFill>
                    <w14:schemeClr w14:val="tx1"/>
                  </w14:solidFill>
                </w14:textFill>
              </w:rPr>
              <w:t>不得分。</w:t>
            </w:r>
          </w:p>
        </w:tc>
        <w:tc>
          <w:tcPr>
            <w:tcW w:w="388" w:type="pct"/>
            <w:noWrap w:val="0"/>
            <w:vAlign w:val="center"/>
          </w:tcPr>
          <w:p w14:paraId="36FDD23A">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default"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10</w:t>
            </w:r>
          </w:p>
        </w:tc>
      </w:tr>
      <w:tr w14:paraId="4B10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392" w:type="pct"/>
            <w:noWrap w:val="0"/>
            <w:vAlign w:val="center"/>
          </w:tcPr>
          <w:p w14:paraId="406CED53">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633" w:type="pct"/>
            <w:noWrap w:val="0"/>
            <w:vAlign w:val="center"/>
          </w:tcPr>
          <w:p w14:paraId="20FAA172">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方案展示</w:t>
            </w:r>
          </w:p>
        </w:tc>
        <w:tc>
          <w:tcPr>
            <w:tcW w:w="3585" w:type="pct"/>
            <w:noWrap w:val="0"/>
            <w:vAlign w:val="center"/>
          </w:tcPr>
          <w:p w14:paraId="2BCFE878">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20" w:lineRule="exact"/>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供应商对项目建设的需求以现有软件方式做现场演示，根据理解情况、符合程度等进行评分。无人机需使用符合项目建设场景需求的现场设备进行演示。</w:t>
            </w:r>
          </w:p>
          <w:p w14:paraId="3604EF8F">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（1）无人机航线任务支持即飞即识别，支持识别流实时展示，完成演示得2分，无法实时识别不得分；</w:t>
            </w:r>
          </w:p>
          <w:p w14:paraId="5CDAA1D0">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 w:hAnsi="仿宋" w:eastAsia="仿宋" w:cs="仿宋"/>
                <w:i w:val="0"/>
                <w:iCs w:val="0"/>
                <w:color w:val="000000" w:themeColor="text1"/>
                <w:kern w:val="0"/>
                <w:sz w:val="24"/>
                <w:szCs w:val="24"/>
                <w:highlight w:val="none"/>
                <w:u w:val="none"/>
                <w:lang w:val="zh-CN"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（2）无人机的航线设置支持</w:t>
            </w:r>
            <w:r>
              <w:rPr>
                <w:rFonts w:hint="eastAsia" w:ascii="仿宋" w:hAnsi="仿宋" w:eastAsia="仿宋" w:cs="仿宋"/>
                <w:i w:val="0"/>
                <w:iCs w:val="0"/>
                <w:color w:val="000000" w:themeColor="text1"/>
                <w:kern w:val="0"/>
                <w:sz w:val="24"/>
                <w:szCs w:val="24"/>
                <w:highlight w:val="none"/>
                <w:u w:val="none"/>
                <w:lang w:val="zh-CN" w:eastAsia="zh-CN" w:bidi="ar"/>
                <w14:textFill>
                  <w14:solidFill>
                    <w14:schemeClr w14:val="tx1"/>
                  </w14:solidFill>
                </w14:textFill>
              </w:rPr>
              <w:t>按照</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设备</w:t>
            </w:r>
            <w:r>
              <w:rPr>
                <w:rFonts w:hint="eastAsia" w:ascii="仿宋" w:hAnsi="仿宋" w:eastAsia="仿宋" w:cs="仿宋"/>
                <w:i w:val="0"/>
                <w:iCs w:val="0"/>
                <w:color w:val="000000" w:themeColor="text1"/>
                <w:kern w:val="0"/>
                <w:sz w:val="24"/>
                <w:szCs w:val="24"/>
                <w:highlight w:val="none"/>
                <w:u w:val="none"/>
                <w:lang w:val="zh-CN" w:eastAsia="zh-CN" w:bidi="ar"/>
                <w14:textFill>
                  <w14:solidFill>
                    <w14:schemeClr w14:val="tx1"/>
                  </w14:solidFill>
                </w14:textFill>
              </w:rPr>
              <w:t>、算法和任务规则组合形成，可以对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航点</w:t>
            </w:r>
            <w:r>
              <w:rPr>
                <w:rFonts w:hint="eastAsia" w:ascii="仿宋" w:hAnsi="仿宋" w:eastAsia="仿宋" w:cs="仿宋"/>
                <w:i w:val="0"/>
                <w:iCs w:val="0"/>
                <w:color w:val="000000" w:themeColor="text1"/>
                <w:kern w:val="0"/>
                <w:sz w:val="24"/>
                <w:szCs w:val="24"/>
                <w:highlight w:val="none"/>
                <w:u w:val="none"/>
                <w:lang w:val="zh-CN" w:eastAsia="zh-CN" w:bidi="ar"/>
                <w14:textFill>
                  <w14:solidFill>
                    <w14:schemeClr w14:val="tx1"/>
                  </w14:solidFill>
                </w14:textFill>
              </w:rPr>
              <w:t>的算法规则细节进行配置调整，可以对不同</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任务</w:t>
            </w:r>
            <w:r>
              <w:rPr>
                <w:rFonts w:hint="eastAsia" w:ascii="仿宋" w:hAnsi="仿宋" w:eastAsia="仿宋" w:cs="仿宋"/>
                <w:i w:val="0"/>
                <w:iCs w:val="0"/>
                <w:color w:val="000000" w:themeColor="text1"/>
                <w:kern w:val="0"/>
                <w:sz w:val="24"/>
                <w:szCs w:val="24"/>
                <w:highlight w:val="none"/>
                <w:u w:val="none"/>
                <w:lang w:val="zh-CN" w:eastAsia="zh-CN" w:bidi="ar"/>
                <w14:textFill>
                  <w14:solidFill>
                    <w14:schemeClr w14:val="tx1"/>
                  </w14:solidFill>
                </w14:textFill>
              </w:rPr>
              <w:t>、场景所需算法的组合进行配置，</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支持航线、航点独立配置多种算法，完成演示得2分，无法配置演示不得分</w:t>
            </w:r>
            <w:r>
              <w:rPr>
                <w:rFonts w:hint="eastAsia" w:ascii="仿宋" w:hAnsi="仿宋" w:eastAsia="仿宋" w:cs="仿宋"/>
                <w:i w:val="0"/>
                <w:iCs w:val="0"/>
                <w:color w:val="000000" w:themeColor="text1"/>
                <w:kern w:val="0"/>
                <w:sz w:val="24"/>
                <w:szCs w:val="24"/>
                <w:highlight w:val="none"/>
                <w:u w:val="none"/>
                <w:lang w:val="zh-CN" w:eastAsia="zh-CN" w:bidi="ar"/>
                <w14:textFill>
                  <w14:solidFill>
                    <w14:schemeClr w14:val="tx1"/>
                  </w14:solidFill>
                </w14:textFill>
              </w:rPr>
              <w:t>；</w:t>
            </w:r>
          </w:p>
          <w:p w14:paraId="6C0B1A97">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 w:hAnsi="仿宋" w:eastAsia="仿宋" w:cs="仿宋"/>
                <w:i w:val="0"/>
                <w:iCs w:val="0"/>
                <w:color w:val="000000" w:themeColor="text1"/>
                <w:kern w:val="0"/>
                <w:sz w:val="24"/>
                <w:szCs w:val="24"/>
                <w:highlight w:val="none"/>
                <w:u w:val="none"/>
                <w:lang w:val="zh-CN"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（3）系统支持违章建筑识别，并将目标位置定位到地图上，完成演示一项得3分，无法演示不得分；</w:t>
            </w:r>
          </w:p>
          <w:p w14:paraId="7B657B9B">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（4）系统支持自动分析比对功能，能够对同一地点进行历史影像的自动分析比对，完成演示得3分；</w:t>
            </w:r>
          </w:p>
          <w:p w14:paraId="0286C7D4">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根据各航线任务，支持推送对象设置、预警方式设置、预警频次设置，实现有效推送，并支持对应推送识别结果至对应人员移动端。支持实时推送识别结果且识别目标带经纬度坐标得4分、识别信息可推送至平台端或移动端得2分，最高6分；</w:t>
            </w:r>
          </w:p>
        </w:tc>
        <w:tc>
          <w:tcPr>
            <w:tcW w:w="388" w:type="pct"/>
            <w:noWrap w:val="0"/>
            <w:vAlign w:val="center"/>
          </w:tcPr>
          <w:p w14:paraId="5A7A00EF">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16</w:t>
            </w:r>
          </w:p>
        </w:tc>
      </w:tr>
      <w:tr w14:paraId="5FAB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2" w:type="pct"/>
            <w:noWrap w:val="0"/>
            <w:vAlign w:val="center"/>
          </w:tcPr>
          <w:p w14:paraId="5CC4B47D">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7</w:t>
            </w:r>
          </w:p>
        </w:tc>
        <w:tc>
          <w:tcPr>
            <w:tcW w:w="633" w:type="pct"/>
            <w:noWrap w:val="0"/>
            <w:vAlign w:val="center"/>
          </w:tcPr>
          <w:p w14:paraId="01B40BFD">
            <w:pPr>
              <w:keepNext w:val="0"/>
              <w:keepLines w:val="0"/>
              <w:pageBreakBefore w:val="0"/>
              <w:kinsoku/>
              <w:wordWrap/>
              <w:overflowPunct/>
              <w:topLinePunct w:val="0"/>
              <w:autoSpaceDE/>
              <w:autoSpaceDN/>
              <w:bidi w:val="0"/>
              <w:adjustRightInd/>
              <w:snapToGrid w:val="0"/>
              <w:spacing w:line="320" w:lineRule="exact"/>
              <w:jc w:val="cente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培训方案</w:t>
            </w:r>
          </w:p>
        </w:tc>
        <w:tc>
          <w:tcPr>
            <w:tcW w:w="3585" w:type="pct"/>
            <w:noWrap w:val="0"/>
            <w:vAlign w:val="center"/>
          </w:tcPr>
          <w:p w14:paraId="05B95ED2">
            <w:pPr>
              <w:keepNext w:val="0"/>
              <w:keepLines w:val="0"/>
              <w:pageBreakBefore w:val="0"/>
              <w:widowControl/>
              <w:suppressLineNumbers w:val="0"/>
              <w:tabs>
                <w:tab w:val="left" w:pos="0"/>
              </w:tabs>
              <w:kinsoku/>
              <w:wordWrap/>
              <w:overflowPunct/>
              <w:topLinePunct w:val="0"/>
              <w:autoSpaceDE/>
              <w:autoSpaceDN/>
              <w:bidi w:val="0"/>
              <w:adjustRightInd/>
              <w:snapToGrid w:val="0"/>
              <w:spacing w:line="320" w:lineRule="exact"/>
              <w:ind w:left="0" w:leftChars="0" w:firstLine="0" w:firstLineChars="0"/>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评委根据</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投标人对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本项目制定的培训内容</w:t>
            </w:r>
            <w:r>
              <w:rPr>
                <w:rFonts w:hint="eastAsia" w:ascii="仿宋" w:hAnsi="仿宋" w:eastAsia="仿宋" w:cs="仿宋"/>
                <w:color w:val="000000" w:themeColor="text1"/>
                <w:kern w:val="0"/>
                <w:sz w:val="24"/>
                <w:szCs w:val="24"/>
                <w:highlight w:val="none"/>
                <w14:textFill>
                  <w14:solidFill>
                    <w14:schemeClr w14:val="tx1"/>
                  </w14:solidFill>
                </w14:textFill>
              </w:rPr>
              <w:t>进行综合评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分</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39B60C10">
            <w:pPr>
              <w:keepNext w:val="0"/>
              <w:keepLines w:val="0"/>
              <w:pageBreakBefore w:val="0"/>
              <w:widowControl/>
              <w:suppressLineNumbers w:val="0"/>
              <w:tabs>
                <w:tab w:val="left" w:pos="0"/>
              </w:tabs>
              <w:kinsoku/>
              <w:wordWrap/>
              <w:overflowPunct/>
              <w:topLinePunct w:val="0"/>
              <w:autoSpaceDE/>
              <w:autoSpaceDN/>
              <w:bidi w:val="0"/>
              <w:adjustRightInd/>
              <w:snapToGrid w:val="0"/>
              <w:spacing w:line="320" w:lineRule="exact"/>
              <w:ind w:left="0" w:leftChars="0" w:firstLine="0" w:firstLineChars="0"/>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（1）培训内容合理且严密的得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分；</w:t>
            </w:r>
          </w:p>
          <w:p w14:paraId="1AAF730D">
            <w:pPr>
              <w:keepNext w:val="0"/>
              <w:keepLines w:val="0"/>
              <w:pageBreakBefore w:val="0"/>
              <w:widowControl/>
              <w:suppressLineNumbers w:val="0"/>
              <w:tabs>
                <w:tab w:val="left" w:pos="0"/>
              </w:tabs>
              <w:kinsoku/>
              <w:wordWrap/>
              <w:overflowPunct/>
              <w:topLinePunct w:val="0"/>
              <w:autoSpaceDE/>
              <w:autoSpaceDN/>
              <w:bidi w:val="0"/>
              <w:adjustRightInd/>
              <w:snapToGrid w:val="0"/>
              <w:spacing w:line="320" w:lineRule="exact"/>
              <w:ind w:left="0" w:leftChars="0" w:firstLine="0" w:firstLineChars="0"/>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（2）培训内容基本合理一般的得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(0,1]分</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p w14:paraId="5CB3B9FC">
            <w:pPr>
              <w:keepNext w:val="0"/>
              <w:keepLines w:val="0"/>
              <w:pageBreakBefore w:val="0"/>
              <w:widowControl/>
              <w:suppressLineNumbers w:val="0"/>
              <w:tabs>
                <w:tab w:val="left" w:pos="0"/>
              </w:tabs>
              <w:kinsoku/>
              <w:wordWrap/>
              <w:overflowPunct/>
              <w:topLinePunct w:val="0"/>
              <w:autoSpaceDE/>
              <w:autoSpaceDN/>
              <w:bidi w:val="0"/>
              <w:adjustRightInd/>
              <w:snapToGrid w:val="0"/>
              <w:spacing w:line="320" w:lineRule="exact"/>
              <w:ind w:left="0" w:leftChars="0" w:firstLine="0" w:firstLineChars="0"/>
              <w:jc w:val="both"/>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（3）无相关内容或与本项目不符</w:t>
            </w:r>
            <w:r>
              <w:rPr>
                <w:rFonts w:hint="eastAsia" w:ascii="仿宋" w:hAnsi="仿宋" w:eastAsia="仿宋" w:cs="仿宋"/>
                <w:color w:val="000000" w:themeColor="text1"/>
                <w:kern w:val="0"/>
                <w:sz w:val="24"/>
                <w:szCs w:val="24"/>
                <w:highlight w:val="none"/>
                <w14:textFill>
                  <w14:solidFill>
                    <w14:schemeClr w14:val="tx1"/>
                  </w14:solidFill>
                </w14:textFill>
              </w:rPr>
              <w:t>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不得分。</w:t>
            </w:r>
          </w:p>
        </w:tc>
        <w:tc>
          <w:tcPr>
            <w:tcW w:w="388" w:type="pct"/>
            <w:noWrap w:val="0"/>
            <w:vAlign w:val="center"/>
          </w:tcPr>
          <w:p w14:paraId="33AC8360">
            <w:pPr>
              <w:keepNext w:val="0"/>
              <w:keepLines w:val="0"/>
              <w:pageBreakBefore w:val="0"/>
              <w:kinsoku/>
              <w:wordWrap/>
              <w:overflowPunct/>
              <w:topLinePunct w:val="0"/>
              <w:autoSpaceDE/>
              <w:autoSpaceDN/>
              <w:bidi w:val="0"/>
              <w:adjustRightInd/>
              <w:snapToGrid w:val="0"/>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p>
        </w:tc>
      </w:tr>
      <w:tr w14:paraId="7147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2" w:type="pct"/>
            <w:noWrap w:val="0"/>
            <w:vAlign w:val="center"/>
          </w:tcPr>
          <w:p w14:paraId="095B1294">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8</w:t>
            </w:r>
          </w:p>
        </w:tc>
        <w:tc>
          <w:tcPr>
            <w:tcW w:w="633" w:type="pct"/>
            <w:noWrap w:val="0"/>
            <w:vAlign w:val="center"/>
          </w:tcPr>
          <w:p w14:paraId="3569D05F">
            <w:pPr>
              <w:keepNext w:val="0"/>
              <w:keepLines w:val="0"/>
              <w:pageBreakBefore w:val="0"/>
              <w:kinsoku/>
              <w:wordWrap/>
              <w:overflowPunct/>
              <w:topLinePunct w:val="0"/>
              <w:autoSpaceDE/>
              <w:autoSpaceDN/>
              <w:bidi w:val="0"/>
              <w:adjustRightInd/>
              <w:snapToGrid w:val="0"/>
              <w:spacing w:line="320" w:lineRule="exact"/>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应急措施</w:t>
            </w:r>
          </w:p>
        </w:tc>
        <w:tc>
          <w:tcPr>
            <w:tcW w:w="3585" w:type="pct"/>
            <w:noWrap w:val="0"/>
            <w:vAlign w:val="center"/>
          </w:tcPr>
          <w:p w14:paraId="11D3CBF3">
            <w:pPr>
              <w:keepNext w:val="0"/>
              <w:keepLines w:val="0"/>
              <w:pageBreakBefore w:val="0"/>
              <w:widowControl/>
              <w:suppressLineNumbers w:val="0"/>
              <w:tabs>
                <w:tab w:val="left" w:pos="0"/>
              </w:tabs>
              <w:kinsoku/>
              <w:wordWrap/>
              <w:overflowPunct/>
              <w:topLinePunct w:val="0"/>
              <w:autoSpaceDE/>
              <w:autoSpaceDN/>
              <w:bidi w:val="0"/>
              <w:adjustRightInd/>
              <w:snapToGrid w:val="0"/>
              <w:spacing w:line="320" w:lineRule="exact"/>
              <w:ind w:left="0" w:leftChars="0" w:firstLine="0" w:firstLineChars="0"/>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评</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委根据</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投标人</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针对本项目制定的各种突发事件的应急措施，以及实施过程中有可能出现的问题等突发情况进行分析</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，提出的解决方案、保障措施等</w:t>
            </w:r>
            <w:r>
              <w:rPr>
                <w:rFonts w:hint="eastAsia" w:ascii="仿宋" w:hAnsi="仿宋" w:eastAsia="仿宋" w:cs="仿宋"/>
                <w:color w:val="000000" w:themeColor="text1"/>
                <w:kern w:val="0"/>
                <w:sz w:val="24"/>
                <w:szCs w:val="24"/>
                <w:highlight w:val="none"/>
                <w14:textFill>
                  <w14:solidFill>
                    <w14:schemeClr w14:val="tx1"/>
                  </w14:solidFill>
                </w14:textFill>
              </w:rPr>
              <w:t>进行综合评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分</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p w14:paraId="0BBF350D">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val="0"/>
              <w:spacing w:line="320" w:lineRule="exact"/>
              <w:ind w:leftChars="0"/>
              <w:jc w:val="both"/>
              <w:textAlignment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（1）提出的解决方案、保障措施</w:t>
            </w:r>
            <w:r>
              <w:rPr>
                <w:rFonts w:hint="eastAsia" w:ascii="仿宋" w:hAnsi="仿宋" w:eastAsia="仿宋" w:cs="仿宋"/>
                <w:color w:val="000000" w:themeColor="text1"/>
                <w:kern w:val="0"/>
                <w:sz w:val="24"/>
                <w:szCs w:val="24"/>
                <w:highlight w:val="none"/>
                <w14:textFill>
                  <w14:solidFill>
                    <w14:schemeClr w14:val="tx1"/>
                  </w14:solidFill>
                </w14:textFill>
              </w:rPr>
              <w:t>全面的得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p w14:paraId="1AB0BC60">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val="0"/>
              <w:spacing w:line="320" w:lineRule="exact"/>
              <w:ind w:leftChars="0"/>
              <w:jc w:val="both"/>
              <w:textAlignment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（2）提出的解决方案、保障措施</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较差</w:t>
            </w:r>
            <w:r>
              <w:rPr>
                <w:rFonts w:hint="eastAsia" w:ascii="仿宋" w:hAnsi="仿宋" w:eastAsia="仿宋" w:cs="仿宋"/>
                <w:color w:val="000000" w:themeColor="text1"/>
                <w:kern w:val="0"/>
                <w:sz w:val="24"/>
                <w:szCs w:val="24"/>
                <w:highlight w:val="none"/>
                <w14:textFill>
                  <w14:solidFill>
                    <w14:schemeClr w14:val="tx1"/>
                  </w14:solidFill>
                </w14:textFill>
              </w:rPr>
              <w:t>的得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(0,1]</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p w14:paraId="56AE268C">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val="0"/>
              <w:spacing w:line="320" w:lineRule="exact"/>
              <w:ind w:left="0" w:leftChars="0" w:firstLine="0" w:firstLineChars="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（3）未提供解决方案、保障措施</w:t>
            </w:r>
            <w:r>
              <w:rPr>
                <w:rFonts w:hint="eastAsia" w:ascii="仿宋" w:hAnsi="仿宋" w:eastAsia="仿宋" w:cs="仿宋"/>
                <w:color w:val="000000" w:themeColor="text1"/>
                <w:kern w:val="0"/>
                <w:sz w:val="24"/>
                <w:szCs w:val="24"/>
                <w:highlight w:val="none"/>
                <w14:textFill>
                  <w14:solidFill>
                    <w14:schemeClr w14:val="tx1"/>
                  </w14:solidFill>
                </w14:textFill>
              </w:rPr>
              <w:t>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不得分。</w:t>
            </w:r>
          </w:p>
        </w:tc>
        <w:tc>
          <w:tcPr>
            <w:tcW w:w="388" w:type="pct"/>
            <w:noWrap w:val="0"/>
            <w:vAlign w:val="center"/>
          </w:tcPr>
          <w:p w14:paraId="48C1F142">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r>
      <w:tr w14:paraId="7ABA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92" w:type="pct"/>
            <w:noWrap w:val="0"/>
            <w:vAlign w:val="center"/>
          </w:tcPr>
          <w:p w14:paraId="0A18CE28">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9</w:t>
            </w:r>
          </w:p>
        </w:tc>
        <w:tc>
          <w:tcPr>
            <w:tcW w:w="633" w:type="pct"/>
            <w:noWrap w:val="0"/>
            <w:vAlign w:val="center"/>
          </w:tcPr>
          <w:p w14:paraId="781B3F9E">
            <w:pPr>
              <w:keepNext w:val="0"/>
              <w:keepLines w:val="0"/>
              <w:pageBreakBefore w:val="0"/>
              <w:kinsoku/>
              <w:wordWrap/>
              <w:overflowPunct/>
              <w:topLinePunct w:val="0"/>
              <w:autoSpaceDE/>
              <w:autoSpaceDN/>
              <w:bidi w:val="0"/>
              <w:adjustRightInd/>
              <w:snapToGrid w:val="0"/>
              <w:spacing w:line="320" w:lineRule="exact"/>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售后服务方案</w:t>
            </w:r>
          </w:p>
        </w:tc>
        <w:tc>
          <w:tcPr>
            <w:tcW w:w="3585" w:type="pct"/>
            <w:noWrap w:val="0"/>
            <w:vAlign w:val="center"/>
          </w:tcPr>
          <w:p w14:paraId="6C3DEC76">
            <w:pPr>
              <w:keepNext w:val="0"/>
              <w:keepLines w:val="0"/>
              <w:pageBreakBefore w:val="0"/>
              <w:widowControl/>
              <w:suppressLineNumbers w:val="0"/>
              <w:tabs>
                <w:tab w:val="left" w:pos="0"/>
              </w:tabs>
              <w:kinsoku/>
              <w:wordWrap/>
              <w:overflowPunct/>
              <w:topLinePunct w:val="0"/>
              <w:autoSpaceDE/>
              <w:autoSpaceDN/>
              <w:bidi w:val="0"/>
              <w:adjustRightInd/>
              <w:snapToGrid w:val="0"/>
              <w:spacing w:line="320" w:lineRule="exact"/>
              <w:ind w:left="0" w:leftChars="0" w:firstLine="0" w:firstLineChars="0"/>
              <w:jc w:val="both"/>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评委根据投标人提供的售后服务方案，包括但不限于：是否设立专职售后服务人员及售后联系</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电话，设备日常使用存储方案、</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制定完善的售后服务机制、备品备件配置情况等</w:t>
            </w:r>
            <w:r>
              <w:rPr>
                <w:rFonts w:hint="eastAsia" w:ascii="仿宋" w:hAnsi="仿宋" w:eastAsia="仿宋" w:cs="仿宋"/>
                <w:color w:val="000000" w:themeColor="text1"/>
                <w:kern w:val="0"/>
                <w:sz w:val="24"/>
                <w:szCs w:val="24"/>
                <w:highlight w:val="none"/>
                <w14:textFill>
                  <w14:solidFill>
                    <w14:schemeClr w14:val="tx1"/>
                  </w14:solidFill>
                </w14:textFill>
              </w:rPr>
              <w:t>进行综合评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分</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p w14:paraId="6E0A2105">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val="0"/>
              <w:spacing w:line="320" w:lineRule="exact"/>
              <w:ind w:left="0" w:leftChars="0"/>
              <w:jc w:val="both"/>
              <w:textAlignment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提供的售后服务方案</w:t>
            </w:r>
            <w:r>
              <w:rPr>
                <w:rFonts w:hint="eastAsia" w:ascii="仿宋" w:hAnsi="仿宋" w:eastAsia="仿宋" w:cs="仿宋"/>
                <w:color w:val="000000" w:themeColor="text1"/>
                <w:kern w:val="0"/>
                <w:sz w:val="24"/>
                <w:szCs w:val="24"/>
                <w:highlight w:val="none"/>
                <w14:textFill>
                  <w14:solidFill>
                    <w14:schemeClr w14:val="tx1"/>
                  </w14:solidFill>
                </w14:textFill>
              </w:rPr>
              <w:t>全面</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完整</w:t>
            </w:r>
            <w:r>
              <w:rPr>
                <w:rFonts w:hint="eastAsia" w:ascii="仿宋" w:hAnsi="仿宋" w:eastAsia="仿宋" w:cs="仿宋"/>
                <w:color w:val="000000" w:themeColor="text1"/>
                <w:kern w:val="0"/>
                <w:sz w:val="24"/>
                <w:szCs w:val="24"/>
                <w:highlight w:val="none"/>
                <w14:textFill>
                  <w14:solidFill>
                    <w14:schemeClr w14:val="tx1"/>
                  </w14:solidFill>
                </w14:textFill>
              </w:rPr>
              <w:t>的得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分；</w:t>
            </w:r>
          </w:p>
          <w:p w14:paraId="78556B6B">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val="0"/>
              <w:spacing w:line="320" w:lineRule="exact"/>
              <w:ind w:leftChars="0"/>
              <w:jc w:val="both"/>
              <w:textAlignment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（2）提供的售后服务方案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一般</w:t>
            </w:r>
            <w:r>
              <w:rPr>
                <w:rFonts w:hint="eastAsia" w:ascii="仿宋" w:hAnsi="仿宋" w:eastAsia="仿宋" w:cs="仿宋"/>
                <w:color w:val="000000" w:themeColor="text1"/>
                <w:kern w:val="0"/>
                <w:sz w:val="24"/>
                <w:szCs w:val="24"/>
                <w:highlight w:val="none"/>
                <w14:textFill>
                  <w14:solidFill>
                    <w14:schemeClr w14:val="tx1"/>
                  </w14:solidFill>
                </w14:textFill>
              </w:rPr>
              <w:t>的得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(0,1]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分；</w:t>
            </w:r>
          </w:p>
          <w:p w14:paraId="58F8AF3F">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val="0"/>
              <w:spacing w:line="320" w:lineRule="exact"/>
              <w:ind w:leftChars="0"/>
              <w:jc w:val="both"/>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（3）提供的售后服务方案</w:t>
            </w:r>
            <w:r>
              <w:rPr>
                <w:rFonts w:hint="eastAsia" w:ascii="仿宋" w:hAnsi="仿宋" w:eastAsia="仿宋" w:cs="仿宋"/>
                <w:color w:val="000000" w:themeColor="text1"/>
                <w:kern w:val="0"/>
                <w:sz w:val="24"/>
                <w:szCs w:val="24"/>
                <w:highlight w:val="none"/>
                <w14:textFill>
                  <w14:solidFill>
                    <w14:schemeClr w14:val="tx1"/>
                  </w14:solidFill>
                </w14:textFill>
              </w:rPr>
              <w:t>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较差及未提供售后方案</w:t>
            </w:r>
            <w:r>
              <w:rPr>
                <w:rFonts w:hint="eastAsia" w:ascii="仿宋" w:hAnsi="仿宋" w:eastAsia="仿宋" w:cs="仿宋"/>
                <w:color w:val="000000" w:themeColor="text1"/>
                <w:kern w:val="0"/>
                <w:sz w:val="24"/>
                <w:szCs w:val="24"/>
                <w:highlight w:val="none"/>
                <w14:textFill>
                  <w14:solidFill>
                    <w14:schemeClr w14:val="tx1"/>
                  </w14:solidFill>
                </w14:textFill>
              </w:rPr>
              <w:t>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不得分。</w:t>
            </w:r>
          </w:p>
        </w:tc>
        <w:tc>
          <w:tcPr>
            <w:tcW w:w="388" w:type="pct"/>
            <w:noWrap w:val="0"/>
            <w:vAlign w:val="center"/>
          </w:tcPr>
          <w:p w14:paraId="4F8A9295">
            <w:pPr>
              <w:keepNext w:val="0"/>
              <w:keepLines w:val="0"/>
              <w:pageBreakBefore w:val="0"/>
              <w:kinsoku/>
              <w:wordWrap/>
              <w:overflowPunct/>
              <w:topLinePunct w:val="0"/>
              <w:autoSpaceDE/>
              <w:autoSpaceDN/>
              <w:bidi w:val="0"/>
              <w:adjustRightInd/>
              <w:snapToGrid w:val="0"/>
              <w:spacing w:line="320" w:lineRule="exact"/>
              <w:jc w:val="cente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p>
        </w:tc>
      </w:tr>
    </w:tbl>
    <w:p w14:paraId="01A2F743">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i w:val="0"/>
          <w:iCs/>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color w:val="000000" w:themeColor="text1"/>
          <w:sz w:val="24"/>
          <w:szCs w:val="24"/>
          <w:highlight w:val="none"/>
          <w:u w:val="none"/>
          <w14:textFill>
            <w14:solidFill>
              <w14:schemeClr w14:val="tx1"/>
            </w14:solidFill>
          </w14:textFill>
        </w:rPr>
        <w:t>注：上述评审细则中要求提供的相关证书等证明材料均需加盖投标人电子签章</w:t>
      </w:r>
      <w:r>
        <w:rPr>
          <w:rFonts w:hint="eastAsia" w:ascii="仿宋" w:hAnsi="仿宋" w:eastAsia="仿宋" w:cs="仿宋"/>
          <w:b/>
          <w:bCs/>
          <w:i w:val="0"/>
          <w:iCs/>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b/>
          <w:bCs/>
          <w:i w:val="0"/>
          <w:iCs/>
          <w:color w:val="000000" w:themeColor="text1"/>
          <w:sz w:val="24"/>
          <w:szCs w:val="24"/>
          <w:highlight w:val="none"/>
          <w:u w:val="none"/>
          <w14:textFill>
            <w14:solidFill>
              <w14:schemeClr w14:val="tx1"/>
            </w14:solidFill>
          </w14:textFill>
        </w:rPr>
        <w:t>未按要求提供</w:t>
      </w:r>
      <w:r>
        <w:rPr>
          <w:rFonts w:hint="eastAsia" w:ascii="仿宋" w:hAnsi="仿宋" w:eastAsia="仿宋" w:cs="仿宋"/>
          <w:b/>
          <w:bCs/>
          <w:i w:val="0"/>
          <w:iCs/>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b/>
          <w:bCs/>
          <w:i w:val="0"/>
          <w:iCs/>
          <w:color w:val="000000" w:themeColor="text1"/>
          <w:sz w:val="24"/>
          <w:szCs w:val="24"/>
          <w:highlight w:val="none"/>
          <w:u w:val="none"/>
          <w:lang w:val="en-US" w:eastAsia="zh-CN"/>
          <w14:textFill>
            <w14:solidFill>
              <w14:schemeClr w14:val="tx1"/>
            </w14:solidFill>
          </w14:textFill>
        </w:rPr>
        <w:t>提供不全或扫描件不清晰</w:t>
      </w:r>
      <w:r>
        <w:rPr>
          <w:rFonts w:hint="eastAsia" w:ascii="仿宋" w:hAnsi="仿宋" w:eastAsia="仿宋" w:cs="仿宋"/>
          <w:b/>
          <w:bCs/>
          <w:i w:val="0"/>
          <w:iCs/>
          <w:color w:val="000000" w:themeColor="text1"/>
          <w:sz w:val="24"/>
          <w:szCs w:val="24"/>
          <w:highlight w:val="none"/>
          <w:u w:val="none"/>
          <w14:textFill>
            <w14:solidFill>
              <w14:schemeClr w14:val="tx1"/>
            </w14:solidFill>
          </w14:textFill>
        </w:rPr>
        <w:t>的对应项不得分。</w:t>
      </w:r>
    </w:p>
    <w:p w14:paraId="3161F1B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i w:val="0"/>
          <w:iCs/>
          <w:color w:val="000000" w:themeColor="text1"/>
          <w:sz w:val="24"/>
          <w:szCs w:val="24"/>
          <w:highlight w:val="none"/>
          <w14:textFill>
            <w14:solidFill>
              <w14:schemeClr w14:val="tx1"/>
            </w14:solidFill>
          </w14:textFill>
        </w:rPr>
      </w:pPr>
      <w:r>
        <w:rPr>
          <w:rFonts w:hint="eastAsia" w:ascii="仿宋" w:hAnsi="仿宋" w:eastAsia="仿宋" w:cs="仿宋"/>
          <w:i w:val="0"/>
          <w:iCs/>
          <w:color w:val="000000" w:themeColor="text1"/>
          <w:kern w:val="2"/>
          <w:sz w:val="24"/>
          <w:szCs w:val="24"/>
          <w:highlight w:val="none"/>
          <w:lang w:val="en-US" w:eastAsia="zh-CN" w:bidi="ar-SA"/>
          <w14:textFill>
            <w14:solidFill>
              <w14:schemeClr w14:val="tx1"/>
            </w14:solidFill>
          </w14:textFill>
        </w:rPr>
        <w:t>（5）</w:t>
      </w:r>
      <w:r>
        <w:rPr>
          <w:rFonts w:hint="eastAsia" w:ascii="仿宋" w:hAnsi="仿宋" w:eastAsia="仿宋" w:cs="仿宋"/>
          <w:i w:val="0"/>
          <w:iCs/>
          <w:color w:val="000000" w:themeColor="text1"/>
          <w:sz w:val="24"/>
          <w:szCs w:val="24"/>
          <w:highlight w:val="none"/>
          <w14:textFill>
            <w14:solidFill>
              <w14:schemeClr w14:val="tx1"/>
            </w14:solidFill>
          </w14:textFill>
        </w:rPr>
        <w:t>通过资格审查和符合性评审的投标人全部入围进行报价评审。</w:t>
      </w:r>
    </w:p>
    <w:p w14:paraId="54FC1848">
      <w:pPr>
        <w:spacing w:line="360" w:lineRule="auto"/>
        <w:rPr>
          <w:rFonts w:hint="eastAsia" w:ascii="仿宋" w:hAnsi="仿宋" w:eastAsia="仿宋" w:cs="仿宋"/>
          <w:i w:val="0"/>
          <w:iCs/>
          <w:color w:val="000000" w:themeColor="text1"/>
          <w:sz w:val="24"/>
          <w:szCs w:val="24"/>
          <w:highlight w:val="none"/>
          <w14:textFill>
            <w14:solidFill>
              <w14:schemeClr w14:val="tx1"/>
            </w14:solidFill>
          </w14:textFill>
        </w:rPr>
      </w:pPr>
      <w:r>
        <w:rPr>
          <w:rFonts w:hint="eastAsia" w:ascii="仿宋" w:hAnsi="仿宋" w:eastAsia="仿宋" w:cs="仿宋"/>
          <w:i w:val="0"/>
          <w:iCs/>
          <w:color w:val="000000" w:themeColor="text1"/>
          <w:sz w:val="24"/>
          <w:szCs w:val="24"/>
          <w:highlight w:val="none"/>
          <w14:textFill>
            <w14:solidFill>
              <w14:schemeClr w14:val="tx1"/>
            </w14:solidFill>
          </w14:textFill>
        </w:rPr>
        <w:br w:type="page"/>
      </w:r>
    </w:p>
    <w:p w14:paraId="2270032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五、采购需求</w:t>
      </w:r>
    </w:p>
    <w:p w14:paraId="5A72749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主要</w:t>
      </w:r>
      <w:r>
        <w:rPr>
          <w:rFonts w:hint="eastAsia" w:ascii="仿宋" w:hAnsi="仿宋" w:eastAsia="仿宋" w:cs="仿宋"/>
          <w:b/>
          <w:color w:val="000000" w:themeColor="text1"/>
          <w:sz w:val="24"/>
          <w:szCs w:val="24"/>
          <w:highlight w:val="none"/>
          <w:lang w:val="en-US" w:eastAsia="zh-CN"/>
          <w14:textFill>
            <w14:solidFill>
              <w14:schemeClr w14:val="tx1"/>
            </w14:solidFill>
          </w14:textFill>
        </w:rPr>
        <w:t>技术</w:t>
      </w:r>
      <w:r>
        <w:rPr>
          <w:rFonts w:hint="eastAsia" w:ascii="仿宋" w:hAnsi="仿宋" w:eastAsia="仿宋" w:cs="仿宋"/>
          <w:b/>
          <w:color w:val="000000" w:themeColor="text1"/>
          <w:sz w:val="24"/>
          <w:szCs w:val="24"/>
          <w:highlight w:val="none"/>
          <w14:textFill>
            <w14:solidFill>
              <w14:schemeClr w14:val="tx1"/>
            </w14:solidFill>
          </w14:textFill>
        </w:rPr>
        <w:t>功能要求</w:t>
      </w:r>
    </w:p>
    <w:tbl>
      <w:tblPr>
        <w:tblStyle w:val="14"/>
        <w:tblW w:w="5880" w:type="pct"/>
        <w:tblInd w:w="-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78"/>
        <w:gridCol w:w="791"/>
        <w:gridCol w:w="1319"/>
        <w:gridCol w:w="6253"/>
      </w:tblGrid>
      <w:tr w14:paraId="11BC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39" w:type="pct"/>
            <w:noWrap w:val="0"/>
            <w:vAlign w:val="center"/>
          </w:tcPr>
          <w:p w14:paraId="02E9D44C">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487" w:type="pct"/>
            <w:noWrap w:val="0"/>
            <w:vAlign w:val="center"/>
          </w:tcPr>
          <w:p w14:paraId="6B4A8C8C">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平台子系统</w:t>
            </w:r>
          </w:p>
        </w:tc>
        <w:tc>
          <w:tcPr>
            <w:tcW w:w="1052" w:type="pct"/>
            <w:gridSpan w:val="2"/>
            <w:noWrap w:val="0"/>
            <w:vAlign w:val="center"/>
          </w:tcPr>
          <w:p w14:paraId="69B50F3A">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模块</w:t>
            </w:r>
          </w:p>
        </w:tc>
        <w:tc>
          <w:tcPr>
            <w:tcW w:w="3119" w:type="pct"/>
            <w:noWrap w:val="0"/>
            <w:vAlign w:val="center"/>
          </w:tcPr>
          <w:p w14:paraId="37EDA879">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功能参数</w:t>
            </w:r>
          </w:p>
        </w:tc>
      </w:tr>
      <w:tr w14:paraId="42B9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restart"/>
            <w:noWrap/>
            <w:vAlign w:val="center"/>
          </w:tcPr>
          <w:p w14:paraId="72FC1EA0">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487" w:type="pct"/>
            <w:vMerge w:val="restart"/>
            <w:noWrap w:val="0"/>
            <w:vAlign w:val="center"/>
          </w:tcPr>
          <w:p w14:paraId="0C558FAC">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综合执法一张图</w:t>
            </w:r>
          </w:p>
        </w:tc>
        <w:tc>
          <w:tcPr>
            <w:tcW w:w="394" w:type="pct"/>
            <w:vMerge w:val="restart"/>
            <w:noWrap w:val="0"/>
            <w:vAlign w:val="center"/>
          </w:tcPr>
          <w:p w14:paraId="13C684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排班预警</w:t>
            </w:r>
          </w:p>
        </w:tc>
        <w:tc>
          <w:tcPr>
            <w:tcW w:w="658" w:type="pct"/>
            <w:noWrap w:val="0"/>
            <w:vAlign w:val="center"/>
          </w:tcPr>
          <w:p w14:paraId="2DACE4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每日排班</w:t>
            </w:r>
          </w:p>
        </w:tc>
        <w:tc>
          <w:tcPr>
            <w:tcW w:w="3119" w:type="pct"/>
            <w:noWrap w:val="0"/>
            <w:vAlign w:val="center"/>
          </w:tcPr>
          <w:p w14:paraId="565713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依据各科室人员归属，系统录入每月排班人员表，系统依照表格设定，自动轮播当日值班情况；</w:t>
            </w:r>
          </w:p>
        </w:tc>
      </w:tr>
      <w:tr w14:paraId="151D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201AFA57">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6AC0D11E">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316C0D5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4EE65A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弹窗预警</w:t>
            </w:r>
          </w:p>
        </w:tc>
        <w:tc>
          <w:tcPr>
            <w:tcW w:w="3119" w:type="pct"/>
            <w:noWrap w:val="0"/>
            <w:vAlign w:val="center"/>
          </w:tcPr>
          <w:p w14:paraId="60B6626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接收各类业务事件临期推送，预警消息平台端智能弹窗提示；</w:t>
            </w:r>
          </w:p>
        </w:tc>
      </w:tr>
      <w:tr w14:paraId="7B66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3E0E572F">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2BB8549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restart"/>
            <w:noWrap w:val="0"/>
            <w:vAlign w:val="center"/>
          </w:tcPr>
          <w:p w14:paraId="78BC9D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数据整合</w:t>
            </w:r>
          </w:p>
        </w:tc>
        <w:tc>
          <w:tcPr>
            <w:tcW w:w="658" w:type="pct"/>
            <w:noWrap w:val="0"/>
            <w:vAlign w:val="center"/>
          </w:tcPr>
          <w:p w14:paraId="30D9B9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队伍管理模块数据</w:t>
            </w:r>
          </w:p>
        </w:tc>
        <w:tc>
          <w:tcPr>
            <w:tcW w:w="3119" w:type="pct"/>
            <w:noWrap w:val="0"/>
            <w:vAlign w:val="center"/>
          </w:tcPr>
          <w:p w14:paraId="435A973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队员名单库录入、展示正式队员数量、按队员分级，分类展示中层、下沉人员、辅助队员等对应数量统计展示；</w:t>
            </w:r>
          </w:p>
        </w:tc>
      </w:tr>
      <w:tr w14:paraId="3BB6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7D8F23B7">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79A30D69">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576C656B">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1965FD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执法办案模块数据</w:t>
            </w:r>
          </w:p>
        </w:tc>
        <w:tc>
          <w:tcPr>
            <w:tcW w:w="3119" w:type="pct"/>
            <w:noWrap w:val="0"/>
            <w:vAlign w:val="center"/>
          </w:tcPr>
          <w:p w14:paraId="68BE036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统计当月办案情况，针对处罚事项、覆盖事项、占比、执法领域各自数量分类统计，形成可视化图表；</w:t>
            </w:r>
          </w:p>
        </w:tc>
      </w:tr>
      <w:tr w14:paraId="6D46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5A532EDF">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7C8CE22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7B0D8F99">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6B3389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事件管理模块数据</w:t>
            </w:r>
          </w:p>
        </w:tc>
        <w:tc>
          <w:tcPr>
            <w:tcW w:w="3119" w:type="pct"/>
            <w:noWrap w:val="0"/>
            <w:vAlign w:val="center"/>
          </w:tcPr>
          <w:p w14:paraId="63060A8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对城市管理存在的问题数量进行分项数量统计，并对数量前五的问题类型进行排序展示，形成可视化图表；</w:t>
            </w:r>
          </w:p>
        </w:tc>
      </w:tr>
      <w:tr w14:paraId="1B9F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03DBC0AD">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0A6E4E69">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2DE9900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784F60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违建管控模块数据</w:t>
            </w:r>
          </w:p>
        </w:tc>
        <w:tc>
          <w:tcPr>
            <w:tcW w:w="3119" w:type="pct"/>
            <w:noWrap w:val="0"/>
            <w:vAlign w:val="center"/>
          </w:tcPr>
          <w:p w14:paraId="03012E86">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对当前诸暨市违建小区数量、违建企业数量进行分类数据录入、分类数据统计；</w:t>
            </w:r>
          </w:p>
          <w:p w14:paraId="479775E8">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对违建情况下，违建数量、违建面积、已拆除数、已拆除面积、未拆除面积进行分项录入、可视化图表统计展示；</w:t>
            </w:r>
          </w:p>
        </w:tc>
      </w:tr>
      <w:tr w14:paraId="7D5A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30A6798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0602B9B7">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3AB98D95">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23625C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规划跟踪模块数据</w:t>
            </w:r>
          </w:p>
        </w:tc>
        <w:tc>
          <w:tcPr>
            <w:tcW w:w="3119" w:type="pct"/>
            <w:noWrap w:val="0"/>
            <w:vAlign w:val="center"/>
          </w:tcPr>
          <w:p w14:paraId="44BD8173">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针对当前诸暨市再建项目、验收项目、问题项目数量进行分类录入、统计；</w:t>
            </w:r>
          </w:p>
          <w:p w14:paraId="1C03D521">
            <w:pPr>
              <w:keepNext w:val="0"/>
              <w:keepLines w:val="0"/>
              <w:pageBreakBefore w:val="0"/>
              <w:widowControl/>
              <w:numPr>
                <w:ilvl w:val="0"/>
                <w:numId w:val="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对项目的进行状态：再办理、即将超期、超期、办结，进行数量统计，形成可视化图表；</w:t>
            </w:r>
          </w:p>
        </w:tc>
      </w:tr>
      <w:tr w14:paraId="56C6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21064E3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5D62CB45">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6553DC9B">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401FCD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大综合模块数据</w:t>
            </w:r>
          </w:p>
        </w:tc>
        <w:tc>
          <w:tcPr>
            <w:tcW w:w="3119" w:type="pct"/>
            <w:noWrap w:val="0"/>
            <w:vAlign w:val="center"/>
          </w:tcPr>
          <w:p w14:paraId="2ED9E9C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显示赋权街道数量、乡镇赋权事项数量；支持按月度、年度进行分项数据统计，形成可视化图表；</w:t>
            </w:r>
          </w:p>
        </w:tc>
      </w:tr>
      <w:tr w14:paraId="2A5E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1E5A007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39661BE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restart"/>
            <w:noWrap w:val="0"/>
            <w:vAlign w:val="center"/>
          </w:tcPr>
          <w:p w14:paraId="293DF2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GIS数据地图</w:t>
            </w:r>
          </w:p>
        </w:tc>
        <w:tc>
          <w:tcPr>
            <w:tcW w:w="658" w:type="pct"/>
            <w:noWrap w:val="0"/>
            <w:vAlign w:val="center"/>
          </w:tcPr>
          <w:p w14:paraId="77F76F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行政区域展示</w:t>
            </w:r>
          </w:p>
        </w:tc>
        <w:tc>
          <w:tcPr>
            <w:tcW w:w="3119" w:type="pct"/>
            <w:noWrap w:val="0"/>
            <w:vAlign w:val="center"/>
          </w:tcPr>
          <w:p w14:paraId="72DADE9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诸暨市行政离线地图部署，依据行政区、镇街网格化展示；具备缩放、平移功能；图层样式切换功能；图层标尺测量功能；具备事件集成单元、展示单元、查看单元；具备标注和图标嵌套功能；</w:t>
            </w:r>
          </w:p>
        </w:tc>
      </w:tr>
      <w:tr w14:paraId="3621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67F022F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3CF650E9">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7C2D0987">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74685A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临期超期展示</w:t>
            </w:r>
          </w:p>
        </w:tc>
        <w:tc>
          <w:tcPr>
            <w:tcW w:w="3119" w:type="pct"/>
            <w:noWrap w:val="0"/>
            <w:vAlign w:val="center"/>
          </w:tcPr>
          <w:p w14:paraId="5205A1A7">
            <w:pPr>
              <w:keepNext w:val="0"/>
              <w:keepLines w:val="0"/>
              <w:pageBreakBefore w:val="0"/>
              <w:widowControl/>
              <w:numPr>
                <w:ilvl w:val="0"/>
                <w:numId w:val="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具备实时热力图更新功能、颜色编码区分、热力图模式切换、热力图开关交互功能；</w:t>
            </w:r>
          </w:p>
          <w:p w14:paraId="36602975">
            <w:pPr>
              <w:keepNext w:val="0"/>
              <w:keepLines w:val="0"/>
              <w:pageBreakBefore w:val="0"/>
              <w:widowControl/>
              <w:numPr>
                <w:ilvl w:val="0"/>
                <w:numId w:val="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展示事件超期数量统计；支持跳转到对应处置详情页；</w:t>
            </w:r>
          </w:p>
          <w:p w14:paraId="436A60FA">
            <w:pPr>
              <w:keepNext w:val="0"/>
              <w:keepLines w:val="0"/>
              <w:pageBreakBefore w:val="0"/>
              <w:widowControl/>
              <w:numPr>
                <w:ilvl w:val="0"/>
                <w:numId w:val="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展示案件超期数量统计；支持跳转到对应处置详情页；</w:t>
            </w:r>
          </w:p>
          <w:p w14:paraId="40A39887">
            <w:pPr>
              <w:keepNext w:val="0"/>
              <w:keepLines w:val="0"/>
              <w:pageBreakBefore w:val="0"/>
              <w:widowControl/>
              <w:numPr>
                <w:ilvl w:val="0"/>
                <w:numId w:val="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对接各镇街网格执法问题处理进度，跟踪问题处理时效，依据有效期时间，系统后台自动判定状态，对已超期未处理的问题所在网格区域颜色整体变红；</w:t>
            </w:r>
          </w:p>
        </w:tc>
      </w:tr>
      <w:tr w14:paraId="030D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restart"/>
            <w:noWrap/>
            <w:vAlign w:val="center"/>
          </w:tcPr>
          <w:p w14:paraId="0B77935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487" w:type="pct"/>
            <w:vMerge w:val="restart"/>
            <w:noWrap w:val="0"/>
            <w:vAlign w:val="center"/>
          </w:tcPr>
          <w:p w14:paraId="2C4E66C9">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执法队伍管理</w:t>
            </w:r>
          </w:p>
        </w:tc>
        <w:tc>
          <w:tcPr>
            <w:tcW w:w="394" w:type="pct"/>
            <w:noWrap w:val="0"/>
            <w:vAlign w:val="center"/>
          </w:tcPr>
          <w:p w14:paraId="5FC9E5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基础人员库</w:t>
            </w:r>
          </w:p>
        </w:tc>
        <w:tc>
          <w:tcPr>
            <w:tcW w:w="658" w:type="pct"/>
            <w:noWrap w:val="0"/>
            <w:vAlign w:val="center"/>
          </w:tcPr>
          <w:p w14:paraId="064E11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队员基础信息的采集与管理</w:t>
            </w:r>
          </w:p>
        </w:tc>
        <w:tc>
          <w:tcPr>
            <w:tcW w:w="3119" w:type="pct"/>
            <w:noWrap w:val="0"/>
            <w:vAlign w:val="center"/>
          </w:tcPr>
          <w:p w14:paraId="09CDADA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人员信息录入、人员信息更新、人员分类管理、人员状态跟踪、人员照片管理、人员证件管理、人员合同管理、人员权限设置、数据备份与恢复、安全与隐私保护、员工搜索与筛选、报表生成、集成接口、历史记录追踪、多语言支持、移动设备访问、审计日志、数据验证与错误提示、动态更新：</w:t>
            </w:r>
          </w:p>
        </w:tc>
      </w:tr>
      <w:tr w14:paraId="5EC1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6761D7D4">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2E3864AA">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restart"/>
            <w:noWrap w:val="0"/>
            <w:vAlign w:val="center"/>
          </w:tcPr>
          <w:p w14:paraId="613CA8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绩效考评</w:t>
            </w:r>
          </w:p>
        </w:tc>
        <w:tc>
          <w:tcPr>
            <w:tcW w:w="658" w:type="pct"/>
            <w:noWrap w:val="0"/>
            <w:vAlign w:val="center"/>
          </w:tcPr>
          <w:p w14:paraId="60D0EC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考核事项管理</w:t>
            </w:r>
          </w:p>
        </w:tc>
        <w:tc>
          <w:tcPr>
            <w:tcW w:w="3119" w:type="pct"/>
            <w:noWrap w:val="0"/>
            <w:vAlign w:val="center"/>
          </w:tcPr>
          <w:p w14:paraId="6297F47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支持对执法办案、季度排位、队伍建设、争先创优、自主考评、信息宣传、局党组交办等对应管理考核事项进行类别及内容的增删改查；</w:t>
            </w:r>
          </w:p>
        </w:tc>
      </w:tr>
      <w:tr w14:paraId="5B6D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6F4A4564">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14C2522C">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03FE026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499D8C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考核标题管理</w:t>
            </w:r>
          </w:p>
        </w:tc>
        <w:tc>
          <w:tcPr>
            <w:tcW w:w="3119" w:type="pct"/>
            <w:noWrap w:val="0"/>
            <w:vAlign w:val="center"/>
          </w:tcPr>
          <w:p w14:paraId="1B5738B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管理考核文件的标题增删改；如：效能简报、季度执法办案、队伍建设、信息宣传、执法办案、争先创优、意识形态等情况；</w:t>
            </w:r>
          </w:p>
        </w:tc>
      </w:tr>
      <w:tr w14:paraId="4F4C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5A59C9BE">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14106E5E">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6BA8D668">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5B0B4D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个人赋分管理</w:t>
            </w:r>
          </w:p>
        </w:tc>
        <w:tc>
          <w:tcPr>
            <w:tcW w:w="3119" w:type="pct"/>
            <w:noWrap w:val="0"/>
            <w:vAlign w:val="center"/>
          </w:tcPr>
          <w:p w14:paraId="2E50336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评分标准设定、自评功能、上级评分功能、评审审核、评分结果汇总、分数占比可视化展示、评分结果导出、评分权限管理、评分异常检测、评分历史记录；</w:t>
            </w:r>
          </w:p>
        </w:tc>
      </w:tr>
      <w:tr w14:paraId="6162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403BF39C">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010FC347">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3FFD0588">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3D56D8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个人积分排名</w:t>
            </w:r>
          </w:p>
        </w:tc>
        <w:tc>
          <w:tcPr>
            <w:tcW w:w="3119" w:type="pct"/>
            <w:noWrap w:val="0"/>
            <w:vAlign w:val="center"/>
          </w:tcPr>
          <w:p w14:paraId="39102250">
            <w:pPr>
              <w:keepNext w:val="0"/>
              <w:keepLines w:val="0"/>
              <w:pageBreakBefore w:val="0"/>
              <w:widowControl/>
              <w:numPr>
                <w:ilvl w:val="0"/>
                <w:numId w:val="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根据用户要求，设定积分规则；积分权重设置；</w:t>
            </w:r>
          </w:p>
          <w:p w14:paraId="0616046C">
            <w:pPr>
              <w:keepNext w:val="0"/>
              <w:keepLines w:val="0"/>
              <w:pageBreakBefore w:val="0"/>
              <w:widowControl/>
              <w:numPr>
                <w:ilvl w:val="0"/>
                <w:numId w:val="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积分录入、积分输入值判断及系统积分审核；</w:t>
            </w:r>
          </w:p>
          <w:p w14:paraId="05E4E428">
            <w:pPr>
              <w:keepNext w:val="0"/>
              <w:keepLines w:val="0"/>
              <w:pageBreakBefore w:val="0"/>
              <w:widowControl/>
              <w:numPr>
                <w:ilvl w:val="0"/>
                <w:numId w:val="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支持自动统计个人积分数、支持按部门、按年度、季度、月度排名；积分更新通知推送；</w:t>
            </w:r>
          </w:p>
          <w:p w14:paraId="3E795F0E">
            <w:pPr>
              <w:keepNext w:val="0"/>
              <w:keepLines w:val="0"/>
              <w:pageBreakBefore w:val="0"/>
              <w:widowControl/>
              <w:numPr>
                <w:ilvl w:val="0"/>
                <w:numId w:val="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历史积分记录、排名报告生成；多维度积分展示；</w:t>
            </w:r>
          </w:p>
          <w:p w14:paraId="446F7286">
            <w:pPr>
              <w:keepNext w:val="0"/>
              <w:keepLines w:val="0"/>
              <w:pageBreakBefore w:val="0"/>
              <w:widowControl/>
              <w:numPr>
                <w:ilvl w:val="0"/>
                <w:numId w:val="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积分排名权限管理、反馈机制及积分排名的动态调整；</w:t>
            </w:r>
          </w:p>
        </w:tc>
      </w:tr>
      <w:tr w14:paraId="3798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467BE1B4">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29F7AB4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restart"/>
            <w:noWrap w:val="0"/>
            <w:vAlign w:val="center"/>
          </w:tcPr>
          <w:p w14:paraId="11E71D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队伍概览</w:t>
            </w:r>
          </w:p>
        </w:tc>
        <w:tc>
          <w:tcPr>
            <w:tcW w:w="658" w:type="pct"/>
            <w:noWrap w:val="0"/>
            <w:vAlign w:val="center"/>
          </w:tcPr>
          <w:p w14:paraId="57FA46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总体情况</w:t>
            </w:r>
          </w:p>
        </w:tc>
        <w:tc>
          <w:tcPr>
            <w:tcW w:w="3119" w:type="pct"/>
            <w:noWrap w:val="0"/>
            <w:vAlign w:val="center"/>
          </w:tcPr>
          <w:p w14:paraId="788D1C6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统计执法局办公人员数量，按中层干部、一般队员进行分类统计，形成可视化图表；</w:t>
            </w:r>
          </w:p>
        </w:tc>
      </w:tr>
      <w:tr w14:paraId="3133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2FD38BB4">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57CC1A2F">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3CD1B7E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486183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下沉人员分布</w:t>
            </w:r>
          </w:p>
        </w:tc>
        <w:tc>
          <w:tcPr>
            <w:tcW w:w="3119" w:type="pct"/>
            <w:noWrap w:val="0"/>
            <w:vAlign w:val="center"/>
          </w:tcPr>
          <w:p w14:paraId="6138083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统计下沉人员总数、按镇街核算对应下沉人员数量，形成可视化图表；</w:t>
            </w:r>
          </w:p>
        </w:tc>
      </w:tr>
      <w:tr w14:paraId="552B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127078E7">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6AE07A85">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5414255E">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55AFAC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干部画像</w:t>
            </w:r>
          </w:p>
        </w:tc>
        <w:tc>
          <w:tcPr>
            <w:tcW w:w="3119" w:type="pct"/>
            <w:noWrap w:val="0"/>
            <w:vAlign w:val="center"/>
          </w:tcPr>
          <w:p w14:paraId="131EABB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依据学历、年龄、性别、政治面貌、是否参加过司法考试等分项进行统计，形成可视化图表；</w:t>
            </w:r>
          </w:p>
        </w:tc>
      </w:tr>
      <w:tr w14:paraId="6F05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25B4EF37">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16BEAD89">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1C6A69BB">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3E7859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业务考核排位</w:t>
            </w:r>
          </w:p>
        </w:tc>
        <w:tc>
          <w:tcPr>
            <w:tcW w:w="3119" w:type="pct"/>
            <w:noWrap w:val="0"/>
            <w:vAlign w:val="center"/>
          </w:tcPr>
          <w:p w14:paraId="5215478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依据六大业务模块，获取对应数据，进行人员考核总分排名；</w:t>
            </w:r>
          </w:p>
        </w:tc>
      </w:tr>
      <w:tr w14:paraId="775C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792B94F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58DE30DE">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254548E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005F36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晾晒台</w:t>
            </w:r>
          </w:p>
        </w:tc>
        <w:tc>
          <w:tcPr>
            <w:tcW w:w="3119" w:type="pct"/>
            <w:noWrap w:val="0"/>
            <w:vAlign w:val="center"/>
          </w:tcPr>
          <w:p w14:paraId="1C2BCA9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通报批评、提醒谈话、警示谈话、诫勉谈话、警告及以上处分各自对应数据展示；支持按时间周期筛选展示；</w:t>
            </w:r>
          </w:p>
        </w:tc>
      </w:tr>
      <w:tr w14:paraId="1949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38D5BA20">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6326B5E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3E0AF7A6">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0DC7F5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风采展示</w:t>
            </w:r>
          </w:p>
        </w:tc>
        <w:tc>
          <w:tcPr>
            <w:tcW w:w="3119" w:type="pct"/>
            <w:noWrap w:val="0"/>
            <w:vAlign w:val="center"/>
          </w:tcPr>
          <w:p w14:paraId="3EBCCE5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提交办公人员风采图片，支持内容文字编辑、上传；</w:t>
            </w:r>
          </w:p>
        </w:tc>
      </w:tr>
      <w:tr w14:paraId="3CD7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600559A7">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3CA50BA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63973E55">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562AE9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积分排名</w:t>
            </w:r>
          </w:p>
        </w:tc>
        <w:tc>
          <w:tcPr>
            <w:tcW w:w="3119" w:type="pct"/>
            <w:noWrap w:val="0"/>
            <w:vAlign w:val="center"/>
          </w:tcPr>
          <w:p w14:paraId="03D2CD7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展示执法局办案人员当月的考核排名；</w:t>
            </w:r>
          </w:p>
        </w:tc>
      </w:tr>
      <w:tr w14:paraId="644D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066DA5B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5F02F397">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5D6AAE47">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346CD8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积分公示</w:t>
            </w:r>
          </w:p>
        </w:tc>
        <w:tc>
          <w:tcPr>
            <w:tcW w:w="3119" w:type="pct"/>
            <w:noWrap w:val="0"/>
            <w:vAlign w:val="center"/>
          </w:tcPr>
          <w:p w14:paraId="4B4D373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展示执法局办公人员当月的加减分情况；</w:t>
            </w:r>
          </w:p>
        </w:tc>
      </w:tr>
      <w:tr w14:paraId="51C9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07373E2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1BADE1E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4470850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2D3B04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考核结果</w:t>
            </w:r>
          </w:p>
        </w:tc>
        <w:tc>
          <w:tcPr>
            <w:tcW w:w="3119" w:type="pct"/>
            <w:noWrap w:val="0"/>
            <w:vAlign w:val="center"/>
          </w:tcPr>
          <w:p w14:paraId="2D1E16B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展示执法局办公人员当季/年度的总体考核成绩；</w:t>
            </w:r>
          </w:p>
        </w:tc>
      </w:tr>
      <w:tr w14:paraId="2688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18C3B938">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5AC03008">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0B7FDFEE">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6FA0CC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考核标题管理</w:t>
            </w:r>
          </w:p>
        </w:tc>
        <w:tc>
          <w:tcPr>
            <w:tcW w:w="3119" w:type="pct"/>
            <w:noWrap w:val="0"/>
            <w:vAlign w:val="center"/>
          </w:tcPr>
          <w:p w14:paraId="1C6069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管理考核文件的标题增删改；如：效能简报、季度执法办案、队伍建设、信息宣传、执法办案、争先创优、意识形态等情况、</w:t>
            </w:r>
          </w:p>
        </w:tc>
      </w:tr>
      <w:tr w14:paraId="77A7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3621C87F">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20D047BA">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0326C1D7">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6CFC69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个人赋分管理</w:t>
            </w:r>
          </w:p>
        </w:tc>
        <w:tc>
          <w:tcPr>
            <w:tcW w:w="3119" w:type="pct"/>
            <w:noWrap w:val="0"/>
            <w:vAlign w:val="center"/>
          </w:tcPr>
          <w:p w14:paraId="59F92C7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支持对应个人标题添加、日期、人员选择、分数加减分操作；</w:t>
            </w:r>
          </w:p>
        </w:tc>
      </w:tr>
      <w:tr w14:paraId="748F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6C24521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75806D38">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1F4C77F7">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20F36B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个人积分排名</w:t>
            </w:r>
          </w:p>
        </w:tc>
        <w:tc>
          <w:tcPr>
            <w:tcW w:w="3119" w:type="pct"/>
            <w:noWrap w:val="0"/>
            <w:vAlign w:val="center"/>
          </w:tcPr>
          <w:p w14:paraId="2BB4D76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支持自动统计个人积分数及排名；</w:t>
            </w:r>
          </w:p>
        </w:tc>
      </w:tr>
      <w:tr w14:paraId="07A8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restart"/>
            <w:noWrap/>
            <w:vAlign w:val="center"/>
          </w:tcPr>
          <w:p w14:paraId="64D1AB46">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487" w:type="pct"/>
            <w:vMerge w:val="restart"/>
            <w:noWrap w:val="0"/>
            <w:vAlign w:val="center"/>
          </w:tcPr>
          <w:p w14:paraId="7230248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执法办案</w:t>
            </w:r>
          </w:p>
        </w:tc>
        <w:tc>
          <w:tcPr>
            <w:tcW w:w="394" w:type="pct"/>
            <w:vMerge w:val="restart"/>
            <w:noWrap w:val="0"/>
            <w:vAlign w:val="center"/>
          </w:tcPr>
          <w:p w14:paraId="61AD06A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数据接入及分析处理</w:t>
            </w:r>
          </w:p>
        </w:tc>
        <w:tc>
          <w:tcPr>
            <w:tcW w:w="658" w:type="pct"/>
            <w:noWrap w:val="0"/>
            <w:vAlign w:val="center"/>
          </w:tcPr>
          <w:p w14:paraId="61FC6B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案件任务完成情况统计</w:t>
            </w:r>
          </w:p>
        </w:tc>
        <w:tc>
          <w:tcPr>
            <w:tcW w:w="3119" w:type="pct"/>
            <w:noWrap w:val="0"/>
            <w:vAlign w:val="center"/>
          </w:tcPr>
          <w:p w14:paraId="1BC0AC45">
            <w:pPr>
              <w:keepNext w:val="0"/>
              <w:keepLines w:val="0"/>
              <w:pageBreakBefore w:val="0"/>
              <w:widowControl/>
              <w:numPr>
                <w:ilvl w:val="0"/>
                <w:numId w:val="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当月案件完成情况按直属中队、乡镇中队进行统计，形成可视化图表；</w:t>
            </w:r>
          </w:p>
          <w:p w14:paraId="20728396">
            <w:pPr>
              <w:keepNext w:val="0"/>
              <w:keepLines w:val="0"/>
              <w:pageBreakBefore w:val="0"/>
              <w:widowControl/>
              <w:numPr>
                <w:ilvl w:val="0"/>
                <w:numId w:val="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当年案件累计完成情况按直属中队、乡镇中队进行统计，形成可视化图表；</w:t>
            </w:r>
          </w:p>
          <w:p w14:paraId="63BD8B8B">
            <w:pPr>
              <w:keepNext w:val="0"/>
              <w:keepLines w:val="0"/>
              <w:pageBreakBefore w:val="0"/>
              <w:widowControl/>
              <w:numPr>
                <w:ilvl w:val="0"/>
                <w:numId w:val="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根据普通程序总任务数(每月)、普通程序局名义办理数、普通程序局名义办理数对各中队当月任务完成情况进行统计，形成可视化图表；</w:t>
            </w:r>
          </w:p>
        </w:tc>
      </w:tr>
      <w:tr w14:paraId="7CE8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254C6D27">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545814C8">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1698B1A5">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533BAD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案件办结情况统计</w:t>
            </w:r>
          </w:p>
        </w:tc>
        <w:tc>
          <w:tcPr>
            <w:tcW w:w="3119" w:type="pct"/>
            <w:noWrap w:val="0"/>
            <w:vAlign w:val="center"/>
          </w:tcPr>
          <w:p w14:paraId="02C4AAAA">
            <w:pPr>
              <w:keepNext w:val="0"/>
              <w:keepLines w:val="0"/>
              <w:pageBreakBefore w:val="0"/>
              <w:widowControl/>
              <w:numPr>
                <w:ilvl w:val="0"/>
                <w:numId w:val="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当月案件办理情况，依据已办结案件数、未办结案件数进行分项统计，形成可视化图表；</w:t>
            </w:r>
          </w:p>
          <w:p w14:paraId="2D1FBBB2">
            <w:pPr>
              <w:keepNext w:val="0"/>
              <w:keepLines w:val="0"/>
              <w:pageBreakBefore w:val="0"/>
              <w:widowControl/>
              <w:numPr>
                <w:ilvl w:val="0"/>
                <w:numId w:val="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对每月案件办结时长依据30天、60天、90天进行分项统计；</w:t>
            </w:r>
          </w:p>
        </w:tc>
      </w:tr>
      <w:tr w14:paraId="753A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76F51845">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6AE0DE9D">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4F4F4D65">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1F9C7D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案件执行阶段统计</w:t>
            </w:r>
          </w:p>
        </w:tc>
        <w:tc>
          <w:tcPr>
            <w:tcW w:w="3119" w:type="pct"/>
            <w:noWrap w:val="0"/>
            <w:vAlign w:val="center"/>
          </w:tcPr>
          <w:p w14:paraId="27601AC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对案件执行的阶段依据自觉履行、强制执行进行分项统计；</w:t>
            </w:r>
          </w:p>
        </w:tc>
      </w:tr>
      <w:tr w14:paraId="2BC3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4106AF1C">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5194E2A9">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119198D0">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5E3B6F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案件类型统计</w:t>
            </w:r>
          </w:p>
        </w:tc>
        <w:tc>
          <w:tcPr>
            <w:tcW w:w="3119" w:type="pct"/>
            <w:noWrap w:val="0"/>
            <w:vAlign w:val="center"/>
          </w:tcPr>
          <w:p w14:paraId="63CE78F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按月对新拓展案由案件、重大案件、非现场执法案件进行分项统计；</w:t>
            </w:r>
          </w:p>
        </w:tc>
      </w:tr>
      <w:tr w14:paraId="5283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7E51D2E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7F3CFCD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035F133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017FD3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城市管理类执法案件统计</w:t>
            </w:r>
          </w:p>
        </w:tc>
        <w:tc>
          <w:tcPr>
            <w:tcW w:w="3119" w:type="pct"/>
            <w:noWrap w:val="0"/>
            <w:vAlign w:val="center"/>
          </w:tcPr>
          <w:p w14:paraId="18C37C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依据任务和完成数量，对店外经营、无照经营、禁钓禁洗、垃圾分类等案件类型进行分项统计，形成可视化图表；</w:t>
            </w:r>
          </w:p>
        </w:tc>
      </w:tr>
      <w:tr w14:paraId="4F71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68EB1FF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47639761">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7BC3745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578168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规划执法类案件统计</w:t>
            </w:r>
          </w:p>
        </w:tc>
        <w:tc>
          <w:tcPr>
            <w:tcW w:w="3119" w:type="pct"/>
            <w:noWrap w:val="0"/>
            <w:vAlign w:val="center"/>
          </w:tcPr>
          <w:p w14:paraId="4895648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依据任务和完成数量，对规划类等案件类型进行分项统计（主要依据中华人民共和国城乡规划法、浙江省城乡规划条例等），按月份对案件完成数量进行统计，形成可视化图表；</w:t>
            </w:r>
          </w:p>
        </w:tc>
      </w:tr>
      <w:tr w14:paraId="551F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5D453794">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4BB9CC80">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757FF64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637F86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执法人员办案数量统计</w:t>
            </w:r>
          </w:p>
        </w:tc>
        <w:tc>
          <w:tcPr>
            <w:tcW w:w="3119" w:type="pct"/>
            <w:noWrap w:val="0"/>
            <w:vAlign w:val="center"/>
          </w:tcPr>
          <w:p w14:paraId="3FA05F1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每月依据案件办理数量对中队前三名人员进行排名，形成可视化图表展示；</w:t>
            </w:r>
          </w:p>
        </w:tc>
      </w:tr>
      <w:tr w14:paraId="3FA3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36FDF4C8">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5C5B8CAC">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4EA6F776">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2207B0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案件数量统计</w:t>
            </w:r>
          </w:p>
        </w:tc>
        <w:tc>
          <w:tcPr>
            <w:tcW w:w="3119" w:type="pct"/>
            <w:noWrap w:val="0"/>
            <w:vAlign w:val="center"/>
          </w:tcPr>
          <w:p w14:paraId="0C94907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按月份对执法办案人员进行办案数量排名统计。</w:t>
            </w:r>
          </w:p>
        </w:tc>
      </w:tr>
      <w:tr w14:paraId="051D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260819D8">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35CBB8B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restart"/>
            <w:noWrap w:val="0"/>
            <w:vAlign w:val="center"/>
          </w:tcPr>
          <w:p w14:paraId="370368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案件预警及处置</w:t>
            </w:r>
          </w:p>
        </w:tc>
        <w:tc>
          <w:tcPr>
            <w:tcW w:w="658" w:type="pct"/>
            <w:noWrap w:val="0"/>
            <w:vAlign w:val="center"/>
          </w:tcPr>
          <w:p w14:paraId="7D04A7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案件接收</w:t>
            </w:r>
          </w:p>
        </w:tc>
        <w:tc>
          <w:tcPr>
            <w:tcW w:w="3119" w:type="pct"/>
            <w:noWrap w:val="0"/>
            <w:vAlign w:val="center"/>
          </w:tcPr>
          <w:p w14:paraId="748344C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支持对接IRS系统案件数据，获取案件详细信息，依据案件类型自动匹配待接收时间、待完成时间，以列表形式呈现所接收的案件数据；</w:t>
            </w:r>
          </w:p>
        </w:tc>
      </w:tr>
      <w:tr w14:paraId="44F9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669C613A">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7F8A4DBA">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4D070614">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50354A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案件跟踪</w:t>
            </w:r>
          </w:p>
        </w:tc>
        <w:tc>
          <w:tcPr>
            <w:tcW w:w="3119" w:type="pct"/>
            <w:noWrap w:val="0"/>
            <w:vAlign w:val="center"/>
          </w:tcPr>
          <w:p w14:paraId="5D03C90A">
            <w:pPr>
              <w:keepNext w:val="0"/>
              <w:keepLines w:val="0"/>
              <w:pageBreakBefore w:val="0"/>
              <w:widowControl/>
              <w:numPr>
                <w:ilvl w:val="0"/>
                <w:numId w:val="8"/>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支持处置时间自动倒计时；</w:t>
            </w:r>
          </w:p>
          <w:p w14:paraId="3630021E">
            <w:pPr>
              <w:keepNext w:val="0"/>
              <w:keepLines w:val="0"/>
              <w:pageBreakBefore w:val="0"/>
              <w:widowControl/>
              <w:numPr>
                <w:ilvl w:val="0"/>
                <w:numId w:val="8"/>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已超期的案件需自动首位排序；</w:t>
            </w:r>
          </w:p>
          <w:p w14:paraId="08888B8F">
            <w:pPr>
              <w:keepNext w:val="0"/>
              <w:keepLines w:val="0"/>
              <w:pageBreakBefore w:val="0"/>
              <w:widowControl/>
              <w:numPr>
                <w:ilvl w:val="0"/>
                <w:numId w:val="8"/>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支持点击案件列表查看具体详情；</w:t>
            </w:r>
          </w:p>
          <w:p w14:paraId="61E18532">
            <w:pPr>
              <w:keepNext w:val="0"/>
              <w:keepLines w:val="0"/>
              <w:pageBreakBefore w:val="0"/>
              <w:widowControl/>
              <w:numPr>
                <w:ilvl w:val="0"/>
                <w:numId w:val="8"/>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支持推送相关承办人进行案件处置；</w:t>
            </w:r>
          </w:p>
          <w:p w14:paraId="6ADC696D">
            <w:pPr>
              <w:keepNext w:val="0"/>
              <w:keepLines w:val="0"/>
              <w:pageBreakBefore w:val="0"/>
              <w:widowControl/>
              <w:numPr>
                <w:ilvl w:val="0"/>
                <w:numId w:val="8"/>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即将逾期的案件支持推送对应上级领导，告知案件临期情况；</w:t>
            </w:r>
          </w:p>
        </w:tc>
      </w:tr>
      <w:tr w14:paraId="2748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555A68D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noWrap w:val="0"/>
            <w:vAlign w:val="center"/>
          </w:tcPr>
          <w:p w14:paraId="7366716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restart"/>
            <w:noWrap w:val="0"/>
            <w:vAlign w:val="center"/>
          </w:tcPr>
          <w:p w14:paraId="3094B2A8">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事件接入</w:t>
            </w:r>
          </w:p>
        </w:tc>
        <w:tc>
          <w:tcPr>
            <w:tcW w:w="658" w:type="pct"/>
            <w:noWrap w:val="0"/>
            <w:vAlign w:val="center"/>
          </w:tcPr>
          <w:p w14:paraId="447723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事件来源收集</w:t>
            </w:r>
          </w:p>
        </w:tc>
        <w:tc>
          <w:tcPr>
            <w:tcW w:w="3119" w:type="pct"/>
            <w:noWrap w:val="0"/>
            <w:vAlign w:val="center"/>
          </w:tcPr>
          <w:p w14:paraId="3259D95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支持接入无人机巡查发现问题数据，如楼顶违建识别、前后违建图片比对差异，生成对应事件；需提供承诺函予以佐证；</w:t>
            </w:r>
          </w:p>
        </w:tc>
      </w:tr>
      <w:tr w14:paraId="445B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restart"/>
            <w:noWrap/>
            <w:vAlign w:val="center"/>
          </w:tcPr>
          <w:p w14:paraId="3F438C2C">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487" w:type="pct"/>
            <w:vMerge w:val="restart"/>
            <w:noWrap w:val="0"/>
            <w:vAlign w:val="center"/>
          </w:tcPr>
          <w:p w14:paraId="0503A2AD">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事件管理</w:t>
            </w:r>
          </w:p>
        </w:tc>
        <w:tc>
          <w:tcPr>
            <w:tcW w:w="394" w:type="pct"/>
            <w:vMerge w:val="continue"/>
            <w:noWrap w:val="0"/>
            <w:vAlign w:val="center"/>
          </w:tcPr>
          <w:p w14:paraId="729E390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17231F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事件登记</w:t>
            </w:r>
          </w:p>
        </w:tc>
        <w:tc>
          <w:tcPr>
            <w:tcW w:w="3119" w:type="pct"/>
            <w:noWrap w:val="0"/>
            <w:vAlign w:val="center"/>
          </w:tcPr>
          <w:p w14:paraId="3BBBD6CF">
            <w:pPr>
              <w:keepNext w:val="0"/>
              <w:keepLines w:val="0"/>
              <w:pageBreakBefore w:val="0"/>
              <w:widowControl/>
              <w:numPr>
                <w:ilvl w:val="0"/>
                <w:numId w:val="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支持手动问题登记，录入问题来源数据，包含网络舆情、来电来访、视频监控、绍兴市推送数据、市创建办推送数据、第三方暗查数据及其他数据，生成事件；</w:t>
            </w:r>
          </w:p>
          <w:p w14:paraId="580DFAED">
            <w:pPr>
              <w:keepNext w:val="0"/>
              <w:keepLines w:val="0"/>
              <w:pageBreakBefore w:val="0"/>
              <w:widowControl/>
              <w:numPr>
                <w:ilvl w:val="0"/>
                <w:numId w:val="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依据权限层级，支持自定义增加市容类型；</w:t>
            </w:r>
          </w:p>
          <w:p w14:paraId="20A27F16">
            <w:pPr>
              <w:keepNext w:val="0"/>
              <w:keepLines w:val="0"/>
              <w:pageBreakBefore w:val="0"/>
              <w:widowControl/>
              <w:numPr>
                <w:ilvl w:val="0"/>
                <w:numId w:val="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支持地图页面选择事件地点，生成定位图标；</w:t>
            </w:r>
          </w:p>
        </w:tc>
      </w:tr>
      <w:tr w14:paraId="7FEB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6B72B31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51CA1F0A">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749D1F81">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1EDC2B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事件查询</w:t>
            </w:r>
          </w:p>
        </w:tc>
        <w:tc>
          <w:tcPr>
            <w:tcW w:w="3119" w:type="pct"/>
            <w:noWrap w:val="0"/>
            <w:vAlign w:val="center"/>
          </w:tcPr>
          <w:p w14:paraId="270A20A2">
            <w:pPr>
              <w:keepNext w:val="0"/>
              <w:keepLines w:val="0"/>
              <w:pageBreakBefore w:val="0"/>
              <w:widowControl/>
              <w:numPr>
                <w:ilvl w:val="0"/>
                <w:numId w:val="1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支持接收存储待审核案件，支持按事件类型、时间进行查询检索；</w:t>
            </w:r>
          </w:p>
          <w:p w14:paraId="3CD987E9">
            <w:pPr>
              <w:keepNext w:val="0"/>
              <w:keepLines w:val="0"/>
              <w:pageBreakBefore w:val="0"/>
              <w:widowControl/>
              <w:numPr>
                <w:ilvl w:val="0"/>
                <w:numId w:val="1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支持根据事件处置情况分为在办和办结；</w:t>
            </w:r>
          </w:p>
          <w:p w14:paraId="7A91FD2B">
            <w:pPr>
              <w:keepNext w:val="0"/>
              <w:keepLines w:val="0"/>
              <w:pageBreakBefore w:val="0"/>
              <w:widowControl/>
              <w:numPr>
                <w:ilvl w:val="0"/>
                <w:numId w:val="1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支持点击详情查看具体事件详情；</w:t>
            </w:r>
          </w:p>
        </w:tc>
      </w:tr>
      <w:tr w14:paraId="2131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1C391279">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6F5B8F6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restart"/>
            <w:noWrap w:val="0"/>
            <w:vAlign w:val="center"/>
          </w:tcPr>
          <w:p w14:paraId="34AE637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事件处置</w:t>
            </w:r>
          </w:p>
        </w:tc>
        <w:tc>
          <w:tcPr>
            <w:tcW w:w="658" w:type="pct"/>
            <w:noWrap w:val="0"/>
            <w:vAlign w:val="center"/>
          </w:tcPr>
          <w:p w14:paraId="1B31BF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事件处置工作台</w:t>
            </w:r>
          </w:p>
        </w:tc>
        <w:tc>
          <w:tcPr>
            <w:tcW w:w="3119" w:type="pct"/>
            <w:noWrap w:val="0"/>
            <w:vAlign w:val="center"/>
          </w:tcPr>
          <w:p w14:paraId="652B91A5">
            <w:pPr>
              <w:keepNext w:val="0"/>
              <w:keepLines w:val="0"/>
              <w:pageBreakBefore w:val="0"/>
              <w:widowControl/>
              <w:numPr>
                <w:ilvl w:val="0"/>
                <w:numId w:val="1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待办事件以清单形式展现登录用户当前的待办事件，右上角为更多。点击“更多”可跳转进入用户待办事项的完整页面，对待办事项进行处置；</w:t>
            </w:r>
          </w:p>
          <w:p w14:paraId="439140EC">
            <w:pPr>
              <w:keepNext w:val="0"/>
              <w:keepLines w:val="0"/>
              <w:pageBreakBefore w:val="0"/>
              <w:widowControl/>
              <w:numPr>
                <w:ilvl w:val="0"/>
                <w:numId w:val="1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待办事件支持待办事项搜索、待办事项反馈、待办事项上报、待办事项退回、待办事项处置、待办事项办结等；</w:t>
            </w:r>
          </w:p>
          <w:p w14:paraId="20EF0864">
            <w:pPr>
              <w:keepNext w:val="0"/>
              <w:keepLines w:val="0"/>
              <w:pageBreakBefore w:val="0"/>
              <w:widowControl/>
              <w:numPr>
                <w:ilvl w:val="0"/>
                <w:numId w:val="1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在办事件以清单形式展现登录用户当前最新的在办事件，右上角为更多。点击“更多”可跳转进入用户“在办事项”的完整页面，对“在办事项”进行处置。</w:t>
            </w:r>
          </w:p>
          <w:p w14:paraId="463749F0">
            <w:pPr>
              <w:keepNext w:val="0"/>
              <w:keepLines w:val="0"/>
              <w:pageBreakBefore w:val="0"/>
              <w:widowControl/>
              <w:numPr>
                <w:ilvl w:val="0"/>
                <w:numId w:val="1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办结事件以清单形式展现登录用户当前最新的办结事件，右上角为更多。点击“更多”可跳转进入用户“办结事项”的完整页面，查看办结事项；</w:t>
            </w:r>
          </w:p>
          <w:p w14:paraId="0B0AE5B9">
            <w:pPr>
              <w:keepNext w:val="0"/>
              <w:keepLines w:val="0"/>
              <w:pageBreakBefore w:val="0"/>
              <w:widowControl/>
              <w:numPr>
                <w:ilvl w:val="0"/>
                <w:numId w:val="1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异常办件可点击查看办件异常的事件，包括超期办件与重复办件。</w:t>
            </w:r>
          </w:p>
          <w:p w14:paraId="20D931BD">
            <w:pPr>
              <w:keepNext w:val="0"/>
              <w:keepLines w:val="0"/>
              <w:pageBreakBefore w:val="0"/>
              <w:widowControl/>
              <w:numPr>
                <w:ilvl w:val="0"/>
                <w:numId w:val="1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通过事件录入入口，用户可录入具体的事件信息；</w:t>
            </w:r>
          </w:p>
        </w:tc>
      </w:tr>
      <w:tr w14:paraId="7A9F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365AB7FA">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723AF75A">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02B54706">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5672BC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事件流转处置</w:t>
            </w:r>
          </w:p>
        </w:tc>
        <w:tc>
          <w:tcPr>
            <w:tcW w:w="3119" w:type="pct"/>
            <w:noWrap w:val="0"/>
            <w:vAlign w:val="center"/>
          </w:tcPr>
          <w:p w14:paraId="063C6F10">
            <w:pPr>
              <w:keepNext w:val="0"/>
              <w:keepLines w:val="0"/>
              <w:pageBreakBefore w:val="0"/>
              <w:widowControl/>
              <w:numPr>
                <w:ilvl w:val="0"/>
                <w:numId w:val="1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支持根据事件类型匹配事件处置时间，进入处置流程自动触发倒计时；</w:t>
            </w:r>
          </w:p>
          <w:p w14:paraId="77BC29B3">
            <w:pPr>
              <w:keepNext w:val="0"/>
              <w:keepLines w:val="0"/>
              <w:pageBreakBefore w:val="0"/>
              <w:widowControl/>
              <w:numPr>
                <w:ilvl w:val="0"/>
                <w:numId w:val="1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支持对接浙政钉系统获取人员在岗情况，实现事件问题派发给指定在岗属地人员进行处置；</w:t>
            </w:r>
          </w:p>
          <w:p w14:paraId="271E5C55">
            <w:pPr>
              <w:keepNext w:val="0"/>
              <w:keepLines w:val="0"/>
              <w:pageBreakBefore w:val="0"/>
              <w:widowControl/>
              <w:numPr>
                <w:ilvl w:val="0"/>
                <w:numId w:val="1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支持根据事件受理，录入事件相关图文信息；</w:t>
            </w:r>
          </w:p>
          <w:p w14:paraId="3C8AE53C">
            <w:pPr>
              <w:keepNext w:val="0"/>
              <w:keepLines w:val="0"/>
              <w:pageBreakBefore w:val="0"/>
              <w:widowControl/>
              <w:numPr>
                <w:ilvl w:val="0"/>
                <w:numId w:val="1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支持根据事件派遣，设置派遣流程，支持平台端与客户端之间进行流转；</w:t>
            </w:r>
          </w:p>
          <w:p w14:paraId="349AF41E">
            <w:pPr>
              <w:keepNext w:val="0"/>
              <w:keepLines w:val="0"/>
              <w:pageBreakBefore w:val="0"/>
              <w:widowControl/>
              <w:numPr>
                <w:ilvl w:val="0"/>
                <w:numId w:val="1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支持根据事件闭环处置，对符合闭环的情形进行办结；</w:t>
            </w:r>
          </w:p>
          <w:p w14:paraId="11868934">
            <w:pPr>
              <w:keepNext w:val="0"/>
              <w:keepLines w:val="0"/>
              <w:pageBreakBefore w:val="0"/>
              <w:widowControl/>
              <w:numPr>
                <w:ilvl w:val="0"/>
                <w:numId w:val="1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支持根据事件流转录入对应图文详情；</w:t>
            </w:r>
          </w:p>
          <w:p w14:paraId="212655A2">
            <w:pPr>
              <w:keepNext w:val="0"/>
              <w:keepLines w:val="0"/>
              <w:pageBreakBefore w:val="0"/>
              <w:widowControl/>
              <w:numPr>
                <w:ilvl w:val="0"/>
                <w:numId w:val="1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支持依据事件处置的层级划分权限，实现逐级审核流转；</w:t>
            </w:r>
          </w:p>
          <w:p w14:paraId="525D56D8">
            <w:pPr>
              <w:keepNext w:val="0"/>
              <w:keepLines w:val="0"/>
              <w:pageBreakBefore w:val="0"/>
              <w:widowControl/>
              <w:numPr>
                <w:ilvl w:val="0"/>
                <w:numId w:val="1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支持在办业务的状态依据当前事件处置环节分为：待审核、待签收、待反馈、待办结；</w:t>
            </w:r>
          </w:p>
        </w:tc>
      </w:tr>
      <w:tr w14:paraId="3BB6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3E1C8598">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2F078C0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restart"/>
            <w:noWrap w:val="0"/>
            <w:vAlign w:val="center"/>
          </w:tcPr>
          <w:p w14:paraId="3ADA421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日志交办</w:t>
            </w:r>
          </w:p>
        </w:tc>
        <w:tc>
          <w:tcPr>
            <w:tcW w:w="658" w:type="pct"/>
            <w:noWrap w:val="0"/>
            <w:vAlign w:val="center"/>
          </w:tcPr>
          <w:p w14:paraId="1F52C6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日志填报</w:t>
            </w:r>
          </w:p>
        </w:tc>
        <w:tc>
          <w:tcPr>
            <w:tcW w:w="3119" w:type="pct"/>
            <w:noWrap w:val="0"/>
            <w:vAlign w:val="center"/>
          </w:tcPr>
          <w:p w14:paraId="58665A8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支持市级每日设定日志填报模板至系统平台，用于各乡镇每日填报对应数据；</w:t>
            </w:r>
          </w:p>
          <w:p w14:paraId="01F5B97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数据支持分权限查看，支持数据汇总、总报表导出功能；</w:t>
            </w:r>
          </w:p>
        </w:tc>
      </w:tr>
      <w:tr w14:paraId="4916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3C035CE4">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16C7CA9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1C6CD3F8">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7D647D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任务交办</w:t>
            </w:r>
          </w:p>
        </w:tc>
        <w:tc>
          <w:tcPr>
            <w:tcW w:w="3119" w:type="pct"/>
            <w:noWrap w:val="0"/>
            <w:vAlign w:val="center"/>
          </w:tcPr>
          <w:p w14:paraId="744C175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支持交办件/政府文件等对应发送至各科室/中队人员；</w:t>
            </w:r>
          </w:p>
          <w:p w14:paraId="69E83BD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支持对应账号接收交办文件，填写文字反馈；</w:t>
            </w:r>
          </w:p>
        </w:tc>
      </w:tr>
      <w:tr w14:paraId="35F4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restart"/>
            <w:noWrap/>
            <w:vAlign w:val="center"/>
          </w:tcPr>
          <w:p w14:paraId="70C7F8AC">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487" w:type="pct"/>
            <w:vMerge w:val="restart"/>
            <w:noWrap w:val="0"/>
            <w:vAlign w:val="center"/>
          </w:tcPr>
          <w:p w14:paraId="33FD050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规划管控</w:t>
            </w:r>
          </w:p>
        </w:tc>
        <w:tc>
          <w:tcPr>
            <w:tcW w:w="1052" w:type="pct"/>
            <w:gridSpan w:val="2"/>
            <w:noWrap w:val="0"/>
            <w:vAlign w:val="center"/>
          </w:tcPr>
          <w:p w14:paraId="3C06D0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规划跟踪</w:t>
            </w:r>
          </w:p>
        </w:tc>
        <w:tc>
          <w:tcPr>
            <w:tcW w:w="3119" w:type="pct"/>
            <w:noWrap w:val="0"/>
            <w:vAlign w:val="center"/>
          </w:tcPr>
          <w:p w14:paraId="0A6AFAEE">
            <w:pPr>
              <w:keepNext w:val="0"/>
              <w:keepLines w:val="0"/>
              <w:pageBreakBefore w:val="0"/>
              <w:widowControl/>
              <w:numPr>
                <w:ilvl w:val="0"/>
                <w:numId w:val="1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支持系统平台端录入该规划项目的详情，所属乡镇、规模、建设公司、联系人等信息；</w:t>
            </w:r>
          </w:p>
          <w:p w14:paraId="5A141843">
            <w:pPr>
              <w:keepNext w:val="0"/>
              <w:keepLines w:val="0"/>
              <w:pageBreakBefore w:val="0"/>
              <w:widowControl/>
              <w:numPr>
                <w:ilvl w:val="0"/>
                <w:numId w:val="1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支持平台端录入日常巡逻人员的监管过程情况，实现过程数据归档；</w:t>
            </w:r>
          </w:p>
          <w:p w14:paraId="3E913735">
            <w:pPr>
              <w:keepNext w:val="0"/>
              <w:keepLines w:val="0"/>
              <w:pageBreakBefore w:val="0"/>
              <w:widowControl/>
              <w:numPr>
                <w:ilvl w:val="0"/>
                <w:numId w:val="1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手动按项目4个关键节点（定点放样、基础砼浇捣、一层圈梁砼浇捣前、主体结顶）上报对应监管过程的图文接入规划管控系统，实现全流程数据归档；支持中间过程添加节点，多次到场核实上传过程监管数据；</w:t>
            </w:r>
          </w:p>
          <w:p w14:paraId="5D17ED8B">
            <w:pPr>
              <w:keepNext w:val="0"/>
              <w:keepLines w:val="0"/>
              <w:pageBreakBefore w:val="0"/>
              <w:widowControl/>
              <w:numPr>
                <w:ilvl w:val="0"/>
                <w:numId w:val="1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跟踪录入房建项目图文信息，包含当前月份的在建数量、已验收项目数量、问题项目数量等统计及实时更新；</w:t>
            </w:r>
          </w:p>
          <w:p w14:paraId="09099C02">
            <w:pPr>
              <w:keepNext w:val="0"/>
              <w:keepLines w:val="0"/>
              <w:pageBreakBefore w:val="0"/>
              <w:widowControl/>
              <w:numPr>
                <w:ilvl w:val="0"/>
                <w:numId w:val="1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支持按月份、按镇街等筛选所需数据进行展示；</w:t>
            </w:r>
          </w:p>
        </w:tc>
      </w:tr>
      <w:tr w14:paraId="57A5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253D72B0">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5A39020F">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0F7AFA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违建管控</w:t>
            </w:r>
          </w:p>
        </w:tc>
        <w:tc>
          <w:tcPr>
            <w:tcW w:w="3119" w:type="pct"/>
            <w:noWrap w:val="0"/>
            <w:vAlign w:val="center"/>
          </w:tcPr>
          <w:p w14:paraId="0DE3F6A0">
            <w:pPr>
              <w:keepNext w:val="0"/>
              <w:keepLines w:val="0"/>
              <w:pageBreakBefore w:val="0"/>
              <w:widowControl/>
              <w:numPr>
                <w:ilvl w:val="0"/>
                <w:numId w:val="1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违建信息看板，包括违建巡查信息，违建项目地图定位展示详细，巡查任务完成情况统计，区域及时间分析数据，决策信息等；</w:t>
            </w:r>
          </w:p>
          <w:p w14:paraId="6C1BDF87">
            <w:pPr>
              <w:keepNext w:val="0"/>
              <w:keepLines w:val="0"/>
              <w:pageBreakBefore w:val="0"/>
              <w:widowControl/>
              <w:numPr>
                <w:ilvl w:val="0"/>
                <w:numId w:val="1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系统违建项目（小区、企业）统计信息，包含支持按年度、月份、镇街的违建数量进行数据可视化统计及实时更新；</w:t>
            </w:r>
          </w:p>
          <w:p w14:paraId="46574598">
            <w:pPr>
              <w:keepNext w:val="0"/>
              <w:keepLines w:val="0"/>
              <w:pageBreakBefore w:val="0"/>
              <w:widowControl/>
              <w:numPr>
                <w:ilvl w:val="0"/>
                <w:numId w:val="1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系统中队账号对违建来源（信访举报、巡查发现、上级交办、其他）、小区名称、违建地点、当事人基本信息（是否党员干部）、违建类型（砖混、阳光房、扩建、其他）、违建状态（新发、存量）违建面积、处置方式（拆除、罚没、其他等）、已处置数量（拆除、罚没、其他）、已处置面积（拆除、罚没、其他）、所属岗亭、巡查人员姓名等数据进行手动录入，形成一区一档；支持根据镇街、小区名称、违建类型、岗亭、责任人员、信息来源、处置时间、录入时间、违建状态、是否党员干部等条件进行检索；</w:t>
            </w:r>
          </w:p>
          <w:p w14:paraId="5E49670F">
            <w:pPr>
              <w:keepNext w:val="0"/>
              <w:keepLines w:val="0"/>
              <w:pageBreakBefore w:val="0"/>
              <w:widowControl/>
              <w:numPr>
                <w:ilvl w:val="0"/>
                <w:numId w:val="1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系统中队账号对违建来源（信访举报、巡查发现、上级交办、其他）、企业名称、违建地点、法人基本信息（姓名、联系方式、是否党员干部）、合法建筑占地面积、合法建筑面积、违建数量、违建处置事件、已处置违建情况（1：补办、行政处罚；2：两报告一承诺；3：拆除）面积、省应用场景编号、其他情况说明、责任人员等数据进行手动录入，形成一企一档；支持根据镇街、企业名称、处置时间、录入时间、已处置违建情况等条件进行检索；</w:t>
            </w:r>
          </w:p>
          <w:p w14:paraId="65C68770">
            <w:pPr>
              <w:keepNext w:val="0"/>
              <w:keepLines w:val="0"/>
              <w:pageBreakBefore w:val="0"/>
              <w:widowControl/>
              <w:numPr>
                <w:ilvl w:val="0"/>
                <w:numId w:val="1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支持整改过程图文数据上传（处置前、处置后），操作记录后台留痕；依据事件分析数据，按来源、领域、属地进行分类统计，形成可视化图表；</w:t>
            </w:r>
          </w:p>
          <w:p w14:paraId="566CE099">
            <w:pPr>
              <w:keepNext w:val="0"/>
              <w:keepLines w:val="0"/>
              <w:pageBreakBefore w:val="0"/>
              <w:widowControl/>
              <w:numPr>
                <w:ilvl w:val="0"/>
                <w:numId w:val="1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支持根据所选关键词进行筛选，数据导出，生成电子数据报表；</w:t>
            </w:r>
          </w:p>
        </w:tc>
      </w:tr>
      <w:tr w14:paraId="5E04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noWrap/>
            <w:vAlign w:val="center"/>
          </w:tcPr>
          <w:p w14:paraId="5054A679">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487" w:type="pct"/>
            <w:noWrap w:val="0"/>
            <w:vAlign w:val="center"/>
          </w:tcPr>
          <w:p w14:paraId="5572AB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大综合一体化</w:t>
            </w:r>
          </w:p>
        </w:tc>
        <w:tc>
          <w:tcPr>
            <w:tcW w:w="1052" w:type="pct"/>
            <w:gridSpan w:val="2"/>
            <w:noWrap w:val="0"/>
            <w:vAlign w:val="center"/>
          </w:tcPr>
          <w:p w14:paraId="49860D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展示模块</w:t>
            </w:r>
          </w:p>
        </w:tc>
        <w:tc>
          <w:tcPr>
            <w:tcW w:w="3119" w:type="pct"/>
            <w:noWrap w:val="0"/>
            <w:vAlign w:val="center"/>
          </w:tcPr>
          <w:p w14:paraId="1FA7C79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支持跳转至绍兴市局统建的诸暨市的大综合一体化界面，同步显示事项、处罚事项、金额等数据；</w:t>
            </w:r>
          </w:p>
          <w:p w14:paraId="156FF7C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支持数据的可视化图文排列展示；</w:t>
            </w:r>
          </w:p>
        </w:tc>
      </w:tr>
      <w:tr w14:paraId="3A28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restart"/>
            <w:noWrap/>
            <w:vAlign w:val="center"/>
          </w:tcPr>
          <w:p w14:paraId="44C8C18C">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487" w:type="pct"/>
            <w:vMerge w:val="restart"/>
            <w:noWrap w:val="0"/>
            <w:vAlign w:val="center"/>
          </w:tcPr>
          <w:p w14:paraId="77D193D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基础管控系统</w:t>
            </w:r>
          </w:p>
        </w:tc>
        <w:tc>
          <w:tcPr>
            <w:tcW w:w="1052" w:type="pct"/>
            <w:gridSpan w:val="2"/>
            <w:noWrap w:val="0"/>
            <w:vAlign w:val="center"/>
          </w:tcPr>
          <w:p w14:paraId="1AA331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基础数据库</w:t>
            </w:r>
          </w:p>
        </w:tc>
        <w:tc>
          <w:tcPr>
            <w:tcW w:w="3119" w:type="pct"/>
            <w:noWrap w:val="0"/>
            <w:vAlign w:val="center"/>
          </w:tcPr>
          <w:p w14:paraId="0145A386">
            <w:pPr>
              <w:keepNext w:val="0"/>
              <w:keepLines w:val="0"/>
              <w:pageBreakBefore w:val="0"/>
              <w:widowControl/>
              <w:numPr>
                <w:ilvl w:val="0"/>
                <w:numId w:val="1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基础数据库的构建是信息化管理的基石。它通过系统化地采集和整合各类基础管控对象的信息，还涵盖了更为细致的标签信息和属性信息；</w:t>
            </w:r>
          </w:p>
          <w:p w14:paraId="1A28052F">
            <w:pPr>
              <w:keepNext w:val="0"/>
              <w:keepLines w:val="0"/>
              <w:pageBreakBefore w:val="0"/>
              <w:widowControl/>
              <w:numPr>
                <w:ilvl w:val="0"/>
                <w:numId w:val="1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数据模型设计、数据录入与更新、数据验证、数据查询、、地理信息系统（GIS）集成、权限管理、数据备份与恢复、数据同步、数据分析与报告、移动应用支持、通知与提醒、监管记录管理、违规行为记录、数据可视化、API开发；</w:t>
            </w:r>
          </w:p>
        </w:tc>
      </w:tr>
      <w:tr w14:paraId="00FE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102C30E0">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638CE231">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25C478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数据下派</w:t>
            </w:r>
          </w:p>
        </w:tc>
        <w:tc>
          <w:tcPr>
            <w:tcW w:w="3119" w:type="pct"/>
            <w:noWrap w:val="0"/>
            <w:vAlign w:val="center"/>
          </w:tcPr>
          <w:p w14:paraId="3007ED93">
            <w:pPr>
              <w:keepNext w:val="0"/>
              <w:keepLines w:val="0"/>
              <w:pageBreakBefore w:val="0"/>
              <w:widowControl/>
              <w:numPr>
                <w:ilvl w:val="0"/>
                <w:numId w:val="1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网格员到达指定的现场后，记录巡查数据和拍摄现场照片，上传自己的工作照片和定位信息，这些信息对于管理科室和中队监管网格员的工作动态，确保任务的执行情况和质量。</w:t>
            </w:r>
          </w:p>
          <w:p w14:paraId="09391491">
            <w:pPr>
              <w:keepNext w:val="0"/>
              <w:keepLines w:val="0"/>
              <w:pageBreakBefore w:val="0"/>
              <w:widowControl/>
              <w:numPr>
                <w:ilvl w:val="0"/>
                <w:numId w:val="1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任务创建设计、任务管理、任务分配、任务接收与确认、定位服务集成、位置验证功能、图片上传功能、图片存储，分类等管理功能、任务状态更新、通知提醒功能、任务角色权限管理、任务历史记录管理、任务反馈机制；</w:t>
            </w:r>
          </w:p>
        </w:tc>
      </w:tr>
      <w:tr w14:paraId="2A48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59308DA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183B046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74E341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分级管理</w:t>
            </w:r>
          </w:p>
        </w:tc>
        <w:tc>
          <w:tcPr>
            <w:tcW w:w="3119" w:type="pct"/>
            <w:noWrap w:val="0"/>
            <w:vAlign w:val="center"/>
          </w:tcPr>
          <w:p w14:paraId="41C616FA">
            <w:pPr>
              <w:keepNext w:val="0"/>
              <w:keepLines w:val="0"/>
              <w:pageBreakBefore w:val="0"/>
              <w:widowControl/>
              <w:numPr>
                <w:ilvl w:val="0"/>
                <w:numId w:val="1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根据队员反馈的问题情况，依据严重程度按颜色进行分级管理。</w:t>
            </w:r>
          </w:p>
          <w:p w14:paraId="6AED1E99">
            <w:pPr>
              <w:keepNext w:val="0"/>
              <w:keepLines w:val="0"/>
              <w:pageBreakBefore w:val="0"/>
              <w:widowControl/>
              <w:numPr>
                <w:ilvl w:val="0"/>
                <w:numId w:val="1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问题分类与定义、问题录入、严重程度评估、颜色编码系统、任务分配、定期巡查计划、紧急响应机制、通知系统、问题跟踪、数据可视化、权限管理、移动应用支持；</w:t>
            </w:r>
          </w:p>
        </w:tc>
      </w:tr>
      <w:tr w14:paraId="22AA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12C42147">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restart"/>
            <w:noWrap w:val="0"/>
            <w:vAlign w:val="center"/>
          </w:tcPr>
          <w:p w14:paraId="22A7524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23C96B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网格划分</w:t>
            </w:r>
          </w:p>
        </w:tc>
        <w:tc>
          <w:tcPr>
            <w:tcW w:w="3119" w:type="pct"/>
            <w:noWrap w:val="0"/>
            <w:vAlign w:val="center"/>
          </w:tcPr>
          <w:p w14:paraId="46AAB7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对180名网格员进行有效管理，每个网格员都被分配到特定的网格中，负责该区域内的巡查和管理工作。为了提高管理效率和响应速度，系统会显示每个网格员的详细信息，包括姓名、所属中队、联系方式等。这样的信息展示不仅方便了管理层对网格员的调度和管理，也便于在需要时能够快速联系到负责自己所在区域的网格员。</w:t>
            </w:r>
          </w:p>
        </w:tc>
      </w:tr>
      <w:tr w14:paraId="0B62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67740FC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21614D9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58692D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地图可视化</w:t>
            </w:r>
          </w:p>
        </w:tc>
        <w:tc>
          <w:tcPr>
            <w:tcW w:w="3119" w:type="pct"/>
            <w:noWrap w:val="0"/>
            <w:vAlign w:val="center"/>
          </w:tcPr>
          <w:p w14:paraId="1B74F5FD">
            <w:pPr>
              <w:keepNext w:val="0"/>
              <w:keepLines w:val="0"/>
              <w:pageBreakBefore w:val="0"/>
              <w:widowControl/>
              <w:numPr>
                <w:ilvl w:val="0"/>
                <w:numId w:val="18"/>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通过将数据以图形和颜色的形式直观地展示在地图上，使管理者能够快速获取和理解信息。通过清晰地展示网格员的网格分布，及根据商铺的类别和日常问题出现的频率进行分级显示。地图上的每个商铺图标都可以被点击，进一步展开查看商铺的基本情况和动态工作记录。这些信息可能包括商铺的名称、地址、经营范围、历史问题记录、巡查反馈、整改情况等。通过交互式设计，管理者可以深入了解每个商铺的具体情况，从而做出更加精准的管理决策。</w:t>
            </w:r>
          </w:p>
          <w:p w14:paraId="6797DAF7">
            <w:pPr>
              <w:keepNext w:val="0"/>
              <w:keepLines w:val="0"/>
              <w:pageBreakBefore w:val="0"/>
              <w:widowControl/>
              <w:numPr>
                <w:ilvl w:val="0"/>
                <w:numId w:val="18"/>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地图可视化系统还支持多种功能，如搜索、筛选、查询等，进一步提高城市管理的效率和响应速度。</w:t>
            </w:r>
          </w:p>
        </w:tc>
      </w:tr>
      <w:tr w14:paraId="6A3D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restart"/>
            <w:noWrap/>
            <w:vAlign w:val="center"/>
          </w:tcPr>
          <w:p w14:paraId="2FBBA7AE">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487" w:type="pct"/>
            <w:vMerge w:val="restart"/>
            <w:noWrap w:val="0"/>
            <w:vAlign w:val="center"/>
          </w:tcPr>
          <w:p w14:paraId="1787FD64">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态势感知</w:t>
            </w:r>
          </w:p>
        </w:tc>
        <w:tc>
          <w:tcPr>
            <w:tcW w:w="1052" w:type="pct"/>
            <w:gridSpan w:val="2"/>
            <w:noWrap w:val="0"/>
            <w:vAlign w:val="center"/>
          </w:tcPr>
          <w:p w14:paraId="0BBD4F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指挥大屏</w:t>
            </w:r>
          </w:p>
        </w:tc>
        <w:tc>
          <w:tcPr>
            <w:tcW w:w="3119" w:type="pct"/>
            <w:noWrap w:val="0"/>
            <w:vAlign w:val="center"/>
          </w:tcPr>
          <w:p w14:paraId="040D19A3">
            <w:pPr>
              <w:keepNext w:val="0"/>
              <w:keepLines w:val="0"/>
              <w:pageBreakBefore w:val="0"/>
              <w:widowControl/>
              <w:numPr>
                <w:ilvl w:val="0"/>
                <w:numId w:val="1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对接对讲机模块，接入获取队员对讲机定位及在线等信息；</w:t>
            </w:r>
          </w:p>
          <w:p w14:paraId="6AA67FF5">
            <w:pPr>
              <w:keepNext w:val="0"/>
              <w:keepLines w:val="0"/>
              <w:pageBreakBefore w:val="0"/>
              <w:widowControl/>
              <w:numPr>
                <w:ilvl w:val="0"/>
                <w:numId w:val="1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对接执法仪管理模块，接入获取队员执法仪定位及在线、实时视频、轨迹等信息；</w:t>
            </w:r>
          </w:p>
          <w:p w14:paraId="1984E363">
            <w:pPr>
              <w:keepNext w:val="0"/>
              <w:keepLines w:val="0"/>
              <w:pageBreakBefore w:val="0"/>
              <w:widowControl/>
              <w:numPr>
                <w:ilvl w:val="0"/>
                <w:numId w:val="1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对接视频监控信息模块，接入获取城市管理重点视频定位、画面等信息；</w:t>
            </w:r>
          </w:p>
          <w:p w14:paraId="75585571">
            <w:pPr>
              <w:keepNext w:val="0"/>
              <w:keepLines w:val="0"/>
              <w:pageBreakBefore w:val="0"/>
              <w:widowControl/>
              <w:numPr>
                <w:ilvl w:val="0"/>
                <w:numId w:val="1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对接片区网格划分模块，接入显示网格区域、网格人员等信息；</w:t>
            </w:r>
          </w:p>
          <w:p w14:paraId="5FAB95D2">
            <w:pPr>
              <w:keepNext w:val="0"/>
              <w:keepLines w:val="0"/>
              <w:pageBreakBefore w:val="0"/>
              <w:widowControl/>
              <w:numPr>
                <w:ilvl w:val="0"/>
                <w:numId w:val="1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对接最新行政执法事件信息模块、实时滚动展示事件处置数据、实时展示每日办结情况；</w:t>
            </w:r>
          </w:p>
          <w:p w14:paraId="1BAC6A09">
            <w:pPr>
              <w:keepNext w:val="0"/>
              <w:keepLines w:val="0"/>
              <w:pageBreakBefore w:val="0"/>
              <w:widowControl/>
              <w:numPr>
                <w:ilvl w:val="0"/>
                <w:numId w:val="1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对接接入使用方现有无人机设备，实时展示设备作业状态信息；</w:t>
            </w:r>
          </w:p>
          <w:p w14:paraId="6EE404C9">
            <w:pPr>
              <w:keepNext w:val="0"/>
              <w:keepLines w:val="0"/>
              <w:pageBreakBefore w:val="0"/>
              <w:widowControl/>
              <w:numPr>
                <w:ilvl w:val="0"/>
                <w:numId w:val="1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对接新增无人机自动机库设备，实时展示设备作业状态信息、实时飞行轨迹；</w:t>
            </w:r>
          </w:p>
          <w:p w14:paraId="427F5522">
            <w:pPr>
              <w:keepNext w:val="0"/>
              <w:keepLines w:val="0"/>
              <w:pageBreakBefore w:val="0"/>
              <w:widowControl/>
              <w:numPr>
                <w:ilvl w:val="0"/>
                <w:numId w:val="1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点位覆盖范围展示，包含：可视化点位图标单元、实时覆盖状态单元、区域显示单元、颜色编码覆盖单元；</w:t>
            </w:r>
          </w:p>
          <w:p w14:paraId="00972717">
            <w:pPr>
              <w:keepNext w:val="0"/>
              <w:keepLines w:val="0"/>
              <w:pageBreakBefore w:val="0"/>
              <w:widowControl/>
              <w:numPr>
                <w:ilvl w:val="0"/>
                <w:numId w:val="1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点位状态更新获取，包含：自动更新点位单元、数据关联接口、点位信息查询及历史覆盖记录组件；</w:t>
            </w:r>
          </w:p>
          <w:p w14:paraId="5CFA72EF">
            <w:pPr>
              <w:keepNext w:val="0"/>
              <w:keepLines w:val="0"/>
              <w:pageBreakBefore w:val="0"/>
              <w:widowControl/>
              <w:numPr>
                <w:ilvl w:val="0"/>
                <w:numId w:val="1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可视化统计图表，实现资源的集中展示。包括空中飞行轨迹、每日飞行里程统计、每日巡查任务数量等；地面端巡查设备的定位及在线情况；实时事件信息滚动播放；识别问题信息弹窗预警；</w:t>
            </w:r>
          </w:p>
          <w:p w14:paraId="67F575DF">
            <w:pPr>
              <w:keepNext w:val="0"/>
              <w:keepLines w:val="0"/>
              <w:pageBreakBefore w:val="0"/>
              <w:widowControl/>
              <w:numPr>
                <w:ilvl w:val="0"/>
                <w:numId w:val="1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实时位置追踪单元，监控设备实时地图定位；</w:t>
            </w:r>
          </w:p>
          <w:p w14:paraId="6BCD83FE">
            <w:pPr>
              <w:keepNext w:val="0"/>
              <w:keepLines w:val="0"/>
              <w:pageBreakBefore w:val="0"/>
              <w:widowControl/>
              <w:numPr>
                <w:ilvl w:val="0"/>
                <w:numId w:val="1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底图图源切换，可加载影像、航线，首页地图空域与区域网格显示；</w:t>
            </w:r>
          </w:p>
          <w:p w14:paraId="3F1E7614">
            <w:pPr>
              <w:keepNext w:val="0"/>
              <w:keepLines w:val="0"/>
              <w:pageBreakBefore w:val="0"/>
              <w:widowControl/>
              <w:numPr>
                <w:ilvl w:val="0"/>
                <w:numId w:val="1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嵌套地理围栏组件，实现对应网格化对应功能；</w:t>
            </w:r>
          </w:p>
        </w:tc>
      </w:tr>
      <w:tr w14:paraId="355D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446A8000">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6FD68276">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31B7FE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巡查设备管控</w:t>
            </w:r>
          </w:p>
        </w:tc>
        <w:tc>
          <w:tcPr>
            <w:tcW w:w="3119" w:type="pct"/>
            <w:noWrap w:val="0"/>
            <w:vAlign w:val="center"/>
          </w:tcPr>
          <w:p w14:paraId="73C5E503">
            <w:pPr>
              <w:keepNext w:val="0"/>
              <w:keepLines w:val="0"/>
              <w:pageBreakBefore w:val="0"/>
              <w:widowControl/>
              <w:numPr>
                <w:ilvl w:val="0"/>
                <w:numId w:val="2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支持在GIS地图上实时查看每台空中巡查设备的图传与数传信息，并允许用户通过系统对空中设备云台镜头进行控制。包括实现在线设备如执法仪、对讲机等设备的远程管控；</w:t>
            </w:r>
          </w:p>
          <w:p w14:paraId="37D6B11E">
            <w:pPr>
              <w:keepNext w:val="0"/>
              <w:keepLines w:val="0"/>
              <w:pageBreakBefore w:val="0"/>
              <w:widowControl/>
              <w:numPr>
                <w:ilvl w:val="0"/>
                <w:numId w:val="2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支持接入并集中展示各设备的在线视频数据，包括多路视频同屏展示、进行云台镜头控制的功能。</w:t>
            </w:r>
          </w:p>
          <w:p w14:paraId="28744BE5">
            <w:pPr>
              <w:keepNext w:val="0"/>
              <w:keepLines w:val="0"/>
              <w:pageBreakBefore w:val="0"/>
              <w:widowControl/>
              <w:numPr>
                <w:ilvl w:val="0"/>
                <w:numId w:val="2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无人机自动机库设备管理，实时监管飞行设备状态，支持远程操控飞行、远程云台和喊话控制，从而保障巡查任务的正常开展；</w:t>
            </w:r>
          </w:p>
        </w:tc>
      </w:tr>
      <w:tr w14:paraId="4059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restart"/>
            <w:noWrap/>
            <w:vAlign w:val="center"/>
          </w:tcPr>
          <w:p w14:paraId="727E1729">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w:t>
            </w:r>
          </w:p>
        </w:tc>
        <w:tc>
          <w:tcPr>
            <w:tcW w:w="487" w:type="pct"/>
            <w:vMerge w:val="restart"/>
            <w:noWrap w:val="0"/>
            <w:vAlign w:val="center"/>
          </w:tcPr>
          <w:p w14:paraId="092E1759">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执法航线定制化开发</w:t>
            </w:r>
          </w:p>
        </w:tc>
        <w:tc>
          <w:tcPr>
            <w:tcW w:w="1052" w:type="pct"/>
            <w:gridSpan w:val="2"/>
            <w:noWrap w:val="0"/>
            <w:vAlign w:val="center"/>
          </w:tcPr>
          <w:p w14:paraId="284939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执法航线规划</w:t>
            </w:r>
          </w:p>
        </w:tc>
        <w:tc>
          <w:tcPr>
            <w:tcW w:w="3119" w:type="pct"/>
            <w:noWrap w:val="0"/>
            <w:vAlign w:val="center"/>
          </w:tcPr>
          <w:p w14:paraId="6F7DF320">
            <w:pPr>
              <w:keepNext w:val="0"/>
              <w:keepLines w:val="0"/>
              <w:pageBreakBefore w:val="0"/>
              <w:widowControl/>
              <w:numPr>
                <w:ilvl w:val="0"/>
                <w:numId w:val="2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飞行任务管理功能：包括对不同类型飞行任务的增、删、改、查等管理操作，同时还需支持通过不同的标签或任务类型实现对机库任务的分组管理。</w:t>
            </w:r>
          </w:p>
          <w:p w14:paraId="4FD67325">
            <w:pPr>
              <w:keepNext w:val="0"/>
              <w:keepLines w:val="0"/>
              <w:pageBreakBefore w:val="0"/>
              <w:widowControl/>
              <w:numPr>
                <w:ilvl w:val="0"/>
                <w:numId w:val="2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机库任务管理：选择机库可查看该机库下的已有任务，选择任务可进行预览、编辑、删除、复制等操作；</w:t>
            </w:r>
          </w:p>
          <w:p w14:paraId="5FBA8BED">
            <w:pPr>
              <w:keepNext w:val="0"/>
              <w:keepLines w:val="0"/>
              <w:pageBreakBefore w:val="0"/>
              <w:widowControl/>
              <w:numPr>
                <w:ilvl w:val="0"/>
                <w:numId w:val="2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新建航线任务：航线任务支持2D地图场景下新建航线任务；任务航线预览、再编辑、删除操作；航线任务按自定义标签分组；航线任务按任务模式分类筛选；航线详情查看，包括航点数量、航线总长、预计飞行时间、预计拍照数；拍照/录像点自定义设置，实现照片/视频自动重命名；拍照点图片，支持照片自动进入分析模块分析。</w:t>
            </w:r>
          </w:p>
          <w:p w14:paraId="67B658FF">
            <w:pPr>
              <w:keepNext w:val="0"/>
              <w:keepLines w:val="0"/>
              <w:pageBreakBefore w:val="0"/>
              <w:widowControl/>
              <w:numPr>
                <w:ilvl w:val="0"/>
                <w:numId w:val="2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支持系统端手动绘制巡查路线，设定巡查点位、空中巡查高度、对地镜头拍摄角度、空中巡查动作，如拍照、录像等，实现巡查路线的规划，通过存储至航线库内进行管理；</w:t>
            </w:r>
          </w:p>
          <w:p w14:paraId="4680205B">
            <w:pPr>
              <w:keepNext w:val="0"/>
              <w:keepLines w:val="0"/>
              <w:pageBreakBefore w:val="0"/>
              <w:widowControl/>
              <w:numPr>
                <w:ilvl w:val="0"/>
                <w:numId w:val="2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支持精细化动作设置，包括配置飞行速度、飞行高度、云台镜头俯仰角度；</w:t>
            </w:r>
          </w:p>
          <w:p w14:paraId="6FFE6FBC">
            <w:pPr>
              <w:keepNext w:val="0"/>
              <w:keepLines w:val="0"/>
              <w:pageBreakBefore w:val="0"/>
              <w:widowControl/>
              <w:numPr>
                <w:ilvl w:val="0"/>
                <w:numId w:val="2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支持根据巡查内容设置各个巡查点的空中巡查动作，包括悬停、对地镜头角度、镜头变焦、录像、拍照、识别等动作，实现每一条巡查航线的自定义规划。</w:t>
            </w:r>
          </w:p>
        </w:tc>
      </w:tr>
      <w:tr w14:paraId="1D52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62ACDF06">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012FE4BD">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107DA9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航线任务设置</w:t>
            </w:r>
          </w:p>
        </w:tc>
        <w:tc>
          <w:tcPr>
            <w:tcW w:w="3119" w:type="pct"/>
            <w:noWrap w:val="0"/>
            <w:vAlign w:val="center"/>
          </w:tcPr>
          <w:p w14:paraId="10CAEF7E">
            <w:pPr>
              <w:keepNext w:val="0"/>
              <w:keepLines w:val="0"/>
              <w:pageBreakBefore w:val="0"/>
              <w:widowControl/>
              <w:numPr>
                <w:ilvl w:val="0"/>
                <w:numId w:val="2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支持通过以kmz格式将巡查路线导入系统，从系统端派发至指定飞行器，执行空中巡查任务；</w:t>
            </w:r>
          </w:p>
          <w:p w14:paraId="3D04B37B">
            <w:pPr>
              <w:keepNext w:val="0"/>
              <w:keepLines w:val="0"/>
              <w:pageBreakBefore w:val="0"/>
              <w:widowControl/>
              <w:numPr>
                <w:ilvl w:val="0"/>
                <w:numId w:val="2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全景采集：导入采集全景航线，可支持不少于3张全景的拍摄。</w:t>
            </w:r>
          </w:p>
          <w:p w14:paraId="655C9A02">
            <w:pPr>
              <w:keepNext w:val="0"/>
              <w:keepLines w:val="0"/>
              <w:pageBreakBefore w:val="0"/>
              <w:widowControl/>
              <w:numPr>
                <w:ilvl w:val="0"/>
                <w:numId w:val="2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线状巡视：导入适用线状巡检类型航线，如道路、人行道巡视，提供定时拍照与录像拍摄两种模式，支持绑定对应识别算法；</w:t>
            </w:r>
          </w:p>
          <w:p w14:paraId="4A39B744">
            <w:pPr>
              <w:keepNext w:val="0"/>
              <w:keepLines w:val="0"/>
              <w:pageBreakBefore w:val="0"/>
              <w:widowControl/>
              <w:numPr>
                <w:ilvl w:val="0"/>
                <w:numId w:val="2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面状航视：导入适用面状巡检类型航线，如小区、厂区巡视，提供定时拍照与录像拍摄两种模式，支持绑定对应识别算法；</w:t>
            </w:r>
          </w:p>
          <w:p w14:paraId="33B34353">
            <w:pPr>
              <w:keepNext w:val="0"/>
              <w:keepLines w:val="0"/>
              <w:pageBreakBefore w:val="0"/>
              <w:widowControl/>
              <w:numPr>
                <w:ilvl w:val="0"/>
                <w:numId w:val="2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航点飞行：导入航点飞行任务，支持航点动作、机头朝向、云台角度的配置。</w:t>
            </w:r>
          </w:p>
          <w:p w14:paraId="655EF626">
            <w:pPr>
              <w:keepNext w:val="0"/>
              <w:keepLines w:val="0"/>
              <w:pageBreakBefore w:val="0"/>
              <w:widowControl/>
              <w:numPr>
                <w:ilvl w:val="0"/>
                <w:numId w:val="2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信息设定：支持航线任务多参数设置。</w:t>
            </w:r>
          </w:p>
        </w:tc>
      </w:tr>
      <w:tr w14:paraId="77EF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52DF2585">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03E4E571">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748159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航线任务分配</w:t>
            </w:r>
          </w:p>
        </w:tc>
        <w:tc>
          <w:tcPr>
            <w:tcW w:w="3119" w:type="pct"/>
            <w:noWrap w:val="0"/>
            <w:vAlign w:val="center"/>
          </w:tcPr>
          <w:p w14:paraId="06F108A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支持设定任务的巡查模式，如立即巡查、按周期巡查、按频次巡查，可根据不同业务场景选择不同任务执行模式；</w:t>
            </w:r>
          </w:p>
        </w:tc>
      </w:tr>
      <w:tr w14:paraId="5D10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5ACC189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629B3E18">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315E16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任务状态监测</w:t>
            </w:r>
          </w:p>
        </w:tc>
        <w:tc>
          <w:tcPr>
            <w:tcW w:w="3119" w:type="pct"/>
            <w:noWrap w:val="0"/>
            <w:vAlign w:val="center"/>
          </w:tcPr>
          <w:p w14:paraId="4B99BB74">
            <w:pPr>
              <w:keepNext w:val="0"/>
              <w:keepLines w:val="0"/>
              <w:pageBreakBefore w:val="0"/>
              <w:widowControl/>
              <w:numPr>
                <w:ilvl w:val="0"/>
                <w:numId w:val="2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支持任务态势感知，通过GIS地图展示飞行设备的坐标信息位置、当前作业状态、当前巡查航线、当前巡查发现的识别结果详情及定位；支持查看正在执行巡查任务的飞行器直播画面、飞行器的实时坐标位置。</w:t>
            </w:r>
          </w:p>
          <w:p w14:paraId="6C72268C">
            <w:pPr>
              <w:keepNext w:val="0"/>
              <w:keepLines w:val="0"/>
              <w:pageBreakBefore w:val="0"/>
              <w:widowControl/>
              <w:numPr>
                <w:ilvl w:val="0"/>
                <w:numId w:val="2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支持查看任务完成情况及任务回顾，包含历史巡查轨迹及历史巡查画面；</w:t>
            </w:r>
          </w:p>
        </w:tc>
      </w:tr>
      <w:tr w14:paraId="65F7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restart"/>
            <w:noWrap/>
            <w:vAlign w:val="center"/>
          </w:tcPr>
          <w:p w14:paraId="338621D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487" w:type="pct"/>
            <w:vMerge w:val="restart"/>
            <w:noWrap w:val="0"/>
            <w:vAlign w:val="center"/>
          </w:tcPr>
          <w:p w14:paraId="0818034D">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飞行控制</w:t>
            </w:r>
          </w:p>
        </w:tc>
        <w:tc>
          <w:tcPr>
            <w:tcW w:w="1052" w:type="pct"/>
            <w:gridSpan w:val="2"/>
            <w:noWrap w:val="0"/>
            <w:vAlign w:val="center"/>
          </w:tcPr>
          <w:p w14:paraId="1E07DA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流程控制</w:t>
            </w:r>
          </w:p>
        </w:tc>
        <w:tc>
          <w:tcPr>
            <w:tcW w:w="3119" w:type="pct"/>
            <w:noWrap w:val="0"/>
            <w:vAlign w:val="center"/>
          </w:tcPr>
          <w:p w14:paraId="6DC0E04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负责远程下发指令给机库执行远程机械任务。</w:t>
            </w:r>
          </w:p>
          <w:p w14:paraId="023094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实现远程控制一键开启功能，电池充电完成后可执行，为舱门打开、平台升起、归中释放的合并动作；</w:t>
            </w:r>
          </w:p>
          <w:p w14:paraId="7F849A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支持一键开启的反向流程，具体包括飞行器降落、舱门关闭等自动化控制功能的实现。</w:t>
            </w:r>
          </w:p>
          <w:p w14:paraId="5ED69EB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实现一键终止任务启动功能，点击该指令，将终止机库当前任务启动流程动作。</w:t>
            </w:r>
          </w:p>
          <w:p w14:paraId="0DA3E96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执行远程控制的自动回收流程，系统需支持终止结束任务功能，点击该指令，将终止机库当前任务。</w:t>
            </w:r>
          </w:p>
        </w:tc>
      </w:tr>
      <w:tr w14:paraId="4116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noWrap/>
            <w:vAlign w:val="center"/>
          </w:tcPr>
          <w:p w14:paraId="18EEF3FE">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1FE808DF">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497FB4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机库常规控制</w:t>
            </w:r>
          </w:p>
        </w:tc>
        <w:tc>
          <w:tcPr>
            <w:tcW w:w="3119" w:type="pct"/>
            <w:noWrap w:val="0"/>
            <w:vAlign w:val="center"/>
          </w:tcPr>
          <w:p w14:paraId="66F6EEB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舱门打开/关闭：手动控制机库舱门打开关闭。</w:t>
            </w:r>
          </w:p>
          <w:p w14:paraId="03FD0E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平台升起/降落：手动控制升降平台升降。需归中夹紧后才可生效</w:t>
            </w:r>
          </w:p>
          <w:p w14:paraId="394D289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归中夹紧/释放：手动控制归中装载夹紧释放。</w:t>
            </w:r>
          </w:p>
          <w:p w14:paraId="4CD61F3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空调打开/关闭：控制机库内部空调的打开关闭。</w:t>
            </w:r>
          </w:p>
        </w:tc>
      </w:tr>
      <w:tr w14:paraId="4404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510F2737">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74D879E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555EC1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作业飞行控制</w:t>
            </w:r>
          </w:p>
        </w:tc>
        <w:tc>
          <w:tcPr>
            <w:tcW w:w="3119" w:type="pct"/>
            <w:noWrap w:val="0"/>
            <w:vAlign w:val="center"/>
          </w:tcPr>
          <w:p w14:paraId="0CC29D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实现无人机的实时远程控制，具体包括一键起飞、RTK重连、任务重发、遥控器对频、终止飞行、遥控器开关、云台切换等功能。</w:t>
            </w:r>
          </w:p>
        </w:tc>
      </w:tr>
      <w:tr w14:paraId="2819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66C87A84">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1C41F60A">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315CA1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降落控制</w:t>
            </w:r>
          </w:p>
        </w:tc>
        <w:tc>
          <w:tcPr>
            <w:tcW w:w="3119" w:type="pct"/>
            <w:noWrap w:val="0"/>
            <w:vAlign w:val="center"/>
          </w:tcPr>
          <w:p w14:paraId="141E52BE">
            <w:pPr>
              <w:keepNext w:val="0"/>
              <w:keepLines w:val="0"/>
              <w:pageBreakBefore w:val="0"/>
              <w:widowControl/>
              <w:numPr>
                <w:ilvl w:val="0"/>
                <w:numId w:val="2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在飞行过程中出现突发情况需要紧急降落时，可以使用降落控制指令模块切换成手动控制无人机降落来保障无人机安全。</w:t>
            </w:r>
          </w:p>
          <w:p w14:paraId="2101A218">
            <w:pPr>
              <w:keepNext w:val="0"/>
              <w:keepLines w:val="0"/>
              <w:pageBreakBefore w:val="0"/>
              <w:widowControl/>
              <w:numPr>
                <w:ilvl w:val="0"/>
                <w:numId w:val="2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支持一键回巢功能，遇到任务需提前终止或其它紧急情况时，无人机将原地升空到起降高度重新回巢（需确保无人机开机且机库处于等待降落状态）。可用于降偏或异地归巢使用。</w:t>
            </w:r>
          </w:p>
          <w:p w14:paraId="72838782">
            <w:pPr>
              <w:keepNext w:val="0"/>
              <w:keepLines w:val="0"/>
              <w:pageBreakBefore w:val="0"/>
              <w:widowControl/>
              <w:numPr>
                <w:ilvl w:val="0"/>
                <w:numId w:val="2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支持一键回巢功能，紧急情况下无人机已无法返航时。可远程强制控制无人机原地降落。</w:t>
            </w:r>
          </w:p>
        </w:tc>
      </w:tr>
      <w:tr w14:paraId="32A8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5D39C884">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16AD49C5">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19F0F2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飞行器存储控制</w:t>
            </w:r>
          </w:p>
        </w:tc>
        <w:tc>
          <w:tcPr>
            <w:tcW w:w="3119" w:type="pct"/>
            <w:noWrap w:val="0"/>
            <w:vAlign w:val="center"/>
          </w:tcPr>
          <w:p w14:paraId="5C6E48C6">
            <w:pPr>
              <w:keepNext w:val="0"/>
              <w:keepLines w:val="0"/>
              <w:pageBreakBefore w:val="0"/>
              <w:widowControl/>
              <w:numPr>
                <w:ilvl w:val="0"/>
                <w:numId w:val="2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机库存储格式化：需支持远程控制机库存储进行格式化；</w:t>
            </w:r>
          </w:p>
          <w:p w14:paraId="0D3D94F2">
            <w:pPr>
              <w:keepNext w:val="0"/>
              <w:keepLines w:val="0"/>
              <w:pageBreakBefore w:val="0"/>
              <w:widowControl/>
              <w:numPr>
                <w:ilvl w:val="0"/>
                <w:numId w:val="2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无人机SD卡格式化：需支持远程控制无人机sd媒体存储格式化；</w:t>
            </w:r>
          </w:p>
        </w:tc>
      </w:tr>
      <w:tr w14:paraId="46F2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4E8BDFCE">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632A10B6">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7CEE16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快捷控制</w:t>
            </w:r>
          </w:p>
        </w:tc>
        <w:tc>
          <w:tcPr>
            <w:tcW w:w="3119" w:type="pct"/>
            <w:noWrap w:val="0"/>
            <w:vAlign w:val="center"/>
          </w:tcPr>
          <w:p w14:paraId="54CC19FD">
            <w:pPr>
              <w:keepNext w:val="0"/>
              <w:keepLines w:val="0"/>
              <w:pageBreakBefore w:val="0"/>
              <w:widowControl/>
              <w:numPr>
                <w:ilvl w:val="0"/>
                <w:numId w:val="2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需支持一键返航功能，遇到紧急情况或电量耗尽时，系统支持远程控制升空返航、原路返航、直线返航；</w:t>
            </w:r>
          </w:p>
          <w:p w14:paraId="33DE14CD">
            <w:pPr>
              <w:keepNext w:val="0"/>
              <w:keepLines w:val="0"/>
              <w:pageBreakBefore w:val="0"/>
              <w:widowControl/>
              <w:numPr>
                <w:ilvl w:val="0"/>
                <w:numId w:val="2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支持暂停飞行功能，任何情况下终止一切飞行动作；可手动虚拟摇杆控制或返航。（继续任务：若中断时处于任务状态，点击继续任务，将返回上一个任务点后继续执行任务）。</w:t>
            </w:r>
          </w:p>
          <w:p w14:paraId="4BBD1C60">
            <w:pPr>
              <w:keepNext w:val="0"/>
              <w:keepLines w:val="0"/>
              <w:pageBreakBefore w:val="0"/>
              <w:widowControl/>
              <w:numPr>
                <w:ilvl w:val="0"/>
                <w:numId w:val="2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支持终止飞行功能，支持终止任务，飞行模式变为虚拟摇杆，任务中断，可手动虚拟摇杆控制或返航。（继续任务：若中断时处于任务状态，点击继续任务，将返回上一个任务点后继续执行任务）。</w:t>
            </w:r>
          </w:p>
          <w:p w14:paraId="4D6B29FB">
            <w:pPr>
              <w:keepNext w:val="0"/>
              <w:keepLines w:val="0"/>
              <w:pageBreakBefore w:val="0"/>
              <w:widowControl/>
              <w:numPr>
                <w:ilvl w:val="0"/>
                <w:numId w:val="2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集成无人机云台控制功能，包括俯仰角（上下）、水平角控制（左右）以及变焦、切换红外等。</w:t>
            </w:r>
          </w:p>
        </w:tc>
      </w:tr>
      <w:tr w14:paraId="3CF7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752CD8CE">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631852FA">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17FCC1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手动控制</w:t>
            </w:r>
          </w:p>
        </w:tc>
        <w:tc>
          <w:tcPr>
            <w:tcW w:w="3119" w:type="pct"/>
            <w:noWrap w:val="0"/>
            <w:vAlign w:val="center"/>
          </w:tcPr>
          <w:p w14:paraId="1780DD0A">
            <w:pPr>
              <w:keepNext w:val="0"/>
              <w:keepLines w:val="0"/>
              <w:pageBreakBefore w:val="0"/>
              <w:widowControl/>
              <w:numPr>
                <w:ilvl w:val="0"/>
                <w:numId w:val="2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需集成虚拟摇杆控制功能，终止自动作业飞行任务后，通过键盘控制无人机上下、旋转方向、前后左右飞行。</w:t>
            </w:r>
          </w:p>
          <w:p w14:paraId="0736579E">
            <w:pPr>
              <w:keepNext w:val="0"/>
              <w:keepLines w:val="0"/>
              <w:pageBreakBefore w:val="0"/>
              <w:widowControl/>
              <w:numPr>
                <w:ilvl w:val="0"/>
                <w:numId w:val="2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需支持指点飞行功能，在地图指定一点，输入飞行高度和速度后，直线飞往该点。</w:t>
            </w:r>
          </w:p>
          <w:p w14:paraId="4241D693">
            <w:pPr>
              <w:keepNext w:val="0"/>
              <w:keepLines w:val="0"/>
              <w:pageBreakBefore w:val="0"/>
              <w:widowControl/>
              <w:numPr>
                <w:ilvl w:val="0"/>
                <w:numId w:val="2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需支持摄像头负载的控制功能，实现镜头旋转、焦距缩放、定点拍照等功能。</w:t>
            </w:r>
          </w:p>
        </w:tc>
      </w:tr>
      <w:tr w14:paraId="2FED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18A028FF">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7F66BAB9">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21729D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负载控制</w:t>
            </w:r>
          </w:p>
        </w:tc>
        <w:tc>
          <w:tcPr>
            <w:tcW w:w="3119" w:type="pct"/>
            <w:noWrap w:val="0"/>
            <w:vAlign w:val="center"/>
          </w:tcPr>
          <w:p w14:paraId="4E2BED79">
            <w:pPr>
              <w:keepNext w:val="0"/>
              <w:keepLines w:val="0"/>
              <w:pageBreakBefore w:val="0"/>
              <w:widowControl/>
              <w:numPr>
                <w:ilvl w:val="0"/>
                <w:numId w:val="28"/>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支持喊话器负载的控制功能，实现喊话扬声器开闭、音量调节等功能。</w:t>
            </w:r>
          </w:p>
          <w:p w14:paraId="5F8200CC">
            <w:pPr>
              <w:keepNext w:val="0"/>
              <w:keepLines w:val="0"/>
              <w:pageBreakBefore w:val="0"/>
              <w:widowControl/>
              <w:numPr>
                <w:ilvl w:val="0"/>
                <w:numId w:val="28"/>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支持远程实现喊话扬声器开闭、音量调节、播放音频输入、音频播放模式设置等功能。</w:t>
            </w:r>
          </w:p>
        </w:tc>
      </w:tr>
      <w:tr w14:paraId="469F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339" w:type="pct"/>
            <w:vMerge w:val="restart"/>
            <w:noWrap/>
            <w:vAlign w:val="center"/>
          </w:tcPr>
          <w:p w14:paraId="19ECF7D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487" w:type="pct"/>
            <w:vMerge w:val="restart"/>
            <w:noWrap w:val="0"/>
            <w:vAlign w:val="center"/>
          </w:tcPr>
          <w:p w14:paraId="661B0736">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设备管理</w:t>
            </w:r>
          </w:p>
        </w:tc>
        <w:tc>
          <w:tcPr>
            <w:tcW w:w="1052" w:type="pct"/>
            <w:gridSpan w:val="2"/>
            <w:noWrap w:val="0"/>
            <w:vAlign w:val="center"/>
          </w:tcPr>
          <w:p w14:paraId="150E5F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设备列表</w:t>
            </w:r>
          </w:p>
        </w:tc>
        <w:tc>
          <w:tcPr>
            <w:tcW w:w="3119" w:type="pct"/>
            <w:noWrap w:val="0"/>
            <w:vAlign w:val="center"/>
          </w:tcPr>
          <w:p w14:paraId="6595FB2C">
            <w:pPr>
              <w:keepNext w:val="0"/>
              <w:keepLines w:val="0"/>
              <w:pageBreakBefore w:val="0"/>
              <w:widowControl/>
              <w:numPr>
                <w:ilvl w:val="0"/>
                <w:numId w:val="2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机库及移动终端设备列表，支持机库设备名查询、定位地图跳转；</w:t>
            </w:r>
          </w:p>
          <w:p w14:paraId="285BC243">
            <w:pPr>
              <w:keepNext w:val="0"/>
              <w:keepLines w:val="0"/>
              <w:pageBreakBefore w:val="0"/>
              <w:widowControl/>
              <w:numPr>
                <w:ilvl w:val="0"/>
                <w:numId w:val="2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支持机库状态显示，机库定位跳转到地图所在位置；</w:t>
            </w:r>
          </w:p>
          <w:p w14:paraId="152879BA">
            <w:pPr>
              <w:keepNext w:val="0"/>
              <w:keepLines w:val="0"/>
              <w:pageBreakBefore w:val="0"/>
              <w:widowControl/>
              <w:numPr>
                <w:ilvl w:val="0"/>
                <w:numId w:val="2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支持通过机库列表进入相应作业监控界面。实现设备的实时图传查看功能，便于设备的日常运维管理。</w:t>
            </w:r>
          </w:p>
        </w:tc>
      </w:tr>
      <w:tr w14:paraId="1FAB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17F360D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319BE009">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5FD88B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机库信息</w:t>
            </w:r>
          </w:p>
        </w:tc>
        <w:tc>
          <w:tcPr>
            <w:tcW w:w="3119" w:type="pct"/>
            <w:noWrap w:val="0"/>
            <w:vAlign w:val="center"/>
          </w:tcPr>
          <w:p w14:paraId="7C94B8B9">
            <w:pPr>
              <w:keepNext w:val="0"/>
              <w:keepLines w:val="0"/>
              <w:pageBreakBefore w:val="0"/>
              <w:widowControl/>
              <w:numPr>
                <w:ilvl w:val="0"/>
                <w:numId w:val="3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开机连接状态显示，绿色连接，红色未连接；</w:t>
            </w:r>
          </w:p>
          <w:p w14:paraId="1D27423F">
            <w:pPr>
              <w:keepNext w:val="0"/>
              <w:keepLines w:val="0"/>
              <w:pageBreakBefore w:val="0"/>
              <w:widowControl/>
              <w:numPr>
                <w:ilvl w:val="0"/>
                <w:numId w:val="3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信号星数监测及回传、机库作业状态监测及回传、遥控器开关机监测及回传、无人机开关机监测及回传；</w:t>
            </w:r>
          </w:p>
          <w:p w14:paraId="21CF86F5">
            <w:pPr>
              <w:keepNext w:val="0"/>
              <w:keepLines w:val="0"/>
              <w:pageBreakBefore w:val="0"/>
              <w:widowControl/>
              <w:numPr>
                <w:ilvl w:val="0"/>
                <w:numId w:val="3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支持显示机库实时状态详情，如舱内温度，归中状态、数据同步状态等；</w:t>
            </w:r>
          </w:p>
          <w:p w14:paraId="11932698">
            <w:pPr>
              <w:keepNext w:val="0"/>
              <w:keepLines w:val="0"/>
              <w:pageBreakBefore w:val="0"/>
              <w:widowControl/>
              <w:numPr>
                <w:ilvl w:val="0"/>
                <w:numId w:val="3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机库控制器存储、无人机sd卡已用空间监测及回传；</w:t>
            </w:r>
          </w:p>
        </w:tc>
      </w:tr>
      <w:tr w14:paraId="3131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1053FB6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47ADFFB4">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411665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无人机信息</w:t>
            </w:r>
          </w:p>
        </w:tc>
        <w:tc>
          <w:tcPr>
            <w:tcW w:w="3119" w:type="pct"/>
            <w:noWrap w:val="0"/>
            <w:vAlign w:val="center"/>
          </w:tcPr>
          <w:p w14:paraId="7B3DF64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通过与无人机控制平台对接后，可实时获取无人机作业过程中的状态信息，如飞行高度、飞行距离、RTK状态、飞行模式等；</w:t>
            </w:r>
          </w:p>
        </w:tc>
      </w:tr>
      <w:tr w14:paraId="6A2E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6004AFC1">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39D563B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2F8DA6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机库状态筛选</w:t>
            </w:r>
          </w:p>
        </w:tc>
        <w:tc>
          <w:tcPr>
            <w:tcW w:w="3119" w:type="pct"/>
            <w:noWrap w:val="0"/>
            <w:vAlign w:val="center"/>
          </w:tcPr>
          <w:p w14:paraId="440A271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支持对机库在线、工作中、离线分类显示并控制设备列表与地图中机库的显示和隐藏。点击机库列表可实现跳转和进入对应作业监控界面。</w:t>
            </w:r>
          </w:p>
        </w:tc>
      </w:tr>
      <w:tr w14:paraId="2ACC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1101B9A4">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0D5DA6F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5406B3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巡检记录</w:t>
            </w:r>
          </w:p>
        </w:tc>
        <w:tc>
          <w:tcPr>
            <w:tcW w:w="3119" w:type="pct"/>
            <w:noWrap w:val="0"/>
            <w:vAlign w:val="center"/>
          </w:tcPr>
          <w:p w14:paraId="1C57083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支持机库无人机巡检任务记录显示，支持按时间筛选巡检记录，默认显示当前月；总巡检次数、今日巡检次数统计</w:t>
            </w:r>
          </w:p>
        </w:tc>
      </w:tr>
      <w:tr w14:paraId="7760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1B4C3531">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0F8D41BF">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5F949A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巡检计划</w:t>
            </w:r>
          </w:p>
        </w:tc>
        <w:tc>
          <w:tcPr>
            <w:tcW w:w="3119" w:type="pct"/>
            <w:noWrap w:val="0"/>
            <w:vAlign w:val="center"/>
          </w:tcPr>
          <w:p w14:paraId="2BF1D0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飞行计划排班，实现定时周期自动执行巡检任务。支持创建定时计划，预定时间，到期自动执行，创建周期计划，制定循环周期，到期自动执行；查看巡检计划执行情况记录，以日历形式显示；支持计划编辑、改期、取消、删除。</w:t>
            </w:r>
          </w:p>
        </w:tc>
      </w:tr>
      <w:tr w14:paraId="28B6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65612AE5">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0A6B0CE4">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169090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数据统计</w:t>
            </w:r>
          </w:p>
        </w:tc>
        <w:tc>
          <w:tcPr>
            <w:tcW w:w="3119" w:type="pct"/>
            <w:noWrap w:val="0"/>
            <w:vAlign w:val="center"/>
          </w:tcPr>
          <w:p w14:paraId="295C724A">
            <w:pPr>
              <w:keepNext w:val="0"/>
              <w:keepLines w:val="0"/>
              <w:pageBreakBefore w:val="0"/>
              <w:widowControl/>
              <w:numPr>
                <w:ilvl w:val="0"/>
                <w:numId w:val="3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系统需支持对巡检数据、分析数据统计显示。；支持机库无人机日均巡检次数统计；；支持机库巡检次数排序统计；机库数据采集排序统计；机库无人机采集照片、视频总数统计；</w:t>
            </w:r>
          </w:p>
          <w:p w14:paraId="583AB8AA">
            <w:pPr>
              <w:keepNext w:val="0"/>
              <w:keepLines w:val="0"/>
              <w:pageBreakBefore w:val="0"/>
              <w:widowControl/>
              <w:numPr>
                <w:ilvl w:val="0"/>
                <w:numId w:val="3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无人机发现疑似问题预警统计，点击疑似问题列表地图查看问题照片。</w:t>
            </w:r>
          </w:p>
        </w:tc>
      </w:tr>
      <w:tr w14:paraId="7453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noWrap/>
            <w:vAlign w:val="center"/>
          </w:tcPr>
          <w:p w14:paraId="1C1F417A">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w:t>
            </w:r>
          </w:p>
        </w:tc>
        <w:tc>
          <w:tcPr>
            <w:tcW w:w="1540" w:type="pct"/>
            <w:gridSpan w:val="3"/>
            <w:noWrap w:val="0"/>
            <w:vAlign w:val="center"/>
          </w:tcPr>
          <w:p w14:paraId="7B8B12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视频直播</w:t>
            </w:r>
          </w:p>
        </w:tc>
        <w:tc>
          <w:tcPr>
            <w:tcW w:w="3119" w:type="pct"/>
            <w:noWrap w:val="0"/>
            <w:vAlign w:val="center"/>
          </w:tcPr>
          <w:p w14:paraId="7A6325E1">
            <w:pPr>
              <w:keepNext w:val="0"/>
              <w:keepLines w:val="0"/>
              <w:pageBreakBefore w:val="0"/>
              <w:widowControl/>
              <w:numPr>
                <w:ilvl w:val="0"/>
                <w:numId w:val="3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支持视频直播功能，主要是把无人机相机负载和机库的监控视频码流发给平台进行播放；</w:t>
            </w:r>
          </w:p>
          <w:p w14:paraId="0C1358A0">
            <w:pPr>
              <w:keepNext w:val="0"/>
              <w:keepLines w:val="0"/>
              <w:pageBreakBefore w:val="0"/>
              <w:widowControl/>
              <w:numPr>
                <w:ilvl w:val="0"/>
                <w:numId w:val="3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支持多屏直播多机库巢外、巢内、无人机图传画面，支持1、4、6、9分屏切换查看</w:t>
            </w:r>
          </w:p>
        </w:tc>
      </w:tr>
      <w:tr w14:paraId="6C85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noWrap/>
            <w:vAlign w:val="center"/>
          </w:tcPr>
          <w:p w14:paraId="62C7989E">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1540" w:type="pct"/>
            <w:gridSpan w:val="3"/>
            <w:noWrap w:val="0"/>
            <w:vAlign w:val="center"/>
          </w:tcPr>
          <w:p w14:paraId="1A1BF3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媒体库管理</w:t>
            </w:r>
          </w:p>
        </w:tc>
        <w:tc>
          <w:tcPr>
            <w:tcW w:w="3119" w:type="pct"/>
            <w:noWrap w:val="0"/>
            <w:vAlign w:val="center"/>
          </w:tcPr>
          <w:p w14:paraId="728FD72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需支持媒体库管理功能，主要是实现将飞行器上的媒体文件（图片/视频）下载到遥控器/机库的本地存储，然后再通过网络上传到系统平台。媒体上传需包含自动上传和手动上传功能。</w:t>
            </w:r>
          </w:p>
        </w:tc>
      </w:tr>
      <w:tr w14:paraId="3258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noWrap/>
            <w:vAlign w:val="center"/>
          </w:tcPr>
          <w:p w14:paraId="338280D9">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w:t>
            </w:r>
          </w:p>
        </w:tc>
        <w:tc>
          <w:tcPr>
            <w:tcW w:w="1540" w:type="pct"/>
            <w:gridSpan w:val="3"/>
            <w:noWrap w:val="0"/>
            <w:vAlign w:val="center"/>
          </w:tcPr>
          <w:p w14:paraId="49ABAF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远程调试</w:t>
            </w:r>
          </w:p>
        </w:tc>
        <w:tc>
          <w:tcPr>
            <w:tcW w:w="3119" w:type="pct"/>
            <w:noWrap w:val="0"/>
            <w:vAlign w:val="center"/>
          </w:tcPr>
          <w:p w14:paraId="4DD7A9B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支持机库设备的通信、网络远程调试功能，辅助定位解决日常作业过程中出现的功能时效问题；支持远程系统升级；</w:t>
            </w:r>
          </w:p>
        </w:tc>
      </w:tr>
      <w:tr w14:paraId="25D3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restart"/>
            <w:noWrap/>
            <w:vAlign w:val="center"/>
          </w:tcPr>
          <w:p w14:paraId="7285992C">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487" w:type="pct"/>
            <w:vMerge w:val="restart"/>
            <w:noWrap w:val="0"/>
            <w:vAlign w:val="center"/>
          </w:tcPr>
          <w:p w14:paraId="15A77F6E">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识别算法</w:t>
            </w:r>
          </w:p>
        </w:tc>
        <w:tc>
          <w:tcPr>
            <w:tcW w:w="1052" w:type="pct"/>
            <w:gridSpan w:val="2"/>
            <w:noWrap w:val="0"/>
            <w:vAlign w:val="center"/>
          </w:tcPr>
          <w:p w14:paraId="169769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违章目标识别</w:t>
            </w:r>
          </w:p>
        </w:tc>
        <w:tc>
          <w:tcPr>
            <w:tcW w:w="3119" w:type="pct"/>
            <w:noWrap w:val="0"/>
            <w:vAlign w:val="center"/>
          </w:tcPr>
          <w:p w14:paraId="47D991E0">
            <w:pPr>
              <w:keepNext w:val="0"/>
              <w:keepLines w:val="0"/>
              <w:pageBreakBefore w:val="0"/>
              <w:widowControl/>
              <w:numPr>
                <w:ilvl w:val="0"/>
                <w:numId w:val="3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支持违章建筑识别，巡查过程中对建筑楼顶阳光房、彩钢瓦违章建筑进行识别；</w:t>
            </w:r>
          </w:p>
          <w:p w14:paraId="203D71AB">
            <w:pPr>
              <w:keepNext w:val="0"/>
              <w:keepLines w:val="0"/>
              <w:pageBreakBefore w:val="0"/>
              <w:widowControl/>
              <w:numPr>
                <w:ilvl w:val="0"/>
                <w:numId w:val="3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zh-CN" w:eastAsia="zh-CN"/>
                <w14:textFill>
                  <w14:solidFill>
                    <w14:schemeClr w14:val="tx1"/>
                  </w14:solidFill>
                </w14:textFill>
              </w:rPr>
              <w:t>根据各场景AI计算需求，</w:t>
            </w:r>
            <w:r>
              <w:rPr>
                <w:rFonts w:hint="eastAsia" w:ascii="仿宋" w:hAnsi="仿宋" w:eastAsia="仿宋" w:cs="仿宋"/>
                <w:color w:val="000000" w:themeColor="text1"/>
                <w:sz w:val="24"/>
                <w:szCs w:val="24"/>
                <w:highlight w:val="none"/>
                <w:lang w:val="en-US" w:eastAsia="zh-CN"/>
                <w14:textFill>
                  <w14:solidFill>
                    <w14:schemeClr w14:val="tx1"/>
                  </w14:solidFill>
                </w14:textFill>
              </w:rPr>
              <w:t>后台自动</w:t>
            </w:r>
            <w:r>
              <w:rPr>
                <w:rFonts w:hint="eastAsia" w:ascii="仿宋" w:hAnsi="仿宋" w:eastAsia="仿宋" w:cs="仿宋"/>
                <w:color w:val="000000" w:themeColor="text1"/>
                <w:sz w:val="24"/>
                <w:szCs w:val="24"/>
                <w:highlight w:val="none"/>
                <w:lang w:val="zh-CN" w:eastAsia="zh-CN"/>
                <w14:textFill>
                  <w14:solidFill>
                    <w14:schemeClr w14:val="tx1"/>
                  </w14:solidFill>
                </w14:textFill>
              </w:rPr>
              <w:t>将算法模型实时推送下发到指定节点，节点接收到算法模型后，立即按需分配资源，并装载运行算法模型，</w:t>
            </w:r>
            <w:r>
              <w:rPr>
                <w:rFonts w:hint="eastAsia" w:ascii="仿宋" w:hAnsi="仿宋" w:eastAsia="仿宋" w:cs="仿宋"/>
                <w:color w:val="000000" w:themeColor="text1"/>
                <w:sz w:val="24"/>
                <w:szCs w:val="24"/>
                <w:highlight w:val="none"/>
                <w:lang w:val="en-US" w:eastAsia="zh-CN"/>
                <w14:textFill>
                  <w14:solidFill>
                    <w14:schemeClr w14:val="tx1"/>
                  </w14:solidFill>
                </w14:textFill>
              </w:rPr>
              <w:t>算法仓需支持满足多场景、多类型的算法模型装载</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p w14:paraId="79EF8815">
            <w:pPr>
              <w:keepNext w:val="0"/>
              <w:keepLines w:val="0"/>
              <w:pageBreakBefore w:val="0"/>
              <w:widowControl/>
              <w:numPr>
                <w:ilvl w:val="0"/>
                <w:numId w:val="3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▲航线与航点任务与算法模型耦合绑定，支持无人机实现即飞即识别；</w:t>
            </w:r>
          </w:p>
          <w:p w14:paraId="6030B7C1">
            <w:pPr>
              <w:keepNext w:val="0"/>
              <w:keepLines w:val="0"/>
              <w:pageBreakBefore w:val="0"/>
              <w:widowControl/>
              <w:numPr>
                <w:ilvl w:val="0"/>
                <w:numId w:val="3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▲算法仓系统具备时空信息一体化能力，对地目标物实时坐标提取，支持WGS-84、CGCS2000、GCJ-02坐标系适配，提供标准化API接口</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p w14:paraId="3DC7A217">
            <w:pPr>
              <w:keepNext w:val="0"/>
              <w:keepLines w:val="0"/>
              <w:pageBreakBefore w:val="0"/>
              <w:widowControl/>
              <w:numPr>
                <w:ilvl w:val="0"/>
                <w:numId w:val="3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zh-CN" w:eastAsia="zh-CN"/>
                <w14:textFill>
                  <w14:solidFill>
                    <w14:schemeClr w14:val="tx1"/>
                  </w14:solidFill>
                </w14:textFill>
              </w:rPr>
              <w:t>按照</w:t>
            </w:r>
            <w:r>
              <w:rPr>
                <w:rFonts w:hint="eastAsia" w:ascii="仿宋" w:hAnsi="仿宋" w:eastAsia="仿宋" w:cs="仿宋"/>
                <w:color w:val="000000" w:themeColor="text1"/>
                <w:sz w:val="24"/>
                <w:szCs w:val="24"/>
                <w:highlight w:val="none"/>
                <w:lang w:val="en-US" w:eastAsia="zh-CN"/>
                <w14:textFill>
                  <w14:solidFill>
                    <w14:schemeClr w14:val="tx1"/>
                  </w14:solidFill>
                </w14:textFill>
              </w:rPr>
              <w:t>设备</w:t>
            </w:r>
            <w:r>
              <w:rPr>
                <w:rFonts w:hint="eastAsia" w:ascii="仿宋" w:hAnsi="仿宋" w:eastAsia="仿宋" w:cs="仿宋"/>
                <w:color w:val="000000" w:themeColor="text1"/>
                <w:sz w:val="24"/>
                <w:szCs w:val="24"/>
                <w:highlight w:val="none"/>
                <w:lang w:val="zh-CN" w:eastAsia="zh-CN"/>
                <w14:textFill>
                  <w14:solidFill>
                    <w14:schemeClr w14:val="tx1"/>
                  </w14:solidFill>
                </w14:textFill>
              </w:rPr>
              <w:t>、算法和任务规则组合形成。可以对</w:t>
            </w:r>
            <w:r>
              <w:rPr>
                <w:rFonts w:hint="eastAsia" w:ascii="仿宋" w:hAnsi="仿宋" w:eastAsia="仿宋" w:cs="仿宋"/>
                <w:color w:val="000000" w:themeColor="text1"/>
                <w:sz w:val="24"/>
                <w:szCs w:val="24"/>
                <w:highlight w:val="none"/>
                <w:lang w:val="en-US" w:eastAsia="zh-CN"/>
                <w14:textFill>
                  <w14:solidFill>
                    <w14:schemeClr w14:val="tx1"/>
                  </w14:solidFill>
                </w14:textFill>
              </w:rPr>
              <w:t>航点</w:t>
            </w:r>
            <w:r>
              <w:rPr>
                <w:rFonts w:hint="eastAsia" w:ascii="仿宋" w:hAnsi="仿宋" w:eastAsia="仿宋" w:cs="仿宋"/>
                <w:color w:val="000000" w:themeColor="text1"/>
                <w:sz w:val="24"/>
                <w:szCs w:val="24"/>
                <w:highlight w:val="none"/>
                <w:lang w:val="zh-CN" w:eastAsia="zh-CN"/>
                <w14:textFill>
                  <w14:solidFill>
                    <w14:schemeClr w14:val="tx1"/>
                  </w14:solidFill>
                </w14:textFill>
              </w:rPr>
              <w:t>的算法规则细节进行配置调整，可以对不同</w:t>
            </w:r>
            <w:r>
              <w:rPr>
                <w:rFonts w:hint="eastAsia" w:ascii="仿宋" w:hAnsi="仿宋" w:eastAsia="仿宋" w:cs="仿宋"/>
                <w:color w:val="000000" w:themeColor="text1"/>
                <w:sz w:val="24"/>
                <w:szCs w:val="24"/>
                <w:highlight w:val="none"/>
                <w:lang w:val="en-US" w:eastAsia="zh-CN"/>
                <w14:textFill>
                  <w14:solidFill>
                    <w14:schemeClr w14:val="tx1"/>
                  </w14:solidFill>
                </w14:textFill>
              </w:rPr>
              <w:t>任务</w:t>
            </w:r>
            <w:r>
              <w:rPr>
                <w:rFonts w:hint="eastAsia" w:ascii="仿宋" w:hAnsi="仿宋" w:eastAsia="仿宋" w:cs="仿宋"/>
                <w:color w:val="000000" w:themeColor="text1"/>
                <w:sz w:val="24"/>
                <w:szCs w:val="24"/>
                <w:highlight w:val="none"/>
                <w:lang w:val="zh-CN" w:eastAsia="zh-CN"/>
                <w14:textFill>
                  <w14:solidFill>
                    <w14:schemeClr w14:val="tx1"/>
                  </w14:solidFill>
                </w14:textFill>
              </w:rPr>
              <w:t>、场景所需算法的组合进行配置，</w:t>
            </w:r>
            <w:r>
              <w:rPr>
                <w:rFonts w:hint="eastAsia" w:ascii="仿宋" w:hAnsi="仿宋" w:eastAsia="仿宋" w:cs="仿宋"/>
                <w:color w:val="000000" w:themeColor="text1"/>
                <w:sz w:val="24"/>
                <w:szCs w:val="24"/>
                <w:highlight w:val="none"/>
                <w:lang w:val="en-US" w:eastAsia="zh-CN"/>
                <w14:textFill>
                  <w14:solidFill>
                    <w14:schemeClr w14:val="tx1"/>
                  </w14:solidFill>
                </w14:textFill>
              </w:rPr>
              <w:t>支持航线、航点独立配置多种算法，单一航点支持多种算法同时运行，同时推送识别结果；</w:t>
            </w:r>
          </w:p>
          <w:p w14:paraId="5DA8BAD7">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(标</w:t>
            </w:r>
            <w:r>
              <w:rPr>
                <w:rFonts w:hint="eastAsia" w:ascii="仿宋" w:hAnsi="仿宋" w:eastAsia="仿宋" w:cs="仿宋"/>
                <w:color w:val="000000" w:themeColor="text1"/>
                <w:sz w:val="24"/>
                <w:szCs w:val="24"/>
                <w:highlight w:val="none"/>
                <w:lang w:val="en-US" w:eastAsia="zh-CN"/>
                <w14:textFill>
                  <w14:solidFill>
                    <w14:schemeClr w14:val="tx1"/>
                  </w14:solidFill>
                </w14:textFill>
              </w:rPr>
              <w:t>▲项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须提供第三方权威测试机构测试报告证明材料，至少包含报告首页，对应功能测试页和报告尾页)</w:t>
            </w:r>
          </w:p>
        </w:tc>
      </w:tr>
      <w:tr w14:paraId="3EA2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4A1DC87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432DD3CD">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0D0E68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违建图片比对</w:t>
            </w:r>
          </w:p>
        </w:tc>
        <w:tc>
          <w:tcPr>
            <w:tcW w:w="3119" w:type="pct"/>
            <w:noWrap w:val="0"/>
            <w:vAlign w:val="center"/>
          </w:tcPr>
          <w:p w14:paraId="78F92D91">
            <w:pPr>
              <w:keepNext w:val="0"/>
              <w:keepLines w:val="0"/>
              <w:pageBreakBefore w:val="0"/>
              <w:widowControl/>
              <w:numPr>
                <w:ilvl w:val="0"/>
                <w:numId w:val="3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支持通过自动任务设置方式针对同一个坐标点采集影像，内置智能分析比对算法，自动分析并标识出差异，输出结果（ws文件）；</w:t>
            </w:r>
          </w:p>
          <w:p w14:paraId="7786CD58">
            <w:pPr>
              <w:keepNext w:val="0"/>
              <w:keepLines w:val="0"/>
              <w:pageBreakBefore w:val="0"/>
              <w:widowControl/>
              <w:numPr>
                <w:ilvl w:val="0"/>
                <w:numId w:val="3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▲自动分析比对算法支持</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自动过滤干扰因素，包括人员、车辆、阴影、地面杂物等；</w:t>
            </w:r>
          </w:p>
          <w:p w14:paraId="69E13062">
            <w:pPr>
              <w:keepNext w:val="0"/>
              <w:keepLines w:val="0"/>
              <w:pageBreakBefore w:val="0"/>
              <w:widowControl/>
              <w:numPr>
                <w:ilvl w:val="0"/>
                <w:numId w:val="3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支持为每条航线任务提前自定义设置比对时间、比对对象，实现到期自动比对；支持根据任务实际执行情况，自动筛选可进行比对的任务对象进行图片比对；</w:t>
            </w:r>
          </w:p>
          <w:p w14:paraId="1E2B2622">
            <w:pPr>
              <w:keepNext w:val="0"/>
              <w:keepLines w:val="0"/>
              <w:pageBreakBefore w:val="0"/>
              <w:widowControl/>
              <w:numPr>
                <w:ilvl w:val="0"/>
                <w:numId w:val="3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支持航线任务设置时与比对算法进行绑定，实现定期自动化比对巡检。</w:t>
            </w:r>
          </w:p>
          <w:p w14:paraId="3967528D">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(标</w:t>
            </w:r>
            <w:r>
              <w:rPr>
                <w:rFonts w:hint="eastAsia" w:ascii="仿宋" w:hAnsi="仿宋" w:eastAsia="仿宋" w:cs="仿宋"/>
                <w:color w:val="000000" w:themeColor="text1"/>
                <w:sz w:val="24"/>
                <w:szCs w:val="24"/>
                <w:highlight w:val="none"/>
                <w:lang w:val="en-US" w:eastAsia="zh-CN"/>
                <w14:textFill>
                  <w14:solidFill>
                    <w14:schemeClr w14:val="tx1"/>
                  </w14:solidFill>
                </w14:textFill>
              </w:rPr>
              <w:t>▲项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须</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提供第三方权威测试机构测试报告证明材料，至少包含报告首页，对应功能测试页和报告尾页)</w:t>
            </w:r>
          </w:p>
        </w:tc>
      </w:tr>
      <w:tr w14:paraId="4D6D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3DA9E05E">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1624F631">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018F89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识别算法管理</w:t>
            </w:r>
          </w:p>
        </w:tc>
        <w:tc>
          <w:tcPr>
            <w:tcW w:w="3119" w:type="pct"/>
            <w:noWrap w:val="0"/>
            <w:vAlign w:val="center"/>
          </w:tcPr>
          <w:p w14:paraId="7A19B4F7">
            <w:pPr>
              <w:keepNext w:val="0"/>
              <w:keepLines w:val="0"/>
              <w:pageBreakBefore w:val="0"/>
              <w:widowControl/>
              <w:numPr>
                <w:ilvl w:val="0"/>
                <w:numId w:val="3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支持算法数据、识别数据的统一接入，提供所需对应数据及数据集的管理工作；支持多台飞行器设备同步识别作业；</w:t>
            </w:r>
          </w:p>
          <w:p w14:paraId="473AC71E">
            <w:pPr>
              <w:keepNext w:val="0"/>
              <w:keepLines w:val="0"/>
              <w:pageBreakBefore w:val="0"/>
              <w:widowControl/>
              <w:numPr>
                <w:ilvl w:val="0"/>
                <w:numId w:val="3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根据不同巡查路线的识别场景，能够按照巡查任务、起止点位、阈值等因素配置算法；</w:t>
            </w:r>
          </w:p>
          <w:p w14:paraId="61EC87CC">
            <w:pPr>
              <w:keepNext w:val="0"/>
              <w:keepLines w:val="0"/>
              <w:pageBreakBefore w:val="0"/>
              <w:widowControl/>
              <w:numPr>
                <w:ilvl w:val="0"/>
                <w:numId w:val="3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提供定制算法的离线方式部署，保障空中巡查工作的识别准确度持续提升。</w:t>
            </w:r>
          </w:p>
          <w:p w14:paraId="318BB4B0">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(标</w:t>
            </w:r>
            <w:r>
              <w:rPr>
                <w:rFonts w:hint="eastAsia" w:ascii="仿宋" w:hAnsi="仿宋" w:eastAsia="仿宋" w:cs="仿宋"/>
                <w:color w:val="000000" w:themeColor="text1"/>
                <w:sz w:val="24"/>
                <w:szCs w:val="24"/>
                <w:highlight w:val="none"/>
                <w:lang w:val="en-US" w:eastAsia="zh-CN"/>
                <w14:textFill>
                  <w14:solidFill>
                    <w14:schemeClr w14:val="tx1"/>
                  </w14:solidFill>
                </w14:textFill>
              </w:rPr>
              <w:t>▲项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须</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提供第三方权威测试机构测试报告证明材料，至少包含报告首页，对应功能测试页和报告尾页)</w:t>
            </w:r>
          </w:p>
        </w:tc>
      </w:tr>
      <w:tr w14:paraId="52A6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13C9FB6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4134DFCD">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523B49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巡查成果管理</w:t>
            </w:r>
          </w:p>
        </w:tc>
        <w:tc>
          <w:tcPr>
            <w:tcW w:w="3119" w:type="pct"/>
            <w:noWrap w:val="0"/>
            <w:vAlign w:val="center"/>
          </w:tcPr>
          <w:p w14:paraId="05AFEE1A">
            <w:pPr>
              <w:keepNext w:val="0"/>
              <w:keepLines w:val="0"/>
              <w:pageBreakBefore w:val="0"/>
              <w:widowControl/>
              <w:numPr>
                <w:ilvl w:val="0"/>
                <w:numId w:val="3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支持单条巡查路线实时识别结果查看；智能问题定位并将结果图片存至对应文件夹内；</w:t>
            </w:r>
          </w:p>
          <w:p w14:paraId="4524B3B2">
            <w:pPr>
              <w:keepNext w:val="0"/>
              <w:keepLines w:val="0"/>
              <w:pageBreakBefore w:val="0"/>
              <w:widowControl/>
              <w:numPr>
                <w:ilvl w:val="0"/>
                <w:numId w:val="3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巡查成果支持二次人工复核；</w:t>
            </w:r>
          </w:p>
          <w:p w14:paraId="04ED731B">
            <w:pPr>
              <w:keepNext w:val="0"/>
              <w:keepLines w:val="0"/>
              <w:pageBreakBefore w:val="0"/>
              <w:widowControl/>
              <w:numPr>
                <w:ilvl w:val="0"/>
                <w:numId w:val="3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巡查成果与经纬度信息根据不同巡查路线的识别场景，能够按照巡查任务、起止点位、阈值等因素配置算法；</w:t>
            </w:r>
          </w:p>
          <w:p w14:paraId="2411927A">
            <w:pPr>
              <w:keepNext w:val="0"/>
              <w:keepLines w:val="0"/>
              <w:pageBreakBefore w:val="0"/>
              <w:widowControl/>
              <w:numPr>
                <w:ilvl w:val="0"/>
                <w:numId w:val="36"/>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支持生成处置案件进入事件池进行业务流转，形成业务闭环；</w:t>
            </w:r>
          </w:p>
          <w:p w14:paraId="66AD7526">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(标</w:t>
            </w:r>
            <w:r>
              <w:rPr>
                <w:rFonts w:hint="eastAsia" w:ascii="仿宋" w:hAnsi="仿宋" w:eastAsia="仿宋" w:cs="仿宋"/>
                <w:color w:val="000000" w:themeColor="text1"/>
                <w:sz w:val="24"/>
                <w:szCs w:val="24"/>
                <w:highlight w:val="none"/>
                <w:lang w:val="en-US" w:eastAsia="zh-CN"/>
                <w14:textFill>
                  <w14:solidFill>
                    <w14:schemeClr w14:val="tx1"/>
                  </w14:solidFill>
                </w14:textFill>
              </w:rPr>
              <w:t>▲项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须提供第三方权威测试机构测试报告证明材料，至少包含报告首页，对应功能测试页和报告尾页)</w:t>
            </w:r>
          </w:p>
        </w:tc>
      </w:tr>
      <w:tr w14:paraId="7351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restart"/>
            <w:noWrap/>
            <w:vAlign w:val="center"/>
          </w:tcPr>
          <w:p w14:paraId="45075AAF">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w:t>
            </w:r>
          </w:p>
        </w:tc>
        <w:tc>
          <w:tcPr>
            <w:tcW w:w="487" w:type="pct"/>
            <w:vMerge w:val="restart"/>
            <w:noWrap w:val="0"/>
            <w:vAlign w:val="center"/>
          </w:tcPr>
          <w:p w14:paraId="3351F78E">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数据管理</w:t>
            </w:r>
          </w:p>
        </w:tc>
        <w:tc>
          <w:tcPr>
            <w:tcW w:w="1052" w:type="pct"/>
            <w:gridSpan w:val="2"/>
            <w:noWrap w:val="0"/>
            <w:vAlign w:val="center"/>
          </w:tcPr>
          <w:p w14:paraId="39AD48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成果上传</w:t>
            </w:r>
          </w:p>
        </w:tc>
        <w:tc>
          <w:tcPr>
            <w:tcW w:w="3119" w:type="pct"/>
            <w:noWrap w:val="0"/>
            <w:vAlign w:val="center"/>
          </w:tcPr>
          <w:p w14:paraId="3281EE1C">
            <w:pPr>
              <w:keepNext w:val="0"/>
              <w:keepLines w:val="0"/>
              <w:pageBreakBefore w:val="0"/>
              <w:widowControl/>
              <w:numPr>
                <w:ilvl w:val="0"/>
                <w:numId w:val="3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需支持单个及多个数据成果的上传功能，允许成果以规定文件的形式保存到服务器端相应的存储路径。如：照片、视频；</w:t>
            </w:r>
          </w:p>
          <w:p w14:paraId="5305E8E8">
            <w:pPr>
              <w:keepNext w:val="0"/>
              <w:keepLines w:val="0"/>
              <w:pageBreakBefore w:val="0"/>
              <w:widowControl/>
              <w:numPr>
                <w:ilvl w:val="0"/>
                <w:numId w:val="3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照片支持自动上传，支持同步查看机库和对应的任务架次数据；</w:t>
            </w:r>
          </w:p>
          <w:p w14:paraId="677B71C5">
            <w:pPr>
              <w:keepNext w:val="0"/>
              <w:keepLines w:val="0"/>
              <w:pageBreakBefore w:val="0"/>
              <w:widowControl/>
              <w:numPr>
                <w:ilvl w:val="0"/>
                <w:numId w:val="3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支持任务上标明对应数据的同步状态；</w:t>
            </w:r>
          </w:p>
          <w:p w14:paraId="459A9784">
            <w:pPr>
              <w:keepNext w:val="0"/>
              <w:keepLines w:val="0"/>
              <w:pageBreakBefore w:val="0"/>
              <w:widowControl/>
              <w:numPr>
                <w:ilvl w:val="0"/>
                <w:numId w:val="3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支持照片水印添加；</w:t>
            </w:r>
          </w:p>
          <w:p w14:paraId="1D8AA07A">
            <w:pPr>
              <w:keepNext w:val="0"/>
              <w:keepLines w:val="0"/>
              <w:pageBreakBefore w:val="0"/>
              <w:widowControl/>
              <w:numPr>
                <w:ilvl w:val="0"/>
                <w:numId w:val="3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支持数据自动归类、支持数据检索、筛选；</w:t>
            </w:r>
          </w:p>
          <w:p w14:paraId="2E402794">
            <w:pPr>
              <w:keepNext w:val="0"/>
              <w:keepLines w:val="0"/>
              <w:pageBreakBefore w:val="0"/>
              <w:widowControl/>
              <w:numPr>
                <w:ilvl w:val="0"/>
                <w:numId w:val="3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支持数据单选、多选进行下载；</w:t>
            </w:r>
          </w:p>
          <w:p w14:paraId="767637D4">
            <w:pPr>
              <w:keepNext w:val="0"/>
              <w:keepLines w:val="0"/>
              <w:pageBreakBefore w:val="0"/>
              <w:widowControl/>
              <w:numPr>
                <w:ilvl w:val="0"/>
                <w:numId w:val="3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照片人工上传，人工上传照片即手动将巡查的照片上传至系统，按照不同的任务架次展示照片成果的缩略图列表；</w:t>
            </w:r>
          </w:p>
          <w:p w14:paraId="17CB99D3">
            <w:pPr>
              <w:keepNext w:val="0"/>
              <w:keepLines w:val="0"/>
              <w:pageBreakBefore w:val="0"/>
              <w:widowControl/>
              <w:numPr>
                <w:ilvl w:val="0"/>
                <w:numId w:val="3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可选择按任务类型和按时间架次排序两种方式进行排序，同时支持搜索显示。</w:t>
            </w:r>
          </w:p>
          <w:p w14:paraId="5D8EDD64">
            <w:pPr>
              <w:keepNext w:val="0"/>
              <w:keepLines w:val="0"/>
              <w:pageBreakBefore w:val="0"/>
              <w:widowControl/>
              <w:numPr>
                <w:ilvl w:val="0"/>
                <w:numId w:val="37"/>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支持对选中的图片推送到分析应用的相关模块中进行分析，并同步上传状态；</w:t>
            </w:r>
          </w:p>
        </w:tc>
      </w:tr>
      <w:tr w14:paraId="1177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0924343D">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04E0538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4399C0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全景图上传</w:t>
            </w:r>
          </w:p>
        </w:tc>
        <w:tc>
          <w:tcPr>
            <w:tcW w:w="3119" w:type="pct"/>
            <w:noWrap w:val="0"/>
            <w:vAlign w:val="center"/>
          </w:tcPr>
          <w:p w14:paraId="2E095C10">
            <w:pPr>
              <w:keepNext w:val="0"/>
              <w:keepLines w:val="0"/>
              <w:pageBreakBefore w:val="0"/>
              <w:widowControl/>
              <w:numPr>
                <w:ilvl w:val="0"/>
                <w:numId w:val="38"/>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t>支持在首页加载查看；支持在线标记。</w:t>
            </w:r>
          </w:p>
          <w:p w14:paraId="39632903">
            <w:pPr>
              <w:keepNext w:val="0"/>
              <w:keepLines w:val="0"/>
              <w:pageBreakBefore w:val="0"/>
              <w:widowControl/>
              <w:numPr>
                <w:ilvl w:val="0"/>
                <w:numId w:val="38"/>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t>支持自动机库航点任务实现全景图的自动拍摄、自动拼接上传及标注。</w:t>
            </w:r>
          </w:p>
        </w:tc>
      </w:tr>
      <w:tr w14:paraId="5040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restart"/>
            <w:noWrap/>
            <w:vAlign w:val="center"/>
          </w:tcPr>
          <w:p w14:paraId="796A11EF">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w:t>
            </w:r>
          </w:p>
        </w:tc>
        <w:tc>
          <w:tcPr>
            <w:tcW w:w="487" w:type="pct"/>
            <w:vMerge w:val="restart"/>
            <w:noWrap w:val="0"/>
            <w:vAlign w:val="center"/>
          </w:tcPr>
          <w:p w14:paraId="79778E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“浙政钉”移动端开发</w:t>
            </w:r>
          </w:p>
        </w:tc>
        <w:tc>
          <w:tcPr>
            <w:tcW w:w="1052" w:type="pct"/>
            <w:gridSpan w:val="2"/>
            <w:noWrap w:val="0"/>
            <w:vAlign w:val="center"/>
          </w:tcPr>
          <w:p w14:paraId="22FB0D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移动端管理系统</w:t>
            </w:r>
          </w:p>
        </w:tc>
        <w:tc>
          <w:tcPr>
            <w:tcW w:w="3119" w:type="pct"/>
            <w:noWrap w:val="0"/>
            <w:vAlign w:val="center"/>
          </w:tcPr>
          <w:p w14:paraId="700363E5">
            <w:pPr>
              <w:keepNext w:val="0"/>
              <w:keepLines w:val="0"/>
              <w:pageBreakBefore w:val="0"/>
              <w:widowControl/>
              <w:numPr>
                <w:ilvl w:val="0"/>
                <w:numId w:val="3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移动端用户身份信息、权限校验；单点登录 ；安全性验证；</w:t>
            </w:r>
          </w:p>
          <w:p w14:paraId="3C1D193B">
            <w:pPr>
              <w:keepNext w:val="0"/>
              <w:keepLines w:val="0"/>
              <w:pageBreakBefore w:val="0"/>
              <w:widowControl/>
              <w:numPr>
                <w:ilvl w:val="0"/>
                <w:numId w:val="3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人员相关信息录入及管理。分配角色对应权限；身份权限管理；</w:t>
            </w:r>
          </w:p>
          <w:p w14:paraId="4E70AABD">
            <w:pPr>
              <w:keepNext w:val="0"/>
              <w:keepLines w:val="0"/>
              <w:pageBreakBefore w:val="0"/>
              <w:widowControl/>
              <w:numPr>
                <w:ilvl w:val="0"/>
                <w:numId w:val="39"/>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角色对应层级结构；角色审批流程配置；角色在线状态监测；角色通知和提醒功能；</w:t>
            </w:r>
          </w:p>
        </w:tc>
      </w:tr>
      <w:tr w14:paraId="7CCE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71A94FBD">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18C6150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65B31A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移动端业务流转及处理系统</w:t>
            </w:r>
          </w:p>
        </w:tc>
        <w:tc>
          <w:tcPr>
            <w:tcW w:w="3119" w:type="pct"/>
            <w:noWrap w:val="0"/>
            <w:vAlign w:val="center"/>
          </w:tcPr>
          <w:p w14:paraId="000FFBEF">
            <w:pPr>
              <w:keepNext w:val="0"/>
              <w:keepLines w:val="0"/>
              <w:pageBreakBefore w:val="0"/>
              <w:widowControl/>
              <w:numPr>
                <w:ilvl w:val="0"/>
                <w:numId w:val="4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接收基础管控平台派发的指定任务，支持问题图片及相关信息上报（图片支持压缩后上传）；</w:t>
            </w:r>
          </w:p>
          <w:p w14:paraId="599897DE">
            <w:pPr>
              <w:keepNext w:val="0"/>
              <w:keepLines w:val="0"/>
              <w:pageBreakBefore w:val="0"/>
              <w:widowControl/>
              <w:numPr>
                <w:ilvl w:val="0"/>
                <w:numId w:val="4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接收事件管理模块派遣的任务，提交巡检问题图片及文字信息填写、查看、结果反馈展示（支持图片及文字），上传至平台端，实现事件流转；</w:t>
            </w:r>
          </w:p>
          <w:p w14:paraId="0822A6B5">
            <w:pPr>
              <w:keepNext w:val="0"/>
              <w:keepLines w:val="0"/>
              <w:pageBreakBefore w:val="0"/>
              <w:widowControl/>
              <w:numPr>
                <w:ilvl w:val="0"/>
                <w:numId w:val="4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按照绍兴智管通问题上报模块{包含：问题定位、描述、分类、图片上传等信息）进行改造；对接绍兴智慧城管系统，通过浙政钉应用上报的问题可直接显示到绍兴智慧城管系统中</w:t>
            </w:r>
          </w:p>
          <w:p w14:paraId="49FA8E96">
            <w:pPr>
              <w:keepNext w:val="0"/>
              <w:keepLines w:val="0"/>
              <w:pageBreakBefore w:val="0"/>
              <w:widowControl/>
              <w:numPr>
                <w:ilvl w:val="0"/>
                <w:numId w:val="4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收规划跟踪模块的项目信息，队员通过浙政钉应用，收到指派到队员的跟踪项目，并通过浙政钉应用上报对应监管过程中的图文信息，实现在建全流程数据归档；定点放样后支持后面过程添加至少多个节点，多次到场核实上传过程监管数据。</w:t>
            </w:r>
          </w:p>
          <w:p w14:paraId="7604FDFD">
            <w:pPr>
              <w:keepNext w:val="0"/>
              <w:keepLines w:val="0"/>
              <w:pageBreakBefore w:val="0"/>
              <w:widowControl/>
              <w:numPr>
                <w:ilvl w:val="0"/>
                <w:numId w:val="40"/>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支持功能点层级结构设置；任务点有效期管理设置；任务审批流程配置；任务点优先级管理；</w:t>
            </w:r>
          </w:p>
        </w:tc>
      </w:tr>
      <w:tr w14:paraId="5FFD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1682F590">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2492476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1052" w:type="pct"/>
            <w:gridSpan w:val="2"/>
            <w:noWrap w:val="0"/>
            <w:vAlign w:val="center"/>
          </w:tcPr>
          <w:p w14:paraId="4D2C9B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浙政钉系统对接</w:t>
            </w:r>
          </w:p>
        </w:tc>
        <w:tc>
          <w:tcPr>
            <w:tcW w:w="3119" w:type="pct"/>
            <w:noWrap w:val="0"/>
            <w:vAlign w:val="center"/>
          </w:tcPr>
          <w:p w14:paraId="2F35086D">
            <w:pPr>
              <w:keepNext w:val="0"/>
              <w:keepLines w:val="0"/>
              <w:pageBreakBefore w:val="0"/>
              <w:widowControl/>
              <w:numPr>
                <w:ilvl w:val="0"/>
                <w:numId w:val="4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支持接入浙政钉系统，完成移动执法模块的审批与上架。支持数据权限创建及对接；</w:t>
            </w:r>
          </w:p>
          <w:p w14:paraId="532D64A7">
            <w:pPr>
              <w:keepNext w:val="0"/>
              <w:keepLines w:val="0"/>
              <w:pageBreakBefore w:val="0"/>
              <w:widowControl/>
              <w:numPr>
                <w:ilvl w:val="0"/>
                <w:numId w:val="41"/>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数据对象层级结构库创建及对接；数据对象审批流程库创建及对接；数据对象有效期管理创建及对接；数据对象通知和提醒库创建及对接；</w:t>
            </w:r>
          </w:p>
        </w:tc>
      </w:tr>
      <w:tr w14:paraId="0DCD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restart"/>
            <w:noWrap/>
            <w:vAlign w:val="center"/>
          </w:tcPr>
          <w:p w14:paraId="423A208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487" w:type="pct"/>
            <w:vMerge w:val="restart"/>
            <w:noWrap w:val="0"/>
            <w:vAlign w:val="center"/>
          </w:tcPr>
          <w:p w14:paraId="378B0297">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系统中心</w:t>
            </w:r>
          </w:p>
        </w:tc>
        <w:tc>
          <w:tcPr>
            <w:tcW w:w="394" w:type="pct"/>
            <w:vMerge w:val="restart"/>
            <w:noWrap w:val="0"/>
            <w:vAlign w:val="center"/>
          </w:tcPr>
          <w:p w14:paraId="7EB1D1B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管理中心</w:t>
            </w:r>
          </w:p>
        </w:tc>
        <w:tc>
          <w:tcPr>
            <w:tcW w:w="658" w:type="pct"/>
            <w:noWrap w:val="0"/>
            <w:vAlign w:val="center"/>
          </w:tcPr>
          <w:p w14:paraId="1E9CAD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基础模块</w:t>
            </w:r>
          </w:p>
        </w:tc>
        <w:tc>
          <w:tcPr>
            <w:tcW w:w="3119" w:type="pct"/>
            <w:noWrap w:val="0"/>
            <w:vAlign w:val="center"/>
          </w:tcPr>
          <w:p w14:paraId="239AC859">
            <w:pPr>
              <w:keepNext w:val="0"/>
              <w:keepLines w:val="0"/>
              <w:pageBreakBefore w:val="0"/>
              <w:widowControl/>
              <w:numPr>
                <w:ilvl w:val="0"/>
                <w:numId w:val="4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数据库建设，对象的创建、存储数据的查询、添加、修改与删除操作和数据库的用户管理、权限管理，提供交互协议；接口鉴权；</w:t>
            </w:r>
          </w:p>
          <w:p w14:paraId="4639F2B1">
            <w:pPr>
              <w:keepNext w:val="0"/>
              <w:keepLines w:val="0"/>
              <w:pageBreakBefore w:val="0"/>
              <w:widowControl/>
              <w:numPr>
                <w:ilvl w:val="0"/>
                <w:numId w:val="4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支持数据字典的新增、修改、查询；</w:t>
            </w:r>
          </w:p>
          <w:p w14:paraId="6D1ED6AE">
            <w:pPr>
              <w:keepNext w:val="0"/>
              <w:keepLines w:val="0"/>
              <w:pageBreakBefore w:val="0"/>
              <w:widowControl/>
              <w:numPr>
                <w:ilvl w:val="0"/>
                <w:numId w:val="42"/>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数据脱敏及加密；</w:t>
            </w:r>
          </w:p>
        </w:tc>
      </w:tr>
      <w:tr w14:paraId="130D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31D786BF">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78A290E0">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1ECEFA8B">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08B9C3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账号管理</w:t>
            </w:r>
          </w:p>
        </w:tc>
        <w:tc>
          <w:tcPr>
            <w:tcW w:w="3119" w:type="pct"/>
            <w:noWrap w:val="0"/>
            <w:vAlign w:val="center"/>
          </w:tcPr>
          <w:p w14:paraId="20DD472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账号录入管理；</w:t>
            </w:r>
          </w:p>
        </w:tc>
      </w:tr>
      <w:tr w14:paraId="1A02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7E0525AD">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3C27C39F">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697D485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29812A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用户管理</w:t>
            </w:r>
          </w:p>
        </w:tc>
        <w:tc>
          <w:tcPr>
            <w:tcW w:w="3119" w:type="pct"/>
            <w:noWrap w:val="0"/>
            <w:vAlign w:val="center"/>
          </w:tcPr>
          <w:p w14:paraId="7A64A9E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角色、权限、部门、人员信息录入管理。</w:t>
            </w:r>
          </w:p>
        </w:tc>
      </w:tr>
      <w:tr w14:paraId="2090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3679788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7065C748">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7739238D">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26EA13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网格管理</w:t>
            </w:r>
          </w:p>
        </w:tc>
        <w:tc>
          <w:tcPr>
            <w:tcW w:w="3119" w:type="pct"/>
            <w:noWrap w:val="0"/>
            <w:vAlign w:val="center"/>
          </w:tcPr>
          <w:p w14:paraId="63A3BD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诸暨市巡查范围网格点数据导入；关联对应网格人员信息。</w:t>
            </w:r>
          </w:p>
        </w:tc>
      </w:tr>
      <w:tr w14:paraId="1CDC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6AE83806">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22B941F7">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5F684A1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603125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推送管理</w:t>
            </w:r>
          </w:p>
        </w:tc>
        <w:tc>
          <w:tcPr>
            <w:tcW w:w="3119" w:type="pct"/>
            <w:noWrap w:val="0"/>
            <w:vAlign w:val="center"/>
          </w:tcPr>
          <w:p w14:paraId="1C0178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支持业务流转作业所需的账号推送设置；</w:t>
            </w:r>
          </w:p>
        </w:tc>
      </w:tr>
      <w:tr w14:paraId="4069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71E2310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47B14CA3">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0C0DD81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498C46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数据管理</w:t>
            </w:r>
          </w:p>
        </w:tc>
        <w:tc>
          <w:tcPr>
            <w:tcW w:w="3119" w:type="pct"/>
            <w:noWrap w:val="0"/>
            <w:vAlign w:val="center"/>
          </w:tcPr>
          <w:p w14:paraId="5AC6EC86">
            <w:pPr>
              <w:keepNext w:val="0"/>
              <w:keepLines w:val="0"/>
              <w:pageBreakBefore w:val="0"/>
              <w:widowControl/>
              <w:numPr>
                <w:ilvl w:val="0"/>
                <w:numId w:val="4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通过巡查设备等途径发现的识别问题处置、流转过程图文信息存储；</w:t>
            </w:r>
          </w:p>
          <w:p w14:paraId="47EAA760">
            <w:pPr>
              <w:keepNext w:val="0"/>
              <w:keepLines w:val="0"/>
              <w:pageBreakBefore w:val="0"/>
              <w:widowControl/>
              <w:numPr>
                <w:ilvl w:val="0"/>
                <w:numId w:val="4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业务巡查过程的视频及影像存储；支持筛选调阅；</w:t>
            </w:r>
          </w:p>
          <w:p w14:paraId="2AB04E7A">
            <w:pPr>
              <w:keepNext w:val="0"/>
              <w:keepLines w:val="0"/>
              <w:pageBreakBefore w:val="0"/>
              <w:widowControl/>
              <w:numPr>
                <w:ilvl w:val="0"/>
                <w:numId w:val="43"/>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支持单条巡查路线实时识别结果查看；智能问题定位并将结果图片存至对应文件夹内；巡查成果支持二次人工复核，将已处置的违章点位进行剔除；巡查成果与经纬度信息绑定，支持生成处置案件进入事件池进行业务流转，形成业务闭环；</w:t>
            </w:r>
          </w:p>
        </w:tc>
      </w:tr>
      <w:tr w14:paraId="0410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vMerge w:val="continue"/>
            <w:noWrap/>
            <w:vAlign w:val="center"/>
          </w:tcPr>
          <w:p w14:paraId="2FF59905">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487" w:type="pct"/>
            <w:vMerge w:val="continue"/>
            <w:noWrap w:val="0"/>
            <w:vAlign w:val="center"/>
          </w:tcPr>
          <w:p w14:paraId="4957116B">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394" w:type="pct"/>
            <w:vMerge w:val="continue"/>
            <w:noWrap w:val="0"/>
            <w:vAlign w:val="center"/>
          </w:tcPr>
          <w:p w14:paraId="2EB28776">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658" w:type="pct"/>
            <w:noWrap w:val="0"/>
            <w:vAlign w:val="center"/>
          </w:tcPr>
          <w:p w14:paraId="5AE629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后台管理</w:t>
            </w:r>
          </w:p>
        </w:tc>
        <w:tc>
          <w:tcPr>
            <w:tcW w:w="3119" w:type="pct"/>
            <w:noWrap w:val="0"/>
            <w:vAlign w:val="center"/>
          </w:tcPr>
          <w:p w14:paraId="5BC58297">
            <w:pPr>
              <w:keepNext w:val="0"/>
              <w:keepLines w:val="0"/>
              <w:pageBreakBefore w:val="0"/>
              <w:widowControl/>
              <w:numPr>
                <w:ilvl w:val="0"/>
                <w:numId w:val="4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以日志的形式记录下用户的相关操作，支持日志根据操作人、操作时间等进行查询；</w:t>
            </w:r>
          </w:p>
          <w:p w14:paraId="0DB34198">
            <w:pPr>
              <w:keepNext w:val="0"/>
              <w:keepLines w:val="0"/>
              <w:pageBreakBefore w:val="0"/>
              <w:widowControl/>
              <w:numPr>
                <w:ilvl w:val="0"/>
                <w:numId w:val="44"/>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记录用户登录情况；</w:t>
            </w:r>
          </w:p>
        </w:tc>
      </w:tr>
      <w:tr w14:paraId="205C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noWrap/>
            <w:vAlign w:val="center"/>
          </w:tcPr>
          <w:p w14:paraId="6184CD7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w:t>
            </w:r>
          </w:p>
        </w:tc>
        <w:tc>
          <w:tcPr>
            <w:tcW w:w="487" w:type="pct"/>
            <w:noWrap w:val="0"/>
            <w:vAlign w:val="center"/>
          </w:tcPr>
          <w:p w14:paraId="59F232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信创环境系统部署</w:t>
            </w:r>
          </w:p>
        </w:tc>
        <w:tc>
          <w:tcPr>
            <w:tcW w:w="1052" w:type="pct"/>
            <w:gridSpan w:val="2"/>
            <w:noWrap w:val="0"/>
            <w:vAlign w:val="center"/>
          </w:tcPr>
          <w:p w14:paraId="11D71D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系统部署</w:t>
            </w:r>
          </w:p>
        </w:tc>
        <w:tc>
          <w:tcPr>
            <w:tcW w:w="3119" w:type="pct"/>
            <w:noWrap w:val="0"/>
            <w:vAlign w:val="center"/>
          </w:tcPr>
          <w:p w14:paraId="6C3891F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包含信创服务器系统部署、调试，以及与执法局多个相关业务系统的问题数据接口对接等；包含私有化离线地图下载存储，用于数据调用及GIS展示；</w:t>
            </w:r>
          </w:p>
        </w:tc>
      </w:tr>
      <w:tr w14:paraId="1326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noWrap/>
            <w:vAlign w:val="center"/>
          </w:tcPr>
          <w:p w14:paraId="5F49CF42">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487" w:type="pct"/>
            <w:noWrap w:val="0"/>
            <w:vAlign w:val="center"/>
          </w:tcPr>
          <w:p w14:paraId="73B138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等保测评</w:t>
            </w:r>
          </w:p>
        </w:tc>
        <w:tc>
          <w:tcPr>
            <w:tcW w:w="1052" w:type="pct"/>
            <w:gridSpan w:val="2"/>
            <w:noWrap w:val="0"/>
            <w:vAlign w:val="center"/>
          </w:tcPr>
          <w:p w14:paraId="5B9D1F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二级等保测评</w:t>
            </w:r>
          </w:p>
        </w:tc>
        <w:tc>
          <w:tcPr>
            <w:tcW w:w="3119" w:type="pct"/>
            <w:noWrap w:val="0"/>
            <w:vAlign w:val="center"/>
          </w:tcPr>
          <w:p w14:paraId="685757A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配合做好二级等保渗透测试等工作，包含等保、渗透费用；</w:t>
            </w:r>
          </w:p>
        </w:tc>
      </w:tr>
      <w:tr w14:paraId="3B3B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9" w:type="pct"/>
            <w:noWrap/>
            <w:vAlign w:val="center"/>
          </w:tcPr>
          <w:p w14:paraId="706A85F1">
            <w:pPr>
              <w:keepNext w:val="0"/>
              <w:keepLines w:val="0"/>
              <w:pageBreakBefore w:val="0"/>
              <w:widowControl/>
              <w:suppressLineNumbers w:val="0"/>
              <w:tabs>
                <w:tab w:val="left" w:pos="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w:t>
            </w:r>
          </w:p>
        </w:tc>
        <w:tc>
          <w:tcPr>
            <w:tcW w:w="487" w:type="pct"/>
            <w:noWrap w:val="0"/>
            <w:vAlign w:val="center"/>
          </w:tcPr>
          <w:p w14:paraId="5C495D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技术支持</w:t>
            </w:r>
          </w:p>
        </w:tc>
        <w:tc>
          <w:tcPr>
            <w:tcW w:w="1052" w:type="pct"/>
            <w:gridSpan w:val="2"/>
            <w:noWrap w:val="0"/>
            <w:vAlign w:val="center"/>
          </w:tcPr>
          <w:p w14:paraId="1A4627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人员驻点（一年）</w:t>
            </w:r>
          </w:p>
        </w:tc>
        <w:tc>
          <w:tcPr>
            <w:tcW w:w="3119" w:type="pct"/>
            <w:noWrap w:val="0"/>
            <w:vAlign w:val="center"/>
          </w:tcPr>
          <w:p w14:paraId="52644900">
            <w:pPr>
              <w:keepNext w:val="0"/>
              <w:keepLines w:val="0"/>
              <w:pageBreakBefore w:val="0"/>
              <w:widowControl/>
              <w:numPr>
                <w:ilvl w:val="0"/>
                <w:numId w:val="4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无人机航线规划与动态更新；</w:t>
            </w:r>
          </w:p>
          <w:p w14:paraId="6E3210AD">
            <w:pPr>
              <w:keepNext w:val="0"/>
              <w:keepLines w:val="0"/>
              <w:pageBreakBefore w:val="0"/>
              <w:widowControl/>
              <w:numPr>
                <w:ilvl w:val="0"/>
                <w:numId w:val="4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运维队伍管理、事件管理、执法办案、规划管控、基础管控等子系统；</w:t>
            </w:r>
          </w:p>
          <w:p w14:paraId="0E49DBAA">
            <w:pPr>
              <w:keepNext w:val="0"/>
              <w:keepLines w:val="0"/>
              <w:pageBreakBefore w:val="0"/>
              <w:widowControl/>
              <w:numPr>
                <w:ilvl w:val="0"/>
                <w:numId w:val="45"/>
              </w:numPr>
              <w:suppressLineNumbers w:val="0"/>
              <w:kinsoku/>
              <w:wordWrap/>
              <w:overflowPunct/>
              <w:topLinePunct w:val="0"/>
              <w:autoSpaceDE/>
              <w:autoSpaceDN/>
              <w:bidi w:val="0"/>
              <w:adjustRightInd/>
              <w:snapToGrid/>
              <w:ind w:left="425" w:leftChars="0" w:hanging="425" w:firstLineChars="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漏洞修复及网络安全的响应；</w:t>
            </w:r>
          </w:p>
        </w:tc>
      </w:tr>
    </w:tbl>
    <w:p w14:paraId="6F520EE5">
      <w:pPr>
        <w:pStyle w:val="8"/>
        <w:keepNext w:val="0"/>
        <w:keepLines w:val="0"/>
        <w:pageBreakBefore w:val="0"/>
        <w:widowControl w:val="0"/>
        <w:kinsoku/>
        <w:wordWrap/>
        <w:overflowPunct/>
        <w:topLinePunct w:val="0"/>
        <w:autoSpaceDE/>
        <w:autoSpaceDN/>
        <w:bidi w:val="0"/>
        <w:adjustRightInd/>
        <w:snapToGrid/>
        <w:spacing w:after="0" w:line="420" w:lineRule="exact"/>
        <w:ind w:left="0" w:leftChars="0" w:firstLine="0" w:firstLineChars="0"/>
        <w:textAlignment w:val="auto"/>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bCs/>
          <w:i w:val="0"/>
          <w:iCs/>
          <w:color w:val="000000" w:themeColor="text1"/>
          <w:sz w:val="24"/>
          <w:szCs w:val="24"/>
          <w:highlight w:val="none"/>
          <w:u w:val="none"/>
          <w:lang w:val="en-US" w:eastAsia="zh-CN"/>
          <w14:textFill>
            <w14:solidFill>
              <w14:schemeClr w14:val="tx1"/>
            </w14:solidFill>
          </w14:textFill>
        </w:rPr>
        <w:t>★注：</w:t>
      </w:r>
      <w:r>
        <w:rPr>
          <w:rFonts w:hint="eastAsia" w:ascii="仿宋" w:hAnsi="仿宋" w:eastAsia="仿宋" w:cs="仿宋"/>
          <w:i w:val="0"/>
          <w:iCs/>
          <w:color w:val="000000" w:themeColor="text1"/>
          <w:sz w:val="24"/>
          <w:szCs w:val="24"/>
          <w:highlight w:val="none"/>
          <w:u w:val="none"/>
          <w:lang w:val="en-US" w:eastAsia="zh-CN"/>
          <w14:textFill>
            <w14:solidFill>
              <w14:schemeClr w14:val="tx1"/>
            </w14:solidFill>
          </w14:textFill>
        </w:rPr>
        <w:t>投标人需提供承诺函，承诺所投标的</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可以完整</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接入综合执法局原有M300RTK、精灵4无人机设备，承诺在项目生命周期内承担算法的调优及更新工作，承诺函格式自拟，不满足做无效标处理。</w:t>
      </w:r>
    </w:p>
    <w:p w14:paraId="4148D3FC">
      <w:pPr>
        <w:keepNext w:val="0"/>
        <w:keepLines w:val="0"/>
        <w:pageBreakBefore w:val="0"/>
        <w:widowControl w:val="0"/>
        <w:kinsoku/>
        <w:wordWrap/>
        <w:overflowPunct/>
        <w:topLinePunct w:val="0"/>
        <w:autoSpaceDE/>
        <w:autoSpaceDN/>
        <w:bidi w:val="0"/>
        <w:adjustRightInd/>
        <w:snapToGrid/>
        <w:spacing w:before="157" w:beforeLines="50" w:line="4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项目实施</w:t>
      </w:r>
    </w:p>
    <w:p w14:paraId="4C2692CD">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2"/>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1、项目实施总体要求</w:t>
      </w:r>
    </w:p>
    <w:p w14:paraId="6F1BAA48">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投标人应在项目实施前向采购人提交详尽的项目实施方案和实施计划，采购人审核同意后方可进行项目实施工作。投标人应在系统实施方案中描述具体的实施团队的组成、工作的内容、投入人员、项目实施计划、项目进程表及采购人的配合等内容。投标人能够针对本项目提供完整、详细、准确、可行的整体解决方案并负责工程实施，包括但不仅限于系统方案制定、软件开发、用例测试、设备配置、系统联调、业务开通及割接等工作。</w:t>
      </w:r>
    </w:p>
    <w:p w14:paraId="478BA066">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1.2</w:t>
      </w:r>
      <w:r>
        <w:rPr>
          <w:rFonts w:hint="eastAsia" w:ascii="仿宋" w:hAnsi="仿宋" w:eastAsia="仿宋" w:cs="仿宋"/>
          <w:color w:val="000000" w:themeColor="text1"/>
          <w:kern w:val="0"/>
          <w:sz w:val="24"/>
          <w:szCs w:val="24"/>
          <w:highlight w:val="none"/>
          <w:lang w:bidi="ar"/>
          <w14:textFill>
            <w14:solidFill>
              <w14:schemeClr w14:val="tx1"/>
            </w14:solidFill>
          </w14:textFill>
        </w:rPr>
        <w:t>项目须由中标人实施不允许</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整体</w:t>
      </w:r>
      <w:r>
        <w:rPr>
          <w:rFonts w:hint="eastAsia" w:ascii="仿宋" w:hAnsi="仿宋" w:eastAsia="仿宋" w:cs="仿宋"/>
          <w:color w:val="000000" w:themeColor="text1"/>
          <w:kern w:val="0"/>
          <w:sz w:val="24"/>
          <w:szCs w:val="24"/>
          <w:highlight w:val="none"/>
          <w:lang w:bidi="ar"/>
          <w14:textFill>
            <w14:solidFill>
              <w14:schemeClr w14:val="tx1"/>
            </w14:solidFill>
          </w14:textFill>
        </w:rPr>
        <w:t>转包，如发现项目</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整体</w:t>
      </w:r>
      <w:r>
        <w:rPr>
          <w:rFonts w:hint="eastAsia" w:ascii="仿宋" w:hAnsi="仿宋" w:eastAsia="仿宋" w:cs="仿宋"/>
          <w:color w:val="000000" w:themeColor="text1"/>
          <w:kern w:val="0"/>
          <w:sz w:val="24"/>
          <w:szCs w:val="24"/>
          <w:highlight w:val="none"/>
          <w:lang w:bidi="ar"/>
          <w14:textFill>
            <w14:solidFill>
              <w14:schemeClr w14:val="tx1"/>
            </w14:solidFill>
          </w14:textFill>
        </w:rPr>
        <w:t>转包情况，采购人有权解除合同、没收履约保证金并追究中标人的违约责任。</w:t>
      </w:r>
    </w:p>
    <w:p w14:paraId="187B750B">
      <w:pPr>
        <w:pStyle w:val="9"/>
        <w:keepNext w:val="0"/>
        <w:keepLines w:val="0"/>
        <w:pageBreakBefore w:val="0"/>
        <w:widowControl w:val="0"/>
        <w:kinsoku/>
        <w:wordWrap/>
        <w:overflowPunct/>
        <w:topLinePunct w:val="0"/>
        <w:autoSpaceDE w:val="0"/>
        <w:autoSpaceDN w:val="0"/>
        <w:bidi w:val="0"/>
        <w:adjustRightInd w:val="0"/>
        <w:spacing w:after="0" w:afterLines="0"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u w:val="single"/>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项目实施所需的工具、仪表及其他安装调试设备材料等应由投标人自行解决。投标人在实施过程中应严格执行相关的安全实施规范，在实施过程中和质保期间所产生的一切安全责任均由投标人自行承担。</w:t>
      </w:r>
    </w:p>
    <w:p w14:paraId="53C28D2B">
      <w:pPr>
        <w:pStyle w:val="8"/>
        <w:keepNext w:val="0"/>
        <w:keepLines w:val="0"/>
        <w:pageBreakBefore w:val="0"/>
        <w:widowControl w:val="0"/>
        <w:kinsoku/>
        <w:wordWrap/>
        <w:overflowPunct/>
        <w:topLinePunct w:val="0"/>
        <w:autoSpaceDE w:val="0"/>
        <w:autoSpaceDN w:val="0"/>
        <w:bidi w:val="0"/>
        <w:adjustRightInd w:val="0"/>
        <w:spacing w:after="0" w:afterLines="0"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若在项目实施过程中发现招标文件中遗漏或缺少系统正常运行必要的软件模块、接口、硬件配件或服务等配套产品，供应商有义务在</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中指出，并提出解决方案供采购人、采购机构参考。若项目系统因缺少必要软件模块、接口、硬件配件或服务等配套产品而导致采购人系统无法正常运行的，投标人有义务保证采购人系统的完整性，须承诺免费提供。</w:t>
      </w:r>
    </w:p>
    <w:p w14:paraId="12B34614">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2"/>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2、项目进度要求</w:t>
      </w:r>
    </w:p>
    <w:p w14:paraId="24A63746">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自合同签订生效后，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u w:val="none"/>
          <w14:textFill>
            <w14:solidFill>
              <w14:schemeClr w14:val="tx1"/>
            </w14:solidFill>
          </w14:textFill>
        </w:rPr>
        <w:t>个月</w:t>
      </w:r>
      <w:r>
        <w:rPr>
          <w:rFonts w:hint="eastAsia" w:ascii="仿宋" w:hAnsi="仿宋" w:eastAsia="仿宋" w:cs="仿宋"/>
          <w:color w:val="000000" w:themeColor="text1"/>
          <w:sz w:val="24"/>
          <w:szCs w:val="24"/>
          <w:highlight w:val="none"/>
          <w14:textFill>
            <w14:solidFill>
              <w14:schemeClr w14:val="tx1"/>
            </w14:solidFill>
          </w14:textFill>
        </w:rPr>
        <w:t>内完成项目所有建设内容，包括软件系统开发部署、软硬件系统联调、系统对接和技术培训等工作。</w:t>
      </w:r>
      <w:r>
        <w:rPr>
          <w:rFonts w:hint="eastAsia" w:ascii="仿宋" w:hAnsi="仿宋" w:eastAsia="仿宋" w:cs="仿宋"/>
          <w:color w:val="000000" w:themeColor="text1"/>
          <w:kern w:val="0"/>
          <w:sz w:val="24"/>
          <w:szCs w:val="24"/>
          <w:highlight w:val="none"/>
          <w14:textFill>
            <w14:solidFill>
              <w14:schemeClr w14:val="tx1"/>
            </w14:solidFill>
          </w14:textFill>
        </w:rPr>
        <w:t>项目完工后，</w:t>
      </w:r>
      <w:r>
        <w:rPr>
          <w:rFonts w:hint="eastAsia" w:ascii="仿宋" w:hAnsi="仿宋" w:eastAsia="仿宋" w:cs="仿宋"/>
          <w:color w:val="000000" w:themeColor="text1"/>
          <w:sz w:val="24"/>
          <w:szCs w:val="24"/>
          <w:highlight w:val="none"/>
          <w14:textFill>
            <w14:solidFill>
              <w14:schemeClr w14:val="tx1"/>
            </w14:solidFill>
          </w14:textFill>
        </w:rPr>
        <w:t>自测合格后可向</w:t>
      </w:r>
      <w:r>
        <w:rPr>
          <w:rFonts w:hint="eastAsia" w:ascii="仿宋" w:hAnsi="仿宋" w:eastAsia="仿宋" w:cs="仿宋"/>
          <w:color w:val="000000" w:themeColor="text1"/>
          <w:kern w:val="0"/>
          <w:sz w:val="24"/>
          <w:szCs w:val="24"/>
          <w:highlight w:val="none"/>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书面申请系统试运行，经</w:t>
      </w:r>
      <w:r>
        <w:rPr>
          <w:rFonts w:hint="eastAsia" w:ascii="仿宋" w:hAnsi="仿宋" w:eastAsia="仿宋" w:cs="仿宋"/>
          <w:color w:val="000000" w:themeColor="text1"/>
          <w:kern w:val="0"/>
          <w:sz w:val="24"/>
          <w:szCs w:val="24"/>
          <w:highlight w:val="none"/>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确认后，项目进入试运行阶段</w:t>
      </w:r>
      <w:r>
        <w:rPr>
          <w:rFonts w:hint="eastAsia" w:ascii="仿宋" w:hAnsi="仿宋" w:eastAsia="仿宋" w:cs="仿宋"/>
          <w:color w:val="000000" w:themeColor="text1"/>
          <w:kern w:val="0"/>
          <w:sz w:val="24"/>
          <w:szCs w:val="24"/>
          <w:highlight w:val="none"/>
          <w14:textFill>
            <w14:solidFill>
              <w14:schemeClr w14:val="tx1"/>
            </w14:solidFill>
          </w14:textFill>
        </w:rPr>
        <w:t>；系统正常试运行满一个月后，并经采购人确认满足验收条件后，由采购人组织项目验收。</w:t>
      </w:r>
    </w:p>
    <w:p w14:paraId="22251A5A">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2"/>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3、项目管理要求</w:t>
      </w:r>
    </w:p>
    <w:p w14:paraId="79D3D0CB">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3.1</w:t>
      </w:r>
      <w:r>
        <w:rPr>
          <w:rFonts w:hint="eastAsia" w:ascii="仿宋" w:hAnsi="仿宋" w:eastAsia="仿宋" w:cs="仿宋"/>
          <w:color w:val="000000" w:themeColor="text1"/>
          <w:kern w:val="0"/>
          <w:sz w:val="24"/>
          <w:szCs w:val="24"/>
          <w:highlight w:val="none"/>
          <w:lang w:bidi="ar"/>
          <w14:textFill>
            <w14:solidFill>
              <w14:schemeClr w14:val="tx1"/>
            </w14:solidFill>
          </w14:textFill>
        </w:rPr>
        <w:t>投标人应充分考虑满足本项目的建设要求，在</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投标文件</w:t>
      </w:r>
      <w:r>
        <w:rPr>
          <w:rFonts w:hint="eastAsia" w:ascii="仿宋" w:hAnsi="仿宋" w:eastAsia="仿宋" w:cs="仿宋"/>
          <w:color w:val="000000" w:themeColor="text1"/>
          <w:kern w:val="0"/>
          <w:sz w:val="24"/>
          <w:szCs w:val="24"/>
          <w:highlight w:val="none"/>
          <w:lang w:bidi="ar"/>
          <w14:textFill>
            <w14:solidFill>
              <w14:schemeClr w14:val="tx1"/>
            </w14:solidFill>
          </w14:textFill>
        </w:rPr>
        <w:t>中提出完整的项目管理、项目组织施工设计、人员培训、项目验收和售后服务等方案。</w:t>
      </w:r>
      <w:r>
        <w:rPr>
          <w:rFonts w:hint="eastAsia" w:ascii="仿宋" w:hAnsi="仿宋" w:eastAsia="仿宋" w:cs="仿宋"/>
          <w:color w:val="000000" w:themeColor="text1"/>
          <w:kern w:val="0"/>
          <w:sz w:val="24"/>
          <w:szCs w:val="24"/>
          <w:highlight w:val="none"/>
          <w14:textFill>
            <w14:solidFill>
              <w14:schemeClr w14:val="tx1"/>
            </w14:solidFill>
          </w14:textFill>
        </w:rPr>
        <w:t>应根据对项目的理解作出项目的人员配置管理计划，包括组织结构、项目负责人、组成人员及分工职责。</w:t>
      </w:r>
    </w:p>
    <w:p w14:paraId="5F660651">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3.2</w:t>
      </w:r>
      <w:r>
        <w:rPr>
          <w:rFonts w:hint="eastAsia" w:ascii="仿宋" w:hAnsi="仿宋" w:eastAsia="仿宋" w:cs="仿宋"/>
          <w:color w:val="000000" w:themeColor="text1"/>
          <w:kern w:val="0"/>
          <w:sz w:val="24"/>
          <w:szCs w:val="24"/>
          <w:highlight w:val="none"/>
          <w:lang w:bidi="ar"/>
          <w14:textFill>
            <w14:solidFill>
              <w14:schemeClr w14:val="tx1"/>
            </w14:solidFill>
          </w14:textFill>
        </w:rPr>
        <w:t>投标人在</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投标文件</w:t>
      </w:r>
      <w:r>
        <w:rPr>
          <w:rFonts w:hint="eastAsia" w:ascii="仿宋" w:hAnsi="仿宋" w:eastAsia="仿宋" w:cs="仿宋"/>
          <w:color w:val="000000" w:themeColor="text1"/>
          <w:kern w:val="0"/>
          <w:sz w:val="24"/>
          <w:szCs w:val="24"/>
          <w:highlight w:val="none"/>
          <w:lang w:bidi="ar"/>
          <w14:textFill>
            <w14:solidFill>
              <w14:schemeClr w14:val="tx1"/>
            </w14:solidFill>
          </w14:textFill>
        </w:rPr>
        <w:t>中应根据对项目的理解作出项目实施的初步计划，成为中标人后必须提交正式实施方案，明确招标项目工作的方式、方法、过程步骤、按阶段分解的详细计划、对应计划应提交的工作成果、需要采购人协调与配合的事项，并经采购人审核批准后实施。</w:t>
      </w:r>
    </w:p>
    <w:p w14:paraId="352982BC">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3.3</w:t>
      </w:r>
      <w:r>
        <w:rPr>
          <w:rFonts w:hint="eastAsia" w:ascii="仿宋" w:hAnsi="仿宋" w:eastAsia="仿宋" w:cs="仿宋"/>
          <w:color w:val="000000" w:themeColor="text1"/>
          <w:kern w:val="0"/>
          <w:sz w:val="24"/>
          <w:szCs w:val="24"/>
          <w:highlight w:val="none"/>
          <w:lang w:bidi="ar"/>
          <w14:textFill>
            <w14:solidFill>
              <w14:schemeClr w14:val="tx1"/>
            </w14:solidFill>
          </w14:textFill>
        </w:rPr>
        <w:t>中标人在项目实施过程中必须分别按周提交进度报告，对项目问题及进度延迟原因进行说明，制定合理的解决措施并有效执行。</w:t>
      </w:r>
    </w:p>
    <w:p w14:paraId="2CFAFB6A">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2"/>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4、系统测试要求</w:t>
      </w:r>
    </w:p>
    <w:p w14:paraId="58D26595">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项目建设完成后，经采购人和中标人双方确认后进行软硬件系统测试。软硬件系统测试由中标人负责，采购人和</w:t>
      </w:r>
      <w:r>
        <w:rPr>
          <w:rFonts w:hint="eastAsia" w:ascii="仿宋" w:hAnsi="仿宋" w:eastAsia="仿宋" w:cs="仿宋"/>
          <w:color w:val="000000" w:themeColor="text1"/>
          <w:sz w:val="24"/>
          <w:szCs w:val="24"/>
          <w:highlight w:val="none"/>
          <w:lang w:val="en-US" w:eastAsia="zh-CN"/>
          <w14:textFill>
            <w14:solidFill>
              <w14:schemeClr w14:val="tx1"/>
            </w14:solidFill>
          </w14:textFill>
        </w:rPr>
        <w:t>诸暨市综合行政执法局</w:t>
      </w:r>
      <w:r>
        <w:rPr>
          <w:rFonts w:hint="eastAsia" w:ascii="仿宋" w:hAnsi="仿宋" w:eastAsia="仿宋" w:cs="仿宋"/>
          <w:color w:val="000000" w:themeColor="text1"/>
          <w:kern w:val="0"/>
          <w:sz w:val="24"/>
          <w:szCs w:val="24"/>
          <w:highlight w:val="none"/>
          <w:lang w:bidi="ar"/>
          <w14:textFill>
            <w14:solidFill>
              <w14:schemeClr w14:val="tx1"/>
            </w14:solidFill>
          </w14:textFill>
        </w:rPr>
        <w:t>派人参与，测试项目建设的需求完成度。</w:t>
      </w:r>
    </w:p>
    <w:p w14:paraId="4CD01BEC">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4.1</w:t>
      </w:r>
      <w:r>
        <w:rPr>
          <w:rFonts w:hint="eastAsia" w:ascii="仿宋" w:hAnsi="仿宋" w:eastAsia="仿宋" w:cs="仿宋"/>
          <w:color w:val="000000" w:themeColor="text1"/>
          <w:kern w:val="0"/>
          <w:sz w:val="24"/>
          <w:szCs w:val="24"/>
          <w:highlight w:val="none"/>
          <w:lang w:bidi="ar"/>
          <w14:textFill>
            <w14:solidFill>
              <w14:schemeClr w14:val="tx1"/>
            </w14:solidFill>
          </w14:textFill>
        </w:rPr>
        <w:t>采购人若发现软硬件系统功能、性能、安全性不符合招标要求，有权要求中标人进行功能、性能和质量的第三方测试。中标人需积极配合，并承担相应评测费用。如因中标人不配合采购人提出的第三方测试而导致项目延期，一切责任由中标人承担。</w:t>
      </w:r>
    </w:p>
    <w:p w14:paraId="2F6FECDB">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4.2</w:t>
      </w:r>
      <w:r>
        <w:rPr>
          <w:rFonts w:hint="eastAsia" w:ascii="仿宋" w:hAnsi="仿宋" w:eastAsia="仿宋" w:cs="仿宋"/>
          <w:color w:val="000000" w:themeColor="text1"/>
          <w:kern w:val="0"/>
          <w:sz w:val="24"/>
          <w:szCs w:val="24"/>
          <w:highlight w:val="none"/>
          <w:lang w:bidi="ar"/>
          <w14:textFill>
            <w14:solidFill>
              <w14:schemeClr w14:val="tx1"/>
            </w14:solidFill>
          </w14:textFill>
        </w:rPr>
        <w:t>测试将依据本招标文件项目技术要求及项目功能、性能、质量及安全等要求。</w:t>
      </w:r>
    </w:p>
    <w:p w14:paraId="5F9B1103">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4.3</w:t>
      </w:r>
      <w:r>
        <w:rPr>
          <w:rFonts w:hint="eastAsia" w:ascii="仿宋" w:hAnsi="仿宋" w:eastAsia="仿宋" w:cs="仿宋"/>
          <w:color w:val="000000" w:themeColor="text1"/>
          <w:kern w:val="0"/>
          <w:sz w:val="24"/>
          <w:szCs w:val="24"/>
          <w:highlight w:val="none"/>
          <w:lang w:bidi="ar"/>
          <w14:textFill>
            <w14:solidFill>
              <w14:schemeClr w14:val="tx1"/>
            </w14:solidFill>
          </w14:textFill>
        </w:rPr>
        <w:t>如第三方测试未通过，中标人需在30天内进行整改，</w:t>
      </w:r>
      <w:r>
        <w:rPr>
          <w:rFonts w:hint="eastAsia" w:ascii="仿宋" w:hAnsi="仿宋" w:eastAsia="仿宋" w:cs="仿宋"/>
          <w:color w:val="000000" w:themeColor="text1"/>
          <w:kern w:val="0"/>
          <w:sz w:val="24"/>
          <w:szCs w:val="24"/>
          <w:highlight w:val="none"/>
          <w14:textFill>
            <w14:solidFill>
              <w14:schemeClr w14:val="tx1"/>
            </w14:solidFill>
          </w14:textFill>
        </w:rPr>
        <w:t>若</w:t>
      </w:r>
      <w:r>
        <w:rPr>
          <w:rFonts w:hint="eastAsia" w:ascii="仿宋" w:hAnsi="仿宋" w:eastAsia="仿宋" w:cs="仿宋"/>
          <w:bCs/>
          <w:color w:val="000000" w:themeColor="text1"/>
          <w:sz w:val="24"/>
          <w:szCs w:val="24"/>
          <w:highlight w:val="none"/>
          <w14:textFill>
            <w14:solidFill>
              <w14:schemeClr w14:val="tx1"/>
            </w14:solidFill>
          </w14:textFill>
        </w:rPr>
        <w:t>中标人</w:t>
      </w:r>
      <w:r>
        <w:rPr>
          <w:rFonts w:hint="eastAsia" w:ascii="仿宋" w:hAnsi="仿宋" w:eastAsia="仿宋" w:cs="仿宋"/>
          <w:color w:val="000000" w:themeColor="text1"/>
          <w:kern w:val="0"/>
          <w:sz w:val="24"/>
          <w:szCs w:val="24"/>
          <w:highlight w:val="none"/>
          <w14:textFill>
            <w14:solidFill>
              <w14:schemeClr w14:val="tx1"/>
            </w14:solidFill>
          </w14:textFill>
        </w:rPr>
        <w:t>拒绝进行整改或</w:t>
      </w:r>
      <w:r>
        <w:rPr>
          <w:rFonts w:hint="eastAsia" w:ascii="仿宋" w:hAnsi="仿宋" w:eastAsia="仿宋" w:cs="仿宋"/>
          <w:color w:val="000000" w:themeColor="text1"/>
          <w:kern w:val="0"/>
          <w:sz w:val="24"/>
          <w:szCs w:val="24"/>
          <w:highlight w:val="none"/>
          <w:lang w:bidi="ar"/>
          <w14:textFill>
            <w14:solidFill>
              <w14:schemeClr w14:val="tx1"/>
            </w14:solidFill>
          </w14:textFill>
        </w:rPr>
        <w:t>在30天内整改后仍未达到招标要求，采购人</w:t>
      </w:r>
      <w:r>
        <w:rPr>
          <w:rFonts w:hint="eastAsia" w:ascii="仿宋" w:hAnsi="仿宋" w:eastAsia="仿宋" w:cs="仿宋"/>
          <w:color w:val="000000" w:themeColor="text1"/>
          <w:kern w:val="0"/>
          <w:sz w:val="24"/>
          <w:szCs w:val="24"/>
          <w:highlight w:val="none"/>
          <w14:textFill>
            <w14:solidFill>
              <w14:schemeClr w14:val="tx1"/>
            </w14:solidFill>
          </w14:textFill>
        </w:rPr>
        <w:t>可单方面解除合同</w:t>
      </w:r>
      <w:r>
        <w:rPr>
          <w:rFonts w:hint="eastAsia" w:ascii="仿宋" w:hAnsi="仿宋" w:eastAsia="仿宋" w:cs="仿宋"/>
          <w:color w:val="000000" w:themeColor="text1"/>
          <w:kern w:val="0"/>
          <w:sz w:val="24"/>
          <w:szCs w:val="24"/>
          <w:highlight w:val="none"/>
          <w:lang w:bidi="ar"/>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并没收履约保证金，所造成的其他损失由</w:t>
      </w:r>
      <w:r>
        <w:rPr>
          <w:rFonts w:hint="eastAsia" w:ascii="仿宋" w:hAnsi="仿宋" w:eastAsia="仿宋" w:cs="仿宋"/>
          <w:bCs/>
          <w:color w:val="000000" w:themeColor="text1"/>
          <w:sz w:val="24"/>
          <w:szCs w:val="24"/>
          <w:highlight w:val="none"/>
          <w14:textFill>
            <w14:solidFill>
              <w14:schemeClr w14:val="tx1"/>
            </w14:solidFill>
          </w14:textFill>
        </w:rPr>
        <w:t>中标人</w:t>
      </w:r>
      <w:r>
        <w:rPr>
          <w:rFonts w:hint="eastAsia" w:ascii="仿宋" w:hAnsi="仿宋" w:eastAsia="仿宋" w:cs="仿宋"/>
          <w:color w:val="000000" w:themeColor="text1"/>
          <w:kern w:val="0"/>
          <w:sz w:val="24"/>
          <w:szCs w:val="24"/>
          <w:highlight w:val="none"/>
          <w14:textFill>
            <w14:solidFill>
              <w14:schemeClr w14:val="tx1"/>
            </w14:solidFill>
          </w14:textFill>
        </w:rPr>
        <w:t>负责。</w:t>
      </w:r>
    </w:p>
    <w:p w14:paraId="3FDA614D">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2"/>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5、技术培训要求</w:t>
      </w:r>
    </w:p>
    <w:p w14:paraId="1EAE1841">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人必须根据项目软件系统的功能和特点，充分考虑到系统使用人员实际水平，提出详细的系统培训方案。目标是通过系统培训使系统管理人员和操作人员能独立进行相应应用与管理、故障处理、日常维护等工作，确保系统能正常安全运行。中标人未按采购人（或使用单位）要求开展培训，采购人可拒绝项目验收。</w:t>
      </w:r>
    </w:p>
    <w:p w14:paraId="18553EB1">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技术培训费用应包含在投标总价中，技术培训要求在系统试运行期间完成。</w:t>
      </w:r>
    </w:p>
    <w:p w14:paraId="77F825C2">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技术培训应包括但不仅限于下列内容：</w:t>
      </w:r>
    </w:p>
    <w:p w14:paraId="10BF881A">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5.1</w:t>
      </w:r>
      <w:r>
        <w:rPr>
          <w:rFonts w:hint="eastAsia" w:ascii="仿宋" w:hAnsi="仿宋" w:eastAsia="仿宋" w:cs="仿宋"/>
          <w:color w:val="000000" w:themeColor="text1"/>
          <w:sz w:val="24"/>
          <w:szCs w:val="24"/>
          <w:highlight w:val="none"/>
          <w14:textFill>
            <w14:solidFill>
              <w14:schemeClr w14:val="tx1"/>
            </w14:solidFill>
          </w14:textFill>
        </w:rPr>
        <w:t>中标人有责任完成对使用单位相关人员组织具有针对性的培训课程，培训内容要求分为三类，分别为系统开发和管理培训、运行与维护管理培训和用户使用培训。软件日常操作培训主要面向系统管理员等使用系统的人员；软件日常维护系统培训主要面向</w:t>
      </w:r>
      <w:r>
        <w:rPr>
          <w:rFonts w:hint="eastAsia" w:ascii="仿宋" w:hAnsi="仿宋" w:eastAsia="仿宋" w:cs="仿宋"/>
          <w:color w:val="000000" w:themeColor="text1"/>
          <w:sz w:val="24"/>
          <w:szCs w:val="24"/>
          <w:highlight w:val="none"/>
          <w:lang w:val="en-US" w:eastAsia="zh-CN"/>
          <w14:textFill>
            <w14:solidFill>
              <w14:schemeClr w14:val="tx1"/>
            </w14:solidFill>
          </w14:textFill>
        </w:rPr>
        <w:t>诸暨市综合行政执法局</w:t>
      </w:r>
      <w:r>
        <w:rPr>
          <w:rFonts w:hint="eastAsia" w:ascii="仿宋" w:hAnsi="仿宋" w:eastAsia="仿宋" w:cs="仿宋"/>
          <w:color w:val="000000" w:themeColor="text1"/>
          <w:sz w:val="24"/>
          <w:szCs w:val="24"/>
          <w:highlight w:val="none"/>
          <w14:textFill>
            <w14:solidFill>
              <w14:schemeClr w14:val="tx1"/>
            </w14:solidFill>
          </w14:textFill>
        </w:rPr>
        <w:t>信息化管理技术人员进行培训，使其具备独立进行软件日常维护、故障的诊断与处理等方面的培训。</w:t>
      </w:r>
    </w:p>
    <w:p w14:paraId="1D532A46">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5.2</w:t>
      </w:r>
      <w:r>
        <w:rPr>
          <w:rFonts w:hint="eastAsia" w:ascii="仿宋" w:hAnsi="仿宋" w:eastAsia="仿宋" w:cs="仿宋"/>
          <w:color w:val="000000" w:themeColor="text1"/>
          <w:sz w:val="24"/>
          <w:szCs w:val="24"/>
          <w:highlight w:val="none"/>
          <w14:textFill>
            <w14:solidFill>
              <w14:schemeClr w14:val="tx1"/>
            </w14:solidFill>
          </w14:textFill>
        </w:rPr>
        <w:t>培训形式包括但不仅限于集中培训、现场培训、上机培训、培训考核。</w:t>
      </w:r>
    </w:p>
    <w:p w14:paraId="0A1B68A3">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5.3</w:t>
      </w:r>
      <w:r>
        <w:rPr>
          <w:rFonts w:hint="eastAsia" w:ascii="仿宋" w:hAnsi="仿宋" w:eastAsia="仿宋" w:cs="仿宋"/>
          <w:color w:val="000000" w:themeColor="text1"/>
          <w:sz w:val="24"/>
          <w:szCs w:val="24"/>
          <w:highlight w:val="none"/>
          <w14:textFill>
            <w14:solidFill>
              <w14:schemeClr w14:val="tx1"/>
            </w14:solidFill>
          </w14:textFill>
        </w:rPr>
        <w:t>培训时间、周期、频率和培训人数均由采购人指定，以满足系统正常上线、相关人员均可独立熟练操作为准。</w:t>
      </w:r>
    </w:p>
    <w:p w14:paraId="557DC4E0">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5.4</w:t>
      </w:r>
      <w:r>
        <w:rPr>
          <w:rFonts w:hint="eastAsia" w:ascii="仿宋" w:hAnsi="仿宋" w:eastAsia="仿宋" w:cs="仿宋"/>
          <w:color w:val="000000" w:themeColor="text1"/>
          <w:sz w:val="24"/>
          <w:szCs w:val="24"/>
          <w:highlight w:val="none"/>
          <w14:textFill>
            <w14:solidFill>
              <w14:schemeClr w14:val="tx1"/>
            </w14:solidFill>
          </w14:textFill>
        </w:rPr>
        <w:t>中标方派出的培训教员必须是投标单位的正式雇员或专业的授权培训机构雇员，应具备丰富的相同课程教学经验，并为被培训人员提供完整的培训资料、培训计划等文档。如果使用第三方培训机构，投标单位应在</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中提供培训机构的名称，并能根据情况调整。</w:t>
      </w:r>
    </w:p>
    <w:p w14:paraId="11C3428D">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2"/>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6、项目验收要求</w:t>
      </w:r>
    </w:p>
    <w:p w14:paraId="282A3B39">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6.1</w:t>
      </w:r>
      <w:r>
        <w:rPr>
          <w:rFonts w:hint="eastAsia" w:ascii="仿宋" w:hAnsi="仿宋" w:eastAsia="仿宋" w:cs="仿宋"/>
          <w:color w:val="000000" w:themeColor="text1"/>
          <w:sz w:val="24"/>
          <w:szCs w:val="24"/>
          <w:highlight w:val="none"/>
          <w14:textFill>
            <w14:solidFill>
              <w14:schemeClr w14:val="tx1"/>
            </w14:solidFill>
          </w14:textFill>
        </w:rPr>
        <w:t>项目实施完成后，由采购人根据国家关于项目验收的有关规定和合同规定进行验收。采购文件条款、</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承诺及国家有关的质量检验标准均为验收的依据。验收具体工作由采购人、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诸暨市综合行政执法局</w:t>
      </w:r>
      <w:r>
        <w:rPr>
          <w:rFonts w:hint="eastAsia" w:ascii="仿宋" w:hAnsi="仿宋" w:eastAsia="仿宋" w:cs="仿宋"/>
          <w:color w:val="000000" w:themeColor="text1"/>
          <w:sz w:val="24"/>
          <w:szCs w:val="24"/>
          <w:highlight w:val="none"/>
          <w14:textFill>
            <w14:solidFill>
              <w14:schemeClr w14:val="tx1"/>
            </w14:solidFill>
          </w14:textFill>
        </w:rPr>
        <w:t>和中标人三方派代表参与筹备。</w:t>
      </w:r>
    </w:p>
    <w:p w14:paraId="142D40C7">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6.2</w:t>
      </w:r>
      <w:r>
        <w:rPr>
          <w:rFonts w:hint="eastAsia" w:ascii="仿宋" w:hAnsi="仿宋" w:eastAsia="仿宋" w:cs="仿宋"/>
          <w:color w:val="000000" w:themeColor="text1"/>
          <w:sz w:val="24"/>
          <w:szCs w:val="24"/>
          <w:highlight w:val="none"/>
          <w14:textFill>
            <w14:solidFill>
              <w14:schemeClr w14:val="tx1"/>
            </w14:solidFill>
          </w14:textFill>
        </w:rPr>
        <w:t>项目实施完成后由中标人对软硬件系统和外场设施进行自测，应确保项目各系统功能、性能满足采购人需求，自测合格后可向采购人书面申请系统试运行，经采购人确认后，项目进入试运行阶段。在试运行期间，中标人应使项目任何故障或问题都能在收到故障通知后尽快（含节假日期间）被修复和解决，并且所有试运行期间软件的修改和故障的修复细节都应记录在试运行报告中；系统正常试运行满一个月后，中标人可向采购人书面申请竣工验收，经采购人确认后，由采购人组织验收小组进行项目竣工验收。项目竣工验收合格后，进入项目质保期。</w:t>
      </w:r>
    </w:p>
    <w:p w14:paraId="430AADE6">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6.3</w:t>
      </w:r>
      <w:r>
        <w:rPr>
          <w:rFonts w:hint="eastAsia" w:ascii="仿宋" w:hAnsi="仿宋" w:eastAsia="仿宋" w:cs="仿宋"/>
          <w:color w:val="000000" w:themeColor="text1"/>
          <w:sz w:val="24"/>
          <w:szCs w:val="24"/>
          <w:highlight w:val="none"/>
          <w14:textFill>
            <w14:solidFill>
              <w14:schemeClr w14:val="tx1"/>
            </w14:solidFill>
          </w14:textFill>
        </w:rPr>
        <w:t>项目验收时，中标人应按采购人和监理方（如有）要求将所有项目文档完整移交采购人，包括但不限于：项目实施方案、实施计划，系统备份方案，应急方案，项目需求规格说明书，概要设计说明书，详细设计说明书，数据库设计说明书，系统测试方案，系统测试报告，项目培训资料，使用操作手册，试运行报告，使用单位用户报告，项目总结报告。</w:t>
      </w:r>
    </w:p>
    <w:p w14:paraId="54872208">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7、知识产权</w:t>
      </w:r>
    </w:p>
    <w:p w14:paraId="193585EB">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7.1</w:t>
      </w:r>
      <w:r>
        <w:rPr>
          <w:rFonts w:hint="eastAsia" w:ascii="仿宋" w:hAnsi="仿宋" w:eastAsia="仿宋" w:cs="仿宋"/>
          <w:color w:val="000000" w:themeColor="text1"/>
          <w:sz w:val="24"/>
          <w:szCs w:val="24"/>
          <w:highlight w:val="none"/>
          <w14:textFill>
            <w14:solidFill>
              <w14:schemeClr w14:val="tx1"/>
            </w14:solidFill>
          </w14:textFill>
        </w:rPr>
        <w:t>本项目开发的建设成果（含核心源代码）版权归采购人所有，未经采购人同意，投标人不得自行扩散或提供给第三方使用(但开发前投标人自有的原型系统、技术模块、数据模型、开发工具软件包等知识产权仍属于投标人，采购人可以在本项目范围内使用)。</w:t>
      </w:r>
    </w:p>
    <w:p w14:paraId="6921884D">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7.2</w:t>
      </w:r>
      <w:r>
        <w:rPr>
          <w:rFonts w:hint="eastAsia" w:ascii="仿宋" w:hAnsi="仿宋" w:eastAsia="仿宋" w:cs="仿宋"/>
          <w:color w:val="000000" w:themeColor="text1"/>
          <w:sz w:val="24"/>
          <w:szCs w:val="24"/>
          <w:highlight w:val="none"/>
          <w14:textFill>
            <w14:solidFill>
              <w14:schemeClr w14:val="tx1"/>
            </w14:solidFill>
          </w14:textFill>
        </w:rPr>
        <w:t>投标人须保证交付采购人的软件产品无任何抵押、查封、债务转移等产权瑕疵。投标人须保证所提供软件产品在本项目范围内使用过程中出现知识产权或使用权纠纷，应由投标人负责，若因该纠纷产生的一切损失均由投标人承担，采购人不承担任何责任。</w:t>
      </w:r>
    </w:p>
    <w:p w14:paraId="37ABD911">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7.3</w:t>
      </w:r>
      <w:r>
        <w:rPr>
          <w:rFonts w:hint="eastAsia" w:ascii="仿宋" w:hAnsi="仿宋" w:eastAsia="仿宋" w:cs="仿宋"/>
          <w:color w:val="000000" w:themeColor="text1"/>
          <w:sz w:val="24"/>
          <w:szCs w:val="24"/>
          <w:highlight w:val="none"/>
          <w14:textFill>
            <w14:solidFill>
              <w14:schemeClr w14:val="tx1"/>
            </w14:solidFill>
          </w14:textFill>
        </w:rPr>
        <w:t>项目最终验收时，投标人应提供完整的软件平台包和数据给采购人，并按照软件技术规范的国家标准，提交项目文档，项目中涉及的定制开发功能，投标人应在验收时提交项目实施过程的软件包和数据（数据中台部分需要提供源代码），作为验收主要要素，以备后续维护与后续开发所用，并为采购人提供软件著作权申请（所有申请的知识产权归采购人所有）等做好软件相关的配合工作。</w:t>
      </w:r>
    </w:p>
    <w:p w14:paraId="34612697">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8、质量要求</w:t>
      </w:r>
    </w:p>
    <w:p w14:paraId="75B819F8">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8.1</w:t>
      </w:r>
      <w:r>
        <w:rPr>
          <w:rFonts w:hint="eastAsia" w:ascii="仿宋" w:hAnsi="仿宋" w:eastAsia="仿宋" w:cs="仿宋"/>
          <w:color w:val="000000" w:themeColor="text1"/>
          <w:sz w:val="24"/>
          <w:szCs w:val="24"/>
          <w:highlight w:val="none"/>
          <w14:textFill>
            <w14:solidFill>
              <w14:schemeClr w14:val="tx1"/>
            </w14:solidFill>
          </w14:textFill>
        </w:rPr>
        <w:t>投标人应确保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14:paraId="21B826F3">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8.2</w:t>
      </w:r>
      <w:r>
        <w:rPr>
          <w:rFonts w:hint="eastAsia" w:ascii="仿宋" w:hAnsi="仿宋" w:eastAsia="仿宋" w:cs="仿宋"/>
          <w:color w:val="000000" w:themeColor="text1"/>
          <w:sz w:val="24"/>
          <w:szCs w:val="24"/>
          <w:highlight w:val="none"/>
          <w14:textFill>
            <w14:solidFill>
              <w14:schemeClr w14:val="tx1"/>
            </w14:solidFill>
          </w14:textFill>
        </w:rPr>
        <w:t>投标人须保证所提供产品符合国家有关规定，应确保其产品的完整性、实用性，在使用期内各项功能、性能等指标能满足招标文件和采购人需求，若出现因投标人提供的产品不满足要求、不合理，或者其所提供的技术支持和服务不全面，而导致系统无法实现或不能完全实现的状况，投标人负全部责任。</w:t>
      </w:r>
    </w:p>
    <w:p w14:paraId="0D54F48E">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8.3</w:t>
      </w:r>
      <w:r>
        <w:rPr>
          <w:rFonts w:hint="eastAsia" w:ascii="仿宋" w:hAnsi="仿宋" w:eastAsia="仿宋" w:cs="仿宋"/>
          <w:color w:val="000000" w:themeColor="text1"/>
          <w:sz w:val="24"/>
          <w:szCs w:val="24"/>
          <w:highlight w:val="none"/>
          <w14:textFill>
            <w14:solidFill>
              <w14:schemeClr w14:val="tx1"/>
            </w14:solidFill>
          </w14:textFill>
        </w:rPr>
        <w:t>投标人应保证设备经正确安装、正常运转和保养，保证在在其使用寿命内应具有满意的性能。</w:t>
      </w:r>
    </w:p>
    <w:p w14:paraId="3B004715">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8.4</w:t>
      </w:r>
      <w:r>
        <w:rPr>
          <w:rFonts w:hint="eastAsia" w:ascii="仿宋" w:hAnsi="仿宋" w:eastAsia="仿宋" w:cs="仿宋"/>
          <w:color w:val="000000" w:themeColor="text1"/>
          <w:sz w:val="24"/>
          <w:szCs w:val="24"/>
          <w:highlight w:val="none"/>
          <w14:textFill>
            <w14:solidFill>
              <w14:schemeClr w14:val="tx1"/>
            </w14:solidFill>
          </w14:textFill>
        </w:rPr>
        <w:t>如发生质量异议，采购人有权要求更换产品；若投标人拒绝，按《中华人民共和国产品质量法》等有关规定处理。</w:t>
      </w:r>
    </w:p>
    <w:p w14:paraId="40A4AD61">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9、安全及保密要求</w:t>
      </w:r>
    </w:p>
    <w:p w14:paraId="746EA05D">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9.1</w:t>
      </w:r>
      <w:r>
        <w:rPr>
          <w:rFonts w:hint="eastAsia" w:ascii="仿宋" w:hAnsi="仿宋" w:eastAsia="仿宋" w:cs="仿宋"/>
          <w:color w:val="000000" w:themeColor="text1"/>
          <w:sz w:val="24"/>
          <w:szCs w:val="24"/>
          <w:highlight w:val="none"/>
          <w14:textFill>
            <w14:solidFill>
              <w14:schemeClr w14:val="tx1"/>
            </w14:solidFill>
          </w14:textFill>
        </w:rPr>
        <w:t>投标人应严格保守在合作过程中所了解的采购人的商业及技术机密，否则应对由此造成的损失承担赔偿。</w:t>
      </w:r>
    </w:p>
    <w:p w14:paraId="757B6B1F">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9.2</w:t>
      </w:r>
      <w:r>
        <w:rPr>
          <w:rFonts w:hint="eastAsia" w:ascii="仿宋" w:hAnsi="仿宋" w:eastAsia="仿宋" w:cs="仿宋"/>
          <w:color w:val="000000" w:themeColor="text1"/>
          <w:sz w:val="24"/>
          <w:szCs w:val="24"/>
          <w:highlight w:val="none"/>
          <w14:textFill>
            <w14:solidFill>
              <w14:schemeClr w14:val="tx1"/>
            </w14:solidFill>
          </w14:textFill>
        </w:rPr>
        <w:t>投标人不得出于除履行本项目以外任何目的的披露、传播、复制或使用来自采购人的所有或者部分保密信息；不得在未经采购人书面明确同意的前提下向任何第三方披露本项目相关保密信息；本项目履行完毕后，投标人应当将所有涉及保密信息的载体交还采购人或自行做好管理，不得保留任何形式的存档。</w:t>
      </w:r>
    </w:p>
    <w:p w14:paraId="4360237B">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9.3</w:t>
      </w:r>
      <w:r>
        <w:rPr>
          <w:rFonts w:hint="eastAsia" w:ascii="仿宋" w:hAnsi="仿宋" w:eastAsia="仿宋" w:cs="仿宋"/>
          <w:color w:val="000000" w:themeColor="text1"/>
          <w:sz w:val="24"/>
          <w:szCs w:val="24"/>
          <w:highlight w:val="none"/>
          <w14:textFill>
            <w14:solidFill>
              <w14:schemeClr w14:val="tx1"/>
            </w14:solidFill>
          </w14:textFill>
        </w:rPr>
        <w:t>投标人应严格遵循采购人的各项安全保密制度，所有信息数据迁移、处理等过程中严禁私自复制、传输，完成建设任务后，投标人使用的用户信息等敏感数据必须物理清除。</w:t>
      </w:r>
    </w:p>
    <w:p w14:paraId="7BD294F8">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9.4</w:t>
      </w:r>
      <w:r>
        <w:rPr>
          <w:rFonts w:hint="eastAsia" w:ascii="仿宋" w:hAnsi="仿宋" w:eastAsia="仿宋" w:cs="仿宋"/>
          <w:color w:val="000000" w:themeColor="text1"/>
          <w:sz w:val="24"/>
          <w:szCs w:val="24"/>
          <w:highlight w:val="none"/>
          <w14:textFill>
            <w14:solidFill>
              <w14:schemeClr w14:val="tx1"/>
            </w14:solidFill>
          </w14:textFill>
        </w:rPr>
        <w:t>投标人有义务保障平台的稳定性、账户的安全性，因软件系统原因导致平台崩溃、账户盗号或被攻击发布非法信息等引发的问题，所有经济责任及法律责任均由投标人承担，涉及违法犯罪的交由公安机关处理。</w:t>
      </w:r>
    </w:p>
    <w:p w14:paraId="1B4BDC81">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9.5</w:t>
      </w:r>
      <w:r>
        <w:rPr>
          <w:rFonts w:hint="eastAsia" w:ascii="仿宋" w:hAnsi="仿宋" w:eastAsia="仿宋" w:cs="仿宋"/>
          <w:color w:val="000000" w:themeColor="text1"/>
          <w:sz w:val="24"/>
          <w:szCs w:val="24"/>
          <w:highlight w:val="none"/>
          <w14:textFill>
            <w14:solidFill>
              <w14:schemeClr w14:val="tx1"/>
            </w14:solidFill>
          </w14:textFill>
        </w:rPr>
        <w:t>投标人违反网络安全、数据安全、个人信息保护有关法律、法规规定的，由网信、公安等部门按照职责依法予以查处。</w:t>
      </w:r>
    </w:p>
    <w:p w14:paraId="59492C1C">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color w:val="000000" w:themeColor="text1"/>
          <w:sz w:val="24"/>
          <w:szCs w:val="24"/>
          <w:highlight w:val="none"/>
          <w14:textFill>
            <w14:solidFill>
              <w14:schemeClr w14:val="tx1"/>
            </w14:solidFill>
          </w14:textFill>
        </w:rPr>
        <w:t>、售后服务要求</w:t>
      </w:r>
    </w:p>
    <w:p w14:paraId="322364D5">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3"/>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.1 项目质保期要求</w:t>
      </w:r>
    </w:p>
    <w:p w14:paraId="774F563A">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本项目免费质保及维护服务不少于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年（自项目竣工验收合格之日起计算）。</w:t>
      </w:r>
    </w:p>
    <w:p w14:paraId="26BE0006">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3"/>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.2 售后服务内容</w:t>
      </w:r>
    </w:p>
    <w:p w14:paraId="2301DEAC">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应配备专门的技术服务部门负责对用户的全方位的技术支持和服务，通过电话服务、远程服务和现场服务向采购方提供快速、高效的维护服务，及时准确解决软硬件产品出现的各种故障，进行平台的完善性升级，保障系统长期安全、可靠、高效运行。</w:t>
      </w:r>
      <w:r>
        <w:rPr>
          <w:rFonts w:hint="eastAsia" w:ascii="仿宋" w:hAnsi="仿宋" w:eastAsia="仿宋" w:cs="仿宋"/>
          <w:bCs/>
          <w:color w:val="000000" w:themeColor="text1"/>
          <w:sz w:val="24"/>
          <w:szCs w:val="24"/>
          <w:highlight w:val="none"/>
          <w14:textFill>
            <w14:solidFill>
              <w14:schemeClr w14:val="tx1"/>
            </w14:solidFill>
          </w14:textFill>
        </w:rPr>
        <w:t>维保服务内容</w:t>
      </w:r>
      <w:r>
        <w:rPr>
          <w:rFonts w:hint="eastAsia" w:ascii="仿宋" w:hAnsi="仿宋" w:eastAsia="仿宋" w:cs="仿宋"/>
          <w:color w:val="000000" w:themeColor="text1"/>
          <w:kern w:val="0"/>
          <w:sz w:val="24"/>
          <w:szCs w:val="24"/>
          <w:highlight w:val="none"/>
          <w14:textFill>
            <w14:solidFill>
              <w14:schemeClr w14:val="tx1"/>
            </w14:solidFill>
          </w14:textFill>
        </w:rPr>
        <w:t>包括但不仅限于：</w:t>
      </w:r>
    </w:p>
    <w:p w14:paraId="1A791721">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outlineLvl w:val="4"/>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.2.1日常使用技术支持</w:t>
      </w:r>
    </w:p>
    <w:p w14:paraId="0CE75A8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对系统使用单位在日常使用系统过程中出现的操作困难，投标人需提供必要的讲解、指导或现场帮助，保证用户在最短的时间内解决操作问题。</w:t>
      </w:r>
    </w:p>
    <w:p w14:paraId="360D9640">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4"/>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.2.2系统日常维护</w:t>
      </w:r>
    </w:p>
    <w:p w14:paraId="169286A3">
      <w:pPr>
        <w:pStyle w:val="20"/>
        <w:keepNext w:val="0"/>
        <w:keepLines w:val="0"/>
        <w:pageBreakBefore w:val="0"/>
        <w:widowControl w:val="0"/>
        <w:tabs>
          <w:tab w:val="left" w:pos="3025"/>
        </w:tabs>
        <w:kinsoku/>
        <w:wordWrap/>
        <w:overflowPunct/>
        <w:topLinePunct w:val="0"/>
        <w:autoSpaceDE w:val="0"/>
        <w:autoSpaceDN w:val="0"/>
        <w:bidi w:val="0"/>
        <w:adjustRightInd w:val="0"/>
        <w:snapToGrid/>
        <w:spacing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每日监控系统运行情况，若发现异常情况及时处理。</w:t>
      </w:r>
    </w:p>
    <w:p w14:paraId="19CCD4AB">
      <w:pPr>
        <w:pStyle w:val="20"/>
        <w:keepNext w:val="0"/>
        <w:keepLines w:val="0"/>
        <w:pageBreakBefore w:val="0"/>
        <w:widowControl w:val="0"/>
        <w:tabs>
          <w:tab w:val="left" w:pos="3025"/>
        </w:tabs>
        <w:kinsoku/>
        <w:wordWrap/>
        <w:overflowPunct/>
        <w:topLinePunct w:val="0"/>
        <w:autoSpaceDE w:val="0"/>
        <w:autoSpaceDN w:val="0"/>
        <w:bidi w:val="0"/>
        <w:adjustRightInd w:val="0"/>
        <w:snapToGrid/>
        <w:spacing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定期收集记录用户在使用系统过程中发现的BUG，并根据问题的严重程度及用户要求的紧急程度，给予及时的解决。</w:t>
      </w:r>
    </w:p>
    <w:p w14:paraId="24D606A0">
      <w:pPr>
        <w:pStyle w:val="20"/>
        <w:keepNext w:val="0"/>
        <w:keepLines w:val="0"/>
        <w:pageBreakBefore w:val="0"/>
        <w:widowControl w:val="0"/>
        <w:tabs>
          <w:tab w:val="left" w:pos="3025"/>
        </w:tabs>
        <w:kinsoku/>
        <w:wordWrap/>
        <w:overflowPunct/>
        <w:topLinePunct w:val="0"/>
        <w:autoSpaceDE w:val="0"/>
        <w:autoSpaceDN w:val="0"/>
        <w:bidi w:val="0"/>
        <w:adjustRightInd w:val="0"/>
        <w:snapToGrid/>
        <w:spacing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定期查看整理系统运行日志，发现并解决问题。</w:t>
      </w:r>
    </w:p>
    <w:p w14:paraId="4E5F66F1">
      <w:pPr>
        <w:pStyle w:val="20"/>
        <w:keepNext w:val="0"/>
        <w:keepLines w:val="0"/>
        <w:pageBreakBefore w:val="0"/>
        <w:widowControl w:val="0"/>
        <w:tabs>
          <w:tab w:val="left" w:pos="3025"/>
        </w:tabs>
        <w:kinsoku/>
        <w:wordWrap/>
        <w:overflowPunct/>
        <w:topLinePunct w:val="0"/>
        <w:autoSpaceDE w:val="0"/>
        <w:autoSpaceDN w:val="0"/>
        <w:bidi w:val="0"/>
        <w:adjustRightInd w:val="0"/>
        <w:snapToGrid/>
        <w:spacing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定期组织对系统运行情况的检查与审核，通过现场核查、调取相关的运维工作记录、审查运维报告等方式，对各系统的日常工作情况进行全面的检查与审核，以发现、分析系统整体的运行问题。对于发现的问题，经双方协商调用必要的服务支持资源及时予以解决。</w:t>
      </w:r>
    </w:p>
    <w:p w14:paraId="46F31F78">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outlineLvl w:val="4"/>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.2.3系统调优升级</w:t>
      </w:r>
    </w:p>
    <w:p w14:paraId="399040A7">
      <w:pPr>
        <w:pStyle w:val="20"/>
        <w:keepNext w:val="0"/>
        <w:keepLines w:val="0"/>
        <w:pageBreakBefore w:val="0"/>
        <w:widowControl w:val="0"/>
        <w:tabs>
          <w:tab w:val="left" w:pos="3025"/>
        </w:tabs>
        <w:kinsoku/>
        <w:wordWrap/>
        <w:overflowPunct/>
        <w:topLinePunct w:val="0"/>
        <w:autoSpaceDE w:val="0"/>
        <w:autoSpaceDN w:val="0"/>
        <w:bidi w:val="0"/>
        <w:adjustRightInd w:val="0"/>
        <w:snapToGrid/>
        <w:spacing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定期测试系统的性能指标，并采取措施对系统的性能进行优化。供应商若对系统对应的产品进行了升级，在经过用户同意的情况下，给用户升级。</w:t>
      </w:r>
    </w:p>
    <w:p w14:paraId="286B4DB0">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outlineLvl w:val="4"/>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.2.4系统完善修改</w:t>
      </w:r>
    </w:p>
    <w:p w14:paraId="38E95277">
      <w:pPr>
        <w:pStyle w:val="20"/>
        <w:keepNext w:val="0"/>
        <w:keepLines w:val="0"/>
        <w:pageBreakBefore w:val="0"/>
        <w:widowControl w:val="0"/>
        <w:tabs>
          <w:tab w:val="left" w:pos="3025"/>
        </w:tabs>
        <w:kinsoku/>
        <w:wordWrap/>
        <w:overflowPunct/>
        <w:topLinePunct w:val="0"/>
        <w:autoSpaceDE w:val="0"/>
        <w:autoSpaceDN w:val="0"/>
        <w:bidi w:val="0"/>
        <w:adjustRightInd w:val="0"/>
        <w:snapToGrid/>
        <w:spacing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对于用户在系统运营过程中提出的修改需求，如不涉及核心架构修改、全新功能模块增加以及大工作量的研发投入，都应在本项目内予以免费解决。</w:t>
      </w:r>
    </w:p>
    <w:p w14:paraId="2896E2E4">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outlineLvl w:val="3"/>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.3 响应时间</w:t>
      </w:r>
    </w:p>
    <w:p w14:paraId="4A563385">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具备较强的售后服务能力，并拥有足够的技术服务人员；能够免费提供7×24小时技术支持服务，应在接到采购人或系统使用单位故障通知半小时内做出响应，紧急问题2小时内到达现场，24小时解决问题，特殊情况不超过48小时；故障发生后24小时内不能解决的，软件故障则免费完成项目应急预案落地，硬件故障则免费提供备机到现场使用，直至系统恢复正常运行。</w:t>
      </w:r>
    </w:p>
    <w:p w14:paraId="141B4D77">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3"/>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.4 定期巡检</w:t>
      </w:r>
    </w:p>
    <w:p w14:paraId="26731B96">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人应在质保期内每年提供不少于2次的系统巡检服务，并向采购人提交巡检报告。系统巡检预防性维护服务的内容主要包括对系统软件、硬件设备的运行状况进行跟踪了解，及时发现各种隐患问题，并进行相应整改解决（巡检报告作为尾款付款的重要依据）。</w:t>
      </w:r>
    </w:p>
    <w:p w14:paraId="2D5FACDF">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outlineLvl w:val="3"/>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.5 退换货处理</w:t>
      </w:r>
    </w:p>
    <w:p w14:paraId="5F95604C">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中标人提供的设备及软件在质保期内因其本身的质量问题发生故障，中标人应负责免费更换。对达不到技术要求者，根据实际情况，经双方协商，可按以下办法处理：</w:t>
      </w:r>
    </w:p>
    <w:p w14:paraId="377790C1">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color w:val="000000" w:themeColor="text1"/>
          <w:sz w:val="24"/>
          <w:szCs w:val="24"/>
          <w:highlight w:val="none"/>
          <w14:textFill>
            <w14:solidFill>
              <w14:schemeClr w14:val="tx1"/>
            </w14:solidFill>
          </w14:textFill>
        </w:rPr>
        <w:t>.5.1</w:t>
      </w:r>
      <w:r>
        <w:rPr>
          <w:rFonts w:hint="eastAsia" w:ascii="仿宋" w:hAnsi="仿宋" w:eastAsia="仿宋" w:cs="仿宋"/>
          <w:bCs/>
          <w:color w:val="000000" w:themeColor="text1"/>
          <w:sz w:val="24"/>
          <w:szCs w:val="24"/>
          <w:highlight w:val="none"/>
          <w14:textFill>
            <w14:solidFill>
              <w14:schemeClr w14:val="tx1"/>
            </w14:solidFill>
          </w14:textFill>
        </w:rPr>
        <w:t>更换：由中标人承担所发生的全部费用。</w:t>
      </w:r>
    </w:p>
    <w:p w14:paraId="3B18DE91">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w:t>
      </w:r>
      <w:r>
        <w:rPr>
          <w:rFonts w:hint="eastAsia" w:ascii="仿宋" w:hAnsi="仿宋" w:eastAsia="仿宋" w:cs="仿宋"/>
          <w:b/>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color w:val="000000" w:themeColor="text1"/>
          <w:sz w:val="24"/>
          <w:szCs w:val="24"/>
          <w:highlight w:val="none"/>
          <w14:textFill>
            <w14:solidFill>
              <w14:schemeClr w14:val="tx1"/>
            </w14:solidFill>
          </w14:textFill>
        </w:rPr>
        <w:t>.5.2</w:t>
      </w:r>
      <w:r>
        <w:rPr>
          <w:rFonts w:hint="eastAsia" w:ascii="仿宋" w:hAnsi="仿宋" w:eastAsia="仿宋" w:cs="仿宋"/>
          <w:bCs/>
          <w:color w:val="000000" w:themeColor="text1"/>
          <w:sz w:val="24"/>
          <w:szCs w:val="24"/>
          <w:highlight w:val="none"/>
          <w14:textFill>
            <w14:solidFill>
              <w14:schemeClr w14:val="tx1"/>
            </w14:solidFill>
          </w14:textFill>
        </w:rPr>
        <w:t>退货处理：中标人应退还采购人支付的合同款，同时应承担该项目的直接费用（检验、货款利息及银行手续费等）。</w:t>
      </w:r>
    </w:p>
    <w:p w14:paraId="5956C863">
      <w:pPr>
        <w:keepNext w:val="0"/>
        <w:keepLines w:val="0"/>
        <w:pageBreakBefore w:val="0"/>
        <w:widowControl w:val="0"/>
        <w:kinsoku/>
        <w:wordWrap/>
        <w:overflowPunct/>
        <w:topLinePunct w:val="0"/>
        <w:autoSpaceDE w:val="0"/>
        <w:autoSpaceDN w:val="0"/>
        <w:bidi w:val="0"/>
        <w:adjustRightInd w:val="0"/>
        <w:spacing w:line="420" w:lineRule="exact"/>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szCs w:val="24"/>
          <w:highlight w:val="none"/>
          <w:lang w:eastAsia="zh-CN"/>
          <w14:textFill>
            <w14:solidFill>
              <w14:schemeClr w14:val="tx1"/>
            </w14:solidFill>
          </w14:textFill>
        </w:rPr>
        <w:t>）违约责任</w:t>
      </w:r>
    </w:p>
    <w:p w14:paraId="2AAD244D">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sz w:val="24"/>
          <w:szCs w:val="24"/>
          <w:highlight w:val="none"/>
          <w14:textFill>
            <w14:solidFill>
              <w14:schemeClr w14:val="tx1"/>
            </w14:solidFill>
          </w14:textFill>
        </w:rPr>
        <w:t>采购人无正当理由拒收建设成果的，采购人向中标人偿付拒收的货款总值的百分之十违约金。</w:t>
      </w:r>
    </w:p>
    <w:p w14:paraId="4D73D931">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中标人逾期提交阶段建设成果的，中标人应按照合同总额每日万分之五向采购人支付违约金，由采购人从履约保证金中扣除，</w:t>
      </w:r>
      <w:r>
        <w:rPr>
          <w:rFonts w:hint="eastAsia" w:ascii="仿宋" w:hAnsi="仿宋" w:eastAsia="仿宋" w:cs="仿宋"/>
          <w:color w:val="000000" w:themeColor="text1"/>
          <w:sz w:val="24"/>
          <w:szCs w:val="24"/>
          <w:highlight w:val="none"/>
          <w14:textFill>
            <w14:solidFill>
              <w14:schemeClr w14:val="tx1"/>
            </w14:solidFill>
          </w14:textFill>
        </w:rPr>
        <w:t>此项违约金额不超过合同总款的</w:t>
      </w:r>
      <w:r>
        <w:rPr>
          <w:rFonts w:hint="eastAsia" w:ascii="仿宋" w:hAnsi="仿宋" w:eastAsia="仿宋" w:cs="仿宋"/>
          <w:bCs/>
          <w:color w:val="000000" w:themeColor="text1"/>
          <w:sz w:val="24"/>
          <w:szCs w:val="24"/>
          <w:highlight w:val="none"/>
          <w14:textFill>
            <w14:solidFill>
              <w14:schemeClr w14:val="tx1"/>
            </w14:solidFill>
          </w14:textFill>
        </w:rPr>
        <w:t>百分之二十。逾期超过约定日期30天不能提交建设成果的，采购人有权解除合同并保留进一步追究中标人违约责任的权力。中标人提交的建设成果如不能通过评审或验收的，视同未提交。中标人因逾期交货或因其他违约行为导致采购人与最终用户解除合同的，中标人应向采购人支付合同总值5%的违约金，如造成采购人损失超过违约金的，超出部分由中标人继续承担赔偿责任。</w:t>
      </w:r>
    </w:p>
    <w:p w14:paraId="646E2FE9">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中标人所提交的软硬件产品数量、型号、功能、性能等技术参数不符合合同规定及招标文件规定标准的，采购人有权拒收，中标人愿意整改但逾期交货的，按中标人逾期交货处理。</w:t>
      </w:r>
      <w:r>
        <w:rPr>
          <w:rFonts w:hint="eastAsia" w:ascii="仿宋" w:hAnsi="仿宋" w:eastAsia="仿宋" w:cs="仿宋"/>
          <w:color w:val="000000" w:themeColor="text1"/>
          <w:kern w:val="0"/>
          <w:sz w:val="24"/>
          <w:szCs w:val="24"/>
          <w:highlight w:val="none"/>
          <w14:textFill>
            <w14:solidFill>
              <w14:schemeClr w14:val="tx1"/>
            </w14:solidFill>
          </w14:textFill>
        </w:rPr>
        <w:t>若</w:t>
      </w:r>
      <w:r>
        <w:rPr>
          <w:rFonts w:hint="eastAsia" w:ascii="仿宋" w:hAnsi="仿宋" w:eastAsia="仿宋" w:cs="仿宋"/>
          <w:bCs/>
          <w:color w:val="000000" w:themeColor="text1"/>
          <w:sz w:val="24"/>
          <w:szCs w:val="24"/>
          <w:highlight w:val="none"/>
          <w14:textFill>
            <w14:solidFill>
              <w14:schemeClr w14:val="tx1"/>
            </w14:solidFill>
          </w14:textFill>
        </w:rPr>
        <w:t>中标人</w:t>
      </w:r>
      <w:r>
        <w:rPr>
          <w:rFonts w:hint="eastAsia" w:ascii="仿宋" w:hAnsi="仿宋" w:eastAsia="仿宋" w:cs="仿宋"/>
          <w:color w:val="000000" w:themeColor="text1"/>
          <w:kern w:val="0"/>
          <w:sz w:val="24"/>
          <w:szCs w:val="24"/>
          <w:highlight w:val="none"/>
          <w14:textFill>
            <w14:solidFill>
              <w14:schemeClr w14:val="tx1"/>
            </w14:solidFill>
          </w14:textFill>
        </w:rPr>
        <w:t>拒绝进行整改，</w:t>
      </w:r>
      <w:r>
        <w:rPr>
          <w:rFonts w:hint="eastAsia" w:ascii="仿宋" w:hAnsi="仿宋" w:eastAsia="仿宋" w:cs="仿宋"/>
          <w:bCs/>
          <w:color w:val="000000" w:themeColor="text1"/>
          <w:sz w:val="24"/>
          <w:szCs w:val="24"/>
          <w:highlight w:val="none"/>
          <w14:textFill>
            <w14:solidFill>
              <w14:schemeClr w14:val="tx1"/>
            </w14:solidFill>
          </w14:textFill>
        </w:rPr>
        <w:t>采购人</w:t>
      </w:r>
      <w:r>
        <w:rPr>
          <w:rFonts w:hint="eastAsia" w:ascii="仿宋" w:hAnsi="仿宋" w:eastAsia="仿宋" w:cs="仿宋"/>
          <w:color w:val="000000" w:themeColor="text1"/>
          <w:kern w:val="0"/>
          <w:sz w:val="24"/>
          <w:szCs w:val="24"/>
          <w:highlight w:val="none"/>
          <w14:textFill>
            <w14:solidFill>
              <w14:schemeClr w14:val="tx1"/>
            </w14:solidFill>
          </w14:textFill>
        </w:rPr>
        <w:t>可单方面解除合同，并没收履约保证金，所造成的其他损失由</w:t>
      </w:r>
      <w:r>
        <w:rPr>
          <w:rFonts w:hint="eastAsia" w:ascii="仿宋" w:hAnsi="仿宋" w:eastAsia="仿宋" w:cs="仿宋"/>
          <w:bCs/>
          <w:color w:val="000000" w:themeColor="text1"/>
          <w:sz w:val="24"/>
          <w:szCs w:val="24"/>
          <w:highlight w:val="none"/>
          <w14:textFill>
            <w14:solidFill>
              <w14:schemeClr w14:val="tx1"/>
            </w14:solidFill>
          </w14:textFill>
        </w:rPr>
        <w:t>中标人</w:t>
      </w:r>
      <w:r>
        <w:rPr>
          <w:rFonts w:hint="eastAsia" w:ascii="仿宋" w:hAnsi="仿宋" w:eastAsia="仿宋" w:cs="仿宋"/>
          <w:color w:val="000000" w:themeColor="text1"/>
          <w:kern w:val="0"/>
          <w:sz w:val="24"/>
          <w:szCs w:val="24"/>
          <w:highlight w:val="none"/>
          <w14:textFill>
            <w14:solidFill>
              <w14:schemeClr w14:val="tx1"/>
            </w14:solidFill>
          </w14:textFill>
        </w:rPr>
        <w:t>负责。</w:t>
      </w:r>
    </w:p>
    <w:p w14:paraId="2FAC785F">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项目完工后，</w:t>
      </w:r>
      <w:r>
        <w:rPr>
          <w:rFonts w:hint="eastAsia" w:ascii="仿宋" w:hAnsi="仿宋" w:eastAsia="仿宋" w:cs="仿宋"/>
          <w:bCs/>
          <w:color w:val="000000" w:themeColor="text1"/>
          <w:sz w:val="24"/>
          <w:szCs w:val="24"/>
          <w:highlight w:val="none"/>
          <w14:textFill>
            <w14:solidFill>
              <w14:schemeClr w14:val="tx1"/>
            </w14:solidFill>
          </w14:textFill>
        </w:rPr>
        <w:t>中标人所交付的</w:t>
      </w:r>
      <w:r>
        <w:rPr>
          <w:rFonts w:hint="eastAsia" w:ascii="仿宋" w:hAnsi="仿宋" w:eastAsia="仿宋" w:cs="仿宋"/>
          <w:color w:val="000000" w:themeColor="text1"/>
          <w:sz w:val="24"/>
          <w:szCs w:val="24"/>
          <w:highlight w:val="none"/>
          <w14:textFill>
            <w14:solidFill>
              <w14:schemeClr w14:val="tx1"/>
            </w14:solidFill>
          </w14:textFill>
        </w:rPr>
        <w:t>软硬件产品的功能、性能、安全性等技术指标经系统测试（含第三方检测）发现</w:t>
      </w:r>
      <w:r>
        <w:rPr>
          <w:rFonts w:hint="eastAsia" w:ascii="仿宋" w:hAnsi="仿宋" w:eastAsia="仿宋" w:cs="仿宋"/>
          <w:color w:val="000000" w:themeColor="text1"/>
          <w:kern w:val="0"/>
          <w:sz w:val="24"/>
          <w:szCs w:val="24"/>
          <w:highlight w:val="none"/>
          <w:lang w:bidi="ar"/>
          <w14:textFill>
            <w14:solidFill>
              <w14:schemeClr w14:val="tx1"/>
            </w14:solidFill>
          </w14:textFill>
        </w:rPr>
        <w:t>系统功能、性能、安全性等不符合</w:t>
      </w:r>
      <w:r>
        <w:rPr>
          <w:rFonts w:hint="eastAsia" w:ascii="仿宋" w:hAnsi="仿宋" w:eastAsia="仿宋" w:cs="仿宋"/>
          <w:bCs/>
          <w:color w:val="000000" w:themeColor="text1"/>
          <w:sz w:val="24"/>
          <w:szCs w:val="24"/>
          <w:highlight w:val="none"/>
          <w14:textFill>
            <w14:solidFill>
              <w14:schemeClr w14:val="tx1"/>
            </w14:solidFill>
          </w14:textFill>
        </w:rPr>
        <w:t>合同规定及</w:t>
      </w:r>
      <w:r>
        <w:rPr>
          <w:rFonts w:hint="eastAsia" w:ascii="仿宋" w:hAnsi="仿宋" w:eastAsia="仿宋" w:cs="仿宋"/>
          <w:color w:val="000000" w:themeColor="text1"/>
          <w:kern w:val="0"/>
          <w:sz w:val="24"/>
          <w:szCs w:val="24"/>
          <w:highlight w:val="none"/>
          <w:lang w:bidi="ar"/>
          <w14:textFill>
            <w14:solidFill>
              <w14:schemeClr w14:val="tx1"/>
            </w14:solidFill>
          </w14:textFill>
        </w:rPr>
        <w:t>招标要求的</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中标人</w:t>
      </w:r>
      <w:r>
        <w:rPr>
          <w:rFonts w:hint="eastAsia" w:ascii="仿宋" w:hAnsi="仿宋" w:eastAsia="仿宋" w:cs="仿宋"/>
          <w:color w:val="000000" w:themeColor="text1"/>
          <w:kern w:val="0"/>
          <w:sz w:val="24"/>
          <w:szCs w:val="24"/>
          <w:highlight w:val="none"/>
          <w14:textFill>
            <w14:solidFill>
              <w14:schemeClr w14:val="tx1"/>
            </w14:solidFill>
          </w14:textFill>
        </w:rPr>
        <w:t>应无条件在30天内进行整改，因整改造成的项目进度延期，按照“违约责任第2条”处理；若</w:t>
      </w:r>
      <w:r>
        <w:rPr>
          <w:rFonts w:hint="eastAsia" w:ascii="仿宋" w:hAnsi="仿宋" w:eastAsia="仿宋" w:cs="仿宋"/>
          <w:bCs/>
          <w:color w:val="000000" w:themeColor="text1"/>
          <w:sz w:val="24"/>
          <w:szCs w:val="24"/>
          <w:highlight w:val="none"/>
          <w14:textFill>
            <w14:solidFill>
              <w14:schemeClr w14:val="tx1"/>
            </w14:solidFill>
          </w14:textFill>
        </w:rPr>
        <w:t>中标人</w:t>
      </w:r>
      <w:r>
        <w:rPr>
          <w:rFonts w:hint="eastAsia" w:ascii="仿宋" w:hAnsi="仿宋" w:eastAsia="仿宋" w:cs="仿宋"/>
          <w:color w:val="000000" w:themeColor="text1"/>
          <w:kern w:val="0"/>
          <w:sz w:val="24"/>
          <w:szCs w:val="24"/>
          <w:highlight w:val="none"/>
          <w14:textFill>
            <w14:solidFill>
              <w14:schemeClr w14:val="tx1"/>
            </w14:solidFill>
          </w14:textFill>
        </w:rPr>
        <w:t>拒绝进行整改，</w:t>
      </w:r>
      <w:r>
        <w:rPr>
          <w:rFonts w:hint="eastAsia" w:ascii="仿宋" w:hAnsi="仿宋" w:eastAsia="仿宋" w:cs="仿宋"/>
          <w:bCs/>
          <w:color w:val="000000" w:themeColor="text1"/>
          <w:sz w:val="24"/>
          <w:szCs w:val="24"/>
          <w:highlight w:val="none"/>
          <w14:textFill>
            <w14:solidFill>
              <w14:schemeClr w14:val="tx1"/>
            </w14:solidFill>
          </w14:textFill>
        </w:rPr>
        <w:t>采购人</w:t>
      </w:r>
      <w:r>
        <w:rPr>
          <w:rFonts w:hint="eastAsia" w:ascii="仿宋" w:hAnsi="仿宋" w:eastAsia="仿宋" w:cs="仿宋"/>
          <w:color w:val="000000" w:themeColor="text1"/>
          <w:kern w:val="0"/>
          <w:sz w:val="24"/>
          <w:szCs w:val="24"/>
          <w:highlight w:val="none"/>
          <w14:textFill>
            <w14:solidFill>
              <w14:schemeClr w14:val="tx1"/>
            </w14:solidFill>
          </w14:textFill>
        </w:rPr>
        <w:t>可单方面解除合同，并没收履约保证金，所造成的其他损失由</w:t>
      </w:r>
      <w:r>
        <w:rPr>
          <w:rFonts w:hint="eastAsia" w:ascii="仿宋" w:hAnsi="仿宋" w:eastAsia="仿宋" w:cs="仿宋"/>
          <w:bCs/>
          <w:color w:val="000000" w:themeColor="text1"/>
          <w:sz w:val="24"/>
          <w:szCs w:val="24"/>
          <w:highlight w:val="none"/>
          <w14:textFill>
            <w14:solidFill>
              <w14:schemeClr w14:val="tx1"/>
            </w14:solidFill>
          </w14:textFill>
        </w:rPr>
        <w:t>中标人</w:t>
      </w:r>
      <w:r>
        <w:rPr>
          <w:rFonts w:hint="eastAsia" w:ascii="仿宋" w:hAnsi="仿宋" w:eastAsia="仿宋" w:cs="仿宋"/>
          <w:color w:val="000000" w:themeColor="text1"/>
          <w:kern w:val="0"/>
          <w:sz w:val="24"/>
          <w:szCs w:val="24"/>
          <w:highlight w:val="none"/>
          <w14:textFill>
            <w14:solidFill>
              <w14:schemeClr w14:val="tx1"/>
            </w14:solidFill>
          </w14:textFill>
        </w:rPr>
        <w:t>负责。</w:t>
      </w:r>
    </w:p>
    <w:p w14:paraId="67A52749">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在系统试运行期间，如因中标人技术原因导致系统重大故障或对系统使用单位业务正常运行造成影响或损失的，中标人应承担全部责任，并且采购人有权保留进一步追究中标人的违约责任的权力。</w:t>
      </w:r>
    </w:p>
    <w:p w14:paraId="72F698C7">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若</w:t>
      </w:r>
      <w:r>
        <w:rPr>
          <w:rFonts w:hint="eastAsia" w:ascii="仿宋" w:hAnsi="仿宋" w:eastAsia="仿宋" w:cs="仿宋"/>
          <w:bCs/>
          <w:color w:val="000000" w:themeColor="text1"/>
          <w:sz w:val="24"/>
          <w:szCs w:val="24"/>
          <w:highlight w:val="none"/>
          <w14:textFill>
            <w14:solidFill>
              <w14:schemeClr w14:val="tx1"/>
            </w14:solidFill>
          </w14:textFill>
        </w:rPr>
        <w:t>中标人未能在质保期内按要求及时提供技术支持和解决故障，或售后服务受到使用单位有效投诉成立的</w:t>
      </w:r>
      <w:r>
        <w:rPr>
          <w:rFonts w:hint="eastAsia" w:ascii="仿宋" w:hAnsi="仿宋" w:eastAsia="仿宋" w:cs="仿宋"/>
          <w:color w:val="000000" w:themeColor="text1"/>
          <w:sz w:val="24"/>
          <w:szCs w:val="24"/>
          <w:highlight w:val="none"/>
          <w14:textFill>
            <w14:solidFill>
              <w14:schemeClr w14:val="tx1"/>
            </w14:solidFill>
          </w14:textFill>
        </w:rPr>
        <w:t>，每次处以5000元罚款，且</w:t>
      </w:r>
      <w:r>
        <w:rPr>
          <w:rFonts w:hint="eastAsia" w:ascii="仿宋" w:hAnsi="仿宋" w:eastAsia="仿宋" w:cs="仿宋"/>
          <w:bCs/>
          <w:color w:val="000000" w:themeColor="text1"/>
          <w:sz w:val="24"/>
          <w:szCs w:val="24"/>
          <w:highlight w:val="none"/>
          <w14:textFill>
            <w14:solidFill>
              <w14:schemeClr w14:val="tx1"/>
            </w14:solidFill>
          </w14:textFill>
        </w:rPr>
        <w:t>采购人</w:t>
      </w:r>
      <w:r>
        <w:rPr>
          <w:rFonts w:hint="eastAsia" w:ascii="仿宋" w:hAnsi="仿宋" w:eastAsia="仿宋" w:cs="仿宋"/>
          <w:color w:val="000000" w:themeColor="text1"/>
          <w:sz w:val="24"/>
          <w:szCs w:val="24"/>
          <w:highlight w:val="none"/>
          <w14:textFill>
            <w14:solidFill>
              <w14:schemeClr w14:val="tx1"/>
            </w14:solidFill>
          </w14:textFill>
        </w:rPr>
        <w:t>有权从未支付款项中予以扣除。</w:t>
      </w:r>
      <w:r>
        <w:rPr>
          <w:rFonts w:hint="eastAsia" w:ascii="仿宋" w:hAnsi="仿宋" w:eastAsia="仿宋" w:cs="仿宋"/>
          <w:bCs/>
          <w:color w:val="000000" w:themeColor="text1"/>
          <w:sz w:val="24"/>
          <w:szCs w:val="24"/>
          <w:highlight w:val="none"/>
          <w14:textFill>
            <w14:solidFill>
              <w14:schemeClr w14:val="tx1"/>
            </w14:solidFill>
          </w14:textFill>
        </w:rPr>
        <w:t>若在质保期内因中标人原因未能及时提供技术支持或故障维护而引起的安全责任事故，所有经济责任及法律责任均</w:t>
      </w:r>
      <w:r>
        <w:rPr>
          <w:rFonts w:hint="eastAsia" w:ascii="仿宋" w:hAnsi="仿宋" w:eastAsia="仿宋" w:cs="仿宋"/>
          <w:color w:val="000000" w:themeColor="text1"/>
          <w:sz w:val="24"/>
          <w:szCs w:val="24"/>
          <w:highlight w:val="none"/>
          <w14:textFill>
            <w14:solidFill>
              <w14:schemeClr w14:val="tx1"/>
            </w14:solidFill>
          </w14:textFill>
        </w:rPr>
        <w:t>由中标人承担。因第三方故意破坏或不可抗因素造成故障处理超过约定时间，不再追究中标人规定时间内解决故障的违约责任。</w:t>
      </w:r>
    </w:p>
    <w:p w14:paraId="5408CE4C">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若中标人违反了“安全及保密要求”中的任一条款，需向采购人支付合同总值的10%作为违约金；若实际损失超过中标人支付违约金的，采购人有权继续向中标人追偿，因追偿产生的一切费用均由中标人承担。</w:t>
      </w:r>
    </w:p>
    <w:p w14:paraId="2475B412">
      <w:pPr>
        <w:keepNext w:val="0"/>
        <w:keepLines w:val="0"/>
        <w:pageBreakBefore w:val="0"/>
        <w:widowControl w:val="0"/>
        <w:kinsoku/>
        <w:wordWrap/>
        <w:overflowPunct/>
        <w:topLinePunct w:val="0"/>
        <w:autoSpaceDE w:val="0"/>
        <w:autoSpaceDN w:val="0"/>
        <w:bidi w:val="0"/>
        <w:adjustRightInd w:val="0"/>
        <w:spacing w:line="42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上述因中标人违约造成的损失，采购人均有权从未付款项中扣除。</w:t>
      </w:r>
    </w:p>
    <w:p w14:paraId="1FDC21CC">
      <w:pPr>
        <w:keepNext w:val="0"/>
        <w:keepLines w:val="0"/>
        <w:pageBreakBefore w:val="0"/>
        <w:widowControl w:val="0"/>
        <w:kinsoku/>
        <w:wordWrap/>
        <w:overflowPunct/>
        <w:topLinePunct w:val="0"/>
        <w:autoSpaceDE w:val="0"/>
        <w:autoSpaceDN w:val="0"/>
        <w:bidi w:val="0"/>
        <w:adjustRightInd w:val="0"/>
        <w:spacing w:line="420" w:lineRule="exact"/>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bCs/>
          <w:color w:val="000000" w:themeColor="text1"/>
          <w:sz w:val="24"/>
          <w:szCs w:val="24"/>
          <w:highlight w:val="none"/>
          <w:lang w:eastAsia="zh-CN"/>
          <w14:textFill>
            <w14:solidFill>
              <w14:schemeClr w14:val="tx1"/>
            </w14:solidFill>
          </w14:textFill>
        </w:rPr>
        <w:t>）履约保证金</w:t>
      </w:r>
    </w:p>
    <w:p w14:paraId="3DEACC45">
      <w:pPr>
        <w:pStyle w:val="23"/>
        <w:keepNext w:val="0"/>
        <w:keepLines w:val="0"/>
        <w:pageBreakBefore w:val="0"/>
        <w:widowControl w:val="0"/>
        <w:numPr>
          <w:ilvl w:val="0"/>
          <w:numId w:val="0"/>
        </w:numPr>
        <w:tabs>
          <w:tab w:val="left" w:pos="1255"/>
        </w:tabs>
        <w:kinsoku/>
        <w:wordWrap/>
        <w:overflowPunct/>
        <w:topLinePunct w:val="0"/>
        <w:autoSpaceDE w:val="0"/>
        <w:autoSpaceDN w:val="0"/>
        <w:bidi w:val="0"/>
        <w:adjustRightInd w:val="0"/>
        <w:spacing w:line="420" w:lineRule="exact"/>
        <w:ind w:firstLine="480" w:firstLineChars="200"/>
        <w:jc w:val="left"/>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项目实施前</w:t>
      </w:r>
      <w:r>
        <w:rPr>
          <w:rFonts w:hint="eastAsia" w:ascii="仿宋" w:hAnsi="仿宋" w:eastAsia="仿宋" w:cs="仿宋"/>
          <w:b w:val="0"/>
          <w:bCs/>
          <w:color w:val="000000" w:themeColor="text1"/>
          <w:sz w:val="24"/>
          <w:szCs w:val="24"/>
          <w:highlight w:val="none"/>
          <w14:textFill>
            <w14:solidFill>
              <w14:schemeClr w14:val="tx1"/>
            </w14:solidFill>
          </w14:textFill>
        </w:rPr>
        <w:t>，中标人需向采购人缴纳合同总金额</w:t>
      </w:r>
      <w:r>
        <w:rPr>
          <w:rFonts w:hint="eastAsia" w:ascii="仿宋" w:hAnsi="仿宋" w:eastAsia="仿宋" w:cs="仿宋"/>
          <w:b w:val="0"/>
          <w:bCs/>
          <w:color w:val="000000" w:themeColor="text1"/>
          <w:sz w:val="24"/>
          <w:szCs w:val="24"/>
          <w:highlight w:val="none"/>
          <w:u w:val="single"/>
          <w14:textFill>
            <w14:solidFill>
              <w14:schemeClr w14:val="tx1"/>
            </w14:solidFill>
          </w14:textFill>
        </w:rPr>
        <w:t>1%</w:t>
      </w:r>
      <w:r>
        <w:rPr>
          <w:rFonts w:hint="eastAsia" w:ascii="仿宋" w:hAnsi="仿宋" w:eastAsia="仿宋" w:cs="仿宋"/>
          <w:b w:val="0"/>
          <w:bCs/>
          <w:color w:val="000000" w:themeColor="text1"/>
          <w:sz w:val="24"/>
          <w:szCs w:val="24"/>
          <w:highlight w:val="none"/>
          <w14:textFill>
            <w14:solidFill>
              <w14:schemeClr w14:val="tx1"/>
            </w14:solidFill>
          </w14:textFill>
        </w:rPr>
        <w:t>的履约保证金，项目终验合格无任何问题退回，不计息。</w:t>
      </w:r>
    </w:p>
    <w:p w14:paraId="3B567D8F">
      <w:pPr>
        <w:keepNext w:val="0"/>
        <w:keepLines w:val="0"/>
        <w:pageBreakBefore w:val="0"/>
        <w:widowControl w:val="0"/>
        <w:kinsoku/>
        <w:wordWrap/>
        <w:overflowPunct/>
        <w:topLinePunct w:val="0"/>
        <w:autoSpaceDE w:val="0"/>
        <w:autoSpaceDN w:val="0"/>
        <w:bidi w:val="0"/>
        <w:adjustRightInd w:val="0"/>
        <w:spacing w:line="420" w:lineRule="exact"/>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szCs w:val="24"/>
          <w:highlight w:val="none"/>
          <w:lang w:eastAsia="zh-CN"/>
          <w14:textFill>
            <w14:solidFill>
              <w14:schemeClr w14:val="tx1"/>
            </w14:solidFill>
          </w14:textFill>
        </w:rPr>
        <w:t>）付款方式</w:t>
      </w:r>
    </w:p>
    <w:p w14:paraId="4DF1A22E">
      <w:pPr>
        <w:keepNext w:val="0"/>
        <w:keepLines w:val="0"/>
        <w:pageBreakBefore w:val="0"/>
        <w:widowControl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zh-CN"/>
          <w14:textFill>
            <w14:solidFill>
              <w14:schemeClr w14:val="tx1"/>
            </w14:solidFill>
          </w14:textFill>
        </w:rPr>
        <w:t>项目验收合格且在收到中标人提供的相关付款材料</w:t>
      </w:r>
      <w:r>
        <w:rPr>
          <w:rFonts w:hint="eastAsia" w:ascii="仿宋" w:hAnsi="仿宋" w:eastAsia="仿宋" w:cs="仿宋"/>
          <w:bCs/>
          <w:color w:val="000000" w:themeColor="text1"/>
          <w:kern w:val="0"/>
          <w:sz w:val="24"/>
          <w:szCs w:val="24"/>
          <w:highlight w:val="none"/>
          <w14:textFill>
            <w14:solidFill>
              <w14:schemeClr w14:val="tx1"/>
            </w14:solidFill>
          </w14:textFill>
        </w:rPr>
        <w:t>3</w:t>
      </w:r>
      <w:r>
        <w:rPr>
          <w:rFonts w:hint="eastAsia" w:ascii="仿宋" w:hAnsi="仿宋" w:eastAsia="仿宋" w:cs="仿宋"/>
          <w:bCs/>
          <w:color w:val="000000" w:themeColor="text1"/>
          <w:kern w:val="0"/>
          <w:sz w:val="24"/>
          <w:szCs w:val="24"/>
          <w:highlight w:val="none"/>
          <w:lang w:val="zh-CN"/>
          <w14:textFill>
            <w14:solidFill>
              <w14:schemeClr w14:val="tx1"/>
            </w14:solidFill>
          </w14:textFill>
        </w:rPr>
        <w:t>个月内，</w:t>
      </w:r>
      <w:r>
        <w:rPr>
          <w:rFonts w:hint="eastAsia" w:ascii="仿宋" w:hAnsi="仿宋" w:eastAsia="仿宋" w:cs="仿宋"/>
          <w:bCs/>
          <w:color w:val="000000" w:themeColor="text1"/>
          <w:sz w:val="24"/>
          <w:szCs w:val="24"/>
          <w:highlight w:val="none"/>
          <w14:textFill>
            <w14:solidFill>
              <w14:schemeClr w14:val="tx1"/>
            </w14:solidFill>
          </w14:textFill>
        </w:rPr>
        <w:t>采购人向中标人支付</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扣除人员驻点费用以外的合同金额的</w:t>
      </w:r>
      <w:r>
        <w:rPr>
          <w:rFonts w:hint="eastAsia" w:ascii="仿宋" w:hAnsi="仿宋" w:eastAsia="仿宋" w:cs="仿宋"/>
          <w:bCs/>
          <w:color w:val="000000" w:themeColor="text1"/>
          <w:sz w:val="24"/>
          <w:szCs w:val="24"/>
          <w:highlight w:val="none"/>
          <w14:textFill>
            <w14:solidFill>
              <w14:schemeClr w14:val="tx1"/>
            </w14:solidFill>
          </w14:textFill>
        </w:rPr>
        <w:t>70%的款项（均无息）；</w:t>
      </w:r>
      <w:r>
        <w:rPr>
          <w:rFonts w:hint="eastAsia" w:ascii="仿宋" w:hAnsi="仿宋" w:eastAsia="仿宋" w:cs="仿宋"/>
          <w:color w:val="000000" w:themeColor="text1"/>
          <w:sz w:val="24"/>
          <w:szCs w:val="24"/>
          <w:highlight w:val="none"/>
          <w14:textFill>
            <w14:solidFill>
              <w14:schemeClr w14:val="tx1"/>
            </w14:solidFill>
          </w14:textFill>
        </w:rPr>
        <w:t>验收合格满一年</w:t>
      </w:r>
      <w:r>
        <w:rPr>
          <w:rFonts w:hint="eastAsia" w:ascii="仿宋" w:hAnsi="仿宋" w:eastAsia="仿宋" w:cs="仿宋"/>
          <w:bCs/>
          <w:color w:val="000000" w:themeColor="text1"/>
          <w:sz w:val="24"/>
          <w:szCs w:val="24"/>
          <w:highlight w:val="none"/>
          <w14:textFill>
            <w14:solidFill>
              <w14:schemeClr w14:val="tx1"/>
            </w14:solidFill>
          </w14:textFill>
        </w:rPr>
        <w:t>后，由</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诸暨市综合行政执法局</w:t>
      </w:r>
      <w:r>
        <w:rPr>
          <w:rFonts w:hint="eastAsia" w:ascii="仿宋" w:hAnsi="仿宋" w:eastAsia="仿宋" w:cs="仿宋"/>
          <w:bCs/>
          <w:color w:val="000000" w:themeColor="text1"/>
          <w:sz w:val="24"/>
          <w:szCs w:val="24"/>
          <w:highlight w:val="none"/>
          <w14:textFill>
            <w14:solidFill>
              <w14:schemeClr w14:val="tx1"/>
            </w14:solidFill>
          </w14:textFill>
        </w:rPr>
        <w:t>出具运维合格意见</w:t>
      </w:r>
      <w:r>
        <w:rPr>
          <w:rFonts w:hint="eastAsia" w:ascii="仿宋" w:hAnsi="仿宋" w:eastAsia="仿宋" w:cs="仿宋"/>
          <w:bCs/>
          <w:color w:val="000000" w:themeColor="text1"/>
          <w:kern w:val="0"/>
          <w:sz w:val="24"/>
          <w:szCs w:val="24"/>
          <w:highlight w:val="none"/>
          <w:lang w:val="zh-CN"/>
          <w14:textFill>
            <w14:solidFill>
              <w14:schemeClr w14:val="tx1"/>
            </w14:solidFill>
          </w14:textFill>
        </w:rPr>
        <w:t>且收到中标人提供的相关付款材料</w:t>
      </w:r>
      <w:r>
        <w:rPr>
          <w:rFonts w:hint="eastAsia" w:ascii="仿宋" w:hAnsi="仿宋" w:eastAsia="仿宋" w:cs="仿宋"/>
          <w:bCs/>
          <w:color w:val="000000" w:themeColor="text1"/>
          <w:sz w:val="24"/>
          <w:szCs w:val="24"/>
          <w:highlight w:val="none"/>
          <w14:textFill>
            <w14:solidFill>
              <w14:schemeClr w14:val="tx1"/>
            </w14:solidFill>
          </w14:textFill>
        </w:rPr>
        <w:t>后3个月内</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采购人向中标人支付</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扣除人员驻点费用以外的合同金额的2</w:t>
      </w:r>
      <w:r>
        <w:rPr>
          <w:rFonts w:hint="eastAsia" w:ascii="仿宋" w:hAnsi="仿宋" w:eastAsia="仿宋" w:cs="仿宋"/>
          <w:bCs/>
          <w:color w:val="000000" w:themeColor="text1"/>
          <w:sz w:val="24"/>
          <w:szCs w:val="24"/>
          <w:highlight w:val="none"/>
          <w14:textFill>
            <w14:solidFill>
              <w14:schemeClr w14:val="tx1"/>
            </w14:solidFill>
          </w14:textFill>
        </w:rPr>
        <w:t>0%的款项（均无息）；</w:t>
      </w:r>
      <w:r>
        <w:rPr>
          <w:rFonts w:hint="eastAsia" w:ascii="仿宋" w:hAnsi="仿宋" w:eastAsia="仿宋" w:cs="仿宋"/>
          <w:color w:val="000000" w:themeColor="text1"/>
          <w:sz w:val="24"/>
          <w:szCs w:val="24"/>
          <w:highlight w:val="none"/>
          <w:lang w:val="en-US" w:eastAsia="zh-CN"/>
          <w14:textFill>
            <w14:solidFill>
              <w14:schemeClr w14:val="tx1"/>
            </w14:solidFill>
          </w14:textFill>
        </w:rPr>
        <w:t>质保期满</w:t>
      </w:r>
      <w:r>
        <w:rPr>
          <w:rFonts w:hint="eastAsia" w:ascii="仿宋" w:hAnsi="仿宋" w:eastAsia="仿宋" w:cs="仿宋"/>
          <w:bCs/>
          <w:color w:val="000000" w:themeColor="text1"/>
          <w:sz w:val="24"/>
          <w:szCs w:val="24"/>
          <w:highlight w:val="none"/>
          <w14:textFill>
            <w14:solidFill>
              <w14:schemeClr w14:val="tx1"/>
            </w14:solidFill>
          </w14:textFill>
        </w:rPr>
        <w:t>后，由</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诸暨市综合行政执法局</w:t>
      </w:r>
      <w:r>
        <w:rPr>
          <w:rFonts w:hint="eastAsia" w:ascii="仿宋" w:hAnsi="仿宋" w:eastAsia="仿宋" w:cs="仿宋"/>
          <w:bCs/>
          <w:color w:val="000000" w:themeColor="text1"/>
          <w:sz w:val="24"/>
          <w:szCs w:val="24"/>
          <w:highlight w:val="none"/>
          <w14:textFill>
            <w14:solidFill>
              <w14:schemeClr w14:val="tx1"/>
            </w14:solidFill>
          </w14:textFill>
        </w:rPr>
        <w:t>出具运维合格意见</w:t>
      </w:r>
      <w:r>
        <w:rPr>
          <w:rFonts w:hint="eastAsia" w:ascii="仿宋" w:hAnsi="仿宋" w:eastAsia="仿宋" w:cs="仿宋"/>
          <w:bCs/>
          <w:color w:val="000000" w:themeColor="text1"/>
          <w:kern w:val="0"/>
          <w:sz w:val="24"/>
          <w:szCs w:val="24"/>
          <w:highlight w:val="none"/>
          <w:lang w:val="zh-CN"/>
          <w14:textFill>
            <w14:solidFill>
              <w14:schemeClr w14:val="tx1"/>
            </w14:solidFill>
          </w14:textFill>
        </w:rPr>
        <w:t>且收到中标人提供的相关付款材料</w:t>
      </w:r>
      <w:r>
        <w:rPr>
          <w:rFonts w:hint="eastAsia" w:ascii="仿宋" w:hAnsi="仿宋" w:eastAsia="仿宋" w:cs="仿宋"/>
          <w:bCs/>
          <w:color w:val="000000" w:themeColor="text1"/>
          <w:sz w:val="24"/>
          <w:szCs w:val="24"/>
          <w:highlight w:val="none"/>
          <w14:textFill>
            <w14:solidFill>
              <w14:schemeClr w14:val="tx1"/>
            </w14:solidFill>
          </w14:textFill>
        </w:rPr>
        <w:t>后3个月内</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采购人向中标人支付</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扣除人员驻点费用以外的合同金额的10</w:t>
      </w:r>
      <w:r>
        <w:rPr>
          <w:rFonts w:hint="eastAsia" w:ascii="仿宋" w:hAnsi="仿宋" w:eastAsia="仿宋" w:cs="仿宋"/>
          <w:bCs/>
          <w:color w:val="000000" w:themeColor="text1"/>
          <w:sz w:val="24"/>
          <w:szCs w:val="24"/>
          <w:highlight w:val="none"/>
          <w14:textFill>
            <w14:solidFill>
              <w14:schemeClr w14:val="tx1"/>
            </w14:solidFill>
          </w14:textFill>
        </w:rPr>
        <w:t>%的款项（均无息）</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p w14:paraId="6A9948A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000000" w:themeColor="text1"/>
          <w:highlight w:val="none"/>
          <w:lang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人员驻点费用在验收合格满一年后，由诸暨市综合行政执法局出具运维合格意见且收到中标人提供的相关付款材料后3个月内，采购人向中标人一次性支付。</w:t>
      </w:r>
    </w:p>
    <w:p w14:paraId="32F4A497">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最高限价</w:t>
      </w:r>
    </w:p>
    <w:p w14:paraId="222AD2A0">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本次采购最高限价为人民币</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贰佰贰拾伍万</w:t>
      </w:r>
      <w:r>
        <w:rPr>
          <w:rFonts w:hint="eastAsia" w:ascii="仿宋" w:hAnsi="仿宋" w:eastAsia="仿宋" w:cs="仿宋"/>
          <w:b/>
          <w:bCs/>
          <w:color w:val="000000" w:themeColor="text1"/>
          <w:sz w:val="24"/>
          <w:szCs w:val="24"/>
          <w:highlight w:val="none"/>
          <w14:textFill>
            <w14:solidFill>
              <w14:schemeClr w14:val="tx1"/>
            </w14:solidFill>
          </w14:textFill>
        </w:rPr>
        <w:t>元整（¥</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2250000</w:t>
      </w:r>
      <w:r>
        <w:rPr>
          <w:rFonts w:hint="eastAsia" w:ascii="仿宋" w:hAnsi="仿宋" w:eastAsia="仿宋" w:cs="仿宋"/>
          <w:b/>
          <w:bCs/>
          <w:color w:val="000000" w:themeColor="text1"/>
          <w:sz w:val="24"/>
          <w:szCs w:val="24"/>
          <w:highlight w:val="none"/>
          <w14:textFill>
            <w14:solidFill>
              <w14:schemeClr w14:val="tx1"/>
            </w14:solidFill>
          </w14:textFill>
        </w:rPr>
        <w:t>），任何超过最高限价的报价将被认定为无效报价。（投标报价包括与项目建设相关的</w:t>
      </w:r>
      <w:r>
        <w:rPr>
          <w:rFonts w:hint="eastAsia" w:ascii="仿宋" w:hAnsi="仿宋" w:eastAsia="仿宋" w:cs="仿宋"/>
          <w:b/>
          <w:bCs/>
          <w:color w:val="000000" w:themeColor="text1"/>
          <w:sz w:val="24"/>
          <w:szCs w:val="24"/>
          <w:highlight w:val="none"/>
          <w:lang w:val="zh-CN"/>
          <w14:textFill>
            <w14:solidFill>
              <w14:schemeClr w14:val="tx1"/>
            </w14:solidFill>
          </w14:textFill>
        </w:rPr>
        <w:t>一切费用。</w:t>
      </w:r>
      <w:r>
        <w:rPr>
          <w:rFonts w:hint="eastAsia" w:ascii="仿宋" w:hAnsi="仿宋" w:eastAsia="仿宋" w:cs="仿宋"/>
          <w:b/>
          <w:bCs/>
          <w:color w:val="000000" w:themeColor="text1"/>
          <w:sz w:val="24"/>
          <w:szCs w:val="24"/>
          <w:highlight w:val="none"/>
          <w14:textFill>
            <w14:solidFill>
              <w14:schemeClr w14:val="tx1"/>
            </w14:solidFill>
          </w14:textFill>
        </w:rPr>
        <w:t>）</w:t>
      </w:r>
    </w:p>
    <w:p w14:paraId="6990B204">
      <w:pPr>
        <w:pStyle w:val="24"/>
        <w:rPr>
          <w:rFonts w:hint="eastAsia" w:ascii="仿宋" w:hAnsi="仿宋" w:eastAsia="仿宋" w:cs="仿宋"/>
          <w:color w:val="000000" w:themeColor="text1"/>
          <w:highlight w:val="none"/>
          <w14:textFill>
            <w14:solidFill>
              <w14:schemeClr w14:val="tx1"/>
            </w14:solidFill>
          </w14:textFill>
        </w:rPr>
      </w:pPr>
    </w:p>
    <w:p w14:paraId="2669D16B">
      <w:pPr>
        <w:keepNext w:val="0"/>
        <w:keepLines w:val="0"/>
        <w:pageBreakBefore w:val="0"/>
        <w:widowControl w:val="0"/>
        <w:kinsoku/>
        <w:wordWrap/>
        <w:overflowPunct/>
        <w:topLinePunct w:val="0"/>
        <w:autoSpaceDE w:val="0"/>
        <w:autoSpaceDN w:val="0"/>
        <w:bidi w:val="0"/>
        <w:adjustRightInd w:val="0"/>
        <w:snapToGrid/>
        <w:spacing w:before="62" w:beforeLines="20" w:line="400" w:lineRule="exact"/>
        <w:textAlignment w:val="auto"/>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u w:val="single"/>
          <w14:textFill>
            <w14:solidFill>
              <w14:schemeClr w14:val="tx1"/>
            </w14:solidFill>
          </w14:textFill>
        </w:rPr>
        <w:t>注：★为实质性响应项，不满足则投标无效。“▲”是关键技术参数及要求。</w:t>
      </w:r>
    </w:p>
    <w:p w14:paraId="5307EB6B">
      <w:pPr>
        <w:rPr>
          <w:rFonts w:hint="eastAsia" w:asciiTheme="majorEastAsia" w:hAnsiTheme="majorEastAsia" w:eastAsiaTheme="majorEastAsia" w:cstheme="majorEastAsia"/>
          <w:i w:val="0"/>
          <w:iCs w:val="0"/>
          <w:color w:val="000000" w:themeColor="text1"/>
          <w:kern w:val="0"/>
          <w:sz w:val="24"/>
          <w:szCs w:val="24"/>
          <w:highlight w:val="none"/>
          <w:u w:val="none"/>
          <w:lang w:val="en-US" w:eastAsia="zh-CN" w:bidi="ar"/>
          <w14:textFill>
            <w14:solidFill>
              <w14:schemeClr w14:val="tx1"/>
            </w14:solidFill>
          </w14:textFill>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EE18">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D0DFB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FD0DFB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35845"/>
    <w:multiLevelType w:val="singleLevel"/>
    <w:tmpl w:val="84435845"/>
    <w:lvl w:ilvl="0" w:tentative="0">
      <w:start w:val="1"/>
      <w:numFmt w:val="decimal"/>
      <w:lvlText w:val="%1."/>
      <w:lvlJc w:val="left"/>
      <w:pPr>
        <w:ind w:left="425" w:hanging="425"/>
      </w:pPr>
      <w:rPr>
        <w:rFonts w:hint="default"/>
      </w:rPr>
    </w:lvl>
  </w:abstractNum>
  <w:abstractNum w:abstractNumId="1">
    <w:nsid w:val="86ECDD48"/>
    <w:multiLevelType w:val="singleLevel"/>
    <w:tmpl w:val="86ECDD48"/>
    <w:lvl w:ilvl="0" w:tentative="0">
      <w:start w:val="1"/>
      <w:numFmt w:val="decimal"/>
      <w:lvlText w:val="%1."/>
      <w:lvlJc w:val="left"/>
      <w:pPr>
        <w:ind w:left="425" w:hanging="425"/>
      </w:pPr>
      <w:rPr>
        <w:rFonts w:hint="default"/>
      </w:rPr>
    </w:lvl>
  </w:abstractNum>
  <w:abstractNum w:abstractNumId="2">
    <w:nsid w:val="88690C66"/>
    <w:multiLevelType w:val="singleLevel"/>
    <w:tmpl w:val="88690C66"/>
    <w:lvl w:ilvl="0" w:tentative="0">
      <w:start w:val="1"/>
      <w:numFmt w:val="decimal"/>
      <w:lvlText w:val="%1."/>
      <w:lvlJc w:val="left"/>
      <w:pPr>
        <w:ind w:left="425" w:hanging="425"/>
      </w:pPr>
      <w:rPr>
        <w:rFonts w:hint="default"/>
      </w:rPr>
    </w:lvl>
  </w:abstractNum>
  <w:abstractNum w:abstractNumId="3">
    <w:nsid w:val="8F762941"/>
    <w:multiLevelType w:val="singleLevel"/>
    <w:tmpl w:val="8F762941"/>
    <w:lvl w:ilvl="0" w:tentative="0">
      <w:start w:val="1"/>
      <w:numFmt w:val="decimal"/>
      <w:lvlText w:val="%1."/>
      <w:lvlJc w:val="left"/>
      <w:pPr>
        <w:ind w:left="425" w:hanging="425"/>
      </w:pPr>
      <w:rPr>
        <w:rFonts w:hint="default"/>
      </w:rPr>
    </w:lvl>
  </w:abstractNum>
  <w:abstractNum w:abstractNumId="4">
    <w:nsid w:val="90DE77B6"/>
    <w:multiLevelType w:val="singleLevel"/>
    <w:tmpl w:val="90DE77B6"/>
    <w:lvl w:ilvl="0" w:tentative="0">
      <w:start w:val="1"/>
      <w:numFmt w:val="decimal"/>
      <w:lvlText w:val="%1."/>
      <w:lvlJc w:val="left"/>
      <w:pPr>
        <w:ind w:left="425" w:hanging="425"/>
      </w:pPr>
      <w:rPr>
        <w:rFonts w:hint="default"/>
      </w:rPr>
    </w:lvl>
  </w:abstractNum>
  <w:abstractNum w:abstractNumId="5">
    <w:nsid w:val="92164709"/>
    <w:multiLevelType w:val="singleLevel"/>
    <w:tmpl w:val="92164709"/>
    <w:lvl w:ilvl="0" w:tentative="0">
      <w:start w:val="1"/>
      <w:numFmt w:val="decimal"/>
      <w:lvlText w:val="%1."/>
      <w:lvlJc w:val="left"/>
      <w:pPr>
        <w:ind w:left="425" w:hanging="425"/>
      </w:pPr>
      <w:rPr>
        <w:rFonts w:hint="default"/>
      </w:rPr>
    </w:lvl>
  </w:abstractNum>
  <w:abstractNum w:abstractNumId="6">
    <w:nsid w:val="9C147132"/>
    <w:multiLevelType w:val="singleLevel"/>
    <w:tmpl w:val="9C147132"/>
    <w:lvl w:ilvl="0" w:tentative="0">
      <w:start w:val="1"/>
      <w:numFmt w:val="decimal"/>
      <w:lvlText w:val="%1."/>
      <w:lvlJc w:val="left"/>
      <w:pPr>
        <w:ind w:left="425" w:hanging="425"/>
      </w:pPr>
      <w:rPr>
        <w:rFonts w:hint="default"/>
      </w:rPr>
    </w:lvl>
  </w:abstractNum>
  <w:abstractNum w:abstractNumId="7">
    <w:nsid w:val="9E3D1828"/>
    <w:multiLevelType w:val="singleLevel"/>
    <w:tmpl w:val="9E3D1828"/>
    <w:lvl w:ilvl="0" w:tentative="0">
      <w:start w:val="1"/>
      <w:numFmt w:val="decimal"/>
      <w:lvlText w:val="%1."/>
      <w:lvlJc w:val="left"/>
      <w:pPr>
        <w:ind w:left="425" w:hanging="425"/>
      </w:pPr>
      <w:rPr>
        <w:rFonts w:hint="default"/>
      </w:rPr>
    </w:lvl>
  </w:abstractNum>
  <w:abstractNum w:abstractNumId="8">
    <w:nsid w:val="AE72387E"/>
    <w:multiLevelType w:val="singleLevel"/>
    <w:tmpl w:val="AE72387E"/>
    <w:lvl w:ilvl="0" w:tentative="0">
      <w:start w:val="1"/>
      <w:numFmt w:val="decimal"/>
      <w:lvlText w:val="(%1)"/>
      <w:lvlJc w:val="left"/>
      <w:pPr>
        <w:ind w:left="425" w:hanging="425"/>
      </w:pPr>
      <w:rPr>
        <w:rFonts w:hint="default"/>
      </w:rPr>
    </w:lvl>
  </w:abstractNum>
  <w:abstractNum w:abstractNumId="9">
    <w:nsid w:val="B0C40A74"/>
    <w:multiLevelType w:val="singleLevel"/>
    <w:tmpl w:val="B0C40A74"/>
    <w:lvl w:ilvl="0" w:tentative="0">
      <w:start w:val="1"/>
      <w:numFmt w:val="decimal"/>
      <w:lvlText w:val="%1."/>
      <w:lvlJc w:val="left"/>
      <w:pPr>
        <w:ind w:left="425" w:hanging="425"/>
      </w:pPr>
      <w:rPr>
        <w:rFonts w:hint="default"/>
      </w:rPr>
    </w:lvl>
  </w:abstractNum>
  <w:abstractNum w:abstractNumId="10">
    <w:nsid w:val="BCB8CC5B"/>
    <w:multiLevelType w:val="singleLevel"/>
    <w:tmpl w:val="BCB8CC5B"/>
    <w:lvl w:ilvl="0" w:tentative="0">
      <w:start w:val="1"/>
      <w:numFmt w:val="decimal"/>
      <w:lvlText w:val="%1."/>
      <w:lvlJc w:val="left"/>
      <w:pPr>
        <w:ind w:left="425" w:hanging="425"/>
      </w:pPr>
      <w:rPr>
        <w:rFonts w:hint="default"/>
      </w:rPr>
    </w:lvl>
  </w:abstractNum>
  <w:abstractNum w:abstractNumId="11">
    <w:nsid w:val="D05517F9"/>
    <w:multiLevelType w:val="singleLevel"/>
    <w:tmpl w:val="D05517F9"/>
    <w:lvl w:ilvl="0" w:tentative="0">
      <w:start w:val="1"/>
      <w:numFmt w:val="decimal"/>
      <w:lvlText w:val="%1."/>
      <w:lvlJc w:val="left"/>
      <w:pPr>
        <w:ind w:left="425" w:hanging="425"/>
      </w:pPr>
      <w:rPr>
        <w:rFonts w:hint="default"/>
      </w:rPr>
    </w:lvl>
  </w:abstractNum>
  <w:abstractNum w:abstractNumId="12">
    <w:nsid w:val="D88A282B"/>
    <w:multiLevelType w:val="singleLevel"/>
    <w:tmpl w:val="D88A282B"/>
    <w:lvl w:ilvl="0" w:tentative="0">
      <w:start w:val="1"/>
      <w:numFmt w:val="decimal"/>
      <w:lvlText w:val="%1."/>
      <w:lvlJc w:val="left"/>
      <w:pPr>
        <w:ind w:left="425" w:hanging="425"/>
      </w:pPr>
      <w:rPr>
        <w:rFonts w:hint="default"/>
      </w:rPr>
    </w:lvl>
  </w:abstractNum>
  <w:abstractNum w:abstractNumId="13">
    <w:nsid w:val="E6CD84F3"/>
    <w:multiLevelType w:val="singleLevel"/>
    <w:tmpl w:val="E6CD84F3"/>
    <w:lvl w:ilvl="0" w:tentative="0">
      <w:start w:val="1"/>
      <w:numFmt w:val="decimal"/>
      <w:lvlText w:val="%1."/>
      <w:lvlJc w:val="left"/>
      <w:pPr>
        <w:ind w:left="425" w:hanging="425"/>
      </w:pPr>
      <w:rPr>
        <w:rFonts w:hint="default"/>
      </w:rPr>
    </w:lvl>
  </w:abstractNum>
  <w:abstractNum w:abstractNumId="14">
    <w:nsid w:val="E78E32FE"/>
    <w:multiLevelType w:val="singleLevel"/>
    <w:tmpl w:val="E78E32FE"/>
    <w:lvl w:ilvl="0" w:tentative="0">
      <w:start w:val="1"/>
      <w:numFmt w:val="decimal"/>
      <w:lvlText w:val="%1."/>
      <w:lvlJc w:val="left"/>
      <w:pPr>
        <w:ind w:left="425" w:hanging="425"/>
      </w:pPr>
      <w:rPr>
        <w:rFonts w:hint="default"/>
      </w:rPr>
    </w:lvl>
  </w:abstractNum>
  <w:abstractNum w:abstractNumId="15">
    <w:nsid w:val="EF48E60C"/>
    <w:multiLevelType w:val="singleLevel"/>
    <w:tmpl w:val="EF48E60C"/>
    <w:lvl w:ilvl="0" w:tentative="0">
      <w:start w:val="1"/>
      <w:numFmt w:val="decimal"/>
      <w:lvlText w:val="%1."/>
      <w:lvlJc w:val="left"/>
      <w:pPr>
        <w:ind w:left="425" w:hanging="425"/>
      </w:pPr>
      <w:rPr>
        <w:rFonts w:hint="default"/>
      </w:rPr>
    </w:lvl>
  </w:abstractNum>
  <w:abstractNum w:abstractNumId="16">
    <w:nsid w:val="F4686A0F"/>
    <w:multiLevelType w:val="singleLevel"/>
    <w:tmpl w:val="F4686A0F"/>
    <w:lvl w:ilvl="0" w:tentative="0">
      <w:start w:val="1"/>
      <w:numFmt w:val="decimal"/>
      <w:lvlText w:val="%1."/>
      <w:lvlJc w:val="left"/>
      <w:pPr>
        <w:ind w:left="425" w:hanging="425"/>
      </w:pPr>
      <w:rPr>
        <w:rFonts w:hint="default"/>
      </w:rPr>
    </w:lvl>
  </w:abstractNum>
  <w:abstractNum w:abstractNumId="17">
    <w:nsid w:val="F8DDBCA7"/>
    <w:multiLevelType w:val="singleLevel"/>
    <w:tmpl w:val="F8DDBCA7"/>
    <w:lvl w:ilvl="0" w:tentative="0">
      <w:start w:val="1"/>
      <w:numFmt w:val="decimal"/>
      <w:lvlText w:val="%1."/>
      <w:lvlJc w:val="left"/>
      <w:pPr>
        <w:ind w:left="425" w:hanging="425"/>
      </w:pPr>
      <w:rPr>
        <w:rFonts w:hint="default"/>
      </w:rPr>
    </w:lvl>
  </w:abstractNum>
  <w:abstractNum w:abstractNumId="18">
    <w:nsid w:val="FE671A18"/>
    <w:multiLevelType w:val="singleLevel"/>
    <w:tmpl w:val="FE671A18"/>
    <w:lvl w:ilvl="0" w:tentative="0">
      <w:start w:val="1"/>
      <w:numFmt w:val="decimal"/>
      <w:lvlText w:val="%1."/>
      <w:lvlJc w:val="left"/>
      <w:pPr>
        <w:ind w:left="425" w:hanging="425"/>
      </w:pPr>
      <w:rPr>
        <w:rFonts w:hint="default"/>
      </w:rPr>
    </w:lvl>
  </w:abstractNum>
  <w:abstractNum w:abstractNumId="19">
    <w:nsid w:val="0219A61F"/>
    <w:multiLevelType w:val="singleLevel"/>
    <w:tmpl w:val="0219A61F"/>
    <w:lvl w:ilvl="0" w:tentative="0">
      <w:start w:val="1"/>
      <w:numFmt w:val="decimal"/>
      <w:lvlText w:val="%1."/>
      <w:lvlJc w:val="left"/>
      <w:pPr>
        <w:ind w:left="425" w:hanging="425"/>
      </w:pPr>
      <w:rPr>
        <w:rFonts w:hint="default"/>
      </w:rPr>
    </w:lvl>
  </w:abstractNum>
  <w:abstractNum w:abstractNumId="20">
    <w:nsid w:val="033310C9"/>
    <w:multiLevelType w:val="singleLevel"/>
    <w:tmpl w:val="033310C9"/>
    <w:lvl w:ilvl="0" w:tentative="0">
      <w:start w:val="1"/>
      <w:numFmt w:val="decimal"/>
      <w:lvlText w:val="%1."/>
      <w:lvlJc w:val="left"/>
      <w:pPr>
        <w:ind w:left="425" w:hanging="425"/>
      </w:pPr>
      <w:rPr>
        <w:rFonts w:hint="default"/>
      </w:rPr>
    </w:lvl>
  </w:abstractNum>
  <w:abstractNum w:abstractNumId="21">
    <w:nsid w:val="08BA77B9"/>
    <w:multiLevelType w:val="singleLevel"/>
    <w:tmpl w:val="08BA77B9"/>
    <w:lvl w:ilvl="0" w:tentative="0">
      <w:start w:val="1"/>
      <w:numFmt w:val="decimal"/>
      <w:lvlText w:val="%1."/>
      <w:lvlJc w:val="left"/>
      <w:pPr>
        <w:ind w:left="425" w:hanging="425"/>
      </w:pPr>
      <w:rPr>
        <w:rFonts w:hint="default"/>
      </w:rPr>
    </w:lvl>
  </w:abstractNum>
  <w:abstractNum w:abstractNumId="22">
    <w:nsid w:val="1C76F0B6"/>
    <w:multiLevelType w:val="singleLevel"/>
    <w:tmpl w:val="1C76F0B6"/>
    <w:lvl w:ilvl="0" w:tentative="0">
      <w:start w:val="1"/>
      <w:numFmt w:val="decimal"/>
      <w:lvlText w:val="%1."/>
      <w:lvlJc w:val="left"/>
      <w:pPr>
        <w:ind w:left="425" w:hanging="425"/>
      </w:pPr>
      <w:rPr>
        <w:rFonts w:hint="default"/>
      </w:rPr>
    </w:lvl>
  </w:abstractNum>
  <w:abstractNum w:abstractNumId="23">
    <w:nsid w:val="1E979EB9"/>
    <w:multiLevelType w:val="singleLevel"/>
    <w:tmpl w:val="1E979EB9"/>
    <w:lvl w:ilvl="0" w:tentative="0">
      <w:start w:val="1"/>
      <w:numFmt w:val="decimal"/>
      <w:lvlText w:val="%1."/>
      <w:lvlJc w:val="left"/>
      <w:pPr>
        <w:ind w:left="425" w:hanging="425"/>
      </w:pPr>
      <w:rPr>
        <w:rFonts w:hint="default"/>
      </w:rPr>
    </w:lvl>
  </w:abstractNum>
  <w:abstractNum w:abstractNumId="24">
    <w:nsid w:val="1F413393"/>
    <w:multiLevelType w:val="singleLevel"/>
    <w:tmpl w:val="1F413393"/>
    <w:lvl w:ilvl="0" w:tentative="0">
      <w:start w:val="1"/>
      <w:numFmt w:val="decimal"/>
      <w:lvlText w:val="%1."/>
      <w:lvlJc w:val="left"/>
      <w:pPr>
        <w:ind w:left="425" w:hanging="425"/>
      </w:pPr>
      <w:rPr>
        <w:rFonts w:hint="default"/>
      </w:rPr>
    </w:lvl>
  </w:abstractNum>
  <w:abstractNum w:abstractNumId="25">
    <w:nsid w:val="31C5E48A"/>
    <w:multiLevelType w:val="singleLevel"/>
    <w:tmpl w:val="31C5E48A"/>
    <w:lvl w:ilvl="0" w:tentative="0">
      <w:start w:val="1"/>
      <w:numFmt w:val="decimal"/>
      <w:lvlText w:val="%1."/>
      <w:lvlJc w:val="left"/>
      <w:pPr>
        <w:ind w:left="425" w:hanging="425"/>
      </w:pPr>
      <w:rPr>
        <w:rFonts w:hint="default"/>
      </w:rPr>
    </w:lvl>
  </w:abstractNum>
  <w:abstractNum w:abstractNumId="26">
    <w:nsid w:val="3462701E"/>
    <w:multiLevelType w:val="singleLevel"/>
    <w:tmpl w:val="3462701E"/>
    <w:lvl w:ilvl="0" w:tentative="0">
      <w:start w:val="1"/>
      <w:numFmt w:val="decimal"/>
      <w:lvlText w:val="(%1)"/>
      <w:lvlJc w:val="left"/>
      <w:pPr>
        <w:ind w:left="425" w:hanging="425"/>
      </w:pPr>
      <w:rPr>
        <w:rFonts w:hint="default"/>
      </w:rPr>
    </w:lvl>
  </w:abstractNum>
  <w:abstractNum w:abstractNumId="27">
    <w:nsid w:val="3C49A5CA"/>
    <w:multiLevelType w:val="singleLevel"/>
    <w:tmpl w:val="3C49A5CA"/>
    <w:lvl w:ilvl="0" w:tentative="0">
      <w:start w:val="1"/>
      <w:numFmt w:val="decimal"/>
      <w:lvlText w:val="%1."/>
      <w:lvlJc w:val="left"/>
      <w:pPr>
        <w:ind w:left="425" w:hanging="425"/>
      </w:pPr>
      <w:rPr>
        <w:rFonts w:hint="default"/>
      </w:rPr>
    </w:lvl>
  </w:abstractNum>
  <w:abstractNum w:abstractNumId="28">
    <w:nsid w:val="3D1A387B"/>
    <w:multiLevelType w:val="singleLevel"/>
    <w:tmpl w:val="3D1A387B"/>
    <w:lvl w:ilvl="0" w:tentative="0">
      <w:start w:val="1"/>
      <w:numFmt w:val="decimal"/>
      <w:lvlText w:val="%1."/>
      <w:lvlJc w:val="left"/>
      <w:pPr>
        <w:ind w:left="425" w:hanging="425"/>
      </w:pPr>
      <w:rPr>
        <w:rFonts w:hint="default"/>
      </w:rPr>
    </w:lvl>
  </w:abstractNum>
  <w:abstractNum w:abstractNumId="29">
    <w:nsid w:val="4301EAEE"/>
    <w:multiLevelType w:val="singleLevel"/>
    <w:tmpl w:val="4301EAEE"/>
    <w:lvl w:ilvl="0" w:tentative="0">
      <w:start w:val="1"/>
      <w:numFmt w:val="decimal"/>
      <w:lvlText w:val="%1."/>
      <w:lvlJc w:val="left"/>
      <w:pPr>
        <w:ind w:left="425" w:hanging="425"/>
      </w:pPr>
      <w:rPr>
        <w:rFonts w:hint="default"/>
      </w:rPr>
    </w:lvl>
  </w:abstractNum>
  <w:abstractNum w:abstractNumId="30">
    <w:nsid w:val="4FC04C85"/>
    <w:multiLevelType w:val="singleLevel"/>
    <w:tmpl w:val="4FC04C85"/>
    <w:lvl w:ilvl="0" w:tentative="0">
      <w:start w:val="1"/>
      <w:numFmt w:val="decimal"/>
      <w:lvlText w:val="%1."/>
      <w:lvlJc w:val="left"/>
      <w:pPr>
        <w:ind w:left="425" w:hanging="425"/>
      </w:pPr>
      <w:rPr>
        <w:rFonts w:hint="default"/>
      </w:rPr>
    </w:lvl>
  </w:abstractNum>
  <w:abstractNum w:abstractNumId="31">
    <w:nsid w:val="4FFCC521"/>
    <w:multiLevelType w:val="singleLevel"/>
    <w:tmpl w:val="4FFCC521"/>
    <w:lvl w:ilvl="0" w:tentative="0">
      <w:start w:val="1"/>
      <w:numFmt w:val="decimal"/>
      <w:lvlText w:val="%1."/>
      <w:lvlJc w:val="left"/>
      <w:pPr>
        <w:ind w:left="425" w:hanging="425"/>
      </w:pPr>
      <w:rPr>
        <w:rFonts w:hint="default"/>
      </w:rPr>
    </w:lvl>
  </w:abstractNum>
  <w:abstractNum w:abstractNumId="32">
    <w:nsid w:val="505B1D2F"/>
    <w:multiLevelType w:val="singleLevel"/>
    <w:tmpl w:val="505B1D2F"/>
    <w:lvl w:ilvl="0" w:tentative="0">
      <w:start w:val="1"/>
      <w:numFmt w:val="decimal"/>
      <w:lvlText w:val="%1."/>
      <w:lvlJc w:val="left"/>
      <w:pPr>
        <w:ind w:left="425" w:hanging="425"/>
      </w:pPr>
      <w:rPr>
        <w:rFonts w:hint="default"/>
      </w:rPr>
    </w:lvl>
  </w:abstractNum>
  <w:abstractNum w:abstractNumId="33">
    <w:nsid w:val="50D0B751"/>
    <w:multiLevelType w:val="singleLevel"/>
    <w:tmpl w:val="50D0B751"/>
    <w:lvl w:ilvl="0" w:tentative="0">
      <w:start w:val="1"/>
      <w:numFmt w:val="decimal"/>
      <w:lvlText w:val="%1."/>
      <w:lvlJc w:val="left"/>
      <w:pPr>
        <w:ind w:left="425" w:hanging="425"/>
      </w:pPr>
      <w:rPr>
        <w:rFonts w:hint="default"/>
      </w:rPr>
    </w:lvl>
  </w:abstractNum>
  <w:abstractNum w:abstractNumId="34">
    <w:nsid w:val="51C648F4"/>
    <w:multiLevelType w:val="singleLevel"/>
    <w:tmpl w:val="51C648F4"/>
    <w:lvl w:ilvl="0" w:tentative="0">
      <w:start w:val="1"/>
      <w:numFmt w:val="decimal"/>
      <w:lvlText w:val="%1."/>
      <w:lvlJc w:val="left"/>
      <w:pPr>
        <w:ind w:left="425" w:hanging="425"/>
      </w:pPr>
      <w:rPr>
        <w:rFonts w:hint="default"/>
      </w:rPr>
    </w:lvl>
  </w:abstractNum>
  <w:abstractNum w:abstractNumId="35">
    <w:nsid w:val="55A4CF5A"/>
    <w:multiLevelType w:val="singleLevel"/>
    <w:tmpl w:val="55A4CF5A"/>
    <w:lvl w:ilvl="0" w:tentative="0">
      <w:start w:val="1"/>
      <w:numFmt w:val="decimal"/>
      <w:lvlText w:val="%1."/>
      <w:lvlJc w:val="left"/>
      <w:pPr>
        <w:ind w:left="425" w:hanging="425"/>
      </w:pPr>
      <w:rPr>
        <w:rFonts w:hint="default"/>
      </w:rPr>
    </w:lvl>
  </w:abstractNum>
  <w:abstractNum w:abstractNumId="36">
    <w:nsid w:val="57390A8D"/>
    <w:multiLevelType w:val="singleLevel"/>
    <w:tmpl w:val="57390A8D"/>
    <w:lvl w:ilvl="0" w:tentative="0">
      <w:start w:val="1"/>
      <w:numFmt w:val="decimal"/>
      <w:lvlText w:val="%1."/>
      <w:lvlJc w:val="left"/>
      <w:pPr>
        <w:ind w:left="425" w:hanging="425"/>
      </w:pPr>
      <w:rPr>
        <w:rFonts w:hint="default"/>
      </w:rPr>
    </w:lvl>
  </w:abstractNum>
  <w:abstractNum w:abstractNumId="37">
    <w:nsid w:val="5FEC19F6"/>
    <w:multiLevelType w:val="singleLevel"/>
    <w:tmpl w:val="5FEC19F6"/>
    <w:lvl w:ilvl="0" w:tentative="0">
      <w:start w:val="1"/>
      <w:numFmt w:val="decimal"/>
      <w:lvlText w:val="%1."/>
      <w:lvlJc w:val="left"/>
      <w:pPr>
        <w:ind w:left="425" w:hanging="425"/>
      </w:pPr>
      <w:rPr>
        <w:rFonts w:hint="default"/>
      </w:rPr>
    </w:lvl>
  </w:abstractNum>
  <w:abstractNum w:abstractNumId="38">
    <w:nsid w:val="6289FE8F"/>
    <w:multiLevelType w:val="singleLevel"/>
    <w:tmpl w:val="6289FE8F"/>
    <w:lvl w:ilvl="0" w:tentative="0">
      <w:start w:val="1"/>
      <w:numFmt w:val="decimal"/>
      <w:lvlText w:val="%1."/>
      <w:lvlJc w:val="left"/>
      <w:pPr>
        <w:ind w:left="425" w:hanging="425"/>
      </w:pPr>
      <w:rPr>
        <w:rFonts w:hint="default"/>
      </w:rPr>
    </w:lvl>
  </w:abstractNum>
  <w:abstractNum w:abstractNumId="39">
    <w:nsid w:val="63A56014"/>
    <w:multiLevelType w:val="singleLevel"/>
    <w:tmpl w:val="63A56014"/>
    <w:lvl w:ilvl="0" w:tentative="0">
      <w:start w:val="1"/>
      <w:numFmt w:val="decimal"/>
      <w:lvlText w:val="%1."/>
      <w:lvlJc w:val="left"/>
      <w:pPr>
        <w:ind w:left="425" w:hanging="425"/>
      </w:pPr>
      <w:rPr>
        <w:rFonts w:hint="default"/>
      </w:rPr>
    </w:lvl>
  </w:abstractNum>
  <w:abstractNum w:abstractNumId="40">
    <w:nsid w:val="6B68B13B"/>
    <w:multiLevelType w:val="singleLevel"/>
    <w:tmpl w:val="6B68B13B"/>
    <w:lvl w:ilvl="0" w:tentative="0">
      <w:start w:val="1"/>
      <w:numFmt w:val="decimal"/>
      <w:lvlText w:val="%1."/>
      <w:lvlJc w:val="left"/>
      <w:pPr>
        <w:ind w:left="425" w:hanging="425"/>
      </w:pPr>
      <w:rPr>
        <w:rFonts w:hint="default"/>
      </w:rPr>
    </w:lvl>
  </w:abstractNum>
  <w:abstractNum w:abstractNumId="41">
    <w:nsid w:val="75836C93"/>
    <w:multiLevelType w:val="multilevel"/>
    <w:tmpl w:val="75836C93"/>
    <w:lvl w:ilvl="0" w:tentative="0">
      <w:start w:val="1"/>
      <w:numFmt w:val="chineseCountingThousand"/>
      <w:pStyle w:val="23"/>
      <w:lvlText w:val="第%1章"/>
      <w:lvlJc w:val="left"/>
      <w:pPr>
        <w:ind w:left="2100" w:firstLine="0"/>
      </w:pPr>
      <w:rPr>
        <w:rFonts w:hint="eastAsia"/>
      </w:rPr>
    </w:lvl>
    <w:lvl w:ilvl="1" w:tentative="0">
      <w:start w:val="1"/>
      <w:numFmt w:val="decimal"/>
      <w:isLgl/>
      <w:lvlText w:val="%1.%2"/>
      <w:lvlJc w:val="left"/>
      <w:pPr>
        <w:ind w:left="1249" w:firstLine="0"/>
      </w:pPr>
      <w:rPr>
        <w:rFonts w:hint="eastAsia"/>
      </w:rPr>
    </w:lvl>
    <w:lvl w:ilvl="2" w:tentative="0">
      <w:start w:val="1"/>
      <w:numFmt w:val="decimal"/>
      <w:isLgl/>
      <w:lvlText w:val="%1.%2.%3"/>
      <w:lvlJc w:val="left"/>
      <w:pPr>
        <w:ind w:left="1249" w:firstLine="0"/>
      </w:pPr>
      <w:rPr>
        <w:rFonts w:hint="eastAsia"/>
      </w:rPr>
    </w:lvl>
    <w:lvl w:ilvl="3" w:tentative="0">
      <w:start w:val="1"/>
      <w:numFmt w:val="decimal"/>
      <w:isLgl/>
      <w:lvlText w:val="%1.%2.%3.%4"/>
      <w:lvlJc w:val="left"/>
      <w:pPr>
        <w:ind w:left="5786" w:firstLine="0"/>
      </w:pPr>
      <w:rPr>
        <w:rFonts w:hint="eastAsia"/>
      </w:rPr>
    </w:lvl>
    <w:lvl w:ilvl="4" w:tentative="0">
      <w:start w:val="1"/>
      <w:numFmt w:val="decimal"/>
      <w:isLgl/>
      <w:lvlText w:val="%1.%2.%3.%4.%5"/>
      <w:lvlJc w:val="left"/>
      <w:pPr>
        <w:ind w:left="1249" w:firstLine="0"/>
      </w:pPr>
      <w:rPr>
        <w:rFonts w:hint="eastAsia"/>
      </w:rPr>
    </w:lvl>
    <w:lvl w:ilvl="5" w:tentative="0">
      <w:start w:val="1"/>
      <w:numFmt w:val="decimal"/>
      <w:isLgl/>
      <w:lvlText w:val="%1.%2.%3.%4.%5.%6"/>
      <w:lvlJc w:val="left"/>
      <w:pPr>
        <w:ind w:left="1249" w:firstLine="0"/>
      </w:pPr>
      <w:rPr>
        <w:rFonts w:hint="eastAsia"/>
      </w:rPr>
    </w:lvl>
    <w:lvl w:ilvl="6" w:tentative="0">
      <w:start w:val="1"/>
      <w:numFmt w:val="decimal"/>
      <w:isLgl/>
      <w:lvlText w:val="%1.%2.%3.%4.%5.%6.%7"/>
      <w:lvlJc w:val="left"/>
      <w:pPr>
        <w:ind w:left="1249" w:firstLine="0"/>
      </w:pPr>
      <w:rPr>
        <w:rFonts w:hint="eastAsia"/>
      </w:rPr>
    </w:lvl>
    <w:lvl w:ilvl="7" w:tentative="0">
      <w:start w:val="1"/>
      <w:numFmt w:val="decimal"/>
      <w:isLgl/>
      <w:lvlText w:val="%1.%2.%3.%4.%5.%6.%7.%8"/>
      <w:lvlJc w:val="left"/>
      <w:pPr>
        <w:ind w:left="1249" w:firstLine="0"/>
      </w:pPr>
      <w:rPr>
        <w:rFonts w:hint="eastAsia"/>
      </w:rPr>
    </w:lvl>
    <w:lvl w:ilvl="8" w:tentative="0">
      <w:start w:val="1"/>
      <w:numFmt w:val="decimal"/>
      <w:isLgl/>
      <w:lvlText w:val="%1.%2.%3.%4.%5.%6.%7.%8.%9"/>
      <w:lvlJc w:val="left"/>
      <w:pPr>
        <w:ind w:left="1249" w:firstLine="0"/>
      </w:pPr>
      <w:rPr>
        <w:rFonts w:hint="eastAsia"/>
      </w:rPr>
    </w:lvl>
  </w:abstractNum>
  <w:abstractNum w:abstractNumId="42">
    <w:nsid w:val="75E6215F"/>
    <w:multiLevelType w:val="singleLevel"/>
    <w:tmpl w:val="75E6215F"/>
    <w:lvl w:ilvl="0" w:tentative="0">
      <w:start w:val="1"/>
      <w:numFmt w:val="decimal"/>
      <w:lvlText w:val="%1."/>
      <w:lvlJc w:val="left"/>
      <w:pPr>
        <w:ind w:left="425" w:hanging="425"/>
      </w:pPr>
      <w:rPr>
        <w:rFonts w:hint="default"/>
      </w:rPr>
    </w:lvl>
  </w:abstractNum>
  <w:abstractNum w:abstractNumId="43">
    <w:nsid w:val="78E9A144"/>
    <w:multiLevelType w:val="singleLevel"/>
    <w:tmpl w:val="78E9A144"/>
    <w:lvl w:ilvl="0" w:tentative="0">
      <w:start w:val="1"/>
      <w:numFmt w:val="decimal"/>
      <w:lvlText w:val="%1."/>
      <w:lvlJc w:val="left"/>
      <w:pPr>
        <w:ind w:left="425" w:hanging="425"/>
      </w:pPr>
      <w:rPr>
        <w:rFonts w:hint="default"/>
      </w:rPr>
    </w:lvl>
  </w:abstractNum>
  <w:abstractNum w:abstractNumId="44">
    <w:nsid w:val="7F6E18BF"/>
    <w:multiLevelType w:val="singleLevel"/>
    <w:tmpl w:val="7F6E18BF"/>
    <w:lvl w:ilvl="0" w:tentative="0">
      <w:start w:val="1"/>
      <w:numFmt w:val="decimal"/>
      <w:lvlText w:val="%1."/>
      <w:lvlJc w:val="left"/>
      <w:pPr>
        <w:ind w:left="425" w:hanging="425"/>
      </w:pPr>
      <w:rPr>
        <w:rFonts w:hint="default"/>
      </w:rPr>
    </w:lvl>
  </w:abstractNum>
  <w:num w:numId="1">
    <w:abstractNumId w:val="41"/>
  </w:num>
  <w:num w:numId="2">
    <w:abstractNumId w:val="13"/>
  </w:num>
  <w:num w:numId="3">
    <w:abstractNumId w:val="44"/>
  </w:num>
  <w:num w:numId="4">
    <w:abstractNumId w:val="15"/>
  </w:num>
  <w:num w:numId="5">
    <w:abstractNumId w:val="25"/>
  </w:num>
  <w:num w:numId="6">
    <w:abstractNumId w:val="7"/>
  </w:num>
  <w:num w:numId="7">
    <w:abstractNumId w:val="11"/>
  </w:num>
  <w:num w:numId="8">
    <w:abstractNumId w:val="40"/>
  </w:num>
  <w:num w:numId="9">
    <w:abstractNumId w:val="28"/>
  </w:num>
  <w:num w:numId="10">
    <w:abstractNumId w:val="19"/>
  </w:num>
  <w:num w:numId="11">
    <w:abstractNumId w:val="9"/>
  </w:num>
  <w:num w:numId="12">
    <w:abstractNumId w:val="22"/>
  </w:num>
  <w:num w:numId="13">
    <w:abstractNumId w:val="34"/>
  </w:num>
  <w:num w:numId="14">
    <w:abstractNumId w:val="32"/>
  </w:num>
  <w:num w:numId="15">
    <w:abstractNumId w:val="0"/>
  </w:num>
  <w:num w:numId="16">
    <w:abstractNumId w:val="27"/>
  </w:num>
  <w:num w:numId="17">
    <w:abstractNumId w:val="20"/>
  </w:num>
  <w:num w:numId="18">
    <w:abstractNumId w:val="6"/>
  </w:num>
  <w:num w:numId="19">
    <w:abstractNumId w:val="5"/>
  </w:num>
  <w:num w:numId="20">
    <w:abstractNumId w:val="17"/>
  </w:num>
  <w:num w:numId="21">
    <w:abstractNumId w:val="12"/>
  </w:num>
  <w:num w:numId="22">
    <w:abstractNumId w:val="21"/>
  </w:num>
  <w:num w:numId="23">
    <w:abstractNumId w:val="37"/>
  </w:num>
  <w:num w:numId="24">
    <w:abstractNumId w:val="1"/>
  </w:num>
  <w:num w:numId="25">
    <w:abstractNumId w:val="35"/>
  </w:num>
  <w:num w:numId="26">
    <w:abstractNumId w:val="42"/>
  </w:num>
  <w:num w:numId="27">
    <w:abstractNumId w:val="29"/>
  </w:num>
  <w:num w:numId="28">
    <w:abstractNumId w:val="43"/>
  </w:num>
  <w:num w:numId="29">
    <w:abstractNumId w:val="18"/>
  </w:num>
  <w:num w:numId="30">
    <w:abstractNumId w:val="39"/>
  </w:num>
  <w:num w:numId="31">
    <w:abstractNumId w:val="8"/>
  </w:num>
  <w:num w:numId="32">
    <w:abstractNumId w:val="26"/>
  </w:num>
  <w:num w:numId="33">
    <w:abstractNumId w:val="30"/>
  </w:num>
  <w:num w:numId="34">
    <w:abstractNumId w:val="38"/>
  </w:num>
  <w:num w:numId="35">
    <w:abstractNumId w:val="10"/>
  </w:num>
  <w:num w:numId="36">
    <w:abstractNumId w:val="36"/>
  </w:num>
  <w:num w:numId="37">
    <w:abstractNumId w:val="31"/>
  </w:num>
  <w:num w:numId="38">
    <w:abstractNumId w:val="33"/>
  </w:num>
  <w:num w:numId="39">
    <w:abstractNumId w:val="4"/>
  </w:num>
  <w:num w:numId="40">
    <w:abstractNumId w:val="2"/>
  </w:num>
  <w:num w:numId="41">
    <w:abstractNumId w:val="14"/>
  </w:num>
  <w:num w:numId="42">
    <w:abstractNumId w:val="23"/>
  </w:num>
  <w:num w:numId="43">
    <w:abstractNumId w:val="16"/>
  </w:num>
  <w:num w:numId="44">
    <w:abstractNumId w:val="2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TM3NGQyODExNTk1MDQxMWI4NjFiZGQ0MTJkMmYifQ=="/>
  </w:docVars>
  <w:rsids>
    <w:rsidRoot w:val="2A5448E3"/>
    <w:rsid w:val="01382C67"/>
    <w:rsid w:val="018A7679"/>
    <w:rsid w:val="01A71FD9"/>
    <w:rsid w:val="0270686F"/>
    <w:rsid w:val="036B5288"/>
    <w:rsid w:val="037B54CB"/>
    <w:rsid w:val="03805FE7"/>
    <w:rsid w:val="03A96345"/>
    <w:rsid w:val="03E56DE9"/>
    <w:rsid w:val="04387860"/>
    <w:rsid w:val="04671EF4"/>
    <w:rsid w:val="0520422F"/>
    <w:rsid w:val="05D67331"/>
    <w:rsid w:val="06E31D05"/>
    <w:rsid w:val="07043A2A"/>
    <w:rsid w:val="072D4D2F"/>
    <w:rsid w:val="077E37DC"/>
    <w:rsid w:val="07C66F31"/>
    <w:rsid w:val="08CB4946"/>
    <w:rsid w:val="08EE00FB"/>
    <w:rsid w:val="09151F1E"/>
    <w:rsid w:val="09523172"/>
    <w:rsid w:val="09CD45A7"/>
    <w:rsid w:val="0A0124A3"/>
    <w:rsid w:val="0A2C1E79"/>
    <w:rsid w:val="0BE015C4"/>
    <w:rsid w:val="0C394176"/>
    <w:rsid w:val="0CC22A68"/>
    <w:rsid w:val="0CF87B8D"/>
    <w:rsid w:val="0D267AE0"/>
    <w:rsid w:val="0E547045"/>
    <w:rsid w:val="0EB21FBD"/>
    <w:rsid w:val="0EF93461"/>
    <w:rsid w:val="0F1778CD"/>
    <w:rsid w:val="0FBA381F"/>
    <w:rsid w:val="11C75620"/>
    <w:rsid w:val="12217B86"/>
    <w:rsid w:val="12374C0C"/>
    <w:rsid w:val="12887C05"/>
    <w:rsid w:val="12BD27F8"/>
    <w:rsid w:val="131E2317"/>
    <w:rsid w:val="13545D39"/>
    <w:rsid w:val="13CD7D09"/>
    <w:rsid w:val="143859CE"/>
    <w:rsid w:val="14833235"/>
    <w:rsid w:val="152359C3"/>
    <w:rsid w:val="153B4ABB"/>
    <w:rsid w:val="15436065"/>
    <w:rsid w:val="177E5132"/>
    <w:rsid w:val="19481E9C"/>
    <w:rsid w:val="197467ED"/>
    <w:rsid w:val="19BB1495"/>
    <w:rsid w:val="1B130FC3"/>
    <w:rsid w:val="1BBB4752"/>
    <w:rsid w:val="1BC90FA3"/>
    <w:rsid w:val="1C556DAA"/>
    <w:rsid w:val="1D666D95"/>
    <w:rsid w:val="1DB43878"/>
    <w:rsid w:val="1F827606"/>
    <w:rsid w:val="1FBB7E8C"/>
    <w:rsid w:val="204D1B46"/>
    <w:rsid w:val="212A044B"/>
    <w:rsid w:val="221E720C"/>
    <w:rsid w:val="22A30143"/>
    <w:rsid w:val="22C34341"/>
    <w:rsid w:val="236731D9"/>
    <w:rsid w:val="237613B4"/>
    <w:rsid w:val="23785188"/>
    <w:rsid w:val="23D762F6"/>
    <w:rsid w:val="24C745BD"/>
    <w:rsid w:val="24D740D4"/>
    <w:rsid w:val="250F1AC0"/>
    <w:rsid w:val="25311A36"/>
    <w:rsid w:val="25392F75"/>
    <w:rsid w:val="258C3110"/>
    <w:rsid w:val="25EC2A58"/>
    <w:rsid w:val="266A4B4D"/>
    <w:rsid w:val="26C16DEA"/>
    <w:rsid w:val="27361586"/>
    <w:rsid w:val="273852FE"/>
    <w:rsid w:val="27934C2A"/>
    <w:rsid w:val="279F712B"/>
    <w:rsid w:val="288E36BA"/>
    <w:rsid w:val="28DD5ECC"/>
    <w:rsid w:val="29086F52"/>
    <w:rsid w:val="2A5448E3"/>
    <w:rsid w:val="2A7A79DB"/>
    <w:rsid w:val="2A922717"/>
    <w:rsid w:val="2B3C2EE3"/>
    <w:rsid w:val="2C892158"/>
    <w:rsid w:val="2D1A7728"/>
    <w:rsid w:val="2D1C121E"/>
    <w:rsid w:val="2E0252B1"/>
    <w:rsid w:val="2E625356"/>
    <w:rsid w:val="2E8E4F3F"/>
    <w:rsid w:val="2ED56E52"/>
    <w:rsid w:val="2EDE549F"/>
    <w:rsid w:val="2FD46D46"/>
    <w:rsid w:val="31B41DD4"/>
    <w:rsid w:val="32A274C4"/>
    <w:rsid w:val="32D87F71"/>
    <w:rsid w:val="33025375"/>
    <w:rsid w:val="332D7CE1"/>
    <w:rsid w:val="34014CC9"/>
    <w:rsid w:val="34566108"/>
    <w:rsid w:val="34745423"/>
    <w:rsid w:val="34F36D08"/>
    <w:rsid w:val="362F3D70"/>
    <w:rsid w:val="36AC21E8"/>
    <w:rsid w:val="38272B46"/>
    <w:rsid w:val="38CD05A3"/>
    <w:rsid w:val="390B0AC4"/>
    <w:rsid w:val="3914724D"/>
    <w:rsid w:val="39F552D0"/>
    <w:rsid w:val="3A6D30B9"/>
    <w:rsid w:val="3CE37662"/>
    <w:rsid w:val="3D651D55"/>
    <w:rsid w:val="3EEC1B28"/>
    <w:rsid w:val="3F0833B0"/>
    <w:rsid w:val="3F74303F"/>
    <w:rsid w:val="3FB83028"/>
    <w:rsid w:val="40097685"/>
    <w:rsid w:val="40C357E1"/>
    <w:rsid w:val="41FD5DA8"/>
    <w:rsid w:val="43BD6E5F"/>
    <w:rsid w:val="43C875B2"/>
    <w:rsid w:val="447D7074"/>
    <w:rsid w:val="44C4421D"/>
    <w:rsid w:val="458247F7"/>
    <w:rsid w:val="464C0026"/>
    <w:rsid w:val="46623CEE"/>
    <w:rsid w:val="46965745"/>
    <w:rsid w:val="480C5CBF"/>
    <w:rsid w:val="481B44EE"/>
    <w:rsid w:val="48580F04"/>
    <w:rsid w:val="49CD147E"/>
    <w:rsid w:val="49F509D5"/>
    <w:rsid w:val="4A6F0787"/>
    <w:rsid w:val="4AB80EF1"/>
    <w:rsid w:val="4AC565F9"/>
    <w:rsid w:val="4BCE772F"/>
    <w:rsid w:val="4C207F8B"/>
    <w:rsid w:val="4C3E6663"/>
    <w:rsid w:val="4C5639AD"/>
    <w:rsid w:val="4CEC4D57"/>
    <w:rsid w:val="4D665E71"/>
    <w:rsid w:val="4D7F6F33"/>
    <w:rsid w:val="4D891B60"/>
    <w:rsid w:val="4DB52955"/>
    <w:rsid w:val="4E5008D0"/>
    <w:rsid w:val="4E832C5D"/>
    <w:rsid w:val="4E8642F1"/>
    <w:rsid w:val="4EC15329"/>
    <w:rsid w:val="50302767"/>
    <w:rsid w:val="503E4E84"/>
    <w:rsid w:val="51581F75"/>
    <w:rsid w:val="51D11D27"/>
    <w:rsid w:val="51FF2A7C"/>
    <w:rsid w:val="538F3E27"/>
    <w:rsid w:val="54492049"/>
    <w:rsid w:val="54717115"/>
    <w:rsid w:val="54857525"/>
    <w:rsid w:val="549C661D"/>
    <w:rsid w:val="55FB7FBA"/>
    <w:rsid w:val="564E3947"/>
    <w:rsid w:val="57B2611B"/>
    <w:rsid w:val="57FC2C7E"/>
    <w:rsid w:val="599C5793"/>
    <w:rsid w:val="5A345068"/>
    <w:rsid w:val="5AF310CC"/>
    <w:rsid w:val="5B2C2D21"/>
    <w:rsid w:val="5C425CFC"/>
    <w:rsid w:val="5CDA23D8"/>
    <w:rsid w:val="5EAA7669"/>
    <w:rsid w:val="5FD229F6"/>
    <w:rsid w:val="5FEF1CF6"/>
    <w:rsid w:val="61736957"/>
    <w:rsid w:val="61FF01EB"/>
    <w:rsid w:val="623B56C7"/>
    <w:rsid w:val="625E7607"/>
    <w:rsid w:val="629D3C8C"/>
    <w:rsid w:val="62CC6A25"/>
    <w:rsid w:val="65270184"/>
    <w:rsid w:val="658D3D65"/>
    <w:rsid w:val="65BC08CD"/>
    <w:rsid w:val="66286BC9"/>
    <w:rsid w:val="66BA3EC8"/>
    <w:rsid w:val="66EA76BB"/>
    <w:rsid w:val="67DD4B2A"/>
    <w:rsid w:val="67DE2605"/>
    <w:rsid w:val="68247427"/>
    <w:rsid w:val="684E6F2B"/>
    <w:rsid w:val="68C36416"/>
    <w:rsid w:val="695D4175"/>
    <w:rsid w:val="699B6A4B"/>
    <w:rsid w:val="6A0171F6"/>
    <w:rsid w:val="6AEF1904"/>
    <w:rsid w:val="6AFB2925"/>
    <w:rsid w:val="6BBA3D96"/>
    <w:rsid w:val="6BF608B1"/>
    <w:rsid w:val="6D1042E5"/>
    <w:rsid w:val="6E2D308F"/>
    <w:rsid w:val="702F5A66"/>
    <w:rsid w:val="706E487B"/>
    <w:rsid w:val="709F1517"/>
    <w:rsid w:val="70C04FE9"/>
    <w:rsid w:val="70EE7DA8"/>
    <w:rsid w:val="7185070D"/>
    <w:rsid w:val="71DC26F9"/>
    <w:rsid w:val="72BC63B0"/>
    <w:rsid w:val="731D6723"/>
    <w:rsid w:val="734C5617"/>
    <w:rsid w:val="746F2FAE"/>
    <w:rsid w:val="75E0766D"/>
    <w:rsid w:val="76B178AE"/>
    <w:rsid w:val="772B3B04"/>
    <w:rsid w:val="78C31B1A"/>
    <w:rsid w:val="78D5578A"/>
    <w:rsid w:val="78EA46E8"/>
    <w:rsid w:val="799B65F3"/>
    <w:rsid w:val="7A5D70B3"/>
    <w:rsid w:val="7B580D9A"/>
    <w:rsid w:val="7BE73D72"/>
    <w:rsid w:val="7BF22E42"/>
    <w:rsid w:val="7C813612"/>
    <w:rsid w:val="7C887303"/>
    <w:rsid w:val="7C955FB1"/>
    <w:rsid w:val="7CB77068"/>
    <w:rsid w:val="7D2F777E"/>
    <w:rsid w:val="7D450D50"/>
    <w:rsid w:val="7D7B29C4"/>
    <w:rsid w:val="7DA57A41"/>
    <w:rsid w:val="7E130E4E"/>
    <w:rsid w:val="7EB919F5"/>
    <w:rsid w:val="7F9A2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rPr>
  </w:style>
  <w:style w:type="paragraph" w:styleId="5">
    <w:name w:val="heading 2"/>
    <w:basedOn w:val="1"/>
    <w:next w:val="6"/>
    <w:qFormat/>
    <w:uiPriority w:val="0"/>
    <w:pPr>
      <w:keepNext/>
      <w:keepLines/>
      <w:autoSpaceDE/>
      <w:autoSpaceDN/>
      <w:adjustRightInd/>
      <w:spacing w:before="260" w:after="260" w:line="416" w:lineRule="auto"/>
      <w:outlineLvl w:val="1"/>
    </w:pPr>
    <w:rPr>
      <w:rFonts w:ascii="Arial" w:hAnsi="Arial" w:eastAsia="黑体"/>
      <w:b/>
      <w:bCs/>
      <w:color w:val="auto"/>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adjustRightInd/>
      <w:spacing w:after="120" w:line="240" w:lineRule="auto"/>
      <w:ind w:left="420" w:leftChars="200" w:firstLine="210"/>
    </w:pPr>
    <w:rPr>
      <w:sz w:val="21"/>
    </w:rPr>
  </w:style>
  <w:style w:type="paragraph" w:styleId="3">
    <w:name w:val="Body Text Indent"/>
    <w:basedOn w:val="1"/>
    <w:next w:val="1"/>
    <w:qFormat/>
    <w:uiPriority w:val="0"/>
    <w:pPr>
      <w:ind w:firstLine="560" w:firstLineChars="200"/>
    </w:pPr>
    <w:rPr>
      <w:sz w:val="28"/>
      <w:szCs w:val="24"/>
    </w:rPr>
  </w:style>
  <w:style w:type="paragraph" w:styleId="6">
    <w:name w:val="Normal Indent"/>
    <w:basedOn w:val="1"/>
    <w:next w:val="3"/>
    <w:qFormat/>
    <w:uiPriority w:val="0"/>
    <w:pPr>
      <w:ind w:firstLine="420"/>
    </w:pPr>
  </w:style>
  <w:style w:type="paragraph" w:styleId="7">
    <w:name w:val="annotation text"/>
    <w:basedOn w:val="1"/>
    <w:qFormat/>
    <w:uiPriority w:val="0"/>
    <w:pPr>
      <w:jc w:val="left"/>
    </w:pPr>
  </w:style>
  <w:style w:type="paragraph" w:styleId="8">
    <w:name w:val="Body Text"/>
    <w:basedOn w:val="1"/>
    <w:next w:val="9"/>
    <w:qFormat/>
    <w:uiPriority w:val="0"/>
    <w:pPr>
      <w:spacing w:after="120" w:afterLines="0"/>
    </w:pPr>
  </w:style>
  <w:style w:type="paragraph" w:styleId="9">
    <w:name w:val="Body Text First Indent"/>
    <w:basedOn w:val="8"/>
    <w:next w:val="10"/>
    <w:qFormat/>
    <w:uiPriority w:val="0"/>
    <w:pPr>
      <w:spacing w:line="312" w:lineRule="auto"/>
      <w:ind w:firstLine="420"/>
    </w:pPr>
    <w:rPr>
      <w:szCs w:val="24"/>
    </w:rPr>
  </w:style>
  <w:style w:type="paragraph" w:styleId="10">
    <w:name w:val="toc 6"/>
    <w:basedOn w:val="1"/>
    <w:next w:val="1"/>
    <w:semiHidden/>
    <w:qFormat/>
    <w:uiPriority w:val="0"/>
    <w:pPr>
      <w:ind w:left="840"/>
      <w:jc w:val="left"/>
    </w:pPr>
    <w:rPr>
      <w:sz w:val="20"/>
      <w:szCs w:val="20"/>
    </w:rPr>
  </w:style>
  <w:style w:type="paragraph" w:styleId="11">
    <w:name w:val="Block Text"/>
    <w:basedOn w:val="1"/>
    <w:qFormat/>
    <w:uiPriority w:val="0"/>
    <w:pPr>
      <w:autoSpaceDE w:val="0"/>
      <w:autoSpaceDN w:val="0"/>
      <w:adjustRightInd w:val="0"/>
      <w:spacing w:line="300" w:lineRule="auto"/>
      <w:ind w:left="958" w:right="-120" w:rightChars="-120"/>
      <w:jc w:val="left"/>
    </w:pPr>
    <w:rPr>
      <w:rFonts w:ascii="宋体" w:hAnsi="宋体"/>
      <w:color w:val="000000"/>
      <w:kern w:val="0"/>
      <w:sz w:val="28"/>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6">
    <w:name w:val="正文首行缩进 21"/>
    <w:basedOn w:val="17"/>
    <w:qFormat/>
    <w:uiPriority w:val="0"/>
    <w:pPr>
      <w:ind w:firstLine="420"/>
    </w:pPr>
    <w:rPr>
      <w:rFonts w:ascii="Times New Roman" w:hAnsi="Times New Roman" w:cs="宋体"/>
    </w:rPr>
  </w:style>
  <w:style w:type="paragraph" w:customStyle="1" w:styleId="17">
    <w:name w:val="正文文本缩进1"/>
    <w:basedOn w:val="1"/>
    <w:next w:val="1"/>
    <w:qFormat/>
    <w:uiPriority w:val="0"/>
    <w:pPr>
      <w:ind w:left="420" w:leftChars="200"/>
    </w:pPr>
    <w:rPr>
      <w:color w:val="000000"/>
      <w:szCs w:val="21"/>
    </w:rPr>
  </w:style>
  <w:style w:type="paragraph" w:customStyle="1" w:styleId="18">
    <w:name w:val="文本正文宋体缩进"/>
    <w:basedOn w:val="1"/>
    <w:next w:val="1"/>
    <w:qFormat/>
    <w:uiPriority w:val="0"/>
    <w:pPr>
      <w:autoSpaceDE/>
      <w:autoSpaceDN/>
      <w:adjustRightInd/>
      <w:spacing w:line="360" w:lineRule="auto"/>
      <w:ind w:firstLine="480" w:firstLineChars="200"/>
    </w:pPr>
    <w:rPr>
      <w:color w:val="auto"/>
      <w:kern w:val="2"/>
      <w:sz w:val="24"/>
    </w:rPr>
  </w:style>
  <w:style w:type="paragraph" w:customStyle="1" w:styleId="19">
    <w:name w:val="??¡¡ì???¡¡ì????¡§¬?¡¡ì¡¡ì??¡¡ì?o??????¡§¬?¡¡ì¡¡ì?"/>
    <w:basedOn w:val="1"/>
    <w:qFormat/>
    <w:uiPriority w:val="0"/>
    <w:pPr>
      <w:overflowPunct w:val="0"/>
      <w:autoSpaceDE w:val="0"/>
      <w:autoSpaceDN w:val="0"/>
      <w:adjustRightInd w:val="0"/>
      <w:spacing w:before="20" w:after="20" w:line="400" w:lineRule="exact"/>
      <w:ind w:firstLine="504"/>
      <w:textAlignment w:val="baseline"/>
    </w:pPr>
    <w:rPr>
      <w:rFonts w:ascii="Times New Roman" w:hAnsi="Times New Roman"/>
      <w:lang w:eastAsia="zh-CN" w:bidi="ar-SA"/>
    </w:rPr>
  </w:style>
  <w:style w:type="paragraph" w:customStyle="1" w:styleId="20">
    <w:name w:val="表格文字"/>
    <w:basedOn w:val="21"/>
    <w:next w:val="8"/>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21">
    <w:name w:val="表格文字（两侧对齐）"/>
    <w:basedOn w:val="1"/>
    <w:qFormat/>
    <w:uiPriority w:val="0"/>
    <w:pPr>
      <w:snapToGrid w:val="0"/>
    </w:pPr>
    <w:rPr>
      <w:sz w:val="20"/>
      <w:szCs w:val="24"/>
    </w:rPr>
  </w:style>
  <w:style w:type="paragraph" w:customStyle="1" w:styleId="2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23">
    <w:name w:val="1级目录"/>
    <w:basedOn w:val="1"/>
    <w:qFormat/>
    <w:uiPriority w:val="0"/>
    <w:pPr>
      <w:numPr>
        <w:ilvl w:val="0"/>
        <w:numId w:val="1"/>
      </w:numPr>
      <w:adjustRightInd w:val="0"/>
      <w:snapToGrid w:val="0"/>
      <w:spacing w:line="360" w:lineRule="auto"/>
      <w:jc w:val="center"/>
      <w:textAlignment w:val="baseline"/>
      <w:outlineLvl w:val="0"/>
    </w:pPr>
    <w:rPr>
      <w:rFonts w:ascii="黑体" w:hAnsi="黑体" w:eastAsia="黑体"/>
      <w:b/>
      <w:color w:val="000000"/>
      <w:kern w:val="0"/>
      <w:sz w:val="30"/>
      <w:szCs w:val="30"/>
    </w:rPr>
  </w:style>
  <w:style w:type="paragraph" w:customStyle="1" w:styleId="24">
    <w:name w:val="Body Text First Indent 21"/>
    <w:basedOn w:val="25"/>
    <w:qFormat/>
    <w:uiPriority w:val="0"/>
    <w:pPr>
      <w:ind w:firstLine="420"/>
    </w:pPr>
    <w:rPr>
      <w:rFonts w:cs="宋体"/>
    </w:rPr>
  </w:style>
  <w:style w:type="paragraph" w:customStyle="1" w:styleId="25">
    <w:name w:val="Body Text Indent1"/>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13174</Words>
  <Characters>13322</Characters>
  <Lines>0</Lines>
  <Paragraphs>0</Paragraphs>
  <TotalTime>7</TotalTime>
  <ScaleCrop>false</ScaleCrop>
  <LinksUpToDate>false</LinksUpToDate>
  <CharactersWithSpaces>13326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2024-09-22T14:13:00Z</dcterms:created>
  <dc:creator>mia</dc:creator>
  <cp:lastModifiedBy>uohZ-10</cp:lastModifiedBy>
  <dcterms:modified xsi:type="dcterms:W3CDTF">2024-10-31T09:00:28Z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14ABB195C06740A6B5CA207EF674A9D6_13</vt:lpwstr>
  </property>
</Properties>
</file>