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595D3">
      <w:pPr>
        <w:spacing w:line="360" w:lineRule="auto"/>
        <w:jc w:val="center"/>
        <w:rPr>
          <w:rFonts w:hint="eastAsia" w:cs="Arial"/>
          <w:b/>
          <w:bCs/>
          <w:sz w:val="28"/>
          <w:szCs w:val="28"/>
          <w:highlight w:val="none"/>
        </w:rPr>
      </w:pPr>
      <w:bookmarkStart w:id="513" w:name="_GoBack"/>
      <w:r>
        <w:rPr>
          <w:rFonts w:hint="eastAsia" w:cs="Arial"/>
          <w:b/>
          <w:bCs/>
          <w:sz w:val="28"/>
          <w:szCs w:val="28"/>
          <w:highlight w:val="none"/>
        </w:rPr>
        <w:t>浙江江南工程管理股份有限公司关于绍兴市上虞区高新技术产业发展有限公司的杭州湾上虞高层次人才创业园智能化系统采购及安装项目的征求意见</w:t>
      </w:r>
    </w:p>
    <w:p w14:paraId="214179F3">
      <w:pPr>
        <w:spacing w:line="360" w:lineRule="auto"/>
        <w:ind w:firstLine="480" w:firstLineChars="200"/>
        <w:rPr>
          <w:rFonts w:hint="eastAsia"/>
          <w:highlight w:val="none"/>
        </w:rPr>
      </w:pPr>
      <w:r>
        <w:rPr>
          <w:rFonts w:hint="eastAsia"/>
          <w:highlight w:val="none"/>
        </w:rPr>
        <w:t>一. 征求意见范围：</w:t>
      </w:r>
    </w:p>
    <w:p w14:paraId="67F01EE4">
      <w:pPr>
        <w:spacing w:line="360" w:lineRule="auto"/>
        <w:ind w:firstLine="480" w:firstLineChars="200"/>
        <w:rPr>
          <w:rFonts w:hint="eastAsia"/>
          <w:highlight w:val="none"/>
        </w:rPr>
      </w:pPr>
      <w:r>
        <w:rPr>
          <w:rFonts w:hint="eastAsia"/>
          <w:highlight w:val="none"/>
        </w:rPr>
        <w:t>1、是否出现明显的倾向性意见和特定的性能指标；</w:t>
      </w:r>
    </w:p>
    <w:p w14:paraId="01DDF2D7">
      <w:pPr>
        <w:spacing w:line="360" w:lineRule="auto"/>
        <w:ind w:firstLine="480" w:firstLineChars="200"/>
        <w:rPr>
          <w:rFonts w:hint="eastAsia"/>
          <w:highlight w:val="none"/>
        </w:rPr>
      </w:pPr>
      <w:r>
        <w:rPr>
          <w:rFonts w:hint="eastAsia"/>
          <w:highlight w:val="none"/>
        </w:rPr>
        <w:t>2、影响政府采购“公开、公平、公正”原则的其他情况。</w:t>
      </w:r>
    </w:p>
    <w:p w14:paraId="3AB9C5B2">
      <w:pPr>
        <w:spacing w:line="360" w:lineRule="auto"/>
        <w:ind w:firstLine="480" w:firstLineChars="200"/>
        <w:rPr>
          <w:rFonts w:hint="eastAsia"/>
          <w:highlight w:val="none"/>
        </w:rPr>
      </w:pPr>
      <w:r>
        <w:rPr>
          <w:rFonts w:hint="eastAsia"/>
          <w:highlight w:val="none"/>
        </w:rPr>
        <w:t>二. 合格投标人：</w:t>
      </w:r>
    </w:p>
    <w:p w14:paraId="03E22239">
      <w:pPr>
        <w:spacing w:after="120" w:afterLines="50" w:line="312" w:lineRule="auto"/>
        <w:ind w:firstLine="480" w:firstLineChars="200"/>
        <w:rPr>
          <w:rFonts w:hint="eastAsia"/>
          <w:highlight w:val="none"/>
        </w:rPr>
      </w:pPr>
      <w:r>
        <w:rPr>
          <w:rFonts w:hint="eastAsia"/>
          <w:highlight w:val="none"/>
        </w:rPr>
        <w:t>（1）具有独立承担民事责任能力；</w:t>
      </w:r>
    </w:p>
    <w:p w14:paraId="1547A60C">
      <w:pPr>
        <w:spacing w:after="120" w:afterLines="50" w:line="312" w:lineRule="auto"/>
        <w:ind w:firstLine="480" w:firstLineChars="200"/>
        <w:rPr>
          <w:rFonts w:hint="eastAsia"/>
          <w:highlight w:val="none"/>
        </w:rPr>
      </w:pPr>
      <w:r>
        <w:rPr>
          <w:rFonts w:hint="eastAsia"/>
          <w:highlight w:val="none"/>
        </w:rPr>
        <w:t>（2）具有良好的商业信誉；</w:t>
      </w:r>
    </w:p>
    <w:p w14:paraId="78B9DCD1">
      <w:pPr>
        <w:spacing w:after="120" w:afterLines="50" w:line="312" w:lineRule="auto"/>
        <w:ind w:firstLine="480" w:firstLineChars="200"/>
        <w:rPr>
          <w:rFonts w:hint="eastAsia"/>
          <w:highlight w:val="none"/>
        </w:rPr>
      </w:pPr>
      <w:r>
        <w:rPr>
          <w:rFonts w:hint="eastAsia"/>
          <w:highlight w:val="none"/>
        </w:rPr>
        <w:t>（3）具有履行合同所必需的设备和专业技术、售后保障等能力；</w:t>
      </w:r>
    </w:p>
    <w:p w14:paraId="0D59428D">
      <w:pPr>
        <w:spacing w:after="120" w:afterLines="50" w:line="312" w:lineRule="auto"/>
        <w:ind w:firstLine="480" w:firstLineChars="200"/>
        <w:rPr>
          <w:rFonts w:hint="eastAsia"/>
          <w:highlight w:val="none"/>
        </w:rPr>
      </w:pPr>
      <w:r>
        <w:rPr>
          <w:rFonts w:hint="eastAsia"/>
          <w:highlight w:val="none"/>
        </w:rPr>
        <w:t>（4）有依法缴纳税收和社会保障资金的良好记录；</w:t>
      </w:r>
    </w:p>
    <w:p w14:paraId="345AE22E">
      <w:pPr>
        <w:spacing w:after="120" w:afterLines="50" w:line="312" w:lineRule="auto"/>
        <w:ind w:firstLine="480" w:firstLineChars="200"/>
        <w:rPr>
          <w:rFonts w:hint="eastAsia"/>
          <w:highlight w:val="none"/>
        </w:rPr>
      </w:pPr>
      <w:r>
        <w:rPr>
          <w:rFonts w:hint="eastAsia"/>
          <w:highlight w:val="none"/>
        </w:rPr>
        <w:t>（5）参加采购活动前三年内，没有重大违法记录、严重失信行为和行贿记录；</w:t>
      </w:r>
    </w:p>
    <w:p w14:paraId="1DA3D914">
      <w:pPr>
        <w:spacing w:after="120" w:afterLines="50" w:line="312" w:lineRule="auto"/>
        <w:ind w:firstLine="480" w:firstLineChars="200"/>
        <w:rPr>
          <w:rFonts w:hint="eastAsia"/>
          <w:highlight w:val="none"/>
        </w:rPr>
      </w:pPr>
      <w:r>
        <w:rPr>
          <w:rFonts w:hint="eastAsia"/>
          <w:highlight w:val="none"/>
        </w:rPr>
        <w:t>（6）法律、行政法规规定的其他条件。</w:t>
      </w:r>
    </w:p>
    <w:p w14:paraId="31CB89FE">
      <w:pPr>
        <w:spacing w:before="1" w:line="324" w:lineRule="auto"/>
        <w:ind w:left="4" w:firstLine="509"/>
        <w:jc w:val="both"/>
        <w:rPr>
          <w:rFonts w:hint="eastAsia"/>
          <w:highlight w:val="none"/>
        </w:rPr>
      </w:pPr>
      <w:r>
        <w:rPr>
          <w:rFonts w:hint="eastAsia"/>
          <w:highlight w:val="none"/>
        </w:rPr>
        <w:t>（7）特定资格条件：</w:t>
      </w:r>
      <w:r>
        <w:rPr>
          <w:rFonts w:hint="eastAsia"/>
          <w:highlight w:val="none"/>
          <w:lang w:val="zh-CN"/>
        </w:rPr>
        <w:t>投标人具有建设行政主管部门核发的电子与智能化工程专业承包一级资质，且具有有效的安全生产许可证。</w:t>
      </w:r>
    </w:p>
    <w:p w14:paraId="687991D0">
      <w:pPr>
        <w:adjustRightInd w:val="0"/>
        <w:spacing w:after="120" w:afterLines="50" w:line="312" w:lineRule="auto"/>
        <w:ind w:firstLine="480" w:firstLineChars="200"/>
        <w:rPr>
          <w:rFonts w:hint="eastAsia"/>
          <w:highlight w:val="none"/>
        </w:rPr>
      </w:pPr>
      <w:r>
        <w:rPr>
          <w:rFonts w:hint="eastAsia"/>
          <w:highlight w:val="none"/>
        </w:rPr>
        <w:t>（8）本项目接受代理商参加投标。</w:t>
      </w:r>
    </w:p>
    <w:p w14:paraId="1ADBCFC7">
      <w:pPr>
        <w:adjustRightInd w:val="0"/>
        <w:spacing w:after="120" w:afterLines="50" w:line="312" w:lineRule="auto"/>
        <w:ind w:firstLine="480" w:firstLineChars="200"/>
        <w:rPr>
          <w:rFonts w:hint="eastAsia"/>
          <w:highlight w:val="none"/>
        </w:rPr>
      </w:pPr>
      <w:r>
        <w:rPr>
          <w:rFonts w:hint="eastAsia"/>
          <w:highlight w:val="none"/>
        </w:rPr>
        <w:t>（9）不允许联合体投标。</w:t>
      </w:r>
    </w:p>
    <w:p w14:paraId="7DBEB864">
      <w:pPr>
        <w:adjustRightInd w:val="0"/>
        <w:spacing w:after="120" w:afterLines="50" w:line="312" w:lineRule="auto"/>
        <w:ind w:left="480" w:leftChars="200"/>
        <w:rPr>
          <w:rFonts w:hint="eastAsia"/>
          <w:highlight w:val="none"/>
        </w:rPr>
      </w:pPr>
      <w:r>
        <w:rPr>
          <w:rFonts w:hint="eastAsia"/>
          <w:highlight w:val="none"/>
        </w:rPr>
        <w:t>（10）本次招标采用资格后审的审查方式，由采购人负责审查。</w:t>
      </w:r>
    </w:p>
    <w:p w14:paraId="18B4CFE3">
      <w:pPr>
        <w:spacing w:line="360" w:lineRule="auto"/>
        <w:ind w:firstLine="480" w:firstLineChars="200"/>
        <w:rPr>
          <w:rFonts w:hint="eastAsia"/>
          <w:highlight w:val="none"/>
        </w:rPr>
      </w:pPr>
      <w:r>
        <w:rPr>
          <w:rFonts w:hint="eastAsia"/>
          <w:highlight w:val="none"/>
        </w:rPr>
        <w:t>三. 征求意见回复：</w:t>
      </w:r>
    </w:p>
    <w:p w14:paraId="6B97FF2B">
      <w:pPr>
        <w:ind w:firstLine="480" w:firstLineChars="200"/>
        <w:rPr>
          <w:rFonts w:hint="eastAsia"/>
          <w:highlight w:val="none"/>
        </w:rPr>
      </w:pPr>
      <w:r>
        <w:rPr>
          <w:rFonts w:hint="eastAsia"/>
          <w:highlight w:val="none"/>
        </w:rPr>
        <w:t>1、意见递交时间：2024年</w:t>
      </w:r>
      <w:r>
        <w:rPr>
          <w:rFonts w:hint="eastAsia"/>
          <w:highlight w:val="none"/>
          <w:lang w:val="en-US" w:eastAsia="zh-CN"/>
        </w:rPr>
        <w:t>10</w:t>
      </w:r>
      <w:r>
        <w:rPr>
          <w:rFonts w:hint="eastAsia"/>
          <w:highlight w:val="none"/>
        </w:rPr>
        <w:t>月</w:t>
      </w:r>
      <w:r>
        <w:rPr>
          <w:rFonts w:hint="eastAsia"/>
          <w:highlight w:val="none"/>
          <w:lang w:val="en-US" w:eastAsia="zh-CN"/>
        </w:rPr>
        <w:t>31</w:t>
      </w:r>
      <w:r>
        <w:rPr>
          <w:rFonts w:hint="eastAsia"/>
          <w:highlight w:val="none"/>
        </w:rPr>
        <w:t>日17时</w:t>
      </w:r>
      <w:r>
        <w:rPr>
          <w:rFonts w:hint="eastAsia"/>
          <w:highlight w:val="none"/>
          <w:lang w:val="en-US" w:eastAsia="zh-CN"/>
        </w:rPr>
        <w:t>0</w:t>
      </w:r>
      <w:r>
        <w:rPr>
          <w:rFonts w:hint="eastAsia"/>
          <w:highlight w:val="none"/>
        </w:rPr>
        <w:t>0分前（节假日除外）递交。</w:t>
      </w:r>
    </w:p>
    <w:p w14:paraId="41250E4E">
      <w:pPr>
        <w:ind w:firstLine="480" w:firstLineChars="200"/>
        <w:rPr>
          <w:rFonts w:hint="eastAsia"/>
          <w:highlight w:val="none"/>
        </w:rPr>
      </w:pPr>
      <w:r>
        <w:rPr>
          <w:rFonts w:hint="eastAsia"/>
          <w:highlight w:val="none"/>
        </w:rPr>
        <w:t>2、意见递交方式：各供应商及专家提出修改理由和建议的，将书面材料签字（盖章）并密封后送至杭州湾上虞高层次人才创业园项目部，外地可扫描件发送邮箱至229248951@qq.com，扫描件必须签字（盖章）。</w:t>
      </w:r>
    </w:p>
    <w:p w14:paraId="45A29F93">
      <w:pPr>
        <w:ind w:firstLine="480" w:firstLineChars="200"/>
        <w:rPr>
          <w:rFonts w:hint="eastAsia"/>
          <w:highlight w:val="none"/>
        </w:rPr>
      </w:pPr>
      <w:r>
        <w:rPr>
          <w:rFonts w:hint="eastAsia"/>
          <w:highlight w:val="none"/>
        </w:rPr>
        <w:t>3、意见接收机构：浙江江南工程管理股份有限公司/绍兴市上虞区高新技术产业发展有限公司</w:t>
      </w:r>
    </w:p>
    <w:p w14:paraId="0AD0B10F">
      <w:pPr>
        <w:ind w:firstLine="480" w:firstLineChars="200"/>
        <w:rPr>
          <w:rFonts w:hint="eastAsia"/>
          <w:highlight w:val="none"/>
        </w:rPr>
      </w:pPr>
      <w:r>
        <w:rPr>
          <w:rFonts w:hint="eastAsia"/>
          <w:highlight w:val="none"/>
        </w:rPr>
        <w:t>4、联系人：吴先生、朱先生</w:t>
      </w:r>
    </w:p>
    <w:p w14:paraId="03253A16">
      <w:pPr>
        <w:ind w:firstLine="480" w:firstLineChars="200"/>
        <w:rPr>
          <w:rFonts w:hint="eastAsia"/>
          <w:highlight w:val="none"/>
        </w:rPr>
      </w:pPr>
      <w:r>
        <w:rPr>
          <w:rFonts w:hint="eastAsia"/>
          <w:highlight w:val="none"/>
        </w:rPr>
        <w:t>5、联系电话：18042262266 /18969551780</w:t>
      </w:r>
    </w:p>
    <w:p w14:paraId="463202DB">
      <w:pPr>
        <w:jc w:val="right"/>
        <w:rPr>
          <w:rFonts w:hint="eastAsia"/>
          <w:highlight w:val="none"/>
        </w:rPr>
      </w:pPr>
      <w:r>
        <w:rPr>
          <w:rFonts w:hint="eastAsia"/>
          <w:highlight w:val="none"/>
        </w:rPr>
        <w:t xml:space="preserve">绍兴市上虞区高新技术产业发展有限公司  </w:t>
      </w:r>
    </w:p>
    <w:p w14:paraId="07A4737E">
      <w:pPr>
        <w:jc w:val="right"/>
        <w:rPr>
          <w:rFonts w:hint="eastAsia"/>
          <w:highlight w:val="none"/>
        </w:rPr>
      </w:pPr>
      <w:r>
        <w:rPr>
          <w:rFonts w:hint="eastAsia"/>
          <w:highlight w:val="none"/>
        </w:rPr>
        <w:t>浙江江南工程管理股份有限公司</w:t>
      </w:r>
    </w:p>
    <w:p w14:paraId="4AEF4A6A">
      <w:pPr>
        <w:wordWrap w:val="0"/>
        <w:jc w:val="right"/>
        <w:rPr>
          <w:rFonts w:hint="eastAsia"/>
          <w:highlight w:val="none"/>
        </w:rPr>
      </w:pPr>
      <w:r>
        <w:rPr>
          <w:rFonts w:hint="eastAsia"/>
          <w:highlight w:val="none"/>
        </w:rPr>
        <w:t>2024年</w:t>
      </w:r>
      <w:r>
        <w:rPr>
          <w:rFonts w:hint="eastAsia"/>
          <w:highlight w:val="none"/>
          <w:lang w:val="en-US" w:eastAsia="zh-CN"/>
        </w:rPr>
        <w:t>10</w:t>
      </w:r>
      <w:r>
        <w:rPr>
          <w:rFonts w:hint="eastAsia"/>
          <w:highlight w:val="none"/>
        </w:rPr>
        <w:t>月</w:t>
      </w:r>
      <w:r>
        <w:rPr>
          <w:rFonts w:hint="eastAsia"/>
          <w:highlight w:val="none"/>
          <w:lang w:val="en-US" w:eastAsia="zh-CN"/>
        </w:rPr>
        <w:t>28</w:t>
      </w:r>
      <w:r>
        <w:rPr>
          <w:rFonts w:hint="eastAsia"/>
          <w:highlight w:val="none"/>
        </w:rPr>
        <w:t>日</w:t>
      </w:r>
    </w:p>
    <w:bookmarkEnd w:id="513"/>
    <w:p w14:paraId="5906B3B3">
      <w:pPr>
        <w:rPr>
          <w:rFonts w:hint="eastAsia"/>
          <w:bCs/>
          <w:iCs/>
          <w:sz w:val="40"/>
          <w:szCs w:val="40"/>
          <w:highlight w:val="none"/>
        </w:rPr>
      </w:pPr>
      <w:r>
        <w:rPr>
          <w:rFonts w:hint="eastAsia"/>
          <w:bCs/>
          <w:iCs/>
          <w:sz w:val="40"/>
          <w:szCs w:val="40"/>
          <w:highlight w:val="none"/>
        </w:rPr>
        <w:br w:type="page"/>
      </w:r>
    </w:p>
    <w:p w14:paraId="7128C925">
      <w:pPr>
        <w:spacing w:line="360" w:lineRule="auto"/>
        <w:ind w:left="2000" w:hanging="2000" w:hangingChars="500"/>
        <w:rPr>
          <w:rFonts w:hint="eastAsia"/>
          <w:bCs/>
          <w:iCs/>
          <w:sz w:val="40"/>
          <w:szCs w:val="40"/>
          <w:highlight w:val="none"/>
          <w:u w:val="single"/>
        </w:rPr>
      </w:pPr>
      <w:r>
        <w:rPr>
          <w:rFonts w:hint="eastAsia"/>
          <w:bCs/>
          <w:iCs/>
          <w:sz w:val="40"/>
          <w:szCs w:val="40"/>
          <w:highlight w:val="none"/>
        </w:rPr>
        <w:t>采购单位：</w:t>
      </w:r>
      <w:r>
        <w:rPr>
          <w:rFonts w:hint="eastAsia"/>
          <w:b/>
          <w:iCs/>
          <w:sz w:val="40"/>
          <w:szCs w:val="40"/>
          <w:highlight w:val="none"/>
          <w:u w:val="single"/>
        </w:rPr>
        <w:t>绍兴市上虞区高新技术产业发展有限公司</w:t>
      </w:r>
    </w:p>
    <w:p w14:paraId="44B97897">
      <w:pPr>
        <w:spacing w:line="360" w:lineRule="auto"/>
        <w:ind w:firstLine="400" w:firstLineChars="100"/>
        <w:rPr>
          <w:rFonts w:hint="eastAsia"/>
          <w:bCs/>
          <w:iCs/>
          <w:sz w:val="40"/>
          <w:szCs w:val="40"/>
          <w:highlight w:val="none"/>
          <w:u w:val="single"/>
        </w:rPr>
      </w:pPr>
    </w:p>
    <w:p w14:paraId="1A542548">
      <w:pPr>
        <w:pStyle w:val="13"/>
        <w:spacing w:line="360" w:lineRule="auto"/>
        <w:ind w:left="2000" w:leftChars="0" w:hanging="2000" w:hangingChars="500"/>
        <w:rPr>
          <w:rFonts w:hint="eastAsia"/>
          <w:b/>
          <w:iCs/>
          <w:sz w:val="40"/>
          <w:szCs w:val="40"/>
          <w:highlight w:val="none"/>
          <w:u w:val="single"/>
        </w:rPr>
      </w:pPr>
      <w:r>
        <w:rPr>
          <w:rFonts w:hint="eastAsia"/>
          <w:bCs/>
          <w:iCs/>
          <w:sz w:val="40"/>
          <w:szCs w:val="40"/>
          <w:highlight w:val="none"/>
        </w:rPr>
        <w:t>项目名称：</w:t>
      </w:r>
      <w:r>
        <w:rPr>
          <w:rFonts w:hint="eastAsia"/>
          <w:b/>
          <w:iCs/>
          <w:sz w:val="40"/>
          <w:szCs w:val="40"/>
          <w:highlight w:val="none"/>
          <w:u w:val="single"/>
        </w:rPr>
        <w:t>杭州湾上虞高层次人才创业园智能化系统采购及安装项目</w:t>
      </w:r>
    </w:p>
    <w:p w14:paraId="2926E844">
      <w:pPr>
        <w:rPr>
          <w:rFonts w:hint="eastAsia"/>
          <w:highlight w:val="none"/>
        </w:rPr>
      </w:pPr>
    </w:p>
    <w:p w14:paraId="54A93984">
      <w:pPr>
        <w:spacing w:line="360" w:lineRule="auto"/>
        <w:jc w:val="center"/>
        <w:rPr>
          <w:rFonts w:hint="eastAsia"/>
          <w:b/>
          <w:bCs/>
          <w:sz w:val="84"/>
          <w:szCs w:val="44"/>
          <w:highlight w:val="none"/>
        </w:rPr>
      </w:pPr>
      <w:r>
        <w:rPr>
          <w:rFonts w:hint="eastAsia"/>
          <w:b/>
          <w:bCs/>
          <w:sz w:val="84"/>
          <w:szCs w:val="44"/>
          <w:highlight w:val="none"/>
        </w:rPr>
        <w:t>招  标  文  件</w:t>
      </w:r>
    </w:p>
    <w:p w14:paraId="7B105B5C">
      <w:pPr>
        <w:pStyle w:val="13"/>
        <w:spacing w:line="360" w:lineRule="auto"/>
        <w:ind w:left="0" w:leftChars="0" w:firstLine="1044"/>
        <w:rPr>
          <w:rFonts w:hint="eastAsia"/>
          <w:b/>
          <w:bCs/>
          <w:sz w:val="52"/>
          <w:szCs w:val="44"/>
          <w:highlight w:val="none"/>
        </w:rPr>
      </w:pPr>
    </w:p>
    <w:p w14:paraId="3D8DD388">
      <w:pPr>
        <w:spacing w:line="360" w:lineRule="auto"/>
        <w:jc w:val="center"/>
        <w:rPr>
          <w:rFonts w:hint="eastAsia"/>
          <w:b/>
          <w:bCs/>
          <w:sz w:val="36"/>
          <w:szCs w:val="28"/>
          <w:highlight w:val="none"/>
        </w:rPr>
      </w:pPr>
      <w:r>
        <w:rPr>
          <w:rFonts w:hint="eastAsia"/>
          <w:b/>
          <w:bCs/>
          <w:sz w:val="36"/>
          <w:szCs w:val="28"/>
          <w:highlight w:val="none"/>
        </w:rPr>
        <w:t xml:space="preserve">招标编号： </w:t>
      </w:r>
    </w:p>
    <w:p w14:paraId="04F8CCAB">
      <w:pPr>
        <w:pStyle w:val="34"/>
        <w:ind w:firstLine="2891" w:firstLineChars="800"/>
        <w:rPr>
          <w:rFonts w:hint="eastAsia" w:hAnsi="宋体" w:cs="宋体"/>
          <w:b/>
          <w:bCs/>
          <w:snapToGrid/>
          <w:sz w:val="36"/>
          <w:szCs w:val="28"/>
          <w:highlight w:val="none"/>
          <w:lang w:val="en-US"/>
        </w:rPr>
      </w:pPr>
      <w:r>
        <w:rPr>
          <w:rFonts w:hint="eastAsia" w:hAnsi="宋体" w:cs="宋体"/>
          <w:b/>
          <w:bCs/>
          <w:snapToGrid/>
          <w:sz w:val="36"/>
          <w:szCs w:val="28"/>
          <w:highlight w:val="none"/>
          <w:lang w:val="en-US"/>
        </w:rPr>
        <w:t>采购方式：公开招标</w:t>
      </w:r>
    </w:p>
    <w:p w14:paraId="57D081CE">
      <w:pPr>
        <w:spacing w:line="360" w:lineRule="auto"/>
        <w:rPr>
          <w:rFonts w:hint="eastAsia"/>
          <w:b/>
          <w:bCs/>
          <w:sz w:val="28"/>
          <w:highlight w:val="none"/>
        </w:rPr>
      </w:pPr>
    </w:p>
    <w:p w14:paraId="751092D3">
      <w:pPr>
        <w:pStyle w:val="13"/>
        <w:spacing w:line="360" w:lineRule="auto"/>
        <w:ind w:left="0" w:leftChars="0" w:firstLine="480"/>
        <w:rPr>
          <w:rFonts w:hint="eastAsia"/>
          <w:highlight w:val="none"/>
        </w:rPr>
      </w:pPr>
    </w:p>
    <w:p w14:paraId="17DDA470">
      <w:pPr>
        <w:pStyle w:val="13"/>
        <w:spacing w:line="360" w:lineRule="auto"/>
        <w:ind w:left="0" w:leftChars="0" w:firstLine="480"/>
        <w:rPr>
          <w:rFonts w:hint="eastAsia"/>
          <w:highlight w:val="none"/>
        </w:rPr>
      </w:pPr>
    </w:p>
    <w:p w14:paraId="2CFA12DD">
      <w:pPr>
        <w:pStyle w:val="13"/>
        <w:spacing w:line="360" w:lineRule="auto"/>
        <w:ind w:left="0" w:leftChars="0" w:firstLine="480"/>
        <w:rPr>
          <w:rFonts w:hint="eastAsia"/>
          <w:highlight w:val="none"/>
        </w:rPr>
      </w:pPr>
    </w:p>
    <w:p w14:paraId="10B26847">
      <w:pPr>
        <w:pStyle w:val="13"/>
        <w:spacing w:line="360" w:lineRule="auto"/>
        <w:ind w:left="0" w:leftChars="0" w:firstLine="480"/>
        <w:rPr>
          <w:rFonts w:hint="eastAsia"/>
          <w:highlight w:val="none"/>
        </w:rPr>
      </w:pPr>
    </w:p>
    <w:p w14:paraId="275723EB">
      <w:pPr>
        <w:pStyle w:val="13"/>
        <w:spacing w:line="360" w:lineRule="auto"/>
        <w:ind w:left="0" w:leftChars="0" w:firstLine="480"/>
        <w:rPr>
          <w:rFonts w:hint="eastAsia"/>
          <w:highlight w:val="none"/>
        </w:rPr>
      </w:pPr>
    </w:p>
    <w:p w14:paraId="5509A3B8">
      <w:pPr>
        <w:pStyle w:val="13"/>
        <w:spacing w:line="360" w:lineRule="auto"/>
        <w:ind w:left="0" w:leftChars="0" w:firstLine="0" w:firstLineChars="0"/>
        <w:rPr>
          <w:rFonts w:hint="eastAsia"/>
          <w:highlight w:val="none"/>
        </w:rPr>
      </w:pPr>
    </w:p>
    <w:p w14:paraId="6DDAB045">
      <w:pPr>
        <w:spacing w:line="360" w:lineRule="auto"/>
        <w:jc w:val="center"/>
        <w:rPr>
          <w:rFonts w:hint="eastAsia"/>
          <w:b/>
          <w:bCs/>
          <w:iCs/>
          <w:sz w:val="36"/>
          <w:szCs w:val="36"/>
          <w:highlight w:val="none"/>
        </w:rPr>
      </w:pPr>
    </w:p>
    <w:p w14:paraId="79A92C84">
      <w:pPr>
        <w:spacing w:line="360" w:lineRule="auto"/>
        <w:jc w:val="center"/>
        <w:rPr>
          <w:rFonts w:hint="eastAsia"/>
          <w:b/>
          <w:bCs/>
          <w:iCs/>
          <w:sz w:val="36"/>
          <w:szCs w:val="36"/>
          <w:highlight w:val="none"/>
        </w:rPr>
      </w:pPr>
      <w:r>
        <w:rPr>
          <w:rFonts w:hint="eastAsia"/>
          <w:b/>
          <w:bCs/>
          <w:iCs/>
          <w:sz w:val="36"/>
          <w:szCs w:val="36"/>
          <w:highlight w:val="none"/>
        </w:rPr>
        <w:t>绍兴市上虞区高新技术产业发展有限公司</w:t>
      </w:r>
    </w:p>
    <w:p w14:paraId="6A1DC20E">
      <w:pPr>
        <w:spacing w:line="360" w:lineRule="auto"/>
        <w:jc w:val="center"/>
        <w:rPr>
          <w:rFonts w:hint="eastAsia"/>
          <w:b/>
          <w:bCs/>
          <w:iCs/>
          <w:sz w:val="36"/>
          <w:szCs w:val="36"/>
          <w:highlight w:val="none"/>
        </w:rPr>
      </w:pPr>
      <w:r>
        <w:rPr>
          <w:rFonts w:hint="eastAsia"/>
          <w:b/>
          <w:bCs/>
          <w:iCs/>
          <w:sz w:val="36"/>
          <w:szCs w:val="36"/>
          <w:highlight w:val="none"/>
        </w:rPr>
        <w:t>浙江江南工程管理股份有限公司</w:t>
      </w:r>
    </w:p>
    <w:p w14:paraId="12AA87E7">
      <w:pPr>
        <w:spacing w:line="360" w:lineRule="auto"/>
        <w:jc w:val="center"/>
        <w:rPr>
          <w:rFonts w:hint="eastAsia"/>
          <w:b/>
          <w:bCs/>
          <w:iCs/>
          <w:sz w:val="36"/>
          <w:szCs w:val="36"/>
          <w:highlight w:val="none"/>
        </w:rPr>
      </w:pPr>
    </w:p>
    <w:p w14:paraId="332C6337">
      <w:pPr>
        <w:spacing w:line="360" w:lineRule="auto"/>
        <w:jc w:val="center"/>
        <w:rPr>
          <w:rFonts w:hint="eastAsia"/>
          <w:b/>
          <w:sz w:val="48"/>
          <w:szCs w:val="48"/>
          <w:highlight w:val="none"/>
        </w:rPr>
      </w:pPr>
      <w:r>
        <w:rPr>
          <w:rFonts w:hint="eastAsia"/>
          <w:b/>
          <w:sz w:val="48"/>
          <w:szCs w:val="48"/>
          <w:highlight w:val="none"/>
        </w:rPr>
        <w:t>目  录</w:t>
      </w:r>
    </w:p>
    <w:p w14:paraId="48E6F498">
      <w:pPr>
        <w:rPr>
          <w:rFonts w:hint="eastAsia"/>
          <w:highlight w:val="none"/>
        </w:rPr>
      </w:pPr>
    </w:p>
    <w:p w14:paraId="5F424D39">
      <w:pPr>
        <w:pStyle w:val="24"/>
        <w:tabs>
          <w:tab w:val="right" w:leader="dot" w:pos="9060"/>
        </w:tabs>
        <w:spacing w:line="360" w:lineRule="auto"/>
        <w:rPr>
          <w:rFonts w:hint="eastAsia" w:ascii="等线" w:hAnsi="等线" w:eastAsia="等线"/>
          <w:kern w:val="2"/>
          <w:sz w:val="21"/>
          <w:szCs w:val="22"/>
          <w:highlight w:val="none"/>
          <w14:ligatures w14:val="standardContextual"/>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"_Toc151026237" </w:instrText>
      </w:r>
      <w:r>
        <w:rPr>
          <w:highlight w:val="none"/>
        </w:rPr>
        <w:fldChar w:fldCharType="separate"/>
      </w:r>
      <w:r>
        <w:rPr>
          <w:rStyle w:val="41"/>
          <w:b/>
          <w:color w:val="auto"/>
          <w:highlight w:val="none"/>
        </w:rPr>
        <w:t>第一部分  招标公告</w:t>
      </w:r>
      <w:r>
        <w:rPr>
          <w:highlight w:val="none"/>
        </w:rPr>
        <w:tab/>
      </w:r>
      <w:r>
        <w:rPr>
          <w:highlight w:val="none"/>
        </w:rPr>
        <w:fldChar w:fldCharType="begin"/>
      </w:r>
      <w:r>
        <w:rPr>
          <w:highlight w:val="none"/>
        </w:rPr>
        <w:instrText xml:space="preserve"> PAGEREF _Toc151026237 \h </w:instrText>
      </w:r>
      <w:r>
        <w:rPr>
          <w:highlight w:val="none"/>
        </w:rPr>
        <w:fldChar w:fldCharType="separate"/>
      </w:r>
      <w:r>
        <w:rPr>
          <w:highlight w:val="none"/>
        </w:rPr>
        <w:t>- 1 -</w:t>
      </w:r>
      <w:r>
        <w:rPr>
          <w:highlight w:val="none"/>
        </w:rPr>
        <w:fldChar w:fldCharType="end"/>
      </w:r>
      <w:r>
        <w:rPr>
          <w:highlight w:val="none"/>
        </w:rPr>
        <w:fldChar w:fldCharType="end"/>
      </w:r>
    </w:p>
    <w:p w14:paraId="0D997407">
      <w:pPr>
        <w:pStyle w:val="24"/>
        <w:tabs>
          <w:tab w:val="right" w:leader="dot" w:pos="9060"/>
        </w:tabs>
        <w:spacing w:line="360" w:lineRule="auto"/>
        <w:rPr>
          <w:rFonts w:hint="eastAsia" w:ascii="等线" w:hAnsi="等线" w:eastAsia="等线"/>
          <w:kern w:val="2"/>
          <w:sz w:val="21"/>
          <w:szCs w:val="22"/>
          <w:highlight w:val="none"/>
          <w14:ligatures w14:val="standardContextual"/>
        </w:rPr>
      </w:pPr>
      <w:r>
        <w:rPr>
          <w:highlight w:val="none"/>
        </w:rPr>
        <w:fldChar w:fldCharType="begin"/>
      </w:r>
      <w:r>
        <w:rPr>
          <w:highlight w:val="none"/>
        </w:rPr>
        <w:instrText xml:space="preserve"> HYPERLINK \l "_Toc151026238" </w:instrText>
      </w:r>
      <w:r>
        <w:rPr>
          <w:highlight w:val="none"/>
        </w:rPr>
        <w:fldChar w:fldCharType="separate"/>
      </w:r>
      <w:r>
        <w:rPr>
          <w:rStyle w:val="41"/>
          <w:b/>
          <w:color w:val="auto"/>
          <w:highlight w:val="none"/>
        </w:rPr>
        <w:t>第二部分  投标须知</w:t>
      </w:r>
      <w:r>
        <w:rPr>
          <w:highlight w:val="none"/>
        </w:rPr>
        <w:tab/>
      </w:r>
      <w:r>
        <w:rPr>
          <w:highlight w:val="none"/>
        </w:rPr>
        <w:fldChar w:fldCharType="begin"/>
      </w:r>
      <w:r>
        <w:rPr>
          <w:highlight w:val="none"/>
        </w:rPr>
        <w:instrText xml:space="preserve"> PAGEREF _Toc151026238 \h </w:instrText>
      </w:r>
      <w:r>
        <w:rPr>
          <w:highlight w:val="none"/>
        </w:rPr>
        <w:fldChar w:fldCharType="separate"/>
      </w:r>
      <w:r>
        <w:rPr>
          <w:highlight w:val="none"/>
        </w:rPr>
        <w:t>- 5 -</w:t>
      </w:r>
      <w:r>
        <w:rPr>
          <w:highlight w:val="none"/>
        </w:rPr>
        <w:fldChar w:fldCharType="end"/>
      </w:r>
      <w:r>
        <w:rPr>
          <w:highlight w:val="none"/>
        </w:rPr>
        <w:fldChar w:fldCharType="end"/>
      </w:r>
    </w:p>
    <w:p w14:paraId="5304EEBC">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"_Toc151026240" </w:instrText>
      </w:r>
      <w:r>
        <w:rPr>
          <w:highlight w:val="none"/>
        </w:rPr>
        <w:fldChar w:fldCharType="separate"/>
      </w:r>
      <w:r>
        <w:rPr>
          <w:rStyle w:val="41"/>
          <w:bCs/>
          <w:color w:val="auto"/>
          <w:highlight w:val="none"/>
        </w:rPr>
        <w:t>第一章 总则</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_Toc151026240 \h </w:instrText>
      </w:r>
      <w:r>
        <w:rPr>
          <w:rStyle w:val="41"/>
          <w:bCs/>
          <w:color w:val="auto"/>
          <w:highlight w:val="none"/>
        </w:rPr>
        <w:fldChar w:fldCharType="separate"/>
      </w:r>
      <w:r>
        <w:rPr>
          <w:rStyle w:val="41"/>
          <w:bCs/>
          <w:color w:val="auto"/>
          <w:highlight w:val="none"/>
        </w:rPr>
        <w:t>- 8 -</w:t>
      </w:r>
      <w:r>
        <w:rPr>
          <w:rStyle w:val="41"/>
          <w:bCs/>
          <w:color w:val="auto"/>
          <w:highlight w:val="none"/>
        </w:rPr>
        <w:fldChar w:fldCharType="end"/>
      </w:r>
      <w:r>
        <w:rPr>
          <w:rStyle w:val="41"/>
          <w:bCs/>
          <w:color w:val="auto"/>
          <w:highlight w:val="none"/>
        </w:rPr>
        <w:fldChar w:fldCharType="end"/>
      </w:r>
    </w:p>
    <w:p w14:paraId="7F4772FE">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"_Toc151026244" </w:instrText>
      </w:r>
      <w:r>
        <w:rPr>
          <w:highlight w:val="none"/>
        </w:rPr>
        <w:fldChar w:fldCharType="separate"/>
      </w:r>
      <w:r>
        <w:rPr>
          <w:rStyle w:val="41"/>
          <w:bCs/>
          <w:color w:val="auto"/>
          <w:highlight w:val="none"/>
        </w:rPr>
        <w:t>第二章 招标文件</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_Toc151026244 \h </w:instrText>
      </w:r>
      <w:r>
        <w:rPr>
          <w:rStyle w:val="41"/>
          <w:bCs/>
          <w:color w:val="auto"/>
          <w:highlight w:val="none"/>
        </w:rPr>
        <w:fldChar w:fldCharType="separate"/>
      </w:r>
      <w:r>
        <w:rPr>
          <w:rStyle w:val="41"/>
          <w:bCs/>
          <w:color w:val="auto"/>
          <w:highlight w:val="none"/>
        </w:rPr>
        <w:t>- 8 -</w:t>
      </w:r>
      <w:r>
        <w:rPr>
          <w:rStyle w:val="41"/>
          <w:bCs/>
          <w:color w:val="auto"/>
          <w:highlight w:val="none"/>
        </w:rPr>
        <w:fldChar w:fldCharType="end"/>
      </w:r>
      <w:r>
        <w:rPr>
          <w:rStyle w:val="41"/>
          <w:bCs/>
          <w:color w:val="auto"/>
          <w:highlight w:val="none"/>
        </w:rPr>
        <w:fldChar w:fldCharType="end"/>
      </w:r>
    </w:p>
    <w:p w14:paraId="73136C29">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"_Toc151026245" </w:instrText>
      </w:r>
      <w:r>
        <w:rPr>
          <w:highlight w:val="none"/>
        </w:rPr>
        <w:fldChar w:fldCharType="separate"/>
      </w:r>
      <w:r>
        <w:rPr>
          <w:rStyle w:val="41"/>
          <w:bCs/>
          <w:color w:val="auto"/>
          <w:highlight w:val="none"/>
        </w:rPr>
        <w:t>第三章 投标文件的编制</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_Toc151026245 \h </w:instrText>
      </w:r>
      <w:r>
        <w:rPr>
          <w:rStyle w:val="41"/>
          <w:bCs/>
          <w:color w:val="auto"/>
          <w:highlight w:val="none"/>
        </w:rPr>
        <w:fldChar w:fldCharType="separate"/>
      </w:r>
      <w:r>
        <w:rPr>
          <w:rStyle w:val="41"/>
          <w:bCs/>
          <w:color w:val="auto"/>
          <w:highlight w:val="none"/>
        </w:rPr>
        <w:t>- 10 -</w:t>
      </w:r>
      <w:r>
        <w:rPr>
          <w:rStyle w:val="41"/>
          <w:bCs/>
          <w:color w:val="auto"/>
          <w:highlight w:val="none"/>
        </w:rPr>
        <w:fldChar w:fldCharType="end"/>
      </w:r>
      <w:r>
        <w:rPr>
          <w:rStyle w:val="41"/>
          <w:bCs/>
          <w:color w:val="auto"/>
          <w:highlight w:val="none"/>
        </w:rPr>
        <w:fldChar w:fldCharType="end"/>
      </w:r>
    </w:p>
    <w:p w14:paraId="4B2964B1">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"_Toc151026246" </w:instrText>
      </w:r>
      <w:r>
        <w:rPr>
          <w:highlight w:val="none"/>
        </w:rPr>
        <w:fldChar w:fldCharType="separate"/>
      </w:r>
      <w:r>
        <w:rPr>
          <w:rStyle w:val="41"/>
          <w:bCs/>
          <w:color w:val="auto"/>
          <w:highlight w:val="none"/>
        </w:rPr>
        <w:t>第四章 投标文件的递交</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_Toc151026246 \h </w:instrText>
      </w:r>
      <w:r>
        <w:rPr>
          <w:rStyle w:val="41"/>
          <w:bCs/>
          <w:color w:val="auto"/>
          <w:highlight w:val="none"/>
        </w:rPr>
        <w:fldChar w:fldCharType="separate"/>
      </w:r>
      <w:r>
        <w:rPr>
          <w:rStyle w:val="41"/>
          <w:bCs/>
          <w:color w:val="auto"/>
          <w:highlight w:val="none"/>
        </w:rPr>
        <w:t>- 13 -</w:t>
      </w:r>
      <w:r>
        <w:rPr>
          <w:rStyle w:val="41"/>
          <w:bCs/>
          <w:color w:val="auto"/>
          <w:highlight w:val="none"/>
        </w:rPr>
        <w:fldChar w:fldCharType="end"/>
      </w:r>
      <w:r>
        <w:rPr>
          <w:rStyle w:val="41"/>
          <w:bCs/>
          <w:color w:val="auto"/>
          <w:highlight w:val="none"/>
        </w:rPr>
        <w:fldChar w:fldCharType="end"/>
      </w:r>
    </w:p>
    <w:p w14:paraId="0E08C7A0">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"_Toc151026247" </w:instrText>
      </w:r>
      <w:r>
        <w:rPr>
          <w:highlight w:val="none"/>
        </w:rPr>
        <w:fldChar w:fldCharType="separate"/>
      </w:r>
      <w:r>
        <w:rPr>
          <w:rStyle w:val="41"/>
          <w:bCs/>
          <w:color w:val="auto"/>
          <w:highlight w:val="none"/>
        </w:rPr>
        <w:t>第五章 开标</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_Toc151026247 \h </w:instrText>
      </w:r>
      <w:r>
        <w:rPr>
          <w:rStyle w:val="41"/>
          <w:bCs/>
          <w:color w:val="auto"/>
          <w:highlight w:val="none"/>
        </w:rPr>
        <w:fldChar w:fldCharType="separate"/>
      </w:r>
      <w:r>
        <w:rPr>
          <w:rStyle w:val="41"/>
          <w:bCs/>
          <w:color w:val="auto"/>
          <w:highlight w:val="none"/>
        </w:rPr>
        <w:t>- 13 -</w:t>
      </w:r>
      <w:r>
        <w:rPr>
          <w:rStyle w:val="41"/>
          <w:bCs/>
          <w:color w:val="auto"/>
          <w:highlight w:val="none"/>
        </w:rPr>
        <w:fldChar w:fldCharType="end"/>
      </w:r>
      <w:r>
        <w:rPr>
          <w:rStyle w:val="41"/>
          <w:bCs/>
          <w:color w:val="auto"/>
          <w:highlight w:val="none"/>
        </w:rPr>
        <w:fldChar w:fldCharType="end"/>
      </w:r>
    </w:p>
    <w:p w14:paraId="01DEF921">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"_Toc151026248" </w:instrText>
      </w:r>
      <w:r>
        <w:rPr>
          <w:highlight w:val="none"/>
        </w:rPr>
        <w:fldChar w:fldCharType="separate"/>
      </w:r>
      <w:r>
        <w:rPr>
          <w:rStyle w:val="41"/>
          <w:bCs/>
          <w:color w:val="auto"/>
          <w:highlight w:val="none"/>
        </w:rPr>
        <w:t>第六章 资格审查</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_Toc151026248 \h </w:instrText>
      </w:r>
      <w:r>
        <w:rPr>
          <w:rStyle w:val="41"/>
          <w:bCs/>
          <w:color w:val="auto"/>
          <w:highlight w:val="none"/>
        </w:rPr>
        <w:fldChar w:fldCharType="separate"/>
      </w:r>
      <w:r>
        <w:rPr>
          <w:rStyle w:val="41"/>
          <w:bCs/>
          <w:color w:val="auto"/>
          <w:highlight w:val="none"/>
        </w:rPr>
        <w:t>- 14 -</w:t>
      </w:r>
      <w:r>
        <w:rPr>
          <w:rStyle w:val="41"/>
          <w:bCs/>
          <w:color w:val="auto"/>
          <w:highlight w:val="none"/>
        </w:rPr>
        <w:fldChar w:fldCharType="end"/>
      </w:r>
      <w:r>
        <w:rPr>
          <w:rStyle w:val="41"/>
          <w:bCs/>
          <w:color w:val="auto"/>
          <w:highlight w:val="none"/>
        </w:rPr>
        <w:fldChar w:fldCharType="end"/>
      </w:r>
    </w:p>
    <w:p w14:paraId="62081CB6">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"_Toc151026249" </w:instrText>
      </w:r>
      <w:r>
        <w:rPr>
          <w:highlight w:val="none"/>
        </w:rPr>
        <w:fldChar w:fldCharType="separate"/>
      </w:r>
      <w:r>
        <w:rPr>
          <w:rStyle w:val="41"/>
          <w:bCs/>
          <w:color w:val="auto"/>
          <w:highlight w:val="none"/>
        </w:rPr>
        <w:t>第七章 评标</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_Toc151026249 \h </w:instrText>
      </w:r>
      <w:r>
        <w:rPr>
          <w:rStyle w:val="41"/>
          <w:bCs/>
          <w:color w:val="auto"/>
          <w:highlight w:val="none"/>
        </w:rPr>
        <w:fldChar w:fldCharType="separate"/>
      </w:r>
      <w:r>
        <w:rPr>
          <w:rStyle w:val="41"/>
          <w:bCs/>
          <w:color w:val="auto"/>
          <w:highlight w:val="none"/>
        </w:rPr>
        <w:t>- 14 -</w:t>
      </w:r>
      <w:r>
        <w:rPr>
          <w:rStyle w:val="41"/>
          <w:bCs/>
          <w:color w:val="auto"/>
          <w:highlight w:val="none"/>
        </w:rPr>
        <w:fldChar w:fldCharType="end"/>
      </w:r>
      <w:r>
        <w:rPr>
          <w:rStyle w:val="41"/>
          <w:bCs/>
          <w:color w:val="auto"/>
          <w:highlight w:val="none"/>
        </w:rPr>
        <w:fldChar w:fldCharType="end"/>
      </w:r>
    </w:p>
    <w:p w14:paraId="6C425506">
      <w:pPr>
        <w:pStyle w:val="29"/>
        <w:tabs>
          <w:tab w:val="right" w:leader="dot" w:pos="9060"/>
        </w:tabs>
        <w:spacing w:line="360" w:lineRule="auto"/>
        <w:ind w:left="480"/>
        <w:rPr>
          <w:rStyle w:val="41"/>
          <w:rFonts w:hint="eastAsia"/>
          <w:bCs/>
          <w:color w:val="auto"/>
          <w:highlight w:val="none"/>
        </w:rPr>
      </w:pPr>
      <w:r>
        <w:rPr>
          <w:highlight w:val="none"/>
        </w:rPr>
        <w:fldChar w:fldCharType="begin"/>
      </w:r>
      <w:r>
        <w:rPr>
          <w:highlight w:val="none"/>
        </w:rPr>
        <w:instrText xml:space="preserve"> HYPERLINK \l "_Toc151026250" </w:instrText>
      </w:r>
      <w:r>
        <w:rPr>
          <w:highlight w:val="none"/>
        </w:rPr>
        <w:fldChar w:fldCharType="separate"/>
      </w:r>
      <w:r>
        <w:rPr>
          <w:rStyle w:val="41"/>
          <w:bCs/>
          <w:color w:val="auto"/>
          <w:highlight w:val="none"/>
        </w:rPr>
        <w:t>第八章 定 标</w:t>
      </w:r>
      <w:r>
        <w:rPr>
          <w:rStyle w:val="41"/>
          <w:bCs/>
          <w:color w:val="auto"/>
          <w:highlight w:val="none"/>
        </w:rPr>
        <w:tab/>
      </w:r>
      <w:r>
        <w:rPr>
          <w:rStyle w:val="41"/>
          <w:bCs/>
          <w:color w:val="auto"/>
          <w:highlight w:val="none"/>
        </w:rPr>
        <w:fldChar w:fldCharType="begin"/>
      </w:r>
      <w:r>
        <w:rPr>
          <w:rStyle w:val="41"/>
          <w:bCs/>
          <w:color w:val="auto"/>
          <w:highlight w:val="none"/>
        </w:rPr>
        <w:instrText xml:space="preserve"> PAGEREF _Toc151026250 \h </w:instrText>
      </w:r>
      <w:r>
        <w:rPr>
          <w:rStyle w:val="41"/>
          <w:bCs/>
          <w:color w:val="auto"/>
          <w:highlight w:val="none"/>
        </w:rPr>
        <w:fldChar w:fldCharType="separate"/>
      </w:r>
      <w:r>
        <w:rPr>
          <w:rStyle w:val="41"/>
          <w:bCs/>
          <w:color w:val="auto"/>
          <w:highlight w:val="none"/>
        </w:rPr>
        <w:t>- 18 -</w:t>
      </w:r>
      <w:r>
        <w:rPr>
          <w:rStyle w:val="41"/>
          <w:bCs/>
          <w:color w:val="auto"/>
          <w:highlight w:val="none"/>
        </w:rPr>
        <w:fldChar w:fldCharType="end"/>
      </w:r>
      <w:r>
        <w:rPr>
          <w:rStyle w:val="41"/>
          <w:bCs/>
          <w:color w:val="auto"/>
          <w:highlight w:val="none"/>
        </w:rPr>
        <w:fldChar w:fldCharType="end"/>
      </w:r>
    </w:p>
    <w:p w14:paraId="47C4AF08">
      <w:pPr>
        <w:pStyle w:val="29"/>
        <w:tabs>
          <w:tab w:val="right" w:leader="dot" w:pos="9060"/>
        </w:tabs>
        <w:spacing w:line="360" w:lineRule="auto"/>
        <w:ind w:left="480"/>
        <w:rPr>
          <w:rFonts w:hint="eastAsia" w:ascii="等线" w:hAnsi="等线" w:eastAsia="等线"/>
          <w:bCs/>
          <w:kern w:val="2"/>
          <w:sz w:val="21"/>
          <w:szCs w:val="22"/>
          <w:highlight w:val="none"/>
          <w14:ligatures w14:val="standardContextual"/>
        </w:rPr>
      </w:pPr>
      <w:r>
        <w:rPr>
          <w:highlight w:val="none"/>
        </w:rPr>
        <w:fldChar w:fldCharType="begin"/>
      </w:r>
      <w:r>
        <w:rPr>
          <w:highlight w:val="none"/>
        </w:rPr>
        <w:instrText xml:space="preserve"> HYPERLINK \l "_Toc151026251" </w:instrText>
      </w:r>
      <w:r>
        <w:rPr>
          <w:highlight w:val="none"/>
        </w:rPr>
        <w:fldChar w:fldCharType="separate"/>
      </w:r>
      <w:r>
        <w:rPr>
          <w:rStyle w:val="41"/>
          <w:bCs/>
          <w:color w:val="auto"/>
          <w:highlight w:val="none"/>
        </w:rPr>
        <w:t>第九章 合同签订及其他</w:t>
      </w:r>
      <w:r>
        <w:rPr>
          <w:bCs/>
          <w:highlight w:val="none"/>
        </w:rPr>
        <w:tab/>
      </w:r>
      <w:r>
        <w:rPr>
          <w:bCs/>
          <w:highlight w:val="none"/>
        </w:rPr>
        <w:fldChar w:fldCharType="begin"/>
      </w:r>
      <w:r>
        <w:rPr>
          <w:bCs/>
          <w:highlight w:val="none"/>
        </w:rPr>
        <w:instrText xml:space="preserve"> PAGEREF _Toc151026251 \h </w:instrText>
      </w:r>
      <w:r>
        <w:rPr>
          <w:bCs/>
          <w:highlight w:val="none"/>
        </w:rPr>
        <w:fldChar w:fldCharType="separate"/>
      </w:r>
      <w:r>
        <w:rPr>
          <w:bCs/>
          <w:highlight w:val="none"/>
        </w:rPr>
        <w:t>- 19 -</w:t>
      </w:r>
      <w:r>
        <w:rPr>
          <w:bCs/>
          <w:highlight w:val="none"/>
        </w:rPr>
        <w:fldChar w:fldCharType="end"/>
      </w:r>
      <w:r>
        <w:rPr>
          <w:bCs/>
          <w:highlight w:val="none"/>
        </w:rPr>
        <w:fldChar w:fldCharType="end"/>
      </w:r>
    </w:p>
    <w:p w14:paraId="5F7B9674">
      <w:pPr>
        <w:pStyle w:val="29"/>
        <w:tabs>
          <w:tab w:val="right" w:leader="dot" w:pos="9060"/>
        </w:tabs>
        <w:spacing w:line="360" w:lineRule="auto"/>
        <w:ind w:left="480"/>
        <w:rPr>
          <w:rFonts w:hint="eastAsia" w:ascii="等线" w:hAnsi="等线" w:eastAsia="等线"/>
          <w:bCs/>
          <w:kern w:val="2"/>
          <w:sz w:val="21"/>
          <w:szCs w:val="22"/>
          <w:highlight w:val="none"/>
          <w14:ligatures w14:val="standardContextual"/>
        </w:rPr>
      </w:pPr>
      <w:r>
        <w:rPr>
          <w:highlight w:val="none"/>
        </w:rPr>
        <w:fldChar w:fldCharType="begin"/>
      </w:r>
      <w:r>
        <w:rPr>
          <w:highlight w:val="none"/>
        </w:rPr>
        <w:instrText xml:space="preserve"> HYPERLINK \l "_Toc151026252" </w:instrText>
      </w:r>
      <w:r>
        <w:rPr>
          <w:highlight w:val="none"/>
        </w:rPr>
        <w:fldChar w:fldCharType="separate"/>
      </w:r>
      <w:r>
        <w:rPr>
          <w:rStyle w:val="41"/>
          <w:bCs/>
          <w:color w:val="auto"/>
          <w:highlight w:val="none"/>
        </w:rPr>
        <w:t>第十章 质疑与投诉</w:t>
      </w:r>
      <w:r>
        <w:rPr>
          <w:bCs/>
          <w:highlight w:val="none"/>
        </w:rPr>
        <w:tab/>
      </w:r>
      <w:r>
        <w:rPr>
          <w:bCs/>
          <w:highlight w:val="none"/>
        </w:rPr>
        <w:fldChar w:fldCharType="begin"/>
      </w:r>
      <w:r>
        <w:rPr>
          <w:bCs/>
          <w:highlight w:val="none"/>
        </w:rPr>
        <w:instrText xml:space="preserve"> PAGEREF _Toc151026252 \h </w:instrText>
      </w:r>
      <w:r>
        <w:rPr>
          <w:bCs/>
          <w:highlight w:val="none"/>
        </w:rPr>
        <w:fldChar w:fldCharType="separate"/>
      </w:r>
      <w:r>
        <w:rPr>
          <w:bCs/>
          <w:highlight w:val="none"/>
        </w:rPr>
        <w:t>- 20 -</w:t>
      </w:r>
      <w:r>
        <w:rPr>
          <w:bCs/>
          <w:highlight w:val="none"/>
        </w:rPr>
        <w:fldChar w:fldCharType="end"/>
      </w:r>
      <w:r>
        <w:rPr>
          <w:bCs/>
          <w:highlight w:val="none"/>
        </w:rPr>
        <w:fldChar w:fldCharType="end"/>
      </w:r>
    </w:p>
    <w:p w14:paraId="2347C419">
      <w:pPr>
        <w:pStyle w:val="24"/>
        <w:tabs>
          <w:tab w:val="right" w:leader="dot" w:pos="9060"/>
        </w:tabs>
        <w:spacing w:line="360" w:lineRule="auto"/>
        <w:rPr>
          <w:rFonts w:hint="eastAsia" w:ascii="等线" w:hAnsi="等线" w:eastAsia="等线"/>
          <w:kern w:val="2"/>
          <w:sz w:val="21"/>
          <w:szCs w:val="22"/>
          <w:highlight w:val="none"/>
          <w14:ligatures w14:val="standardContextual"/>
        </w:rPr>
      </w:pPr>
      <w:r>
        <w:rPr>
          <w:highlight w:val="none"/>
        </w:rPr>
        <w:fldChar w:fldCharType="begin"/>
      </w:r>
      <w:r>
        <w:rPr>
          <w:highlight w:val="none"/>
        </w:rPr>
        <w:instrText xml:space="preserve"> HYPERLINK \l "_Toc151026253" </w:instrText>
      </w:r>
      <w:r>
        <w:rPr>
          <w:highlight w:val="none"/>
        </w:rPr>
        <w:fldChar w:fldCharType="separate"/>
      </w:r>
      <w:r>
        <w:rPr>
          <w:rStyle w:val="41"/>
          <w:b/>
          <w:color w:val="auto"/>
          <w:highlight w:val="none"/>
        </w:rPr>
        <w:t>第三部分  评标办法及评分标准</w:t>
      </w:r>
      <w:r>
        <w:rPr>
          <w:highlight w:val="none"/>
        </w:rPr>
        <w:tab/>
      </w:r>
      <w:r>
        <w:rPr>
          <w:highlight w:val="none"/>
        </w:rPr>
        <w:fldChar w:fldCharType="begin"/>
      </w:r>
      <w:r>
        <w:rPr>
          <w:highlight w:val="none"/>
        </w:rPr>
        <w:instrText xml:space="preserve"> PAGEREF _Toc151026253 \h </w:instrText>
      </w:r>
      <w:r>
        <w:rPr>
          <w:highlight w:val="none"/>
        </w:rPr>
        <w:fldChar w:fldCharType="separate"/>
      </w:r>
      <w:r>
        <w:rPr>
          <w:highlight w:val="none"/>
        </w:rPr>
        <w:t>- 22 -</w:t>
      </w:r>
      <w:r>
        <w:rPr>
          <w:highlight w:val="none"/>
        </w:rPr>
        <w:fldChar w:fldCharType="end"/>
      </w:r>
      <w:r>
        <w:rPr>
          <w:highlight w:val="none"/>
        </w:rPr>
        <w:fldChar w:fldCharType="end"/>
      </w:r>
    </w:p>
    <w:p w14:paraId="133AB266">
      <w:pPr>
        <w:pStyle w:val="29"/>
        <w:tabs>
          <w:tab w:val="right" w:leader="dot" w:pos="9060"/>
        </w:tabs>
        <w:spacing w:line="360" w:lineRule="auto"/>
        <w:ind w:left="480"/>
        <w:rPr>
          <w:rFonts w:hint="eastAsia" w:ascii="等线" w:hAnsi="等线" w:eastAsia="等线"/>
          <w:kern w:val="2"/>
          <w:sz w:val="21"/>
          <w:szCs w:val="22"/>
          <w:highlight w:val="none"/>
          <w14:ligatures w14:val="standardContextual"/>
        </w:rPr>
      </w:pPr>
      <w:r>
        <w:rPr>
          <w:highlight w:val="none"/>
        </w:rPr>
        <w:fldChar w:fldCharType="begin"/>
      </w:r>
      <w:r>
        <w:rPr>
          <w:highlight w:val="none"/>
        </w:rPr>
        <w:instrText xml:space="preserve"> HYPERLINK \l "_Toc151026254" </w:instrText>
      </w:r>
      <w:r>
        <w:rPr>
          <w:highlight w:val="none"/>
        </w:rPr>
        <w:fldChar w:fldCharType="separate"/>
      </w:r>
      <w:r>
        <w:rPr>
          <w:rStyle w:val="41"/>
          <w:color w:val="auto"/>
          <w:highlight w:val="none"/>
        </w:rPr>
        <w:t>第一章　评标办法</w:t>
      </w:r>
      <w:r>
        <w:rPr>
          <w:highlight w:val="none"/>
        </w:rPr>
        <w:tab/>
      </w:r>
      <w:r>
        <w:rPr>
          <w:highlight w:val="none"/>
        </w:rPr>
        <w:fldChar w:fldCharType="begin"/>
      </w:r>
      <w:r>
        <w:rPr>
          <w:highlight w:val="none"/>
        </w:rPr>
        <w:instrText xml:space="preserve"> PAGEREF _Toc151026254 \h </w:instrText>
      </w:r>
      <w:r>
        <w:rPr>
          <w:highlight w:val="none"/>
        </w:rPr>
        <w:fldChar w:fldCharType="separate"/>
      </w:r>
      <w:r>
        <w:rPr>
          <w:highlight w:val="none"/>
        </w:rPr>
        <w:t>- 22 -</w:t>
      </w:r>
      <w:r>
        <w:rPr>
          <w:highlight w:val="none"/>
        </w:rPr>
        <w:fldChar w:fldCharType="end"/>
      </w:r>
      <w:r>
        <w:rPr>
          <w:highlight w:val="none"/>
        </w:rPr>
        <w:fldChar w:fldCharType="end"/>
      </w:r>
    </w:p>
    <w:p w14:paraId="4DDAB930">
      <w:pPr>
        <w:pStyle w:val="24"/>
        <w:tabs>
          <w:tab w:val="right" w:leader="dot" w:pos="9060"/>
        </w:tabs>
        <w:spacing w:line="360" w:lineRule="auto"/>
        <w:rPr>
          <w:rFonts w:hint="eastAsia" w:ascii="等线" w:hAnsi="等线" w:eastAsia="等线"/>
          <w:kern w:val="2"/>
          <w:sz w:val="21"/>
          <w:szCs w:val="22"/>
          <w:highlight w:val="none"/>
          <w14:ligatures w14:val="standardContextual"/>
        </w:rPr>
      </w:pPr>
      <w:r>
        <w:rPr>
          <w:highlight w:val="none"/>
        </w:rPr>
        <w:fldChar w:fldCharType="begin"/>
      </w:r>
      <w:r>
        <w:rPr>
          <w:highlight w:val="none"/>
        </w:rPr>
        <w:instrText xml:space="preserve"> HYPERLINK \l "_Toc151026259" </w:instrText>
      </w:r>
      <w:r>
        <w:rPr>
          <w:highlight w:val="none"/>
        </w:rPr>
        <w:fldChar w:fldCharType="separate"/>
      </w:r>
      <w:r>
        <w:rPr>
          <w:rStyle w:val="41"/>
          <w:b/>
          <w:color w:val="auto"/>
          <w:highlight w:val="none"/>
        </w:rPr>
        <w:t>第四部分  采购需求</w:t>
      </w:r>
      <w:r>
        <w:rPr>
          <w:highlight w:val="none"/>
        </w:rPr>
        <w:tab/>
      </w:r>
      <w:r>
        <w:rPr>
          <w:highlight w:val="none"/>
        </w:rPr>
        <w:fldChar w:fldCharType="begin"/>
      </w:r>
      <w:r>
        <w:rPr>
          <w:highlight w:val="none"/>
        </w:rPr>
        <w:instrText xml:space="preserve"> PAGEREF _Toc151026259 \h </w:instrText>
      </w:r>
      <w:r>
        <w:rPr>
          <w:highlight w:val="none"/>
        </w:rPr>
        <w:fldChar w:fldCharType="separate"/>
      </w:r>
      <w:r>
        <w:rPr>
          <w:highlight w:val="none"/>
        </w:rPr>
        <w:t>- 29 -</w:t>
      </w:r>
      <w:r>
        <w:rPr>
          <w:highlight w:val="none"/>
        </w:rPr>
        <w:fldChar w:fldCharType="end"/>
      </w:r>
      <w:r>
        <w:rPr>
          <w:highlight w:val="none"/>
        </w:rPr>
        <w:fldChar w:fldCharType="end"/>
      </w:r>
    </w:p>
    <w:p w14:paraId="5AFF40E0">
      <w:pPr>
        <w:pStyle w:val="24"/>
        <w:tabs>
          <w:tab w:val="right" w:leader="dot" w:pos="9060"/>
        </w:tabs>
        <w:spacing w:line="360" w:lineRule="auto"/>
        <w:rPr>
          <w:rFonts w:hint="eastAsia" w:ascii="等线" w:hAnsi="等线" w:eastAsia="等线"/>
          <w:kern w:val="2"/>
          <w:sz w:val="21"/>
          <w:szCs w:val="22"/>
          <w:highlight w:val="none"/>
          <w14:ligatures w14:val="standardContextual"/>
        </w:rPr>
      </w:pPr>
      <w:r>
        <w:rPr>
          <w:highlight w:val="none"/>
        </w:rPr>
        <w:fldChar w:fldCharType="begin"/>
      </w:r>
      <w:r>
        <w:rPr>
          <w:highlight w:val="none"/>
        </w:rPr>
        <w:instrText xml:space="preserve"> HYPERLINK \l "_Toc151026261" </w:instrText>
      </w:r>
      <w:r>
        <w:rPr>
          <w:highlight w:val="none"/>
        </w:rPr>
        <w:fldChar w:fldCharType="separate"/>
      </w:r>
      <w:r>
        <w:rPr>
          <w:rStyle w:val="41"/>
          <w:b/>
          <w:color w:val="auto"/>
          <w:highlight w:val="none"/>
        </w:rPr>
        <w:t>第五部分  采购合同的一般和特殊条款</w:t>
      </w:r>
      <w:r>
        <w:rPr>
          <w:highlight w:val="none"/>
        </w:rPr>
        <w:tab/>
      </w:r>
      <w:r>
        <w:rPr>
          <w:highlight w:val="none"/>
        </w:rPr>
        <w:fldChar w:fldCharType="begin"/>
      </w:r>
      <w:r>
        <w:rPr>
          <w:highlight w:val="none"/>
        </w:rPr>
        <w:instrText xml:space="preserve"> PAGEREF _Toc151026261 \h </w:instrText>
      </w:r>
      <w:r>
        <w:rPr>
          <w:highlight w:val="none"/>
        </w:rPr>
        <w:fldChar w:fldCharType="separate"/>
      </w:r>
      <w:r>
        <w:rPr>
          <w:highlight w:val="none"/>
        </w:rPr>
        <w:t>- 275 -</w:t>
      </w:r>
      <w:r>
        <w:rPr>
          <w:highlight w:val="none"/>
        </w:rPr>
        <w:fldChar w:fldCharType="end"/>
      </w:r>
      <w:r>
        <w:rPr>
          <w:highlight w:val="none"/>
        </w:rPr>
        <w:fldChar w:fldCharType="end"/>
      </w:r>
    </w:p>
    <w:p w14:paraId="0D68B46F">
      <w:pPr>
        <w:pStyle w:val="24"/>
        <w:tabs>
          <w:tab w:val="right" w:leader="dot" w:pos="9060"/>
        </w:tabs>
        <w:spacing w:line="360" w:lineRule="auto"/>
        <w:rPr>
          <w:rFonts w:hint="eastAsia" w:ascii="等线" w:hAnsi="等线" w:eastAsia="等线"/>
          <w:kern w:val="2"/>
          <w:sz w:val="21"/>
          <w:szCs w:val="22"/>
          <w:highlight w:val="none"/>
          <w14:ligatures w14:val="standardContextual"/>
        </w:rPr>
      </w:pPr>
      <w:r>
        <w:rPr>
          <w:highlight w:val="none"/>
        </w:rPr>
        <w:fldChar w:fldCharType="begin"/>
      </w:r>
      <w:r>
        <w:rPr>
          <w:highlight w:val="none"/>
        </w:rPr>
        <w:instrText xml:space="preserve"> HYPERLINK \l "_Toc151026262" </w:instrText>
      </w:r>
      <w:r>
        <w:rPr>
          <w:highlight w:val="none"/>
        </w:rPr>
        <w:fldChar w:fldCharType="separate"/>
      </w:r>
      <w:r>
        <w:rPr>
          <w:rStyle w:val="41"/>
          <w:b/>
          <w:color w:val="auto"/>
          <w:highlight w:val="none"/>
        </w:rPr>
        <w:t>第六部分  应提交的有关格式范例</w:t>
      </w:r>
      <w:r>
        <w:rPr>
          <w:highlight w:val="none"/>
        </w:rPr>
        <w:tab/>
      </w:r>
      <w:r>
        <w:rPr>
          <w:highlight w:val="none"/>
        </w:rPr>
        <w:fldChar w:fldCharType="begin"/>
      </w:r>
      <w:r>
        <w:rPr>
          <w:highlight w:val="none"/>
        </w:rPr>
        <w:instrText xml:space="preserve"> PAGEREF _Toc151026262 \h </w:instrText>
      </w:r>
      <w:r>
        <w:rPr>
          <w:highlight w:val="none"/>
        </w:rPr>
        <w:fldChar w:fldCharType="separate"/>
      </w:r>
      <w:r>
        <w:rPr>
          <w:highlight w:val="none"/>
        </w:rPr>
        <w:t>- 284 -</w:t>
      </w:r>
      <w:r>
        <w:rPr>
          <w:highlight w:val="none"/>
        </w:rPr>
        <w:fldChar w:fldCharType="end"/>
      </w:r>
      <w:r>
        <w:rPr>
          <w:highlight w:val="none"/>
        </w:rPr>
        <w:fldChar w:fldCharType="end"/>
      </w:r>
    </w:p>
    <w:p w14:paraId="04DEBEC0">
      <w:pPr>
        <w:spacing w:line="360" w:lineRule="auto"/>
        <w:rPr>
          <w:rFonts w:hint="eastAsia"/>
          <w:sz w:val="36"/>
          <w:szCs w:val="36"/>
          <w:highlight w:val="none"/>
        </w:rPr>
      </w:pPr>
      <w:r>
        <w:rPr>
          <w:b/>
          <w:bCs/>
          <w:highlight w:val="none"/>
          <w:lang w:val="zh-CN"/>
        </w:rPr>
        <w:fldChar w:fldCharType="end"/>
      </w:r>
    </w:p>
    <w:p w14:paraId="7048769B">
      <w:pPr>
        <w:spacing w:line="360" w:lineRule="auto"/>
        <w:ind w:firstLine="1007" w:firstLineChars="229"/>
        <w:rPr>
          <w:rFonts w:hint="eastAsia"/>
          <w:sz w:val="44"/>
          <w:szCs w:val="44"/>
          <w:highlight w:val="none"/>
        </w:rPr>
      </w:pPr>
      <w:bookmarkStart w:id="0" w:name="_Hlt91233176"/>
      <w:bookmarkEnd w:id="0"/>
      <w:bookmarkStart w:id="1" w:name="_Toc91899869"/>
    </w:p>
    <w:p w14:paraId="26FB149E">
      <w:pPr>
        <w:spacing w:line="360" w:lineRule="auto"/>
        <w:ind w:firstLine="549" w:firstLineChars="229"/>
        <w:rPr>
          <w:rFonts w:hint="eastAsia"/>
          <w:highlight w:val="none"/>
        </w:rPr>
      </w:pPr>
    </w:p>
    <w:p w14:paraId="0952B211">
      <w:pPr>
        <w:spacing w:line="360" w:lineRule="auto"/>
        <w:rPr>
          <w:rFonts w:hint="eastAsia"/>
          <w:highlight w:val="none"/>
        </w:rPr>
      </w:pPr>
    </w:p>
    <w:bookmarkEnd w:id="1"/>
    <w:p w14:paraId="0AEBC5E6">
      <w:pPr>
        <w:spacing w:line="360" w:lineRule="auto"/>
        <w:outlineLvl w:val="0"/>
        <w:rPr>
          <w:rFonts w:hint="eastAsia"/>
          <w:b/>
          <w:sz w:val="36"/>
          <w:szCs w:val="20"/>
          <w:highlight w:val="none"/>
        </w:rPr>
        <w:sectPr>
          <w:footerReference r:id="rId4" w:type="first"/>
          <w:footerReference r:id="rId3" w:type="default"/>
          <w:pgSz w:w="11906" w:h="16838"/>
          <w:pgMar w:top="1247" w:right="1418" w:bottom="1701" w:left="1418" w:header="851" w:footer="992" w:gutter="0"/>
          <w:pgNumType w:start="1"/>
          <w:cols w:space="720" w:num="1"/>
          <w:titlePg/>
          <w:docGrid w:linePitch="312" w:charSpace="0"/>
        </w:sectPr>
      </w:pPr>
      <w:bookmarkStart w:id="2" w:name="_Hlt74707423"/>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p>
    <w:p w14:paraId="5EFA2D81">
      <w:pPr>
        <w:spacing w:line="360" w:lineRule="auto"/>
        <w:jc w:val="center"/>
        <w:outlineLvl w:val="0"/>
        <w:rPr>
          <w:rFonts w:hint="eastAsia"/>
          <w:b/>
          <w:sz w:val="36"/>
          <w:szCs w:val="20"/>
          <w:highlight w:val="none"/>
        </w:rPr>
      </w:pPr>
      <w:bookmarkStart w:id="9" w:name="_Toc151026237"/>
      <w:bookmarkStart w:id="10" w:name="_Toc92799811"/>
      <w:r>
        <w:rPr>
          <w:rFonts w:hint="eastAsia"/>
          <w:b/>
          <w:sz w:val="36"/>
          <w:szCs w:val="20"/>
          <w:highlight w:val="none"/>
        </w:rPr>
        <w:t>第一部分  招标公告</w:t>
      </w:r>
      <w:bookmarkEnd w:id="9"/>
      <w:bookmarkEnd w:id="10"/>
    </w:p>
    <w:p w14:paraId="3EB097AA">
      <w:pPr>
        <w:spacing w:line="440" w:lineRule="exact"/>
        <w:ind w:right="-480" w:rightChars="-200"/>
        <w:jc w:val="center"/>
        <w:rPr>
          <w:rFonts w:hint="eastAsia"/>
          <w:sz w:val="28"/>
          <w:szCs w:val="28"/>
          <w:highlight w:val="none"/>
        </w:rPr>
      </w:pPr>
      <w:r>
        <w:rPr>
          <w:rFonts w:hint="eastAsia"/>
          <w:sz w:val="28"/>
          <w:szCs w:val="28"/>
          <w:highlight w:val="none"/>
        </w:rPr>
        <w:t>浙江江南工程管理股份有限公司关于绍兴市上虞区高新技术产业发展有限公司的杭州湾上虞高层次人才创业园智能化系统采购及安装项目的非政府采购公开招标公告</w:t>
      </w:r>
    </w:p>
    <w:p w14:paraId="17B71A85">
      <w:pPr>
        <w:adjustRightInd w:val="0"/>
        <w:spacing w:line="440" w:lineRule="exact"/>
        <w:jc w:val="center"/>
        <w:rPr>
          <w:rFonts w:hint="eastAsia"/>
          <w:sz w:val="28"/>
          <w:szCs w:val="28"/>
          <w:highlight w:val="none"/>
        </w:rPr>
      </w:pPr>
      <w:r>
        <w:rPr>
          <w:rFonts w:hint="eastAsia"/>
          <w:sz w:val="28"/>
          <w:szCs w:val="28"/>
          <w:highlight w:val="none"/>
        </w:rPr>
        <w:t xml:space="preserve">公告日期：2024- - </w:t>
      </w:r>
      <w:r>
        <w:rPr>
          <w:sz w:val="28"/>
          <w:szCs w:val="28"/>
          <w:highlight w:val="none"/>
        </w:rPr>
        <w:t xml:space="preserve">  </w:t>
      </w:r>
      <w:r>
        <w:rPr>
          <w:rFonts w:hint="eastAsia"/>
          <w:sz w:val="28"/>
          <w:szCs w:val="28"/>
          <w:highlight w:val="none"/>
        </w:rPr>
        <w:t xml:space="preserve"> </w:t>
      </w:r>
    </w:p>
    <w:p w14:paraId="668117E9">
      <w:pPr>
        <w:adjustRightInd w:val="0"/>
        <w:spacing w:line="440" w:lineRule="exact"/>
        <w:ind w:firstLine="480" w:firstLineChars="200"/>
        <w:rPr>
          <w:rFonts w:hint="eastAsia"/>
          <w:highlight w:val="none"/>
        </w:rPr>
      </w:pPr>
      <w:r>
        <w:rPr>
          <w:rFonts w:hint="eastAsia"/>
          <w:highlight w:val="none"/>
        </w:rPr>
        <w:t>根据《上虞区区属国有企业货物和服务采购管理办法》等有关规定，</w:t>
      </w:r>
      <w:r>
        <w:rPr>
          <w:rFonts w:hint="eastAsia"/>
          <w:highlight w:val="none"/>
          <w:u w:val="single"/>
        </w:rPr>
        <w:t>浙江江南工程管理股份有限公司</w:t>
      </w:r>
      <w:r>
        <w:rPr>
          <w:rFonts w:hint="eastAsia"/>
          <w:highlight w:val="none"/>
        </w:rPr>
        <w:t>受</w:t>
      </w:r>
      <w:r>
        <w:rPr>
          <w:rFonts w:hint="eastAsia"/>
          <w:highlight w:val="none"/>
          <w:u w:val="single"/>
        </w:rPr>
        <w:t>绍兴市上虞区高新技术产业发展有限公司</w:t>
      </w:r>
      <w:r>
        <w:rPr>
          <w:rFonts w:hint="eastAsia"/>
          <w:highlight w:val="none"/>
        </w:rPr>
        <w:t>委托，现就</w:t>
      </w:r>
      <w:r>
        <w:rPr>
          <w:rFonts w:hint="eastAsia"/>
          <w:highlight w:val="none"/>
          <w:u w:val="single"/>
        </w:rPr>
        <w:t>杭州湾上虞高层次人才创业园智能化系统采购及安装项目</w:t>
      </w:r>
      <w:r>
        <w:rPr>
          <w:rFonts w:hint="eastAsia"/>
          <w:highlight w:val="none"/>
        </w:rPr>
        <w:t>进行公开招标，欢迎国内合格的供应商前来投标。</w:t>
      </w:r>
    </w:p>
    <w:p w14:paraId="017F3D4F">
      <w:pPr>
        <w:pStyle w:val="75"/>
        <w:spacing w:beforeAutospacing="0" w:afterAutospacing="0" w:line="440" w:lineRule="exact"/>
        <w:ind w:firstLine="241" w:firstLineChars="100"/>
        <w:rPr>
          <w:rFonts w:hint="eastAsia" w:ascii="宋体" w:hAnsi="宋体" w:eastAsia="宋体"/>
          <w:b/>
          <w:bCs/>
          <w:color w:val="auto"/>
          <w:highlight w:val="none"/>
        </w:rPr>
      </w:pPr>
      <w:r>
        <w:rPr>
          <w:rFonts w:hint="eastAsia" w:ascii="宋体" w:hAnsi="宋体" w:eastAsia="宋体"/>
          <w:b/>
          <w:bCs/>
          <w:color w:val="auto"/>
          <w:highlight w:val="none"/>
        </w:rPr>
        <w:t xml:space="preserve">一、招标项目编号： </w:t>
      </w:r>
    </w:p>
    <w:p w14:paraId="095FB640">
      <w:pPr>
        <w:pStyle w:val="75"/>
        <w:wordWrap w:val="0"/>
        <w:spacing w:beforeAutospacing="0" w:afterAutospacing="0" w:line="440" w:lineRule="exact"/>
        <w:ind w:left="240"/>
        <w:rPr>
          <w:rFonts w:hint="eastAsia" w:ascii="宋体" w:hAnsi="宋体" w:eastAsia="宋体"/>
          <w:b/>
          <w:bCs/>
          <w:color w:val="auto"/>
          <w:highlight w:val="none"/>
        </w:rPr>
      </w:pPr>
      <w:r>
        <w:rPr>
          <w:rFonts w:hint="eastAsia" w:ascii="宋体" w:hAnsi="宋体" w:eastAsia="宋体"/>
          <w:b/>
          <w:bCs/>
          <w:color w:val="auto"/>
          <w:highlight w:val="none"/>
        </w:rPr>
        <w:t>二、采购组织类型：公开招标</w:t>
      </w:r>
    </w:p>
    <w:p w14:paraId="37DF71B8">
      <w:pPr>
        <w:adjustRightInd w:val="0"/>
        <w:spacing w:line="440" w:lineRule="exact"/>
        <w:ind w:firstLine="241" w:firstLineChars="100"/>
        <w:rPr>
          <w:rFonts w:hint="eastAsia"/>
          <w:b/>
          <w:bCs/>
          <w:highlight w:val="none"/>
        </w:rPr>
      </w:pPr>
      <w:r>
        <w:rPr>
          <w:rFonts w:hint="eastAsia"/>
          <w:b/>
          <w:bCs/>
          <w:highlight w:val="none"/>
        </w:rPr>
        <w:t>三、招标项目概况：</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6"/>
        <w:gridCol w:w="640"/>
        <w:gridCol w:w="640"/>
        <w:gridCol w:w="1274"/>
        <w:gridCol w:w="2262"/>
        <w:gridCol w:w="1178"/>
      </w:tblGrid>
      <w:tr w14:paraId="1714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2" w:type="pct"/>
            <w:vAlign w:val="center"/>
          </w:tcPr>
          <w:p w14:paraId="121A753A">
            <w:pPr>
              <w:adjustRightInd w:val="0"/>
              <w:spacing w:line="440" w:lineRule="exact"/>
              <w:jc w:val="center"/>
              <w:rPr>
                <w:rFonts w:hint="eastAsia"/>
                <w:b/>
                <w:bCs/>
                <w:sz w:val="21"/>
                <w:highlight w:val="none"/>
              </w:rPr>
            </w:pPr>
            <w:r>
              <w:rPr>
                <w:rFonts w:hint="eastAsia"/>
                <w:b/>
                <w:bCs/>
                <w:sz w:val="21"/>
                <w:highlight w:val="none"/>
              </w:rPr>
              <w:t>序号</w:t>
            </w:r>
          </w:p>
        </w:tc>
        <w:tc>
          <w:tcPr>
            <w:tcW w:w="1418" w:type="pct"/>
            <w:vAlign w:val="center"/>
          </w:tcPr>
          <w:p w14:paraId="1C0FF7E8">
            <w:pPr>
              <w:adjustRightInd w:val="0"/>
              <w:spacing w:line="440" w:lineRule="exact"/>
              <w:jc w:val="center"/>
              <w:rPr>
                <w:rFonts w:hint="eastAsia"/>
                <w:b/>
                <w:bCs/>
                <w:sz w:val="21"/>
                <w:highlight w:val="none"/>
              </w:rPr>
            </w:pPr>
            <w:r>
              <w:rPr>
                <w:rFonts w:hint="eastAsia"/>
                <w:b/>
                <w:bCs/>
                <w:sz w:val="21"/>
                <w:highlight w:val="none"/>
              </w:rPr>
              <w:t>项目名称</w:t>
            </w:r>
          </w:p>
        </w:tc>
        <w:tc>
          <w:tcPr>
            <w:tcW w:w="334" w:type="pct"/>
            <w:vAlign w:val="center"/>
          </w:tcPr>
          <w:p w14:paraId="2BA63DD9">
            <w:pPr>
              <w:adjustRightInd w:val="0"/>
              <w:spacing w:line="440" w:lineRule="exact"/>
              <w:jc w:val="center"/>
              <w:rPr>
                <w:rFonts w:hint="eastAsia"/>
                <w:b/>
                <w:bCs/>
                <w:sz w:val="21"/>
                <w:highlight w:val="none"/>
              </w:rPr>
            </w:pPr>
            <w:r>
              <w:rPr>
                <w:rFonts w:hint="eastAsia"/>
                <w:b/>
                <w:bCs/>
                <w:sz w:val="21"/>
                <w:highlight w:val="none"/>
              </w:rPr>
              <w:t>数量</w:t>
            </w:r>
          </w:p>
        </w:tc>
        <w:tc>
          <w:tcPr>
            <w:tcW w:w="334" w:type="pct"/>
            <w:vAlign w:val="center"/>
          </w:tcPr>
          <w:p w14:paraId="239F7B03">
            <w:pPr>
              <w:adjustRightInd w:val="0"/>
              <w:spacing w:line="440" w:lineRule="exact"/>
              <w:jc w:val="center"/>
              <w:rPr>
                <w:rFonts w:hint="eastAsia"/>
                <w:b/>
                <w:bCs/>
                <w:sz w:val="21"/>
                <w:highlight w:val="none"/>
              </w:rPr>
            </w:pPr>
            <w:r>
              <w:rPr>
                <w:rFonts w:hint="eastAsia"/>
                <w:b/>
                <w:bCs/>
                <w:sz w:val="21"/>
                <w:highlight w:val="none"/>
              </w:rPr>
              <w:t>单位</w:t>
            </w:r>
          </w:p>
        </w:tc>
        <w:tc>
          <w:tcPr>
            <w:tcW w:w="665" w:type="pct"/>
            <w:vAlign w:val="center"/>
          </w:tcPr>
          <w:p w14:paraId="383ED903">
            <w:pPr>
              <w:adjustRightInd w:val="0"/>
              <w:spacing w:line="440" w:lineRule="exact"/>
              <w:jc w:val="center"/>
              <w:rPr>
                <w:rFonts w:hint="eastAsia"/>
                <w:b/>
                <w:bCs/>
                <w:sz w:val="21"/>
                <w:highlight w:val="none"/>
              </w:rPr>
            </w:pPr>
            <w:r>
              <w:rPr>
                <w:rFonts w:hint="eastAsia"/>
                <w:b/>
                <w:bCs/>
                <w:sz w:val="21"/>
                <w:highlight w:val="none"/>
              </w:rPr>
              <w:t>最高限价</w:t>
            </w:r>
          </w:p>
          <w:p w14:paraId="5E182766">
            <w:pPr>
              <w:adjustRightInd w:val="0"/>
              <w:spacing w:line="440" w:lineRule="exact"/>
              <w:jc w:val="center"/>
              <w:rPr>
                <w:rFonts w:hint="eastAsia"/>
                <w:b/>
                <w:bCs/>
                <w:sz w:val="21"/>
                <w:highlight w:val="none"/>
              </w:rPr>
            </w:pPr>
            <w:r>
              <w:rPr>
                <w:rFonts w:hint="eastAsia"/>
                <w:b/>
                <w:bCs/>
                <w:sz w:val="21"/>
                <w:highlight w:val="none"/>
              </w:rPr>
              <w:t>(万元)</w:t>
            </w:r>
          </w:p>
        </w:tc>
        <w:tc>
          <w:tcPr>
            <w:tcW w:w="1181" w:type="pct"/>
            <w:vAlign w:val="center"/>
          </w:tcPr>
          <w:p w14:paraId="5FAC4FB1">
            <w:pPr>
              <w:adjustRightInd w:val="0"/>
              <w:spacing w:line="440" w:lineRule="exact"/>
              <w:jc w:val="center"/>
              <w:rPr>
                <w:rFonts w:hint="eastAsia"/>
                <w:b/>
                <w:bCs/>
                <w:sz w:val="21"/>
                <w:highlight w:val="none"/>
              </w:rPr>
            </w:pPr>
            <w:r>
              <w:rPr>
                <w:rFonts w:hint="eastAsia"/>
                <w:b/>
                <w:bCs/>
                <w:sz w:val="21"/>
                <w:highlight w:val="none"/>
              </w:rPr>
              <w:t>简要规格描述或标项基本概况介绍</w:t>
            </w:r>
          </w:p>
        </w:tc>
        <w:tc>
          <w:tcPr>
            <w:tcW w:w="615" w:type="pct"/>
            <w:vAlign w:val="center"/>
          </w:tcPr>
          <w:p w14:paraId="707A18C2">
            <w:pPr>
              <w:adjustRightInd w:val="0"/>
              <w:spacing w:line="440" w:lineRule="exact"/>
              <w:jc w:val="center"/>
              <w:rPr>
                <w:rFonts w:hint="eastAsia"/>
                <w:b/>
                <w:bCs/>
                <w:sz w:val="21"/>
                <w:highlight w:val="none"/>
              </w:rPr>
            </w:pPr>
            <w:r>
              <w:rPr>
                <w:rFonts w:hint="eastAsia"/>
                <w:b/>
                <w:bCs/>
                <w:sz w:val="21"/>
                <w:highlight w:val="none"/>
              </w:rPr>
              <w:t>备注</w:t>
            </w:r>
          </w:p>
        </w:tc>
      </w:tr>
      <w:tr w14:paraId="1317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2" w:type="pct"/>
            <w:vAlign w:val="center"/>
          </w:tcPr>
          <w:p w14:paraId="104C2E04">
            <w:pPr>
              <w:adjustRightInd w:val="0"/>
              <w:spacing w:line="440" w:lineRule="exact"/>
              <w:jc w:val="center"/>
              <w:rPr>
                <w:rFonts w:hint="eastAsia"/>
                <w:highlight w:val="none"/>
              </w:rPr>
            </w:pPr>
            <w:r>
              <w:rPr>
                <w:rFonts w:hint="eastAsia"/>
                <w:highlight w:val="none"/>
              </w:rPr>
              <w:t>1</w:t>
            </w:r>
          </w:p>
        </w:tc>
        <w:tc>
          <w:tcPr>
            <w:tcW w:w="1418" w:type="pct"/>
            <w:vAlign w:val="center"/>
          </w:tcPr>
          <w:p w14:paraId="558E1A61">
            <w:pPr>
              <w:adjustRightInd w:val="0"/>
              <w:spacing w:line="440" w:lineRule="exact"/>
              <w:jc w:val="center"/>
              <w:rPr>
                <w:rFonts w:hint="eastAsia"/>
                <w:highlight w:val="none"/>
              </w:rPr>
            </w:pPr>
            <w:r>
              <w:rPr>
                <w:rFonts w:hint="eastAsia"/>
                <w:highlight w:val="none"/>
              </w:rPr>
              <w:t>杭州湾上虞高层次人才创业园智能化系统采购及安装项目</w:t>
            </w:r>
          </w:p>
        </w:tc>
        <w:tc>
          <w:tcPr>
            <w:tcW w:w="334" w:type="pct"/>
            <w:vAlign w:val="center"/>
          </w:tcPr>
          <w:p w14:paraId="4796EDA7">
            <w:pPr>
              <w:adjustRightInd w:val="0"/>
              <w:spacing w:line="440" w:lineRule="exact"/>
              <w:jc w:val="center"/>
              <w:rPr>
                <w:rFonts w:hint="eastAsia"/>
                <w:highlight w:val="none"/>
              </w:rPr>
            </w:pPr>
            <w:r>
              <w:rPr>
                <w:rFonts w:hint="eastAsia"/>
                <w:highlight w:val="none"/>
              </w:rPr>
              <w:t>1</w:t>
            </w:r>
          </w:p>
        </w:tc>
        <w:tc>
          <w:tcPr>
            <w:tcW w:w="334" w:type="pct"/>
            <w:vAlign w:val="center"/>
          </w:tcPr>
          <w:p w14:paraId="04280786">
            <w:pPr>
              <w:adjustRightInd w:val="0"/>
              <w:spacing w:line="440" w:lineRule="exact"/>
              <w:jc w:val="center"/>
              <w:rPr>
                <w:rFonts w:hint="eastAsia"/>
                <w:highlight w:val="none"/>
              </w:rPr>
            </w:pPr>
            <w:r>
              <w:rPr>
                <w:rFonts w:hint="eastAsia"/>
                <w:highlight w:val="none"/>
              </w:rPr>
              <w:t>项</w:t>
            </w:r>
          </w:p>
        </w:tc>
        <w:tc>
          <w:tcPr>
            <w:tcW w:w="665" w:type="pct"/>
            <w:vAlign w:val="center"/>
          </w:tcPr>
          <w:p w14:paraId="0EB549B8">
            <w:pPr>
              <w:adjustRightInd w:val="0"/>
              <w:spacing w:line="440" w:lineRule="exact"/>
              <w:jc w:val="center"/>
              <w:rPr>
                <w:rFonts w:hint="eastAsia"/>
                <w:highlight w:val="none"/>
              </w:rPr>
            </w:pPr>
            <w:r>
              <w:rPr>
                <w:rFonts w:hint="eastAsia" w:ascii="宋体" w:hAnsi="宋体" w:eastAsia="宋体" w:cs="宋体"/>
                <w:snapToGrid w:val="0"/>
                <w:highlight w:val="none"/>
                <w:u w:val="none"/>
                <w:lang w:val="en-US" w:eastAsia="zh-CN"/>
              </w:rPr>
              <w:t>4161.994</w:t>
            </w:r>
            <w:r>
              <w:rPr>
                <w:rFonts w:hint="eastAsia"/>
                <w:highlight w:val="none"/>
              </w:rPr>
              <w:t xml:space="preserve"> </w:t>
            </w:r>
          </w:p>
        </w:tc>
        <w:tc>
          <w:tcPr>
            <w:tcW w:w="1181" w:type="pct"/>
            <w:vAlign w:val="center"/>
          </w:tcPr>
          <w:p w14:paraId="5BD9C77F">
            <w:pPr>
              <w:adjustRightInd w:val="0"/>
              <w:spacing w:line="440" w:lineRule="exact"/>
              <w:rPr>
                <w:rFonts w:hint="eastAsia"/>
                <w:highlight w:val="none"/>
              </w:rPr>
            </w:pPr>
            <w:r>
              <w:rPr>
                <w:rFonts w:hint="eastAsia"/>
                <w:highlight w:val="none"/>
              </w:rPr>
              <w:t>智能系统采购及安装项目，详见招标文件第四部分“采购需求”。</w:t>
            </w:r>
          </w:p>
        </w:tc>
        <w:tc>
          <w:tcPr>
            <w:tcW w:w="615" w:type="pct"/>
            <w:vAlign w:val="center"/>
          </w:tcPr>
          <w:p w14:paraId="4CC7410E">
            <w:pPr>
              <w:adjustRightInd w:val="0"/>
              <w:spacing w:line="440" w:lineRule="exact"/>
              <w:jc w:val="center"/>
              <w:rPr>
                <w:rFonts w:hint="eastAsia"/>
                <w:highlight w:val="none"/>
              </w:rPr>
            </w:pPr>
            <w:r>
              <w:rPr>
                <w:rFonts w:hint="eastAsia"/>
                <w:highlight w:val="none"/>
              </w:rPr>
              <w:t>无</w:t>
            </w:r>
          </w:p>
        </w:tc>
      </w:tr>
    </w:tbl>
    <w:p w14:paraId="0CA849DD">
      <w:pPr>
        <w:numPr>
          <w:ilvl w:val="0"/>
          <w:numId w:val="6"/>
        </w:numPr>
        <w:adjustRightInd w:val="0"/>
        <w:spacing w:line="440" w:lineRule="exact"/>
        <w:ind w:firstLine="482" w:firstLineChars="200"/>
        <w:rPr>
          <w:rFonts w:hint="eastAsia"/>
          <w:b/>
          <w:bCs/>
          <w:highlight w:val="none"/>
        </w:rPr>
      </w:pPr>
      <w:r>
        <w:rPr>
          <w:rFonts w:hint="eastAsia"/>
          <w:b/>
          <w:bCs/>
          <w:highlight w:val="none"/>
        </w:rPr>
        <w:t>投标供应商资格要求：</w:t>
      </w:r>
    </w:p>
    <w:p w14:paraId="2F2662D3">
      <w:pPr>
        <w:pStyle w:val="43"/>
        <w:ind w:firstLine="240" w:firstLineChars="100"/>
        <w:rPr>
          <w:rFonts w:hint="eastAsia" w:ascii="宋体" w:hAnsi="宋体" w:cs="宋体"/>
          <w:sz w:val="24"/>
          <w:szCs w:val="24"/>
          <w:highlight w:val="none"/>
        </w:rPr>
      </w:pPr>
      <w:r>
        <w:rPr>
          <w:rFonts w:hint="eastAsia" w:ascii="宋体" w:hAnsi="宋体" w:cs="宋体"/>
          <w:sz w:val="24"/>
          <w:szCs w:val="24"/>
          <w:highlight w:val="none"/>
        </w:rPr>
        <w:t>1、符合《虞国资委〔2021〕42 号》第十八条</w:t>
      </w:r>
    </w:p>
    <w:p w14:paraId="6EAA13B0">
      <w:pPr>
        <w:numPr>
          <w:ilvl w:val="0"/>
          <w:numId w:val="7"/>
        </w:numPr>
        <w:adjustRightInd w:val="0"/>
        <w:spacing w:line="360" w:lineRule="auto"/>
        <w:rPr>
          <w:rFonts w:hint="eastAsia"/>
          <w:highlight w:val="none"/>
        </w:rPr>
      </w:pPr>
      <w:r>
        <w:rPr>
          <w:rFonts w:hint="eastAsia"/>
          <w:highlight w:val="none"/>
        </w:rPr>
        <w:t>具有独立承担民事责任能力；</w:t>
      </w:r>
    </w:p>
    <w:p w14:paraId="0DC23B61">
      <w:pPr>
        <w:numPr>
          <w:ilvl w:val="0"/>
          <w:numId w:val="7"/>
        </w:numPr>
        <w:adjustRightInd w:val="0"/>
        <w:spacing w:line="360" w:lineRule="auto"/>
        <w:rPr>
          <w:rFonts w:hint="eastAsia"/>
          <w:highlight w:val="none"/>
        </w:rPr>
      </w:pPr>
      <w:r>
        <w:rPr>
          <w:rFonts w:hint="eastAsia"/>
          <w:highlight w:val="none"/>
        </w:rPr>
        <w:t>具有良好的商业信誉；</w:t>
      </w:r>
    </w:p>
    <w:p w14:paraId="6F6CB634">
      <w:pPr>
        <w:numPr>
          <w:ilvl w:val="0"/>
          <w:numId w:val="7"/>
        </w:numPr>
        <w:adjustRightInd w:val="0"/>
        <w:spacing w:line="360" w:lineRule="auto"/>
        <w:rPr>
          <w:rFonts w:hint="eastAsia"/>
          <w:highlight w:val="none"/>
        </w:rPr>
      </w:pPr>
      <w:r>
        <w:rPr>
          <w:rFonts w:hint="eastAsia"/>
          <w:highlight w:val="none"/>
        </w:rPr>
        <w:t>具有履行合同所必需的设备和专业技术、售后保障等能力；</w:t>
      </w:r>
    </w:p>
    <w:p w14:paraId="3896CB0C">
      <w:pPr>
        <w:numPr>
          <w:ilvl w:val="0"/>
          <w:numId w:val="7"/>
        </w:numPr>
        <w:adjustRightInd w:val="0"/>
        <w:spacing w:line="360" w:lineRule="auto"/>
        <w:rPr>
          <w:rFonts w:hint="eastAsia"/>
          <w:highlight w:val="none"/>
        </w:rPr>
      </w:pPr>
      <w:r>
        <w:rPr>
          <w:rFonts w:hint="eastAsia"/>
          <w:highlight w:val="none"/>
        </w:rPr>
        <w:t>有依法缴纳税收和社会保障资金的良好记录；</w:t>
      </w:r>
    </w:p>
    <w:p w14:paraId="0BF86367">
      <w:pPr>
        <w:numPr>
          <w:ilvl w:val="0"/>
          <w:numId w:val="7"/>
        </w:numPr>
        <w:adjustRightInd w:val="0"/>
        <w:spacing w:line="360" w:lineRule="auto"/>
        <w:rPr>
          <w:rFonts w:hint="eastAsia"/>
          <w:highlight w:val="none"/>
        </w:rPr>
      </w:pPr>
      <w:r>
        <w:rPr>
          <w:rFonts w:hint="eastAsia"/>
          <w:highlight w:val="none"/>
        </w:rPr>
        <w:t>参加采购活动前三年内，没有重大违法记录、严重失信行为和行贿记录；</w:t>
      </w:r>
    </w:p>
    <w:p w14:paraId="530A2A4D">
      <w:pPr>
        <w:numPr>
          <w:ilvl w:val="0"/>
          <w:numId w:val="7"/>
        </w:numPr>
        <w:adjustRightInd w:val="0"/>
        <w:spacing w:line="360" w:lineRule="auto"/>
        <w:rPr>
          <w:rFonts w:hint="eastAsia"/>
          <w:highlight w:val="none"/>
        </w:rPr>
      </w:pPr>
      <w:r>
        <w:rPr>
          <w:rFonts w:hint="eastAsia"/>
          <w:highlight w:val="none"/>
        </w:rPr>
        <w:t>法律、行政法规规定的其他条件；</w:t>
      </w:r>
    </w:p>
    <w:p w14:paraId="4805BB8A">
      <w:pPr>
        <w:adjustRightInd w:val="0"/>
        <w:spacing w:line="360" w:lineRule="auto"/>
        <w:ind w:firstLine="480" w:firstLineChars="200"/>
        <w:rPr>
          <w:rFonts w:hint="eastAsia"/>
          <w:highlight w:val="none"/>
        </w:rPr>
      </w:pPr>
      <w:r>
        <w:rPr>
          <w:rFonts w:hint="eastAsia"/>
          <w:highlight w:val="none"/>
        </w:rPr>
        <w:t>2、本项目</w:t>
      </w:r>
      <w:r>
        <w:rPr>
          <w:rFonts w:hint="eastAsia"/>
          <w:highlight w:val="none"/>
          <w:lang w:val="en-US" w:eastAsia="zh-CN"/>
        </w:rPr>
        <w:t>不</w:t>
      </w:r>
      <w:r>
        <w:rPr>
          <w:rFonts w:hint="eastAsia"/>
          <w:highlight w:val="none"/>
        </w:rPr>
        <w:t xml:space="preserve">接受联合体投标。  </w:t>
      </w:r>
    </w:p>
    <w:p w14:paraId="1EF888BB">
      <w:pPr>
        <w:pStyle w:val="34"/>
        <w:ind w:firstLine="480" w:firstLineChars="200"/>
        <w:rPr>
          <w:highlight w:val="none"/>
        </w:rPr>
      </w:pPr>
      <w:r>
        <w:rPr>
          <w:rFonts w:hint="eastAsia"/>
          <w:highlight w:val="none"/>
        </w:rPr>
        <w:t>3、本次招标采用资格后审的审查方式，由采购人负责审查。</w:t>
      </w:r>
    </w:p>
    <w:p w14:paraId="3FA2417B">
      <w:pPr>
        <w:adjustRightInd w:val="0"/>
        <w:spacing w:line="360" w:lineRule="auto"/>
        <w:ind w:firstLine="480" w:firstLineChars="200"/>
        <w:rPr>
          <w:rFonts w:hint="eastAsia"/>
          <w:highlight w:val="none"/>
          <w:lang w:val="zh-CN"/>
        </w:rPr>
      </w:pPr>
      <w:r>
        <w:rPr>
          <w:rFonts w:hint="eastAsia"/>
          <w:highlight w:val="none"/>
        </w:rPr>
        <w:t>4、本项目的特定资格要求：</w:t>
      </w:r>
      <w:r>
        <w:rPr>
          <w:rFonts w:hint="eastAsia"/>
          <w:highlight w:val="none"/>
          <w:lang w:val="zh-CN"/>
        </w:rPr>
        <w:t>投标人具有建设行政主管部门核发的电子与智能化工程专业承包一级资质，且具有有效的安全生产许可证。</w:t>
      </w:r>
    </w:p>
    <w:p w14:paraId="56DB5685">
      <w:pPr>
        <w:adjustRightInd w:val="0"/>
        <w:spacing w:line="440" w:lineRule="exact"/>
        <w:ind w:firstLine="482" w:firstLineChars="200"/>
        <w:rPr>
          <w:rFonts w:hint="eastAsia"/>
          <w:b/>
          <w:bCs/>
          <w:highlight w:val="none"/>
        </w:rPr>
      </w:pPr>
      <w:r>
        <w:rPr>
          <w:rFonts w:hint="eastAsia"/>
          <w:b/>
          <w:bCs/>
          <w:highlight w:val="none"/>
        </w:rPr>
        <w:t>五、投标获取采购文件</w:t>
      </w:r>
    </w:p>
    <w:p w14:paraId="37930170">
      <w:pPr>
        <w:numPr>
          <w:ilvl w:val="0"/>
          <w:numId w:val="8"/>
        </w:numPr>
        <w:adjustRightInd w:val="0"/>
        <w:spacing w:line="440" w:lineRule="exact"/>
        <w:ind w:firstLine="480" w:firstLineChars="200"/>
        <w:rPr>
          <w:rFonts w:hint="eastAsia"/>
          <w:highlight w:val="none"/>
        </w:rPr>
      </w:pPr>
      <w:bookmarkStart w:id="11" w:name="报名开始时间1"/>
      <w:r>
        <w:rPr>
          <w:rFonts w:hint="eastAsia"/>
          <w:highlight w:val="none"/>
        </w:rPr>
        <w:t>获取采购文件时间：202</w:t>
      </w:r>
      <w:r>
        <w:rPr>
          <w:highlight w:val="none"/>
        </w:rPr>
        <w:t>4</w:t>
      </w:r>
      <w:r>
        <w:rPr>
          <w:rFonts w:hint="eastAsia"/>
          <w:highlight w:val="none"/>
        </w:rPr>
        <w:t>年 月</w:t>
      </w:r>
      <w:bookmarkEnd w:id="11"/>
      <w:r>
        <w:rPr>
          <w:rFonts w:hint="eastAsia"/>
          <w:highlight w:val="none"/>
        </w:rPr>
        <w:t xml:space="preserve"> 日上午9:30之前获取。</w:t>
      </w:r>
    </w:p>
    <w:p w14:paraId="1DAAE65A">
      <w:pPr>
        <w:numPr>
          <w:ilvl w:val="0"/>
          <w:numId w:val="8"/>
        </w:numPr>
        <w:tabs>
          <w:tab w:val="left" w:pos="3828"/>
        </w:tabs>
        <w:adjustRightInd w:val="0"/>
        <w:spacing w:line="440" w:lineRule="exact"/>
        <w:ind w:firstLine="480" w:firstLineChars="200"/>
        <w:rPr>
          <w:rFonts w:hint="eastAsia"/>
          <w:highlight w:val="none"/>
        </w:rPr>
      </w:pPr>
      <w:r>
        <w:rPr>
          <w:rFonts w:hint="eastAsia"/>
          <w:highlight w:val="none"/>
        </w:rPr>
        <w:t>获取采购文件方式：供应商登录乐采云平台（www.lecaiyun.com）在线申请获取采购文件（进入“项目采购”应用，在获取采购文件菜单中选择项目，申请获取采购文件）。</w:t>
      </w:r>
    </w:p>
    <w:p w14:paraId="4053DB2B">
      <w:pPr>
        <w:numPr>
          <w:ilvl w:val="0"/>
          <w:numId w:val="8"/>
        </w:numPr>
        <w:adjustRightInd w:val="0"/>
        <w:spacing w:line="440" w:lineRule="exact"/>
        <w:ind w:firstLine="480" w:firstLineChars="200"/>
        <w:rPr>
          <w:rFonts w:hint="eastAsia"/>
          <w:highlight w:val="none"/>
        </w:rPr>
      </w:pPr>
      <w:r>
        <w:rPr>
          <w:rFonts w:hint="eastAsia"/>
          <w:highlight w:val="none"/>
        </w:rPr>
        <w:t>提示：</w:t>
      </w:r>
    </w:p>
    <w:p w14:paraId="6C0BDD9B">
      <w:pPr>
        <w:numPr>
          <w:ilvl w:val="0"/>
          <w:numId w:val="9"/>
        </w:numPr>
        <w:adjustRightInd w:val="0"/>
        <w:spacing w:line="440" w:lineRule="exact"/>
        <w:ind w:firstLine="480" w:firstLineChars="200"/>
        <w:rPr>
          <w:rFonts w:hint="eastAsia"/>
          <w:highlight w:val="none"/>
        </w:rPr>
      </w:pPr>
      <w:r>
        <w:rPr>
          <w:rFonts w:hint="eastAsia"/>
          <w:highlight w:val="none"/>
        </w:rPr>
        <w:t>将拒绝接受未获取采购文件供应商的投标文件。</w:t>
      </w:r>
    </w:p>
    <w:p w14:paraId="1E416D1C">
      <w:pPr>
        <w:numPr>
          <w:ilvl w:val="0"/>
          <w:numId w:val="9"/>
        </w:numPr>
        <w:adjustRightInd w:val="0"/>
        <w:spacing w:line="440" w:lineRule="exact"/>
        <w:ind w:firstLine="480" w:firstLineChars="200"/>
        <w:rPr>
          <w:rFonts w:hint="eastAsia"/>
          <w:highlight w:val="none"/>
        </w:rPr>
      </w:pPr>
      <w:r>
        <w:rPr>
          <w:rFonts w:hint="eastAsia"/>
          <w:highlight w:val="none"/>
        </w:rPr>
        <w:t>招标文件及更正补充公告请自行登录浙江政府采购网或绍兴市上虞区公共资源交易中心网站，在采购公告页面中下载。</w:t>
      </w:r>
    </w:p>
    <w:p w14:paraId="4F0390EE">
      <w:pPr>
        <w:adjustRightInd w:val="0"/>
        <w:spacing w:line="440" w:lineRule="exact"/>
        <w:ind w:firstLine="482" w:firstLineChars="200"/>
        <w:rPr>
          <w:rFonts w:hint="eastAsia"/>
          <w:b/>
          <w:bCs/>
          <w:highlight w:val="none"/>
        </w:rPr>
      </w:pPr>
      <w:r>
        <w:rPr>
          <w:rFonts w:hint="eastAsia"/>
          <w:b/>
          <w:bCs/>
          <w:highlight w:val="none"/>
        </w:rPr>
        <w:t>六、投标与开标注意事项：</w:t>
      </w:r>
    </w:p>
    <w:p w14:paraId="56DBD86C">
      <w:pPr>
        <w:numPr>
          <w:ilvl w:val="0"/>
          <w:numId w:val="10"/>
        </w:numPr>
        <w:adjustRightInd w:val="0"/>
        <w:spacing w:line="440" w:lineRule="exact"/>
        <w:ind w:firstLine="480" w:firstLineChars="200"/>
        <w:rPr>
          <w:rFonts w:hint="eastAsia"/>
          <w:highlight w:val="none"/>
        </w:rPr>
      </w:pPr>
      <w:r>
        <w:rPr>
          <w:rFonts w:hint="eastAsia"/>
          <w:highlight w:val="none"/>
        </w:rPr>
        <w:t>本项目实行</w:t>
      </w:r>
      <w:r>
        <w:rPr>
          <w:rFonts w:hint="eastAsia"/>
          <w:b/>
          <w:bCs/>
          <w:highlight w:val="none"/>
        </w:rPr>
        <w:t>网上投标</w:t>
      </w:r>
      <w:r>
        <w:rPr>
          <w:rFonts w:hint="eastAsia"/>
          <w:highlight w:val="none"/>
        </w:rPr>
        <w:t>，采用电子投标文件，若供应商参与投标，自行承担投标一切费用。</w:t>
      </w:r>
    </w:p>
    <w:p w14:paraId="4B0A7888">
      <w:pPr>
        <w:numPr>
          <w:ilvl w:val="0"/>
          <w:numId w:val="10"/>
        </w:numPr>
        <w:wordWrap w:val="0"/>
        <w:adjustRightInd w:val="0"/>
        <w:spacing w:line="440" w:lineRule="exact"/>
        <w:ind w:firstLine="480" w:firstLineChars="200"/>
        <w:rPr>
          <w:rFonts w:hint="eastAsia"/>
          <w:highlight w:val="none"/>
        </w:rPr>
      </w:pPr>
      <w:r>
        <w:rPr>
          <w:rFonts w:hint="eastAsia"/>
          <w:highlight w:val="none"/>
        </w:rPr>
        <w:t>标前准备：各供应商应在开标前应确保成为乐采云正式注册入库供应商，并完成CA数字证书办理。因未注册入库、未办理CA数字证书等原因造成无法投标或投标失败等后果由供应商自行承担。</w:t>
      </w:r>
    </w:p>
    <w:p w14:paraId="6BBED651">
      <w:pPr>
        <w:autoSpaceDE w:val="0"/>
        <w:autoSpaceDN w:val="0"/>
        <w:spacing w:line="440" w:lineRule="exact"/>
        <w:ind w:firstLine="480" w:firstLineChars="200"/>
        <w:textAlignment w:val="bottom"/>
        <w:rPr>
          <w:rFonts w:hint="eastAsia"/>
          <w:highlight w:val="none"/>
        </w:rPr>
      </w:pPr>
      <w:r>
        <w:rPr>
          <w:rFonts w:hint="eastAsia"/>
          <w:highlight w:val="none"/>
        </w:rPr>
        <w:t>供应商将乐采云电子交易客户端下载、安装完成后，可通过账号密码或CA登录客户端进行投标文件制作。在使用乐采云投标客户端时，建议使用WIN7及以上操作系统。</w:t>
      </w:r>
    </w:p>
    <w:p w14:paraId="1330C442">
      <w:pPr>
        <w:autoSpaceDE w:val="0"/>
        <w:autoSpaceDN w:val="0"/>
        <w:spacing w:line="440" w:lineRule="exact"/>
        <w:ind w:firstLine="480" w:firstLineChars="200"/>
        <w:textAlignment w:val="bottom"/>
        <w:rPr>
          <w:rFonts w:hint="eastAsia"/>
          <w:highlight w:val="none"/>
        </w:rPr>
      </w:pPr>
      <w:r>
        <w:rPr>
          <w:rFonts w:hint="eastAsia"/>
          <w:highlight w:val="none"/>
        </w:rPr>
        <w:t>注：供应商先要申领CA，取得CA后需要在乐采云平台进行绑定，CA相关操作可参考《CA管理学习专题》。完成CA数字证书办理在资料齐全的情况下预计7个工作日左右，建议供应商获取招标文件后立即办理。</w:t>
      </w:r>
    </w:p>
    <w:p w14:paraId="50E5E1EE">
      <w:pPr>
        <w:adjustRightInd w:val="0"/>
        <w:spacing w:line="440" w:lineRule="exact"/>
        <w:ind w:left="480" w:leftChars="200"/>
        <w:rPr>
          <w:rFonts w:hint="eastAsia"/>
          <w:highlight w:val="none"/>
        </w:rPr>
      </w:pPr>
      <w:r>
        <w:rPr>
          <w:rFonts w:hint="eastAsia"/>
          <w:highlight w:val="none"/>
        </w:rPr>
        <w:t>《CA管理学习专题》：</w:t>
      </w:r>
    </w:p>
    <w:p w14:paraId="1E194C04">
      <w:pPr>
        <w:adjustRightInd w:val="0"/>
        <w:spacing w:line="440" w:lineRule="exact"/>
        <w:ind w:left="480" w:leftChars="200"/>
        <w:rPr>
          <w:rFonts w:hint="eastAsia"/>
          <w:highlight w:val="none"/>
        </w:rPr>
      </w:pPr>
      <w:r>
        <w:rPr>
          <w:rFonts w:hint="eastAsia"/>
          <w:highlight w:val="none"/>
        </w:rPr>
        <w:t>https://edu.zcygov.cn/luban/ca?utm=web-government-front.380aac0a.0.0.fc2b6aa0b6e211ebbdb0dd007730dd44</w:t>
      </w:r>
    </w:p>
    <w:p w14:paraId="4B860627">
      <w:pPr>
        <w:adjustRightInd w:val="0"/>
        <w:spacing w:line="440" w:lineRule="exact"/>
        <w:ind w:left="480" w:leftChars="200"/>
        <w:rPr>
          <w:rFonts w:hint="eastAsia"/>
          <w:highlight w:val="none"/>
        </w:rPr>
      </w:pPr>
      <w:r>
        <w:rPr>
          <w:rFonts w:hint="eastAsia"/>
          <w:highlight w:val="none"/>
        </w:rPr>
        <w:t>《CA驱动和申领流程》:</w:t>
      </w:r>
    </w:p>
    <w:p w14:paraId="6FA6D1B1">
      <w:pPr>
        <w:adjustRightInd w:val="0"/>
        <w:spacing w:line="440" w:lineRule="exact"/>
        <w:ind w:left="480" w:leftChars="200"/>
        <w:rPr>
          <w:rFonts w:hint="eastAsia"/>
          <w:highlight w:val="none"/>
        </w:rPr>
      </w:pPr>
      <w:r>
        <w:rPr>
          <w:rFonts w:hint="eastAsia"/>
          <w:highlight w:val="none"/>
        </w:rPr>
        <w:t>http://zfcg.czt.zj.gov.cn/bidClientTemplate/2019-05-27/12945.html</w:t>
      </w:r>
    </w:p>
    <w:p w14:paraId="6DC77719">
      <w:pPr>
        <w:numPr>
          <w:ilvl w:val="0"/>
          <w:numId w:val="10"/>
        </w:numPr>
        <w:adjustRightInd w:val="0"/>
        <w:spacing w:line="440" w:lineRule="exact"/>
        <w:ind w:firstLine="480" w:firstLineChars="200"/>
        <w:rPr>
          <w:rFonts w:hint="eastAsia"/>
          <w:highlight w:val="none"/>
        </w:rPr>
      </w:pPr>
      <w:r>
        <w:rPr>
          <w:rFonts w:hint="eastAsia"/>
          <w:highlight w:val="none"/>
        </w:rPr>
        <w:t>投标文件制作：</w:t>
      </w:r>
    </w:p>
    <w:p w14:paraId="1830E768">
      <w:pPr>
        <w:numPr>
          <w:ilvl w:val="0"/>
          <w:numId w:val="11"/>
        </w:numPr>
        <w:adjustRightInd w:val="0"/>
        <w:spacing w:line="440" w:lineRule="exact"/>
        <w:ind w:firstLine="480" w:firstLineChars="200"/>
        <w:rPr>
          <w:rFonts w:hint="eastAsia"/>
          <w:highlight w:val="none"/>
        </w:rPr>
      </w:pPr>
      <w:r>
        <w:rPr>
          <w:rFonts w:hint="eastAsia"/>
          <w:highlight w:val="none"/>
        </w:rPr>
        <w:t>应按照本项目招标文件和乐采云平台的要求编制、加密并递交投标文件。供应商在使用系统进行投标的过程中遇到涉及平台使用的任何问题，可致电乐采云平台技术支持热线咨询，联系方式：95763。</w:t>
      </w:r>
    </w:p>
    <w:p w14:paraId="272A34DC">
      <w:pPr>
        <w:numPr>
          <w:ilvl w:val="0"/>
          <w:numId w:val="11"/>
        </w:numPr>
        <w:wordWrap w:val="0"/>
        <w:adjustRightInd w:val="0"/>
        <w:spacing w:line="440" w:lineRule="exact"/>
        <w:ind w:firstLine="480" w:firstLineChars="200"/>
        <w:rPr>
          <w:rFonts w:hint="eastAsia"/>
          <w:highlight w:val="none"/>
        </w:rPr>
      </w:pPr>
      <w:r>
        <w:rPr>
          <w:rFonts w:hint="eastAsia"/>
          <w:highlight w:val="none"/>
        </w:rPr>
        <w:t>投标人通过“乐采云”平台电子投标工具制作投标文件。</w:t>
      </w:r>
    </w:p>
    <w:p w14:paraId="193A989E">
      <w:pPr>
        <w:adjustRightInd w:val="0"/>
        <w:spacing w:line="440" w:lineRule="exact"/>
        <w:ind w:firstLine="480" w:firstLineChars="200"/>
        <w:rPr>
          <w:rFonts w:hint="eastAsia"/>
          <w:highlight w:val="none"/>
        </w:rPr>
      </w:pPr>
      <w:r>
        <w:rPr>
          <w:rFonts w:hint="eastAsia"/>
          <w:highlight w:val="none"/>
        </w:rPr>
        <w:t>《电子投标工具》：</w:t>
      </w:r>
    </w:p>
    <w:p w14:paraId="77FD9DD1">
      <w:pPr>
        <w:adjustRightInd w:val="0"/>
        <w:spacing w:line="440" w:lineRule="exact"/>
        <w:ind w:firstLine="480" w:firstLineChars="200"/>
        <w:rPr>
          <w:rFonts w:hint="eastAsia"/>
          <w:highlight w:val="none"/>
        </w:rPr>
      </w:pPr>
      <w:r>
        <w:rPr>
          <w:rFonts w:hint="eastAsia"/>
          <w:highlight w:val="none"/>
        </w:rPr>
        <w:t xml:space="preserve">https://b.zhengcaiyun.cn/luban/category?parentId=550045&amp;childrenCode=qicaiCategory17&amp;utm=luban.luban-PC-39026.959-pc-websitegroup-navBar-front.8.c8789bc0520b11efb86dbfa49a87be0d </w:t>
      </w:r>
    </w:p>
    <w:p w14:paraId="579C5283">
      <w:pPr>
        <w:adjustRightInd w:val="0"/>
        <w:spacing w:line="440" w:lineRule="exact"/>
        <w:ind w:firstLine="480" w:firstLineChars="200"/>
        <w:rPr>
          <w:rFonts w:hint="eastAsia"/>
          <w:highlight w:val="none"/>
        </w:rPr>
      </w:pPr>
      <w:r>
        <w:rPr>
          <w:rFonts w:hint="eastAsia"/>
          <w:highlight w:val="none"/>
        </w:rPr>
        <w:t>《供应商－政府采购项目电子交易操作指南》：（需登录账号后查看）</w:t>
      </w:r>
    </w:p>
    <w:p w14:paraId="23164189">
      <w:pPr>
        <w:adjustRightInd w:val="0"/>
        <w:spacing w:line="440" w:lineRule="exact"/>
        <w:ind w:firstLine="480" w:firstLineChars="200"/>
        <w:rPr>
          <w:rFonts w:hint="eastAsia"/>
          <w:highlight w:val="none"/>
        </w:rPr>
      </w:pPr>
      <w:r>
        <w:rPr>
          <w:rFonts w:hint="eastAsia"/>
          <w:highlight w:val="none"/>
        </w:rPr>
        <w:t>https://service.zcygov.cn/#/knowledges/tree?tag=AG1DtGwBFdiHxlNdhY0r</w:t>
      </w:r>
    </w:p>
    <w:p w14:paraId="27DCE55C">
      <w:pPr>
        <w:numPr>
          <w:ilvl w:val="0"/>
          <w:numId w:val="10"/>
        </w:numPr>
        <w:adjustRightInd w:val="0"/>
        <w:spacing w:line="440" w:lineRule="exact"/>
        <w:ind w:firstLine="480" w:firstLineChars="200"/>
        <w:rPr>
          <w:rFonts w:hint="eastAsia"/>
          <w:highlight w:val="none"/>
        </w:rPr>
      </w:pPr>
      <w:r>
        <w:rPr>
          <w:rFonts w:hint="eastAsia"/>
          <w:highlight w:val="none"/>
        </w:rPr>
        <w:t>供应商在法定质疑期内应一次性提出针对同一采购程序环节的质疑。否则质疑将不予受理。</w:t>
      </w:r>
    </w:p>
    <w:p w14:paraId="6057C3ED">
      <w:pPr>
        <w:numPr>
          <w:ilvl w:val="0"/>
          <w:numId w:val="10"/>
        </w:numPr>
        <w:adjustRightInd w:val="0"/>
        <w:spacing w:line="440" w:lineRule="exact"/>
        <w:ind w:firstLine="480" w:firstLineChars="200"/>
        <w:rPr>
          <w:rFonts w:hint="eastAsia"/>
          <w:highlight w:val="none"/>
        </w:rPr>
      </w:pPr>
      <w:r>
        <w:rPr>
          <w:rFonts w:hint="eastAsia"/>
          <w:highlight w:val="none"/>
        </w:rPr>
        <w:t>投标人可指派授权代表递交备份文件，授权代表递交备份文件需携带法定代表人授权书原件，于投标截止时间前到达开标地点递交。</w:t>
      </w:r>
    </w:p>
    <w:p w14:paraId="22043C35">
      <w:pPr>
        <w:numPr>
          <w:ilvl w:val="0"/>
          <w:numId w:val="10"/>
        </w:numPr>
        <w:adjustRightInd w:val="0"/>
        <w:spacing w:line="440" w:lineRule="exact"/>
        <w:ind w:firstLine="480" w:firstLineChars="200"/>
        <w:rPr>
          <w:rFonts w:hint="eastAsia"/>
          <w:highlight w:val="none"/>
        </w:rPr>
      </w:pPr>
      <w:r>
        <w:rPr>
          <w:rFonts w:hint="eastAsia"/>
          <w:highlight w:val="none"/>
        </w:rPr>
        <w:t>特别提醒</w:t>
      </w:r>
    </w:p>
    <w:p w14:paraId="17868051">
      <w:pPr>
        <w:numPr>
          <w:ilvl w:val="0"/>
          <w:numId w:val="12"/>
        </w:numPr>
        <w:wordWrap w:val="0"/>
        <w:adjustRightInd w:val="0"/>
        <w:spacing w:line="440" w:lineRule="exact"/>
        <w:ind w:firstLine="480" w:firstLineChars="200"/>
        <w:rPr>
          <w:rFonts w:hint="eastAsia"/>
          <w:highlight w:val="none"/>
        </w:rPr>
      </w:pPr>
      <w:r>
        <w:rPr>
          <w:rFonts w:hint="eastAsia"/>
          <w:highlight w:val="none"/>
        </w:rPr>
        <w:t>单位负责人为同一人或者存在直接控股、管理关系的不同供应商，不得参加同一合同项下的采购活动。</w:t>
      </w:r>
    </w:p>
    <w:p w14:paraId="1DF56CB5">
      <w:pPr>
        <w:numPr>
          <w:ilvl w:val="0"/>
          <w:numId w:val="12"/>
        </w:numPr>
        <w:wordWrap w:val="0"/>
        <w:adjustRightInd w:val="0"/>
        <w:spacing w:line="440" w:lineRule="exact"/>
        <w:ind w:firstLine="480" w:firstLineChars="200"/>
        <w:rPr>
          <w:rFonts w:hint="eastAsia"/>
          <w:highlight w:val="none"/>
        </w:rPr>
      </w:pPr>
      <w:r>
        <w:rPr>
          <w:rFonts w:hint="eastAsia"/>
          <w:highlight w:val="none"/>
        </w:rPr>
        <w:t>除单一来源采购项目外，为采购项目提供整体设计、规范编制或者项目管理、监理、检测等服务的供应商，不得再参加该采购项目的其他采购活动。</w:t>
      </w:r>
    </w:p>
    <w:p w14:paraId="6B5827F4">
      <w:pPr>
        <w:adjustRightInd w:val="0"/>
        <w:spacing w:line="440" w:lineRule="exact"/>
        <w:ind w:firstLine="482" w:firstLineChars="200"/>
        <w:rPr>
          <w:rFonts w:hint="eastAsia"/>
          <w:highlight w:val="none"/>
        </w:rPr>
      </w:pPr>
      <w:r>
        <w:rPr>
          <w:rFonts w:hint="eastAsia"/>
          <w:b/>
          <w:highlight w:val="none"/>
        </w:rPr>
        <w:t>七、投标截止时间及要求：</w:t>
      </w:r>
      <w:r>
        <w:rPr>
          <w:rFonts w:hint="eastAsia"/>
          <w:highlight w:val="none"/>
          <w:u w:val="single"/>
        </w:rPr>
        <w:t xml:space="preserve"> 202</w:t>
      </w:r>
      <w:r>
        <w:rPr>
          <w:highlight w:val="none"/>
          <w:u w:val="single"/>
        </w:rPr>
        <w:t>4</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日上午</w:t>
      </w:r>
      <w:r>
        <w:rPr>
          <w:rFonts w:hint="eastAsia"/>
          <w:highlight w:val="none"/>
          <w:u w:val="single"/>
        </w:rPr>
        <w:t xml:space="preserve"> 9 </w:t>
      </w:r>
      <w:r>
        <w:rPr>
          <w:rFonts w:hint="eastAsia"/>
          <w:highlight w:val="none"/>
        </w:rPr>
        <w:t>时</w:t>
      </w:r>
      <w:r>
        <w:rPr>
          <w:rFonts w:hint="eastAsia"/>
          <w:highlight w:val="none"/>
          <w:u w:val="single"/>
        </w:rPr>
        <w:t xml:space="preserve"> 30 </w:t>
      </w:r>
      <w:r>
        <w:rPr>
          <w:rFonts w:hint="eastAsia"/>
          <w:highlight w:val="none"/>
        </w:rPr>
        <w:t>分整</w:t>
      </w:r>
      <w:r>
        <w:rPr>
          <w:rFonts w:hint="eastAsia"/>
          <w:bCs/>
          <w:highlight w:val="none"/>
        </w:rPr>
        <w:t>之前将电子投标文件上传到“</w:t>
      </w:r>
      <w:r>
        <w:rPr>
          <w:rFonts w:hint="eastAsia"/>
          <w:highlight w:val="none"/>
        </w:rPr>
        <w:t>乐采云</w:t>
      </w:r>
      <w:r>
        <w:rPr>
          <w:rFonts w:hint="eastAsia"/>
          <w:bCs/>
          <w:highlight w:val="none"/>
        </w:rPr>
        <w:t>”平台。</w:t>
      </w:r>
    </w:p>
    <w:p w14:paraId="3001B16E">
      <w:pPr>
        <w:adjustRightInd w:val="0"/>
        <w:spacing w:line="440" w:lineRule="exact"/>
        <w:ind w:firstLine="482" w:firstLineChars="200"/>
        <w:rPr>
          <w:rFonts w:hint="eastAsia"/>
          <w:highlight w:val="none"/>
        </w:rPr>
      </w:pPr>
      <w:r>
        <w:rPr>
          <w:rFonts w:hint="eastAsia"/>
          <w:b/>
          <w:highlight w:val="none"/>
        </w:rPr>
        <w:t>八、开标时间及地点：</w:t>
      </w:r>
      <w:bookmarkStart w:id="12" w:name="B30_开标地点"/>
      <w:r>
        <w:rPr>
          <w:rFonts w:hint="eastAsia"/>
          <w:highlight w:val="none"/>
          <w:u w:val="single"/>
        </w:rPr>
        <w:t xml:space="preserve"> 202</w:t>
      </w:r>
      <w:r>
        <w:rPr>
          <w:highlight w:val="none"/>
          <w:u w:val="single"/>
        </w:rPr>
        <w:t>4</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日上午</w:t>
      </w:r>
      <w:r>
        <w:rPr>
          <w:rFonts w:hint="eastAsia"/>
          <w:highlight w:val="none"/>
          <w:u w:val="single"/>
        </w:rPr>
        <w:t xml:space="preserve"> 9 </w:t>
      </w:r>
      <w:r>
        <w:rPr>
          <w:rFonts w:hint="eastAsia"/>
          <w:highlight w:val="none"/>
        </w:rPr>
        <w:t>时</w:t>
      </w:r>
      <w:r>
        <w:rPr>
          <w:rFonts w:hint="eastAsia"/>
          <w:highlight w:val="none"/>
          <w:u w:val="single"/>
        </w:rPr>
        <w:t xml:space="preserve"> 30 </w:t>
      </w:r>
      <w:r>
        <w:rPr>
          <w:rFonts w:hint="eastAsia"/>
          <w:highlight w:val="none"/>
        </w:rPr>
        <w:t>分整在绍兴市上虞区公共资源交易中心三楼</w:t>
      </w:r>
      <w:r>
        <w:rPr>
          <w:rFonts w:hint="eastAsia"/>
          <w:highlight w:val="none"/>
          <w:u w:val="single"/>
        </w:rPr>
        <w:t xml:space="preserve">    </w:t>
      </w:r>
      <w:r>
        <w:rPr>
          <w:rFonts w:hint="eastAsia"/>
          <w:highlight w:val="none"/>
        </w:rPr>
        <w:t>开标室开标。</w:t>
      </w:r>
      <w:bookmarkEnd w:id="12"/>
    </w:p>
    <w:p w14:paraId="4C00911E">
      <w:pPr>
        <w:pStyle w:val="16"/>
        <w:spacing w:line="440" w:lineRule="exact"/>
        <w:ind w:firstLine="480" w:firstLineChars="200"/>
        <w:rPr>
          <w:rFonts w:hint="eastAsia" w:hAnsi="宋体" w:cs="宋体"/>
          <w:bCs/>
          <w:strike/>
          <w:szCs w:val="24"/>
          <w:highlight w:val="none"/>
        </w:rPr>
      </w:pPr>
      <w:r>
        <w:rPr>
          <w:rFonts w:hint="eastAsia" w:hAnsi="宋体" w:cs="宋体"/>
          <w:kern w:val="2"/>
          <w:szCs w:val="24"/>
          <w:highlight w:val="none"/>
        </w:rPr>
        <w:t>开标时间后30分钟内（当日10：00前）供应商可以登录“</w:t>
      </w:r>
      <w:r>
        <w:rPr>
          <w:rFonts w:hint="eastAsia" w:hAnsi="宋体" w:cs="宋体"/>
          <w:highlight w:val="none"/>
        </w:rPr>
        <w:t>乐采云</w:t>
      </w:r>
      <w:r>
        <w:rPr>
          <w:rFonts w:hint="eastAsia" w:hAnsi="宋体" w:cs="宋体"/>
          <w:kern w:val="2"/>
          <w:szCs w:val="24"/>
          <w:highlight w:val="none"/>
        </w:rPr>
        <w:t>”平台，用“项目采购－开标评标”功能进行解密投标文件。若供应商在规定时间内（当日10：00前）解密失败，则由采购代理机构工作人员上传投标人提供的备份文件。备份文件（后缀名为.bfbs）须存储在U盘中，与上传的电子投标文件一致，用信封进行密封并盖章，由授权代表在投标截止时间前递交至开标地点。</w:t>
      </w:r>
      <w:r>
        <w:rPr>
          <w:rFonts w:hint="eastAsia" w:hAnsi="宋体" w:cs="宋体"/>
          <w:szCs w:val="24"/>
          <w:highlight w:val="none"/>
        </w:rPr>
        <w:t>若电子投标文件正常解锁，则U盘退还给供应商；若解锁失败，则由采购代理机构将U盘中的备份文件上传，该U盘将由采购代理机构保存。</w:t>
      </w:r>
    </w:p>
    <w:p w14:paraId="4CCC02AA">
      <w:pPr>
        <w:adjustRightInd w:val="0"/>
        <w:spacing w:line="440" w:lineRule="exact"/>
        <w:ind w:firstLine="480" w:firstLineChars="200"/>
        <w:rPr>
          <w:rFonts w:hint="eastAsia"/>
          <w:highlight w:val="none"/>
        </w:rPr>
      </w:pPr>
      <w:r>
        <w:rPr>
          <w:rFonts w:hint="eastAsia"/>
          <w:highlight w:val="none"/>
        </w:rPr>
        <w:t>本次开标不提供现场视频（监督视频）。</w:t>
      </w:r>
    </w:p>
    <w:p w14:paraId="498F1AA2">
      <w:pPr>
        <w:adjustRightInd w:val="0"/>
        <w:spacing w:line="440" w:lineRule="exact"/>
        <w:ind w:firstLine="482" w:firstLineChars="200"/>
        <w:rPr>
          <w:rFonts w:hint="eastAsia"/>
          <w:b/>
          <w:bCs/>
          <w:highlight w:val="none"/>
        </w:rPr>
      </w:pPr>
      <w:r>
        <w:rPr>
          <w:rFonts w:hint="eastAsia"/>
          <w:b/>
          <w:bCs/>
          <w:highlight w:val="none"/>
        </w:rPr>
        <w:t>九．投标保证金：</w:t>
      </w:r>
      <w:r>
        <w:rPr>
          <w:rFonts w:hint="eastAsia"/>
          <w:highlight w:val="none"/>
        </w:rPr>
        <w:t>无</w:t>
      </w:r>
    </w:p>
    <w:p w14:paraId="11FDA1C1">
      <w:pPr>
        <w:adjustRightInd w:val="0"/>
        <w:spacing w:line="440" w:lineRule="exact"/>
        <w:ind w:firstLine="482" w:firstLineChars="200"/>
        <w:rPr>
          <w:rFonts w:hint="eastAsia"/>
          <w:highlight w:val="none"/>
        </w:rPr>
      </w:pPr>
      <w:r>
        <w:rPr>
          <w:rFonts w:hint="eastAsia"/>
          <w:b/>
          <w:bCs/>
          <w:highlight w:val="none"/>
        </w:rPr>
        <w:t>十．公告期限：</w:t>
      </w:r>
      <w:r>
        <w:rPr>
          <w:rFonts w:hint="eastAsia"/>
          <w:highlight w:val="none"/>
        </w:rPr>
        <w:t>5个工作日</w:t>
      </w:r>
    </w:p>
    <w:p w14:paraId="4A3327FA">
      <w:pPr>
        <w:adjustRightInd w:val="0"/>
        <w:spacing w:line="440" w:lineRule="exact"/>
        <w:ind w:firstLine="482" w:firstLineChars="200"/>
        <w:rPr>
          <w:rFonts w:hint="eastAsia"/>
          <w:b/>
          <w:bCs/>
          <w:highlight w:val="none"/>
        </w:rPr>
      </w:pPr>
      <w:r>
        <w:rPr>
          <w:rFonts w:hint="eastAsia"/>
          <w:b/>
          <w:bCs/>
          <w:highlight w:val="none"/>
        </w:rPr>
        <w:t>十一．联系方式：</w:t>
      </w:r>
    </w:p>
    <w:p w14:paraId="27918ADF">
      <w:pPr>
        <w:ind w:firstLine="480" w:firstLineChars="200"/>
        <w:rPr>
          <w:rFonts w:hint="eastAsia"/>
          <w:highlight w:val="none"/>
        </w:rPr>
      </w:pPr>
      <w:r>
        <w:rPr>
          <w:rFonts w:hint="eastAsia"/>
          <w:highlight w:val="none"/>
        </w:rPr>
        <w:t>1、采购代理机构名称：浙江江南工程管理股份有限公司</w:t>
      </w:r>
    </w:p>
    <w:p w14:paraId="158959D1">
      <w:pPr>
        <w:pStyle w:val="75"/>
        <w:spacing w:beforeAutospacing="0" w:afterAutospacing="0"/>
        <w:ind w:firstLine="480" w:firstLineChars="200"/>
        <w:rPr>
          <w:rStyle w:val="76"/>
          <w:rFonts w:hint="eastAsia" w:ascii="宋体" w:hAnsi="宋体" w:eastAsia="宋体"/>
          <w:color w:val="auto"/>
          <w:szCs w:val="21"/>
          <w:highlight w:val="none"/>
        </w:rPr>
      </w:pPr>
      <w:r>
        <w:rPr>
          <w:rFonts w:hint="eastAsia" w:ascii="宋体" w:hAnsi="宋体" w:eastAsia="宋体"/>
          <w:color w:val="auto"/>
          <w:highlight w:val="none"/>
        </w:rPr>
        <w:t>联系人：吴先生</w:t>
      </w:r>
      <w:r>
        <w:rPr>
          <w:rFonts w:ascii="宋体" w:hAnsi="宋体" w:eastAsia="宋体"/>
          <w:color w:val="auto"/>
          <w:highlight w:val="none"/>
        </w:rPr>
        <w:t xml:space="preserve"> </w:t>
      </w:r>
      <w:r>
        <w:rPr>
          <w:rFonts w:hint="eastAsia" w:ascii="宋体" w:hAnsi="宋体" w:eastAsia="宋体"/>
          <w:color w:val="auto"/>
          <w:highlight w:val="none"/>
        </w:rPr>
        <w:t xml:space="preserve">     联系电话：</w:t>
      </w:r>
      <w:r>
        <w:rPr>
          <w:rStyle w:val="76"/>
          <w:rFonts w:hint="eastAsia" w:ascii="宋体" w:hAnsi="宋体" w:eastAsia="宋体"/>
          <w:color w:val="auto"/>
          <w:szCs w:val="21"/>
          <w:highlight w:val="none"/>
        </w:rPr>
        <w:t>18042262266</w:t>
      </w:r>
    </w:p>
    <w:p w14:paraId="5147615E">
      <w:pPr>
        <w:ind w:firstLine="480" w:firstLineChars="200"/>
        <w:rPr>
          <w:rFonts w:hint="eastAsia"/>
          <w:highlight w:val="none"/>
        </w:rPr>
      </w:pPr>
      <w:r>
        <w:rPr>
          <w:rFonts w:hint="eastAsia"/>
          <w:highlight w:val="none"/>
        </w:rPr>
        <w:t>2、采购人名称：绍兴市上虞区高新技术产业发展有限公司</w:t>
      </w:r>
    </w:p>
    <w:p w14:paraId="3A6F4710">
      <w:pPr>
        <w:pStyle w:val="11"/>
        <w:ind w:firstLine="480" w:firstLineChars="200"/>
        <w:rPr>
          <w:rFonts w:hint="eastAsia" w:hAnsi="宋体"/>
          <w:highlight w:val="none"/>
        </w:rPr>
      </w:pPr>
      <w:r>
        <w:rPr>
          <w:rFonts w:hint="eastAsia" w:hAnsi="宋体"/>
          <w:highlight w:val="none"/>
        </w:rPr>
        <w:t>联系人：</w:t>
      </w:r>
      <w:r>
        <w:rPr>
          <w:rFonts w:hint="eastAsia" w:hAnsi="宋体"/>
          <w:highlight w:val="none"/>
          <w:lang w:val="en-US"/>
        </w:rPr>
        <w:t>朱</w:t>
      </w:r>
      <w:r>
        <w:rPr>
          <w:rFonts w:hint="eastAsia" w:hAnsi="宋体"/>
          <w:highlight w:val="none"/>
        </w:rPr>
        <w:t>先生       联系电话：</w:t>
      </w:r>
      <w:r>
        <w:rPr>
          <w:rFonts w:hint="eastAsia" w:hAnsi="宋体" w:cs="宋体"/>
          <w:sz w:val="21"/>
          <w:highlight w:val="none"/>
        </w:rPr>
        <w:t>18969551780</w:t>
      </w:r>
    </w:p>
    <w:p w14:paraId="5A060A93">
      <w:pPr>
        <w:numPr>
          <w:ilvl w:val="0"/>
          <w:numId w:val="13"/>
        </w:numPr>
        <w:ind w:firstLine="480" w:firstLineChars="200"/>
        <w:rPr>
          <w:rFonts w:hint="eastAsia"/>
          <w:highlight w:val="none"/>
        </w:rPr>
      </w:pPr>
      <w:r>
        <w:rPr>
          <w:rFonts w:hint="eastAsia"/>
          <w:highlight w:val="none"/>
        </w:rPr>
        <w:t>上级主管部门名称： 杭州湾上虞经济技术开发区管理委员会</w:t>
      </w:r>
    </w:p>
    <w:p w14:paraId="34D09A78">
      <w:pPr>
        <w:numPr>
          <w:ilvl w:val="0"/>
          <w:numId w:val="13"/>
        </w:numPr>
        <w:ind w:firstLine="480" w:firstLineChars="200"/>
        <w:rPr>
          <w:rFonts w:hint="eastAsia"/>
          <w:highlight w:val="none"/>
        </w:rPr>
      </w:pPr>
      <w:r>
        <w:rPr>
          <w:rFonts w:hint="eastAsia"/>
          <w:highlight w:val="none"/>
        </w:rPr>
        <w:t>联系人：       联系电话：</w:t>
      </w:r>
    </w:p>
    <w:p w14:paraId="4000C415">
      <w:pPr>
        <w:rPr>
          <w:rFonts w:hint="eastAsia"/>
          <w:highlight w:val="none"/>
        </w:rPr>
        <w:sectPr>
          <w:headerReference r:id="rId5" w:type="first"/>
          <w:footerReference r:id="rId6" w:type="first"/>
          <w:pgSz w:w="11906" w:h="16838"/>
          <w:pgMar w:top="1247" w:right="1128" w:bottom="1701" w:left="1418" w:header="851" w:footer="992" w:gutter="0"/>
          <w:pgNumType w:fmt="numberInDash" w:start="1"/>
          <w:cols w:space="720" w:num="1"/>
          <w:titlePg/>
          <w:docGrid w:linePitch="312" w:charSpace="0"/>
        </w:sectPr>
      </w:pPr>
    </w:p>
    <w:p w14:paraId="68F698A8">
      <w:pPr>
        <w:spacing w:line="360" w:lineRule="auto"/>
        <w:jc w:val="center"/>
        <w:outlineLvl w:val="0"/>
        <w:rPr>
          <w:rFonts w:hint="eastAsia"/>
          <w:b/>
          <w:sz w:val="36"/>
          <w:szCs w:val="20"/>
          <w:highlight w:val="none"/>
        </w:rPr>
      </w:pPr>
      <w:bookmarkStart w:id="13" w:name="_Toc92799812"/>
      <w:bookmarkStart w:id="14" w:name="_Toc151026238"/>
      <w:r>
        <w:rPr>
          <w:rFonts w:hint="eastAsia"/>
          <w:b/>
          <w:sz w:val="36"/>
          <w:szCs w:val="20"/>
          <w:highlight w:val="none"/>
        </w:rPr>
        <w:t>第二部分</w:t>
      </w:r>
      <w:bookmarkEnd w:id="6"/>
      <w:r>
        <w:rPr>
          <w:rFonts w:hint="eastAsia"/>
          <w:b/>
          <w:sz w:val="36"/>
          <w:szCs w:val="20"/>
          <w:highlight w:val="none"/>
        </w:rPr>
        <w:t xml:space="preserve">  投标须知</w:t>
      </w:r>
      <w:bookmarkEnd w:id="7"/>
      <w:bookmarkEnd w:id="13"/>
      <w:bookmarkEnd w:id="14"/>
    </w:p>
    <w:p w14:paraId="574B5AAB">
      <w:pPr>
        <w:adjustRightInd w:val="0"/>
        <w:snapToGrid w:val="0"/>
        <w:spacing w:line="360" w:lineRule="auto"/>
        <w:jc w:val="center"/>
        <w:outlineLvl w:val="1"/>
        <w:rPr>
          <w:rFonts w:hint="eastAsia"/>
          <w:b/>
          <w:snapToGrid w:val="0"/>
          <w:sz w:val="32"/>
          <w:szCs w:val="32"/>
          <w:highlight w:val="none"/>
        </w:rPr>
      </w:pPr>
      <w:bookmarkStart w:id="15" w:name="_Toc151026239"/>
      <w:r>
        <w:rPr>
          <w:rFonts w:hint="eastAsia"/>
          <w:b/>
          <w:snapToGrid w:val="0"/>
          <w:sz w:val="30"/>
          <w:szCs w:val="30"/>
          <w:highlight w:val="none"/>
        </w:rPr>
        <w:t>前附表</w:t>
      </w:r>
      <w:bookmarkEnd w:id="15"/>
    </w:p>
    <w:tbl>
      <w:tblPr>
        <w:tblStyle w:val="35"/>
        <w:tblW w:w="51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821"/>
        <w:gridCol w:w="7152"/>
      </w:tblGrid>
      <w:tr w14:paraId="7986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2" w:type="pct"/>
            <w:vAlign w:val="center"/>
          </w:tcPr>
          <w:p w14:paraId="00E232B5">
            <w:pPr>
              <w:snapToGrid w:val="0"/>
              <w:spacing w:line="276" w:lineRule="auto"/>
              <w:jc w:val="center"/>
              <w:rPr>
                <w:rFonts w:hint="eastAsia"/>
                <w:b/>
                <w:bCs/>
                <w:snapToGrid w:val="0"/>
                <w:highlight w:val="none"/>
              </w:rPr>
            </w:pPr>
            <w:r>
              <w:rPr>
                <w:rFonts w:hint="eastAsia"/>
                <w:b/>
                <w:bCs/>
                <w:snapToGrid w:val="0"/>
                <w:highlight w:val="none"/>
              </w:rPr>
              <w:t>序号</w:t>
            </w:r>
          </w:p>
        </w:tc>
        <w:tc>
          <w:tcPr>
            <w:tcW w:w="945" w:type="pct"/>
            <w:vAlign w:val="center"/>
          </w:tcPr>
          <w:p w14:paraId="00C00267">
            <w:pPr>
              <w:snapToGrid w:val="0"/>
              <w:spacing w:line="276" w:lineRule="auto"/>
              <w:jc w:val="center"/>
              <w:rPr>
                <w:rFonts w:hint="eastAsia"/>
                <w:b/>
                <w:bCs/>
                <w:snapToGrid w:val="0"/>
                <w:highlight w:val="none"/>
              </w:rPr>
            </w:pPr>
            <w:r>
              <w:rPr>
                <w:rFonts w:hint="eastAsia"/>
                <w:b/>
                <w:bCs/>
                <w:snapToGrid w:val="0"/>
                <w:highlight w:val="none"/>
              </w:rPr>
              <w:t>项目</w:t>
            </w:r>
          </w:p>
        </w:tc>
        <w:tc>
          <w:tcPr>
            <w:tcW w:w="3712" w:type="pct"/>
            <w:vAlign w:val="center"/>
          </w:tcPr>
          <w:p w14:paraId="6128E92E">
            <w:pPr>
              <w:snapToGrid w:val="0"/>
              <w:spacing w:line="276" w:lineRule="auto"/>
              <w:jc w:val="center"/>
              <w:rPr>
                <w:rFonts w:hint="eastAsia"/>
                <w:b/>
                <w:bCs/>
                <w:snapToGrid w:val="0"/>
                <w:highlight w:val="none"/>
              </w:rPr>
            </w:pPr>
            <w:r>
              <w:rPr>
                <w:rFonts w:hint="eastAsia"/>
                <w:b/>
                <w:bCs/>
                <w:snapToGrid w:val="0"/>
                <w:highlight w:val="none"/>
              </w:rPr>
              <w:t>内容</w:t>
            </w:r>
          </w:p>
        </w:tc>
      </w:tr>
      <w:tr w14:paraId="1FB1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38AF08ED">
            <w:pPr>
              <w:snapToGrid w:val="0"/>
              <w:spacing w:line="276" w:lineRule="auto"/>
              <w:jc w:val="center"/>
              <w:rPr>
                <w:rFonts w:hint="eastAsia"/>
                <w:snapToGrid w:val="0"/>
                <w:highlight w:val="none"/>
              </w:rPr>
            </w:pPr>
            <w:r>
              <w:rPr>
                <w:rFonts w:hint="eastAsia"/>
                <w:snapToGrid w:val="0"/>
                <w:highlight w:val="none"/>
              </w:rPr>
              <w:t>1</w:t>
            </w:r>
          </w:p>
        </w:tc>
        <w:tc>
          <w:tcPr>
            <w:tcW w:w="945" w:type="pct"/>
            <w:vAlign w:val="center"/>
          </w:tcPr>
          <w:p w14:paraId="2DF64B55">
            <w:pPr>
              <w:snapToGrid w:val="0"/>
              <w:spacing w:line="276" w:lineRule="auto"/>
              <w:jc w:val="center"/>
              <w:rPr>
                <w:rFonts w:hint="eastAsia"/>
                <w:snapToGrid w:val="0"/>
                <w:highlight w:val="none"/>
              </w:rPr>
            </w:pPr>
            <w:r>
              <w:rPr>
                <w:rFonts w:hint="eastAsia"/>
                <w:snapToGrid w:val="0"/>
                <w:highlight w:val="none"/>
              </w:rPr>
              <w:t>项目名称</w:t>
            </w:r>
          </w:p>
        </w:tc>
        <w:tc>
          <w:tcPr>
            <w:tcW w:w="3712" w:type="pct"/>
            <w:vAlign w:val="center"/>
          </w:tcPr>
          <w:p w14:paraId="5CB4D08C">
            <w:pPr>
              <w:snapToGrid w:val="0"/>
              <w:spacing w:line="276" w:lineRule="auto"/>
              <w:ind w:firstLine="480" w:firstLineChars="200"/>
              <w:jc w:val="both"/>
              <w:rPr>
                <w:rFonts w:hint="eastAsia"/>
                <w:snapToGrid w:val="0"/>
                <w:highlight w:val="none"/>
              </w:rPr>
            </w:pPr>
            <w:r>
              <w:rPr>
                <w:rFonts w:hint="eastAsia"/>
                <w:highlight w:val="none"/>
                <w:u w:val="single"/>
              </w:rPr>
              <w:t>杭州湾上虞高层次人才创业园智能化系统采购及安装项目</w:t>
            </w:r>
          </w:p>
        </w:tc>
      </w:tr>
      <w:tr w14:paraId="753B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74E6A7E2">
            <w:pPr>
              <w:snapToGrid w:val="0"/>
              <w:spacing w:line="276" w:lineRule="auto"/>
              <w:jc w:val="center"/>
              <w:rPr>
                <w:rFonts w:hint="eastAsia"/>
                <w:snapToGrid w:val="0"/>
                <w:highlight w:val="none"/>
              </w:rPr>
            </w:pPr>
            <w:r>
              <w:rPr>
                <w:rFonts w:hint="eastAsia"/>
                <w:snapToGrid w:val="0"/>
                <w:highlight w:val="none"/>
              </w:rPr>
              <w:t>2</w:t>
            </w:r>
          </w:p>
        </w:tc>
        <w:tc>
          <w:tcPr>
            <w:tcW w:w="945" w:type="pct"/>
            <w:vAlign w:val="center"/>
          </w:tcPr>
          <w:p w14:paraId="4FC38A34">
            <w:pPr>
              <w:snapToGrid w:val="0"/>
              <w:spacing w:line="276" w:lineRule="auto"/>
              <w:jc w:val="center"/>
              <w:rPr>
                <w:rFonts w:hint="eastAsia"/>
                <w:snapToGrid w:val="0"/>
                <w:highlight w:val="none"/>
              </w:rPr>
            </w:pPr>
            <w:r>
              <w:rPr>
                <w:rFonts w:hint="eastAsia"/>
                <w:snapToGrid w:val="0"/>
                <w:highlight w:val="none"/>
              </w:rPr>
              <w:t>项目实施时间</w:t>
            </w:r>
          </w:p>
        </w:tc>
        <w:tc>
          <w:tcPr>
            <w:tcW w:w="3712" w:type="pct"/>
            <w:vAlign w:val="center"/>
          </w:tcPr>
          <w:p w14:paraId="1B99C589">
            <w:pPr>
              <w:spacing w:line="360" w:lineRule="auto"/>
              <w:ind w:firstLine="480" w:firstLineChars="200"/>
              <w:rPr>
                <w:rFonts w:hint="eastAsia"/>
                <w:snapToGrid w:val="0"/>
                <w:highlight w:val="none"/>
              </w:rPr>
            </w:pPr>
            <w:r>
              <w:rPr>
                <w:rFonts w:hint="eastAsia"/>
                <w:highlight w:val="none"/>
              </w:rPr>
              <w:t>合同签订之日起200日历天内完成供货、安装调试完成。</w:t>
            </w:r>
          </w:p>
        </w:tc>
      </w:tr>
      <w:tr w14:paraId="4EA6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11680673">
            <w:pPr>
              <w:snapToGrid w:val="0"/>
              <w:spacing w:line="276" w:lineRule="auto"/>
              <w:jc w:val="center"/>
              <w:rPr>
                <w:rFonts w:hint="eastAsia"/>
                <w:snapToGrid w:val="0"/>
                <w:highlight w:val="none"/>
              </w:rPr>
            </w:pPr>
            <w:r>
              <w:rPr>
                <w:rFonts w:hint="eastAsia"/>
                <w:snapToGrid w:val="0"/>
                <w:highlight w:val="none"/>
              </w:rPr>
              <w:t>3</w:t>
            </w:r>
          </w:p>
        </w:tc>
        <w:tc>
          <w:tcPr>
            <w:tcW w:w="945" w:type="pct"/>
            <w:vAlign w:val="center"/>
          </w:tcPr>
          <w:p w14:paraId="5ECC3215">
            <w:pPr>
              <w:snapToGrid w:val="0"/>
              <w:spacing w:line="276" w:lineRule="auto"/>
              <w:jc w:val="center"/>
              <w:rPr>
                <w:rFonts w:hint="eastAsia"/>
                <w:b/>
                <w:snapToGrid w:val="0"/>
                <w:highlight w:val="none"/>
              </w:rPr>
            </w:pPr>
            <w:r>
              <w:rPr>
                <w:rFonts w:hint="eastAsia"/>
                <w:b/>
                <w:snapToGrid w:val="0"/>
                <w:highlight w:val="none"/>
              </w:rPr>
              <w:t>最高限价</w:t>
            </w:r>
          </w:p>
        </w:tc>
        <w:tc>
          <w:tcPr>
            <w:tcW w:w="3712" w:type="pct"/>
            <w:vAlign w:val="center"/>
          </w:tcPr>
          <w:p w14:paraId="5AAA3455">
            <w:pPr>
              <w:snapToGrid w:val="0"/>
              <w:spacing w:line="276" w:lineRule="auto"/>
              <w:ind w:firstLine="480" w:firstLineChars="200"/>
              <w:rPr>
                <w:rFonts w:hint="eastAsia"/>
                <w:snapToGrid w:val="0"/>
                <w:highlight w:val="none"/>
              </w:rPr>
            </w:pPr>
            <w:r>
              <w:rPr>
                <w:rFonts w:hint="eastAsia"/>
                <w:snapToGrid w:val="0"/>
                <w:highlight w:val="none"/>
              </w:rPr>
              <w:t>本项目最高限价人民</w:t>
            </w:r>
            <w:r>
              <w:rPr>
                <w:rFonts w:hint="eastAsia" w:ascii="宋体" w:hAnsi="宋体" w:eastAsia="宋体" w:cs="宋体"/>
                <w:snapToGrid w:val="0"/>
                <w:highlight w:val="none"/>
              </w:rPr>
              <w:t>币</w:t>
            </w:r>
            <w:r>
              <w:rPr>
                <w:rFonts w:hint="eastAsia" w:ascii="宋体" w:hAnsi="宋体" w:eastAsia="宋体" w:cs="宋体"/>
                <w:snapToGrid w:val="0"/>
                <w:highlight w:val="none"/>
                <w:u w:val="single"/>
                <w:lang w:val="en-US" w:eastAsia="zh-CN"/>
              </w:rPr>
              <w:t>4161.994</w:t>
            </w:r>
            <w:r>
              <w:rPr>
                <w:rFonts w:hint="eastAsia" w:ascii="宋体" w:hAnsi="宋体" w:eastAsia="宋体" w:cs="宋体"/>
                <w:snapToGrid w:val="0"/>
                <w:highlight w:val="none"/>
              </w:rPr>
              <w:t>万元。</w:t>
            </w:r>
          </w:p>
        </w:tc>
      </w:tr>
      <w:tr w14:paraId="6CD4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6476AE3D">
            <w:pPr>
              <w:snapToGrid w:val="0"/>
              <w:spacing w:line="276" w:lineRule="auto"/>
              <w:jc w:val="center"/>
              <w:rPr>
                <w:rFonts w:hint="eastAsia"/>
                <w:snapToGrid w:val="0"/>
                <w:highlight w:val="none"/>
              </w:rPr>
            </w:pPr>
            <w:r>
              <w:rPr>
                <w:rFonts w:hint="eastAsia"/>
                <w:snapToGrid w:val="0"/>
                <w:highlight w:val="none"/>
              </w:rPr>
              <w:t>4</w:t>
            </w:r>
          </w:p>
        </w:tc>
        <w:tc>
          <w:tcPr>
            <w:tcW w:w="945" w:type="pct"/>
            <w:vAlign w:val="center"/>
          </w:tcPr>
          <w:p w14:paraId="38073859">
            <w:pPr>
              <w:snapToGrid w:val="0"/>
              <w:spacing w:line="276" w:lineRule="auto"/>
              <w:jc w:val="center"/>
              <w:rPr>
                <w:rFonts w:hint="eastAsia"/>
                <w:snapToGrid w:val="0"/>
                <w:highlight w:val="none"/>
              </w:rPr>
            </w:pPr>
            <w:r>
              <w:rPr>
                <w:rFonts w:hint="eastAsia"/>
                <w:snapToGrid w:val="0"/>
                <w:highlight w:val="none"/>
              </w:rPr>
              <w:t>资格审查方式</w:t>
            </w:r>
          </w:p>
        </w:tc>
        <w:tc>
          <w:tcPr>
            <w:tcW w:w="3712" w:type="pct"/>
            <w:vAlign w:val="center"/>
          </w:tcPr>
          <w:p w14:paraId="08096E2D">
            <w:pPr>
              <w:snapToGrid w:val="0"/>
              <w:spacing w:line="276" w:lineRule="auto"/>
              <w:ind w:firstLine="480" w:firstLineChars="200"/>
              <w:rPr>
                <w:rFonts w:hint="eastAsia"/>
                <w:snapToGrid w:val="0"/>
                <w:highlight w:val="none"/>
              </w:rPr>
            </w:pPr>
            <w:r>
              <w:rPr>
                <w:rFonts w:hint="eastAsia"/>
                <w:snapToGrid w:val="0"/>
                <w:highlight w:val="none"/>
              </w:rPr>
              <w:t>资格审查是指开标后，采购人或采购代理机构将依据法律法规和招标文件的规定对投标人的资格进行审查。</w:t>
            </w:r>
          </w:p>
        </w:tc>
      </w:tr>
      <w:tr w14:paraId="4207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2A3B6B5D">
            <w:pPr>
              <w:snapToGrid w:val="0"/>
              <w:spacing w:line="276" w:lineRule="auto"/>
              <w:jc w:val="center"/>
              <w:rPr>
                <w:rFonts w:hint="eastAsia"/>
                <w:snapToGrid w:val="0"/>
                <w:highlight w:val="none"/>
              </w:rPr>
            </w:pPr>
            <w:r>
              <w:rPr>
                <w:rFonts w:hint="eastAsia"/>
                <w:snapToGrid w:val="0"/>
                <w:highlight w:val="none"/>
              </w:rPr>
              <w:t>5</w:t>
            </w:r>
          </w:p>
        </w:tc>
        <w:tc>
          <w:tcPr>
            <w:tcW w:w="945" w:type="pct"/>
            <w:vAlign w:val="center"/>
          </w:tcPr>
          <w:p w14:paraId="44928E40">
            <w:pPr>
              <w:snapToGrid w:val="0"/>
              <w:spacing w:line="276" w:lineRule="auto"/>
              <w:jc w:val="center"/>
              <w:rPr>
                <w:rFonts w:hint="eastAsia"/>
                <w:snapToGrid w:val="0"/>
                <w:highlight w:val="none"/>
              </w:rPr>
            </w:pPr>
            <w:r>
              <w:rPr>
                <w:rFonts w:hint="eastAsia"/>
                <w:snapToGrid w:val="0"/>
                <w:highlight w:val="none"/>
              </w:rPr>
              <w:t>踏勘现场</w:t>
            </w:r>
          </w:p>
        </w:tc>
        <w:tc>
          <w:tcPr>
            <w:tcW w:w="3712" w:type="pct"/>
            <w:vAlign w:val="center"/>
          </w:tcPr>
          <w:p w14:paraId="45680152">
            <w:pPr>
              <w:snapToGrid w:val="0"/>
              <w:spacing w:line="276" w:lineRule="auto"/>
              <w:ind w:firstLine="480" w:firstLineChars="200"/>
              <w:rPr>
                <w:rFonts w:hint="eastAsia"/>
                <w:snapToGrid w:val="0"/>
                <w:highlight w:val="none"/>
              </w:rPr>
            </w:pPr>
            <w:r>
              <w:rPr>
                <w:rFonts w:hint="eastAsia"/>
                <w:snapToGrid w:val="0"/>
                <w:highlight w:val="none"/>
              </w:rPr>
              <w:t>本项目不组织现场踏勘。</w:t>
            </w:r>
          </w:p>
        </w:tc>
      </w:tr>
      <w:tr w14:paraId="65BF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33B93F5A">
            <w:pPr>
              <w:snapToGrid w:val="0"/>
              <w:spacing w:line="276" w:lineRule="auto"/>
              <w:jc w:val="center"/>
              <w:rPr>
                <w:rFonts w:hint="eastAsia"/>
                <w:snapToGrid w:val="0"/>
                <w:highlight w:val="none"/>
              </w:rPr>
            </w:pPr>
            <w:r>
              <w:rPr>
                <w:rFonts w:hint="eastAsia"/>
                <w:snapToGrid w:val="0"/>
                <w:highlight w:val="none"/>
              </w:rPr>
              <w:t>6</w:t>
            </w:r>
          </w:p>
        </w:tc>
        <w:tc>
          <w:tcPr>
            <w:tcW w:w="945" w:type="pct"/>
            <w:vAlign w:val="center"/>
          </w:tcPr>
          <w:p w14:paraId="64C0376F">
            <w:pPr>
              <w:snapToGrid w:val="0"/>
              <w:spacing w:line="276" w:lineRule="auto"/>
              <w:jc w:val="center"/>
              <w:rPr>
                <w:rFonts w:hint="eastAsia"/>
                <w:snapToGrid w:val="0"/>
                <w:highlight w:val="none"/>
              </w:rPr>
            </w:pPr>
            <w:r>
              <w:rPr>
                <w:rFonts w:hint="eastAsia"/>
                <w:snapToGrid w:val="0"/>
                <w:highlight w:val="none"/>
              </w:rPr>
              <w:t>询问</w:t>
            </w:r>
          </w:p>
        </w:tc>
        <w:tc>
          <w:tcPr>
            <w:tcW w:w="3712" w:type="pct"/>
            <w:vAlign w:val="center"/>
          </w:tcPr>
          <w:p w14:paraId="3D1B9210">
            <w:pPr>
              <w:snapToGrid w:val="0"/>
              <w:spacing w:line="276" w:lineRule="auto"/>
              <w:ind w:firstLine="480" w:firstLineChars="200"/>
              <w:rPr>
                <w:rFonts w:hint="eastAsia"/>
                <w:snapToGrid w:val="0"/>
                <w:highlight w:val="none"/>
              </w:rPr>
            </w:pPr>
            <w:r>
              <w:rPr>
                <w:rFonts w:hint="eastAsia"/>
                <w:snapToGrid w:val="0"/>
                <w:highlight w:val="none"/>
              </w:rPr>
              <w:t>供应商对采购活动事项有疑问的，可以向采购机构提出询问，采购人或者招标代理机构应当在3个工作日内对供应商依法提出的询问作出答复，但答复的内容不得涉及商业秘密。</w:t>
            </w:r>
          </w:p>
        </w:tc>
      </w:tr>
      <w:tr w14:paraId="4B42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76739D98">
            <w:pPr>
              <w:snapToGrid w:val="0"/>
              <w:spacing w:line="276" w:lineRule="auto"/>
              <w:jc w:val="center"/>
              <w:rPr>
                <w:rFonts w:hint="eastAsia"/>
                <w:snapToGrid w:val="0"/>
                <w:highlight w:val="none"/>
              </w:rPr>
            </w:pPr>
            <w:r>
              <w:rPr>
                <w:rFonts w:hint="eastAsia"/>
                <w:snapToGrid w:val="0"/>
                <w:highlight w:val="none"/>
              </w:rPr>
              <w:t>7</w:t>
            </w:r>
          </w:p>
        </w:tc>
        <w:tc>
          <w:tcPr>
            <w:tcW w:w="945" w:type="pct"/>
            <w:vAlign w:val="center"/>
          </w:tcPr>
          <w:p w14:paraId="4C71D837">
            <w:pPr>
              <w:snapToGrid w:val="0"/>
              <w:spacing w:line="276" w:lineRule="auto"/>
              <w:jc w:val="center"/>
              <w:rPr>
                <w:rFonts w:hint="eastAsia"/>
                <w:snapToGrid w:val="0"/>
                <w:highlight w:val="none"/>
              </w:rPr>
            </w:pPr>
            <w:r>
              <w:rPr>
                <w:rFonts w:hint="eastAsia"/>
                <w:snapToGrid w:val="0"/>
                <w:highlight w:val="none"/>
              </w:rPr>
              <w:t>招标文件的澄清与修改</w:t>
            </w:r>
          </w:p>
        </w:tc>
        <w:tc>
          <w:tcPr>
            <w:tcW w:w="3712" w:type="pct"/>
            <w:vAlign w:val="center"/>
          </w:tcPr>
          <w:p w14:paraId="46808388">
            <w:pPr>
              <w:snapToGrid w:val="0"/>
              <w:spacing w:line="276" w:lineRule="auto"/>
              <w:ind w:firstLine="480" w:firstLineChars="200"/>
              <w:rPr>
                <w:rFonts w:hint="eastAsia"/>
                <w:snapToGrid w:val="0"/>
                <w:highlight w:val="none"/>
              </w:rPr>
            </w:pPr>
            <w:r>
              <w:rPr>
                <w:rFonts w:hint="eastAsia"/>
                <w:snapToGrid w:val="0"/>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14:paraId="3D38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5D85ACB0">
            <w:pPr>
              <w:snapToGrid w:val="0"/>
              <w:spacing w:line="276" w:lineRule="auto"/>
              <w:jc w:val="center"/>
              <w:rPr>
                <w:rFonts w:hint="eastAsia"/>
                <w:snapToGrid w:val="0"/>
                <w:highlight w:val="none"/>
              </w:rPr>
            </w:pPr>
            <w:r>
              <w:rPr>
                <w:rFonts w:hint="eastAsia"/>
                <w:snapToGrid w:val="0"/>
                <w:highlight w:val="none"/>
              </w:rPr>
              <w:t>8</w:t>
            </w:r>
          </w:p>
        </w:tc>
        <w:tc>
          <w:tcPr>
            <w:tcW w:w="945" w:type="pct"/>
            <w:vAlign w:val="center"/>
          </w:tcPr>
          <w:p w14:paraId="6C3EB972">
            <w:pPr>
              <w:snapToGrid w:val="0"/>
              <w:spacing w:line="276" w:lineRule="auto"/>
              <w:jc w:val="center"/>
              <w:rPr>
                <w:rFonts w:hint="eastAsia"/>
                <w:snapToGrid w:val="0"/>
                <w:highlight w:val="none"/>
              </w:rPr>
            </w:pPr>
            <w:r>
              <w:rPr>
                <w:rFonts w:hint="eastAsia"/>
                <w:snapToGrid w:val="0"/>
                <w:highlight w:val="none"/>
              </w:rPr>
              <w:t>投标文件组成</w:t>
            </w:r>
          </w:p>
        </w:tc>
        <w:tc>
          <w:tcPr>
            <w:tcW w:w="3712" w:type="pct"/>
            <w:vAlign w:val="center"/>
          </w:tcPr>
          <w:p w14:paraId="3D5D3EA1">
            <w:pPr>
              <w:snapToGrid w:val="0"/>
              <w:spacing w:line="276" w:lineRule="auto"/>
              <w:ind w:firstLine="480" w:firstLineChars="200"/>
              <w:rPr>
                <w:rFonts w:hint="eastAsia"/>
                <w:snapToGrid w:val="0"/>
                <w:highlight w:val="none"/>
              </w:rPr>
            </w:pPr>
            <w:r>
              <w:rPr>
                <w:rFonts w:hint="eastAsia"/>
                <w:snapToGrid w:val="0"/>
                <w:highlight w:val="none"/>
              </w:rPr>
              <w:t>投标人向采购人递交的投标文件由资格文件、商务文件、技术文件、报价文件四部分组成。</w:t>
            </w:r>
          </w:p>
        </w:tc>
      </w:tr>
      <w:tr w14:paraId="4BA1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3A0D7A4B">
            <w:pPr>
              <w:snapToGrid w:val="0"/>
              <w:spacing w:line="276" w:lineRule="auto"/>
              <w:jc w:val="center"/>
              <w:rPr>
                <w:rFonts w:hint="eastAsia"/>
                <w:snapToGrid w:val="0"/>
                <w:highlight w:val="none"/>
              </w:rPr>
            </w:pPr>
            <w:r>
              <w:rPr>
                <w:rFonts w:hint="eastAsia"/>
                <w:snapToGrid w:val="0"/>
                <w:highlight w:val="none"/>
              </w:rPr>
              <w:t>9</w:t>
            </w:r>
          </w:p>
        </w:tc>
        <w:tc>
          <w:tcPr>
            <w:tcW w:w="945" w:type="pct"/>
            <w:vAlign w:val="center"/>
          </w:tcPr>
          <w:p w14:paraId="32196A23">
            <w:pPr>
              <w:snapToGrid w:val="0"/>
              <w:spacing w:line="276" w:lineRule="auto"/>
              <w:jc w:val="center"/>
              <w:rPr>
                <w:rFonts w:hint="eastAsia"/>
                <w:snapToGrid w:val="0"/>
                <w:highlight w:val="none"/>
              </w:rPr>
            </w:pPr>
            <w:r>
              <w:rPr>
                <w:rFonts w:hint="eastAsia"/>
                <w:snapToGrid w:val="0"/>
                <w:highlight w:val="none"/>
              </w:rPr>
              <w:t>评标办法</w:t>
            </w:r>
          </w:p>
        </w:tc>
        <w:tc>
          <w:tcPr>
            <w:tcW w:w="3712" w:type="pct"/>
            <w:vAlign w:val="center"/>
          </w:tcPr>
          <w:p w14:paraId="140980DB">
            <w:pPr>
              <w:snapToGrid w:val="0"/>
              <w:spacing w:line="276" w:lineRule="auto"/>
              <w:ind w:firstLine="480" w:firstLineChars="200"/>
              <w:rPr>
                <w:rFonts w:hint="eastAsia"/>
                <w:snapToGrid w:val="0"/>
                <w:highlight w:val="none"/>
              </w:rPr>
            </w:pPr>
            <w:r>
              <w:rPr>
                <w:rFonts w:hint="eastAsia"/>
                <w:snapToGrid w:val="0"/>
                <w:highlight w:val="none"/>
              </w:rPr>
              <w:t>综合评分法。</w:t>
            </w:r>
          </w:p>
        </w:tc>
      </w:tr>
      <w:tr w14:paraId="1143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7E13DBDD">
            <w:pPr>
              <w:snapToGrid w:val="0"/>
              <w:spacing w:line="276" w:lineRule="auto"/>
              <w:jc w:val="center"/>
              <w:rPr>
                <w:rFonts w:hint="eastAsia"/>
                <w:snapToGrid w:val="0"/>
                <w:highlight w:val="none"/>
              </w:rPr>
            </w:pPr>
            <w:r>
              <w:rPr>
                <w:rFonts w:hint="eastAsia"/>
                <w:snapToGrid w:val="0"/>
                <w:highlight w:val="none"/>
              </w:rPr>
              <w:t>10</w:t>
            </w:r>
          </w:p>
        </w:tc>
        <w:tc>
          <w:tcPr>
            <w:tcW w:w="945" w:type="pct"/>
            <w:vAlign w:val="center"/>
          </w:tcPr>
          <w:p w14:paraId="5AE6BAD3">
            <w:pPr>
              <w:snapToGrid w:val="0"/>
              <w:spacing w:line="276" w:lineRule="auto"/>
              <w:jc w:val="center"/>
              <w:rPr>
                <w:rFonts w:hint="eastAsia"/>
                <w:snapToGrid w:val="0"/>
                <w:highlight w:val="none"/>
              </w:rPr>
            </w:pPr>
            <w:r>
              <w:rPr>
                <w:rFonts w:hint="eastAsia"/>
                <w:snapToGrid w:val="0"/>
                <w:highlight w:val="none"/>
              </w:rPr>
              <w:t>投标文件递交地址及截止时间</w:t>
            </w:r>
          </w:p>
        </w:tc>
        <w:tc>
          <w:tcPr>
            <w:tcW w:w="3712" w:type="pct"/>
            <w:vAlign w:val="center"/>
          </w:tcPr>
          <w:p w14:paraId="609A0F23">
            <w:pPr>
              <w:snapToGrid w:val="0"/>
              <w:spacing w:line="276" w:lineRule="auto"/>
              <w:ind w:firstLine="480" w:firstLineChars="200"/>
              <w:rPr>
                <w:rFonts w:hint="eastAsia"/>
                <w:highlight w:val="none"/>
              </w:rPr>
            </w:pPr>
            <w:r>
              <w:rPr>
                <w:rFonts w:hint="eastAsia"/>
                <w:snapToGrid w:val="0"/>
                <w:highlight w:val="none"/>
              </w:rPr>
              <w:t>详见招标公告。</w:t>
            </w:r>
          </w:p>
        </w:tc>
      </w:tr>
      <w:tr w14:paraId="6DE3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67957506">
            <w:pPr>
              <w:snapToGrid w:val="0"/>
              <w:spacing w:line="276" w:lineRule="auto"/>
              <w:jc w:val="center"/>
              <w:rPr>
                <w:rFonts w:hint="eastAsia"/>
                <w:snapToGrid w:val="0"/>
                <w:highlight w:val="none"/>
              </w:rPr>
            </w:pPr>
            <w:r>
              <w:rPr>
                <w:rFonts w:hint="eastAsia"/>
                <w:snapToGrid w:val="0"/>
                <w:highlight w:val="none"/>
              </w:rPr>
              <w:t>11</w:t>
            </w:r>
          </w:p>
        </w:tc>
        <w:tc>
          <w:tcPr>
            <w:tcW w:w="945" w:type="pct"/>
            <w:vAlign w:val="center"/>
          </w:tcPr>
          <w:p w14:paraId="6BB74CA1">
            <w:pPr>
              <w:snapToGrid w:val="0"/>
              <w:spacing w:line="276" w:lineRule="auto"/>
              <w:jc w:val="center"/>
              <w:rPr>
                <w:rFonts w:hint="eastAsia"/>
                <w:snapToGrid w:val="0"/>
                <w:highlight w:val="none"/>
              </w:rPr>
            </w:pPr>
            <w:r>
              <w:rPr>
                <w:rFonts w:hint="eastAsia"/>
                <w:snapToGrid w:val="0"/>
                <w:highlight w:val="none"/>
              </w:rPr>
              <w:t>开标时间、地点</w:t>
            </w:r>
          </w:p>
        </w:tc>
        <w:tc>
          <w:tcPr>
            <w:tcW w:w="3712" w:type="pct"/>
            <w:vAlign w:val="center"/>
          </w:tcPr>
          <w:p w14:paraId="7203BA71">
            <w:pPr>
              <w:snapToGrid w:val="0"/>
              <w:spacing w:line="276" w:lineRule="auto"/>
              <w:ind w:firstLine="480" w:firstLineChars="200"/>
              <w:rPr>
                <w:rFonts w:hint="eastAsia"/>
                <w:snapToGrid w:val="0"/>
                <w:highlight w:val="none"/>
              </w:rPr>
            </w:pPr>
            <w:r>
              <w:rPr>
                <w:rFonts w:hint="eastAsia"/>
                <w:snapToGrid w:val="0"/>
                <w:highlight w:val="none"/>
              </w:rPr>
              <w:t>开标时间：</w:t>
            </w:r>
            <w:r>
              <w:rPr>
                <w:rFonts w:hint="eastAsia"/>
                <w:highlight w:val="none"/>
              </w:rPr>
              <w:t>详见招标公告。</w:t>
            </w:r>
          </w:p>
          <w:p w14:paraId="141467EE">
            <w:pPr>
              <w:snapToGrid w:val="0"/>
              <w:spacing w:line="276" w:lineRule="auto"/>
              <w:ind w:firstLine="480" w:firstLineChars="200"/>
              <w:rPr>
                <w:rFonts w:hint="eastAsia"/>
                <w:highlight w:val="none"/>
              </w:rPr>
            </w:pPr>
            <w:r>
              <w:rPr>
                <w:rFonts w:hint="eastAsia"/>
                <w:snapToGrid w:val="0"/>
                <w:highlight w:val="none"/>
              </w:rPr>
              <w:t>开标地点：</w:t>
            </w:r>
            <w:r>
              <w:rPr>
                <w:rFonts w:hint="eastAsia"/>
                <w:highlight w:val="none"/>
              </w:rPr>
              <w:t>详见招标公告。</w:t>
            </w:r>
          </w:p>
        </w:tc>
      </w:tr>
      <w:tr w14:paraId="4E0D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58E516BC">
            <w:pPr>
              <w:snapToGrid w:val="0"/>
              <w:spacing w:line="276" w:lineRule="auto"/>
              <w:jc w:val="center"/>
              <w:rPr>
                <w:rFonts w:hint="eastAsia"/>
                <w:snapToGrid w:val="0"/>
                <w:highlight w:val="none"/>
              </w:rPr>
            </w:pPr>
            <w:r>
              <w:rPr>
                <w:rFonts w:hint="eastAsia"/>
                <w:snapToGrid w:val="0"/>
                <w:highlight w:val="none"/>
              </w:rPr>
              <w:t>12</w:t>
            </w:r>
          </w:p>
        </w:tc>
        <w:tc>
          <w:tcPr>
            <w:tcW w:w="945" w:type="pct"/>
            <w:vAlign w:val="center"/>
          </w:tcPr>
          <w:p w14:paraId="67A60F39">
            <w:pPr>
              <w:snapToGrid w:val="0"/>
              <w:spacing w:line="276" w:lineRule="auto"/>
              <w:jc w:val="center"/>
              <w:rPr>
                <w:rFonts w:hint="eastAsia"/>
                <w:snapToGrid w:val="0"/>
                <w:highlight w:val="none"/>
              </w:rPr>
            </w:pPr>
            <w:r>
              <w:rPr>
                <w:rFonts w:hint="eastAsia"/>
                <w:snapToGrid w:val="0"/>
                <w:highlight w:val="none"/>
              </w:rPr>
              <w:t>投标有效期</w:t>
            </w:r>
          </w:p>
        </w:tc>
        <w:tc>
          <w:tcPr>
            <w:tcW w:w="3712" w:type="pct"/>
            <w:vAlign w:val="center"/>
          </w:tcPr>
          <w:p w14:paraId="68A2F13F">
            <w:pPr>
              <w:snapToGrid w:val="0"/>
              <w:spacing w:line="276" w:lineRule="auto"/>
              <w:ind w:firstLine="480" w:firstLineChars="200"/>
              <w:rPr>
                <w:rFonts w:hint="eastAsia"/>
                <w:snapToGrid w:val="0"/>
                <w:highlight w:val="none"/>
              </w:rPr>
            </w:pPr>
            <w:r>
              <w:rPr>
                <w:rFonts w:hint="eastAsia"/>
                <w:snapToGrid w:val="0"/>
                <w:highlight w:val="none"/>
              </w:rPr>
              <w:t>投标有效期为从提交投标文件的截止之日起90天。投标人的投标文件中承诺的投标有效期少于招标文件中载明的投标有效期的，投标无效。</w:t>
            </w:r>
          </w:p>
        </w:tc>
      </w:tr>
      <w:tr w14:paraId="6093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049E064C">
            <w:pPr>
              <w:snapToGrid w:val="0"/>
              <w:spacing w:line="276" w:lineRule="auto"/>
              <w:jc w:val="center"/>
              <w:rPr>
                <w:rFonts w:hint="eastAsia"/>
                <w:snapToGrid w:val="0"/>
                <w:highlight w:val="none"/>
              </w:rPr>
            </w:pPr>
            <w:r>
              <w:rPr>
                <w:rFonts w:hint="eastAsia"/>
                <w:snapToGrid w:val="0"/>
                <w:highlight w:val="none"/>
              </w:rPr>
              <w:t>13</w:t>
            </w:r>
          </w:p>
        </w:tc>
        <w:tc>
          <w:tcPr>
            <w:tcW w:w="945" w:type="pct"/>
            <w:vAlign w:val="center"/>
          </w:tcPr>
          <w:p w14:paraId="3D6446E2">
            <w:pPr>
              <w:snapToGrid w:val="0"/>
              <w:spacing w:line="276" w:lineRule="auto"/>
              <w:jc w:val="center"/>
              <w:rPr>
                <w:rFonts w:hint="eastAsia"/>
                <w:b/>
                <w:bCs/>
                <w:snapToGrid w:val="0"/>
                <w:highlight w:val="none"/>
              </w:rPr>
            </w:pPr>
            <w:r>
              <w:rPr>
                <w:rFonts w:hint="eastAsia"/>
                <w:snapToGrid w:val="0"/>
                <w:highlight w:val="none"/>
              </w:rPr>
              <w:t>投标保证金</w:t>
            </w:r>
          </w:p>
        </w:tc>
        <w:tc>
          <w:tcPr>
            <w:tcW w:w="3712" w:type="pct"/>
            <w:vAlign w:val="center"/>
          </w:tcPr>
          <w:p w14:paraId="4B002B8F">
            <w:pPr>
              <w:pStyle w:val="11"/>
              <w:kinsoku w:val="0"/>
              <w:snapToGrid w:val="0"/>
              <w:spacing w:line="324" w:lineRule="auto"/>
              <w:ind w:firstLine="480" w:firstLineChars="200"/>
              <w:jc w:val="both"/>
              <w:rPr>
                <w:rFonts w:hint="eastAsia" w:hAnsi="宋体" w:cs="宋体"/>
                <w:szCs w:val="24"/>
                <w:highlight w:val="none"/>
              </w:rPr>
            </w:pPr>
            <w:r>
              <w:rPr>
                <w:rFonts w:hint="eastAsia" w:hAnsi="宋体" w:cs="宋体"/>
                <w:snapToGrid/>
                <w:szCs w:val="24"/>
                <w:highlight w:val="none"/>
                <w:lang w:val="en-US"/>
              </w:rPr>
              <w:t>无</w:t>
            </w:r>
          </w:p>
        </w:tc>
      </w:tr>
      <w:tr w14:paraId="191F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276549E6">
            <w:pPr>
              <w:snapToGrid w:val="0"/>
              <w:spacing w:line="276" w:lineRule="auto"/>
              <w:jc w:val="center"/>
              <w:rPr>
                <w:rFonts w:hint="eastAsia"/>
                <w:snapToGrid w:val="0"/>
                <w:highlight w:val="none"/>
              </w:rPr>
            </w:pPr>
            <w:r>
              <w:rPr>
                <w:rFonts w:hint="eastAsia"/>
                <w:snapToGrid w:val="0"/>
                <w:highlight w:val="none"/>
              </w:rPr>
              <w:t>14</w:t>
            </w:r>
          </w:p>
        </w:tc>
        <w:tc>
          <w:tcPr>
            <w:tcW w:w="945" w:type="pct"/>
            <w:vAlign w:val="center"/>
          </w:tcPr>
          <w:p w14:paraId="73D0C083">
            <w:pPr>
              <w:snapToGrid w:val="0"/>
              <w:spacing w:line="276" w:lineRule="auto"/>
              <w:jc w:val="center"/>
              <w:rPr>
                <w:rFonts w:hint="eastAsia"/>
                <w:snapToGrid w:val="0"/>
                <w:highlight w:val="none"/>
              </w:rPr>
            </w:pPr>
            <w:r>
              <w:rPr>
                <w:rFonts w:hint="eastAsia"/>
                <w:snapToGrid w:val="0"/>
                <w:highlight w:val="none"/>
              </w:rPr>
              <w:t>采购及中标公告发布媒体</w:t>
            </w:r>
          </w:p>
        </w:tc>
        <w:tc>
          <w:tcPr>
            <w:tcW w:w="3712" w:type="pct"/>
            <w:vAlign w:val="center"/>
          </w:tcPr>
          <w:p w14:paraId="2A765821">
            <w:pPr>
              <w:pStyle w:val="16"/>
              <w:widowControl w:val="0"/>
              <w:snapToGrid w:val="0"/>
              <w:spacing w:line="276" w:lineRule="auto"/>
              <w:ind w:firstLine="480" w:firstLineChars="200"/>
              <w:rPr>
                <w:rFonts w:hint="eastAsia" w:hAnsi="宋体" w:cs="宋体"/>
                <w:szCs w:val="24"/>
                <w:highlight w:val="none"/>
              </w:rPr>
            </w:pPr>
            <w:r>
              <w:rPr>
                <w:rFonts w:hint="eastAsia" w:hAnsi="宋体" w:cs="宋体"/>
                <w:szCs w:val="24"/>
                <w:highlight w:val="none"/>
              </w:rPr>
              <w:t>浙江省政府采购网、绍兴市上虞区公共资源交易中心网站</w:t>
            </w:r>
          </w:p>
        </w:tc>
      </w:tr>
      <w:tr w14:paraId="2FCA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6EF9981B">
            <w:pPr>
              <w:snapToGrid w:val="0"/>
              <w:spacing w:line="276" w:lineRule="auto"/>
              <w:jc w:val="center"/>
              <w:rPr>
                <w:rFonts w:hint="eastAsia"/>
                <w:kern w:val="2"/>
                <w:highlight w:val="none"/>
              </w:rPr>
            </w:pPr>
            <w:r>
              <w:rPr>
                <w:rFonts w:hint="eastAsia"/>
                <w:highlight w:val="none"/>
              </w:rPr>
              <w:t>15</w:t>
            </w:r>
          </w:p>
        </w:tc>
        <w:tc>
          <w:tcPr>
            <w:tcW w:w="945" w:type="pct"/>
            <w:vAlign w:val="center"/>
          </w:tcPr>
          <w:p w14:paraId="784D2630">
            <w:pPr>
              <w:snapToGrid w:val="0"/>
              <w:spacing w:line="276" w:lineRule="auto"/>
              <w:jc w:val="center"/>
              <w:rPr>
                <w:rFonts w:hint="eastAsia"/>
                <w:snapToGrid w:val="0"/>
                <w:highlight w:val="none"/>
              </w:rPr>
            </w:pPr>
            <w:r>
              <w:rPr>
                <w:rFonts w:hint="eastAsia"/>
                <w:snapToGrid w:val="0"/>
                <w:highlight w:val="none"/>
              </w:rPr>
              <w:t>质疑</w:t>
            </w:r>
          </w:p>
        </w:tc>
        <w:tc>
          <w:tcPr>
            <w:tcW w:w="3712" w:type="pct"/>
            <w:vAlign w:val="center"/>
          </w:tcPr>
          <w:p w14:paraId="42BEEC4F">
            <w:pPr>
              <w:snapToGrid w:val="0"/>
              <w:spacing w:line="276" w:lineRule="auto"/>
              <w:ind w:firstLine="480" w:firstLineChars="200"/>
              <w:rPr>
                <w:rFonts w:hint="eastAsia"/>
                <w:snapToGrid w:val="0"/>
                <w:highlight w:val="none"/>
              </w:rPr>
            </w:pPr>
            <w:r>
              <w:rPr>
                <w:rFonts w:hint="eastAsia"/>
                <w:snapToGrid w:val="0"/>
                <w:highlight w:val="none"/>
              </w:rPr>
              <w:t>依据《上虞区区属国有企业货物和服务采购管理办法》第四十九条的规定：</w:t>
            </w:r>
          </w:p>
          <w:p w14:paraId="317C69B1">
            <w:pPr>
              <w:snapToGrid w:val="0"/>
              <w:spacing w:line="276" w:lineRule="auto"/>
              <w:ind w:firstLine="480" w:firstLineChars="200"/>
              <w:rPr>
                <w:rFonts w:hint="eastAsia"/>
                <w:snapToGrid w:val="0"/>
                <w:highlight w:val="none"/>
              </w:rPr>
            </w:pPr>
            <w:r>
              <w:rPr>
                <w:rFonts w:hint="eastAsia"/>
                <w:snapToGrid w:val="0"/>
                <w:highlight w:val="none"/>
              </w:rPr>
              <w:t>供应商认为采购文件、采购过程、中标或者成交结果使自己的权益受到损害的，可以在知道或者应知其权益受到损害之日起7个工作日内，以书面形式向采购代理机构、采购人提出质疑，采购代理机构、采购人应在7个工作日内做好答复工作，但答复内容不得涉及商业秘密。</w:t>
            </w:r>
          </w:p>
          <w:p w14:paraId="0CEF80B9">
            <w:pPr>
              <w:snapToGrid w:val="0"/>
              <w:spacing w:line="276" w:lineRule="auto"/>
              <w:ind w:firstLine="480" w:firstLineChars="200"/>
              <w:rPr>
                <w:rFonts w:hint="eastAsia"/>
                <w:snapToGrid w:val="0"/>
                <w:highlight w:val="none"/>
              </w:rPr>
            </w:pPr>
            <w:r>
              <w:rPr>
                <w:rFonts w:hint="eastAsia"/>
                <w:snapToGrid w:val="0"/>
                <w:highlight w:val="none"/>
              </w:rPr>
              <w:t>采购评审专家（评标委员会、采购小组）应当协助采购人或者采购代理机构答复供应商的询问和质疑。</w:t>
            </w:r>
          </w:p>
          <w:p w14:paraId="5B29EF61">
            <w:pPr>
              <w:snapToGrid w:val="0"/>
              <w:spacing w:line="276" w:lineRule="auto"/>
              <w:ind w:firstLine="480" w:firstLineChars="200"/>
              <w:rPr>
                <w:rFonts w:hint="eastAsia"/>
                <w:snapToGrid w:val="0"/>
                <w:highlight w:val="none"/>
              </w:rPr>
            </w:pPr>
            <w:r>
              <w:rPr>
                <w:rFonts w:hint="eastAsia"/>
                <w:snapToGrid w:val="0"/>
                <w:highlight w:val="none"/>
              </w:rPr>
              <w:t>《上虞区区属国有企业货物和服务采购管理办法》第四十九条规定的供应商应知其权益受到损害之日，是指：</w:t>
            </w:r>
          </w:p>
          <w:p w14:paraId="72D14296">
            <w:pPr>
              <w:snapToGrid w:val="0"/>
              <w:spacing w:line="276" w:lineRule="auto"/>
              <w:ind w:firstLine="480" w:firstLineChars="200"/>
              <w:rPr>
                <w:rFonts w:hint="eastAsia"/>
                <w:snapToGrid w:val="0"/>
                <w:highlight w:val="none"/>
              </w:rPr>
            </w:pPr>
            <w:r>
              <w:rPr>
                <w:rFonts w:hint="eastAsia"/>
                <w:snapToGrid w:val="0"/>
                <w:highlight w:val="none"/>
              </w:rPr>
              <w:t>（1）对可以质疑的采购文件提出质疑的，为收到采购文件之日或者采购文件公告期限届满之日（公告期限届满后获取采购文件的，以公告期限届满之日为准）；</w:t>
            </w:r>
          </w:p>
          <w:p w14:paraId="60F47957">
            <w:pPr>
              <w:snapToGrid w:val="0"/>
              <w:spacing w:line="276" w:lineRule="auto"/>
              <w:ind w:firstLine="480" w:firstLineChars="200"/>
              <w:rPr>
                <w:rFonts w:hint="eastAsia"/>
                <w:snapToGrid w:val="0"/>
                <w:highlight w:val="none"/>
              </w:rPr>
            </w:pPr>
            <w:r>
              <w:rPr>
                <w:rFonts w:hint="eastAsia"/>
                <w:snapToGrid w:val="0"/>
                <w:highlight w:val="none"/>
              </w:rPr>
              <w:t>（2）对采购过程提出质疑的，为各采购程序环节结束之日；</w:t>
            </w:r>
          </w:p>
          <w:p w14:paraId="1DDFDA65">
            <w:pPr>
              <w:snapToGrid w:val="0"/>
              <w:spacing w:line="276" w:lineRule="auto"/>
              <w:ind w:firstLine="480" w:firstLineChars="200"/>
              <w:rPr>
                <w:rFonts w:hint="eastAsia"/>
                <w:snapToGrid w:val="0"/>
                <w:highlight w:val="none"/>
              </w:rPr>
            </w:pPr>
            <w:r>
              <w:rPr>
                <w:rFonts w:hint="eastAsia"/>
                <w:snapToGrid w:val="0"/>
                <w:highlight w:val="none"/>
              </w:rPr>
              <w:t>（3）对中标或者成交结果提出质疑的，为中标或者成交结果公告期限届满之日。</w:t>
            </w:r>
          </w:p>
        </w:tc>
      </w:tr>
      <w:tr w14:paraId="0248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77966989">
            <w:pPr>
              <w:snapToGrid w:val="0"/>
              <w:spacing w:line="276" w:lineRule="auto"/>
              <w:jc w:val="center"/>
              <w:rPr>
                <w:rFonts w:hint="eastAsia"/>
                <w:snapToGrid w:val="0"/>
                <w:highlight w:val="none"/>
              </w:rPr>
            </w:pPr>
            <w:r>
              <w:rPr>
                <w:rFonts w:hint="eastAsia"/>
                <w:snapToGrid w:val="0"/>
                <w:highlight w:val="none"/>
              </w:rPr>
              <w:t>16</w:t>
            </w:r>
          </w:p>
        </w:tc>
        <w:tc>
          <w:tcPr>
            <w:tcW w:w="945" w:type="pct"/>
            <w:vAlign w:val="center"/>
          </w:tcPr>
          <w:p w14:paraId="605BAB19">
            <w:pPr>
              <w:snapToGrid w:val="0"/>
              <w:spacing w:line="276" w:lineRule="auto"/>
              <w:jc w:val="center"/>
              <w:rPr>
                <w:rFonts w:hint="eastAsia"/>
                <w:snapToGrid w:val="0"/>
                <w:highlight w:val="none"/>
              </w:rPr>
            </w:pPr>
            <w:r>
              <w:rPr>
                <w:rFonts w:hint="eastAsia"/>
                <w:snapToGrid w:val="0"/>
                <w:highlight w:val="none"/>
              </w:rPr>
              <w:t>投诉</w:t>
            </w:r>
          </w:p>
        </w:tc>
        <w:tc>
          <w:tcPr>
            <w:tcW w:w="3712" w:type="pct"/>
            <w:vAlign w:val="center"/>
          </w:tcPr>
          <w:p w14:paraId="37BFC183">
            <w:pPr>
              <w:snapToGrid w:val="0"/>
              <w:spacing w:line="276" w:lineRule="auto"/>
              <w:ind w:firstLine="480" w:firstLineChars="200"/>
              <w:rPr>
                <w:rFonts w:hint="eastAsia"/>
                <w:snapToGrid w:val="0"/>
                <w:highlight w:val="none"/>
              </w:rPr>
            </w:pPr>
            <w:r>
              <w:rPr>
                <w:rFonts w:hint="eastAsia"/>
                <w:snapToGrid w:val="0"/>
                <w:highlight w:val="none"/>
              </w:rPr>
              <w:t>依据《上虞区区属国有企业货物和服务采购管理办法》第五十条的规定：</w:t>
            </w:r>
          </w:p>
          <w:p w14:paraId="526F99DA">
            <w:pPr>
              <w:snapToGrid w:val="0"/>
              <w:spacing w:line="276" w:lineRule="auto"/>
              <w:ind w:firstLine="480" w:firstLineChars="200"/>
              <w:rPr>
                <w:rFonts w:hint="eastAsia"/>
                <w:snapToGrid w:val="0"/>
                <w:highlight w:val="none"/>
              </w:rPr>
            </w:pPr>
            <w:r>
              <w:rPr>
                <w:rFonts w:hint="eastAsia"/>
                <w:snapToGrid w:val="0"/>
                <w:highlight w:val="none"/>
              </w:rPr>
              <w:t>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14:paraId="1E6E232E">
            <w:pPr>
              <w:snapToGrid w:val="0"/>
              <w:spacing w:line="276" w:lineRule="auto"/>
              <w:ind w:firstLine="480" w:firstLineChars="200"/>
              <w:rPr>
                <w:rFonts w:hint="eastAsia"/>
                <w:snapToGrid w:val="0"/>
                <w:highlight w:val="none"/>
              </w:rPr>
            </w:pPr>
            <w:r>
              <w:rPr>
                <w:rFonts w:hint="eastAsia"/>
                <w:snapToGrid w:val="0"/>
                <w:highlight w:val="none"/>
              </w:rPr>
              <w:t>投诉人提交投诉件时，应当提供相关书面证据、依据和其他有关材料。</w:t>
            </w:r>
          </w:p>
        </w:tc>
      </w:tr>
      <w:tr w14:paraId="027D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2AC5199A">
            <w:pPr>
              <w:snapToGrid w:val="0"/>
              <w:spacing w:line="276" w:lineRule="auto"/>
              <w:jc w:val="center"/>
              <w:rPr>
                <w:rFonts w:hint="eastAsia"/>
                <w:snapToGrid w:val="0"/>
                <w:highlight w:val="none"/>
              </w:rPr>
            </w:pPr>
            <w:r>
              <w:rPr>
                <w:rFonts w:hint="eastAsia"/>
                <w:snapToGrid w:val="0"/>
                <w:highlight w:val="none"/>
              </w:rPr>
              <w:t>17</w:t>
            </w:r>
          </w:p>
        </w:tc>
        <w:tc>
          <w:tcPr>
            <w:tcW w:w="945" w:type="pct"/>
            <w:vAlign w:val="center"/>
          </w:tcPr>
          <w:p w14:paraId="6673FE84">
            <w:pPr>
              <w:snapToGrid w:val="0"/>
              <w:spacing w:line="276" w:lineRule="auto"/>
              <w:jc w:val="center"/>
              <w:rPr>
                <w:rFonts w:hint="eastAsia"/>
                <w:snapToGrid w:val="0"/>
                <w:highlight w:val="none"/>
              </w:rPr>
            </w:pPr>
            <w:r>
              <w:rPr>
                <w:rFonts w:hint="eastAsia"/>
                <w:snapToGrid w:val="0"/>
                <w:highlight w:val="none"/>
              </w:rPr>
              <w:t>特别说明</w:t>
            </w:r>
          </w:p>
        </w:tc>
        <w:tc>
          <w:tcPr>
            <w:tcW w:w="3712" w:type="pct"/>
            <w:vAlign w:val="center"/>
          </w:tcPr>
          <w:p w14:paraId="0AF7E912">
            <w:pPr>
              <w:pStyle w:val="16"/>
              <w:widowControl w:val="0"/>
              <w:snapToGrid w:val="0"/>
              <w:spacing w:line="276" w:lineRule="auto"/>
              <w:ind w:firstLine="480" w:firstLineChars="200"/>
              <w:rPr>
                <w:rFonts w:hint="eastAsia" w:hAnsi="宋体" w:cs="宋体"/>
                <w:szCs w:val="24"/>
                <w:highlight w:val="none"/>
              </w:rPr>
            </w:pPr>
            <w:r>
              <w:rPr>
                <w:rFonts w:hint="eastAsia" w:hAnsi="宋体" w:cs="宋体"/>
                <w:szCs w:val="24"/>
                <w:highlight w:val="none"/>
              </w:rPr>
              <w:t>投标人应无条件的、认真仔细地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63B50638">
            <w:pPr>
              <w:pStyle w:val="16"/>
              <w:widowControl w:val="0"/>
              <w:snapToGrid w:val="0"/>
              <w:spacing w:line="276" w:lineRule="auto"/>
              <w:ind w:firstLine="480" w:firstLineChars="200"/>
              <w:rPr>
                <w:rFonts w:hint="eastAsia" w:hAnsi="宋体" w:cs="宋体"/>
                <w:szCs w:val="24"/>
                <w:highlight w:val="none"/>
              </w:rPr>
            </w:pPr>
            <w:r>
              <w:rPr>
                <w:rFonts w:hint="eastAsia" w:hAnsi="宋体" w:cs="宋体"/>
                <w:szCs w:val="24"/>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获取的依据。</w:t>
            </w:r>
          </w:p>
          <w:p w14:paraId="32BC7267">
            <w:pPr>
              <w:pStyle w:val="16"/>
              <w:widowControl w:val="0"/>
              <w:snapToGrid w:val="0"/>
              <w:spacing w:line="276" w:lineRule="auto"/>
              <w:ind w:firstLine="480" w:firstLineChars="200"/>
              <w:rPr>
                <w:rFonts w:hint="eastAsia" w:hAnsi="宋体" w:cs="宋体"/>
                <w:b/>
                <w:szCs w:val="24"/>
                <w:highlight w:val="none"/>
              </w:rPr>
            </w:pPr>
            <w:r>
              <w:rPr>
                <w:rFonts w:hint="eastAsia" w:hAnsi="宋体" w:cs="宋体"/>
                <w:szCs w:val="24"/>
                <w:highlight w:val="none"/>
              </w:rPr>
              <w:t>招标文件中凡标注“★”的条款均为实质性要求，不响应的投标文件将作无效标处理。</w:t>
            </w:r>
          </w:p>
        </w:tc>
      </w:tr>
      <w:tr w14:paraId="28CA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2A8985B4">
            <w:pPr>
              <w:snapToGrid w:val="0"/>
              <w:spacing w:line="276" w:lineRule="auto"/>
              <w:jc w:val="center"/>
              <w:rPr>
                <w:rFonts w:hint="eastAsia"/>
                <w:snapToGrid w:val="0"/>
                <w:highlight w:val="none"/>
              </w:rPr>
            </w:pPr>
            <w:r>
              <w:rPr>
                <w:rFonts w:hint="eastAsia"/>
                <w:snapToGrid w:val="0"/>
                <w:highlight w:val="none"/>
              </w:rPr>
              <w:t>18</w:t>
            </w:r>
          </w:p>
        </w:tc>
        <w:tc>
          <w:tcPr>
            <w:tcW w:w="945" w:type="pct"/>
            <w:vAlign w:val="center"/>
          </w:tcPr>
          <w:p w14:paraId="78DB1159">
            <w:pPr>
              <w:snapToGrid w:val="0"/>
              <w:spacing w:line="276" w:lineRule="auto"/>
              <w:jc w:val="center"/>
              <w:rPr>
                <w:rFonts w:hint="eastAsia"/>
                <w:snapToGrid w:val="0"/>
                <w:highlight w:val="none"/>
              </w:rPr>
            </w:pPr>
            <w:r>
              <w:rPr>
                <w:rFonts w:hint="eastAsia"/>
                <w:highlight w:val="none"/>
              </w:rPr>
              <w:t>招标代理服务费</w:t>
            </w:r>
          </w:p>
        </w:tc>
        <w:tc>
          <w:tcPr>
            <w:tcW w:w="3712" w:type="pct"/>
            <w:vAlign w:val="center"/>
          </w:tcPr>
          <w:p w14:paraId="073574B4">
            <w:pPr>
              <w:pStyle w:val="16"/>
              <w:widowControl w:val="0"/>
              <w:snapToGrid w:val="0"/>
              <w:spacing w:line="276" w:lineRule="auto"/>
              <w:ind w:firstLine="480" w:firstLineChars="200"/>
              <w:rPr>
                <w:rFonts w:hint="eastAsia" w:hAnsi="宋体" w:cs="宋体"/>
                <w:szCs w:val="24"/>
                <w:highlight w:val="none"/>
              </w:rPr>
            </w:pPr>
            <w:r>
              <w:rPr>
                <w:rFonts w:hint="eastAsia"/>
                <w:snapToGrid w:val="0"/>
                <w:highlight w:val="none"/>
              </w:rPr>
              <w:t>招标代理服务费由招标标人支付</w:t>
            </w:r>
          </w:p>
        </w:tc>
      </w:tr>
      <w:tr w14:paraId="0E26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06B8F1F7">
            <w:pPr>
              <w:snapToGrid w:val="0"/>
              <w:spacing w:line="276" w:lineRule="auto"/>
              <w:jc w:val="center"/>
              <w:rPr>
                <w:rFonts w:hint="eastAsia"/>
                <w:snapToGrid w:val="0"/>
                <w:highlight w:val="none"/>
              </w:rPr>
            </w:pPr>
            <w:r>
              <w:rPr>
                <w:rFonts w:hint="eastAsia"/>
                <w:snapToGrid w:val="0"/>
                <w:highlight w:val="none"/>
              </w:rPr>
              <w:t>19</w:t>
            </w:r>
          </w:p>
        </w:tc>
        <w:tc>
          <w:tcPr>
            <w:tcW w:w="945" w:type="pct"/>
            <w:vAlign w:val="center"/>
          </w:tcPr>
          <w:p w14:paraId="00273706">
            <w:pPr>
              <w:snapToGrid w:val="0"/>
              <w:spacing w:line="276" w:lineRule="auto"/>
              <w:jc w:val="center"/>
              <w:rPr>
                <w:rFonts w:hint="eastAsia"/>
                <w:kern w:val="2"/>
                <w:highlight w:val="none"/>
              </w:rPr>
            </w:pPr>
            <w:r>
              <w:rPr>
                <w:rFonts w:hint="eastAsia"/>
                <w:highlight w:val="none"/>
              </w:rPr>
              <w:t>是否允许分包</w:t>
            </w:r>
          </w:p>
        </w:tc>
        <w:tc>
          <w:tcPr>
            <w:tcW w:w="3712" w:type="pct"/>
            <w:vAlign w:val="center"/>
          </w:tcPr>
          <w:p w14:paraId="7B768DAF">
            <w:pPr>
              <w:spacing w:line="276" w:lineRule="auto"/>
              <w:ind w:firstLine="480" w:firstLineChars="200"/>
              <w:rPr>
                <w:rFonts w:hint="eastAsia"/>
                <w:kern w:val="2"/>
                <w:highlight w:val="none"/>
              </w:rPr>
            </w:pPr>
            <w:r>
              <w:rPr>
                <w:rFonts w:hint="eastAsia"/>
                <w:highlight w:val="none"/>
              </w:rPr>
              <w:t>本项目不允许分包。</w:t>
            </w:r>
          </w:p>
        </w:tc>
      </w:tr>
      <w:tr w14:paraId="20E1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7372E368">
            <w:pPr>
              <w:snapToGrid w:val="0"/>
              <w:spacing w:line="276" w:lineRule="auto"/>
              <w:jc w:val="center"/>
              <w:rPr>
                <w:rFonts w:hint="eastAsia"/>
                <w:snapToGrid w:val="0"/>
                <w:highlight w:val="none"/>
              </w:rPr>
            </w:pPr>
            <w:r>
              <w:rPr>
                <w:rFonts w:hint="eastAsia"/>
                <w:snapToGrid w:val="0"/>
                <w:highlight w:val="none"/>
              </w:rPr>
              <w:t>20</w:t>
            </w:r>
          </w:p>
        </w:tc>
        <w:tc>
          <w:tcPr>
            <w:tcW w:w="945" w:type="pct"/>
            <w:vAlign w:val="center"/>
          </w:tcPr>
          <w:p w14:paraId="198B0711">
            <w:pPr>
              <w:snapToGrid w:val="0"/>
              <w:spacing w:line="276" w:lineRule="auto"/>
              <w:jc w:val="center"/>
              <w:rPr>
                <w:rFonts w:hint="eastAsia"/>
                <w:kern w:val="2"/>
                <w:highlight w:val="none"/>
              </w:rPr>
            </w:pPr>
            <w:r>
              <w:rPr>
                <w:rFonts w:hint="eastAsia"/>
                <w:highlight w:val="none"/>
              </w:rPr>
              <w:t>是否提供样品</w:t>
            </w:r>
          </w:p>
        </w:tc>
        <w:tc>
          <w:tcPr>
            <w:tcW w:w="3712" w:type="pct"/>
            <w:vAlign w:val="center"/>
          </w:tcPr>
          <w:p w14:paraId="059ADB70">
            <w:pPr>
              <w:ind w:firstLine="480" w:firstLineChars="200"/>
              <w:rPr>
                <w:rFonts w:hint="eastAsia"/>
                <w:kern w:val="2"/>
                <w:highlight w:val="none"/>
              </w:rPr>
            </w:pPr>
            <w:r>
              <w:rPr>
                <w:rFonts w:hint="eastAsia"/>
                <w:highlight w:val="none"/>
              </w:rPr>
              <w:t>本项目</w:t>
            </w:r>
            <w:r>
              <w:rPr>
                <w:rFonts w:hint="eastAsia"/>
                <w:highlight w:val="none"/>
                <w:u w:val="single"/>
              </w:rPr>
              <w:t>不需要</w:t>
            </w:r>
            <w:r>
              <w:rPr>
                <w:rFonts w:hint="eastAsia"/>
                <w:highlight w:val="none"/>
              </w:rPr>
              <w:t>提供样品。</w:t>
            </w:r>
          </w:p>
        </w:tc>
      </w:tr>
      <w:tr w14:paraId="3878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77309C80">
            <w:pPr>
              <w:snapToGrid w:val="0"/>
              <w:spacing w:line="276" w:lineRule="auto"/>
              <w:jc w:val="center"/>
              <w:rPr>
                <w:rFonts w:hint="eastAsia"/>
                <w:snapToGrid w:val="0"/>
                <w:highlight w:val="none"/>
              </w:rPr>
            </w:pPr>
            <w:r>
              <w:rPr>
                <w:rFonts w:hint="eastAsia"/>
                <w:snapToGrid w:val="0"/>
                <w:highlight w:val="none"/>
              </w:rPr>
              <w:t>21</w:t>
            </w:r>
          </w:p>
        </w:tc>
        <w:tc>
          <w:tcPr>
            <w:tcW w:w="945" w:type="pct"/>
            <w:vAlign w:val="center"/>
          </w:tcPr>
          <w:p w14:paraId="1EF0D649">
            <w:pPr>
              <w:snapToGrid w:val="0"/>
              <w:spacing w:line="276" w:lineRule="auto"/>
              <w:jc w:val="center"/>
              <w:rPr>
                <w:rFonts w:hint="eastAsia"/>
                <w:kern w:val="2"/>
                <w:highlight w:val="none"/>
              </w:rPr>
            </w:pPr>
            <w:r>
              <w:rPr>
                <w:rFonts w:hint="eastAsia"/>
                <w:highlight w:val="none"/>
              </w:rPr>
              <w:t>是否提供演示</w:t>
            </w:r>
          </w:p>
        </w:tc>
        <w:tc>
          <w:tcPr>
            <w:tcW w:w="3712" w:type="pct"/>
            <w:vAlign w:val="center"/>
          </w:tcPr>
          <w:p w14:paraId="185964B2">
            <w:pPr>
              <w:spacing w:line="276" w:lineRule="auto"/>
              <w:ind w:firstLine="480" w:firstLineChars="200"/>
              <w:rPr>
                <w:rFonts w:hint="eastAsia"/>
                <w:highlight w:val="none"/>
              </w:rPr>
            </w:pPr>
            <w:r>
              <w:rPr>
                <w:rFonts w:hint="eastAsia"/>
                <w:highlight w:val="none"/>
              </w:rPr>
              <w:t>本项目</w:t>
            </w:r>
            <w:r>
              <w:rPr>
                <w:rFonts w:hint="eastAsia"/>
                <w:highlight w:val="none"/>
                <w:u w:val="single"/>
              </w:rPr>
              <w:t>需要</w:t>
            </w:r>
            <w:r>
              <w:rPr>
                <w:rFonts w:hint="eastAsia"/>
                <w:highlight w:val="none"/>
              </w:rPr>
              <w:t>提供演示。</w:t>
            </w:r>
          </w:p>
        </w:tc>
      </w:tr>
      <w:tr w14:paraId="08A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0B83A528">
            <w:pPr>
              <w:snapToGrid w:val="0"/>
              <w:spacing w:line="276" w:lineRule="auto"/>
              <w:jc w:val="center"/>
              <w:rPr>
                <w:rFonts w:hint="eastAsia"/>
                <w:snapToGrid w:val="0"/>
                <w:highlight w:val="none"/>
              </w:rPr>
            </w:pPr>
            <w:r>
              <w:rPr>
                <w:rFonts w:hint="eastAsia"/>
                <w:highlight w:val="none"/>
              </w:rPr>
              <w:t>22</w:t>
            </w:r>
          </w:p>
        </w:tc>
        <w:tc>
          <w:tcPr>
            <w:tcW w:w="945" w:type="pct"/>
            <w:vAlign w:val="center"/>
          </w:tcPr>
          <w:p w14:paraId="5463A4E1">
            <w:pPr>
              <w:snapToGrid w:val="0"/>
              <w:spacing w:line="276" w:lineRule="auto"/>
              <w:jc w:val="center"/>
              <w:rPr>
                <w:rFonts w:hint="eastAsia"/>
                <w:kern w:val="2"/>
                <w:highlight w:val="none"/>
              </w:rPr>
            </w:pPr>
            <w:r>
              <w:rPr>
                <w:rFonts w:hint="eastAsia"/>
                <w:highlight w:val="none"/>
              </w:rPr>
              <w:t>投标人信用信息查询渠道及截止时点、信用信息查询记录和证据留存的具体方式、信用信息的使用规则</w:t>
            </w:r>
          </w:p>
        </w:tc>
        <w:tc>
          <w:tcPr>
            <w:tcW w:w="3712" w:type="pct"/>
            <w:vAlign w:val="center"/>
          </w:tcPr>
          <w:p w14:paraId="0DB9322B">
            <w:pPr>
              <w:spacing w:line="276" w:lineRule="auto"/>
              <w:ind w:firstLine="480" w:firstLineChars="200"/>
              <w:rPr>
                <w:rFonts w:hint="eastAsia"/>
                <w:highlight w:val="none"/>
              </w:rPr>
            </w:pPr>
            <w:r>
              <w:rPr>
                <w:rFonts w:hint="eastAsia"/>
                <w:highlight w:val="none"/>
              </w:rPr>
              <w:t>1、查询渠道：信用中国（网址：http://www.creditchina.gov.cn）、中国政府采购网(网址：http://www.ccgp.gov.cn）。</w:t>
            </w:r>
          </w:p>
          <w:p w14:paraId="14C65AB7">
            <w:pPr>
              <w:spacing w:line="276" w:lineRule="auto"/>
              <w:ind w:firstLine="480" w:firstLineChars="200"/>
              <w:rPr>
                <w:rFonts w:hint="eastAsia"/>
                <w:highlight w:val="none"/>
              </w:rPr>
            </w:pPr>
            <w:r>
              <w:rPr>
                <w:rFonts w:hint="eastAsia"/>
                <w:highlight w:val="none"/>
              </w:rPr>
              <w:t>2、截止时点：开标后评标前。</w:t>
            </w:r>
          </w:p>
          <w:p w14:paraId="1892CFB6">
            <w:pPr>
              <w:spacing w:line="276" w:lineRule="auto"/>
              <w:ind w:firstLine="480" w:firstLineChars="200"/>
              <w:rPr>
                <w:rFonts w:hint="eastAsia"/>
                <w:highlight w:val="none"/>
              </w:rPr>
            </w:pPr>
            <w:r>
              <w:rPr>
                <w:rFonts w:hint="eastAsia"/>
                <w:highlight w:val="none"/>
              </w:rPr>
              <w:t>3、信用信息查询记录和证据留存的具体方式：由采购组织机构在规定查询时间内打印信用信息查询记录并归入项目档案。</w:t>
            </w:r>
          </w:p>
          <w:p w14:paraId="5337398E">
            <w:pPr>
              <w:spacing w:line="276" w:lineRule="auto"/>
              <w:ind w:firstLine="480" w:firstLineChars="200"/>
              <w:rPr>
                <w:rFonts w:hint="eastAsia"/>
                <w:kern w:val="2"/>
                <w:highlight w:val="none"/>
              </w:rPr>
            </w:pPr>
            <w:r>
              <w:rPr>
                <w:rFonts w:hint="eastAsia"/>
                <w:highlight w:val="none"/>
              </w:rPr>
              <w:t>4、使用规则：对列入失信被执行人、重大税收违法案件当事人名单、政府采购严重违法失信行为记录名单及其他不符合资格条件的投标人，将被拒绝其参与采购活动。</w:t>
            </w:r>
          </w:p>
        </w:tc>
      </w:tr>
      <w:tr w14:paraId="186F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 w:type="pct"/>
            <w:vAlign w:val="center"/>
          </w:tcPr>
          <w:p w14:paraId="2B10574E">
            <w:pPr>
              <w:snapToGrid w:val="0"/>
              <w:spacing w:line="276" w:lineRule="auto"/>
              <w:jc w:val="center"/>
              <w:rPr>
                <w:rFonts w:hint="eastAsia"/>
                <w:snapToGrid w:val="0"/>
                <w:highlight w:val="none"/>
              </w:rPr>
            </w:pPr>
            <w:r>
              <w:rPr>
                <w:rFonts w:hint="eastAsia"/>
                <w:snapToGrid w:val="0"/>
                <w:highlight w:val="none"/>
              </w:rPr>
              <w:t>23</w:t>
            </w:r>
          </w:p>
        </w:tc>
        <w:tc>
          <w:tcPr>
            <w:tcW w:w="945" w:type="pct"/>
            <w:vAlign w:val="center"/>
          </w:tcPr>
          <w:p w14:paraId="2CF20DA6">
            <w:pPr>
              <w:snapToGrid w:val="0"/>
              <w:spacing w:line="276" w:lineRule="auto"/>
              <w:jc w:val="center"/>
              <w:rPr>
                <w:rFonts w:hint="eastAsia"/>
                <w:kern w:val="2"/>
                <w:highlight w:val="none"/>
              </w:rPr>
            </w:pPr>
            <w:r>
              <w:rPr>
                <w:rFonts w:hint="eastAsia"/>
                <w:highlight w:val="none"/>
              </w:rPr>
              <w:t>其他</w:t>
            </w:r>
          </w:p>
        </w:tc>
        <w:tc>
          <w:tcPr>
            <w:tcW w:w="3712" w:type="pct"/>
            <w:vAlign w:val="center"/>
          </w:tcPr>
          <w:p w14:paraId="5D0269A0">
            <w:pPr>
              <w:spacing w:line="276" w:lineRule="auto"/>
              <w:ind w:firstLine="482" w:firstLineChars="200"/>
              <w:rPr>
                <w:rFonts w:hint="eastAsia"/>
                <w:b/>
                <w:highlight w:val="none"/>
              </w:rPr>
            </w:pPr>
            <w:r>
              <w:rPr>
                <w:rFonts w:hint="eastAsia"/>
                <w:b/>
                <w:highlight w:val="none"/>
              </w:rPr>
              <w:t>1、本招标文件要求提供的身份证复印件皆需提供正反面，否则按不提供处理。</w:t>
            </w:r>
          </w:p>
          <w:p w14:paraId="409B148A">
            <w:pPr>
              <w:spacing w:line="276" w:lineRule="auto"/>
              <w:ind w:firstLine="482" w:firstLineChars="200"/>
              <w:rPr>
                <w:rFonts w:hint="eastAsia"/>
                <w:b/>
                <w:kern w:val="2"/>
                <w:highlight w:val="none"/>
              </w:rPr>
            </w:pPr>
            <w:r>
              <w:rPr>
                <w:rFonts w:hint="eastAsia"/>
                <w:b/>
                <w:highlight w:val="none"/>
              </w:rPr>
              <w:t>2、本项目货物如涉及柴油动力移动源，应当符合低排放要求。</w:t>
            </w:r>
          </w:p>
        </w:tc>
      </w:tr>
    </w:tbl>
    <w:p w14:paraId="11D19993">
      <w:pPr>
        <w:pStyle w:val="69"/>
        <w:spacing w:line="240" w:lineRule="auto"/>
        <w:ind w:firstLine="0" w:firstLineChars="0"/>
        <w:rPr>
          <w:rFonts w:hint="eastAsia" w:ascii="宋体" w:hAnsi="宋体"/>
          <w:sz w:val="21"/>
          <w:szCs w:val="16"/>
          <w:highlight w:val="none"/>
        </w:rPr>
      </w:pPr>
      <w:r>
        <w:rPr>
          <w:rFonts w:ascii="宋体" w:hAnsi="宋体"/>
          <w:sz w:val="21"/>
          <w:szCs w:val="16"/>
          <w:highlight w:val="none"/>
        </w:rPr>
        <w:t>注：以上内容如有变化将另行通知。如通知其中某一内容发生变化，其余未提及的将不作变动。</w:t>
      </w:r>
    </w:p>
    <w:p w14:paraId="30FD5B0B">
      <w:pPr>
        <w:snapToGrid w:val="0"/>
        <w:spacing w:line="360" w:lineRule="auto"/>
        <w:jc w:val="center"/>
        <w:outlineLvl w:val="1"/>
        <w:rPr>
          <w:rFonts w:hint="eastAsia"/>
          <w:b/>
          <w:sz w:val="32"/>
          <w:highlight w:val="none"/>
        </w:rPr>
      </w:pPr>
      <w:r>
        <w:rPr>
          <w:rFonts w:hint="eastAsia"/>
          <w:b/>
          <w:sz w:val="32"/>
          <w:highlight w:val="none"/>
        </w:rPr>
        <w:br w:type="page"/>
      </w:r>
      <w:bookmarkStart w:id="16" w:name="_Toc151026240"/>
      <w:r>
        <w:rPr>
          <w:rFonts w:hint="eastAsia"/>
          <w:b/>
          <w:sz w:val="32"/>
          <w:highlight w:val="none"/>
        </w:rPr>
        <w:t>第一章 总则</w:t>
      </w:r>
      <w:bookmarkEnd w:id="8"/>
      <w:bookmarkEnd w:id="16"/>
    </w:p>
    <w:p w14:paraId="029A8925">
      <w:pPr>
        <w:pStyle w:val="16"/>
        <w:numPr>
          <w:ilvl w:val="0"/>
          <w:numId w:val="14"/>
        </w:numPr>
        <w:spacing w:line="360" w:lineRule="auto"/>
        <w:ind w:firstLine="482" w:firstLineChars="200"/>
        <w:outlineLvl w:val="2"/>
        <w:rPr>
          <w:rFonts w:hint="eastAsia" w:hAnsi="宋体" w:cs="宋体"/>
          <w:b/>
          <w:szCs w:val="24"/>
          <w:highlight w:val="none"/>
        </w:rPr>
      </w:pPr>
      <w:bookmarkStart w:id="17" w:name="_Hlt74730295"/>
      <w:bookmarkEnd w:id="17"/>
      <w:bookmarkStart w:id="18" w:name="_Hlt74714665"/>
      <w:bookmarkEnd w:id="18"/>
      <w:bookmarkStart w:id="19" w:name="_Toc151026241"/>
      <w:bookmarkStart w:id="20" w:name="_Toc91899872"/>
      <w:bookmarkStart w:id="21" w:name="_Hlt74730208"/>
      <w:bookmarkStart w:id="22" w:name="_Hlt74730112"/>
      <w:r>
        <w:rPr>
          <w:rFonts w:hint="eastAsia" w:hAnsi="宋体" w:cs="宋体"/>
          <w:b/>
          <w:szCs w:val="24"/>
          <w:highlight w:val="none"/>
        </w:rPr>
        <w:t>项目说明</w:t>
      </w:r>
      <w:bookmarkEnd w:id="19"/>
      <w:bookmarkEnd w:id="20"/>
    </w:p>
    <w:p w14:paraId="7D8C033D">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.1 </w:t>
      </w:r>
      <w:r>
        <w:rPr>
          <w:rFonts w:hint="eastAsia"/>
          <w:kern w:val="2"/>
          <w:highlight w:val="none"/>
        </w:rPr>
        <w:t>项目说明见前附表所述。投标人一旦参与本次招标活动，即被视为接受了本招标文件的所有内容，如有任何异议，均已在法定时间内提出。</w:t>
      </w:r>
    </w:p>
    <w:p w14:paraId="7F654135">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.2 </w:t>
      </w:r>
      <w:r>
        <w:rPr>
          <w:rFonts w:hint="eastAsia"/>
          <w:kern w:val="2"/>
          <w:highlight w:val="none"/>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A837D5F">
      <w:pPr>
        <w:snapToGrid w:val="0"/>
        <w:spacing w:line="360" w:lineRule="auto"/>
        <w:ind w:firstLine="480" w:firstLineChars="200"/>
        <w:rPr>
          <w:rFonts w:hint="eastAsia"/>
          <w:kern w:val="2"/>
          <w:highlight w:val="none"/>
        </w:rPr>
      </w:pPr>
      <w:bookmarkStart w:id="23" w:name="_Toc91899873"/>
      <w:r>
        <w:rPr>
          <w:rFonts w:hint="eastAsia"/>
          <w:kern w:val="2"/>
          <w:highlight w:val="none"/>
        </w:rPr>
        <w:t>1.3</w:t>
      </w:r>
      <w:r>
        <w:rPr>
          <w:kern w:val="2"/>
          <w:highlight w:val="none"/>
        </w:rPr>
        <w:t xml:space="preserve"> </w:t>
      </w:r>
      <w:r>
        <w:rPr>
          <w:rFonts w:hint="eastAsia"/>
          <w:kern w:val="2"/>
          <w:highlight w:val="none"/>
        </w:rPr>
        <w:t>本招标文件所称公章是指单位法定名称章或者冠以单位法定名称的电子公章。</w:t>
      </w:r>
    </w:p>
    <w:p w14:paraId="516D8DBC">
      <w:pPr>
        <w:snapToGrid w:val="0"/>
        <w:spacing w:line="360" w:lineRule="auto"/>
        <w:ind w:firstLine="480" w:firstLineChars="200"/>
        <w:rPr>
          <w:rFonts w:hint="eastAsia"/>
          <w:kern w:val="2"/>
          <w:highlight w:val="none"/>
        </w:rPr>
      </w:pPr>
      <w:r>
        <w:rPr>
          <w:rFonts w:hint="eastAsia"/>
          <w:kern w:val="2"/>
          <w:highlight w:val="none"/>
        </w:rPr>
        <w:t>1.4</w:t>
      </w:r>
      <w:r>
        <w:rPr>
          <w:kern w:val="2"/>
          <w:highlight w:val="none"/>
        </w:rPr>
        <w:t xml:space="preserve"> </w:t>
      </w:r>
      <w:r>
        <w:rPr>
          <w:rFonts w:hint="eastAsia"/>
          <w:kern w:val="2"/>
          <w:highlight w:val="none"/>
        </w:rPr>
        <w:t>公开招标数额标准以上的采购项目，投标截止后投标人不足3家或者通过资格审查或符合性审查的投标人不足3家的，除采购任务取消情形外，按照以下方式处理：</w:t>
      </w:r>
    </w:p>
    <w:p w14:paraId="72E35889">
      <w:pPr>
        <w:pStyle w:val="69"/>
        <w:numPr>
          <w:ilvl w:val="0"/>
          <w:numId w:val="15"/>
        </w:numPr>
        <w:spacing w:before="0"/>
        <w:ind w:firstLine="480"/>
        <w:rPr>
          <w:rFonts w:hint="eastAsia" w:ascii="宋体" w:hAnsi="宋体"/>
          <w:highlight w:val="none"/>
        </w:rPr>
      </w:pPr>
      <w:r>
        <w:rPr>
          <w:rFonts w:hint="eastAsia" w:ascii="宋体" w:hAnsi="宋体"/>
          <w:highlight w:val="none"/>
        </w:rPr>
        <w:t>招标文件存在不合理条款或者招标程序不符合规定的，采购人、采购代理机构改正后依法重新招标；</w:t>
      </w:r>
    </w:p>
    <w:p w14:paraId="16C8678C">
      <w:pPr>
        <w:pStyle w:val="69"/>
        <w:numPr>
          <w:ilvl w:val="0"/>
          <w:numId w:val="15"/>
        </w:numPr>
        <w:spacing w:before="0"/>
        <w:ind w:firstLine="480"/>
        <w:rPr>
          <w:rFonts w:hint="eastAsia" w:ascii="宋体" w:hAnsi="宋体"/>
          <w:highlight w:val="none"/>
        </w:rPr>
      </w:pPr>
      <w:r>
        <w:rPr>
          <w:rFonts w:hint="eastAsia" w:ascii="宋体" w:hAnsi="宋体"/>
          <w:highlight w:val="none"/>
        </w:rPr>
        <w:t>招标文件没有不合理条款、招标程序符合规定，需要采用其他采购方式采购的，采购人应当依法报相关部门批准。</w:t>
      </w:r>
    </w:p>
    <w:p w14:paraId="21392F5E">
      <w:pPr>
        <w:pStyle w:val="16"/>
        <w:numPr>
          <w:ilvl w:val="0"/>
          <w:numId w:val="14"/>
        </w:numPr>
        <w:spacing w:line="360" w:lineRule="auto"/>
        <w:ind w:firstLine="482" w:firstLineChars="200"/>
        <w:outlineLvl w:val="2"/>
        <w:rPr>
          <w:rFonts w:hint="eastAsia" w:hAnsi="宋体" w:cs="宋体"/>
          <w:b/>
          <w:szCs w:val="24"/>
          <w:highlight w:val="none"/>
        </w:rPr>
      </w:pPr>
      <w:bookmarkStart w:id="24" w:name="_Toc151026242"/>
      <w:r>
        <w:rPr>
          <w:rFonts w:hint="eastAsia" w:hAnsi="宋体" w:cs="宋体"/>
          <w:b/>
          <w:szCs w:val="24"/>
          <w:highlight w:val="none"/>
        </w:rPr>
        <w:t>采购方式</w:t>
      </w:r>
      <w:bookmarkEnd w:id="23"/>
      <w:bookmarkEnd w:id="24"/>
    </w:p>
    <w:p w14:paraId="29DAE3E5">
      <w:pPr>
        <w:snapToGrid w:val="0"/>
        <w:spacing w:line="360" w:lineRule="auto"/>
        <w:ind w:firstLine="480" w:firstLineChars="200"/>
        <w:rPr>
          <w:rFonts w:hint="eastAsia"/>
          <w:kern w:val="2"/>
          <w:highlight w:val="none"/>
        </w:rPr>
      </w:pPr>
      <w:r>
        <w:rPr>
          <w:rFonts w:hint="eastAsia"/>
          <w:kern w:val="2"/>
          <w:highlight w:val="none"/>
        </w:rPr>
        <w:t>公开招标。</w:t>
      </w:r>
      <w:bookmarkEnd w:id="21"/>
      <w:bookmarkEnd w:id="22"/>
      <w:bookmarkStart w:id="25" w:name="_Hlt68516771"/>
      <w:bookmarkEnd w:id="25"/>
      <w:bookmarkStart w:id="26" w:name="_Hlt74388212"/>
      <w:bookmarkEnd w:id="26"/>
    </w:p>
    <w:p w14:paraId="4D658B40">
      <w:pPr>
        <w:pStyle w:val="16"/>
        <w:numPr>
          <w:ilvl w:val="0"/>
          <w:numId w:val="14"/>
        </w:numPr>
        <w:spacing w:line="360" w:lineRule="auto"/>
        <w:ind w:firstLine="482" w:firstLineChars="200"/>
        <w:outlineLvl w:val="2"/>
        <w:rPr>
          <w:rFonts w:hint="eastAsia" w:hAnsi="宋体" w:cs="宋体"/>
          <w:b/>
          <w:szCs w:val="24"/>
          <w:highlight w:val="none"/>
        </w:rPr>
      </w:pPr>
      <w:bookmarkStart w:id="27" w:name="_Toc151026243"/>
      <w:bookmarkStart w:id="28" w:name="_Toc91899877"/>
      <w:bookmarkStart w:id="29" w:name="_Hlt74730303"/>
      <w:r>
        <w:rPr>
          <w:rFonts w:hint="eastAsia" w:hAnsi="宋体" w:cs="宋体"/>
          <w:b/>
          <w:szCs w:val="24"/>
          <w:highlight w:val="none"/>
        </w:rPr>
        <w:t>投标费用</w:t>
      </w:r>
      <w:bookmarkEnd w:id="27"/>
      <w:bookmarkEnd w:id="28"/>
    </w:p>
    <w:bookmarkEnd w:id="29"/>
    <w:p w14:paraId="4B9C05E5">
      <w:pPr>
        <w:snapToGrid w:val="0"/>
        <w:spacing w:line="360" w:lineRule="auto"/>
        <w:ind w:firstLine="480" w:firstLineChars="200"/>
        <w:rPr>
          <w:rFonts w:hint="eastAsia"/>
          <w:kern w:val="2"/>
          <w:highlight w:val="none"/>
        </w:rPr>
      </w:pPr>
      <w:r>
        <w:rPr>
          <w:rFonts w:hint="eastAsia"/>
          <w:kern w:val="2"/>
          <w:highlight w:val="none"/>
        </w:rPr>
        <w:t>投标人需自行承担涉及投标的一切费用（招标文件有其他相反规定除外）。</w:t>
      </w:r>
    </w:p>
    <w:p w14:paraId="3B9AEE65">
      <w:pPr>
        <w:spacing w:line="360" w:lineRule="auto"/>
        <w:jc w:val="center"/>
        <w:rPr>
          <w:rFonts w:hint="eastAsia"/>
          <w:b/>
          <w:highlight w:val="none"/>
        </w:rPr>
      </w:pPr>
      <w:bookmarkStart w:id="30" w:name="_Hlt74707468"/>
      <w:bookmarkEnd w:id="30"/>
      <w:bookmarkStart w:id="31" w:name="_Hlt68072990"/>
      <w:bookmarkEnd w:id="31"/>
      <w:bookmarkStart w:id="32" w:name="_Hlt75236290"/>
      <w:bookmarkEnd w:id="32"/>
      <w:bookmarkStart w:id="33" w:name="_Hlt68057669"/>
      <w:bookmarkEnd w:id="33"/>
      <w:bookmarkStart w:id="34" w:name="_Hlt74729768"/>
      <w:bookmarkEnd w:id="34"/>
      <w:bookmarkStart w:id="35" w:name="_Toc91899879"/>
    </w:p>
    <w:p w14:paraId="41B8681E">
      <w:pPr>
        <w:snapToGrid w:val="0"/>
        <w:spacing w:line="360" w:lineRule="auto"/>
        <w:jc w:val="center"/>
        <w:outlineLvl w:val="1"/>
        <w:rPr>
          <w:rFonts w:hint="eastAsia"/>
          <w:b/>
          <w:sz w:val="32"/>
          <w:highlight w:val="none"/>
        </w:rPr>
      </w:pPr>
      <w:bookmarkStart w:id="36" w:name="_Toc151026244"/>
      <w:r>
        <w:rPr>
          <w:rFonts w:hint="eastAsia"/>
          <w:b/>
          <w:sz w:val="32"/>
          <w:highlight w:val="none"/>
        </w:rPr>
        <w:t>第二章 招标文件</w:t>
      </w:r>
      <w:bookmarkEnd w:id="35"/>
      <w:bookmarkEnd w:id="36"/>
    </w:p>
    <w:p w14:paraId="5A7F0F0E">
      <w:pPr>
        <w:pStyle w:val="16"/>
        <w:numPr>
          <w:ilvl w:val="0"/>
          <w:numId w:val="14"/>
        </w:numPr>
        <w:spacing w:line="360" w:lineRule="auto"/>
        <w:ind w:firstLine="482" w:firstLineChars="200"/>
        <w:rPr>
          <w:rFonts w:hint="eastAsia" w:hAnsi="宋体" w:cs="宋体"/>
          <w:b/>
          <w:szCs w:val="24"/>
          <w:highlight w:val="none"/>
        </w:rPr>
      </w:pPr>
      <w:bookmarkStart w:id="37" w:name="_Toc91899880"/>
      <w:bookmarkStart w:id="38" w:name="_Hlt74730307"/>
      <w:r>
        <w:rPr>
          <w:rFonts w:hint="eastAsia" w:hAnsi="宋体" w:cs="宋体"/>
          <w:b/>
          <w:szCs w:val="24"/>
          <w:highlight w:val="none"/>
        </w:rPr>
        <w:t>招标文件的构成</w:t>
      </w:r>
      <w:bookmarkEnd w:id="37"/>
    </w:p>
    <w:bookmarkEnd w:id="38"/>
    <w:p w14:paraId="577162DA">
      <w:pPr>
        <w:snapToGrid w:val="0"/>
        <w:spacing w:line="360" w:lineRule="auto"/>
        <w:ind w:firstLine="480" w:firstLineChars="200"/>
        <w:rPr>
          <w:rFonts w:hint="eastAsia"/>
          <w:kern w:val="2"/>
          <w:highlight w:val="none"/>
        </w:rPr>
      </w:pPr>
      <w:r>
        <w:rPr>
          <w:rFonts w:hint="eastAsia"/>
          <w:kern w:val="2"/>
          <w:highlight w:val="none"/>
        </w:rPr>
        <w:t>4</w:t>
      </w:r>
      <w:r>
        <w:rPr>
          <w:kern w:val="2"/>
          <w:highlight w:val="none"/>
        </w:rPr>
        <w:t xml:space="preserve">.1 </w:t>
      </w:r>
      <w:r>
        <w:rPr>
          <w:rFonts w:hint="eastAsia"/>
          <w:kern w:val="2"/>
          <w:highlight w:val="none"/>
        </w:rPr>
        <w:t>招标文件包括下列文件及附件</w:t>
      </w:r>
    </w:p>
    <w:p w14:paraId="33EA2C13">
      <w:pPr>
        <w:pStyle w:val="69"/>
        <w:numPr>
          <w:ilvl w:val="0"/>
          <w:numId w:val="16"/>
        </w:numPr>
        <w:spacing w:before="0"/>
        <w:ind w:firstLine="480"/>
        <w:rPr>
          <w:rFonts w:hint="eastAsia" w:ascii="宋体" w:hAnsi="宋体"/>
          <w:highlight w:val="none"/>
        </w:rPr>
      </w:pPr>
      <w:r>
        <w:rPr>
          <w:rFonts w:hint="eastAsia" w:ascii="宋体" w:hAnsi="宋体"/>
          <w:highlight w:val="none"/>
        </w:rPr>
        <w:t>第一部分 招标公告</w:t>
      </w:r>
    </w:p>
    <w:p w14:paraId="39A99770">
      <w:pPr>
        <w:pStyle w:val="69"/>
        <w:numPr>
          <w:ilvl w:val="0"/>
          <w:numId w:val="16"/>
        </w:numPr>
        <w:spacing w:before="0"/>
        <w:ind w:firstLine="480"/>
        <w:rPr>
          <w:rFonts w:hint="eastAsia" w:ascii="宋体" w:hAnsi="宋体"/>
          <w:highlight w:val="none"/>
        </w:rPr>
      </w:pPr>
      <w:r>
        <w:rPr>
          <w:rFonts w:hint="eastAsia" w:ascii="宋体" w:hAnsi="宋体"/>
          <w:highlight w:val="none"/>
        </w:rPr>
        <w:t>第二部分 投标须知</w:t>
      </w:r>
    </w:p>
    <w:p w14:paraId="3A2388EB">
      <w:pPr>
        <w:pStyle w:val="69"/>
        <w:numPr>
          <w:ilvl w:val="0"/>
          <w:numId w:val="16"/>
        </w:numPr>
        <w:spacing w:before="0"/>
        <w:ind w:firstLine="480"/>
        <w:rPr>
          <w:rFonts w:hint="eastAsia" w:ascii="宋体" w:hAnsi="宋体"/>
          <w:highlight w:val="none"/>
        </w:rPr>
      </w:pPr>
      <w:r>
        <w:rPr>
          <w:rFonts w:hint="eastAsia" w:ascii="宋体" w:hAnsi="宋体"/>
          <w:highlight w:val="none"/>
        </w:rPr>
        <w:t>第三部分 评标办法及评分标准</w:t>
      </w:r>
    </w:p>
    <w:p w14:paraId="00486210">
      <w:pPr>
        <w:pStyle w:val="69"/>
        <w:numPr>
          <w:ilvl w:val="0"/>
          <w:numId w:val="16"/>
        </w:numPr>
        <w:spacing w:before="0"/>
        <w:ind w:firstLine="480"/>
        <w:rPr>
          <w:rFonts w:hint="eastAsia" w:ascii="宋体" w:hAnsi="宋体"/>
          <w:highlight w:val="none"/>
        </w:rPr>
      </w:pPr>
      <w:r>
        <w:rPr>
          <w:rFonts w:hint="eastAsia" w:ascii="宋体" w:hAnsi="宋体"/>
          <w:highlight w:val="none"/>
        </w:rPr>
        <w:t>第四部分 采购需求</w:t>
      </w:r>
    </w:p>
    <w:p w14:paraId="73E6A63F">
      <w:pPr>
        <w:pStyle w:val="69"/>
        <w:numPr>
          <w:ilvl w:val="0"/>
          <w:numId w:val="16"/>
        </w:numPr>
        <w:spacing w:before="0"/>
        <w:ind w:firstLine="480"/>
        <w:rPr>
          <w:rFonts w:hint="eastAsia" w:ascii="宋体" w:hAnsi="宋体"/>
          <w:highlight w:val="none"/>
        </w:rPr>
      </w:pPr>
      <w:r>
        <w:rPr>
          <w:rFonts w:hint="eastAsia" w:ascii="宋体" w:hAnsi="宋体"/>
          <w:highlight w:val="none"/>
        </w:rPr>
        <w:t>第五部分 采购合同的一般和特殊条款</w:t>
      </w:r>
    </w:p>
    <w:p w14:paraId="7284C60E">
      <w:pPr>
        <w:pStyle w:val="69"/>
        <w:numPr>
          <w:ilvl w:val="0"/>
          <w:numId w:val="16"/>
        </w:numPr>
        <w:spacing w:before="0"/>
        <w:ind w:firstLine="480"/>
        <w:rPr>
          <w:rFonts w:hint="eastAsia" w:ascii="宋体" w:hAnsi="宋体"/>
          <w:highlight w:val="none"/>
        </w:rPr>
      </w:pPr>
      <w:r>
        <w:rPr>
          <w:rFonts w:hint="eastAsia" w:ascii="宋体" w:hAnsi="宋体"/>
          <w:highlight w:val="none"/>
        </w:rPr>
        <w:t>第六部分 应提交的有关格式范例</w:t>
      </w:r>
    </w:p>
    <w:p w14:paraId="6AAF0962">
      <w:pPr>
        <w:snapToGrid w:val="0"/>
        <w:spacing w:line="360" w:lineRule="auto"/>
        <w:ind w:firstLine="480" w:firstLineChars="200"/>
        <w:rPr>
          <w:rFonts w:hint="eastAsia"/>
          <w:kern w:val="2"/>
          <w:highlight w:val="none"/>
        </w:rPr>
      </w:pPr>
      <w:r>
        <w:rPr>
          <w:rFonts w:hint="eastAsia"/>
          <w:kern w:val="2"/>
          <w:highlight w:val="none"/>
        </w:rPr>
        <w:t>4</w:t>
      </w:r>
      <w:r>
        <w:rPr>
          <w:kern w:val="2"/>
          <w:highlight w:val="none"/>
        </w:rPr>
        <w:t xml:space="preserve">.2 </w:t>
      </w:r>
      <w:r>
        <w:rPr>
          <w:rFonts w:hint="eastAsia"/>
          <w:kern w:val="2"/>
          <w:highlight w:val="none"/>
        </w:rPr>
        <w:t>投标人应认真审阅招标文件中所有的内容，包括编制和提交采购响应文件须知、评标办法及评分标准、项目技术规范和服务要求、采购合同的一般和特殊条款、应提交的有关格式范例等。</w:t>
      </w:r>
    </w:p>
    <w:p w14:paraId="5807F002">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招标文件的解释</w:t>
      </w:r>
    </w:p>
    <w:p w14:paraId="438F5CC9">
      <w:pPr>
        <w:snapToGrid w:val="0"/>
        <w:spacing w:line="360" w:lineRule="auto"/>
        <w:ind w:firstLine="480" w:firstLineChars="200"/>
        <w:rPr>
          <w:rFonts w:hint="eastAsia"/>
          <w:kern w:val="2"/>
          <w:highlight w:val="none"/>
        </w:rPr>
      </w:pPr>
      <w:r>
        <w:rPr>
          <w:rFonts w:hint="eastAsia"/>
          <w:kern w:val="2"/>
          <w:highlight w:val="none"/>
        </w:rPr>
        <w:t>5</w:t>
      </w:r>
      <w:r>
        <w:rPr>
          <w:kern w:val="2"/>
          <w:highlight w:val="none"/>
        </w:rPr>
        <w:t xml:space="preserve">.1 </w:t>
      </w:r>
      <w:r>
        <w:rPr>
          <w:rFonts w:hint="eastAsia"/>
          <w:kern w:val="2"/>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6DE75F9C">
      <w:pPr>
        <w:snapToGrid w:val="0"/>
        <w:spacing w:line="360" w:lineRule="auto"/>
        <w:ind w:firstLine="480" w:firstLineChars="200"/>
        <w:rPr>
          <w:rFonts w:hint="eastAsia"/>
          <w:kern w:val="2"/>
          <w:highlight w:val="none"/>
        </w:rPr>
      </w:pPr>
      <w:r>
        <w:rPr>
          <w:kern w:val="2"/>
          <w:highlight w:val="none"/>
        </w:rPr>
        <w:t xml:space="preserve">5.2 </w:t>
      </w:r>
      <w:r>
        <w:rPr>
          <w:rFonts w:hint="eastAsia"/>
          <w:kern w:val="2"/>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604BE6A5">
      <w:pPr>
        <w:snapToGrid w:val="0"/>
        <w:spacing w:line="360" w:lineRule="auto"/>
        <w:ind w:firstLine="480" w:firstLineChars="200"/>
        <w:rPr>
          <w:rFonts w:hint="eastAsia"/>
          <w:kern w:val="2"/>
          <w:highlight w:val="none"/>
        </w:rPr>
      </w:pPr>
      <w:r>
        <w:rPr>
          <w:rFonts w:hint="eastAsia"/>
          <w:kern w:val="2"/>
          <w:highlight w:val="none"/>
        </w:rPr>
        <w:t>5</w:t>
      </w:r>
      <w:r>
        <w:rPr>
          <w:kern w:val="2"/>
          <w:highlight w:val="none"/>
        </w:rPr>
        <w:t xml:space="preserve">.3 </w:t>
      </w:r>
      <w:r>
        <w:rPr>
          <w:rFonts w:hint="eastAsia"/>
          <w:kern w:val="2"/>
          <w:highlight w:val="none"/>
        </w:rPr>
        <w:t>不论采购代理机构向投标人发送的资料文件，还是投标人提出的问题，均采用书面形式。</w:t>
      </w:r>
    </w:p>
    <w:p w14:paraId="5ADC3543">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招标文件的修改、澄清</w:t>
      </w:r>
    </w:p>
    <w:p w14:paraId="4CF425B4">
      <w:pPr>
        <w:snapToGrid w:val="0"/>
        <w:spacing w:line="360" w:lineRule="auto"/>
        <w:ind w:firstLine="480" w:firstLineChars="200"/>
        <w:rPr>
          <w:rFonts w:hint="eastAsia"/>
          <w:kern w:val="2"/>
          <w:highlight w:val="none"/>
        </w:rPr>
      </w:pPr>
      <w:r>
        <w:rPr>
          <w:rFonts w:hint="eastAsia"/>
          <w:kern w:val="2"/>
          <w:highlight w:val="none"/>
        </w:rPr>
        <w:t>6</w:t>
      </w:r>
      <w:r>
        <w:rPr>
          <w:kern w:val="2"/>
          <w:highlight w:val="none"/>
        </w:rPr>
        <w:t xml:space="preserve">.1 </w:t>
      </w:r>
      <w:r>
        <w:rPr>
          <w:rFonts w:hint="eastAsia"/>
          <w:kern w:val="2"/>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4D57467A">
      <w:pPr>
        <w:snapToGrid w:val="0"/>
        <w:spacing w:line="360" w:lineRule="auto"/>
        <w:ind w:firstLine="480" w:firstLineChars="200"/>
        <w:rPr>
          <w:rFonts w:hint="eastAsia"/>
          <w:kern w:val="2"/>
          <w:highlight w:val="none"/>
        </w:rPr>
      </w:pPr>
      <w:r>
        <w:rPr>
          <w:rFonts w:hint="eastAsia"/>
          <w:kern w:val="2"/>
          <w:highlight w:val="none"/>
        </w:rPr>
        <w:t>6</w:t>
      </w:r>
      <w:r>
        <w:rPr>
          <w:kern w:val="2"/>
          <w:highlight w:val="none"/>
        </w:rPr>
        <w:t xml:space="preserve">.2 </w:t>
      </w:r>
      <w:r>
        <w:rPr>
          <w:rFonts w:hint="eastAsia"/>
          <w:kern w:val="2"/>
          <w:highlight w:val="none"/>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2837993A">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投标报价</w:t>
      </w:r>
    </w:p>
    <w:p w14:paraId="5937C8E0">
      <w:pPr>
        <w:snapToGrid w:val="0"/>
        <w:spacing w:line="360" w:lineRule="auto"/>
        <w:ind w:firstLine="480" w:firstLineChars="200"/>
        <w:rPr>
          <w:rFonts w:hint="eastAsia"/>
          <w:kern w:val="2"/>
          <w:highlight w:val="none"/>
          <w:lang w:eastAsia="zh-CN"/>
        </w:rPr>
      </w:pPr>
      <w:r>
        <w:rPr>
          <w:rFonts w:hint="eastAsia"/>
          <w:kern w:val="2"/>
          <w:highlight w:val="none"/>
        </w:rPr>
        <w:t xml:space="preserve">7.1 </w:t>
      </w:r>
      <w:r>
        <w:rPr>
          <w:rFonts w:hint="eastAsia"/>
          <w:kern w:val="2"/>
          <w:highlight w:val="none"/>
          <w:lang w:eastAsia="zh-CN"/>
        </w:rPr>
        <w:t>投标报价采用人民币计，合同采用固定综合单价形式，综合单价包括但不限于主材费、包装费、运输费、运输损耗、装卸费、安装费、安装所用水电费、辅料、配件、工具、深化设计费、保管费、调试费、检测费、保修费、管理费、相关配合费、单机调试及联动调试费、第三方检验费（包括针对网络系统的福禄克（FLUKE）检测、针对所有网络交换机型号的进网检验报告等）、现场可能发生的二次搬运费、临时设施费、检验试验费、成品保护费、利润、保险、税金、其他不可预见费等为完成本合同项下所有工作直至竣工验收合格后交付招标人使用所产生的一切费用以及售后服务费用。</w:t>
      </w:r>
      <w:r>
        <w:rPr>
          <w:b/>
          <w:bCs/>
          <w:highlight w:val="none"/>
        </w:rPr>
        <w:t>投标</w:t>
      </w:r>
      <w:r>
        <w:rPr>
          <w:rFonts w:hint="eastAsia"/>
          <w:b/>
          <w:bCs/>
          <w:kern w:val="2"/>
          <w:highlight w:val="none"/>
        </w:rPr>
        <w:t>人在编制投标报价时已充分考虑各种风险因素，凡</w:t>
      </w:r>
      <w:r>
        <w:rPr>
          <w:b/>
          <w:bCs/>
          <w:highlight w:val="none"/>
        </w:rPr>
        <w:t>投标</w:t>
      </w:r>
      <w:r>
        <w:rPr>
          <w:rFonts w:hint="eastAsia"/>
          <w:b/>
          <w:bCs/>
          <w:kern w:val="2"/>
          <w:highlight w:val="none"/>
        </w:rPr>
        <w:t>人漏项、漏报均认为已包含在报价中，结算时不再增加。</w:t>
      </w:r>
    </w:p>
    <w:p w14:paraId="69C20ED5">
      <w:pPr>
        <w:snapToGrid w:val="0"/>
        <w:spacing w:line="360" w:lineRule="auto"/>
        <w:ind w:firstLine="482" w:firstLineChars="200"/>
        <w:rPr>
          <w:rFonts w:hint="eastAsia"/>
          <w:kern w:val="2"/>
          <w:highlight w:val="none"/>
        </w:rPr>
      </w:pPr>
      <w:r>
        <w:rPr>
          <w:b/>
          <w:bCs/>
          <w:highlight w:val="none"/>
        </w:rPr>
        <w:t>投标人在投标深化设计时不得增减招标人提供的采购清单项目，各系统功能及相关设备的技术参数不得低于采购要求。</w:t>
      </w:r>
    </w:p>
    <w:p w14:paraId="54BFFD16">
      <w:pPr>
        <w:snapToGrid w:val="0"/>
        <w:spacing w:line="360" w:lineRule="auto"/>
        <w:ind w:firstLine="480" w:firstLineChars="200"/>
        <w:rPr>
          <w:rFonts w:hint="eastAsia"/>
          <w:kern w:val="2"/>
          <w:highlight w:val="none"/>
        </w:rPr>
      </w:pPr>
      <w:r>
        <w:rPr>
          <w:rFonts w:hint="eastAsia"/>
          <w:kern w:val="2"/>
          <w:highlight w:val="none"/>
        </w:rPr>
        <w:t>7</w:t>
      </w:r>
      <w:r>
        <w:rPr>
          <w:kern w:val="2"/>
          <w:highlight w:val="none"/>
        </w:rPr>
        <w:t xml:space="preserve">.2 </w:t>
      </w:r>
      <w:r>
        <w:rPr>
          <w:rFonts w:hint="eastAsia"/>
          <w:kern w:val="2"/>
          <w:highlight w:val="none"/>
        </w:rPr>
        <w:t>其它费用处理</w:t>
      </w:r>
    </w:p>
    <w:p w14:paraId="645D0A8F">
      <w:pPr>
        <w:snapToGrid w:val="0"/>
        <w:spacing w:line="360" w:lineRule="auto"/>
        <w:ind w:firstLine="480" w:firstLineChars="200"/>
        <w:rPr>
          <w:rFonts w:hint="eastAsia"/>
          <w:kern w:val="2"/>
          <w:highlight w:val="none"/>
        </w:rPr>
      </w:pPr>
      <w:r>
        <w:rPr>
          <w:rFonts w:hint="eastAsia"/>
          <w:kern w:val="2"/>
          <w:highlight w:val="none"/>
        </w:rPr>
        <w:t>招标文件未列明，而投标人认为必需的费用也需列入报价。</w:t>
      </w:r>
    </w:p>
    <w:p w14:paraId="606AFA6C">
      <w:pPr>
        <w:snapToGrid w:val="0"/>
        <w:spacing w:line="360" w:lineRule="auto"/>
        <w:ind w:firstLine="480" w:firstLineChars="200"/>
        <w:rPr>
          <w:rFonts w:hint="eastAsia"/>
          <w:kern w:val="2"/>
          <w:highlight w:val="none"/>
        </w:rPr>
      </w:pPr>
      <w:r>
        <w:rPr>
          <w:rFonts w:hint="eastAsia"/>
          <w:kern w:val="2"/>
          <w:highlight w:val="none"/>
        </w:rPr>
        <w:t>7</w:t>
      </w:r>
      <w:r>
        <w:rPr>
          <w:kern w:val="2"/>
          <w:highlight w:val="none"/>
        </w:rPr>
        <w:t xml:space="preserve">.3 </w:t>
      </w:r>
      <w:r>
        <w:rPr>
          <w:rFonts w:hint="eastAsia"/>
          <w:kern w:val="2"/>
          <w:highlight w:val="none"/>
        </w:rPr>
        <w:t>投标货币</w:t>
      </w:r>
    </w:p>
    <w:p w14:paraId="0315DF59">
      <w:pPr>
        <w:snapToGrid w:val="0"/>
        <w:spacing w:line="360" w:lineRule="auto"/>
        <w:ind w:firstLine="480" w:firstLineChars="200"/>
        <w:rPr>
          <w:rFonts w:hint="eastAsia"/>
          <w:kern w:val="2"/>
          <w:highlight w:val="none"/>
        </w:rPr>
      </w:pPr>
      <w:r>
        <w:rPr>
          <w:rFonts w:hint="eastAsia"/>
          <w:kern w:val="2"/>
          <w:highlight w:val="none"/>
        </w:rPr>
        <w:t>投标文件中价格全部采用人民币报价。报价应是唯一的, 采购代理机构将不接受有选择的报价。</w:t>
      </w:r>
    </w:p>
    <w:p w14:paraId="79261233">
      <w:pPr>
        <w:pStyle w:val="11"/>
        <w:snapToGrid w:val="0"/>
        <w:ind w:firstLine="480" w:firstLineChars="200"/>
        <w:rPr>
          <w:rFonts w:hint="eastAsia" w:hAnsi="宋体" w:cs="宋体"/>
          <w:szCs w:val="24"/>
          <w:highlight w:val="none"/>
        </w:rPr>
      </w:pPr>
    </w:p>
    <w:p w14:paraId="44952990">
      <w:pPr>
        <w:snapToGrid w:val="0"/>
        <w:spacing w:line="360" w:lineRule="auto"/>
        <w:jc w:val="center"/>
        <w:outlineLvl w:val="1"/>
        <w:rPr>
          <w:rFonts w:hint="eastAsia"/>
          <w:b/>
          <w:sz w:val="32"/>
          <w:highlight w:val="none"/>
        </w:rPr>
      </w:pPr>
      <w:bookmarkStart w:id="39" w:name="_Hlt75236011"/>
      <w:bookmarkEnd w:id="39"/>
      <w:bookmarkStart w:id="40" w:name="_Toc151026245"/>
      <w:bookmarkStart w:id="41" w:name="_Toc91899884"/>
      <w:r>
        <w:rPr>
          <w:rFonts w:hint="eastAsia"/>
          <w:b/>
          <w:sz w:val="32"/>
          <w:highlight w:val="none"/>
        </w:rPr>
        <w:t>第三章 投标文件的编制</w:t>
      </w:r>
      <w:bookmarkEnd w:id="40"/>
      <w:bookmarkEnd w:id="41"/>
    </w:p>
    <w:p w14:paraId="29684D9C">
      <w:pPr>
        <w:pStyle w:val="16"/>
        <w:numPr>
          <w:ilvl w:val="0"/>
          <w:numId w:val="14"/>
        </w:numPr>
        <w:spacing w:line="360" w:lineRule="auto"/>
        <w:ind w:firstLine="482" w:firstLineChars="200"/>
        <w:rPr>
          <w:rFonts w:hint="eastAsia" w:hAnsi="宋体" w:cs="宋体"/>
          <w:b/>
          <w:szCs w:val="24"/>
          <w:highlight w:val="none"/>
        </w:rPr>
      </w:pPr>
      <w:bookmarkStart w:id="42" w:name="_Toc86216991"/>
      <w:bookmarkStart w:id="43" w:name="_Toc91899892"/>
      <w:r>
        <w:rPr>
          <w:rFonts w:hint="eastAsia" w:hAnsi="宋体" w:cs="宋体"/>
          <w:b/>
          <w:szCs w:val="24"/>
          <w:highlight w:val="none"/>
        </w:rPr>
        <w:t>投标文件的语言</w:t>
      </w:r>
    </w:p>
    <w:p w14:paraId="21761A6A">
      <w:pPr>
        <w:snapToGrid w:val="0"/>
        <w:spacing w:line="360" w:lineRule="auto"/>
        <w:ind w:firstLine="480" w:firstLineChars="200"/>
        <w:rPr>
          <w:rFonts w:hint="eastAsia"/>
          <w:kern w:val="2"/>
          <w:highlight w:val="none"/>
        </w:rPr>
      </w:pPr>
      <w:r>
        <w:rPr>
          <w:rFonts w:hint="eastAsia"/>
          <w:kern w:val="2"/>
          <w:highlight w:val="none"/>
        </w:rPr>
        <w:t>投标文件及投标人与采购有关的来往通知、函件和文件均应使用中文。</w:t>
      </w:r>
    </w:p>
    <w:p w14:paraId="4AE00596">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投标文件的组成</w:t>
      </w:r>
    </w:p>
    <w:p w14:paraId="0F43245C">
      <w:pPr>
        <w:snapToGrid w:val="0"/>
        <w:spacing w:line="360" w:lineRule="auto"/>
        <w:ind w:firstLine="480" w:firstLineChars="200"/>
        <w:rPr>
          <w:rFonts w:hint="eastAsia"/>
          <w:kern w:val="2"/>
          <w:highlight w:val="none"/>
        </w:rPr>
      </w:pPr>
      <w:r>
        <w:rPr>
          <w:rFonts w:hint="eastAsia"/>
          <w:kern w:val="2"/>
          <w:highlight w:val="none"/>
        </w:rPr>
        <w:t>投标文件应当包括以下主要内容：资格文件、商务文件、技术文件、报价文件。</w:t>
      </w:r>
    </w:p>
    <w:p w14:paraId="1DD6A13C">
      <w:pPr>
        <w:snapToGrid w:val="0"/>
        <w:spacing w:line="360" w:lineRule="auto"/>
        <w:ind w:firstLine="480" w:firstLineChars="200"/>
        <w:rPr>
          <w:rFonts w:hint="eastAsia"/>
          <w:kern w:val="2"/>
          <w:highlight w:val="none"/>
        </w:rPr>
      </w:pPr>
      <w:r>
        <w:rPr>
          <w:rFonts w:hint="eastAsia"/>
          <w:kern w:val="2"/>
          <w:highlight w:val="none"/>
        </w:rPr>
        <w:t>9</w:t>
      </w:r>
      <w:r>
        <w:rPr>
          <w:kern w:val="2"/>
          <w:highlight w:val="none"/>
        </w:rPr>
        <w:t xml:space="preserve">.1 </w:t>
      </w:r>
      <w:r>
        <w:rPr>
          <w:rFonts w:hint="eastAsia"/>
          <w:kern w:val="2"/>
          <w:highlight w:val="none"/>
        </w:rPr>
        <w:t>资格文件包括以下内容：</w:t>
      </w:r>
    </w:p>
    <w:p w14:paraId="4DF43D08">
      <w:pPr>
        <w:pStyle w:val="69"/>
        <w:spacing w:before="0"/>
        <w:ind w:firstLine="480"/>
        <w:rPr>
          <w:rFonts w:hint="eastAsia" w:ascii="宋体" w:hAnsi="宋体"/>
          <w:highlight w:val="none"/>
        </w:rPr>
      </w:pPr>
      <w:r>
        <w:rPr>
          <w:rFonts w:hint="eastAsia" w:ascii="宋体" w:hAnsi="宋体"/>
          <w:highlight w:val="none"/>
        </w:rPr>
        <w:t>①　法定代表人授权书（格式见附件）；如法定代表人直接参加投标并对相应文件签字的（签字是指线下签字扫描后上传或者线上进行电子签章），只需提供其身份证复印件，否则则应提供授权代表身份证复印件；</w:t>
      </w:r>
    </w:p>
    <w:p w14:paraId="2DD64BA0">
      <w:pPr>
        <w:pStyle w:val="69"/>
        <w:spacing w:before="0"/>
        <w:ind w:firstLine="480"/>
        <w:rPr>
          <w:rFonts w:hint="eastAsia" w:ascii="宋体" w:hAnsi="宋体"/>
          <w:highlight w:val="none"/>
        </w:rPr>
      </w:pPr>
      <w:r>
        <w:rPr>
          <w:rFonts w:hint="eastAsia" w:ascii="宋体" w:hAnsi="宋体"/>
          <w:highlight w:val="none"/>
        </w:rPr>
        <w:t>②　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11200C4C">
      <w:pPr>
        <w:pStyle w:val="69"/>
        <w:spacing w:before="0"/>
        <w:ind w:firstLine="480"/>
        <w:rPr>
          <w:rFonts w:hint="eastAsia" w:ascii="宋体" w:hAnsi="宋体" w:eastAsia="宋体" w:cs="宋体"/>
          <w:highlight w:val="none"/>
        </w:rPr>
      </w:pPr>
      <w:r>
        <w:rPr>
          <w:rFonts w:hint="eastAsia" w:ascii="宋体" w:hAnsi="宋体" w:eastAsia="宋体" w:cs="宋体"/>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15848AEA">
      <w:pPr>
        <w:pStyle w:val="69"/>
        <w:spacing w:before="0"/>
        <w:ind w:firstLine="480"/>
        <w:rPr>
          <w:rFonts w:hint="eastAsia" w:ascii="宋体" w:hAnsi="宋体"/>
          <w:szCs w:val="24"/>
          <w:highlight w:val="none"/>
        </w:rPr>
      </w:pPr>
      <w:r>
        <w:rPr>
          <w:rFonts w:hint="eastAsia" w:ascii="宋体" w:hAnsi="宋体"/>
          <w:szCs w:val="24"/>
          <w:highlight w:val="none"/>
        </w:rPr>
        <w:t>③　具有履行合同所必需的产品和专业技术能力的承诺函；</w:t>
      </w:r>
    </w:p>
    <w:p w14:paraId="18D1FB8B">
      <w:pPr>
        <w:pStyle w:val="69"/>
        <w:spacing w:before="0"/>
        <w:ind w:firstLine="480"/>
        <w:rPr>
          <w:rFonts w:hint="eastAsia"/>
          <w:szCs w:val="24"/>
          <w:highlight w:val="none"/>
        </w:rPr>
      </w:pPr>
      <w:r>
        <w:rPr>
          <w:rFonts w:hint="eastAsia" w:ascii="宋体" w:hAnsi="宋体"/>
          <w:szCs w:val="24"/>
          <w:highlight w:val="none"/>
        </w:rPr>
        <w:t>④　投标人承诺函（格式见附件）</w:t>
      </w:r>
      <w:r>
        <w:rPr>
          <w:rFonts w:hint="eastAsia"/>
          <w:szCs w:val="24"/>
          <w:highlight w:val="none"/>
        </w:rPr>
        <w:t xml:space="preserve"> </w:t>
      </w:r>
    </w:p>
    <w:p w14:paraId="4AABB061">
      <w:pPr>
        <w:pStyle w:val="69"/>
        <w:spacing w:before="0"/>
        <w:ind w:firstLine="480"/>
        <w:rPr>
          <w:rFonts w:hint="eastAsia" w:ascii="宋体" w:hAnsi="宋体"/>
          <w:szCs w:val="24"/>
          <w:highlight w:val="none"/>
        </w:rPr>
      </w:pPr>
      <w:r>
        <w:rPr>
          <w:rFonts w:hint="eastAsia" w:ascii="宋体" w:hAnsi="宋体"/>
          <w:szCs w:val="24"/>
          <w:highlight w:val="none"/>
        </w:rPr>
        <w:t>⑤　若联合体投标的提供联合体协议。（格式见附件）</w:t>
      </w:r>
    </w:p>
    <w:p w14:paraId="379A4B83">
      <w:pPr>
        <w:snapToGrid w:val="0"/>
        <w:spacing w:line="360" w:lineRule="auto"/>
        <w:ind w:firstLine="480" w:firstLineChars="200"/>
        <w:rPr>
          <w:rFonts w:hint="eastAsia"/>
          <w:kern w:val="2"/>
          <w:highlight w:val="none"/>
        </w:rPr>
      </w:pPr>
      <w:r>
        <w:rPr>
          <w:rFonts w:hint="eastAsia"/>
          <w:kern w:val="2"/>
          <w:highlight w:val="none"/>
        </w:rPr>
        <w:t>9</w:t>
      </w:r>
      <w:r>
        <w:rPr>
          <w:kern w:val="2"/>
          <w:highlight w:val="none"/>
        </w:rPr>
        <w:t>.2</w:t>
      </w:r>
      <w:r>
        <w:rPr>
          <w:rFonts w:hint="eastAsia"/>
          <w:kern w:val="2"/>
          <w:highlight w:val="none"/>
        </w:rPr>
        <w:t>技术文件，本次招标需要投标人提供以下项所列的技术文件</w:t>
      </w:r>
    </w:p>
    <w:p w14:paraId="354FA500">
      <w:pPr>
        <w:pStyle w:val="69"/>
        <w:numPr>
          <w:ilvl w:val="0"/>
          <w:numId w:val="17"/>
        </w:numPr>
        <w:spacing w:before="0"/>
        <w:ind w:firstLine="480"/>
        <w:rPr>
          <w:rFonts w:hint="eastAsia" w:ascii="宋体" w:hAnsi="宋体"/>
          <w:bCs/>
          <w:highlight w:val="none"/>
        </w:rPr>
      </w:pPr>
      <w:r>
        <w:rPr>
          <w:rFonts w:hint="eastAsia" w:ascii="宋体" w:hAnsi="宋体"/>
          <w:bCs/>
          <w:highlight w:val="none"/>
        </w:rPr>
        <w:t>评分对应表（格式见附件，主要用于评委对应评分内容）</w:t>
      </w:r>
    </w:p>
    <w:p w14:paraId="4B79C49F">
      <w:pPr>
        <w:pStyle w:val="69"/>
        <w:numPr>
          <w:ilvl w:val="0"/>
          <w:numId w:val="17"/>
        </w:numPr>
        <w:spacing w:before="0"/>
        <w:ind w:firstLine="480"/>
        <w:rPr>
          <w:rFonts w:hint="eastAsia" w:ascii="宋体" w:hAnsi="宋体"/>
          <w:bCs/>
          <w:highlight w:val="none"/>
        </w:rPr>
      </w:pPr>
      <w:r>
        <w:rPr>
          <w:rFonts w:hint="eastAsia" w:ascii="宋体" w:hAnsi="宋体"/>
          <w:bCs/>
          <w:highlight w:val="none"/>
          <w:lang w:val="en-US" w:eastAsia="zh-CN"/>
        </w:rPr>
        <w:t>品牌响应表</w:t>
      </w:r>
      <w:r>
        <w:rPr>
          <w:rFonts w:hint="eastAsia" w:ascii="宋体" w:hAnsi="宋体"/>
          <w:bCs/>
          <w:highlight w:val="none"/>
        </w:rPr>
        <w:t>（格式见附件）；</w:t>
      </w:r>
    </w:p>
    <w:p w14:paraId="1978D684">
      <w:pPr>
        <w:pStyle w:val="69"/>
        <w:numPr>
          <w:ilvl w:val="0"/>
          <w:numId w:val="17"/>
        </w:numPr>
        <w:spacing w:before="0"/>
        <w:ind w:firstLine="480"/>
        <w:rPr>
          <w:rFonts w:hint="eastAsia" w:ascii="宋体" w:hAnsi="宋体"/>
          <w:bCs/>
          <w:highlight w:val="none"/>
        </w:rPr>
      </w:pPr>
      <w:r>
        <w:rPr>
          <w:rFonts w:hint="eastAsia" w:ascii="宋体" w:hAnsi="宋体"/>
          <w:bCs/>
          <w:highlight w:val="none"/>
        </w:rPr>
        <w:t>参数完全响应承诺函（如有，格式见附件）；</w:t>
      </w:r>
    </w:p>
    <w:p w14:paraId="4BCA35C2">
      <w:pPr>
        <w:pStyle w:val="69"/>
        <w:numPr>
          <w:ilvl w:val="0"/>
          <w:numId w:val="17"/>
        </w:numPr>
        <w:spacing w:before="0"/>
        <w:ind w:firstLine="480"/>
        <w:rPr>
          <w:rFonts w:hint="eastAsia" w:ascii="宋体" w:hAnsi="宋体"/>
          <w:bCs/>
          <w:highlight w:val="none"/>
        </w:rPr>
      </w:pPr>
      <w:r>
        <w:rPr>
          <w:rFonts w:hint="eastAsia" w:ascii="宋体" w:hAnsi="宋体"/>
          <w:bCs/>
          <w:highlight w:val="none"/>
        </w:rPr>
        <w:t>技术响应及建议表（格式见附件）；</w:t>
      </w:r>
    </w:p>
    <w:p w14:paraId="277D28F9">
      <w:pPr>
        <w:pStyle w:val="69"/>
        <w:numPr>
          <w:ilvl w:val="0"/>
          <w:numId w:val="17"/>
        </w:numPr>
        <w:spacing w:before="0"/>
        <w:ind w:firstLine="480"/>
        <w:rPr>
          <w:rFonts w:hint="eastAsia" w:ascii="宋体" w:hAnsi="宋体"/>
          <w:highlight w:val="none"/>
        </w:rPr>
      </w:pPr>
      <w:r>
        <w:rPr>
          <w:rFonts w:hint="eastAsia" w:ascii="宋体" w:hAnsi="宋体"/>
          <w:bCs/>
          <w:highlight w:val="none"/>
        </w:rPr>
        <w:t>技术方案；</w:t>
      </w:r>
    </w:p>
    <w:p w14:paraId="0799959A">
      <w:pPr>
        <w:pStyle w:val="69"/>
        <w:numPr>
          <w:ilvl w:val="0"/>
          <w:numId w:val="17"/>
        </w:numPr>
        <w:spacing w:before="0"/>
        <w:ind w:firstLine="480"/>
        <w:rPr>
          <w:rFonts w:hint="eastAsia" w:ascii="宋体" w:hAnsi="宋体"/>
          <w:highlight w:val="none"/>
        </w:rPr>
      </w:pPr>
      <w:r>
        <w:rPr>
          <w:rFonts w:hint="eastAsia" w:ascii="宋体" w:hAnsi="宋体"/>
          <w:bCs/>
          <w:highlight w:val="none"/>
        </w:rPr>
        <w:t>产品配置；</w:t>
      </w:r>
    </w:p>
    <w:p w14:paraId="2A0CF0D1">
      <w:pPr>
        <w:pStyle w:val="69"/>
        <w:numPr>
          <w:ilvl w:val="0"/>
          <w:numId w:val="17"/>
        </w:numPr>
        <w:spacing w:before="0"/>
        <w:ind w:firstLine="480"/>
        <w:rPr>
          <w:rFonts w:hint="eastAsia" w:ascii="宋体" w:hAnsi="宋体"/>
          <w:highlight w:val="none"/>
        </w:rPr>
      </w:pPr>
      <w:r>
        <w:rPr>
          <w:rFonts w:hint="eastAsia" w:ascii="宋体" w:hAnsi="宋体"/>
          <w:szCs w:val="24"/>
          <w:highlight w:val="none"/>
        </w:rPr>
        <w:t>售后服务；</w:t>
      </w:r>
    </w:p>
    <w:p w14:paraId="4D7F3A6C">
      <w:pPr>
        <w:pStyle w:val="69"/>
        <w:numPr>
          <w:ilvl w:val="0"/>
          <w:numId w:val="17"/>
        </w:numPr>
        <w:spacing w:before="0"/>
        <w:ind w:firstLine="480"/>
        <w:rPr>
          <w:rFonts w:hint="eastAsia" w:ascii="宋体" w:hAnsi="宋体"/>
          <w:highlight w:val="none"/>
        </w:rPr>
      </w:pPr>
      <w:r>
        <w:rPr>
          <w:rFonts w:hint="eastAsia" w:ascii="宋体" w:hAnsi="宋体"/>
          <w:highlight w:val="none"/>
        </w:rPr>
        <w:t>投标方认为需要的其他文件资料。</w:t>
      </w:r>
    </w:p>
    <w:p w14:paraId="24F1196D">
      <w:pPr>
        <w:pStyle w:val="69"/>
        <w:tabs>
          <w:tab w:val="left" w:pos="0"/>
        </w:tabs>
        <w:spacing w:before="0"/>
        <w:ind w:firstLine="480"/>
        <w:rPr>
          <w:rFonts w:hint="eastAsia" w:ascii="宋体" w:hAnsi="宋体"/>
          <w:highlight w:val="none"/>
        </w:rPr>
      </w:pPr>
      <w:r>
        <w:rPr>
          <w:rFonts w:ascii="宋体" w:hAnsi="宋体"/>
          <w:highlight w:val="none"/>
        </w:rPr>
        <w:t>9.3</w:t>
      </w:r>
      <w:r>
        <w:rPr>
          <w:rFonts w:hint="eastAsia" w:ascii="宋体" w:hAnsi="宋体"/>
          <w:highlight w:val="none"/>
        </w:rPr>
        <w:t>商务文件</w:t>
      </w:r>
      <w:r>
        <w:rPr>
          <w:rFonts w:ascii="宋体" w:hAnsi="宋体"/>
          <w:highlight w:val="none"/>
        </w:rPr>
        <w:t>，本次招标需要投标人提供以下项所列的</w:t>
      </w:r>
      <w:r>
        <w:rPr>
          <w:rFonts w:hint="eastAsia" w:ascii="宋体" w:hAnsi="宋体"/>
          <w:highlight w:val="none"/>
        </w:rPr>
        <w:t>商务</w:t>
      </w:r>
      <w:r>
        <w:rPr>
          <w:rFonts w:ascii="宋体" w:hAnsi="宋体"/>
          <w:highlight w:val="none"/>
        </w:rPr>
        <w:t>文件</w:t>
      </w:r>
    </w:p>
    <w:p w14:paraId="50693C6B">
      <w:pPr>
        <w:pStyle w:val="69"/>
        <w:tabs>
          <w:tab w:val="left" w:pos="0"/>
        </w:tabs>
        <w:spacing w:before="0"/>
        <w:ind w:firstLine="480"/>
        <w:rPr>
          <w:rFonts w:hint="eastAsia" w:ascii="宋体" w:hAnsi="宋体"/>
          <w:highlight w:val="none"/>
        </w:rPr>
      </w:pPr>
      <w:r>
        <w:rPr>
          <w:rFonts w:hint="eastAsia" w:ascii="宋体" w:hAnsi="宋体"/>
          <w:highlight w:val="none"/>
        </w:rPr>
        <w:t>①</w:t>
      </w:r>
      <w:r>
        <w:rPr>
          <w:rFonts w:ascii="宋体" w:hAnsi="宋体"/>
          <w:highlight w:val="none"/>
        </w:rPr>
        <w:t xml:space="preserve">  </w:t>
      </w:r>
      <w:r>
        <w:rPr>
          <w:rFonts w:hint="eastAsia" w:ascii="宋体" w:hAnsi="宋体"/>
          <w:highlight w:val="none"/>
        </w:rPr>
        <w:t>供应商商务文件中资信分自评表（格式见附件）；</w:t>
      </w:r>
    </w:p>
    <w:p w14:paraId="703FBC32">
      <w:pPr>
        <w:pStyle w:val="69"/>
        <w:tabs>
          <w:tab w:val="left" w:pos="0"/>
        </w:tabs>
        <w:spacing w:before="0"/>
        <w:ind w:firstLine="480"/>
        <w:rPr>
          <w:rFonts w:hint="eastAsia" w:ascii="宋体" w:hAnsi="宋体"/>
          <w:bCs/>
          <w:highlight w:val="none"/>
        </w:rPr>
      </w:pPr>
      <w:r>
        <w:rPr>
          <w:rFonts w:hint="eastAsia" w:ascii="宋体" w:hAnsi="宋体"/>
          <w:highlight w:val="none"/>
        </w:rPr>
        <w:t>②</w:t>
      </w:r>
      <w:r>
        <w:rPr>
          <w:rFonts w:ascii="宋体" w:hAnsi="宋体"/>
          <w:highlight w:val="none"/>
        </w:rPr>
        <w:t xml:space="preserve">  </w:t>
      </w:r>
      <w:r>
        <w:rPr>
          <w:rFonts w:hint="eastAsia" w:ascii="宋体" w:hAnsi="宋体"/>
          <w:bCs/>
          <w:highlight w:val="none"/>
        </w:rPr>
        <w:t>商务响应表（格式见附件）；</w:t>
      </w:r>
    </w:p>
    <w:p w14:paraId="5823B682">
      <w:pPr>
        <w:pStyle w:val="69"/>
        <w:tabs>
          <w:tab w:val="left" w:pos="0"/>
        </w:tabs>
        <w:spacing w:before="0"/>
        <w:ind w:firstLine="480"/>
        <w:rPr>
          <w:rFonts w:hint="eastAsia" w:ascii="宋体" w:hAnsi="宋体"/>
          <w:bCs/>
          <w:highlight w:val="none"/>
        </w:rPr>
      </w:pPr>
      <w:r>
        <w:rPr>
          <w:rFonts w:hint="eastAsia" w:ascii="宋体" w:hAnsi="宋体"/>
          <w:szCs w:val="24"/>
          <w:highlight w:val="none"/>
        </w:rPr>
        <w:t>③</w:t>
      </w:r>
      <w:r>
        <w:rPr>
          <w:rFonts w:ascii="宋体" w:hAnsi="宋体"/>
          <w:bCs/>
          <w:highlight w:val="none"/>
        </w:rPr>
        <w:t xml:space="preserve">  </w:t>
      </w:r>
      <w:r>
        <w:rPr>
          <w:rFonts w:hint="eastAsia" w:ascii="宋体" w:hAnsi="宋体"/>
          <w:bCs/>
          <w:highlight w:val="none"/>
        </w:rPr>
        <w:t>投标人实力；</w:t>
      </w:r>
    </w:p>
    <w:p w14:paraId="6D1D8C3D">
      <w:pPr>
        <w:pStyle w:val="69"/>
        <w:tabs>
          <w:tab w:val="left" w:pos="0"/>
        </w:tabs>
        <w:spacing w:before="0"/>
        <w:ind w:firstLine="480"/>
        <w:rPr>
          <w:rFonts w:hint="eastAsia" w:ascii="宋体" w:hAnsi="宋体"/>
          <w:bCs/>
          <w:highlight w:val="none"/>
        </w:rPr>
      </w:pPr>
      <w:r>
        <w:rPr>
          <w:rFonts w:hint="eastAsia" w:ascii="宋体" w:hAnsi="宋体"/>
          <w:szCs w:val="24"/>
          <w:highlight w:val="none"/>
        </w:rPr>
        <w:t>④</w:t>
      </w:r>
      <w:r>
        <w:rPr>
          <w:rFonts w:ascii="宋体" w:hAnsi="宋体"/>
          <w:bCs/>
          <w:highlight w:val="none"/>
        </w:rPr>
        <w:t xml:space="preserve">  </w:t>
      </w:r>
      <w:r>
        <w:rPr>
          <w:rFonts w:hint="eastAsia" w:ascii="宋体" w:hAnsi="宋体"/>
          <w:bCs/>
          <w:highlight w:val="none"/>
        </w:rPr>
        <w:t>投标人业绩；</w:t>
      </w:r>
    </w:p>
    <w:p w14:paraId="2199F965">
      <w:pPr>
        <w:pStyle w:val="69"/>
        <w:tabs>
          <w:tab w:val="left" w:pos="0"/>
        </w:tabs>
        <w:spacing w:before="0"/>
        <w:ind w:firstLine="480"/>
        <w:rPr>
          <w:rFonts w:hint="eastAsia" w:ascii="宋体" w:hAnsi="宋体"/>
          <w:bCs/>
          <w:highlight w:val="none"/>
        </w:rPr>
      </w:pPr>
      <w:r>
        <w:rPr>
          <w:rFonts w:hint="eastAsia" w:ascii="宋体" w:hAnsi="宋体"/>
          <w:bCs/>
          <w:highlight w:val="none"/>
        </w:rPr>
        <w:t>⑥</w:t>
      </w:r>
      <w:r>
        <w:rPr>
          <w:rFonts w:ascii="宋体" w:hAnsi="宋体"/>
          <w:bCs/>
          <w:highlight w:val="none"/>
        </w:rPr>
        <w:t xml:space="preserve">  </w:t>
      </w:r>
      <w:r>
        <w:rPr>
          <w:rFonts w:hint="eastAsia" w:ascii="宋体" w:hAnsi="宋体"/>
          <w:bCs/>
          <w:highlight w:val="none"/>
        </w:rPr>
        <w:t>管理体系；</w:t>
      </w:r>
    </w:p>
    <w:p w14:paraId="2B016DA3">
      <w:pPr>
        <w:pStyle w:val="69"/>
        <w:tabs>
          <w:tab w:val="left" w:pos="0"/>
        </w:tabs>
        <w:spacing w:before="0"/>
        <w:ind w:firstLine="480"/>
        <w:rPr>
          <w:rFonts w:hint="eastAsia" w:ascii="宋体" w:hAnsi="宋体"/>
          <w:bCs/>
          <w:highlight w:val="none"/>
        </w:rPr>
      </w:pPr>
      <w:r>
        <w:rPr>
          <w:rFonts w:hint="eastAsia" w:ascii="宋体" w:hAnsi="宋体"/>
          <w:bCs/>
          <w:highlight w:val="none"/>
        </w:rPr>
        <w:t>⑦</w:t>
      </w:r>
      <w:r>
        <w:rPr>
          <w:rFonts w:ascii="宋体" w:hAnsi="宋体"/>
          <w:bCs/>
          <w:highlight w:val="none"/>
        </w:rPr>
        <w:t xml:space="preserve">  </w:t>
      </w:r>
      <w:r>
        <w:rPr>
          <w:rFonts w:hint="eastAsia" w:ascii="宋体" w:hAnsi="宋体"/>
          <w:bCs/>
          <w:highlight w:val="none"/>
        </w:rPr>
        <w:t>项目团队；</w:t>
      </w:r>
    </w:p>
    <w:p w14:paraId="70D7C6CD">
      <w:pPr>
        <w:pStyle w:val="69"/>
        <w:tabs>
          <w:tab w:val="left" w:pos="0"/>
        </w:tabs>
        <w:spacing w:before="0"/>
        <w:ind w:firstLine="480"/>
        <w:rPr>
          <w:rFonts w:hint="eastAsia" w:ascii="宋体" w:hAnsi="宋体"/>
          <w:highlight w:val="none"/>
        </w:rPr>
      </w:pPr>
      <w:r>
        <w:rPr>
          <w:rFonts w:hint="eastAsia" w:ascii="宋体" w:hAnsi="宋体"/>
          <w:highlight w:val="none"/>
        </w:rPr>
        <w:t>⑨</w:t>
      </w:r>
      <w:r>
        <w:rPr>
          <w:rFonts w:ascii="宋体" w:hAnsi="宋体"/>
          <w:highlight w:val="none"/>
        </w:rPr>
        <w:t xml:space="preserve">  </w:t>
      </w:r>
      <w:r>
        <w:rPr>
          <w:rFonts w:hint="eastAsia" w:ascii="宋体" w:hAnsi="宋体"/>
          <w:highlight w:val="none"/>
        </w:rPr>
        <w:t>投标方认为需要的其他文件资料</w:t>
      </w:r>
      <w:r>
        <w:rPr>
          <w:rFonts w:hint="eastAsia" w:ascii="宋体" w:hAnsi="宋体"/>
          <w:bCs/>
          <w:highlight w:val="none"/>
        </w:rPr>
        <w:t>；</w:t>
      </w:r>
    </w:p>
    <w:p w14:paraId="20F29658">
      <w:pPr>
        <w:pStyle w:val="69"/>
        <w:tabs>
          <w:tab w:val="left" w:pos="0"/>
        </w:tabs>
        <w:spacing w:before="0"/>
        <w:ind w:firstLine="480"/>
        <w:rPr>
          <w:rFonts w:hint="eastAsia" w:ascii="宋体" w:hAnsi="宋体"/>
          <w:highlight w:val="none"/>
        </w:rPr>
      </w:pPr>
      <w:r>
        <w:rPr>
          <w:rFonts w:hint="eastAsia" w:ascii="宋体" w:hAnsi="宋体"/>
          <w:highlight w:val="none"/>
        </w:rPr>
        <w:t>注：以上内容应与评标办法中内容具有一致性。</w:t>
      </w:r>
    </w:p>
    <w:p w14:paraId="157E68CA">
      <w:pPr>
        <w:pStyle w:val="69"/>
        <w:tabs>
          <w:tab w:val="left" w:pos="0"/>
        </w:tabs>
        <w:spacing w:before="0"/>
        <w:ind w:firstLine="480"/>
        <w:rPr>
          <w:rFonts w:hint="eastAsia" w:ascii="宋体" w:hAnsi="宋体"/>
          <w:highlight w:val="none"/>
        </w:rPr>
      </w:pPr>
      <w:r>
        <w:rPr>
          <w:rFonts w:hint="eastAsia" w:ascii="宋体" w:hAnsi="宋体"/>
          <w:highlight w:val="none"/>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w:t>
      </w:r>
    </w:p>
    <w:p w14:paraId="2D86D76A">
      <w:pPr>
        <w:pStyle w:val="69"/>
        <w:tabs>
          <w:tab w:val="left" w:pos="0"/>
        </w:tabs>
        <w:spacing w:before="0"/>
        <w:ind w:firstLine="480"/>
        <w:rPr>
          <w:rFonts w:hint="eastAsia" w:ascii="宋体" w:hAnsi="宋体"/>
          <w:highlight w:val="none"/>
        </w:rPr>
      </w:pPr>
      <w:r>
        <w:rPr>
          <w:rFonts w:hint="eastAsia" w:ascii="宋体" w:hAnsi="宋体"/>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b/>
          <w:bCs/>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902C2AB">
      <w:pPr>
        <w:snapToGrid w:val="0"/>
        <w:spacing w:line="360" w:lineRule="auto"/>
        <w:ind w:firstLine="480" w:firstLineChars="200"/>
        <w:rPr>
          <w:rFonts w:hint="eastAsia"/>
          <w:kern w:val="2"/>
          <w:highlight w:val="none"/>
        </w:rPr>
      </w:pPr>
      <w:r>
        <w:rPr>
          <w:rFonts w:hint="eastAsia"/>
          <w:kern w:val="2"/>
          <w:highlight w:val="none"/>
        </w:rPr>
        <w:t>9</w:t>
      </w:r>
      <w:r>
        <w:rPr>
          <w:kern w:val="2"/>
          <w:highlight w:val="none"/>
        </w:rPr>
        <w:t xml:space="preserve">.4 </w:t>
      </w:r>
      <w:r>
        <w:rPr>
          <w:rFonts w:hint="eastAsia"/>
          <w:kern w:val="2"/>
          <w:highlight w:val="none"/>
        </w:rPr>
        <w:t>报价文件包括以下内容：</w:t>
      </w:r>
    </w:p>
    <w:p w14:paraId="69F2E6B2">
      <w:pPr>
        <w:pStyle w:val="69"/>
        <w:numPr>
          <w:ilvl w:val="0"/>
          <w:numId w:val="18"/>
        </w:numPr>
        <w:spacing w:before="0"/>
        <w:ind w:firstLine="480"/>
        <w:rPr>
          <w:rFonts w:hint="eastAsia" w:ascii="宋体" w:hAnsi="宋体"/>
          <w:highlight w:val="none"/>
        </w:rPr>
      </w:pPr>
      <w:r>
        <w:rPr>
          <w:rFonts w:hint="eastAsia" w:ascii="宋体" w:hAnsi="宋体"/>
          <w:highlight w:val="none"/>
        </w:rPr>
        <w:t>投标函（格式见附件）；</w:t>
      </w:r>
    </w:p>
    <w:p w14:paraId="26892CEE">
      <w:pPr>
        <w:pStyle w:val="69"/>
        <w:numPr>
          <w:ilvl w:val="0"/>
          <w:numId w:val="18"/>
        </w:numPr>
        <w:spacing w:before="0"/>
        <w:ind w:firstLine="480"/>
        <w:rPr>
          <w:rFonts w:hint="eastAsia" w:ascii="宋体" w:hAnsi="宋体"/>
          <w:highlight w:val="none"/>
        </w:rPr>
      </w:pPr>
      <w:r>
        <w:rPr>
          <w:rFonts w:hint="eastAsia" w:ascii="宋体" w:hAnsi="宋体"/>
          <w:highlight w:val="none"/>
        </w:rPr>
        <w:t>开标一览表（格式见附件）；</w:t>
      </w:r>
    </w:p>
    <w:p w14:paraId="778D805F">
      <w:pPr>
        <w:pStyle w:val="69"/>
        <w:numPr>
          <w:ilvl w:val="0"/>
          <w:numId w:val="18"/>
        </w:numPr>
        <w:spacing w:before="0"/>
        <w:ind w:firstLine="480"/>
        <w:rPr>
          <w:rFonts w:hint="eastAsia" w:ascii="宋体" w:hAnsi="宋体"/>
          <w:highlight w:val="none"/>
        </w:rPr>
      </w:pPr>
      <w:r>
        <w:rPr>
          <w:rFonts w:hint="eastAsia" w:ascii="宋体" w:hAnsi="宋体"/>
          <w:highlight w:val="none"/>
        </w:rPr>
        <w:t>投标报价明细表（格式见附件）。</w:t>
      </w:r>
    </w:p>
    <w:p w14:paraId="0A82BB85">
      <w:pPr>
        <w:pStyle w:val="16"/>
        <w:numPr>
          <w:ilvl w:val="0"/>
          <w:numId w:val="14"/>
        </w:numPr>
        <w:spacing w:line="360" w:lineRule="auto"/>
        <w:ind w:firstLine="482" w:firstLineChars="200"/>
        <w:rPr>
          <w:rFonts w:hint="eastAsia" w:hAnsi="宋体" w:cs="宋体"/>
          <w:b/>
          <w:szCs w:val="24"/>
          <w:highlight w:val="none"/>
        </w:rPr>
      </w:pPr>
      <w:bookmarkStart w:id="44" w:name="_Toc91899887"/>
      <w:r>
        <w:rPr>
          <w:rFonts w:hint="eastAsia" w:hAnsi="宋体" w:cs="宋体"/>
          <w:b/>
          <w:szCs w:val="24"/>
          <w:highlight w:val="none"/>
        </w:rPr>
        <w:t>投标有效期</w:t>
      </w:r>
    </w:p>
    <w:p w14:paraId="54608C4C">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0.1 </w:t>
      </w:r>
      <w:r>
        <w:rPr>
          <w:rFonts w:hint="eastAsia"/>
          <w:kern w:val="2"/>
          <w:highlight w:val="none"/>
        </w:rPr>
        <w:t>投标文件未在投标截止时间前完成传输的或者未按时解密的，视为放弃投标；投标文件解密失败后未提供备份文件或者备份文件也出现异常情况无法进行评审的，亦视为放弃投标。</w:t>
      </w:r>
    </w:p>
    <w:p w14:paraId="16F3152E">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0.2 </w:t>
      </w:r>
      <w:r>
        <w:rPr>
          <w:rFonts w:hint="eastAsia"/>
          <w:kern w:val="2"/>
          <w:highlight w:val="none"/>
        </w:rPr>
        <w:t>投标文件上传后，自投标截止日期起，在前附表所列的投标有效期内有效。</w:t>
      </w:r>
    </w:p>
    <w:p w14:paraId="068049D3">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0.3 </w:t>
      </w:r>
      <w:r>
        <w:rPr>
          <w:rFonts w:hint="eastAsia"/>
          <w:kern w:val="2"/>
          <w:highlight w:val="none"/>
        </w:rPr>
        <w:t>在原定投标有效期满之前，如果出现特殊情况，采购代理机构可以以书面形式通知投标人延长投标有效期。</w:t>
      </w:r>
    </w:p>
    <w:p w14:paraId="029CDB67">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投标人如有下列情况之一者列入不良行为记录：</w:t>
      </w:r>
    </w:p>
    <w:p w14:paraId="5699B74A">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1.1 </w:t>
      </w:r>
      <w:r>
        <w:rPr>
          <w:rFonts w:hint="eastAsia"/>
          <w:kern w:val="2"/>
          <w:highlight w:val="none"/>
        </w:rPr>
        <w:t>投标人在投标有效期内撤回投标的；</w:t>
      </w:r>
    </w:p>
    <w:p w14:paraId="6219668D">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1.2 </w:t>
      </w:r>
      <w:r>
        <w:rPr>
          <w:rFonts w:hint="eastAsia"/>
          <w:kern w:val="2"/>
          <w:highlight w:val="none"/>
        </w:rPr>
        <w:t>中标人或中标候选人放弃中标或中标候选人资格的；</w:t>
      </w:r>
    </w:p>
    <w:p w14:paraId="038029CF">
      <w:pPr>
        <w:snapToGrid w:val="0"/>
        <w:spacing w:line="360" w:lineRule="auto"/>
        <w:ind w:firstLine="480" w:firstLineChars="200"/>
        <w:rPr>
          <w:rFonts w:hint="eastAsia"/>
          <w:kern w:val="2"/>
          <w:highlight w:val="none"/>
        </w:rPr>
      </w:pPr>
      <w:r>
        <w:rPr>
          <w:kern w:val="2"/>
          <w:highlight w:val="none"/>
        </w:rPr>
        <w:t xml:space="preserve">11.3 </w:t>
      </w:r>
      <w:r>
        <w:rPr>
          <w:rFonts w:hint="eastAsia"/>
          <w:kern w:val="2"/>
          <w:highlight w:val="none"/>
        </w:rPr>
        <w:t>擅自修改或拒绝接受已经确认的条款；</w:t>
      </w:r>
    </w:p>
    <w:p w14:paraId="66D0A3F8">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1.4 </w:t>
      </w:r>
      <w:r>
        <w:rPr>
          <w:rFonts w:hint="eastAsia"/>
          <w:kern w:val="2"/>
          <w:highlight w:val="none"/>
        </w:rPr>
        <w:t>中标人未按规定与采购人签订合同；</w:t>
      </w:r>
    </w:p>
    <w:p w14:paraId="6D2F3CA7">
      <w:pPr>
        <w:snapToGrid w:val="0"/>
        <w:spacing w:line="360" w:lineRule="auto"/>
        <w:ind w:firstLine="480" w:firstLineChars="200"/>
        <w:rPr>
          <w:rFonts w:hint="eastAsia"/>
          <w:kern w:val="2"/>
          <w:highlight w:val="none"/>
        </w:rPr>
      </w:pPr>
      <w:r>
        <w:rPr>
          <w:kern w:val="2"/>
          <w:highlight w:val="none"/>
        </w:rPr>
        <w:t xml:space="preserve">11.5 </w:t>
      </w:r>
      <w:r>
        <w:rPr>
          <w:rFonts w:hint="eastAsia"/>
          <w:kern w:val="2"/>
          <w:highlight w:val="none"/>
        </w:rPr>
        <w:t>未按规定提供履约保证金；</w:t>
      </w:r>
    </w:p>
    <w:p w14:paraId="4836D185">
      <w:pPr>
        <w:snapToGrid w:val="0"/>
        <w:spacing w:line="360" w:lineRule="auto"/>
        <w:ind w:firstLine="480" w:firstLineChars="200"/>
        <w:rPr>
          <w:rFonts w:hint="eastAsia"/>
          <w:kern w:val="2"/>
          <w:highlight w:val="none"/>
        </w:rPr>
      </w:pPr>
      <w:r>
        <w:rPr>
          <w:kern w:val="2"/>
          <w:highlight w:val="none"/>
        </w:rPr>
        <w:t>11.6</w:t>
      </w:r>
      <w:r>
        <w:rPr>
          <w:rFonts w:hint="eastAsia"/>
          <w:kern w:val="2"/>
          <w:highlight w:val="none"/>
        </w:rPr>
        <w:t xml:space="preserve"> 投标人采取提供虚假资料等不正当手段的；</w:t>
      </w:r>
    </w:p>
    <w:p w14:paraId="7A10C915">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1.7 </w:t>
      </w:r>
      <w:r>
        <w:rPr>
          <w:rFonts w:hint="eastAsia"/>
          <w:kern w:val="2"/>
          <w:highlight w:val="none"/>
        </w:rPr>
        <w:t>投标人在投标过程中串通投标的。</w:t>
      </w:r>
    </w:p>
    <w:p w14:paraId="70FF2ECD">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投标文件的编制和签署</w:t>
      </w:r>
    </w:p>
    <w:bookmarkEnd w:id="44"/>
    <w:p w14:paraId="08B35833">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2.1 </w:t>
      </w:r>
      <w:r>
        <w:rPr>
          <w:rFonts w:hint="eastAsia"/>
          <w:kern w:val="2"/>
          <w:highlight w:val="none"/>
        </w:rPr>
        <w:t>按招标文件9.1条、9.2条、9.3条、9</w:t>
      </w:r>
      <w:r>
        <w:rPr>
          <w:kern w:val="2"/>
          <w:highlight w:val="none"/>
        </w:rPr>
        <w:t>.4</w:t>
      </w:r>
      <w:r>
        <w:rPr>
          <w:rFonts w:hint="eastAsia"/>
          <w:kern w:val="2"/>
          <w:highlight w:val="none"/>
        </w:rPr>
        <w:t>条要求提供的各种文件，投标文件分为资格文件、商务文件、技术文件和报价文件四部分。</w:t>
      </w:r>
    </w:p>
    <w:p w14:paraId="634B5B64">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2.2 </w:t>
      </w:r>
      <w:r>
        <w:rPr>
          <w:rFonts w:hint="eastAsia"/>
          <w:kern w:val="2"/>
          <w:highlight w:val="none"/>
        </w:rPr>
        <w:t>投标文件须按附件格式要求进行电子签章，投标人应写全称。（电子投标文件中所须加盖公章部分均应采用电子签章）</w:t>
      </w:r>
    </w:p>
    <w:p w14:paraId="5CFDF460">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2.3 </w:t>
      </w:r>
      <w:r>
        <w:rPr>
          <w:rFonts w:hint="eastAsia"/>
          <w:kern w:val="2"/>
          <w:highlight w:val="none"/>
        </w:rPr>
        <w:t>全套投标文件应无涂改和行间插字，除非这些删改是根据采购代理机构要求进行，或者是投标人造成的必须修改的错误。所修改处应由法定代表人或其授权代表签字盖章予以确认。</w:t>
      </w:r>
    </w:p>
    <w:p w14:paraId="1594FA0B">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2.4 </w:t>
      </w:r>
      <w:r>
        <w:rPr>
          <w:rFonts w:hint="eastAsia"/>
          <w:kern w:val="2"/>
          <w:highlight w:val="none"/>
        </w:rPr>
        <w:t>由于字迹模糊或表达不清引起的后果由投标人负责。</w:t>
      </w:r>
    </w:p>
    <w:p w14:paraId="0F493272">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投标文件的形式</w:t>
      </w:r>
    </w:p>
    <w:p w14:paraId="0620E69B">
      <w:pPr>
        <w:autoSpaceDE w:val="0"/>
        <w:autoSpaceDN w:val="0"/>
        <w:spacing w:line="360" w:lineRule="auto"/>
        <w:ind w:firstLine="480" w:firstLineChars="200"/>
        <w:textAlignment w:val="bottom"/>
        <w:rPr>
          <w:rFonts w:hint="eastAsia"/>
          <w:highlight w:val="none"/>
        </w:rPr>
      </w:pPr>
      <w:r>
        <w:rPr>
          <w:rFonts w:hint="eastAsia"/>
          <w:kern w:val="2"/>
          <w:highlight w:val="none"/>
        </w:rPr>
        <w:t>投标文件为电子投标文件，电子投标文件按“政采云供应商项目采购-电子招投标操作指南”及本招标文件要求制作、加密传输。</w:t>
      </w:r>
    </w:p>
    <w:p w14:paraId="373B7BB6">
      <w:pPr>
        <w:spacing w:line="360" w:lineRule="auto"/>
        <w:jc w:val="center"/>
        <w:rPr>
          <w:rFonts w:hint="eastAsia"/>
          <w:b/>
          <w:highlight w:val="none"/>
        </w:rPr>
      </w:pPr>
    </w:p>
    <w:p w14:paraId="0005BFD3">
      <w:pPr>
        <w:snapToGrid w:val="0"/>
        <w:spacing w:line="360" w:lineRule="auto"/>
        <w:jc w:val="center"/>
        <w:outlineLvl w:val="1"/>
        <w:rPr>
          <w:rFonts w:hint="eastAsia"/>
          <w:b/>
          <w:sz w:val="32"/>
          <w:highlight w:val="none"/>
        </w:rPr>
      </w:pPr>
      <w:bookmarkStart w:id="45" w:name="_Toc151026246"/>
      <w:r>
        <w:rPr>
          <w:rFonts w:hint="eastAsia"/>
          <w:b/>
          <w:sz w:val="32"/>
          <w:highlight w:val="none"/>
        </w:rPr>
        <w:t>第四章 投标文件的递交</w:t>
      </w:r>
      <w:bookmarkEnd w:id="42"/>
      <w:bookmarkEnd w:id="45"/>
    </w:p>
    <w:bookmarkEnd w:id="43"/>
    <w:p w14:paraId="779CB8CC">
      <w:pPr>
        <w:pStyle w:val="16"/>
        <w:numPr>
          <w:ilvl w:val="0"/>
          <w:numId w:val="14"/>
        </w:numPr>
        <w:spacing w:line="360" w:lineRule="auto"/>
        <w:ind w:firstLine="482" w:firstLineChars="200"/>
        <w:rPr>
          <w:rFonts w:hint="eastAsia" w:hAnsi="宋体" w:cs="宋体"/>
          <w:b/>
          <w:szCs w:val="24"/>
          <w:highlight w:val="none"/>
        </w:rPr>
      </w:pPr>
      <w:bookmarkStart w:id="46" w:name="_Toc164416483"/>
      <w:bookmarkStart w:id="47" w:name="第三部分"/>
      <w:r>
        <w:rPr>
          <w:rFonts w:hint="eastAsia" w:hAnsi="宋体" w:cs="宋体"/>
          <w:b/>
          <w:szCs w:val="24"/>
          <w:highlight w:val="none"/>
        </w:rPr>
        <w:t>投标截止期</w:t>
      </w:r>
    </w:p>
    <w:p w14:paraId="526A5E53">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4.1 </w:t>
      </w:r>
      <w:r>
        <w:rPr>
          <w:rFonts w:hint="eastAsia"/>
          <w:kern w:val="2"/>
          <w:highlight w:val="none"/>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14:paraId="55B1734A">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4.2 </w:t>
      </w:r>
      <w:r>
        <w:rPr>
          <w:rFonts w:hint="eastAsia"/>
          <w:kern w:val="2"/>
          <w:highlight w:val="none"/>
        </w:rPr>
        <w:t>采购人因故推迟投标截止时间，将以公告形式通知。在这种情况下，采购人和投标人的权利和义务将受到新的截止时间的约束。</w:t>
      </w:r>
    </w:p>
    <w:p w14:paraId="13A0AF42">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投标文件的修改、撤销</w:t>
      </w:r>
    </w:p>
    <w:p w14:paraId="1670347F">
      <w:pPr>
        <w:pStyle w:val="16"/>
        <w:spacing w:line="360" w:lineRule="auto"/>
        <w:ind w:firstLine="480" w:firstLineChars="200"/>
        <w:rPr>
          <w:rFonts w:hint="eastAsia" w:hAnsi="宋体" w:cs="宋体"/>
          <w:highlight w:val="none"/>
        </w:rPr>
      </w:pPr>
      <w:r>
        <w:rPr>
          <w:rFonts w:hint="eastAsia" w:hAnsi="宋体" w:cs="宋体"/>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699AA47B">
      <w:pPr>
        <w:spacing w:line="360" w:lineRule="auto"/>
        <w:jc w:val="center"/>
        <w:rPr>
          <w:rFonts w:hint="eastAsia"/>
          <w:b/>
          <w:highlight w:val="none"/>
        </w:rPr>
      </w:pPr>
      <w:bookmarkStart w:id="48" w:name="_Toc91899897"/>
    </w:p>
    <w:bookmarkEnd w:id="48"/>
    <w:p w14:paraId="6CA4F34C">
      <w:pPr>
        <w:snapToGrid w:val="0"/>
        <w:spacing w:line="360" w:lineRule="auto"/>
        <w:jc w:val="center"/>
        <w:outlineLvl w:val="1"/>
        <w:rPr>
          <w:rFonts w:hint="eastAsia"/>
          <w:b/>
          <w:sz w:val="32"/>
          <w:highlight w:val="none"/>
        </w:rPr>
      </w:pPr>
      <w:bookmarkStart w:id="49" w:name="_Toc151026247"/>
      <w:r>
        <w:rPr>
          <w:rFonts w:hint="eastAsia"/>
          <w:b/>
          <w:sz w:val="32"/>
          <w:highlight w:val="none"/>
        </w:rPr>
        <w:t>第五章 开标</w:t>
      </w:r>
      <w:bookmarkEnd w:id="49"/>
    </w:p>
    <w:p w14:paraId="0F16AB0A">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开标</w:t>
      </w:r>
    </w:p>
    <w:p w14:paraId="73AC5EFE">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6.1 </w:t>
      </w:r>
      <w:r>
        <w:rPr>
          <w:rFonts w:hint="eastAsia"/>
          <w:kern w:val="2"/>
          <w:highlight w:val="none"/>
        </w:rPr>
        <w:t>在投标截止时间前按规定提交投标文件的投标人在三家（含）以上的，由采购人或采购代理机构组织进行开标。</w:t>
      </w:r>
    </w:p>
    <w:p w14:paraId="36C5379A">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6.2 </w:t>
      </w:r>
      <w:r>
        <w:rPr>
          <w:rFonts w:hint="eastAsia"/>
          <w:b/>
          <w:bCs/>
          <w:kern w:val="2"/>
          <w:highlight w:val="none"/>
        </w:rPr>
        <w:t>投标人登录乐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kern w:val="2"/>
          <w:highlight w:val="none"/>
        </w:rPr>
        <w:t>备份文件（后缀名为.bfbs）须存储在U盘中，与上传的电子投标文件一致，用信封进行密封并盖章，由授权代表在投标截止时间前递交至开标地点。</w:t>
      </w:r>
    </w:p>
    <w:p w14:paraId="46F2D634">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6.3 </w:t>
      </w:r>
      <w:r>
        <w:rPr>
          <w:rFonts w:hint="eastAsia"/>
          <w:kern w:val="2"/>
          <w:highlight w:val="none"/>
        </w:rPr>
        <w:t>采购人按招标文件规定的时间、地点公开开标。开标仪式由采购人或采购代理机构主持及有关人员参加。</w:t>
      </w:r>
    </w:p>
    <w:p w14:paraId="6D1058C3">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6.4 </w:t>
      </w:r>
      <w:r>
        <w:rPr>
          <w:rFonts w:hint="eastAsia"/>
          <w:kern w:val="2"/>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14:paraId="272A22CF">
      <w:pPr>
        <w:pStyle w:val="69"/>
        <w:spacing w:before="0"/>
        <w:ind w:firstLine="480"/>
        <w:rPr>
          <w:rFonts w:hint="eastAsia" w:ascii="宋体" w:hAnsi="宋体"/>
          <w:szCs w:val="24"/>
          <w:highlight w:val="none"/>
        </w:rPr>
      </w:pPr>
      <w:r>
        <w:rPr>
          <w:rFonts w:hint="eastAsia" w:ascii="宋体" w:hAnsi="宋体"/>
          <w:szCs w:val="24"/>
          <w:highlight w:val="none"/>
        </w:rPr>
        <w:t>16.5 两个以上的自然人、法人或者其他组织组成一个联合体，以一个供应商的身份共同参加采购活动的，应当对所有联合体成员进行信用记录查询，联合体成员存在不良信用记录的，视同联合体存在不良信用记录。</w:t>
      </w:r>
    </w:p>
    <w:p w14:paraId="16861D51">
      <w:pPr>
        <w:pStyle w:val="43"/>
        <w:ind w:firstLine="560"/>
        <w:rPr>
          <w:highlight w:val="none"/>
        </w:rPr>
      </w:pPr>
    </w:p>
    <w:p w14:paraId="321F7628">
      <w:pPr>
        <w:spacing w:line="360" w:lineRule="auto"/>
        <w:jc w:val="center"/>
        <w:rPr>
          <w:rFonts w:hint="eastAsia"/>
          <w:b/>
          <w:highlight w:val="none"/>
        </w:rPr>
      </w:pPr>
    </w:p>
    <w:p w14:paraId="7C04AC2D">
      <w:pPr>
        <w:snapToGrid w:val="0"/>
        <w:spacing w:line="360" w:lineRule="auto"/>
        <w:jc w:val="center"/>
        <w:outlineLvl w:val="1"/>
        <w:rPr>
          <w:rFonts w:hint="eastAsia"/>
          <w:b/>
          <w:sz w:val="32"/>
          <w:highlight w:val="none"/>
        </w:rPr>
      </w:pPr>
      <w:bookmarkStart w:id="50" w:name="_Toc151026248"/>
      <w:r>
        <w:rPr>
          <w:rFonts w:hint="eastAsia"/>
          <w:b/>
          <w:sz w:val="32"/>
          <w:highlight w:val="none"/>
        </w:rPr>
        <w:t>第六章 资格审查</w:t>
      </w:r>
      <w:bookmarkEnd w:id="50"/>
    </w:p>
    <w:p w14:paraId="5A4E3DC5">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资格审查</w:t>
      </w:r>
    </w:p>
    <w:p w14:paraId="06A49F7D">
      <w:pPr>
        <w:snapToGrid w:val="0"/>
        <w:spacing w:line="360" w:lineRule="auto"/>
        <w:ind w:firstLine="480" w:firstLineChars="200"/>
        <w:rPr>
          <w:rFonts w:hint="eastAsia"/>
          <w:kern w:val="2"/>
          <w:highlight w:val="none"/>
        </w:rPr>
      </w:pPr>
      <w:bookmarkStart w:id="51" w:name="_Hlt75236101"/>
      <w:bookmarkEnd w:id="51"/>
      <w:bookmarkStart w:id="52" w:name="_Toc91899902"/>
      <w:r>
        <w:rPr>
          <w:rFonts w:hint="eastAsia"/>
          <w:kern w:val="2"/>
          <w:highlight w:val="none"/>
        </w:rPr>
        <w:t>1</w:t>
      </w:r>
      <w:r>
        <w:rPr>
          <w:kern w:val="2"/>
          <w:highlight w:val="none"/>
        </w:rPr>
        <w:t xml:space="preserve">7.1 </w:t>
      </w:r>
      <w:r>
        <w:rPr>
          <w:rFonts w:hint="eastAsia"/>
          <w:kern w:val="2"/>
          <w:highlight w:val="none"/>
        </w:rPr>
        <w:t>开标后，采购人或采购代理机构将依法对投标人的资格进行审查；</w:t>
      </w:r>
    </w:p>
    <w:p w14:paraId="7487279E">
      <w:pPr>
        <w:snapToGrid w:val="0"/>
        <w:spacing w:line="360" w:lineRule="auto"/>
        <w:ind w:firstLine="480" w:firstLineChars="200"/>
        <w:rPr>
          <w:rFonts w:hint="eastAsia"/>
          <w:kern w:val="2"/>
          <w:highlight w:val="none"/>
        </w:rPr>
      </w:pPr>
      <w:r>
        <w:rPr>
          <w:kern w:val="2"/>
          <w:highlight w:val="none"/>
        </w:rPr>
        <w:t xml:space="preserve">17.2 </w:t>
      </w:r>
      <w:r>
        <w:rPr>
          <w:rFonts w:hint="eastAsia"/>
          <w:kern w:val="2"/>
          <w:highlight w:val="none"/>
        </w:rPr>
        <w:t>采购人或采购代理机构依据法律法规和招标文件的规定，对投标人的基本资格条件、特定资格条件进行审查。</w:t>
      </w:r>
    </w:p>
    <w:p w14:paraId="0007D4DC">
      <w:pPr>
        <w:snapToGrid w:val="0"/>
        <w:spacing w:line="360" w:lineRule="auto"/>
        <w:ind w:firstLine="480" w:firstLineChars="200"/>
        <w:rPr>
          <w:rFonts w:hint="eastAsia"/>
          <w:kern w:val="2"/>
          <w:highlight w:val="none"/>
        </w:rPr>
      </w:pPr>
      <w:r>
        <w:rPr>
          <w:kern w:val="2"/>
          <w:highlight w:val="none"/>
        </w:rPr>
        <w:t xml:space="preserve">17.3 </w:t>
      </w:r>
      <w:r>
        <w:rPr>
          <w:rFonts w:hint="eastAsia"/>
          <w:kern w:val="2"/>
          <w:highlight w:val="none"/>
        </w:rPr>
        <w:t>采购人或采购代理机构将通过“信用中国”网站(www.creditchina.gov.cn)、中国政府采购网(www.ccgp.gov.cn)渠道查询投标人开标后评标前的信用记录，经查询投标人列入失信被执行人名单、重大税收违法案件当事人名单、政府采购严重违法失信行为记录名单的，其投标无效；</w:t>
      </w:r>
    </w:p>
    <w:p w14:paraId="477DA429">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7.4 </w:t>
      </w:r>
      <w:r>
        <w:rPr>
          <w:rFonts w:hint="eastAsia"/>
          <w:kern w:val="2"/>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3A0F8121">
      <w:pPr>
        <w:spacing w:line="360" w:lineRule="auto"/>
        <w:jc w:val="center"/>
        <w:rPr>
          <w:rFonts w:hint="eastAsia"/>
          <w:b/>
          <w:highlight w:val="none"/>
        </w:rPr>
      </w:pPr>
    </w:p>
    <w:p w14:paraId="7FD993FE">
      <w:pPr>
        <w:snapToGrid w:val="0"/>
        <w:spacing w:line="360" w:lineRule="auto"/>
        <w:jc w:val="center"/>
        <w:outlineLvl w:val="1"/>
        <w:rPr>
          <w:rFonts w:hint="eastAsia"/>
          <w:b/>
          <w:sz w:val="32"/>
          <w:highlight w:val="none"/>
        </w:rPr>
      </w:pPr>
      <w:bookmarkStart w:id="53" w:name="_Toc151026249"/>
      <w:r>
        <w:rPr>
          <w:rFonts w:hint="eastAsia"/>
          <w:b/>
          <w:sz w:val="32"/>
          <w:highlight w:val="none"/>
        </w:rPr>
        <w:t>第七章 评标</w:t>
      </w:r>
      <w:bookmarkEnd w:id="52"/>
      <w:bookmarkEnd w:id="53"/>
    </w:p>
    <w:p w14:paraId="590F82A4">
      <w:pPr>
        <w:pStyle w:val="16"/>
        <w:numPr>
          <w:ilvl w:val="0"/>
          <w:numId w:val="14"/>
        </w:numPr>
        <w:spacing w:line="360" w:lineRule="auto"/>
        <w:ind w:firstLine="482" w:firstLineChars="200"/>
        <w:rPr>
          <w:rFonts w:hint="eastAsia" w:hAnsi="宋体" w:cs="宋体"/>
          <w:b/>
          <w:szCs w:val="24"/>
          <w:highlight w:val="none"/>
        </w:rPr>
      </w:pPr>
      <w:bookmarkStart w:id="54" w:name="_Toc91899903"/>
      <w:r>
        <w:rPr>
          <w:rFonts w:hint="eastAsia" w:hAnsi="宋体" w:cs="宋体"/>
          <w:b/>
          <w:szCs w:val="24"/>
          <w:highlight w:val="none"/>
        </w:rPr>
        <w:t>评标原则</w:t>
      </w:r>
    </w:p>
    <w:p w14:paraId="4313A1B9">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8.1 </w:t>
      </w:r>
      <w:r>
        <w:rPr>
          <w:rFonts w:hint="eastAsia"/>
          <w:kern w:val="2"/>
          <w:highlight w:val="none"/>
        </w:rPr>
        <w:t>竞争优选；</w:t>
      </w:r>
    </w:p>
    <w:p w14:paraId="63300F5F">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8.2 </w:t>
      </w:r>
      <w:r>
        <w:rPr>
          <w:rFonts w:hint="eastAsia"/>
          <w:kern w:val="2"/>
          <w:highlight w:val="none"/>
        </w:rPr>
        <w:t>坚持公平、公正、科学合理的原则；</w:t>
      </w:r>
    </w:p>
    <w:p w14:paraId="45CA8F32">
      <w:pPr>
        <w:snapToGrid w:val="0"/>
        <w:spacing w:line="360" w:lineRule="auto"/>
        <w:ind w:firstLine="480" w:firstLineChars="200"/>
        <w:rPr>
          <w:rFonts w:hint="eastAsia"/>
          <w:kern w:val="2"/>
          <w:highlight w:val="none"/>
        </w:rPr>
      </w:pPr>
      <w:r>
        <w:rPr>
          <w:kern w:val="2"/>
          <w:highlight w:val="none"/>
        </w:rPr>
        <w:t xml:space="preserve">18.3 </w:t>
      </w:r>
      <w:r>
        <w:rPr>
          <w:rFonts w:hint="eastAsia"/>
          <w:kern w:val="2"/>
          <w:highlight w:val="none"/>
        </w:rPr>
        <w:t>价格合理，方案、产品先进可行；</w:t>
      </w:r>
    </w:p>
    <w:p w14:paraId="06E44949">
      <w:pPr>
        <w:snapToGrid w:val="0"/>
        <w:spacing w:line="360" w:lineRule="auto"/>
        <w:ind w:firstLine="480" w:firstLineChars="200"/>
        <w:rPr>
          <w:rFonts w:hint="eastAsia"/>
          <w:kern w:val="2"/>
          <w:highlight w:val="none"/>
        </w:rPr>
      </w:pPr>
      <w:r>
        <w:rPr>
          <w:kern w:val="2"/>
          <w:highlight w:val="none"/>
        </w:rPr>
        <w:t xml:space="preserve">18.4 </w:t>
      </w:r>
      <w:r>
        <w:rPr>
          <w:rFonts w:hint="eastAsia"/>
          <w:kern w:val="2"/>
          <w:highlight w:val="none"/>
        </w:rPr>
        <w:t>反对不正当竞争。</w:t>
      </w:r>
    </w:p>
    <w:p w14:paraId="7EDC1A02">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评标组织</w:t>
      </w:r>
    </w:p>
    <w:p w14:paraId="5CDEAA2C">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9.1 </w:t>
      </w:r>
      <w:r>
        <w:rPr>
          <w:rFonts w:hint="eastAsia"/>
          <w:kern w:val="2"/>
          <w:highlight w:val="none"/>
        </w:rPr>
        <w:t>评标委员会由采购人代表和评审专家组成，成员人数应当为7人以上单数，其中评审专家不得少于成员总数的三分之二；</w:t>
      </w:r>
    </w:p>
    <w:p w14:paraId="6533461B">
      <w:pPr>
        <w:snapToGrid w:val="0"/>
        <w:spacing w:line="360" w:lineRule="auto"/>
        <w:ind w:firstLine="480" w:firstLineChars="200"/>
        <w:rPr>
          <w:rFonts w:hint="eastAsia"/>
          <w:kern w:val="2"/>
          <w:highlight w:val="none"/>
        </w:rPr>
      </w:pPr>
      <w:r>
        <w:rPr>
          <w:kern w:val="2"/>
          <w:highlight w:val="none"/>
        </w:rPr>
        <w:t xml:space="preserve">19.2 </w:t>
      </w:r>
      <w:r>
        <w:rPr>
          <w:rFonts w:hint="eastAsia"/>
          <w:kern w:val="2"/>
          <w:highlight w:val="none"/>
        </w:rPr>
        <w:t>评标工作由评标委员会负责，并推选产生的组长主持；</w:t>
      </w:r>
    </w:p>
    <w:p w14:paraId="7B1557C4">
      <w:pPr>
        <w:snapToGrid w:val="0"/>
        <w:spacing w:line="360" w:lineRule="auto"/>
        <w:ind w:firstLine="480" w:firstLineChars="200"/>
        <w:rPr>
          <w:rFonts w:hint="eastAsia"/>
          <w:kern w:val="2"/>
          <w:highlight w:val="none"/>
        </w:rPr>
      </w:pPr>
      <w:r>
        <w:rPr>
          <w:rFonts w:hint="eastAsia"/>
          <w:kern w:val="2"/>
          <w:highlight w:val="none"/>
        </w:rPr>
        <w:t>1</w:t>
      </w:r>
      <w:r>
        <w:rPr>
          <w:kern w:val="2"/>
          <w:highlight w:val="none"/>
        </w:rPr>
        <w:t xml:space="preserve">9.3 </w:t>
      </w:r>
      <w:r>
        <w:rPr>
          <w:rFonts w:hint="eastAsia"/>
          <w:kern w:val="2"/>
          <w:highlight w:val="none"/>
        </w:rPr>
        <w:t>本次评标为在线评标。</w:t>
      </w:r>
    </w:p>
    <w:p w14:paraId="7CD4F1DC">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评标办法</w:t>
      </w:r>
    </w:p>
    <w:p w14:paraId="104F8846">
      <w:pPr>
        <w:spacing w:line="360" w:lineRule="auto"/>
        <w:ind w:firstLine="467" w:firstLineChars="194"/>
        <w:rPr>
          <w:rFonts w:hint="eastAsia"/>
          <w:b/>
          <w:szCs w:val="20"/>
          <w:highlight w:val="none"/>
        </w:rPr>
      </w:pPr>
      <w:r>
        <w:rPr>
          <w:rFonts w:hint="eastAsia"/>
          <w:b/>
          <w:szCs w:val="20"/>
          <w:highlight w:val="none"/>
        </w:rPr>
        <w:t>本项目评标办法是综合评分法，具体评标内容及评分标准等详见招标文件第三部分。</w:t>
      </w:r>
    </w:p>
    <w:p w14:paraId="562BA8F0">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投标文件符合性审查</w:t>
      </w:r>
    </w:p>
    <w:p w14:paraId="63FCF247">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1.1 </w:t>
      </w:r>
      <w:r>
        <w:rPr>
          <w:rFonts w:hint="eastAsia"/>
          <w:kern w:val="2"/>
          <w:highlight w:val="none"/>
        </w:rPr>
        <w:t>投标文件符合性审查：评标委员会依据招标文件的规定，从投标文件的有效性、完整性和对招标文件的响应程度进行审查，以确定是否对招标文件的要求作出实质性响应。</w:t>
      </w:r>
    </w:p>
    <w:p w14:paraId="79E767A1">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1.2 </w:t>
      </w:r>
      <w:r>
        <w:rPr>
          <w:rFonts w:hint="eastAsia"/>
          <w:kern w:val="2"/>
          <w:highlight w:val="none"/>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3D7F8386">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1.3 </w:t>
      </w:r>
      <w:r>
        <w:rPr>
          <w:rFonts w:hint="eastAsia"/>
          <w:kern w:val="2"/>
          <w:highlight w:val="none"/>
        </w:rPr>
        <w:t xml:space="preserve">如果投标文件没有实质上响应招标文件的要求，评标委员会将判定无效投标，投标人不得通过修改或撤销不合要求的偏离或保留而使其投标成为实质性响应的投标。 </w:t>
      </w:r>
    </w:p>
    <w:p w14:paraId="5FE58538">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1.4 </w:t>
      </w:r>
      <w:r>
        <w:rPr>
          <w:rFonts w:hint="eastAsia"/>
          <w:kern w:val="2"/>
          <w:highlight w:val="none"/>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03349182">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修正原则</w:t>
      </w:r>
    </w:p>
    <w:p w14:paraId="12BEEBBD">
      <w:pPr>
        <w:pStyle w:val="69"/>
        <w:spacing w:before="0"/>
        <w:ind w:firstLine="480"/>
        <w:rPr>
          <w:rFonts w:hint="eastAsia" w:ascii="宋体" w:hAnsi="宋体"/>
          <w:highlight w:val="none"/>
          <w:lang w:val="zh-CN"/>
        </w:rPr>
      </w:pPr>
      <w:r>
        <w:rPr>
          <w:rFonts w:hint="eastAsia" w:ascii="宋体" w:hAnsi="宋体"/>
          <w:highlight w:val="none"/>
          <w:lang w:val="zh-CN"/>
        </w:rPr>
        <w:t>投标文件报价出现前后不一致的，按照下列规定修正：</w:t>
      </w:r>
    </w:p>
    <w:p w14:paraId="41667E64">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2.1 </w:t>
      </w:r>
      <w:r>
        <w:rPr>
          <w:rFonts w:hint="eastAsia"/>
          <w:kern w:val="2"/>
          <w:highlight w:val="none"/>
        </w:rPr>
        <w:t>投标文件中投标（开标）一览表内容与投标文件中相应内容不一致的，以投标（开标）一览表为准；</w:t>
      </w:r>
    </w:p>
    <w:p w14:paraId="140B8CCF">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2.2 </w:t>
      </w:r>
      <w:r>
        <w:rPr>
          <w:rFonts w:hint="eastAsia"/>
          <w:kern w:val="2"/>
          <w:highlight w:val="none"/>
        </w:rPr>
        <w:t>大写金额和小写金额不一致的，以大写金额为准；</w:t>
      </w:r>
    </w:p>
    <w:p w14:paraId="1A25A9CF">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2.3 </w:t>
      </w:r>
      <w:r>
        <w:rPr>
          <w:rFonts w:hint="eastAsia"/>
          <w:kern w:val="2"/>
          <w:highlight w:val="none"/>
        </w:rPr>
        <w:t>单价金额小数点或者百分比有明显错位的，以投标（开标）一览表的总价为准，并修改单价；</w:t>
      </w:r>
    </w:p>
    <w:p w14:paraId="31F01E0D">
      <w:pPr>
        <w:snapToGrid w:val="0"/>
        <w:spacing w:line="360" w:lineRule="auto"/>
        <w:ind w:firstLine="480" w:firstLineChars="200"/>
        <w:rPr>
          <w:rFonts w:hint="eastAsia"/>
          <w:kern w:val="2"/>
          <w:highlight w:val="none"/>
        </w:rPr>
      </w:pPr>
      <w:r>
        <w:rPr>
          <w:kern w:val="2"/>
          <w:highlight w:val="none"/>
        </w:rPr>
        <w:t xml:space="preserve">22.4 </w:t>
      </w:r>
      <w:r>
        <w:rPr>
          <w:rFonts w:hint="eastAsia"/>
          <w:kern w:val="2"/>
          <w:highlight w:val="none"/>
        </w:rPr>
        <w:t>总价金额与按单价汇总金额不一致的，以单价金额计算结果为准。</w:t>
      </w:r>
    </w:p>
    <w:p w14:paraId="63BDA6DF">
      <w:pPr>
        <w:pStyle w:val="69"/>
        <w:spacing w:before="0"/>
        <w:ind w:firstLine="480"/>
        <w:rPr>
          <w:rFonts w:hint="eastAsia" w:ascii="宋体" w:hAnsi="宋体"/>
          <w:highlight w:val="none"/>
          <w:lang w:val="zh-CN"/>
        </w:rPr>
      </w:pPr>
      <w:r>
        <w:rPr>
          <w:rFonts w:hint="eastAsia" w:ascii="宋体" w:hAnsi="宋体"/>
          <w:highlight w:val="none"/>
          <w:lang w:val="zh-CN"/>
        </w:rPr>
        <w:t>同时出现两种以上不一致的，按照前款规定的顺序修正。修正后的报价参照财政部公布第87号令 《政府采购货物和服务招标投标管理办法》第五十一条第二款的规定经投标人确认后产生约束力，投标人不确认的，其投标无效。</w:t>
      </w:r>
    </w:p>
    <w:p w14:paraId="7DB7A428">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投标文件的澄清</w:t>
      </w:r>
    </w:p>
    <w:p w14:paraId="092188FF">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3.1 </w:t>
      </w:r>
      <w:r>
        <w:rPr>
          <w:rFonts w:hint="eastAsia"/>
          <w:kern w:val="2"/>
          <w:highlight w:val="none"/>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14:paraId="669158DB">
      <w:pPr>
        <w:snapToGrid w:val="0"/>
        <w:spacing w:line="360" w:lineRule="auto"/>
        <w:ind w:firstLine="480" w:firstLineChars="200"/>
        <w:rPr>
          <w:rFonts w:hint="eastAsia"/>
          <w:kern w:val="2"/>
          <w:highlight w:val="none"/>
        </w:rPr>
      </w:pPr>
      <w:r>
        <w:rPr>
          <w:rFonts w:hint="eastAsia"/>
          <w:kern w:val="2"/>
          <w:highlight w:val="none"/>
        </w:rPr>
        <w:t>2</w:t>
      </w:r>
      <w:r>
        <w:rPr>
          <w:kern w:val="2"/>
          <w:highlight w:val="none"/>
        </w:rPr>
        <w:t xml:space="preserve">3.2 </w:t>
      </w:r>
      <w:r>
        <w:rPr>
          <w:rFonts w:hint="eastAsia"/>
          <w:kern w:val="2"/>
          <w:highlight w:val="none"/>
        </w:rPr>
        <w:t>供应商通过政采云平台交换的数据电文必须进行电子签章。</w:t>
      </w:r>
    </w:p>
    <w:p w14:paraId="710AA891">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无效投标</w:t>
      </w:r>
    </w:p>
    <w:p w14:paraId="40F1A8CE">
      <w:pPr>
        <w:spacing w:line="360" w:lineRule="auto"/>
        <w:ind w:firstLine="480" w:firstLineChars="200"/>
        <w:rPr>
          <w:rFonts w:hint="eastAsia"/>
          <w:highlight w:val="none"/>
        </w:rPr>
      </w:pPr>
      <w:r>
        <w:rPr>
          <w:rFonts w:hint="eastAsia"/>
          <w:highlight w:val="none"/>
        </w:rPr>
        <w:t>经过审查，凡不符合有关规定，不响应招标文件的实质性条款，存在以下重大偏离之一的，经评标委员会认定，将因未通过资格性或符合性审查而被作为无效投标处理：</w:t>
      </w:r>
    </w:p>
    <w:p w14:paraId="11E5B07E">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 </w:t>
      </w:r>
      <w:r>
        <w:rPr>
          <w:rFonts w:hint="eastAsia"/>
          <w:b/>
          <w:bCs/>
          <w:kern w:val="2"/>
          <w:highlight w:val="none"/>
        </w:rPr>
        <w:t>未按照招标文件规定要求签署、盖章的；</w:t>
      </w:r>
    </w:p>
    <w:p w14:paraId="33B09A74">
      <w:pPr>
        <w:snapToGrid w:val="0"/>
        <w:spacing w:line="360" w:lineRule="auto"/>
        <w:ind w:firstLine="482" w:firstLineChars="200"/>
        <w:rPr>
          <w:rFonts w:hint="eastAsia"/>
          <w:b/>
          <w:bCs/>
          <w:kern w:val="2"/>
          <w:highlight w:val="none"/>
        </w:rPr>
      </w:pPr>
      <w:r>
        <w:rPr>
          <w:b/>
          <w:bCs/>
          <w:kern w:val="2"/>
          <w:highlight w:val="none"/>
        </w:rPr>
        <w:t xml:space="preserve">24.2 </w:t>
      </w:r>
      <w:r>
        <w:rPr>
          <w:rFonts w:hint="eastAsia"/>
          <w:b/>
          <w:bCs/>
          <w:kern w:val="2"/>
          <w:highlight w:val="none"/>
        </w:rPr>
        <w:t xml:space="preserve">《法定代表人授权书》填写不全、错误、未加盖投标人公章（公章和签字或盖章缺一不可）； </w:t>
      </w:r>
    </w:p>
    <w:p w14:paraId="19223553">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4.3 </w:t>
      </w:r>
      <w:r>
        <w:rPr>
          <w:rFonts w:hint="eastAsia"/>
          <w:b/>
          <w:bCs/>
          <w:kern w:val="2"/>
          <w:highlight w:val="none"/>
        </w:rPr>
        <w:t>个体工商户的身份证明与营业执照不一致的；</w:t>
      </w:r>
    </w:p>
    <w:p w14:paraId="50647B2E">
      <w:pPr>
        <w:snapToGrid w:val="0"/>
        <w:spacing w:line="360" w:lineRule="auto"/>
        <w:ind w:firstLine="482" w:firstLineChars="200"/>
        <w:rPr>
          <w:rFonts w:hint="eastAsia"/>
          <w:b/>
          <w:bCs/>
          <w:kern w:val="2"/>
          <w:highlight w:val="none"/>
        </w:rPr>
      </w:pPr>
      <w:r>
        <w:rPr>
          <w:b/>
          <w:bCs/>
          <w:kern w:val="2"/>
          <w:highlight w:val="none"/>
        </w:rPr>
        <w:t xml:space="preserve">24.4 </w:t>
      </w:r>
      <w:r>
        <w:rPr>
          <w:rFonts w:hint="eastAsia"/>
          <w:b/>
          <w:bCs/>
          <w:kern w:val="2"/>
          <w:highlight w:val="none"/>
        </w:rPr>
        <w:t>投标文件中的投标函未加盖投标人的企业公章或填写不全的；</w:t>
      </w:r>
    </w:p>
    <w:p w14:paraId="39D67F3C">
      <w:pPr>
        <w:snapToGrid w:val="0"/>
        <w:spacing w:line="360" w:lineRule="auto"/>
        <w:ind w:firstLine="482" w:firstLineChars="200"/>
        <w:rPr>
          <w:rFonts w:hint="eastAsia"/>
          <w:b/>
          <w:bCs/>
          <w:kern w:val="2"/>
          <w:highlight w:val="none"/>
        </w:rPr>
      </w:pPr>
      <w:r>
        <w:rPr>
          <w:b/>
          <w:bCs/>
          <w:kern w:val="2"/>
          <w:highlight w:val="none"/>
        </w:rPr>
        <w:t xml:space="preserve">24.5 </w:t>
      </w:r>
      <w:r>
        <w:rPr>
          <w:rFonts w:hint="eastAsia"/>
          <w:b/>
          <w:bCs/>
          <w:kern w:val="2"/>
          <w:highlight w:val="none"/>
        </w:rPr>
        <w:t>报价一经涂改，未在涂改处加盖投标单位公章或者未经法定代表人或其授权代表签字或盖章的；</w:t>
      </w:r>
    </w:p>
    <w:p w14:paraId="74DBED5F">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4.6 </w:t>
      </w:r>
      <w:r>
        <w:rPr>
          <w:rFonts w:hint="eastAsia"/>
          <w:b/>
          <w:bCs/>
          <w:kern w:val="2"/>
          <w:highlight w:val="none"/>
        </w:rPr>
        <w:t>因未按规定的格式填写，内容不全或主要实质性内容字迹模糊辨认不清,经评标委员会认定为无法评审的；</w:t>
      </w:r>
    </w:p>
    <w:p w14:paraId="342E47C7">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4.7 </w:t>
      </w:r>
      <w:r>
        <w:rPr>
          <w:rFonts w:hint="eastAsia"/>
          <w:b/>
          <w:bCs/>
          <w:kern w:val="2"/>
          <w:highlight w:val="none"/>
        </w:rPr>
        <w:t>出现同一标的物或本次招标产品(服务)内的主要产品(重要组成部分)出现技术、商务描述不一致或前后描述不一致，经评标委员会认定后为无法评审的；</w:t>
      </w:r>
    </w:p>
    <w:p w14:paraId="6E847748">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4.8 </w:t>
      </w:r>
      <w:r>
        <w:rPr>
          <w:rFonts w:hint="eastAsia"/>
          <w:b/>
          <w:bCs/>
          <w:kern w:val="2"/>
          <w:highlight w:val="none"/>
        </w:rPr>
        <w:t>投标详细配置清单响应表不真实填写或弄虚作假的；改变招标文件提供的清单中的计量单位、工程数量；</w:t>
      </w:r>
    </w:p>
    <w:p w14:paraId="6AE0E4C3">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4.9 </w:t>
      </w:r>
      <w:r>
        <w:rPr>
          <w:rFonts w:hint="eastAsia"/>
          <w:b/>
          <w:bCs/>
          <w:kern w:val="2"/>
          <w:highlight w:val="none"/>
        </w:rPr>
        <w:t>对招标产品技术规格未详细应答，致使其技术文件无法评审的；</w:t>
      </w:r>
    </w:p>
    <w:p w14:paraId="50B5045A">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4.10 </w:t>
      </w:r>
      <w:r>
        <w:rPr>
          <w:rFonts w:hint="eastAsia"/>
          <w:b/>
          <w:bCs/>
          <w:kern w:val="2"/>
          <w:highlight w:val="none"/>
        </w:rPr>
        <w:t>投标文件有招标方不能接受的条件；</w:t>
      </w:r>
    </w:p>
    <w:p w14:paraId="4B74BFBF">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4.11 </w:t>
      </w:r>
      <w:r>
        <w:rPr>
          <w:rFonts w:hint="eastAsia"/>
          <w:b/>
          <w:bCs/>
          <w:kern w:val="2"/>
          <w:highlight w:val="none"/>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8ECCE10">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4.12 </w:t>
      </w:r>
      <w:r>
        <w:rPr>
          <w:rFonts w:hint="eastAsia"/>
          <w:b/>
          <w:bCs/>
          <w:kern w:val="2"/>
          <w:highlight w:val="none"/>
        </w:rPr>
        <w:t>投标报价超过预算金额或最高限价的；</w:t>
      </w:r>
    </w:p>
    <w:p w14:paraId="0FAA2730">
      <w:pPr>
        <w:snapToGrid w:val="0"/>
        <w:spacing w:line="360" w:lineRule="auto"/>
        <w:ind w:firstLine="482" w:firstLineChars="200"/>
        <w:rPr>
          <w:rFonts w:hint="eastAsia"/>
          <w:b/>
          <w:bCs/>
          <w:kern w:val="2"/>
          <w:highlight w:val="none"/>
        </w:rPr>
      </w:pPr>
      <w:r>
        <w:rPr>
          <w:b/>
          <w:bCs/>
          <w:kern w:val="2"/>
          <w:highlight w:val="none"/>
        </w:rPr>
        <w:t xml:space="preserve">24.13 </w:t>
      </w:r>
      <w:r>
        <w:rPr>
          <w:rFonts w:hint="eastAsia"/>
          <w:b/>
          <w:bCs/>
          <w:kern w:val="2"/>
          <w:highlight w:val="none"/>
        </w:rPr>
        <w:t>投标文件“商务文件、技术文件资料”部分中出现《开标一览表》或《投标报价明细表》相关内容的；</w:t>
      </w:r>
    </w:p>
    <w:p w14:paraId="0DAE1B15">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4.14 </w:t>
      </w:r>
      <w:r>
        <w:rPr>
          <w:rFonts w:hint="eastAsia"/>
          <w:b/>
          <w:bCs/>
          <w:kern w:val="2"/>
          <w:highlight w:val="none"/>
        </w:rPr>
        <w:t>评标委员会认定有重大偏差或实质性不响应招标文件要求的，即“★”的关键性指标及技术参数要求负偏离或缺漏；</w:t>
      </w:r>
    </w:p>
    <w:p w14:paraId="6B51A268">
      <w:pPr>
        <w:snapToGrid w:val="0"/>
        <w:spacing w:line="360" w:lineRule="auto"/>
        <w:ind w:firstLine="482" w:firstLineChars="200"/>
        <w:rPr>
          <w:rFonts w:hint="eastAsia"/>
          <w:b/>
          <w:bCs/>
          <w:kern w:val="2"/>
          <w:highlight w:val="none"/>
        </w:rPr>
      </w:pPr>
      <w:r>
        <w:rPr>
          <w:b/>
          <w:bCs/>
          <w:kern w:val="2"/>
          <w:highlight w:val="none"/>
        </w:rPr>
        <w:t xml:space="preserve">24.15 </w:t>
      </w:r>
      <w:r>
        <w:rPr>
          <w:rFonts w:hint="eastAsia"/>
          <w:b/>
          <w:bCs/>
          <w:kern w:val="2"/>
          <w:highlight w:val="none"/>
        </w:rPr>
        <w:t>投标人拒绝按招标文件规定的修正原则对投标文件进行修改的；</w:t>
      </w:r>
    </w:p>
    <w:p w14:paraId="35D06F4F">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4.16 </w:t>
      </w:r>
      <w:r>
        <w:rPr>
          <w:rFonts w:hint="eastAsia"/>
          <w:b/>
          <w:bCs/>
          <w:kern w:val="2"/>
          <w:highlight w:val="none"/>
        </w:rPr>
        <w:t>有下列情形之一的，视为投标人串通投标，其投标无效：</w:t>
      </w:r>
    </w:p>
    <w:p w14:paraId="184B0989">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4.16.1 </w:t>
      </w:r>
      <w:r>
        <w:rPr>
          <w:rFonts w:hint="eastAsia"/>
          <w:b/>
          <w:bCs/>
          <w:kern w:val="2"/>
          <w:highlight w:val="none"/>
        </w:rPr>
        <w:t>不同投标人的投标文件由同一单位或者个人编制；</w:t>
      </w:r>
    </w:p>
    <w:p w14:paraId="11B98C76">
      <w:pPr>
        <w:snapToGrid w:val="0"/>
        <w:spacing w:line="360" w:lineRule="auto"/>
        <w:ind w:firstLine="482" w:firstLineChars="200"/>
        <w:rPr>
          <w:rFonts w:hint="eastAsia"/>
          <w:b/>
          <w:bCs/>
          <w:kern w:val="2"/>
          <w:highlight w:val="none"/>
        </w:rPr>
      </w:pPr>
      <w:r>
        <w:rPr>
          <w:b/>
          <w:bCs/>
          <w:kern w:val="2"/>
          <w:highlight w:val="none"/>
        </w:rPr>
        <w:t xml:space="preserve">24.16.2 </w:t>
      </w:r>
      <w:r>
        <w:rPr>
          <w:rFonts w:hint="eastAsia"/>
          <w:b/>
          <w:bCs/>
          <w:kern w:val="2"/>
          <w:highlight w:val="none"/>
        </w:rPr>
        <w:t>不同投标人委托同一单位或者个人办理投标事宜；</w:t>
      </w:r>
    </w:p>
    <w:p w14:paraId="164E4D7B">
      <w:pPr>
        <w:snapToGrid w:val="0"/>
        <w:spacing w:line="360" w:lineRule="auto"/>
        <w:ind w:firstLine="482" w:firstLineChars="200"/>
        <w:rPr>
          <w:rFonts w:hint="eastAsia"/>
          <w:b/>
          <w:bCs/>
          <w:kern w:val="2"/>
          <w:highlight w:val="none"/>
        </w:rPr>
      </w:pPr>
      <w:r>
        <w:rPr>
          <w:b/>
          <w:bCs/>
          <w:kern w:val="2"/>
          <w:highlight w:val="none"/>
        </w:rPr>
        <w:t xml:space="preserve">24.16.3 </w:t>
      </w:r>
      <w:r>
        <w:rPr>
          <w:rFonts w:hint="eastAsia"/>
          <w:b/>
          <w:bCs/>
          <w:kern w:val="2"/>
          <w:highlight w:val="none"/>
        </w:rPr>
        <w:t>不同投标人的投标文件载明的项目管理成员或者联系人员为同一人；</w:t>
      </w:r>
    </w:p>
    <w:p w14:paraId="54FF2D84">
      <w:pPr>
        <w:snapToGrid w:val="0"/>
        <w:spacing w:line="360" w:lineRule="auto"/>
        <w:ind w:firstLine="482" w:firstLineChars="200"/>
        <w:rPr>
          <w:rFonts w:hint="eastAsia"/>
          <w:b/>
          <w:bCs/>
          <w:kern w:val="2"/>
          <w:highlight w:val="none"/>
        </w:rPr>
      </w:pPr>
      <w:r>
        <w:rPr>
          <w:rFonts w:hint="eastAsia"/>
          <w:b/>
          <w:bCs/>
          <w:kern w:val="2"/>
          <w:highlight w:val="none"/>
        </w:rPr>
        <w:t>2</w:t>
      </w:r>
      <w:r>
        <w:rPr>
          <w:b/>
          <w:bCs/>
          <w:kern w:val="2"/>
          <w:highlight w:val="none"/>
        </w:rPr>
        <w:t xml:space="preserve">4.16.4 </w:t>
      </w:r>
      <w:r>
        <w:rPr>
          <w:rFonts w:hint="eastAsia"/>
          <w:b/>
          <w:bCs/>
          <w:kern w:val="2"/>
          <w:highlight w:val="none"/>
        </w:rPr>
        <w:t>不同投标人的投标文件异常一致或者投标报价呈规律性差异；</w:t>
      </w:r>
    </w:p>
    <w:p w14:paraId="5C8205E1">
      <w:pPr>
        <w:snapToGrid w:val="0"/>
        <w:spacing w:line="360" w:lineRule="auto"/>
        <w:ind w:firstLine="482" w:firstLineChars="200"/>
        <w:rPr>
          <w:rFonts w:hint="eastAsia"/>
          <w:b/>
          <w:bCs/>
          <w:kern w:val="2"/>
          <w:highlight w:val="none"/>
        </w:rPr>
      </w:pPr>
      <w:r>
        <w:rPr>
          <w:b/>
          <w:bCs/>
          <w:kern w:val="2"/>
          <w:highlight w:val="none"/>
        </w:rPr>
        <w:t xml:space="preserve">24.16.5 </w:t>
      </w:r>
      <w:r>
        <w:rPr>
          <w:rFonts w:hint="eastAsia"/>
          <w:b/>
          <w:bCs/>
          <w:kern w:val="2"/>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03287C48">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废标</w:t>
      </w:r>
    </w:p>
    <w:p w14:paraId="43348D14">
      <w:pPr>
        <w:spacing w:line="360" w:lineRule="auto"/>
        <w:ind w:firstLine="480" w:firstLineChars="200"/>
        <w:rPr>
          <w:rFonts w:hint="eastAsia"/>
          <w:highlight w:val="none"/>
        </w:rPr>
      </w:pPr>
      <w:r>
        <w:rPr>
          <w:rFonts w:hint="eastAsia"/>
          <w:highlight w:val="none"/>
        </w:rPr>
        <w:t>根据《上虞区区属国有企业货物和服务采购管理办法》第四十二条之规定：在公开招标采购中，出现下列情形之一的，应予终止采购程序或废标：</w:t>
      </w:r>
    </w:p>
    <w:p w14:paraId="52151793">
      <w:pPr>
        <w:spacing w:line="360" w:lineRule="auto"/>
        <w:ind w:firstLine="480" w:firstLineChars="200"/>
        <w:rPr>
          <w:rFonts w:hint="eastAsia"/>
          <w:highlight w:val="none"/>
        </w:rPr>
      </w:pPr>
      <w:r>
        <w:rPr>
          <w:rFonts w:hint="eastAsia"/>
          <w:highlight w:val="none"/>
        </w:rPr>
        <w:t>（一）符合专业条件的供应商或者对采购文件作实质响应的供应商不足3家；</w:t>
      </w:r>
    </w:p>
    <w:p w14:paraId="0E36550C">
      <w:pPr>
        <w:spacing w:line="360" w:lineRule="auto"/>
        <w:ind w:firstLine="480" w:firstLineChars="200"/>
        <w:rPr>
          <w:rFonts w:hint="eastAsia"/>
          <w:highlight w:val="none"/>
        </w:rPr>
      </w:pPr>
      <w:r>
        <w:rPr>
          <w:rFonts w:hint="eastAsia"/>
          <w:highlight w:val="none"/>
        </w:rPr>
        <w:t>（二）出现影响采购公正的违法、违规行为；</w:t>
      </w:r>
    </w:p>
    <w:p w14:paraId="55695D63">
      <w:pPr>
        <w:spacing w:line="360" w:lineRule="auto"/>
        <w:ind w:firstLine="480" w:firstLineChars="200"/>
        <w:rPr>
          <w:rFonts w:hint="eastAsia"/>
          <w:highlight w:val="none"/>
        </w:rPr>
      </w:pPr>
      <w:r>
        <w:rPr>
          <w:rFonts w:hint="eastAsia"/>
          <w:highlight w:val="none"/>
        </w:rPr>
        <w:t>（三）投标人的报价均超过了采购预算；</w:t>
      </w:r>
    </w:p>
    <w:p w14:paraId="4630895D">
      <w:pPr>
        <w:spacing w:line="360" w:lineRule="auto"/>
        <w:ind w:firstLine="480" w:firstLineChars="200"/>
        <w:rPr>
          <w:rFonts w:hint="eastAsia"/>
          <w:highlight w:val="none"/>
        </w:rPr>
      </w:pPr>
      <w:r>
        <w:rPr>
          <w:rFonts w:hint="eastAsia"/>
          <w:highlight w:val="none"/>
        </w:rPr>
        <w:t>（四）因重大变故，采购任务取消。</w:t>
      </w:r>
    </w:p>
    <w:p w14:paraId="4F128BED">
      <w:pPr>
        <w:spacing w:line="360" w:lineRule="auto"/>
        <w:ind w:firstLine="480" w:firstLineChars="200"/>
        <w:rPr>
          <w:rFonts w:hint="eastAsia"/>
          <w:highlight w:val="none"/>
        </w:rPr>
      </w:pPr>
      <w:r>
        <w:rPr>
          <w:rFonts w:hint="eastAsia"/>
          <w:highlight w:val="none"/>
        </w:rPr>
        <w:t>终止采购程序或废标后，采购人应当将决定及相关理由及时通知所有投标供应商；评审现场废标决定由采购人根据评标委员会提出的废标意见作出；非评审现场废标决定原则上由采购人主管部门作出，另有约定的除外。除采购任务取消情形外，应当重新组织招标。</w:t>
      </w:r>
    </w:p>
    <w:p w14:paraId="158EE675">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bCs/>
          <w:szCs w:val="24"/>
          <w:highlight w:val="none"/>
          <w:lang w:val="zh-CN"/>
        </w:rPr>
        <w:t>中止电子交易活动和</w:t>
      </w:r>
      <w:r>
        <w:rPr>
          <w:rFonts w:hint="eastAsia" w:hAnsi="宋体" w:cs="宋体"/>
          <w:b/>
          <w:szCs w:val="24"/>
          <w:highlight w:val="none"/>
        </w:rPr>
        <w:t>重新组织采购</w:t>
      </w:r>
    </w:p>
    <w:p w14:paraId="262BC470">
      <w:pPr>
        <w:pStyle w:val="69"/>
        <w:tabs>
          <w:tab w:val="left" w:pos="0"/>
        </w:tabs>
        <w:spacing w:before="0"/>
        <w:ind w:firstLine="480"/>
        <w:rPr>
          <w:rFonts w:hint="eastAsia" w:ascii="宋体" w:hAnsi="宋体"/>
          <w:highlight w:val="none"/>
        </w:rPr>
      </w:pPr>
      <w:r>
        <w:rPr>
          <w:rFonts w:hint="eastAsia" w:ascii="宋体" w:hAnsi="宋体"/>
          <w:highlight w:val="none"/>
        </w:rPr>
        <w:t>26.1</w:t>
      </w:r>
      <w:r>
        <w:rPr>
          <w:rFonts w:ascii="宋体" w:hAnsi="宋体"/>
          <w:highlight w:val="none"/>
        </w:rPr>
        <w:t xml:space="preserve"> </w:t>
      </w:r>
      <w:r>
        <w:rPr>
          <w:rFonts w:hint="eastAsia" w:ascii="宋体" w:hAnsi="宋体"/>
          <w:highlight w:val="none"/>
        </w:rPr>
        <w:t>采购过程中出现以下情形，导致电子交易平台无法正常运行，或者无法保证电子交易的公平、公正和安全时，采购组织机构可中止电子交易活动：</w:t>
      </w:r>
    </w:p>
    <w:p w14:paraId="781BBD6C">
      <w:pPr>
        <w:numPr>
          <w:ilvl w:val="0"/>
          <w:numId w:val="19"/>
        </w:numPr>
        <w:tabs>
          <w:tab w:val="left" w:pos="0"/>
        </w:tabs>
        <w:spacing w:line="360" w:lineRule="auto"/>
        <w:ind w:firstLine="480" w:firstLineChars="200"/>
        <w:rPr>
          <w:rFonts w:hint="eastAsia"/>
          <w:highlight w:val="none"/>
        </w:rPr>
      </w:pPr>
      <w:r>
        <w:rPr>
          <w:rFonts w:hint="eastAsia"/>
          <w:highlight w:val="none"/>
        </w:rPr>
        <w:t>电子交易平台发生故障而无法登录访问的；</w:t>
      </w:r>
    </w:p>
    <w:p w14:paraId="5B3ED60A">
      <w:pPr>
        <w:numPr>
          <w:ilvl w:val="0"/>
          <w:numId w:val="19"/>
        </w:numPr>
        <w:tabs>
          <w:tab w:val="left" w:pos="0"/>
        </w:tabs>
        <w:spacing w:line="360" w:lineRule="auto"/>
        <w:ind w:firstLine="480" w:firstLineChars="200"/>
        <w:rPr>
          <w:rFonts w:hint="eastAsia"/>
          <w:highlight w:val="none"/>
        </w:rPr>
      </w:pPr>
      <w:r>
        <w:rPr>
          <w:rFonts w:hint="eastAsia"/>
          <w:highlight w:val="none"/>
        </w:rPr>
        <w:t>电子交易平台应用或数据库出现错误，不能进行正常操作的；</w:t>
      </w:r>
    </w:p>
    <w:p w14:paraId="14A61693">
      <w:pPr>
        <w:numPr>
          <w:ilvl w:val="0"/>
          <w:numId w:val="19"/>
        </w:numPr>
        <w:tabs>
          <w:tab w:val="left" w:pos="0"/>
        </w:tabs>
        <w:spacing w:line="360" w:lineRule="auto"/>
        <w:ind w:firstLine="480" w:firstLineChars="200"/>
        <w:rPr>
          <w:rFonts w:hint="eastAsia"/>
          <w:highlight w:val="none"/>
        </w:rPr>
      </w:pPr>
      <w:r>
        <w:rPr>
          <w:rFonts w:hint="eastAsia"/>
          <w:highlight w:val="none"/>
        </w:rPr>
        <w:t>电子交易平台发现严重安全漏洞，有潜在泄密危险的；</w:t>
      </w:r>
    </w:p>
    <w:p w14:paraId="42BCD02E">
      <w:pPr>
        <w:numPr>
          <w:ilvl w:val="0"/>
          <w:numId w:val="19"/>
        </w:numPr>
        <w:tabs>
          <w:tab w:val="left" w:pos="0"/>
        </w:tabs>
        <w:spacing w:line="360" w:lineRule="auto"/>
        <w:ind w:firstLine="480" w:firstLineChars="200"/>
        <w:rPr>
          <w:rFonts w:hint="eastAsia"/>
          <w:highlight w:val="none"/>
        </w:rPr>
      </w:pPr>
      <w:r>
        <w:rPr>
          <w:rFonts w:hint="eastAsia"/>
          <w:highlight w:val="none"/>
        </w:rPr>
        <w:t>病毒发作导致不能进行正常操作的；</w:t>
      </w:r>
    </w:p>
    <w:p w14:paraId="608B5930">
      <w:pPr>
        <w:numPr>
          <w:ilvl w:val="0"/>
          <w:numId w:val="19"/>
        </w:numPr>
        <w:tabs>
          <w:tab w:val="left" w:pos="0"/>
        </w:tabs>
        <w:spacing w:line="360" w:lineRule="auto"/>
        <w:ind w:firstLine="480" w:firstLineChars="200"/>
        <w:rPr>
          <w:rFonts w:hint="eastAsia"/>
          <w:highlight w:val="none"/>
        </w:rPr>
      </w:pPr>
      <w:r>
        <w:rPr>
          <w:rFonts w:hint="eastAsia"/>
          <w:highlight w:val="none"/>
        </w:rPr>
        <w:t>其他无法保证电子交易的公平、公正和安全的情况。</w:t>
      </w:r>
    </w:p>
    <w:p w14:paraId="5CE97687">
      <w:pPr>
        <w:pStyle w:val="69"/>
        <w:tabs>
          <w:tab w:val="left" w:pos="0"/>
        </w:tabs>
        <w:spacing w:before="0"/>
        <w:ind w:firstLine="480"/>
        <w:rPr>
          <w:rFonts w:hint="eastAsia" w:ascii="宋体" w:hAnsi="宋体"/>
          <w:highlight w:val="none"/>
        </w:rPr>
      </w:pPr>
      <w:r>
        <w:rPr>
          <w:rFonts w:hint="eastAsia" w:ascii="宋体" w:hAnsi="宋体"/>
          <w:highlight w:val="none"/>
        </w:rPr>
        <w:t>26.2</w:t>
      </w:r>
      <w:r>
        <w:rPr>
          <w:rFonts w:ascii="宋体" w:hAnsi="宋体"/>
          <w:highlight w:val="none"/>
        </w:rPr>
        <w:t xml:space="preserve"> </w:t>
      </w:r>
      <w:r>
        <w:rPr>
          <w:rFonts w:hint="eastAsia" w:ascii="宋体" w:hAnsi="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750F0F">
      <w:pPr>
        <w:pStyle w:val="16"/>
        <w:numPr>
          <w:ilvl w:val="0"/>
          <w:numId w:val="14"/>
        </w:numPr>
        <w:spacing w:line="360" w:lineRule="auto"/>
        <w:ind w:firstLine="482" w:firstLineChars="200"/>
        <w:rPr>
          <w:rFonts w:hint="eastAsia" w:hAnsi="宋体" w:cs="宋体"/>
          <w:b/>
          <w:szCs w:val="24"/>
          <w:highlight w:val="none"/>
        </w:rPr>
      </w:pPr>
      <w:r>
        <w:rPr>
          <w:rFonts w:hint="eastAsia" w:hAnsi="宋体" w:cs="宋体"/>
          <w:b/>
          <w:szCs w:val="24"/>
          <w:highlight w:val="none"/>
        </w:rPr>
        <w:t>保密及其它注意事项</w:t>
      </w:r>
    </w:p>
    <w:p w14:paraId="3CCF6926">
      <w:pPr>
        <w:pStyle w:val="69"/>
        <w:tabs>
          <w:tab w:val="left" w:pos="0"/>
        </w:tabs>
        <w:spacing w:before="0"/>
        <w:ind w:firstLine="480"/>
        <w:rPr>
          <w:rFonts w:hint="eastAsia" w:ascii="宋体" w:hAnsi="宋体"/>
          <w:highlight w:val="none"/>
        </w:rPr>
      </w:pPr>
      <w:r>
        <w:rPr>
          <w:rFonts w:hint="eastAsia" w:ascii="宋体" w:hAnsi="宋体"/>
          <w:highlight w:val="none"/>
        </w:rPr>
        <w:t>2</w:t>
      </w:r>
      <w:r>
        <w:rPr>
          <w:rFonts w:ascii="宋体" w:hAnsi="宋体"/>
          <w:highlight w:val="none"/>
        </w:rPr>
        <w:t xml:space="preserve">7.1 </w:t>
      </w:r>
      <w:r>
        <w:rPr>
          <w:rFonts w:hint="eastAsia" w:ascii="宋体" w:hAnsi="宋体"/>
          <w:highlight w:val="none"/>
        </w:rPr>
        <w:t>评标是招标工作的重要环节，评标工作由评标委员会独立进行。评标委员会将遵照评标原则，公正、平等地对待所有投标人；</w:t>
      </w:r>
    </w:p>
    <w:p w14:paraId="7C01A135">
      <w:pPr>
        <w:pStyle w:val="69"/>
        <w:tabs>
          <w:tab w:val="left" w:pos="0"/>
        </w:tabs>
        <w:spacing w:before="0"/>
        <w:ind w:firstLine="480"/>
        <w:rPr>
          <w:rFonts w:hint="eastAsia" w:ascii="宋体" w:hAnsi="宋体"/>
          <w:highlight w:val="none"/>
        </w:rPr>
      </w:pPr>
      <w:r>
        <w:rPr>
          <w:rFonts w:hint="eastAsia" w:ascii="宋体" w:hAnsi="宋体"/>
          <w:highlight w:val="none"/>
        </w:rPr>
        <w:t>2</w:t>
      </w:r>
      <w:r>
        <w:rPr>
          <w:rFonts w:ascii="宋体" w:hAnsi="宋体"/>
          <w:highlight w:val="none"/>
        </w:rPr>
        <w:t xml:space="preserve">7.2 </w:t>
      </w:r>
      <w:r>
        <w:rPr>
          <w:rFonts w:hint="eastAsia" w:ascii="宋体" w:hAnsi="宋体"/>
          <w:highlight w:val="none"/>
        </w:rPr>
        <w:t>在开标、投标期间，投标人不得向评委询问评标情况，不得进行旨在影响评标结果的活动。采购人不得在中标人确定前，与投标人就投标价格、投标方案等实质性内容进行谈判；</w:t>
      </w:r>
    </w:p>
    <w:p w14:paraId="65925641">
      <w:pPr>
        <w:pStyle w:val="69"/>
        <w:tabs>
          <w:tab w:val="left" w:pos="0"/>
        </w:tabs>
        <w:spacing w:before="0"/>
        <w:ind w:firstLine="480"/>
        <w:rPr>
          <w:rFonts w:hint="eastAsia" w:ascii="宋体" w:hAnsi="宋体"/>
          <w:highlight w:val="none"/>
        </w:rPr>
      </w:pPr>
      <w:r>
        <w:rPr>
          <w:rFonts w:hint="eastAsia" w:ascii="宋体" w:hAnsi="宋体"/>
          <w:highlight w:val="none"/>
        </w:rPr>
        <w:t>2</w:t>
      </w:r>
      <w:r>
        <w:rPr>
          <w:rFonts w:ascii="宋体" w:hAnsi="宋体"/>
          <w:highlight w:val="none"/>
        </w:rPr>
        <w:t xml:space="preserve">7.3 </w:t>
      </w:r>
      <w:r>
        <w:rPr>
          <w:rFonts w:hint="eastAsia" w:ascii="宋体" w:hAnsi="宋体"/>
          <w:highlight w:val="none"/>
        </w:rPr>
        <w:t>为保证定标的公正性，在评标过程中，评委不得与投标人私下交换意见。在招标工作结束后，凡与评标情况有接触的任何人，不得也不应将评标情况扩散出评委人员之外；</w:t>
      </w:r>
    </w:p>
    <w:p w14:paraId="3A03D9F3">
      <w:pPr>
        <w:pStyle w:val="69"/>
        <w:tabs>
          <w:tab w:val="left" w:pos="0"/>
        </w:tabs>
        <w:spacing w:before="0"/>
        <w:ind w:firstLine="480"/>
        <w:rPr>
          <w:rFonts w:hint="eastAsia" w:ascii="宋体" w:hAnsi="宋体"/>
          <w:highlight w:val="none"/>
        </w:rPr>
      </w:pPr>
      <w:r>
        <w:rPr>
          <w:rFonts w:hint="eastAsia" w:ascii="宋体" w:hAnsi="宋体"/>
          <w:highlight w:val="none"/>
        </w:rPr>
        <w:t>2</w:t>
      </w:r>
      <w:r>
        <w:rPr>
          <w:rFonts w:ascii="宋体" w:hAnsi="宋体"/>
          <w:highlight w:val="none"/>
        </w:rPr>
        <w:t xml:space="preserve">7.4 </w:t>
      </w:r>
      <w:r>
        <w:rPr>
          <w:rFonts w:hint="eastAsia" w:ascii="宋体" w:hAnsi="宋体"/>
          <w:highlight w:val="none"/>
        </w:rPr>
        <w:t>投标人相互之间，或与采购人相互不得串通投标，不得排挤其他投标人的公平竞争，损害采购人或者其他投标人的合法权益；</w:t>
      </w:r>
    </w:p>
    <w:p w14:paraId="40CD0D0E">
      <w:pPr>
        <w:pStyle w:val="69"/>
        <w:tabs>
          <w:tab w:val="left" w:pos="0"/>
        </w:tabs>
        <w:spacing w:before="0"/>
        <w:ind w:firstLine="480"/>
        <w:rPr>
          <w:rFonts w:hint="eastAsia" w:ascii="宋体" w:hAnsi="宋体"/>
          <w:highlight w:val="none"/>
        </w:rPr>
      </w:pPr>
      <w:r>
        <w:rPr>
          <w:rFonts w:hint="eastAsia" w:ascii="宋体" w:hAnsi="宋体"/>
          <w:highlight w:val="none"/>
        </w:rPr>
        <w:t>2</w:t>
      </w:r>
      <w:r>
        <w:rPr>
          <w:rFonts w:ascii="宋体" w:hAnsi="宋体"/>
          <w:highlight w:val="none"/>
        </w:rPr>
        <w:t xml:space="preserve">7.5 </w:t>
      </w:r>
      <w:r>
        <w:rPr>
          <w:rFonts w:hint="eastAsia" w:ascii="宋体" w:hAnsi="宋体"/>
          <w:highlight w:val="none"/>
        </w:rPr>
        <w:t>评标委员会不向投标人解释未中标的原因；</w:t>
      </w:r>
    </w:p>
    <w:p w14:paraId="157A9A65">
      <w:pPr>
        <w:pStyle w:val="69"/>
        <w:tabs>
          <w:tab w:val="left" w:pos="0"/>
        </w:tabs>
        <w:spacing w:before="0"/>
        <w:ind w:firstLine="480"/>
        <w:rPr>
          <w:rFonts w:hint="eastAsia" w:ascii="宋体" w:hAnsi="宋体"/>
          <w:highlight w:val="none"/>
        </w:rPr>
      </w:pPr>
      <w:r>
        <w:rPr>
          <w:rFonts w:hint="eastAsia" w:ascii="宋体" w:hAnsi="宋体"/>
          <w:highlight w:val="none"/>
        </w:rPr>
        <w:t>2</w:t>
      </w:r>
      <w:r>
        <w:rPr>
          <w:rFonts w:ascii="宋体" w:hAnsi="宋体"/>
          <w:highlight w:val="none"/>
        </w:rPr>
        <w:t xml:space="preserve">7.6 </w:t>
      </w:r>
      <w:r>
        <w:rPr>
          <w:rFonts w:hint="eastAsia" w:ascii="宋体" w:hAnsi="宋体"/>
          <w:highlight w:val="none"/>
        </w:rPr>
        <w:t>特别说明：乐采云公司如对电子化开标及评审程序有调整的，按调整后的程序操作。</w:t>
      </w:r>
    </w:p>
    <w:p w14:paraId="5E89B88A">
      <w:pPr>
        <w:snapToGrid w:val="0"/>
        <w:spacing w:line="360" w:lineRule="auto"/>
        <w:jc w:val="center"/>
        <w:outlineLvl w:val="1"/>
        <w:rPr>
          <w:rFonts w:hint="eastAsia"/>
          <w:b/>
          <w:sz w:val="32"/>
          <w:highlight w:val="none"/>
        </w:rPr>
      </w:pPr>
      <w:bookmarkStart w:id="55" w:name="_Toc151026250"/>
      <w:r>
        <w:rPr>
          <w:rFonts w:hint="eastAsia"/>
          <w:b/>
          <w:sz w:val="32"/>
          <w:highlight w:val="none"/>
        </w:rPr>
        <w:t>第八章 定 标</w:t>
      </w:r>
      <w:bookmarkEnd w:id="55"/>
    </w:p>
    <w:p w14:paraId="64796FC8">
      <w:pPr>
        <w:pStyle w:val="69"/>
        <w:tabs>
          <w:tab w:val="left" w:pos="0"/>
        </w:tabs>
        <w:spacing w:before="0"/>
        <w:ind w:firstLine="480"/>
        <w:rPr>
          <w:rFonts w:hint="eastAsia" w:ascii="宋体" w:hAnsi="宋体"/>
          <w:highlight w:val="none"/>
        </w:rPr>
      </w:pPr>
      <w:r>
        <w:rPr>
          <w:rFonts w:hint="eastAsia" w:ascii="宋体" w:hAnsi="宋体"/>
          <w:highlight w:val="none"/>
        </w:rPr>
        <w:t>28.1</w:t>
      </w:r>
      <w:r>
        <w:rPr>
          <w:rFonts w:ascii="宋体" w:hAnsi="宋体"/>
          <w:highlight w:val="none"/>
        </w:rPr>
        <w:t xml:space="preserve"> </w:t>
      </w:r>
      <w:r>
        <w:rPr>
          <w:rFonts w:hint="eastAsia" w:ascii="宋体" w:hAnsi="宋体"/>
          <w:highlight w:val="none"/>
        </w:rPr>
        <w:t>项目由评标委员会根据第三部分《评标办法与评分标准》规定提出中标候选人排序。</w:t>
      </w:r>
    </w:p>
    <w:p w14:paraId="21C229D8">
      <w:pPr>
        <w:pStyle w:val="69"/>
        <w:tabs>
          <w:tab w:val="left" w:pos="0"/>
        </w:tabs>
        <w:spacing w:before="0"/>
        <w:ind w:firstLine="480"/>
        <w:rPr>
          <w:rFonts w:hint="eastAsia" w:ascii="宋体" w:hAnsi="宋体"/>
          <w:highlight w:val="none"/>
        </w:rPr>
      </w:pPr>
      <w:r>
        <w:rPr>
          <w:rFonts w:hint="eastAsia" w:ascii="宋体" w:hAnsi="宋体"/>
          <w:highlight w:val="none"/>
        </w:rPr>
        <w:t>28.2</w:t>
      </w:r>
      <w:r>
        <w:rPr>
          <w:rFonts w:ascii="宋体" w:hAnsi="宋体"/>
          <w:highlight w:val="none"/>
        </w:rPr>
        <w:t xml:space="preserve"> </w:t>
      </w:r>
      <w:r>
        <w:rPr>
          <w:rFonts w:hint="eastAsia" w:ascii="宋体" w:hAnsi="宋体"/>
          <w:highlight w:val="none"/>
        </w:rPr>
        <w:t>采购代理机构应当在评标结束后2个工作日内将评标报告送采购人。</w:t>
      </w:r>
    </w:p>
    <w:p w14:paraId="30CC034F">
      <w:pPr>
        <w:pStyle w:val="69"/>
        <w:tabs>
          <w:tab w:val="left" w:pos="0"/>
        </w:tabs>
        <w:spacing w:before="0"/>
        <w:ind w:firstLine="480"/>
        <w:rPr>
          <w:rFonts w:hint="eastAsia" w:ascii="宋体" w:hAnsi="宋体"/>
          <w:highlight w:val="none"/>
        </w:rPr>
      </w:pPr>
      <w:r>
        <w:rPr>
          <w:rFonts w:hint="eastAsia" w:ascii="宋体" w:hAnsi="宋体"/>
          <w:highlight w:val="none"/>
        </w:rPr>
        <w:t>28.3</w:t>
      </w:r>
      <w:r>
        <w:rPr>
          <w:rFonts w:ascii="宋体" w:hAnsi="宋体"/>
          <w:highlight w:val="none"/>
        </w:rPr>
        <w:t xml:space="preserve"> </w:t>
      </w:r>
      <w:r>
        <w:rPr>
          <w:rFonts w:hint="eastAsia" w:ascii="宋体" w:hAnsi="宋体"/>
          <w:highlight w:val="none"/>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DA7BE40">
      <w:pPr>
        <w:pStyle w:val="69"/>
        <w:tabs>
          <w:tab w:val="left" w:pos="0"/>
        </w:tabs>
        <w:spacing w:before="0"/>
        <w:ind w:firstLine="480"/>
        <w:rPr>
          <w:rFonts w:hint="eastAsia" w:ascii="宋体" w:hAnsi="宋体"/>
          <w:highlight w:val="none"/>
        </w:rPr>
      </w:pPr>
      <w:r>
        <w:rPr>
          <w:rFonts w:hint="eastAsia" w:ascii="宋体" w:hAnsi="宋体"/>
          <w:highlight w:val="none"/>
        </w:rPr>
        <w:t>28.4</w:t>
      </w:r>
      <w:r>
        <w:rPr>
          <w:rFonts w:ascii="宋体" w:hAnsi="宋体"/>
          <w:highlight w:val="none"/>
        </w:rPr>
        <w:t xml:space="preserve"> </w:t>
      </w:r>
      <w:r>
        <w:rPr>
          <w:rFonts w:hint="eastAsia" w:ascii="宋体" w:hAnsi="宋体"/>
          <w:highlight w:val="none"/>
        </w:rPr>
        <w:t>采购人或者采购代理机构应当自中标人确定之日起2个工作日内，在发布招标公告的网站上公告中标结果，公告期限为1个工作日。在公告中标结果的同时，采购人或者采购代理机构应当向中标人发出中标通知书。</w:t>
      </w:r>
    </w:p>
    <w:p w14:paraId="473A5AD7">
      <w:pPr>
        <w:pStyle w:val="69"/>
        <w:tabs>
          <w:tab w:val="left" w:pos="0"/>
        </w:tabs>
        <w:spacing w:before="0"/>
        <w:ind w:firstLine="480"/>
        <w:rPr>
          <w:rFonts w:hint="eastAsia" w:ascii="宋体" w:hAnsi="宋体"/>
          <w:highlight w:val="none"/>
        </w:rPr>
      </w:pPr>
      <w:r>
        <w:rPr>
          <w:rFonts w:hint="eastAsia" w:ascii="宋体" w:hAnsi="宋体"/>
          <w:highlight w:val="none"/>
        </w:rPr>
        <w:t>28.5</w:t>
      </w:r>
      <w:r>
        <w:rPr>
          <w:rFonts w:ascii="宋体" w:hAnsi="宋体"/>
          <w:highlight w:val="none"/>
        </w:rPr>
        <w:t xml:space="preserve"> </w:t>
      </w:r>
      <w:r>
        <w:rPr>
          <w:rFonts w:hint="eastAsia" w:ascii="宋体" w:hAnsi="宋体"/>
          <w:highlight w:val="none"/>
        </w:rPr>
        <w:t>中标人应携带介绍信自行前往采购代理机构领取中标通知书。</w:t>
      </w:r>
    </w:p>
    <w:p w14:paraId="24BBCFC9">
      <w:pPr>
        <w:pStyle w:val="69"/>
        <w:tabs>
          <w:tab w:val="left" w:pos="0"/>
        </w:tabs>
        <w:spacing w:before="0"/>
        <w:ind w:firstLine="480"/>
        <w:rPr>
          <w:rFonts w:hint="eastAsia" w:ascii="宋体" w:hAnsi="宋体"/>
          <w:highlight w:val="none"/>
        </w:rPr>
      </w:pPr>
      <w:r>
        <w:rPr>
          <w:rFonts w:hint="eastAsia" w:ascii="宋体" w:hAnsi="宋体"/>
          <w:highlight w:val="none"/>
        </w:rPr>
        <w:t>28.6</w:t>
      </w:r>
      <w:r>
        <w:rPr>
          <w:rFonts w:ascii="宋体" w:hAnsi="宋体"/>
          <w:highlight w:val="none"/>
        </w:rPr>
        <w:t xml:space="preserve"> </w:t>
      </w:r>
      <w:r>
        <w:rPr>
          <w:rFonts w:ascii="宋体" w:hAnsi="宋体"/>
          <w:szCs w:val="24"/>
          <w:highlight w:val="none"/>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14:paraId="541F1827">
      <w:pPr>
        <w:pStyle w:val="69"/>
        <w:tabs>
          <w:tab w:val="left" w:pos="0"/>
        </w:tabs>
        <w:spacing w:before="0"/>
        <w:ind w:firstLine="480"/>
        <w:rPr>
          <w:rFonts w:hint="eastAsia" w:ascii="宋体" w:hAnsi="宋体"/>
          <w:highlight w:val="none"/>
        </w:rPr>
      </w:pPr>
    </w:p>
    <w:p w14:paraId="47EE6A9B">
      <w:pPr>
        <w:snapToGrid w:val="0"/>
        <w:spacing w:line="360" w:lineRule="auto"/>
        <w:jc w:val="center"/>
        <w:outlineLvl w:val="1"/>
        <w:rPr>
          <w:rFonts w:hint="eastAsia"/>
          <w:b/>
          <w:sz w:val="32"/>
          <w:highlight w:val="none"/>
        </w:rPr>
      </w:pPr>
      <w:bookmarkStart w:id="56" w:name="_Toc151026251"/>
      <w:r>
        <w:rPr>
          <w:rFonts w:hint="eastAsia"/>
          <w:b/>
          <w:sz w:val="32"/>
          <w:highlight w:val="none"/>
        </w:rPr>
        <w:t>第九章 合同签订及其他</w:t>
      </w:r>
      <w:bookmarkEnd w:id="56"/>
    </w:p>
    <w:p w14:paraId="207C9F5E">
      <w:pPr>
        <w:pStyle w:val="69"/>
        <w:tabs>
          <w:tab w:val="left" w:pos="0"/>
        </w:tabs>
        <w:spacing w:before="0"/>
        <w:ind w:firstLine="480"/>
        <w:rPr>
          <w:rFonts w:hint="eastAsia" w:ascii="宋体" w:hAnsi="宋体"/>
          <w:highlight w:val="none"/>
        </w:rPr>
      </w:pPr>
      <w:r>
        <w:rPr>
          <w:rFonts w:hint="eastAsia" w:ascii="宋体" w:hAnsi="宋体"/>
          <w:highlight w:val="none"/>
        </w:rPr>
        <w:t>29.1 采购人应当自中标通知书发出之日起30日内，按照招标文件和中标人投标文件的规定，与中标人签订书面合同。所签订的合同不得对招标文件确定的事项和中标人投标文件作实质性修改。</w:t>
      </w:r>
    </w:p>
    <w:p w14:paraId="67FA9191">
      <w:pPr>
        <w:pStyle w:val="69"/>
        <w:tabs>
          <w:tab w:val="left" w:pos="0"/>
        </w:tabs>
        <w:spacing w:before="0"/>
        <w:ind w:firstLine="480"/>
        <w:rPr>
          <w:rFonts w:hint="eastAsia" w:ascii="宋体" w:hAnsi="宋体"/>
          <w:highlight w:val="none"/>
        </w:rPr>
      </w:pPr>
      <w:r>
        <w:rPr>
          <w:rFonts w:hint="eastAsia" w:ascii="宋体" w:hAnsi="宋体"/>
          <w:highlight w:val="none"/>
        </w:rPr>
        <w:t xml:space="preserve">29.2 </w:t>
      </w:r>
      <w:r>
        <w:rPr>
          <w:rFonts w:ascii="宋体" w:hAnsi="宋体"/>
          <w:szCs w:val="24"/>
          <w:highlight w:val="none"/>
        </w:rPr>
        <w:t>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14:paraId="12AF5F44">
      <w:pPr>
        <w:pStyle w:val="16"/>
        <w:spacing w:line="360" w:lineRule="auto"/>
        <w:ind w:left="480" w:leftChars="200"/>
        <w:rPr>
          <w:rFonts w:hint="eastAsia" w:hAnsi="宋体" w:cs="宋体"/>
          <w:b/>
          <w:szCs w:val="24"/>
          <w:highlight w:val="none"/>
        </w:rPr>
      </w:pPr>
      <w:r>
        <w:rPr>
          <w:rFonts w:hint="eastAsia" w:hAnsi="宋体" w:cs="宋体"/>
          <w:b/>
          <w:szCs w:val="24"/>
          <w:highlight w:val="none"/>
        </w:rPr>
        <w:t>30.</w:t>
      </w:r>
      <w:r>
        <w:rPr>
          <w:rFonts w:hAnsi="宋体" w:cs="宋体"/>
          <w:b/>
          <w:szCs w:val="24"/>
          <w:highlight w:val="none"/>
        </w:rPr>
        <w:t xml:space="preserve"> </w:t>
      </w:r>
      <w:r>
        <w:rPr>
          <w:rFonts w:hint="eastAsia" w:hAnsi="宋体" w:cs="宋体"/>
          <w:b/>
          <w:szCs w:val="24"/>
          <w:highlight w:val="none"/>
        </w:rPr>
        <w:t>履约保证金</w:t>
      </w:r>
    </w:p>
    <w:p w14:paraId="6CE66348">
      <w:pPr>
        <w:pStyle w:val="16"/>
        <w:snapToGrid w:val="0"/>
        <w:spacing w:line="360" w:lineRule="exact"/>
        <w:ind w:firstLine="482" w:firstLineChars="200"/>
        <w:rPr>
          <w:b/>
          <w:bCs/>
          <w:highlight w:val="none"/>
        </w:rPr>
      </w:pPr>
      <w:r>
        <w:rPr>
          <w:rFonts w:hint="eastAsia"/>
          <w:b/>
          <w:bCs/>
          <w:highlight w:val="none"/>
        </w:rPr>
        <w:t>中标人在收到中标通知书后、签订合同前，需向采购人提供合同总价</w:t>
      </w:r>
      <w:r>
        <w:rPr>
          <w:rFonts w:hint="eastAsia"/>
          <w:b/>
          <w:bCs/>
          <w:highlight w:val="none"/>
          <w:lang w:val="en-US" w:eastAsia="zh-CN"/>
        </w:rPr>
        <w:t>2</w:t>
      </w:r>
      <w:r>
        <w:rPr>
          <w:rFonts w:hint="eastAsia"/>
          <w:b/>
          <w:bCs/>
          <w:highlight w:val="none"/>
        </w:rPr>
        <w:t>%的履约保证金。（中标人应当以支票、汇票、本票或者金融机构、保险公司、担保机构出具的保函等非现金形式提交）</w:t>
      </w:r>
    </w:p>
    <w:p w14:paraId="5D7BA81B">
      <w:pPr>
        <w:pStyle w:val="16"/>
        <w:snapToGrid w:val="0"/>
        <w:spacing w:line="360" w:lineRule="exact"/>
        <w:ind w:firstLine="482" w:firstLineChars="200"/>
        <w:rPr>
          <w:b/>
          <w:bCs/>
          <w:highlight w:val="none"/>
        </w:rPr>
      </w:pPr>
      <w:r>
        <w:rPr>
          <w:rFonts w:hint="eastAsia"/>
          <w:b/>
          <w:bCs/>
          <w:highlight w:val="none"/>
        </w:rPr>
        <w:t>履约保证金在安装、调试完毕并经验收合格且所有合同义务都已履行完毕后15个工作日内一次性无息退还。</w:t>
      </w:r>
    </w:p>
    <w:p w14:paraId="6BED03D3">
      <w:pPr>
        <w:pStyle w:val="69"/>
        <w:tabs>
          <w:tab w:val="left" w:pos="0"/>
        </w:tabs>
        <w:spacing w:before="0"/>
        <w:ind w:firstLine="480"/>
        <w:rPr>
          <w:rFonts w:hint="eastAsia" w:ascii="宋体" w:hAnsi="宋体"/>
          <w:highlight w:val="none"/>
        </w:rPr>
      </w:pPr>
      <w:r>
        <w:rPr>
          <w:rFonts w:hint="eastAsia" w:ascii="宋体" w:hAnsi="宋体"/>
          <w:highlight w:val="none"/>
        </w:rPr>
        <w:t>注：采购人可以邀请参加本项目的其他投标人或者第三方机构参与验收。参与验收的投标人或者第三方机构的意见作为验收书的参考资料一并存档。</w:t>
      </w:r>
    </w:p>
    <w:p w14:paraId="7EB8A4B1">
      <w:pPr>
        <w:pStyle w:val="16"/>
        <w:spacing w:line="360" w:lineRule="auto"/>
        <w:ind w:left="480" w:leftChars="200"/>
        <w:rPr>
          <w:rFonts w:hint="eastAsia" w:hAnsi="宋体" w:cs="宋体"/>
          <w:b/>
          <w:szCs w:val="24"/>
          <w:highlight w:val="none"/>
        </w:rPr>
      </w:pPr>
      <w:r>
        <w:rPr>
          <w:rFonts w:hint="eastAsia" w:hAnsi="宋体" w:cs="宋体"/>
          <w:b/>
          <w:szCs w:val="24"/>
          <w:highlight w:val="none"/>
        </w:rPr>
        <w:t>31.</w:t>
      </w:r>
      <w:r>
        <w:rPr>
          <w:rFonts w:hAnsi="宋体" w:cs="宋体"/>
          <w:b/>
          <w:szCs w:val="24"/>
          <w:highlight w:val="none"/>
        </w:rPr>
        <w:t xml:space="preserve"> </w:t>
      </w:r>
      <w:r>
        <w:rPr>
          <w:rFonts w:hint="eastAsia" w:hAnsi="宋体" w:cs="宋体"/>
          <w:b/>
          <w:szCs w:val="24"/>
          <w:highlight w:val="none"/>
        </w:rPr>
        <w:t>验收</w:t>
      </w:r>
    </w:p>
    <w:p w14:paraId="0C932200">
      <w:pPr>
        <w:pStyle w:val="69"/>
        <w:tabs>
          <w:tab w:val="left" w:pos="0"/>
        </w:tabs>
        <w:spacing w:before="0"/>
        <w:ind w:firstLine="480"/>
        <w:rPr>
          <w:rFonts w:hint="eastAsia" w:ascii="宋体" w:hAnsi="宋体"/>
          <w:highlight w:val="none"/>
        </w:rPr>
      </w:pPr>
      <w:r>
        <w:rPr>
          <w:rFonts w:hint="eastAsia" w:ascii="宋体" w:hAnsi="宋体"/>
          <w:highlight w:val="none"/>
        </w:rPr>
        <w:t>31.1</w:t>
      </w:r>
      <w:r>
        <w:rPr>
          <w:rFonts w:ascii="宋体" w:hAnsi="宋体"/>
          <w:highlight w:val="none"/>
        </w:rPr>
        <w:t xml:space="preserve"> </w:t>
      </w:r>
      <w:r>
        <w:rPr>
          <w:rFonts w:hint="eastAsia" w:ascii="宋体" w:hAnsi="宋体"/>
          <w:highlight w:val="none"/>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8C0BAE">
      <w:pPr>
        <w:pStyle w:val="69"/>
        <w:tabs>
          <w:tab w:val="left" w:pos="0"/>
        </w:tabs>
        <w:spacing w:before="0"/>
        <w:ind w:firstLine="480"/>
        <w:rPr>
          <w:rFonts w:hint="eastAsia" w:ascii="宋体" w:hAnsi="宋体"/>
          <w:highlight w:val="none"/>
        </w:rPr>
      </w:pPr>
      <w:r>
        <w:rPr>
          <w:rFonts w:hint="eastAsia" w:ascii="宋体" w:hAnsi="宋体"/>
          <w:highlight w:val="none"/>
        </w:rPr>
        <w:t>31.2</w:t>
      </w:r>
      <w:r>
        <w:rPr>
          <w:rFonts w:ascii="宋体" w:hAnsi="宋体"/>
          <w:highlight w:val="none"/>
        </w:rPr>
        <w:t xml:space="preserve"> </w:t>
      </w:r>
      <w:r>
        <w:rPr>
          <w:rFonts w:hint="eastAsia" w:ascii="宋体" w:hAnsi="宋体"/>
          <w:highlight w:val="none"/>
        </w:rPr>
        <w:t>采购人应当及时对采购项目进行验收，采购人可以邀请参加本项目的其他投标人或者第三方机构参与验收，参与验收的投标人或者第三方机构的意见作为验收书的参考资料一并存档。</w:t>
      </w:r>
    </w:p>
    <w:p w14:paraId="2EA8D619">
      <w:pPr>
        <w:pStyle w:val="69"/>
        <w:tabs>
          <w:tab w:val="left" w:pos="0"/>
        </w:tabs>
        <w:spacing w:before="0"/>
        <w:ind w:firstLine="480"/>
        <w:rPr>
          <w:rFonts w:hint="eastAsia" w:ascii="宋体" w:hAnsi="宋体"/>
          <w:highlight w:val="none"/>
        </w:rPr>
      </w:pPr>
      <w:r>
        <w:rPr>
          <w:rFonts w:hint="eastAsia" w:ascii="宋体" w:hAnsi="宋体"/>
          <w:highlight w:val="none"/>
        </w:rPr>
        <w:t>31.3</w:t>
      </w:r>
      <w:r>
        <w:rPr>
          <w:rFonts w:ascii="宋体" w:hAnsi="宋体"/>
          <w:highlight w:val="none"/>
        </w:rPr>
        <w:t xml:space="preserve"> </w:t>
      </w:r>
      <w:r>
        <w:rPr>
          <w:rFonts w:hint="eastAsia" w:ascii="宋体" w:hAnsi="宋体"/>
          <w:highlight w:val="none"/>
        </w:rPr>
        <w:t>采购人负责加强对中标人的履约管理，并按照采购合同约定，及时向中标人支付采购资金。对于中标人违反采购合同约定的行为，采购人应当及时处理，依法追究其违约责任。</w:t>
      </w:r>
    </w:p>
    <w:p w14:paraId="1E2A464A">
      <w:pPr>
        <w:pStyle w:val="16"/>
        <w:spacing w:line="360" w:lineRule="auto"/>
        <w:ind w:left="480" w:leftChars="200"/>
        <w:rPr>
          <w:rFonts w:hint="eastAsia" w:hAnsi="宋体" w:cs="宋体"/>
          <w:b/>
          <w:szCs w:val="24"/>
          <w:highlight w:val="none"/>
        </w:rPr>
      </w:pPr>
      <w:r>
        <w:rPr>
          <w:rFonts w:hint="eastAsia" w:hAnsi="宋体" w:cs="宋体"/>
          <w:b/>
          <w:szCs w:val="24"/>
          <w:highlight w:val="none"/>
        </w:rPr>
        <w:t>32.</w:t>
      </w:r>
      <w:r>
        <w:rPr>
          <w:rFonts w:hAnsi="宋体" w:cs="宋体"/>
          <w:b/>
          <w:szCs w:val="24"/>
          <w:highlight w:val="none"/>
        </w:rPr>
        <w:t xml:space="preserve"> </w:t>
      </w:r>
      <w:r>
        <w:rPr>
          <w:rFonts w:hint="eastAsia" w:hAnsi="宋体" w:cs="宋体"/>
          <w:b/>
          <w:szCs w:val="24"/>
          <w:highlight w:val="none"/>
        </w:rPr>
        <w:t>货款结算方式</w:t>
      </w:r>
    </w:p>
    <w:p w14:paraId="56D74A1E">
      <w:pPr>
        <w:pStyle w:val="69"/>
        <w:tabs>
          <w:tab w:val="left" w:pos="0"/>
        </w:tabs>
        <w:spacing w:before="0"/>
        <w:ind w:firstLine="480"/>
        <w:rPr>
          <w:rFonts w:hint="eastAsia" w:ascii="宋体" w:hAnsi="宋体"/>
          <w:highlight w:val="none"/>
        </w:rPr>
      </w:pPr>
      <w:r>
        <w:rPr>
          <w:rFonts w:hint="eastAsia" w:ascii="宋体" w:hAnsi="宋体"/>
          <w:highlight w:val="none"/>
        </w:rPr>
        <w:t>付款方式：采购人与中标人依照招标文件规定的付款方式进行项目款项的支付。</w:t>
      </w:r>
    </w:p>
    <w:p w14:paraId="1C433472">
      <w:pPr>
        <w:pStyle w:val="16"/>
        <w:spacing w:line="360" w:lineRule="auto"/>
        <w:ind w:left="480" w:leftChars="200"/>
        <w:rPr>
          <w:rFonts w:hint="eastAsia" w:hAnsi="宋体" w:cs="宋体"/>
          <w:b/>
          <w:szCs w:val="24"/>
          <w:highlight w:val="none"/>
        </w:rPr>
      </w:pPr>
      <w:r>
        <w:rPr>
          <w:rFonts w:hint="eastAsia" w:hAnsi="宋体" w:cs="宋体"/>
          <w:b/>
          <w:szCs w:val="24"/>
          <w:highlight w:val="none"/>
        </w:rPr>
        <w:t>33.</w:t>
      </w:r>
      <w:r>
        <w:rPr>
          <w:rFonts w:hAnsi="宋体" w:cs="宋体"/>
          <w:b/>
          <w:szCs w:val="24"/>
          <w:highlight w:val="none"/>
        </w:rPr>
        <w:t xml:space="preserve"> </w:t>
      </w:r>
      <w:r>
        <w:rPr>
          <w:rFonts w:hint="eastAsia" w:hAnsi="宋体" w:cs="宋体"/>
          <w:b/>
          <w:szCs w:val="24"/>
          <w:highlight w:val="none"/>
        </w:rPr>
        <w:t>售后服务考核</w:t>
      </w:r>
    </w:p>
    <w:p w14:paraId="593FC132">
      <w:pPr>
        <w:pStyle w:val="69"/>
        <w:tabs>
          <w:tab w:val="left" w:pos="0"/>
        </w:tabs>
        <w:spacing w:before="0"/>
        <w:ind w:firstLine="480"/>
        <w:rPr>
          <w:rFonts w:hint="eastAsia" w:ascii="宋体" w:hAnsi="宋体"/>
          <w:highlight w:val="none"/>
        </w:rPr>
      </w:pPr>
      <w:r>
        <w:rPr>
          <w:rFonts w:ascii="宋体" w:hAnsi="宋体"/>
          <w:highlight w:val="none"/>
        </w:rPr>
        <w:t>采购代理机构将配合采购人主管部门不定期对合同的履约情况进行检查，发现弄虚作假，偷工减料，以次充好，达不到国家、行业有关标准和技术文件规定的，一经查实，由有关职能部门给与相应处罚</w:t>
      </w:r>
      <w:r>
        <w:rPr>
          <w:rFonts w:hint="eastAsia" w:ascii="宋体" w:hAnsi="宋体"/>
          <w:highlight w:val="none"/>
        </w:rPr>
        <w:t>。</w:t>
      </w:r>
    </w:p>
    <w:p w14:paraId="7DE37573">
      <w:pPr>
        <w:spacing w:line="360" w:lineRule="auto"/>
        <w:jc w:val="center"/>
        <w:rPr>
          <w:rFonts w:hint="eastAsia"/>
          <w:b/>
          <w:highlight w:val="none"/>
        </w:rPr>
      </w:pPr>
    </w:p>
    <w:p w14:paraId="1A1DB843">
      <w:pPr>
        <w:snapToGrid w:val="0"/>
        <w:spacing w:line="360" w:lineRule="auto"/>
        <w:jc w:val="center"/>
        <w:outlineLvl w:val="1"/>
        <w:rPr>
          <w:rFonts w:hint="eastAsia"/>
          <w:b/>
          <w:sz w:val="32"/>
          <w:highlight w:val="none"/>
        </w:rPr>
      </w:pPr>
      <w:bookmarkStart w:id="57" w:name="_Toc151026252"/>
      <w:r>
        <w:rPr>
          <w:rFonts w:hint="eastAsia"/>
          <w:b/>
          <w:sz w:val="32"/>
          <w:highlight w:val="none"/>
        </w:rPr>
        <w:t>第十章 质疑与投诉</w:t>
      </w:r>
      <w:bookmarkEnd w:id="57"/>
    </w:p>
    <w:p w14:paraId="0132A302">
      <w:pPr>
        <w:tabs>
          <w:tab w:val="left" w:pos="0"/>
        </w:tabs>
        <w:spacing w:line="360" w:lineRule="auto"/>
        <w:ind w:firstLine="480"/>
        <w:rPr>
          <w:rFonts w:hint="eastAsia"/>
          <w:highlight w:val="none"/>
        </w:rPr>
      </w:pPr>
      <w:r>
        <w:rPr>
          <w:rFonts w:hint="eastAsia"/>
          <w:highlight w:val="none"/>
        </w:rPr>
        <w:t>根据《上虞区区属国有企业货物和服务采购管理办法》等有关规定，国企采购供应商可以依法提起质疑和投诉。</w:t>
      </w:r>
    </w:p>
    <w:p w14:paraId="0EA42DD7">
      <w:pPr>
        <w:pStyle w:val="16"/>
        <w:spacing w:line="360" w:lineRule="auto"/>
        <w:ind w:left="480" w:leftChars="200"/>
        <w:rPr>
          <w:rFonts w:hint="eastAsia" w:hAnsi="宋体" w:cs="宋体"/>
          <w:b/>
          <w:szCs w:val="24"/>
          <w:highlight w:val="none"/>
          <w:lang w:val="zh-CN"/>
        </w:rPr>
      </w:pPr>
      <w:r>
        <w:rPr>
          <w:rFonts w:hint="eastAsia" w:hAnsi="宋体" w:cs="宋体"/>
          <w:b/>
          <w:szCs w:val="24"/>
          <w:highlight w:val="none"/>
        </w:rPr>
        <w:t>34.</w:t>
      </w:r>
      <w:r>
        <w:rPr>
          <w:rFonts w:hAnsi="宋体" w:cs="宋体"/>
          <w:b/>
          <w:szCs w:val="24"/>
          <w:highlight w:val="none"/>
        </w:rPr>
        <w:t xml:space="preserve"> </w:t>
      </w:r>
      <w:r>
        <w:rPr>
          <w:rFonts w:hint="eastAsia" w:hAnsi="宋体" w:cs="宋体"/>
          <w:b/>
          <w:szCs w:val="24"/>
          <w:highlight w:val="none"/>
          <w:lang w:val="zh-CN"/>
        </w:rPr>
        <w:t>供应商询问</w:t>
      </w:r>
    </w:p>
    <w:p w14:paraId="4B7F47BB">
      <w:pPr>
        <w:pStyle w:val="16"/>
        <w:spacing w:line="360" w:lineRule="auto"/>
        <w:ind w:firstLine="480" w:firstLineChars="200"/>
        <w:rPr>
          <w:rFonts w:hint="eastAsia" w:hAnsi="宋体" w:cs="宋体"/>
          <w:highlight w:val="none"/>
        </w:rPr>
      </w:pPr>
      <w:r>
        <w:rPr>
          <w:rFonts w:hint="eastAsia" w:hAnsi="宋体" w:cs="宋体"/>
          <w:highlight w:val="none"/>
        </w:rPr>
        <w:t>供应商对国企采购活动事项有疑问的，可以向采购代理机构提出询问，采购代理机构将对供应商依法提出的询问作出答复，但答复的内容不得涉及商业秘密。</w:t>
      </w:r>
    </w:p>
    <w:p w14:paraId="6CEF9FDE">
      <w:pPr>
        <w:pStyle w:val="16"/>
        <w:spacing w:line="360" w:lineRule="auto"/>
        <w:ind w:left="480" w:leftChars="200"/>
        <w:rPr>
          <w:rFonts w:hint="eastAsia" w:hAnsi="宋体" w:cs="宋体"/>
          <w:b/>
          <w:szCs w:val="24"/>
          <w:highlight w:val="none"/>
          <w:lang w:val="zh-CN"/>
        </w:rPr>
      </w:pPr>
      <w:r>
        <w:rPr>
          <w:rFonts w:hint="eastAsia" w:hAnsi="宋体" w:cs="宋体"/>
          <w:b/>
          <w:szCs w:val="24"/>
          <w:highlight w:val="none"/>
        </w:rPr>
        <w:t>35.</w:t>
      </w:r>
      <w:r>
        <w:rPr>
          <w:rFonts w:hAnsi="宋体" w:cs="宋体"/>
          <w:b/>
          <w:szCs w:val="24"/>
          <w:highlight w:val="none"/>
        </w:rPr>
        <w:t xml:space="preserve"> </w:t>
      </w:r>
      <w:r>
        <w:rPr>
          <w:rFonts w:hint="eastAsia" w:hAnsi="宋体" w:cs="宋体"/>
          <w:b/>
          <w:szCs w:val="24"/>
          <w:highlight w:val="none"/>
          <w:lang w:val="zh-CN"/>
        </w:rPr>
        <w:t>供应商质疑</w:t>
      </w:r>
    </w:p>
    <w:p w14:paraId="3FD50262">
      <w:pPr>
        <w:pStyle w:val="69"/>
        <w:tabs>
          <w:tab w:val="left" w:pos="0"/>
        </w:tabs>
        <w:spacing w:before="0"/>
        <w:ind w:firstLine="480"/>
        <w:jc w:val="both"/>
        <w:rPr>
          <w:rFonts w:ascii="Times New Roman" w:hAnsi="Times New Roman" w:cs="Times New Roman"/>
          <w:highlight w:val="none"/>
        </w:rPr>
      </w:pPr>
      <w:r>
        <w:rPr>
          <w:rFonts w:hint="eastAsia" w:ascii="宋体" w:hAnsi="宋体"/>
          <w:highlight w:val="none"/>
        </w:rPr>
        <w:t>3</w:t>
      </w:r>
      <w:r>
        <w:rPr>
          <w:rFonts w:ascii="宋体" w:hAnsi="宋体"/>
          <w:highlight w:val="none"/>
        </w:rPr>
        <w:t>5.1供应商认为采购文件、采购过程、中标或者成交结果使自己的权益受到损害</w:t>
      </w:r>
      <w:r>
        <w:rPr>
          <w:rFonts w:ascii="Times New Roman" w:hAnsi="Times New Roman" w:cs="Times New Roman"/>
          <w:highlight w:val="none"/>
        </w:rPr>
        <w:t>的，可以在知道或者应知其权益受到损害之日起7个工作日内，以书面形式向采购人、采购代理机构</w:t>
      </w:r>
      <w:r>
        <w:rPr>
          <w:rFonts w:hint="eastAsia" w:ascii="Times New Roman" w:hAnsi="Times New Roman" w:cs="Times New Roman"/>
          <w:highlight w:val="none"/>
        </w:rPr>
        <w:t>受到损害</w:t>
      </w:r>
      <w:r>
        <w:rPr>
          <w:rFonts w:ascii="Times New Roman" w:hAnsi="Times New Roman" w:cs="Times New Roman"/>
          <w:highlight w:val="none"/>
        </w:rPr>
        <w:t>提出质疑，采购人、采购代理机构应在7个工作日内做好答复工作，但答复内容不得涉及商业秘密。</w:t>
      </w:r>
    </w:p>
    <w:p w14:paraId="69C93175">
      <w:pPr>
        <w:pStyle w:val="69"/>
        <w:tabs>
          <w:tab w:val="left" w:pos="0"/>
        </w:tabs>
        <w:spacing w:before="0"/>
        <w:ind w:firstLine="480"/>
        <w:jc w:val="both"/>
        <w:rPr>
          <w:rFonts w:ascii="Times New Roman" w:hAnsi="Times New Roman" w:cs="Times New Roman"/>
          <w:highlight w:val="none"/>
        </w:rPr>
      </w:pPr>
      <w:r>
        <w:rPr>
          <w:rFonts w:ascii="Times New Roman" w:hAnsi="Times New Roman" w:cs="Times New Roman"/>
          <w:highlight w:val="none"/>
        </w:rPr>
        <w:t>《上虞区区属国有企业货物和服务采购管理办法》第四十九条规定的供应商应知其权益之日，是指：</w:t>
      </w:r>
    </w:p>
    <w:p w14:paraId="667B36C2">
      <w:pPr>
        <w:pStyle w:val="69"/>
        <w:tabs>
          <w:tab w:val="left" w:pos="0"/>
        </w:tabs>
        <w:spacing w:before="0"/>
        <w:ind w:firstLine="480"/>
        <w:jc w:val="both"/>
        <w:rPr>
          <w:rFonts w:ascii="Times New Roman" w:hAnsi="Times New Roman" w:cs="Times New Roman"/>
          <w:highlight w:val="none"/>
        </w:rPr>
      </w:pPr>
      <w:r>
        <w:rPr>
          <w:rFonts w:ascii="Times New Roman" w:hAnsi="Times New Roman" w:cs="Times New Roman"/>
          <w:highlight w:val="none"/>
        </w:rPr>
        <w:t>（一）对可以质疑的采购文件提出质疑的，为收到采购文件之日或者采购文件公告期限届满之日（公告期限届满后获取采购文件的，以公告期限届满之日为准）；</w:t>
      </w:r>
    </w:p>
    <w:p w14:paraId="1FF0A7D7">
      <w:pPr>
        <w:pStyle w:val="69"/>
        <w:tabs>
          <w:tab w:val="left" w:pos="0"/>
        </w:tabs>
        <w:spacing w:before="0"/>
        <w:ind w:firstLine="480"/>
        <w:jc w:val="both"/>
        <w:rPr>
          <w:rFonts w:ascii="Times New Roman" w:hAnsi="Times New Roman" w:cs="Times New Roman"/>
          <w:highlight w:val="none"/>
        </w:rPr>
      </w:pPr>
      <w:r>
        <w:rPr>
          <w:rFonts w:ascii="Times New Roman" w:hAnsi="Times New Roman" w:cs="Times New Roman"/>
          <w:highlight w:val="none"/>
        </w:rPr>
        <w:t>（二）对采购过程提出质疑的，为各采购程序环节结束之日；</w:t>
      </w:r>
    </w:p>
    <w:p w14:paraId="6E63A424">
      <w:pPr>
        <w:pStyle w:val="69"/>
        <w:tabs>
          <w:tab w:val="left" w:pos="0"/>
        </w:tabs>
        <w:spacing w:before="0"/>
        <w:ind w:firstLine="480"/>
        <w:jc w:val="both"/>
        <w:rPr>
          <w:rFonts w:hint="eastAsia" w:ascii="宋体" w:hAnsi="宋体"/>
          <w:highlight w:val="none"/>
        </w:rPr>
      </w:pPr>
      <w:r>
        <w:rPr>
          <w:rFonts w:ascii="Times New Roman" w:hAnsi="Times New Roman" w:cs="Times New Roman"/>
          <w:highlight w:val="none"/>
        </w:rPr>
        <w:t>（三）对中标或者成交结果提出质疑的，为中标或者成交结果公告期限届满之日。</w:t>
      </w:r>
    </w:p>
    <w:p w14:paraId="7F9CEC64">
      <w:pPr>
        <w:widowControl w:val="0"/>
        <w:spacing w:line="360" w:lineRule="auto"/>
        <w:ind w:firstLine="480" w:firstLineChars="200"/>
        <w:jc w:val="both"/>
        <w:rPr>
          <w:rFonts w:hint="eastAsia"/>
          <w:kern w:val="2"/>
          <w:szCs w:val="21"/>
          <w:highlight w:val="none"/>
        </w:rPr>
      </w:pPr>
      <w:r>
        <w:rPr>
          <w:rFonts w:hint="eastAsia"/>
          <w:kern w:val="2"/>
          <w:szCs w:val="21"/>
          <w:highlight w:val="none"/>
        </w:rPr>
        <w:t>采购评审专家（评标委员会、采购小组）应当协助采购人或者采购代理机构答复供应商的询问和质疑。</w:t>
      </w:r>
    </w:p>
    <w:p w14:paraId="4225A726">
      <w:pPr>
        <w:pStyle w:val="69"/>
        <w:tabs>
          <w:tab w:val="left" w:pos="0"/>
        </w:tabs>
        <w:spacing w:before="0"/>
        <w:ind w:firstLine="482"/>
        <w:jc w:val="both"/>
        <w:rPr>
          <w:rFonts w:hint="eastAsia" w:ascii="宋体" w:hAnsi="宋体"/>
          <w:highlight w:val="none"/>
        </w:rPr>
      </w:pPr>
      <w:r>
        <w:rPr>
          <w:rFonts w:hint="eastAsia" w:ascii="宋体" w:hAnsi="宋体"/>
          <w:b/>
          <w:highlight w:val="none"/>
        </w:rPr>
        <w:t>供应商在法定质疑期内应一次性提出针对同一采购程序环节的质疑，否则质疑将不予受理。</w:t>
      </w:r>
    </w:p>
    <w:p w14:paraId="398A2928">
      <w:pPr>
        <w:pStyle w:val="69"/>
        <w:tabs>
          <w:tab w:val="left" w:pos="0"/>
        </w:tabs>
        <w:spacing w:before="0"/>
        <w:ind w:firstLine="480"/>
        <w:rPr>
          <w:rFonts w:hint="eastAsia" w:ascii="宋体" w:hAnsi="宋体"/>
          <w:highlight w:val="none"/>
        </w:rPr>
      </w:pPr>
      <w:r>
        <w:rPr>
          <w:rFonts w:hint="eastAsia" w:ascii="宋体" w:hAnsi="宋体"/>
          <w:highlight w:val="none"/>
        </w:rPr>
        <w:t>35.2</w:t>
      </w:r>
      <w:r>
        <w:rPr>
          <w:rFonts w:ascii="宋体" w:hAnsi="宋体"/>
          <w:highlight w:val="none"/>
        </w:rPr>
        <w:t xml:space="preserve"> </w:t>
      </w:r>
      <w:r>
        <w:rPr>
          <w:rFonts w:hint="eastAsia" w:ascii="宋体" w:hAnsi="宋体"/>
          <w:highlight w:val="none"/>
        </w:rPr>
        <w:t>供应商提交的质疑书需一式三份，由法定代表人签字（或盖章）并加盖单位公章。质疑书至少应包括下列主要内容：</w:t>
      </w:r>
    </w:p>
    <w:p w14:paraId="0459C0E5">
      <w:pPr>
        <w:pStyle w:val="16"/>
        <w:numPr>
          <w:ilvl w:val="0"/>
          <w:numId w:val="20"/>
        </w:numPr>
        <w:spacing w:line="360" w:lineRule="auto"/>
        <w:ind w:firstLine="480" w:firstLineChars="200"/>
        <w:rPr>
          <w:rFonts w:hint="eastAsia" w:hAnsi="宋体" w:cs="宋体"/>
          <w:highlight w:val="none"/>
        </w:rPr>
      </w:pPr>
      <w:r>
        <w:rPr>
          <w:rFonts w:hint="eastAsia" w:hAnsi="宋体" w:cs="宋体"/>
          <w:highlight w:val="none"/>
        </w:rPr>
        <w:t>质疑人的名称、地址、邮政编码、联系人、联系电话，以及被质疑人名称及联系方式；</w:t>
      </w:r>
    </w:p>
    <w:p w14:paraId="0249D11C">
      <w:pPr>
        <w:pStyle w:val="16"/>
        <w:numPr>
          <w:ilvl w:val="0"/>
          <w:numId w:val="20"/>
        </w:numPr>
        <w:spacing w:line="360" w:lineRule="auto"/>
        <w:ind w:firstLine="480" w:firstLineChars="200"/>
        <w:rPr>
          <w:rFonts w:hint="eastAsia" w:hAnsi="宋体" w:cs="宋体"/>
          <w:highlight w:val="none"/>
        </w:rPr>
      </w:pPr>
      <w:r>
        <w:rPr>
          <w:rFonts w:hint="eastAsia" w:hAnsi="宋体" w:cs="宋体"/>
          <w:highlight w:val="none"/>
        </w:rPr>
        <w:t>被质疑采购项目名称、编号及采购内容；</w:t>
      </w:r>
    </w:p>
    <w:p w14:paraId="64E7D053">
      <w:pPr>
        <w:pStyle w:val="16"/>
        <w:numPr>
          <w:ilvl w:val="0"/>
          <w:numId w:val="20"/>
        </w:numPr>
        <w:spacing w:line="360" w:lineRule="auto"/>
        <w:ind w:firstLine="480" w:firstLineChars="200"/>
        <w:rPr>
          <w:rFonts w:hint="eastAsia" w:hAnsi="宋体" w:cs="宋体"/>
          <w:highlight w:val="none"/>
        </w:rPr>
      </w:pPr>
      <w:r>
        <w:rPr>
          <w:rFonts w:hint="eastAsia" w:hAnsi="宋体" w:cs="宋体"/>
          <w:highlight w:val="none"/>
        </w:rPr>
        <w:t>具体的质疑事项及事实依据；</w:t>
      </w:r>
    </w:p>
    <w:p w14:paraId="2C2FDFFD">
      <w:pPr>
        <w:pStyle w:val="16"/>
        <w:numPr>
          <w:ilvl w:val="0"/>
          <w:numId w:val="20"/>
        </w:numPr>
        <w:spacing w:line="360" w:lineRule="auto"/>
        <w:ind w:firstLine="480" w:firstLineChars="200"/>
        <w:rPr>
          <w:rFonts w:hint="eastAsia" w:hAnsi="宋体" w:cs="宋体"/>
          <w:highlight w:val="none"/>
        </w:rPr>
      </w:pPr>
      <w:r>
        <w:rPr>
          <w:rFonts w:hint="eastAsia" w:hAnsi="宋体" w:cs="宋体"/>
          <w:highlight w:val="none"/>
        </w:rPr>
        <w:t>认为自己合法权益受到损害或可能受到损害的相关证据材料；</w:t>
      </w:r>
    </w:p>
    <w:p w14:paraId="43B0C39A">
      <w:pPr>
        <w:pStyle w:val="16"/>
        <w:numPr>
          <w:ilvl w:val="0"/>
          <w:numId w:val="20"/>
        </w:numPr>
        <w:spacing w:line="360" w:lineRule="auto"/>
        <w:ind w:firstLine="480" w:firstLineChars="200"/>
        <w:rPr>
          <w:rFonts w:hint="eastAsia" w:hAnsi="宋体" w:cs="宋体"/>
          <w:highlight w:val="none"/>
        </w:rPr>
      </w:pPr>
      <w:r>
        <w:rPr>
          <w:rFonts w:hint="eastAsia" w:hAnsi="宋体" w:cs="宋体"/>
          <w:highlight w:val="none"/>
        </w:rPr>
        <w:t>提出质疑的日期。</w:t>
      </w:r>
    </w:p>
    <w:p w14:paraId="6F4CCADA">
      <w:pPr>
        <w:pStyle w:val="16"/>
        <w:spacing w:line="360" w:lineRule="auto"/>
        <w:ind w:firstLine="482" w:firstLineChars="200"/>
        <w:rPr>
          <w:rFonts w:hint="eastAsia" w:hAnsi="宋体" w:cs="宋体"/>
          <w:b/>
          <w:highlight w:val="none"/>
        </w:rPr>
      </w:pPr>
      <w:r>
        <w:rPr>
          <w:rFonts w:hint="eastAsia" w:hAnsi="宋体" w:cs="宋体"/>
          <w:b/>
          <w:highlight w:val="none"/>
        </w:rPr>
        <w:t>未按上述内容填写的质疑书将不予受理。</w:t>
      </w:r>
    </w:p>
    <w:p w14:paraId="700EFA37">
      <w:pPr>
        <w:pStyle w:val="69"/>
        <w:tabs>
          <w:tab w:val="left" w:pos="0"/>
        </w:tabs>
        <w:spacing w:before="0"/>
        <w:ind w:firstLine="480"/>
        <w:rPr>
          <w:rFonts w:hint="eastAsia" w:ascii="宋体" w:hAnsi="宋体"/>
          <w:highlight w:val="none"/>
        </w:rPr>
      </w:pPr>
      <w:r>
        <w:rPr>
          <w:rFonts w:hint="eastAsia" w:ascii="宋体" w:hAnsi="宋体"/>
          <w:highlight w:val="none"/>
        </w:rPr>
        <w:t>35.3</w:t>
      </w:r>
      <w:r>
        <w:rPr>
          <w:rFonts w:ascii="宋体" w:hAnsi="宋体"/>
          <w:highlight w:val="none"/>
        </w:rPr>
        <w:t xml:space="preserve"> </w:t>
      </w:r>
      <w:r>
        <w:rPr>
          <w:rFonts w:hint="eastAsia" w:ascii="宋体" w:hAnsi="宋体"/>
          <w:highlight w:val="none"/>
        </w:rPr>
        <w:t>采购代理机构应当在收到供应商的书面质疑后七个工作日内作出答复，并以书面形式通知质疑供应商和其他与质疑处理结果有利害关系的国企采购当事人，但答复的内容不得涉及商业秘密。</w:t>
      </w:r>
    </w:p>
    <w:p w14:paraId="09A1F4EA">
      <w:pPr>
        <w:pStyle w:val="69"/>
        <w:tabs>
          <w:tab w:val="left" w:pos="0"/>
        </w:tabs>
        <w:spacing w:before="0"/>
        <w:ind w:firstLine="480"/>
        <w:rPr>
          <w:rFonts w:hint="eastAsia" w:ascii="宋体" w:hAnsi="宋体"/>
          <w:highlight w:val="none"/>
        </w:rPr>
      </w:pPr>
      <w:r>
        <w:rPr>
          <w:rFonts w:hint="eastAsia" w:ascii="宋体" w:hAnsi="宋体"/>
          <w:highlight w:val="none"/>
        </w:rPr>
        <w:t>35.4</w:t>
      </w:r>
      <w:r>
        <w:rPr>
          <w:rFonts w:ascii="宋体" w:hAnsi="宋体"/>
          <w:highlight w:val="none"/>
        </w:rPr>
        <w:t xml:space="preserve"> </w:t>
      </w:r>
      <w:r>
        <w:rPr>
          <w:rFonts w:hint="eastAsia" w:ascii="宋体" w:hAnsi="宋体"/>
          <w:highlight w:val="none"/>
        </w:rPr>
        <w:t>询问或者质疑事项可能影响采购结果的，采购人应当暂停签订合同，已经签订合同的，应当中止履行合同。</w:t>
      </w:r>
    </w:p>
    <w:p w14:paraId="253D5BE6">
      <w:pPr>
        <w:pStyle w:val="16"/>
        <w:spacing w:line="360" w:lineRule="auto"/>
        <w:ind w:left="480" w:leftChars="200"/>
        <w:rPr>
          <w:rFonts w:hint="eastAsia" w:hAnsi="宋体" w:cs="宋体"/>
          <w:b/>
          <w:szCs w:val="24"/>
          <w:highlight w:val="none"/>
          <w:lang w:val="zh-CN"/>
        </w:rPr>
      </w:pPr>
      <w:r>
        <w:rPr>
          <w:rFonts w:hint="eastAsia" w:hAnsi="宋体" w:cs="宋体"/>
          <w:b/>
          <w:szCs w:val="24"/>
          <w:highlight w:val="none"/>
        </w:rPr>
        <w:t>3</w:t>
      </w:r>
      <w:r>
        <w:rPr>
          <w:rFonts w:hAnsi="宋体" w:cs="宋体"/>
          <w:b/>
          <w:szCs w:val="24"/>
          <w:highlight w:val="none"/>
        </w:rPr>
        <w:t xml:space="preserve">6. </w:t>
      </w:r>
      <w:r>
        <w:rPr>
          <w:rFonts w:hint="eastAsia" w:hAnsi="宋体" w:cs="宋体"/>
          <w:b/>
          <w:szCs w:val="24"/>
          <w:highlight w:val="none"/>
          <w:lang w:val="zh-CN"/>
        </w:rPr>
        <w:t>供应商投诉</w:t>
      </w:r>
    </w:p>
    <w:p w14:paraId="3DFB4472">
      <w:pPr>
        <w:pStyle w:val="69"/>
        <w:tabs>
          <w:tab w:val="left" w:pos="0"/>
        </w:tabs>
        <w:spacing w:before="0"/>
        <w:ind w:firstLine="480"/>
        <w:rPr>
          <w:rFonts w:hint="eastAsia" w:ascii="宋体" w:hAnsi="宋体"/>
          <w:highlight w:val="none"/>
        </w:rPr>
      </w:pPr>
      <w:r>
        <w:rPr>
          <w:rFonts w:hint="eastAsia" w:ascii="宋体" w:hAnsi="宋体"/>
          <w:highlight w:val="none"/>
        </w:rPr>
        <w:t>36.1</w:t>
      </w:r>
      <w:r>
        <w:rPr>
          <w:rFonts w:ascii="宋体" w:hAnsi="宋体"/>
          <w:highlight w:val="none"/>
        </w:rPr>
        <w:t xml:space="preserve"> </w:t>
      </w:r>
      <w:r>
        <w:rPr>
          <w:rFonts w:hint="eastAsia" w:ascii="宋体" w:hAnsi="宋体"/>
          <w:highlight w:val="none"/>
        </w:rPr>
        <w:t>供应商质疑、投诉应当有明确的请求和必要的证明材料，供应商投诉的事项不得超出已质疑事项的范围，不符合上述要求的投诉将不予受理。</w:t>
      </w:r>
    </w:p>
    <w:p w14:paraId="6B7DA499">
      <w:pPr>
        <w:pStyle w:val="69"/>
        <w:tabs>
          <w:tab w:val="left" w:pos="0"/>
        </w:tabs>
        <w:spacing w:before="0"/>
        <w:ind w:firstLine="480"/>
        <w:rPr>
          <w:rFonts w:hint="eastAsia" w:ascii="宋体" w:hAnsi="宋体"/>
          <w:highlight w:val="none"/>
        </w:rPr>
      </w:pPr>
      <w:r>
        <w:rPr>
          <w:rFonts w:hint="eastAsia" w:ascii="宋体" w:hAnsi="宋体"/>
          <w:highlight w:val="none"/>
        </w:rPr>
        <w:t>36.2</w:t>
      </w:r>
      <w:r>
        <w:rPr>
          <w:rFonts w:ascii="宋体" w:hAnsi="宋体"/>
          <w:highlight w:val="none"/>
        </w:rPr>
        <w:t xml:space="preserve"> </w:t>
      </w:r>
      <w:r>
        <w:rPr>
          <w:rFonts w:hint="eastAsia" w:ascii="宋体" w:hAnsi="宋体"/>
          <w:highlight w:val="none"/>
        </w:rPr>
        <w:t>质疑供应商对采购代理机构的答复不满意或者采购代理机构未在规定的时间内作出答复的，可以在答复期满后十五个工作日内向采购人上级主管部门提出投诉，投诉书范本请到浙江政府采购网下载专区下载。</w:t>
      </w:r>
    </w:p>
    <w:bookmarkEnd w:id="54"/>
    <w:p w14:paraId="6A96006B">
      <w:pPr>
        <w:spacing w:after="120" w:afterLines="50" w:line="360" w:lineRule="auto"/>
        <w:jc w:val="both"/>
        <w:outlineLvl w:val="0"/>
        <w:rPr>
          <w:rFonts w:hint="eastAsia"/>
          <w:b/>
          <w:sz w:val="36"/>
          <w:szCs w:val="36"/>
          <w:highlight w:val="none"/>
        </w:rPr>
        <w:sectPr>
          <w:pgSz w:w="11906" w:h="16838"/>
          <w:pgMar w:top="1247" w:right="1418" w:bottom="1701" w:left="1418" w:header="851" w:footer="992" w:gutter="0"/>
          <w:pgNumType w:fmt="numberInDash"/>
          <w:cols w:space="720" w:num="1"/>
          <w:titlePg/>
          <w:docGrid w:linePitch="312" w:charSpace="0"/>
        </w:sectPr>
      </w:pPr>
    </w:p>
    <w:p w14:paraId="507329F1">
      <w:pPr>
        <w:spacing w:after="120" w:afterLines="50" w:line="360" w:lineRule="auto"/>
        <w:jc w:val="center"/>
        <w:outlineLvl w:val="0"/>
        <w:rPr>
          <w:rFonts w:hint="eastAsia"/>
          <w:b/>
          <w:sz w:val="36"/>
          <w:szCs w:val="36"/>
          <w:highlight w:val="none"/>
        </w:rPr>
      </w:pPr>
      <w:bookmarkStart w:id="58" w:name="_Toc92799813"/>
      <w:bookmarkStart w:id="59" w:name="_Toc151026253"/>
      <w:r>
        <w:rPr>
          <w:rFonts w:hint="eastAsia"/>
          <w:b/>
          <w:sz w:val="36"/>
          <w:szCs w:val="36"/>
          <w:highlight w:val="none"/>
        </w:rPr>
        <w:t xml:space="preserve">第三部分  </w:t>
      </w:r>
      <w:bookmarkEnd w:id="46"/>
      <w:bookmarkEnd w:id="47"/>
      <w:bookmarkStart w:id="60" w:name="_Toc184313275"/>
      <w:bookmarkEnd w:id="60"/>
      <w:bookmarkStart w:id="61" w:name="_Toc184313264"/>
      <w:bookmarkEnd w:id="61"/>
      <w:bookmarkStart w:id="62" w:name="_Toc184310290"/>
      <w:bookmarkEnd w:id="62"/>
      <w:bookmarkStart w:id="63" w:name="_Toc184308100"/>
      <w:bookmarkEnd w:id="63"/>
      <w:bookmarkStart w:id="64" w:name="_Toc184313291"/>
      <w:bookmarkEnd w:id="64"/>
      <w:bookmarkStart w:id="65" w:name="_Toc184314413"/>
      <w:bookmarkEnd w:id="65"/>
      <w:bookmarkStart w:id="66" w:name="_Toc184314426"/>
      <w:bookmarkEnd w:id="66"/>
      <w:bookmarkStart w:id="67" w:name="_Toc184310337"/>
      <w:bookmarkEnd w:id="67"/>
      <w:bookmarkStart w:id="68" w:name="_Toc184312130"/>
      <w:bookmarkEnd w:id="68"/>
      <w:bookmarkStart w:id="69" w:name="_Toc184314469"/>
      <w:bookmarkEnd w:id="69"/>
      <w:bookmarkStart w:id="70" w:name="_Toc184314418"/>
      <w:bookmarkEnd w:id="70"/>
      <w:bookmarkStart w:id="71" w:name="_Toc184313300"/>
      <w:bookmarkEnd w:id="71"/>
      <w:bookmarkStart w:id="72" w:name="_Toc184314432"/>
      <w:bookmarkEnd w:id="72"/>
      <w:bookmarkStart w:id="73" w:name="_Toc184310288"/>
      <w:bookmarkEnd w:id="73"/>
      <w:bookmarkStart w:id="74" w:name="_Toc184310279"/>
      <w:bookmarkEnd w:id="74"/>
      <w:bookmarkStart w:id="75" w:name="_Toc184308102"/>
      <w:bookmarkEnd w:id="75"/>
      <w:bookmarkStart w:id="76" w:name="_Toc184308042"/>
      <w:bookmarkEnd w:id="76"/>
      <w:bookmarkStart w:id="77" w:name="_Toc184314478"/>
      <w:bookmarkEnd w:id="77"/>
      <w:bookmarkStart w:id="78" w:name="_Toc184312093"/>
      <w:bookmarkEnd w:id="78"/>
      <w:bookmarkStart w:id="79" w:name="_Toc184308040"/>
      <w:bookmarkEnd w:id="79"/>
      <w:bookmarkStart w:id="80" w:name="_Toc184310300"/>
      <w:bookmarkEnd w:id="80"/>
      <w:bookmarkStart w:id="81" w:name="_Toc184308039"/>
      <w:bookmarkEnd w:id="81"/>
      <w:bookmarkStart w:id="82" w:name="_Toc184313242"/>
      <w:bookmarkEnd w:id="82"/>
      <w:bookmarkStart w:id="83" w:name="_Toc184312102"/>
      <w:bookmarkEnd w:id="83"/>
      <w:bookmarkStart w:id="84" w:name="_Toc184310305"/>
      <w:bookmarkEnd w:id="84"/>
      <w:bookmarkStart w:id="85" w:name="_Toc184314477"/>
      <w:bookmarkEnd w:id="85"/>
      <w:bookmarkStart w:id="86" w:name="_Toc184312110"/>
      <w:bookmarkEnd w:id="86"/>
      <w:bookmarkStart w:id="87" w:name="_Toc184310331"/>
      <w:bookmarkEnd w:id="87"/>
      <w:bookmarkStart w:id="88" w:name="_Toc184313295"/>
      <w:bookmarkEnd w:id="88"/>
      <w:bookmarkStart w:id="89" w:name="_Toc184308090"/>
      <w:bookmarkEnd w:id="89"/>
      <w:bookmarkStart w:id="90" w:name="_Toc184310293"/>
      <w:bookmarkEnd w:id="90"/>
      <w:bookmarkStart w:id="91" w:name="_Toc184314429"/>
      <w:bookmarkEnd w:id="91"/>
      <w:bookmarkStart w:id="92" w:name="_Toc184314427"/>
      <w:bookmarkEnd w:id="92"/>
      <w:bookmarkStart w:id="93" w:name="_Toc184310294"/>
      <w:bookmarkEnd w:id="93"/>
      <w:bookmarkStart w:id="94" w:name="_Toc184308048"/>
      <w:bookmarkEnd w:id="94"/>
      <w:bookmarkStart w:id="95" w:name="_Toc184314468"/>
      <w:bookmarkEnd w:id="95"/>
      <w:bookmarkStart w:id="96" w:name="_Toc184310327"/>
      <w:bookmarkEnd w:id="96"/>
      <w:bookmarkStart w:id="97" w:name="_Toc184313249"/>
      <w:bookmarkEnd w:id="97"/>
      <w:bookmarkStart w:id="98" w:name="_Toc184312099"/>
      <w:bookmarkEnd w:id="98"/>
      <w:bookmarkStart w:id="99" w:name="_Toc184314410"/>
      <w:bookmarkEnd w:id="99"/>
      <w:bookmarkStart w:id="100" w:name="_Toc184308071"/>
      <w:bookmarkEnd w:id="100"/>
      <w:bookmarkStart w:id="101" w:name="_Toc184314450"/>
      <w:bookmarkEnd w:id="101"/>
      <w:bookmarkStart w:id="102" w:name="_Toc184312068"/>
      <w:bookmarkEnd w:id="102"/>
      <w:bookmarkStart w:id="103" w:name="_Toc184312097"/>
      <w:bookmarkEnd w:id="103"/>
      <w:bookmarkStart w:id="104" w:name="_Toc184314466"/>
      <w:bookmarkEnd w:id="104"/>
      <w:bookmarkStart w:id="105" w:name="_Toc184308066"/>
      <w:bookmarkEnd w:id="105"/>
      <w:bookmarkStart w:id="106" w:name="_Toc184308057"/>
      <w:bookmarkEnd w:id="106"/>
      <w:bookmarkStart w:id="107" w:name="_Toc184308044"/>
      <w:bookmarkEnd w:id="107"/>
      <w:bookmarkStart w:id="108" w:name="_Toc184312105"/>
      <w:bookmarkEnd w:id="108"/>
      <w:bookmarkStart w:id="109" w:name="_Toc184314423"/>
      <w:bookmarkEnd w:id="109"/>
      <w:bookmarkStart w:id="110" w:name="_Toc184313265"/>
      <w:bookmarkEnd w:id="110"/>
      <w:bookmarkStart w:id="111" w:name="_Toc184308082"/>
      <w:bookmarkEnd w:id="111"/>
      <w:bookmarkStart w:id="112" w:name="_Toc184314481"/>
      <w:bookmarkEnd w:id="112"/>
      <w:bookmarkStart w:id="113" w:name="_Toc184314422"/>
      <w:bookmarkEnd w:id="113"/>
      <w:bookmarkStart w:id="114" w:name="_Toc184314416"/>
      <w:bookmarkEnd w:id="114"/>
      <w:bookmarkStart w:id="115" w:name="_Toc184310317"/>
      <w:bookmarkEnd w:id="115"/>
      <w:bookmarkStart w:id="116" w:name="_Toc184312120"/>
      <w:bookmarkEnd w:id="116"/>
      <w:bookmarkStart w:id="117" w:name="_Toc184314455"/>
      <w:bookmarkEnd w:id="117"/>
      <w:bookmarkStart w:id="118" w:name="_Toc184314454"/>
      <w:bookmarkEnd w:id="118"/>
      <w:bookmarkStart w:id="119" w:name="_Toc184313262"/>
      <w:bookmarkEnd w:id="119"/>
      <w:bookmarkStart w:id="120" w:name="_Toc184308062"/>
      <w:bookmarkEnd w:id="120"/>
      <w:bookmarkStart w:id="121" w:name="_Toc184310297"/>
      <w:bookmarkEnd w:id="121"/>
      <w:bookmarkStart w:id="122" w:name="_Toc184313240"/>
      <w:bookmarkEnd w:id="122"/>
      <w:bookmarkStart w:id="123" w:name="_Toc184312100"/>
      <w:bookmarkEnd w:id="123"/>
      <w:bookmarkStart w:id="124" w:name="_Toc184308043"/>
      <w:bookmarkEnd w:id="124"/>
      <w:bookmarkStart w:id="125" w:name="_Toc184313282"/>
      <w:bookmarkEnd w:id="125"/>
      <w:bookmarkStart w:id="126" w:name="_Toc184313258"/>
      <w:bookmarkEnd w:id="126"/>
      <w:bookmarkStart w:id="127" w:name="_Toc184310302"/>
      <w:bookmarkEnd w:id="127"/>
      <w:bookmarkStart w:id="128" w:name="_Toc184314411"/>
      <w:bookmarkEnd w:id="128"/>
      <w:bookmarkStart w:id="129" w:name="_Toc184308087"/>
      <w:bookmarkEnd w:id="129"/>
      <w:bookmarkStart w:id="130" w:name="_Toc184312124"/>
      <w:bookmarkEnd w:id="130"/>
      <w:bookmarkStart w:id="131" w:name="_Toc184310289"/>
      <w:bookmarkEnd w:id="131"/>
      <w:bookmarkStart w:id="132" w:name="_Toc184313290"/>
      <w:bookmarkEnd w:id="132"/>
      <w:bookmarkStart w:id="133" w:name="_Toc184312078"/>
      <w:bookmarkEnd w:id="133"/>
      <w:bookmarkStart w:id="134" w:name="_Toc184314444"/>
      <w:bookmarkEnd w:id="134"/>
      <w:bookmarkStart w:id="135" w:name="_Toc184313239"/>
      <w:bookmarkEnd w:id="135"/>
      <w:bookmarkStart w:id="136" w:name="_Toc184314461"/>
      <w:bookmarkEnd w:id="136"/>
      <w:bookmarkStart w:id="137" w:name="_Toc184308095"/>
      <w:bookmarkEnd w:id="137"/>
      <w:bookmarkStart w:id="138" w:name="_Toc184308052"/>
      <w:bookmarkEnd w:id="138"/>
      <w:bookmarkStart w:id="139" w:name="_Toc184314428"/>
      <w:bookmarkEnd w:id="139"/>
      <w:bookmarkStart w:id="140" w:name="_Toc184308045"/>
      <w:bookmarkEnd w:id="140"/>
      <w:bookmarkStart w:id="141" w:name="_Toc184308081"/>
      <w:bookmarkEnd w:id="141"/>
      <w:bookmarkStart w:id="142" w:name="_Toc184313271"/>
      <w:bookmarkEnd w:id="142"/>
      <w:bookmarkStart w:id="143" w:name="_Toc184312092"/>
      <w:bookmarkEnd w:id="143"/>
      <w:bookmarkStart w:id="144" w:name="_Toc184312079"/>
      <w:bookmarkEnd w:id="144"/>
      <w:bookmarkStart w:id="145" w:name="_Toc184308092"/>
      <w:bookmarkEnd w:id="145"/>
      <w:bookmarkStart w:id="146" w:name="_Toc184313251"/>
      <w:bookmarkEnd w:id="146"/>
      <w:bookmarkStart w:id="147" w:name="_Toc184313261"/>
      <w:bookmarkEnd w:id="147"/>
      <w:bookmarkStart w:id="148" w:name="_Toc184312107"/>
      <w:bookmarkEnd w:id="148"/>
      <w:bookmarkStart w:id="149" w:name="_Toc184313263"/>
      <w:bookmarkEnd w:id="149"/>
      <w:bookmarkStart w:id="150" w:name="_Toc184313269"/>
      <w:bookmarkEnd w:id="150"/>
      <w:bookmarkStart w:id="151" w:name="_Toc184308060"/>
      <w:bookmarkEnd w:id="151"/>
      <w:bookmarkStart w:id="152" w:name="_Toc184308070"/>
      <w:bookmarkEnd w:id="152"/>
      <w:bookmarkStart w:id="153" w:name="_Toc184310292"/>
      <w:bookmarkEnd w:id="153"/>
      <w:bookmarkStart w:id="154" w:name="_Toc184308083"/>
      <w:bookmarkEnd w:id="154"/>
      <w:bookmarkStart w:id="155" w:name="_Toc184314445"/>
      <w:bookmarkEnd w:id="155"/>
      <w:bookmarkStart w:id="156" w:name="_Toc184314480"/>
      <w:bookmarkEnd w:id="156"/>
      <w:bookmarkStart w:id="157" w:name="_Toc184314471"/>
      <w:bookmarkEnd w:id="157"/>
      <w:bookmarkStart w:id="158" w:name="_Toc184314476"/>
      <w:bookmarkEnd w:id="158"/>
      <w:bookmarkStart w:id="159" w:name="_Toc184310339"/>
      <w:bookmarkEnd w:id="159"/>
      <w:bookmarkStart w:id="160" w:name="_Toc184312072"/>
      <w:bookmarkEnd w:id="160"/>
      <w:bookmarkStart w:id="161" w:name="_Toc184312089"/>
      <w:bookmarkEnd w:id="161"/>
      <w:bookmarkStart w:id="162" w:name="_Toc184308075"/>
      <w:bookmarkEnd w:id="162"/>
      <w:bookmarkStart w:id="163" w:name="_Toc184312125"/>
      <w:bookmarkEnd w:id="163"/>
      <w:bookmarkStart w:id="164" w:name="_Toc184308059"/>
      <w:bookmarkEnd w:id="164"/>
      <w:bookmarkStart w:id="165" w:name="_Toc184314475"/>
      <w:bookmarkEnd w:id="165"/>
      <w:bookmarkStart w:id="166" w:name="_Toc184308107"/>
      <w:bookmarkEnd w:id="166"/>
      <w:bookmarkStart w:id="167" w:name="_Toc184314462"/>
      <w:bookmarkEnd w:id="167"/>
      <w:bookmarkStart w:id="168" w:name="_Toc184313266"/>
      <w:bookmarkEnd w:id="168"/>
      <w:bookmarkStart w:id="169" w:name="_Toc184308076"/>
      <w:bookmarkEnd w:id="169"/>
      <w:bookmarkStart w:id="170" w:name="_Toc184313289"/>
      <w:bookmarkEnd w:id="170"/>
      <w:bookmarkStart w:id="171" w:name="_Toc184313244"/>
      <w:bookmarkEnd w:id="171"/>
      <w:bookmarkStart w:id="172" w:name="_Toc184310338"/>
      <w:bookmarkEnd w:id="172"/>
      <w:bookmarkStart w:id="173" w:name="_Toc184310335"/>
      <w:bookmarkEnd w:id="173"/>
      <w:bookmarkStart w:id="174" w:name="_Toc184313267"/>
      <w:bookmarkEnd w:id="174"/>
      <w:bookmarkStart w:id="175" w:name="_Toc184310295"/>
      <w:bookmarkEnd w:id="175"/>
      <w:bookmarkStart w:id="176" w:name="_Toc184312081"/>
      <w:bookmarkEnd w:id="176"/>
      <w:bookmarkStart w:id="177" w:name="_Toc184310303"/>
      <w:bookmarkEnd w:id="177"/>
      <w:bookmarkStart w:id="178" w:name="_Toc184308061"/>
      <w:bookmarkEnd w:id="178"/>
      <w:bookmarkStart w:id="179" w:name="_Toc184310323"/>
      <w:bookmarkEnd w:id="179"/>
      <w:bookmarkStart w:id="180" w:name="_Toc184313303"/>
      <w:bookmarkEnd w:id="180"/>
      <w:bookmarkStart w:id="181" w:name="_Toc184314452"/>
      <w:bookmarkEnd w:id="181"/>
      <w:bookmarkStart w:id="182" w:name="_Toc184312121"/>
      <w:bookmarkEnd w:id="182"/>
      <w:bookmarkStart w:id="183" w:name="_Toc184308036"/>
      <w:bookmarkEnd w:id="183"/>
      <w:bookmarkStart w:id="184" w:name="_Toc184310343"/>
      <w:bookmarkEnd w:id="184"/>
      <w:bookmarkStart w:id="185" w:name="_Toc184312073"/>
      <w:bookmarkEnd w:id="185"/>
      <w:bookmarkStart w:id="186" w:name="_Toc184314463"/>
      <w:bookmarkEnd w:id="186"/>
      <w:bookmarkStart w:id="187" w:name="_Toc184313294"/>
      <w:bookmarkEnd w:id="187"/>
      <w:bookmarkStart w:id="188" w:name="_Toc184314472"/>
      <w:bookmarkEnd w:id="188"/>
      <w:bookmarkStart w:id="189" w:name="_Toc184314437"/>
      <w:bookmarkEnd w:id="189"/>
      <w:bookmarkStart w:id="190" w:name="_Toc184314449"/>
      <w:bookmarkEnd w:id="190"/>
      <w:bookmarkStart w:id="191" w:name="_Toc184308078"/>
      <w:bookmarkEnd w:id="191"/>
      <w:bookmarkStart w:id="192" w:name="_Toc184308067"/>
      <w:bookmarkEnd w:id="192"/>
      <w:bookmarkStart w:id="193" w:name="_Toc184308103"/>
      <w:bookmarkEnd w:id="193"/>
      <w:bookmarkStart w:id="194" w:name="_Toc184308084"/>
      <w:bookmarkEnd w:id="194"/>
      <w:bookmarkStart w:id="195" w:name="_Toc184308037"/>
      <w:bookmarkEnd w:id="195"/>
      <w:bookmarkStart w:id="196" w:name="_Toc184310320"/>
      <w:bookmarkEnd w:id="196"/>
      <w:bookmarkStart w:id="197" w:name="_Toc184308086"/>
      <w:bookmarkEnd w:id="197"/>
      <w:bookmarkStart w:id="198" w:name="_Toc184312135"/>
      <w:bookmarkEnd w:id="198"/>
      <w:bookmarkStart w:id="199" w:name="_Toc184312070"/>
      <w:bookmarkEnd w:id="199"/>
      <w:bookmarkStart w:id="200" w:name="_Toc184314433"/>
      <w:bookmarkEnd w:id="200"/>
      <w:bookmarkStart w:id="201" w:name="_Toc184310315"/>
      <w:bookmarkEnd w:id="201"/>
      <w:bookmarkStart w:id="202" w:name="_Toc184313304"/>
      <w:bookmarkEnd w:id="202"/>
      <w:bookmarkStart w:id="203" w:name="_Toc184308104"/>
      <w:bookmarkEnd w:id="203"/>
      <w:bookmarkStart w:id="204" w:name="_Toc184312104"/>
      <w:bookmarkEnd w:id="204"/>
      <w:bookmarkStart w:id="205" w:name="_Toc184310318"/>
      <w:bookmarkEnd w:id="205"/>
      <w:bookmarkStart w:id="206" w:name="_Toc184313288"/>
      <w:bookmarkEnd w:id="206"/>
      <w:bookmarkStart w:id="207" w:name="_Toc184310275"/>
      <w:bookmarkEnd w:id="207"/>
      <w:bookmarkStart w:id="208" w:name="_Toc184312109"/>
      <w:bookmarkEnd w:id="208"/>
      <w:bookmarkStart w:id="209" w:name="_Toc184312127"/>
      <w:bookmarkEnd w:id="209"/>
      <w:bookmarkStart w:id="210" w:name="_Toc184313278"/>
      <w:bookmarkEnd w:id="210"/>
      <w:bookmarkStart w:id="211" w:name="_Toc184310308"/>
      <w:bookmarkEnd w:id="211"/>
      <w:bookmarkStart w:id="212" w:name="_Toc184313276"/>
      <w:bookmarkEnd w:id="212"/>
      <w:bookmarkStart w:id="213" w:name="_Toc184314425"/>
      <w:bookmarkEnd w:id="213"/>
      <w:bookmarkStart w:id="214" w:name="_Toc184310333"/>
      <w:bookmarkEnd w:id="214"/>
      <w:bookmarkStart w:id="215" w:name="_Toc184313268"/>
      <w:bookmarkEnd w:id="215"/>
      <w:bookmarkStart w:id="216" w:name="_Toc184310325"/>
      <w:bookmarkEnd w:id="216"/>
      <w:bookmarkStart w:id="217" w:name="_Toc184312082"/>
      <w:bookmarkEnd w:id="217"/>
      <w:bookmarkStart w:id="218" w:name="_Toc184312101"/>
      <w:bookmarkEnd w:id="218"/>
      <w:bookmarkStart w:id="219" w:name="_Toc184310342"/>
      <w:bookmarkEnd w:id="219"/>
      <w:bookmarkStart w:id="220" w:name="_Toc184313253"/>
      <w:bookmarkEnd w:id="220"/>
      <w:bookmarkStart w:id="221" w:name="_Toc184312069"/>
      <w:bookmarkEnd w:id="221"/>
      <w:bookmarkStart w:id="222" w:name="_Toc184313238"/>
      <w:bookmarkEnd w:id="222"/>
      <w:bookmarkStart w:id="223" w:name="_Toc184313309"/>
      <w:bookmarkEnd w:id="223"/>
      <w:bookmarkStart w:id="224" w:name="_Toc184308099"/>
      <w:bookmarkEnd w:id="224"/>
      <w:bookmarkStart w:id="225" w:name="_Toc184313259"/>
      <w:bookmarkEnd w:id="225"/>
      <w:bookmarkStart w:id="226" w:name="_Toc184310329"/>
      <w:bookmarkEnd w:id="226"/>
      <w:bookmarkStart w:id="227" w:name="_Toc184310319"/>
      <w:bookmarkEnd w:id="227"/>
      <w:bookmarkStart w:id="228" w:name="_Toc184308063"/>
      <w:bookmarkEnd w:id="228"/>
      <w:bookmarkStart w:id="229" w:name="_Toc184313287"/>
      <w:bookmarkEnd w:id="229"/>
      <w:bookmarkStart w:id="230" w:name="_Toc184308051"/>
      <w:bookmarkEnd w:id="230"/>
      <w:bookmarkStart w:id="231" w:name="_Toc184314482"/>
      <w:bookmarkEnd w:id="231"/>
      <w:bookmarkStart w:id="232" w:name="_Toc184312117"/>
      <w:bookmarkEnd w:id="232"/>
      <w:bookmarkStart w:id="233" w:name="_Toc184313297"/>
      <w:bookmarkEnd w:id="233"/>
      <w:bookmarkStart w:id="234" w:name="_Toc184314442"/>
      <w:bookmarkEnd w:id="234"/>
      <w:bookmarkStart w:id="235" w:name="_Toc184314453"/>
      <w:bookmarkEnd w:id="235"/>
      <w:bookmarkStart w:id="236" w:name="_Toc184313277"/>
      <w:bookmarkEnd w:id="236"/>
      <w:bookmarkStart w:id="237" w:name="_Toc184313260"/>
      <w:bookmarkEnd w:id="237"/>
      <w:bookmarkStart w:id="238" w:name="_Toc184312098"/>
      <w:bookmarkEnd w:id="238"/>
      <w:bookmarkStart w:id="239" w:name="_Toc184312075"/>
      <w:bookmarkEnd w:id="239"/>
      <w:bookmarkStart w:id="240" w:name="_Toc184312118"/>
      <w:bookmarkEnd w:id="240"/>
      <w:bookmarkStart w:id="241" w:name="_Toc184313305"/>
      <w:bookmarkEnd w:id="241"/>
      <w:bookmarkStart w:id="242" w:name="_Toc184310316"/>
      <w:bookmarkEnd w:id="242"/>
      <w:bookmarkStart w:id="243" w:name="_Toc184314412"/>
      <w:bookmarkEnd w:id="243"/>
      <w:bookmarkStart w:id="244" w:name="_Toc184312111"/>
      <w:bookmarkEnd w:id="244"/>
      <w:bookmarkStart w:id="245" w:name="_Toc184308056"/>
      <w:bookmarkEnd w:id="245"/>
      <w:bookmarkStart w:id="246" w:name="_Toc184313252"/>
      <w:bookmarkEnd w:id="246"/>
      <w:bookmarkStart w:id="247" w:name="_Toc184314421"/>
      <w:bookmarkEnd w:id="247"/>
      <w:bookmarkStart w:id="248" w:name="_Toc184313306"/>
      <w:bookmarkEnd w:id="248"/>
      <w:bookmarkStart w:id="249" w:name="_Toc184310299"/>
      <w:bookmarkEnd w:id="249"/>
      <w:bookmarkStart w:id="250" w:name="_Toc184314458"/>
      <w:bookmarkEnd w:id="250"/>
      <w:bookmarkStart w:id="251" w:name="_Toc184314456"/>
      <w:bookmarkEnd w:id="251"/>
      <w:bookmarkStart w:id="252" w:name="_Toc184314435"/>
      <w:bookmarkEnd w:id="252"/>
      <w:bookmarkStart w:id="253" w:name="_Toc184312087"/>
      <w:bookmarkEnd w:id="253"/>
      <w:bookmarkStart w:id="254" w:name="_Toc184310336"/>
      <w:bookmarkEnd w:id="254"/>
      <w:bookmarkStart w:id="255" w:name="_Toc184314430"/>
      <w:bookmarkEnd w:id="255"/>
      <w:bookmarkStart w:id="256" w:name="_Toc184313283"/>
      <w:bookmarkEnd w:id="256"/>
      <w:bookmarkStart w:id="257" w:name="_Toc184312113"/>
      <w:bookmarkEnd w:id="257"/>
      <w:bookmarkStart w:id="258" w:name="_Toc184312103"/>
      <w:bookmarkEnd w:id="258"/>
      <w:bookmarkStart w:id="259" w:name="_Toc184308096"/>
      <w:bookmarkEnd w:id="259"/>
      <w:bookmarkStart w:id="260" w:name="_Toc184313257"/>
      <w:bookmarkEnd w:id="260"/>
      <w:bookmarkStart w:id="261" w:name="_Toc184308073"/>
      <w:bookmarkEnd w:id="261"/>
      <w:bookmarkStart w:id="262" w:name="_Toc184308038"/>
      <w:bookmarkEnd w:id="262"/>
      <w:bookmarkStart w:id="263" w:name="_Toc184314448"/>
      <w:bookmarkEnd w:id="263"/>
      <w:bookmarkStart w:id="264" w:name="_Toc184308091"/>
      <w:bookmarkEnd w:id="264"/>
      <w:bookmarkStart w:id="265" w:name="_Toc184312106"/>
      <w:bookmarkEnd w:id="265"/>
      <w:bookmarkStart w:id="266" w:name="_Toc184314420"/>
      <w:bookmarkEnd w:id="266"/>
      <w:bookmarkStart w:id="267" w:name="_Toc184313272"/>
      <w:bookmarkEnd w:id="267"/>
      <w:bookmarkStart w:id="268" w:name="_Toc184313285"/>
      <w:bookmarkEnd w:id="268"/>
      <w:bookmarkStart w:id="269" w:name="_Toc184310301"/>
      <w:bookmarkEnd w:id="269"/>
      <w:bookmarkStart w:id="270" w:name="_Toc184310307"/>
      <w:bookmarkEnd w:id="270"/>
      <w:bookmarkStart w:id="271" w:name="_Toc184310314"/>
      <w:bookmarkEnd w:id="271"/>
      <w:bookmarkStart w:id="272" w:name="_Toc184314451"/>
      <w:bookmarkEnd w:id="272"/>
      <w:bookmarkStart w:id="273" w:name="_Toc184308085"/>
      <w:bookmarkEnd w:id="273"/>
      <w:bookmarkStart w:id="274" w:name="_Toc184312134"/>
      <w:bookmarkEnd w:id="274"/>
      <w:bookmarkStart w:id="275" w:name="_Toc184312115"/>
      <w:bookmarkEnd w:id="275"/>
      <w:bookmarkStart w:id="276" w:name="_Toc184312088"/>
      <w:bookmarkEnd w:id="276"/>
      <w:bookmarkStart w:id="277" w:name="_Toc184313286"/>
      <w:bookmarkEnd w:id="277"/>
      <w:bookmarkStart w:id="278" w:name="_Toc184313302"/>
      <w:bookmarkEnd w:id="278"/>
      <w:bookmarkStart w:id="279" w:name="_Toc184312077"/>
      <w:bookmarkEnd w:id="279"/>
      <w:bookmarkStart w:id="280" w:name="_Toc184314441"/>
      <w:bookmarkEnd w:id="280"/>
      <w:bookmarkStart w:id="281" w:name="_Toc184314439"/>
      <w:bookmarkEnd w:id="281"/>
      <w:bookmarkStart w:id="282" w:name="_Toc184313245"/>
      <w:bookmarkEnd w:id="282"/>
      <w:bookmarkStart w:id="283" w:name="_Toc184308047"/>
      <w:bookmarkEnd w:id="283"/>
      <w:bookmarkStart w:id="284" w:name="_Toc184312129"/>
      <w:bookmarkEnd w:id="284"/>
      <w:bookmarkStart w:id="285" w:name="_Toc184313248"/>
      <w:bookmarkEnd w:id="285"/>
      <w:bookmarkStart w:id="286" w:name="_Toc184310328"/>
      <w:bookmarkEnd w:id="286"/>
      <w:bookmarkStart w:id="287" w:name="_Toc184313281"/>
      <w:bookmarkEnd w:id="287"/>
      <w:bookmarkStart w:id="288" w:name="_Toc184313255"/>
      <w:bookmarkEnd w:id="288"/>
      <w:bookmarkStart w:id="289" w:name="_Toc184312122"/>
      <w:bookmarkEnd w:id="289"/>
      <w:bookmarkStart w:id="290" w:name="_Toc184314460"/>
      <w:bookmarkEnd w:id="290"/>
      <w:bookmarkStart w:id="291" w:name="_Toc184308093"/>
      <w:bookmarkEnd w:id="291"/>
      <w:bookmarkStart w:id="292" w:name="_Toc184312085"/>
      <w:bookmarkEnd w:id="292"/>
      <w:bookmarkStart w:id="293" w:name="_Toc184312067"/>
      <w:bookmarkEnd w:id="293"/>
      <w:bookmarkStart w:id="294" w:name="_Toc184308053"/>
      <w:bookmarkEnd w:id="294"/>
      <w:bookmarkStart w:id="295" w:name="_Toc184314417"/>
      <w:bookmarkEnd w:id="295"/>
      <w:bookmarkStart w:id="296" w:name="_Toc184314459"/>
      <w:bookmarkEnd w:id="296"/>
      <w:bookmarkStart w:id="297" w:name="_Toc184310298"/>
      <w:bookmarkEnd w:id="297"/>
      <w:bookmarkStart w:id="298" w:name="_Toc184310341"/>
      <w:bookmarkEnd w:id="298"/>
      <w:bookmarkStart w:id="299" w:name="_Toc184314464"/>
      <w:bookmarkEnd w:id="299"/>
      <w:bookmarkStart w:id="300" w:name="_Toc184310310"/>
      <w:bookmarkEnd w:id="300"/>
      <w:bookmarkStart w:id="301" w:name="_Toc184310296"/>
      <w:bookmarkEnd w:id="301"/>
      <w:bookmarkStart w:id="302" w:name="_Toc184313279"/>
      <w:bookmarkEnd w:id="302"/>
      <w:bookmarkStart w:id="303" w:name="_Toc184313243"/>
      <w:bookmarkEnd w:id="303"/>
      <w:bookmarkStart w:id="304" w:name="_Toc184314436"/>
      <w:bookmarkEnd w:id="304"/>
      <w:bookmarkStart w:id="305" w:name="_Toc184308097"/>
      <w:bookmarkEnd w:id="305"/>
      <w:bookmarkStart w:id="306" w:name="_Toc184310332"/>
      <w:bookmarkEnd w:id="306"/>
      <w:bookmarkStart w:id="307" w:name="_Toc184313293"/>
      <w:bookmarkEnd w:id="307"/>
      <w:bookmarkStart w:id="308" w:name="_Toc184312116"/>
      <w:bookmarkEnd w:id="308"/>
      <w:bookmarkStart w:id="309" w:name="_Toc184314424"/>
      <w:bookmarkEnd w:id="309"/>
      <w:bookmarkStart w:id="310" w:name="_Toc184310321"/>
      <w:bookmarkEnd w:id="310"/>
      <w:bookmarkStart w:id="311" w:name="_Toc184310324"/>
      <w:bookmarkEnd w:id="311"/>
      <w:bookmarkStart w:id="312" w:name="_Toc184310330"/>
      <w:bookmarkEnd w:id="312"/>
      <w:bookmarkStart w:id="313" w:name="_Toc184312091"/>
      <w:bookmarkEnd w:id="313"/>
      <w:bookmarkStart w:id="314" w:name="_Toc184314440"/>
      <w:bookmarkEnd w:id="314"/>
      <w:bookmarkStart w:id="315" w:name="_Toc184308106"/>
      <w:bookmarkEnd w:id="315"/>
      <w:bookmarkStart w:id="316" w:name="_Toc184312114"/>
      <w:bookmarkEnd w:id="316"/>
      <w:bookmarkStart w:id="317" w:name="_Toc184310278"/>
      <w:bookmarkEnd w:id="317"/>
      <w:bookmarkStart w:id="318" w:name="_Toc184314431"/>
      <w:bookmarkEnd w:id="318"/>
      <w:bookmarkStart w:id="319" w:name="_Toc184312119"/>
      <w:bookmarkEnd w:id="319"/>
      <w:bookmarkStart w:id="320" w:name="_Toc184313299"/>
      <w:bookmarkEnd w:id="320"/>
      <w:bookmarkStart w:id="321" w:name="_Toc184313246"/>
      <w:bookmarkEnd w:id="321"/>
      <w:bookmarkStart w:id="322" w:name="_Toc184314447"/>
      <w:bookmarkEnd w:id="322"/>
      <w:bookmarkStart w:id="323" w:name="_Toc184308101"/>
      <w:bookmarkEnd w:id="323"/>
      <w:bookmarkStart w:id="324" w:name="_Toc184312095"/>
      <w:bookmarkEnd w:id="324"/>
      <w:bookmarkStart w:id="325" w:name="_Toc184308105"/>
      <w:bookmarkEnd w:id="325"/>
      <w:bookmarkStart w:id="326" w:name="_Toc184313308"/>
      <w:bookmarkEnd w:id="326"/>
      <w:bookmarkStart w:id="327" w:name="_Toc184310306"/>
      <w:bookmarkEnd w:id="327"/>
      <w:bookmarkStart w:id="328" w:name="_Toc184312096"/>
      <w:bookmarkEnd w:id="328"/>
      <w:bookmarkStart w:id="329" w:name="_Toc184308088"/>
      <w:bookmarkEnd w:id="329"/>
      <w:bookmarkStart w:id="330" w:name="_Toc184310276"/>
      <w:bookmarkEnd w:id="330"/>
      <w:bookmarkStart w:id="331" w:name="_Toc184310272"/>
      <w:bookmarkEnd w:id="331"/>
      <w:bookmarkStart w:id="332" w:name="_Toc184314470"/>
      <w:bookmarkEnd w:id="332"/>
      <w:bookmarkStart w:id="333" w:name="_Toc184312136"/>
      <w:bookmarkEnd w:id="333"/>
      <w:bookmarkStart w:id="334" w:name="_Toc184312094"/>
      <w:bookmarkEnd w:id="334"/>
      <w:bookmarkStart w:id="335" w:name="_Toc184308041"/>
      <w:bookmarkEnd w:id="335"/>
      <w:bookmarkStart w:id="336" w:name="_Toc184312139"/>
      <w:bookmarkEnd w:id="336"/>
      <w:bookmarkStart w:id="337" w:name="_Toc184313241"/>
      <w:bookmarkEnd w:id="337"/>
      <w:bookmarkStart w:id="338" w:name="_Toc184314443"/>
      <w:bookmarkEnd w:id="338"/>
      <w:bookmarkStart w:id="339" w:name="_Toc184312131"/>
      <w:bookmarkEnd w:id="339"/>
      <w:bookmarkStart w:id="340" w:name="_Toc184312128"/>
      <w:bookmarkEnd w:id="340"/>
      <w:bookmarkStart w:id="341" w:name="_Toc184314419"/>
      <w:bookmarkEnd w:id="341"/>
      <w:bookmarkStart w:id="342" w:name="_Toc184312083"/>
      <w:bookmarkEnd w:id="342"/>
      <w:bookmarkStart w:id="343" w:name="_Toc184314414"/>
      <w:bookmarkEnd w:id="343"/>
      <w:bookmarkStart w:id="344" w:name="_Toc184310285"/>
      <w:bookmarkEnd w:id="344"/>
      <w:bookmarkStart w:id="345" w:name="_Toc184314467"/>
      <w:bookmarkEnd w:id="345"/>
      <w:bookmarkStart w:id="346" w:name="_Toc184310334"/>
      <w:bookmarkEnd w:id="346"/>
      <w:bookmarkStart w:id="347" w:name="_Toc184310281"/>
      <w:bookmarkEnd w:id="347"/>
      <w:bookmarkStart w:id="348" w:name="_Toc184314457"/>
      <w:bookmarkEnd w:id="348"/>
      <w:bookmarkStart w:id="349" w:name="_Toc184312133"/>
      <w:bookmarkEnd w:id="349"/>
      <w:bookmarkStart w:id="350" w:name="_Toc184313280"/>
      <w:bookmarkEnd w:id="350"/>
      <w:bookmarkStart w:id="351" w:name="_Toc184308108"/>
      <w:bookmarkEnd w:id="351"/>
      <w:bookmarkStart w:id="352" w:name="_Toc184308046"/>
      <w:bookmarkEnd w:id="352"/>
      <w:bookmarkStart w:id="353" w:name="_Toc184313307"/>
      <w:bookmarkEnd w:id="353"/>
      <w:bookmarkStart w:id="354" w:name="_Toc184310344"/>
      <w:bookmarkEnd w:id="354"/>
      <w:bookmarkStart w:id="355" w:name="_Toc184314465"/>
      <w:bookmarkEnd w:id="355"/>
      <w:bookmarkStart w:id="356" w:name="_Toc184310282"/>
      <w:bookmarkEnd w:id="356"/>
      <w:bookmarkStart w:id="357" w:name="_Toc184314434"/>
      <w:bookmarkEnd w:id="357"/>
      <w:bookmarkStart w:id="358" w:name="_Toc184308094"/>
      <w:bookmarkEnd w:id="358"/>
      <w:bookmarkStart w:id="359" w:name="_Toc184310313"/>
      <w:bookmarkEnd w:id="359"/>
      <w:bookmarkStart w:id="360" w:name="_Toc184310340"/>
      <w:bookmarkEnd w:id="360"/>
      <w:bookmarkStart w:id="361" w:name="_Toc184314474"/>
      <w:bookmarkEnd w:id="361"/>
      <w:bookmarkStart w:id="362" w:name="_Toc184310286"/>
      <w:bookmarkEnd w:id="362"/>
      <w:bookmarkStart w:id="363" w:name="_Toc184308058"/>
      <w:bookmarkEnd w:id="363"/>
      <w:bookmarkStart w:id="364" w:name="_Toc184310322"/>
      <w:bookmarkEnd w:id="364"/>
      <w:bookmarkStart w:id="365" w:name="_Toc184308077"/>
      <w:bookmarkEnd w:id="365"/>
      <w:bookmarkStart w:id="366" w:name="_Toc184308079"/>
      <w:bookmarkEnd w:id="366"/>
      <w:bookmarkStart w:id="367" w:name="_Toc184308080"/>
      <w:bookmarkEnd w:id="367"/>
      <w:bookmarkStart w:id="368" w:name="_Toc184312084"/>
      <w:bookmarkEnd w:id="368"/>
      <w:bookmarkStart w:id="369" w:name="_Toc184310277"/>
      <w:bookmarkEnd w:id="369"/>
      <w:bookmarkStart w:id="370" w:name="_Toc184312090"/>
      <w:bookmarkEnd w:id="370"/>
      <w:bookmarkStart w:id="371" w:name="_Toc184314473"/>
      <w:bookmarkEnd w:id="371"/>
      <w:bookmarkStart w:id="372" w:name="_Toc184312108"/>
      <w:bookmarkEnd w:id="372"/>
      <w:bookmarkStart w:id="373" w:name="_Toc184313247"/>
      <w:bookmarkEnd w:id="373"/>
      <w:bookmarkStart w:id="374" w:name="_Toc184313298"/>
      <w:bookmarkEnd w:id="374"/>
      <w:bookmarkStart w:id="375" w:name="_Toc184314446"/>
      <w:bookmarkEnd w:id="375"/>
      <w:bookmarkStart w:id="376" w:name="_Toc184313284"/>
      <w:bookmarkEnd w:id="376"/>
      <w:bookmarkStart w:id="377" w:name="_Toc184308069"/>
      <w:bookmarkEnd w:id="377"/>
      <w:bookmarkStart w:id="378" w:name="_Toc184310274"/>
      <w:bookmarkEnd w:id="378"/>
      <w:bookmarkStart w:id="379" w:name="_Toc184313310"/>
      <w:bookmarkEnd w:id="379"/>
      <w:bookmarkStart w:id="380" w:name="_Toc184310309"/>
      <w:bookmarkEnd w:id="380"/>
      <w:bookmarkStart w:id="381" w:name="_Toc184310291"/>
      <w:bookmarkEnd w:id="381"/>
      <w:bookmarkStart w:id="382" w:name="_Toc184310273"/>
      <w:bookmarkEnd w:id="382"/>
      <w:bookmarkStart w:id="383" w:name="_Toc184312112"/>
      <w:bookmarkEnd w:id="383"/>
      <w:bookmarkStart w:id="384" w:name="_Toc184314415"/>
      <w:bookmarkEnd w:id="384"/>
      <w:bookmarkStart w:id="385" w:name="_Toc184314438"/>
      <w:bookmarkEnd w:id="385"/>
      <w:bookmarkStart w:id="386" w:name="_Toc184314479"/>
      <w:bookmarkEnd w:id="386"/>
      <w:bookmarkStart w:id="387" w:name="_Toc184313273"/>
      <w:bookmarkEnd w:id="387"/>
      <w:bookmarkStart w:id="388" w:name="_Toc184313250"/>
      <w:bookmarkEnd w:id="388"/>
      <w:bookmarkStart w:id="389" w:name="_Toc184312138"/>
      <w:bookmarkEnd w:id="389"/>
      <w:bookmarkStart w:id="390" w:name="_Toc184308050"/>
      <w:bookmarkEnd w:id="390"/>
      <w:bookmarkStart w:id="391" w:name="_Toc184313254"/>
      <w:bookmarkEnd w:id="391"/>
      <w:bookmarkStart w:id="392" w:name="_Toc184308049"/>
      <w:bookmarkEnd w:id="392"/>
      <w:bookmarkStart w:id="393" w:name="_Toc184308074"/>
      <w:bookmarkEnd w:id="393"/>
      <w:bookmarkStart w:id="394" w:name="_Toc184308054"/>
      <w:bookmarkEnd w:id="394"/>
      <w:bookmarkStart w:id="395" w:name="_Toc184313256"/>
      <w:bookmarkEnd w:id="395"/>
      <w:bookmarkStart w:id="396" w:name="_Toc184308055"/>
      <w:bookmarkEnd w:id="396"/>
      <w:bookmarkStart w:id="397" w:name="_Toc184312080"/>
      <w:bookmarkEnd w:id="397"/>
      <w:bookmarkStart w:id="398" w:name="_Toc184312086"/>
      <w:bookmarkEnd w:id="398"/>
      <w:bookmarkStart w:id="399" w:name="_Toc184312132"/>
      <w:bookmarkEnd w:id="399"/>
      <w:bookmarkStart w:id="400" w:name="_Toc184313301"/>
      <w:bookmarkEnd w:id="400"/>
      <w:bookmarkStart w:id="401" w:name="_Toc184308068"/>
      <w:bookmarkEnd w:id="401"/>
      <w:bookmarkStart w:id="402" w:name="_Toc184313270"/>
      <w:bookmarkEnd w:id="402"/>
      <w:bookmarkStart w:id="403" w:name="_Toc184310304"/>
      <w:bookmarkEnd w:id="403"/>
      <w:bookmarkStart w:id="404" w:name="_Toc184312071"/>
      <w:bookmarkEnd w:id="404"/>
      <w:bookmarkStart w:id="405" w:name="_Toc184312126"/>
      <w:bookmarkEnd w:id="405"/>
      <w:bookmarkStart w:id="406" w:name="_Toc184310280"/>
      <w:bookmarkEnd w:id="406"/>
      <w:bookmarkStart w:id="407" w:name="_Toc184312076"/>
      <w:bookmarkEnd w:id="407"/>
      <w:bookmarkStart w:id="408" w:name="_Toc184313274"/>
      <w:bookmarkEnd w:id="408"/>
      <w:bookmarkStart w:id="409" w:name="_Toc184313292"/>
      <w:bookmarkEnd w:id="409"/>
      <w:bookmarkStart w:id="410" w:name="_Toc184308098"/>
      <w:bookmarkEnd w:id="410"/>
      <w:bookmarkStart w:id="411" w:name="_Toc184310311"/>
      <w:bookmarkEnd w:id="411"/>
      <w:bookmarkStart w:id="412" w:name="_Toc184310284"/>
      <w:bookmarkEnd w:id="412"/>
      <w:bookmarkStart w:id="413" w:name="_Toc184310312"/>
      <w:bookmarkEnd w:id="413"/>
      <w:bookmarkStart w:id="414" w:name="_Toc184310326"/>
      <w:bookmarkEnd w:id="414"/>
      <w:bookmarkStart w:id="415" w:name="_Toc184312123"/>
      <w:bookmarkEnd w:id="415"/>
      <w:bookmarkStart w:id="416" w:name="_Toc184310283"/>
      <w:bookmarkEnd w:id="416"/>
      <w:bookmarkStart w:id="417" w:name="_Toc184312137"/>
      <w:bookmarkEnd w:id="417"/>
      <w:bookmarkStart w:id="418" w:name="_Toc184310287"/>
      <w:bookmarkEnd w:id="418"/>
      <w:bookmarkStart w:id="419" w:name="_Toc184308072"/>
      <w:bookmarkEnd w:id="419"/>
      <w:bookmarkStart w:id="420" w:name="_Toc184308089"/>
      <w:bookmarkEnd w:id="420"/>
      <w:bookmarkStart w:id="421" w:name="_Toc184308064"/>
      <w:bookmarkEnd w:id="421"/>
      <w:bookmarkStart w:id="422" w:name="_Toc184313296"/>
      <w:bookmarkEnd w:id="422"/>
      <w:bookmarkStart w:id="423" w:name="_Toc184308065"/>
      <w:bookmarkEnd w:id="423"/>
      <w:bookmarkStart w:id="424" w:name="_Toc184312074"/>
      <w:bookmarkEnd w:id="424"/>
      <w:bookmarkStart w:id="425" w:name="第四部分"/>
      <w:r>
        <w:rPr>
          <w:rFonts w:hint="eastAsia"/>
          <w:b/>
          <w:sz w:val="36"/>
          <w:szCs w:val="36"/>
          <w:highlight w:val="none"/>
        </w:rPr>
        <w:t>评标办法及评分标准</w:t>
      </w:r>
      <w:bookmarkEnd w:id="58"/>
      <w:bookmarkEnd w:id="59"/>
    </w:p>
    <w:p w14:paraId="6D1CD784">
      <w:pPr>
        <w:snapToGrid w:val="0"/>
        <w:spacing w:line="360" w:lineRule="auto"/>
        <w:jc w:val="center"/>
        <w:outlineLvl w:val="1"/>
        <w:rPr>
          <w:rFonts w:hint="eastAsia"/>
          <w:b/>
          <w:sz w:val="32"/>
          <w:highlight w:val="none"/>
        </w:rPr>
      </w:pPr>
      <w:bookmarkStart w:id="426" w:name="_Toc1764"/>
      <w:bookmarkStart w:id="427" w:name="_Toc151026254"/>
      <w:r>
        <w:rPr>
          <w:rFonts w:hint="eastAsia"/>
          <w:b/>
          <w:sz w:val="32"/>
          <w:highlight w:val="none"/>
        </w:rPr>
        <w:t>第一章　评标办法</w:t>
      </w:r>
      <w:bookmarkEnd w:id="426"/>
      <w:bookmarkEnd w:id="427"/>
    </w:p>
    <w:p w14:paraId="0684E269">
      <w:pPr>
        <w:spacing w:line="360" w:lineRule="auto"/>
        <w:ind w:firstLine="482" w:firstLineChars="200"/>
        <w:rPr>
          <w:rFonts w:hint="eastAsia"/>
          <w:b/>
          <w:bCs/>
          <w:highlight w:val="none"/>
        </w:rPr>
      </w:pPr>
      <w:r>
        <w:rPr>
          <w:rFonts w:hint="eastAsia"/>
          <w:b/>
          <w:bCs/>
          <w:highlight w:val="none"/>
        </w:rPr>
        <w:t>一、本次招标将按下列评标办法进行评标：</w:t>
      </w:r>
    </w:p>
    <w:p w14:paraId="32EE8893">
      <w:pPr>
        <w:spacing w:line="360" w:lineRule="auto"/>
        <w:ind w:firstLine="480" w:firstLineChars="200"/>
        <w:rPr>
          <w:rFonts w:hint="eastAsia"/>
          <w:highlight w:val="none"/>
        </w:rPr>
      </w:pPr>
      <w:r>
        <w:rPr>
          <w:rFonts w:hint="eastAsia"/>
          <w:highlight w:val="none"/>
        </w:rPr>
        <w:t>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03FA2C40">
      <w:pPr>
        <w:spacing w:line="360" w:lineRule="auto"/>
        <w:ind w:firstLine="482" w:firstLineChars="200"/>
        <w:rPr>
          <w:rFonts w:hint="eastAsia"/>
          <w:b/>
          <w:bCs/>
          <w:highlight w:val="none"/>
        </w:rPr>
      </w:pPr>
      <w:r>
        <w:rPr>
          <w:rFonts w:hint="eastAsia"/>
          <w:b/>
          <w:bCs/>
          <w:highlight w:val="none"/>
        </w:rPr>
        <w:t>二、本次评标采用百分制计分，计算时四舍五入保留到小数点后两位。</w:t>
      </w:r>
    </w:p>
    <w:p w14:paraId="2F80333F">
      <w:pPr>
        <w:snapToGrid w:val="0"/>
        <w:spacing w:line="360" w:lineRule="auto"/>
        <w:jc w:val="center"/>
        <w:outlineLvl w:val="1"/>
        <w:rPr>
          <w:rFonts w:hint="eastAsia"/>
          <w:b/>
          <w:sz w:val="32"/>
          <w:highlight w:val="none"/>
        </w:rPr>
      </w:pPr>
      <w:bookmarkStart w:id="428" w:name="_Toc506107086"/>
      <w:bookmarkStart w:id="429" w:name="_Toc2947"/>
      <w:r>
        <w:rPr>
          <w:rFonts w:hint="eastAsia"/>
          <w:b/>
          <w:sz w:val="32"/>
          <w:highlight w:val="none"/>
        </w:rPr>
        <w:t>第二章　评分标准</w:t>
      </w:r>
    </w:p>
    <w:p w14:paraId="643AC0DD">
      <w:pPr>
        <w:spacing w:line="360" w:lineRule="auto"/>
        <w:ind w:firstLine="482" w:firstLineChars="200"/>
        <w:outlineLvl w:val="2"/>
        <w:rPr>
          <w:rFonts w:hint="eastAsia"/>
          <w:b/>
          <w:bCs/>
          <w:highlight w:val="none"/>
        </w:rPr>
      </w:pPr>
      <w:r>
        <w:rPr>
          <w:rFonts w:hint="eastAsia"/>
          <w:b/>
          <w:bCs/>
          <w:highlight w:val="none"/>
        </w:rPr>
        <w:t>一、报价文件评分标准（4</w:t>
      </w:r>
      <w:r>
        <w:rPr>
          <w:b/>
          <w:bCs/>
          <w:highlight w:val="none"/>
        </w:rPr>
        <w:t>0</w:t>
      </w:r>
      <w:r>
        <w:rPr>
          <w:rFonts w:hint="eastAsia"/>
          <w:b/>
          <w:bCs/>
          <w:highlight w:val="none"/>
        </w:rPr>
        <w:t>分）</w:t>
      </w:r>
    </w:p>
    <w:p w14:paraId="3D05DB57">
      <w:pPr>
        <w:spacing w:line="360" w:lineRule="auto"/>
        <w:ind w:firstLine="480" w:firstLineChars="200"/>
        <w:rPr>
          <w:rFonts w:hint="eastAsia"/>
          <w:highlight w:val="none"/>
        </w:rPr>
      </w:pPr>
      <w:r>
        <w:rPr>
          <w:rFonts w:hint="eastAsia"/>
          <w:highlight w:val="none"/>
        </w:rPr>
        <w:t>报价文件主要是对投标人的有效报价进行评议，其评分标准及分值设置规则如下：</w:t>
      </w:r>
    </w:p>
    <w:p w14:paraId="24BC7884">
      <w:pPr>
        <w:spacing w:line="360" w:lineRule="auto"/>
        <w:ind w:firstLine="480" w:firstLineChars="200"/>
        <w:rPr>
          <w:rFonts w:hint="eastAsia"/>
          <w:highlight w:val="none"/>
        </w:rPr>
      </w:pPr>
      <w:r>
        <w:rPr>
          <w:rFonts w:hint="eastAsia"/>
          <w:highlight w:val="none"/>
        </w:rPr>
        <w:t>1、本次招标最高限价规定如下：</w:t>
      </w:r>
    </w:p>
    <w:p w14:paraId="6D68269C">
      <w:pPr>
        <w:spacing w:line="360" w:lineRule="auto"/>
        <w:ind w:firstLine="480" w:firstLineChars="200"/>
        <w:rPr>
          <w:rFonts w:hint="eastAsia"/>
          <w:b/>
          <w:highlight w:val="none"/>
        </w:rPr>
      </w:pPr>
      <w:r>
        <w:rPr>
          <w:rFonts w:hint="eastAsia"/>
          <w:highlight w:val="none"/>
        </w:rPr>
        <w:t>本项目投标报价的最高限价</w:t>
      </w:r>
      <w:r>
        <w:rPr>
          <w:rFonts w:hint="eastAsia"/>
          <w:b/>
          <w:highlight w:val="none"/>
        </w:rPr>
        <w:t>为人民币</w:t>
      </w:r>
      <w:r>
        <w:rPr>
          <w:rFonts w:hint="eastAsia"/>
          <w:bCs/>
          <w:highlight w:val="none"/>
          <w:u w:val="single"/>
        </w:rPr>
        <w:t xml:space="preserve"> </w:t>
      </w:r>
      <w:r>
        <w:rPr>
          <w:rFonts w:hint="eastAsia"/>
          <w:b/>
          <w:bCs w:val="0"/>
          <w:highlight w:val="none"/>
          <w:u w:val="single"/>
          <w:lang w:val="en-US" w:eastAsia="zh-CN"/>
        </w:rPr>
        <w:t>肆仟壹佰陆拾壹万玖仟玖佰肆拾</w:t>
      </w:r>
      <w:r>
        <w:rPr>
          <w:rFonts w:hint="eastAsia"/>
          <w:b/>
          <w:highlight w:val="none"/>
        </w:rPr>
        <w:t>元整（小写</w:t>
      </w:r>
      <w:r>
        <w:rPr>
          <w:rFonts w:hint="eastAsia" w:ascii="宋体" w:hAnsi="宋体" w:eastAsia="宋体" w:cs="宋体"/>
          <w:b/>
          <w:bCs w:val="0"/>
          <w:highlight w:val="none"/>
          <w:u w:val="single"/>
          <w:lang w:val="en-US" w:eastAsia="zh-CN"/>
        </w:rPr>
        <w:t>41619940</w:t>
      </w:r>
      <w:r>
        <w:rPr>
          <w:rFonts w:hint="eastAsia"/>
          <w:b/>
          <w:highlight w:val="none"/>
        </w:rPr>
        <w:t>元）。最高限价由采购人根据市场价格的调查设定。投标报价高于最高限价的，则做否决投标处理。</w:t>
      </w:r>
    </w:p>
    <w:p w14:paraId="4F9E1386">
      <w:pPr>
        <w:spacing w:line="360" w:lineRule="auto"/>
        <w:ind w:firstLine="480" w:firstLineChars="200"/>
        <w:rPr>
          <w:rFonts w:hint="eastAsia"/>
          <w:highlight w:val="none"/>
        </w:rPr>
      </w:pPr>
      <w:r>
        <w:rPr>
          <w:rFonts w:hint="eastAsia"/>
          <w:highlight w:val="none"/>
        </w:rPr>
        <w:t>2、评标基准价：进入评分范围的投标评标价的算术平均值为评标基准价(其中，</w:t>
      </w:r>
    </w:p>
    <w:p w14:paraId="7E5FE866">
      <w:pPr>
        <w:spacing w:line="360" w:lineRule="auto"/>
        <w:ind w:firstLine="480" w:firstLineChars="200"/>
        <w:rPr>
          <w:rFonts w:hint="eastAsia"/>
          <w:highlight w:val="none"/>
        </w:rPr>
      </w:pPr>
      <w:r>
        <w:rPr>
          <w:rFonts w:hint="eastAsia"/>
          <w:highlight w:val="none"/>
        </w:rPr>
        <w:t>投标评标价在5个至7个时，去除一个最高价和一个最低价；投标评标价在8个及以上时，去除一个最高、次高价和一个最低、次低价)。</w:t>
      </w:r>
    </w:p>
    <w:p w14:paraId="40638066">
      <w:pPr>
        <w:spacing w:line="360" w:lineRule="auto"/>
        <w:ind w:firstLine="480" w:firstLineChars="200"/>
        <w:rPr>
          <w:rFonts w:hint="eastAsia"/>
          <w:highlight w:val="none"/>
        </w:rPr>
      </w:pPr>
      <w:r>
        <w:rPr>
          <w:rFonts w:hint="eastAsia"/>
          <w:highlight w:val="none"/>
        </w:rPr>
        <w:t>3、根据投标文件的投标评标价与评标基准价对比，计算投标人的商务报价的得分值。即：</w:t>
      </w:r>
    </w:p>
    <w:p w14:paraId="44419FE6">
      <w:pPr>
        <w:spacing w:line="360" w:lineRule="auto"/>
        <w:ind w:firstLine="480" w:firstLineChars="200"/>
        <w:rPr>
          <w:rFonts w:hint="eastAsia"/>
          <w:highlight w:val="none"/>
        </w:rPr>
      </w:pPr>
      <w:r>
        <w:rPr>
          <w:rFonts w:hint="eastAsia"/>
          <w:highlight w:val="none"/>
        </w:rPr>
        <w:t>a.投标评标价等于评标基准价时，得满分(40分)；</w:t>
      </w:r>
    </w:p>
    <w:p w14:paraId="24A0020A">
      <w:pPr>
        <w:spacing w:line="360" w:lineRule="auto"/>
        <w:ind w:firstLine="480" w:firstLineChars="200"/>
        <w:rPr>
          <w:rFonts w:hint="eastAsia"/>
          <w:highlight w:val="none"/>
        </w:rPr>
      </w:pPr>
      <w:r>
        <w:rPr>
          <w:rFonts w:hint="eastAsia"/>
          <w:highlight w:val="none"/>
        </w:rPr>
        <w:t>b.投标评标价每低于评标基准价1个百分点，扣0.5分；</w:t>
      </w:r>
    </w:p>
    <w:p w14:paraId="297AF80D">
      <w:pPr>
        <w:spacing w:line="360" w:lineRule="auto"/>
        <w:ind w:firstLine="480" w:firstLineChars="200"/>
        <w:rPr>
          <w:rFonts w:hint="eastAsia"/>
          <w:highlight w:val="none"/>
        </w:rPr>
      </w:pPr>
      <w:r>
        <w:rPr>
          <w:rFonts w:hint="eastAsia"/>
          <w:highlight w:val="none"/>
        </w:rPr>
        <w:t>c.投标评标价每高于评标基准价1个百分点，扣1分。</w:t>
      </w:r>
    </w:p>
    <w:p w14:paraId="6D8AC9F6">
      <w:pPr>
        <w:spacing w:line="360" w:lineRule="auto"/>
        <w:ind w:firstLine="480" w:firstLineChars="200"/>
        <w:rPr>
          <w:rFonts w:hint="eastAsia"/>
          <w:highlight w:val="none"/>
        </w:rPr>
      </w:pPr>
      <w:r>
        <w:rPr>
          <w:rFonts w:hint="eastAsia"/>
          <w:highlight w:val="none"/>
        </w:rPr>
        <w:t>以上报价得分不足一个百分点时，使用直线插入法计算，保留小数2位。投标文件的商务标评分不足10分的，计为10分。</w:t>
      </w:r>
    </w:p>
    <w:p w14:paraId="0072C7E6">
      <w:pPr>
        <w:spacing w:line="360" w:lineRule="auto"/>
        <w:ind w:firstLine="480" w:firstLineChars="200"/>
        <w:rPr>
          <w:rFonts w:hint="eastAsia"/>
          <w:highlight w:val="none"/>
        </w:rPr>
      </w:pPr>
    </w:p>
    <w:p w14:paraId="4E6B7AD3">
      <w:pPr>
        <w:spacing w:line="360" w:lineRule="auto"/>
        <w:ind w:firstLine="480" w:firstLineChars="200"/>
        <w:rPr>
          <w:rFonts w:hint="eastAsia"/>
          <w:highlight w:val="none"/>
        </w:rPr>
      </w:pPr>
      <w:r>
        <w:rPr>
          <w:rFonts w:hint="eastAsia"/>
          <w:highlight w:val="none"/>
        </w:rPr>
        <w:t>4、当投标（开标）一览表与投标报价明细表报价不一致时，以投标（开标）一览表为准，报价明细表报价予以修正并由授权代表签字确认，拒绝修正或确认的，则做无效标处理。</w:t>
      </w:r>
    </w:p>
    <w:p w14:paraId="0C53DA4E">
      <w:pPr>
        <w:spacing w:line="360" w:lineRule="auto"/>
        <w:ind w:firstLine="480" w:firstLineChars="200"/>
        <w:rPr>
          <w:rFonts w:hint="eastAsia"/>
          <w:highlight w:val="none"/>
        </w:rPr>
      </w:pPr>
      <w:r>
        <w:rPr>
          <w:rFonts w:hint="eastAsia"/>
          <w:highlight w:val="none"/>
        </w:rPr>
        <w:t>5、投标文件只允许有一个报价，投标报价应按招标文件中相关附表格式填报，该投标报价应与明细报价汇总相等，且不允许出现报价优惠、赠送等字样（明细出现“0”元，视同赠送）,如出现则做</w:t>
      </w:r>
      <w:r>
        <w:rPr>
          <w:rFonts w:hint="eastAsia"/>
          <w:b/>
          <w:bCs/>
          <w:highlight w:val="none"/>
        </w:rPr>
        <w:t>无效投标</w:t>
      </w:r>
      <w:r>
        <w:rPr>
          <w:rFonts w:hint="eastAsia"/>
          <w:highlight w:val="none"/>
        </w:rPr>
        <w:t>处理。</w:t>
      </w:r>
    </w:p>
    <w:p w14:paraId="07EAA5A0">
      <w:pPr>
        <w:autoSpaceDE w:val="0"/>
        <w:autoSpaceDN w:val="0"/>
        <w:spacing w:line="360" w:lineRule="auto"/>
        <w:ind w:firstLine="482"/>
        <w:rPr>
          <w:rFonts w:hint="eastAsia"/>
          <w:highlight w:val="none"/>
        </w:rPr>
      </w:pPr>
      <w:r>
        <w:rPr>
          <w:rFonts w:hint="eastAsia"/>
          <w:highlight w:val="none"/>
        </w:rPr>
        <w:t>6、</w:t>
      </w:r>
      <w:r>
        <w:rPr>
          <w:rFonts w:hint="eastAsia"/>
          <w:b/>
          <w:highlight w:val="none"/>
        </w:rPr>
        <w:t>投标价格的合理性</w:t>
      </w:r>
      <w:r>
        <w:rPr>
          <w:rFonts w:hint="eastAsia"/>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E0A2F2">
      <w:pPr>
        <w:spacing w:line="360" w:lineRule="auto"/>
        <w:ind w:firstLine="482" w:firstLineChars="200"/>
        <w:outlineLvl w:val="2"/>
        <w:rPr>
          <w:rFonts w:hint="eastAsia"/>
          <w:b/>
          <w:bCs/>
          <w:highlight w:val="none"/>
        </w:rPr>
      </w:pPr>
      <w:r>
        <w:rPr>
          <w:rFonts w:hint="eastAsia"/>
          <w:b/>
          <w:bCs/>
          <w:highlight w:val="none"/>
        </w:rPr>
        <w:t>二、商务技术文件评标内容及标准（60分）</w:t>
      </w:r>
    </w:p>
    <w:p w14:paraId="77D8041D">
      <w:pPr>
        <w:tabs>
          <w:tab w:val="left" w:pos="0"/>
        </w:tabs>
        <w:spacing w:line="360" w:lineRule="auto"/>
        <w:ind w:firstLine="482" w:firstLineChars="200"/>
        <w:rPr>
          <w:rFonts w:hint="eastAsia"/>
          <w:highlight w:val="none"/>
        </w:rPr>
      </w:pPr>
      <w:r>
        <w:rPr>
          <w:b/>
          <w:bCs/>
          <w:highlight w:val="none"/>
        </w:rPr>
        <w:t>1</w:t>
      </w:r>
      <w:r>
        <w:rPr>
          <w:rFonts w:hint="eastAsia"/>
          <w:b/>
          <w:highlight w:val="none"/>
        </w:rPr>
        <w:t>、技术部分（5</w:t>
      </w:r>
      <w:r>
        <w:rPr>
          <w:b/>
          <w:highlight w:val="none"/>
        </w:rPr>
        <w:t>0</w:t>
      </w:r>
      <w:r>
        <w:rPr>
          <w:rFonts w:hint="eastAsia"/>
          <w:b/>
          <w:highlight w:val="none"/>
        </w:rPr>
        <w:t>分）</w:t>
      </w:r>
    </w:p>
    <w:tbl>
      <w:tblPr>
        <w:tblStyle w:val="35"/>
        <w:tblpPr w:leftFromText="180" w:rightFromText="180" w:vertAnchor="text" w:horzAnchor="page" w:tblpX="1407" w:tblpY="444"/>
        <w:tblOverlap w:val="never"/>
        <w:tblW w:w="51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7256"/>
        <w:gridCol w:w="726"/>
      </w:tblGrid>
      <w:tr w14:paraId="00E5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pct"/>
            <w:vAlign w:val="center"/>
          </w:tcPr>
          <w:p w14:paraId="3522C373">
            <w:pPr>
              <w:spacing w:line="360" w:lineRule="auto"/>
              <w:jc w:val="center"/>
              <w:rPr>
                <w:rFonts w:hint="eastAsia"/>
                <w:b/>
                <w:bCs/>
                <w:sz w:val="22"/>
                <w:szCs w:val="22"/>
                <w:highlight w:val="none"/>
              </w:rPr>
            </w:pPr>
            <w:r>
              <w:rPr>
                <w:rFonts w:hint="eastAsia"/>
                <w:b/>
                <w:bCs/>
                <w:sz w:val="22"/>
                <w:szCs w:val="22"/>
                <w:highlight w:val="none"/>
              </w:rPr>
              <w:t>项目</w:t>
            </w:r>
          </w:p>
        </w:tc>
        <w:tc>
          <w:tcPr>
            <w:tcW w:w="3820" w:type="pct"/>
            <w:vAlign w:val="center"/>
          </w:tcPr>
          <w:p w14:paraId="11B0D072">
            <w:pPr>
              <w:spacing w:line="360" w:lineRule="auto"/>
              <w:jc w:val="center"/>
              <w:rPr>
                <w:rFonts w:hint="eastAsia"/>
                <w:b/>
                <w:bCs/>
                <w:sz w:val="22"/>
                <w:szCs w:val="22"/>
                <w:highlight w:val="none"/>
              </w:rPr>
            </w:pPr>
            <w:r>
              <w:rPr>
                <w:rFonts w:hint="eastAsia"/>
                <w:b/>
                <w:bCs/>
                <w:sz w:val="22"/>
                <w:szCs w:val="22"/>
                <w:highlight w:val="none"/>
              </w:rPr>
              <w:t>评审标准</w:t>
            </w:r>
          </w:p>
        </w:tc>
        <w:tc>
          <w:tcPr>
            <w:tcW w:w="382" w:type="pct"/>
            <w:vAlign w:val="center"/>
          </w:tcPr>
          <w:p w14:paraId="47396BB2">
            <w:pPr>
              <w:spacing w:line="360" w:lineRule="auto"/>
              <w:jc w:val="center"/>
              <w:rPr>
                <w:rFonts w:hint="eastAsia"/>
                <w:b/>
                <w:bCs/>
                <w:sz w:val="22"/>
                <w:szCs w:val="22"/>
                <w:highlight w:val="none"/>
              </w:rPr>
            </w:pPr>
            <w:r>
              <w:rPr>
                <w:rFonts w:hint="eastAsia"/>
                <w:b/>
                <w:bCs/>
                <w:sz w:val="22"/>
                <w:szCs w:val="22"/>
                <w:highlight w:val="none"/>
              </w:rPr>
              <w:t>分值</w:t>
            </w:r>
          </w:p>
        </w:tc>
      </w:tr>
      <w:tr w14:paraId="0914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97" w:type="pct"/>
            <w:vMerge w:val="restart"/>
            <w:vAlign w:val="center"/>
          </w:tcPr>
          <w:p w14:paraId="7DA17E71">
            <w:pPr>
              <w:spacing w:line="360" w:lineRule="auto"/>
              <w:jc w:val="center"/>
              <w:rPr>
                <w:rFonts w:hint="eastAsia"/>
                <w:sz w:val="22"/>
                <w:szCs w:val="22"/>
                <w:highlight w:val="none"/>
              </w:rPr>
            </w:pPr>
            <w:r>
              <w:rPr>
                <w:rFonts w:hint="eastAsia"/>
                <w:sz w:val="22"/>
                <w:szCs w:val="22"/>
                <w:highlight w:val="none"/>
              </w:rPr>
              <w:t>技术方案</w:t>
            </w:r>
          </w:p>
          <w:p w14:paraId="377CBAF3">
            <w:pPr>
              <w:spacing w:line="360" w:lineRule="auto"/>
              <w:jc w:val="center"/>
              <w:rPr>
                <w:rFonts w:hint="eastAsia"/>
                <w:sz w:val="22"/>
                <w:szCs w:val="22"/>
                <w:highlight w:val="none"/>
              </w:rPr>
            </w:pPr>
            <w:r>
              <w:rPr>
                <w:rFonts w:hint="eastAsia"/>
                <w:bCs/>
                <w:sz w:val="22"/>
                <w:szCs w:val="22"/>
                <w:highlight w:val="none"/>
              </w:rPr>
              <w:t>（1</w:t>
            </w:r>
            <w:r>
              <w:rPr>
                <w:rFonts w:hint="eastAsia"/>
                <w:bCs/>
                <w:sz w:val="22"/>
                <w:szCs w:val="22"/>
                <w:highlight w:val="none"/>
                <w:lang w:val="en-US" w:eastAsia="zh-CN"/>
              </w:rPr>
              <w:t>2</w:t>
            </w:r>
            <w:r>
              <w:rPr>
                <w:rFonts w:hint="eastAsia"/>
                <w:bCs/>
                <w:sz w:val="22"/>
                <w:szCs w:val="22"/>
                <w:highlight w:val="none"/>
              </w:rPr>
              <w:t>.5分）</w:t>
            </w:r>
          </w:p>
        </w:tc>
        <w:tc>
          <w:tcPr>
            <w:tcW w:w="7256" w:type="dxa"/>
            <w:vAlign w:val="center"/>
          </w:tcPr>
          <w:p w14:paraId="471CD212">
            <w:pPr>
              <w:rPr>
                <w:rFonts w:hint="eastAsia"/>
                <w:sz w:val="22"/>
                <w:szCs w:val="22"/>
                <w:highlight w:val="none"/>
              </w:rPr>
            </w:pPr>
            <w:r>
              <w:rPr>
                <w:rFonts w:hint="eastAsia"/>
                <w:b/>
                <w:bCs/>
                <w:sz w:val="22"/>
                <w:szCs w:val="22"/>
                <w:highlight w:val="none"/>
              </w:rPr>
              <w:t>总体方案：</w:t>
            </w:r>
            <w:r>
              <w:rPr>
                <w:rFonts w:hint="eastAsia"/>
                <w:sz w:val="22"/>
                <w:szCs w:val="22"/>
                <w:highlight w:val="none"/>
              </w:rPr>
              <w:t>评委根据投标人对本项目需求的理解程度、投标技术方案总体设计、产品选型、技术参数、产品性能等与需求的吻合程度（0-</w:t>
            </w:r>
            <w:r>
              <w:rPr>
                <w:rFonts w:hint="eastAsia"/>
                <w:sz w:val="22"/>
                <w:szCs w:val="22"/>
                <w:highlight w:val="none"/>
                <w:lang w:val="en-US" w:eastAsia="zh-CN"/>
              </w:rPr>
              <w:t>1</w:t>
            </w:r>
            <w:r>
              <w:rPr>
                <w:rFonts w:hint="eastAsia"/>
                <w:sz w:val="22"/>
                <w:szCs w:val="22"/>
                <w:highlight w:val="none"/>
              </w:rPr>
              <w:t>分），以及技术解决方案的科学性、先进性、可行性、扩展性（0-1分）和产品品牌影响力（0-1分）等进行综合打分。不提供不得分。</w:t>
            </w:r>
          </w:p>
        </w:tc>
        <w:tc>
          <w:tcPr>
            <w:tcW w:w="726" w:type="dxa"/>
            <w:vAlign w:val="center"/>
          </w:tcPr>
          <w:p w14:paraId="37B3D58E">
            <w:pPr>
              <w:spacing w:line="360" w:lineRule="auto"/>
              <w:jc w:val="center"/>
              <w:rPr>
                <w:rFonts w:hint="eastAsia"/>
                <w:sz w:val="22"/>
                <w:szCs w:val="22"/>
                <w:highlight w:val="none"/>
              </w:rPr>
            </w:pPr>
            <w:r>
              <w:rPr>
                <w:rFonts w:hint="eastAsia"/>
                <w:sz w:val="22"/>
                <w:szCs w:val="22"/>
                <w:highlight w:val="none"/>
                <w:shd w:val="clear" w:color="auto" w:fill="FFFFFF"/>
                <w:lang w:val="en-US" w:eastAsia="zh-CN"/>
              </w:rPr>
              <w:t>3</w:t>
            </w:r>
            <w:r>
              <w:rPr>
                <w:rFonts w:hint="eastAsia"/>
                <w:sz w:val="22"/>
                <w:szCs w:val="22"/>
                <w:highlight w:val="none"/>
                <w:shd w:val="clear" w:color="auto" w:fill="FFFFFF"/>
              </w:rPr>
              <w:t>分</w:t>
            </w:r>
          </w:p>
        </w:tc>
      </w:tr>
      <w:tr w14:paraId="0B58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97" w:type="pct"/>
            <w:vMerge w:val="continue"/>
            <w:vAlign w:val="center"/>
          </w:tcPr>
          <w:p w14:paraId="71A5EF3C">
            <w:pPr>
              <w:spacing w:line="360" w:lineRule="auto"/>
              <w:jc w:val="center"/>
              <w:rPr>
                <w:rFonts w:hint="eastAsia"/>
                <w:bCs/>
                <w:sz w:val="22"/>
                <w:szCs w:val="22"/>
                <w:highlight w:val="none"/>
              </w:rPr>
            </w:pPr>
          </w:p>
        </w:tc>
        <w:tc>
          <w:tcPr>
            <w:tcW w:w="7256" w:type="dxa"/>
            <w:vAlign w:val="center"/>
          </w:tcPr>
          <w:p w14:paraId="05D7C145">
            <w:pPr>
              <w:rPr>
                <w:rFonts w:hint="eastAsia"/>
                <w:b/>
                <w:bCs/>
                <w:sz w:val="22"/>
                <w:szCs w:val="22"/>
                <w:highlight w:val="none"/>
              </w:rPr>
            </w:pPr>
            <w:r>
              <w:rPr>
                <w:rFonts w:hint="eastAsia"/>
                <w:b/>
                <w:bCs/>
                <w:sz w:val="22"/>
                <w:szCs w:val="22"/>
                <w:highlight w:val="none"/>
              </w:rPr>
              <w:t>工程进度计划：</w:t>
            </w:r>
          </w:p>
          <w:p w14:paraId="411E19E8">
            <w:pPr>
              <w:rPr>
                <w:rFonts w:hint="eastAsia"/>
                <w:sz w:val="22"/>
                <w:szCs w:val="22"/>
                <w:highlight w:val="none"/>
              </w:rPr>
            </w:pPr>
            <w:r>
              <w:rPr>
                <w:rFonts w:hint="eastAsia"/>
                <w:sz w:val="22"/>
                <w:szCs w:val="22"/>
                <w:highlight w:val="none"/>
              </w:rPr>
              <w:t>工程进度安排合理，工期安排满足施工要求（0-1分）；施工中劳动力计划安排合理（0-1分）；拟投入的机械设备及材料安排科学、合理，有针对性，满足施工要求（0-1分）。不提供不得分。</w:t>
            </w:r>
          </w:p>
        </w:tc>
        <w:tc>
          <w:tcPr>
            <w:tcW w:w="726" w:type="dxa"/>
            <w:vAlign w:val="center"/>
          </w:tcPr>
          <w:p w14:paraId="3AD4A8B5">
            <w:pPr>
              <w:spacing w:line="360" w:lineRule="auto"/>
              <w:jc w:val="center"/>
              <w:rPr>
                <w:rFonts w:hint="eastAsia"/>
                <w:sz w:val="22"/>
                <w:szCs w:val="22"/>
                <w:highlight w:val="none"/>
              </w:rPr>
            </w:pPr>
            <w:r>
              <w:rPr>
                <w:rFonts w:hint="eastAsia"/>
                <w:sz w:val="22"/>
                <w:szCs w:val="22"/>
                <w:highlight w:val="none"/>
                <w:shd w:val="clear" w:color="auto" w:fill="FFFFFF"/>
              </w:rPr>
              <w:t>3分</w:t>
            </w:r>
          </w:p>
        </w:tc>
      </w:tr>
      <w:tr w14:paraId="1941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97" w:type="pct"/>
            <w:vMerge w:val="continue"/>
            <w:vAlign w:val="center"/>
          </w:tcPr>
          <w:p w14:paraId="6DF89469">
            <w:pPr>
              <w:spacing w:line="360" w:lineRule="auto"/>
              <w:jc w:val="center"/>
              <w:rPr>
                <w:rFonts w:hint="eastAsia"/>
                <w:bCs/>
                <w:sz w:val="22"/>
                <w:szCs w:val="22"/>
                <w:highlight w:val="none"/>
              </w:rPr>
            </w:pPr>
          </w:p>
        </w:tc>
        <w:tc>
          <w:tcPr>
            <w:tcW w:w="7256" w:type="dxa"/>
            <w:vAlign w:val="center"/>
          </w:tcPr>
          <w:p w14:paraId="74626705">
            <w:pPr>
              <w:rPr>
                <w:rFonts w:hint="eastAsia"/>
                <w:b/>
                <w:bCs/>
                <w:sz w:val="22"/>
                <w:szCs w:val="22"/>
                <w:highlight w:val="none"/>
              </w:rPr>
            </w:pPr>
            <w:r>
              <w:rPr>
                <w:rFonts w:hint="eastAsia"/>
                <w:b/>
                <w:bCs/>
                <w:sz w:val="22"/>
                <w:szCs w:val="22"/>
                <w:highlight w:val="none"/>
              </w:rPr>
              <w:t>保证措施：</w:t>
            </w:r>
          </w:p>
          <w:p w14:paraId="7E1713CA">
            <w:pPr>
              <w:rPr>
                <w:rFonts w:hint="eastAsia"/>
                <w:sz w:val="22"/>
                <w:szCs w:val="22"/>
                <w:highlight w:val="none"/>
              </w:rPr>
            </w:pPr>
            <w:r>
              <w:rPr>
                <w:rFonts w:hint="eastAsia"/>
                <w:sz w:val="22"/>
                <w:szCs w:val="22"/>
                <w:highlight w:val="none"/>
              </w:rPr>
              <w:t>质量保证措施（0-1分）、安全生产保证措施（0-0.5）、工期保证措施（0-1分）以及文明施工和环境保护的措施科学、合理、全面、有针对性（0-0.5分）。不提供不得分。</w:t>
            </w:r>
          </w:p>
        </w:tc>
        <w:tc>
          <w:tcPr>
            <w:tcW w:w="726" w:type="dxa"/>
            <w:vAlign w:val="center"/>
          </w:tcPr>
          <w:p w14:paraId="565F18A7">
            <w:pPr>
              <w:spacing w:line="360" w:lineRule="auto"/>
              <w:jc w:val="center"/>
              <w:rPr>
                <w:rFonts w:hint="eastAsia"/>
                <w:sz w:val="22"/>
                <w:szCs w:val="22"/>
                <w:highlight w:val="none"/>
              </w:rPr>
            </w:pPr>
            <w:r>
              <w:rPr>
                <w:rFonts w:hint="eastAsia"/>
                <w:sz w:val="22"/>
                <w:szCs w:val="22"/>
                <w:highlight w:val="none"/>
                <w:shd w:val="clear" w:color="auto" w:fill="FFFFFF"/>
              </w:rPr>
              <w:t>3分</w:t>
            </w:r>
          </w:p>
        </w:tc>
      </w:tr>
      <w:tr w14:paraId="061C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97" w:type="pct"/>
            <w:vMerge w:val="continue"/>
            <w:vAlign w:val="center"/>
          </w:tcPr>
          <w:p w14:paraId="073C259B">
            <w:pPr>
              <w:spacing w:line="360" w:lineRule="auto"/>
              <w:jc w:val="center"/>
              <w:rPr>
                <w:rFonts w:hint="eastAsia"/>
                <w:bCs/>
                <w:sz w:val="22"/>
                <w:szCs w:val="22"/>
                <w:highlight w:val="none"/>
              </w:rPr>
            </w:pPr>
          </w:p>
        </w:tc>
        <w:tc>
          <w:tcPr>
            <w:tcW w:w="7256" w:type="dxa"/>
            <w:vAlign w:val="center"/>
          </w:tcPr>
          <w:p w14:paraId="297B5E7C">
            <w:pPr>
              <w:rPr>
                <w:rFonts w:hint="eastAsia"/>
                <w:b/>
                <w:bCs/>
                <w:sz w:val="22"/>
                <w:szCs w:val="22"/>
                <w:highlight w:val="none"/>
              </w:rPr>
            </w:pPr>
            <w:r>
              <w:rPr>
                <w:rFonts w:hint="eastAsia"/>
                <w:b/>
                <w:bCs/>
                <w:sz w:val="22"/>
                <w:szCs w:val="22"/>
                <w:highlight w:val="none"/>
              </w:rPr>
              <w:t>安装方案：</w:t>
            </w:r>
          </w:p>
          <w:p w14:paraId="7CE49735">
            <w:pPr>
              <w:rPr>
                <w:rFonts w:hint="eastAsia"/>
                <w:sz w:val="22"/>
                <w:szCs w:val="22"/>
                <w:highlight w:val="none"/>
              </w:rPr>
            </w:pPr>
            <w:r>
              <w:rPr>
                <w:rFonts w:hint="eastAsia"/>
                <w:sz w:val="22"/>
                <w:szCs w:val="22"/>
                <w:highlight w:val="none"/>
              </w:rPr>
              <w:t>制定本项目总体安装、调试、验收方案，包括但不限于质量控制措施、质量检测手段（0-2分）。不提供不得分。</w:t>
            </w:r>
          </w:p>
        </w:tc>
        <w:tc>
          <w:tcPr>
            <w:tcW w:w="726" w:type="dxa"/>
            <w:vAlign w:val="center"/>
          </w:tcPr>
          <w:p w14:paraId="6889B620">
            <w:pPr>
              <w:spacing w:line="360" w:lineRule="auto"/>
              <w:jc w:val="center"/>
              <w:rPr>
                <w:rFonts w:hint="eastAsia"/>
                <w:sz w:val="22"/>
                <w:szCs w:val="22"/>
                <w:highlight w:val="none"/>
              </w:rPr>
            </w:pPr>
            <w:r>
              <w:rPr>
                <w:rFonts w:hint="eastAsia"/>
                <w:sz w:val="22"/>
                <w:szCs w:val="22"/>
                <w:highlight w:val="none"/>
                <w:shd w:val="clear" w:color="auto" w:fill="FFFFFF"/>
              </w:rPr>
              <w:t>2分</w:t>
            </w:r>
          </w:p>
        </w:tc>
      </w:tr>
      <w:tr w14:paraId="05AE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97" w:type="pct"/>
            <w:vMerge w:val="continue"/>
            <w:vAlign w:val="center"/>
          </w:tcPr>
          <w:p w14:paraId="1C4F1231">
            <w:pPr>
              <w:spacing w:line="360" w:lineRule="auto"/>
              <w:jc w:val="center"/>
              <w:rPr>
                <w:rFonts w:hint="eastAsia"/>
                <w:bCs/>
                <w:sz w:val="22"/>
                <w:szCs w:val="22"/>
                <w:highlight w:val="none"/>
              </w:rPr>
            </w:pPr>
          </w:p>
        </w:tc>
        <w:tc>
          <w:tcPr>
            <w:tcW w:w="7256" w:type="dxa"/>
            <w:vAlign w:val="center"/>
          </w:tcPr>
          <w:p w14:paraId="2079AF5B">
            <w:pPr>
              <w:rPr>
                <w:rFonts w:hint="eastAsia"/>
                <w:b/>
                <w:bCs/>
                <w:sz w:val="22"/>
                <w:szCs w:val="22"/>
                <w:highlight w:val="none"/>
              </w:rPr>
            </w:pPr>
            <w:r>
              <w:rPr>
                <w:rFonts w:hint="eastAsia"/>
                <w:b/>
                <w:bCs/>
                <w:sz w:val="22"/>
                <w:szCs w:val="22"/>
                <w:highlight w:val="none"/>
              </w:rPr>
              <w:t>培训方案：</w:t>
            </w:r>
          </w:p>
          <w:p w14:paraId="7748E975">
            <w:pPr>
              <w:rPr>
                <w:rFonts w:hint="eastAsia"/>
                <w:sz w:val="22"/>
                <w:szCs w:val="22"/>
                <w:highlight w:val="none"/>
              </w:rPr>
            </w:pPr>
            <w:r>
              <w:rPr>
                <w:rFonts w:hint="eastAsia"/>
                <w:sz w:val="22"/>
                <w:szCs w:val="22"/>
                <w:highlight w:val="none"/>
              </w:rPr>
              <w:t>培训方案完整合理、切实可行（0-1分），保障措施完善，符合项目要求（0-0.5分）。</w:t>
            </w:r>
          </w:p>
          <w:p w14:paraId="43311E92">
            <w:pPr>
              <w:rPr>
                <w:rFonts w:hint="eastAsia"/>
                <w:sz w:val="22"/>
                <w:szCs w:val="22"/>
                <w:highlight w:val="none"/>
              </w:rPr>
            </w:pPr>
            <w:r>
              <w:rPr>
                <w:rFonts w:hint="eastAsia"/>
                <w:sz w:val="22"/>
                <w:szCs w:val="22"/>
                <w:highlight w:val="none"/>
              </w:rPr>
              <w:t>不提供不得分。</w:t>
            </w:r>
          </w:p>
        </w:tc>
        <w:tc>
          <w:tcPr>
            <w:tcW w:w="726" w:type="dxa"/>
            <w:shd w:val="clear" w:color="auto" w:fill="auto"/>
            <w:vAlign w:val="center"/>
          </w:tcPr>
          <w:p w14:paraId="4E6EA4A0">
            <w:pPr>
              <w:spacing w:line="360" w:lineRule="auto"/>
              <w:jc w:val="center"/>
              <w:rPr>
                <w:rFonts w:hint="eastAsia"/>
                <w:sz w:val="22"/>
                <w:szCs w:val="22"/>
                <w:highlight w:val="none"/>
              </w:rPr>
            </w:pPr>
            <w:r>
              <w:rPr>
                <w:rFonts w:hint="eastAsia"/>
                <w:sz w:val="22"/>
                <w:szCs w:val="22"/>
                <w:highlight w:val="none"/>
                <w:shd w:val="clear" w:color="auto" w:fill="FFFFFF"/>
              </w:rPr>
              <w:t>1.5分</w:t>
            </w:r>
          </w:p>
        </w:tc>
      </w:tr>
      <w:tr w14:paraId="42A8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pct"/>
            <w:vMerge w:val="restart"/>
            <w:vAlign w:val="center"/>
          </w:tcPr>
          <w:p w14:paraId="0E16A912">
            <w:pPr>
              <w:spacing w:line="360" w:lineRule="auto"/>
              <w:jc w:val="center"/>
              <w:rPr>
                <w:rFonts w:hint="eastAsia"/>
                <w:bCs/>
                <w:sz w:val="22"/>
                <w:szCs w:val="22"/>
                <w:highlight w:val="none"/>
              </w:rPr>
            </w:pPr>
            <w:r>
              <w:rPr>
                <w:rFonts w:hint="eastAsia"/>
                <w:sz w:val="22"/>
                <w:szCs w:val="22"/>
                <w:highlight w:val="none"/>
              </w:rPr>
              <w:t>视频演示（1</w:t>
            </w:r>
            <w:r>
              <w:rPr>
                <w:rFonts w:hint="eastAsia"/>
                <w:sz w:val="22"/>
                <w:szCs w:val="22"/>
                <w:highlight w:val="none"/>
                <w:lang w:val="en-US" w:eastAsia="zh-CN"/>
              </w:rPr>
              <w:t>2</w:t>
            </w:r>
            <w:r>
              <w:rPr>
                <w:rFonts w:hint="eastAsia"/>
                <w:sz w:val="22"/>
                <w:szCs w:val="22"/>
                <w:highlight w:val="none"/>
              </w:rPr>
              <w:t>分）</w:t>
            </w:r>
          </w:p>
        </w:tc>
        <w:tc>
          <w:tcPr>
            <w:tcW w:w="3820" w:type="pct"/>
            <w:vAlign w:val="center"/>
          </w:tcPr>
          <w:p w14:paraId="1660D223">
            <w:pPr>
              <w:widowControl w:val="0"/>
              <w:rPr>
                <w:rFonts w:hint="eastAsia"/>
                <w:b/>
                <w:bCs/>
                <w:sz w:val="22"/>
                <w:szCs w:val="22"/>
                <w:highlight w:val="none"/>
                <w:shd w:val="clear" w:color="auto" w:fill="FFFFFF"/>
              </w:rPr>
            </w:pPr>
            <w:r>
              <w:rPr>
                <w:rFonts w:hint="eastAsia"/>
                <w:b/>
                <w:bCs/>
                <w:sz w:val="22"/>
                <w:szCs w:val="22"/>
                <w:highlight w:val="none"/>
                <w:shd w:val="clear" w:color="auto" w:fill="FFFFFF"/>
              </w:rPr>
              <w:t>演示一：各投标人围绕本项目</w:t>
            </w:r>
            <w:r>
              <w:rPr>
                <w:rFonts w:hint="eastAsia"/>
                <w:b/>
                <w:bCs/>
                <w:sz w:val="22"/>
                <w:szCs w:val="22"/>
                <w:highlight w:val="none"/>
                <w:u w:val="single"/>
                <w:shd w:val="clear" w:color="auto" w:fill="FFFFFF"/>
              </w:rPr>
              <w:t>智慧园区综合管理平台系统</w:t>
            </w:r>
            <w:r>
              <w:rPr>
                <w:rFonts w:hint="eastAsia"/>
                <w:b/>
                <w:bCs/>
                <w:sz w:val="22"/>
                <w:szCs w:val="22"/>
                <w:highlight w:val="none"/>
                <w:shd w:val="clear" w:color="auto" w:fill="FFFFFF"/>
              </w:rPr>
              <w:t>以下主要功能要求，就如何实现下述要求进行演示。根据各投标人演示陈述情况，由评标委员会综合评审。（5分）</w:t>
            </w:r>
          </w:p>
          <w:p w14:paraId="1B6A3DD7">
            <w:pPr>
              <w:pStyle w:val="111"/>
              <w:overflowPunct w:val="0"/>
              <w:spacing w:before="1" w:line="244" w:lineRule="auto"/>
              <w:ind w:right="282" w:firstLine="0" w:firstLineChars="0"/>
              <w:rPr>
                <w:rFonts w:hint="eastAsia"/>
                <w:sz w:val="22"/>
                <w:szCs w:val="22"/>
                <w:highlight w:val="none"/>
                <w:shd w:val="clear" w:color="auto" w:fill="FFFFFF"/>
              </w:rPr>
            </w:pPr>
            <w:r>
              <w:rPr>
                <w:sz w:val="22"/>
                <w:szCs w:val="22"/>
                <w:highlight w:val="none"/>
                <w:shd w:val="clear" w:color="auto" w:fill="FFFFFF"/>
              </w:rPr>
              <w:t>1.</w:t>
            </w:r>
            <w:r>
              <w:rPr>
                <w:rFonts w:hint="eastAsia"/>
                <w:sz w:val="22"/>
                <w:szCs w:val="22"/>
                <w:highlight w:val="none"/>
                <w:shd w:val="clear" w:color="auto" w:fill="FFFFFF"/>
              </w:rPr>
              <w:t>系统功能展示（</w:t>
            </w:r>
            <w:r>
              <w:rPr>
                <w:rFonts w:hint="eastAsia"/>
                <w:b/>
                <w:bCs/>
                <w:sz w:val="22"/>
                <w:szCs w:val="22"/>
                <w:highlight w:val="none"/>
                <w:shd w:val="clear" w:color="auto" w:fill="FFFFFF"/>
              </w:rPr>
              <w:t>3分</w:t>
            </w:r>
            <w:r>
              <w:rPr>
                <w:rFonts w:hint="eastAsia"/>
                <w:sz w:val="22"/>
                <w:szCs w:val="22"/>
                <w:highlight w:val="none"/>
                <w:shd w:val="clear" w:color="auto" w:fill="FFFFFF"/>
              </w:rPr>
              <w:t>）</w:t>
            </w:r>
          </w:p>
          <w:p w14:paraId="55D332A0">
            <w:pPr>
              <w:pStyle w:val="111"/>
              <w:overflowPunct w:val="0"/>
              <w:spacing w:before="1" w:line="244" w:lineRule="auto"/>
              <w:ind w:right="282" w:firstLine="0" w:firstLineChars="0"/>
              <w:rPr>
                <w:rFonts w:hint="eastAsia"/>
                <w:sz w:val="22"/>
                <w:szCs w:val="22"/>
                <w:highlight w:val="none"/>
                <w:shd w:val="clear" w:color="auto" w:fill="FFFFFF"/>
              </w:rPr>
            </w:pPr>
            <w:r>
              <w:rPr>
                <w:rFonts w:hint="eastAsia"/>
                <w:sz w:val="22"/>
                <w:szCs w:val="22"/>
                <w:highlight w:val="none"/>
                <w:shd w:val="clear" w:color="auto" w:fill="FFFFFF"/>
              </w:rPr>
              <w:t>（</w:t>
            </w:r>
            <w:r>
              <w:rPr>
                <w:sz w:val="22"/>
                <w:szCs w:val="22"/>
                <w:highlight w:val="none"/>
                <w:shd w:val="clear" w:color="auto" w:fill="FFFFFF"/>
              </w:rPr>
              <w:t>1</w:t>
            </w:r>
            <w:r>
              <w:rPr>
                <w:rFonts w:hint="eastAsia"/>
                <w:sz w:val="22"/>
                <w:szCs w:val="22"/>
                <w:highlight w:val="none"/>
                <w:shd w:val="clear" w:color="auto" w:fill="FFFFFF"/>
              </w:rPr>
              <w:t>）</w:t>
            </w:r>
            <w:r>
              <w:rPr>
                <w:sz w:val="22"/>
                <w:szCs w:val="22"/>
                <w:highlight w:val="none"/>
                <w:shd w:val="clear" w:color="auto" w:fill="FFFFFF"/>
              </w:rPr>
              <w:t xml:space="preserve"> </w:t>
            </w:r>
            <w:r>
              <w:rPr>
                <w:rFonts w:hint="eastAsia"/>
                <w:sz w:val="22"/>
                <w:szCs w:val="22"/>
                <w:highlight w:val="none"/>
                <w:shd w:val="clear" w:color="auto" w:fill="FFFFFF"/>
              </w:rPr>
              <w:t>基础功能：如园区的门禁管理、监控系统、车辆出入管理、组织架构配置能力、地图配置能力、流程配置能力、业务组件资产等是否准确、稳定运行。</w:t>
            </w:r>
            <w:r>
              <w:rPr>
                <w:rFonts w:hint="eastAsia"/>
                <w:b/>
                <w:sz w:val="22"/>
                <w:szCs w:val="22"/>
                <w:highlight w:val="none"/>
                <w:shd w:val="clear" w:color="auto" w:fill="FFFFFF" w:themeFill="background1"/>
              </w:rPr>
              <w:t>（0-1分）</w:t>
            </w:r>
          </w:p>
          <w:p w14:paraId="224A15F1">
            <w:pPr>
              <w:pStyle w:val="111"/>
              <w:overflowPunct w:val="0"/>
              <w:spacing w:before="1" w:line="244" w:lineRule="auto"/>
              <w:ind w:right="282" w:firstLine="0" w:firstLineChars="0"/>
              <w:rPr>
                <w:rFonts w:hint="eastAsia"/>
                <w:b/>
                <w:sz w:val="22"/>
                <w:szCs w:val="22"/>
                <w:highlight w:val="none"/>
                <w:shd w:val="clear" w:color="auto" w:fill="FFFFFF" w:themeFill="background1"/>
              </w:rPr>
            </w:pPr>
            <w:r>
              <w:rPr>
                <w:rFonts w:hint="eastAsia"/>
                <w:sz w:val="22"/>
                <w:szCs w:val="22"/>
                <w:highlight w:val="none"/>
                <w:shd w:val="clear" w:color="auto" w:fill="FFFFFF"/>
              </w:rPr>
              <w:t>（</w:t>
            </w:r>
            <w:r>
              <w:rPr>
                <w:sz w:val="22"/>
                <w:szCs w:val="22"/>
                <w:highlight w:val="none"/>
                <w:shd w:val="clear" w:color="auto" w:fill="FFFFFF"/>
              </w:rPr>
              <w:t>2</w:t>
            </w:r>
            <w:r>
              <w:rPr>
                <w:rFonts w:hint="eastAsia"/>
                <w:sz w:val="22"/>
                <w:szCs w:val="22"/>
                <w:highlight w:val="none"/>
                <w:shd w:val="clear" w:color="auto" w:fill="FFFFFF"/>
              </w:rPr>
              <w:t>）</w:t>
            </w:r>
            <w:r>
              <w:rPr>
                <w:sz w:val="22"/>
                <w:szCs w:val="22"/>
                <w:highlight w:val="none"/>
                <w:shd w:val="clear" w:color="auto" w:fill="FFFFFF"/>
              </w:rPr>
              <w:t xml:space="preserve"> </w:t>
            </w:r>
            <w:r>
              <w:rPr>
                <w:rFonts w:hint="eastAsia"/>
                <w:sz w:val="22"/>
                <w:szCs w:val="22"/>
                <w:highlight w:val="none"/>
                <w:shd w:val="clear" w:color="auto" w:fill="FFFFFF"/>
              </w:rPr>
              <w:t>智能化功能：如智能照明控制、能源管理、环境监测、子系统及设备管理能力、物模型驱动复用能力、联动控制能力、告警工单处理能力</w:t>
            </w:r>
            <w:r>
              <w:rPr>
                <w:sz w:val="22"/>
                <w:szCs w:val="22"/>
                <w:highlight w:val="none"/>
                <w:shd w:val="clear" w:color="auto" w:fill="FFFFFF"/>
              </w:rPr>
              <w:t xml:space="preserve"> </w:t>
            </w:r>
            <w:r>
              <w:rPr>
                <w:rFonts w:hint="eastAsia"/>
                <w:sz w:val="22"/>
                <w:szCs w:val="22"/>
                <w:highlight w:val="none"/>
                <w:shd w:val="clear" w:color="auto" w:fill="FFFFFF"/>
              </w:rPr>
              <w:t>、统一消息推送、表单设计器等功能的有效性和先进性。</w:t>
            </w:r>
            <w:r>
              <w:rPr>
                <w:rFonts w:hint="eastAsia"/>
                <w:b/>
                <w:sz w:val="22"/>
                <w:szCs w:val="22"/>
                <w:highlight w:val="none"/>
                <w:shd w:val="clear" w:color="auto" w:fill="FFFFFF" w:themeFill="background1"/>
              </w:rPr>
              <w:t>（0-1分）</w:t>
            </w:r>
          </w:p>
          <w:p w14:paraId="0F389505">
            <w:pPr>
              <w:pStyle w:val="111"/>
              <w:overflowPunct w:val="0"/>
              <w:spacing w:before="1" w:line="244" w:lineRule="auto"/>
              <w:ind w:right="282" w:firstLine="0" w:firstLineChars="0"/>
              <w:rPr>
                <w:rFonts w:hint="eastAsia"/>
                <w:b/>
                <w:color w:val="auto"/>
                <w:sz w:val="22"/>
                <w:szCs w:val="22"/>
                <w:highlight w:val="none"/>
                <w:shd w:val="clear" w:color="auto" w:fill="FFFFFF" w:themeFill="background1"/>
              </w:rPr>
            </w:pPr>
            <w:r>
              <w:rPr>
                <w:rFonts w:hint="eastAsia"/>
                <w:color w:val="auto"/>
                <w:sz w:val="22"/>
                <w:szCs w:val="22"/>
                <w:highlight w:val="none"/>
                <w:shd w:val="clear" w:color="auto" w:fill="FFFFFF"/>
              </w:rPr>
              <w:t>（3）可视化远程操控，移动操控通过移动终端（PAD、手机等）实现对数字世界中的孪生体进行远程控制，如移动终端操控孪生体模型的交互、应用场景的切换、指标数据下转等功能。</w:t>
            </w:r>
            <w:r>
              <w:rPr>
                <w:rFonts w:hint="eastAsia"/>
                <w:b/>
                <w:color w:val="auto"/>
                <w:sz w:val="22"/>
                <w:szCs w:val="22"/>
                <w:highlight w:val="none"/>
                <w:shd w:val="clear" w:color="auto" w:fill="FFFFFF" w:themeFill="background1"/>
              </w:rPr>
              <w:t>（0-1分）</w:t>
            </w:r>
          </w:p>
          <w:p w14:paraId="08B9ABD3">
            <w:pPr>
              <w:pStyle w:val="111"/>
              <w:overflowPunct w:val="0"/>
              <w:spacing w:before="1" w:line="244" w:lineRule="auto"/>
              <w:ind w:right="282" w:firstLine="0" w:firstLineChars="0"/>
              <w:rPr>
                <w:rFonts w:hint="eastAsia"/>
                <w:sz w:val="22"/>
                <w:szCs w:val="22"/>
                <w:highlight w:val="none"/>
                <w:shd w:val="clear" w:color="auto" w:fill="FFFFFF"/>
              </w:rPr>
            </w:pPr>
            <w:r>
              <w:rPr>
                <w:rFonts w:hint="eastAsia"/>
                <w:sz w:val="22"/>
                <w:szCs w:val="22"/>
                <w:highlight w:val="none"/>
                <w:shd w:val="clear" w:color="auto" w:fill="FFFFFF"/>
              </w:rPr>
              <w:t>2</w:t>
            </w:r>
            <w:r>
              <w:rPr>
                <w:sz w:val="22"/>
                <w:szCs w:val="22"/>
                <w:highlight w:val="none"/>
                <w:shd w:val="clear" w:color="auto" w:fill="FFFFFF"/>
              </w:rPr>
              <w:t>.</w:t>
            </w:r>
            <w:r>
              <w:rPr>
                <w:rFonts w:hint="eastAsia"/>
                <w:sz w:val="22"/>
                <w:szCs w:val="22"/>
                <w:highlight w:val="none"/>
                <w:shd w:val="clear" w:color="auto" w:fill="FFFFFF"/>
              </w:rPr>
              <w:t>用户体验与界面设计（</w:t>
            </w:r>
            <w:r>
              <w:rPr>
                <w:rFonts w:hint="eastAsia"/>
                <w:b/>
                <w:bCs/>
                <w:sz w:val="22"/>
                <w:szCs w:val="22"/>
                <w:highlight w:val="none"/>
                <w:shd w:val="clear" w:color="auto" w:fill="FFFFFF"/>
              </w:rPr>
              <w:t>2分</w:t>
            </w:r>
            <w:r>
              <w:rPr>
                <w:rFonts w:hint="eastAsia"/>
                <w:sz w:val="22"/>
                <w:szCs w:val="22"/>
                <w:highlight w:val="none"/>
                <w:shd w:val="clear" w:color="auto" w:fill="FFFFFF"/>
              </w:rPr>
              <w:t>）</w:t>
            </w:r>
          </w:p>
          <w:p w14:paraId="56016A4F">
            <w:pPr>
              <w:pStyle w:val="111"/>
              <w:overflowPunct w:val="0"/>
              <w:spacing w:before="1" w:line="244" w:lineRule="auto"/>
              <w:ind w:right="282" w:firstLine="0" w:firstLineChars="0"/>
              <w:rPr>
                <w:rFonts w:hint="eastAsia"/>
                <w:sz w:val="22"/>
                <w:szCs w:val="22"/>
                <w:highlight w:val="none"/>
                <w:shd w:val="clear" w:color="auto" w:fill="FFFFFF"/>
              </w:rPr>
            </w:pPr>
            <w:r>
              <w:rPr>
                <w:rFonts w:hint="eastAsia"/>
                <w:sz w:val="22"/>
                <w:szCs w:val="22"/>
                <w:highlight w:val="none"/>
                <w:shd w:val="clear" w:color="auto" w:fill="FFFFFF"/>
              </w:rPr>
              <w:t>（</w:t>
            </w:r>
            <w:r>
              <w:rPr>
                <w:sz w:val="22"/>
                <w:szCs w:val="22"/>
                <w:highlight w:val="none"/>
                <w:shd w:val="clear" w:color="auto" w:fill="FFFFFF"/>
              </w:rPr>
              <w:t>1</w:t>
            </w:r>
            <w:r>
              <w:rPr>
                <w:rFonts w:hint="eastAsia"/>
                <w:sz w:val="22"/>
                <w:szCs w:val="22"/>
                <w:highlight w:val="none"/>
                <w:shd w:val="clear" w:color="auto" w:fill="FFFFFF"/>
              </w:rPr>
              <w:t>）操作便捷性：界面布局是否合理，操作流程是否简单易懂，易于上手。</w:t>
            </w:r>
            <w:r>
              <w:rPr>
                <w:rFonts w:hint="eastAsia"/>
                <w:b/>
                <w:sz w:val="22"/>
                <w:szCs w:val="22"/>
                <w:highlight w:val="none"/>
                <w:shd w:val="clear" w:color="auto" w:fill="FFFFFF" w:themeFill="background1"/>
              </w:rPr>
              <w:t>（0-1分）</w:t>
            </w:r>
          </w:p>
          <w:p w14:paraId="0F583C6F">
            <w:pPr>
              <w:pStyle w:val="111"/>
              <w:overflowPunct w:val="0"/>
              <w:spacing w:before="1" w:line="244" w:lineRule="auto"/>
              <w:ind w:right="282" w:firstLine="0" w:firstLineChars="0"/>
              <w:rPr>
                <w:rFonts w:hint="eastAsia"/>
                <w:sz w:val="22"/>
                <w:szCs w:val="22"/>
                <w:highlight w:val="none"/>
              </w:rPr>
            </w:pPr>
            <w:r>
              <w:rPr>
                <w:rFonts w:hint="eastAsia"/>
                <w:sz w:val="22"/>
                <w:szCs w:val="22"/>
                <w:highlight w:val="none"/>
                <w:shd w:val="clear" w:color="auto" w:fill="FFFFFF"/>
              </w:rPr>
              <w:t>（</w:t>
            </w:r>
            <w:r>
              <w:rPr>
                <w:sz w:val="22"/>
                <w:szCs w:val="22"/>
                <w:highlight w:val="none"/>
                <w:shd w:val="clear" w:color="auto" w:fill="FFFFFF"/>
              </w:rPr>
              <w:t>2</w:t>
            </w:r>
            <w:r>
              <w:rPr>
                <w:rFonts w:hint="eastAsia"/>
                <w:sz w:val="22"/>
                <w:szCs w:val="22"/>
                <w:highlight w:val="none"/>
                <w:shd w:val="clear" w:color="auto" w:fill="FFFFFF"/>
              </w:rPr>
              <w:t>）可视化效果：室内外建模、楼层切换、室内精装效果、空间漫游（对空间进行</w:t>
            </w:r>
            <w:r>
              <w:rPr>
                <w:sz w:val="22"/>
                <w:szCs w:val="22"/>
                <w:highlight w:val="none"/>
                <w:shd w:val="clear" w:color="auto" w:fill="FFFFFF"/>
              </w:rPr>
              <w:t>1</w:t>
            </w:r>
            <w:r>
              <w:rPr>
                <w:rFonts w:hint="eastAsia"/>
                <w:sz w:val="22"/>
                <w:szCs w:val="22"/>
                <w:highlight w:val="none"/>
                <w:shd w:val="clear" w:color="auto" w:fill="FFFFFF"/>
              </w:rPr>
              <w:t>：</w:t>
            </w:r>
            <w:r>
              <w:rPr>
                <w:sz w:val="22"/>
                <w:szCs w:val="22"/>
                <w:highlight w:val="none"/>
                <w:shd w:val="clear" w:color="auto" w:fill="FFFFFF"/>
              </w:rPr>
              <w:t>1</w:t>
            </w:r>
            <w:r>
              <w:rPr>
                <w:rFonts w:hint="eastAsia"/>
                <w:sz w:val="22"/>
                <w:szCs w:val="22"/>
                <w:highlight w:val="none"/>
                <w:shd w:val="clear" w:color="auto" w:fill="FFFFFF"/>
              </w:rPr>
              <w:t>还原进行空间漫游），支持暂停、快进、播放等操作）、设备图层、三维交互；数据展示是否直观、清晰，图表等元素是否美观且易于理解。</w:t>
            </w:r>
            <w:r>
              <w:rPr>
                <w:rFonts w:hint="eastAsia"/>
                <w:b/>
                <w:sz w:val="22"/>
                <w:szCs w:val="22"/>
                <w:highlight w:val="none"/>
                <w:shd w:val="clear" w:color="auto" w:fill="FFFFFF" w:themeFill="background1"/>
              </w:rPr>
              <w:t>（0-1分）</w:t>
            </w:r>
          </w:p>
        </w:tc>
        <w:tc>
          <w:tcPr>
            <w:tcW w:w="382" w:type="pct"/>
            <w:shd w:val="clear" w:color="auto" w:fill="auto"/>
            <w:vAlign w:val="center"/>
          </w:tcPr>
          <w:p w14:paraId="471318BC">
            <w:pPr>
              <w:spacing w:line="360" w:lineRule="auto"/>
              <w:jc w:val="center"/>
              <w:rPr>
                <w:rFonts w:hint="eastAsia"/>
                <w:sz w:val="22"/>
                <w:szCs w:val="22"/>
                <w:highlight w:val="none"/>
                <w:shd w:val="clear" w:color="auto" w:fill="FFFFFF"/>
              </w:rPr>
            </w:pPr>
            <w:r>
              <w:rPr>
                <w:rFonts w:hint="eastAsia"/>
                <w:sz w:val="22"/>
                <w:szCs w:val="22"/>
                <w:highlight w:val="none"/>
                <w:shd w:val="clear" w:color="auto" w:fill="FFFFFF"/>
                <w:lang w:val="en-US" w:eastAsia="zh-CN"/>
              </w:rPr>
              <w:t>5</w:t>
            </w:r>
            <w:r>
              <w:rPr>
                <w:rFonts w:hint="eastAsia"/>
                <w:sz w:val="22"/>
                <w:szCs w:val="22"/>
                <w:highlight w:val="none"/>
                <w:shd w:val="clear" w:color="auto" w:fill="FFFFFF"/>
              </w:rPr>
              <w:t>分</w:t>
            </w:r>
          </w:p>
        </w:tc>
      </w:tr>
      <w:tr w14:paraId="5535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97" w:type="pct"/>
            <w:vMerge w:val="continue"/>
            <w:vAlign w:val="center"/>
          </w:tcPr>
          <w:p w14:paraId="5D79630F">
            <w:pPr>
              <w:spacing w:line="360" w:lineRule="auto"/>
              <w:jc w:val="center"/>
              <w:rPr>
                <w:rFonts w:hint="eastAsia"/>
                <w:bCs/>
                <w:sz w:val="22"/>
                <w:szCs w:val="22"/>
                <w:highlight w:val="none"/>
              </w:rPr>
            </w:pPr>
          </w:p>
        </w:tc>
        <w:tc>
          <w:tcPr>
            <w:tcW w:w="3820" w:type="pct"/>
            <w:vAlign w:val="center"/>
          </w:tcPr>
          <w:p w14:paraId="14DA2413">
            <w:pPr>
              <w:pStyle w:val="111"/>
              <w:overflowPunct w:val="0"/>
              <w:spacing w:before="1" w:line="244" w:lineRule="auto"/>
              <w:ind w:right="282" w:firstLine="0" w:firstLineChars="0"/>
              <w:rPr>
                <w:rFonts w:hint="eastAsia"/>
                <w:b/>
                <w:bCs/>
                <w:sz w:val="22"/>
                <w:szCs w:val="22"/>
                <w:highlight w:val="none"/>
                <w:shd w:val="clear" w:color="auto" w:fill="FFFFFF"/>
              </w:rPr>
            </w:pPr>
            <w:r>
              <w:rPr>
                <w:rFonts w:hint="eastAsia"/>
                <w:b/>
                <w:bCs/>
                <w:sz w:val="22"/>
                <w:szCs w:val="22"/>
                <w:highlight w:val="none"/>
                <w:shd w:val="clear" w:color="auto" w:fill="FFFFFF"/>
              </w:rPr>
              <w:t>演示二： 基于智慧园区综合管理平台的智慧展厅模块演示</w:t>
            </w:r>
            <w:r>
              <w:rPr>
                <w:b/>
                <w:bCs/>
                <w:sz w:val="22"/>
                <w:szCs w:val="22"/>
                <w:highlight w:val="none"/>
                <w:shd w:val="clear" w:color="auto" w:fill="FFFFFF"/>
              </w:rPr>
              <w:t>:</w:t>
            </w:r>
            <w:r>
              <w:rPr>
                <w:rFonts w:hint="eastAsia"/>
                <w:b/>
                <w:bCs/>
                <w:sz w:val="22"/>
                <w:szCs w:val="22"/>
                <w:highlight w:val="none"/>
                <w:shd w:val="clear" w:color="auto" w:fill="FFFFFF"/>
              </w:rPr>
              <w:t>沉浸式数智全景智控解决文案视频（7分）</w:t>
            </w:r>
          </w:p>
          <w:p w14:paraId="0FA6966A">
            <w:pPr>
              <w:pStyle w:val="111"/>
              <w:overflowPunct w:val="0"/>
              <w:spacing w:before="1" w:line="244" w:lineRule="auto"/>
              <w:ind w:right="282" w:firstLine="0" w:firstLineChars="0"/>
              <w:rPr>
                <w:rFonts w:hint="eastAsia"/>
                <w:bCs/>
                <w:sz w:val="22"/>
                <w:szCs w:val="22"/>
                <w:highlight w:val="none"/>
                <w:shd w:val="clear" w:color="auto" w:fill="FFFFFF"/>
              </w:rPr>
            </w:pPr>
            <w:r>
              <w:rPr>
                <w:bCs/>
                <w:sz w:val="22"/>
                <w:szCs w:val="22"/>
                <w:highlight w:val="none"/>
                <w:shd w:val="clear" w:color="auto" w:fill="FFFFFF"/>
              </w:rPr>
              <w:t>1.</w:t>
            </w:r>
            <w:r>
              <w:rPr>
                <w:rFonts w:hint="eastAsia"/>
                <w:bCs/>
                <w:sz w:val="22"/>
                <w:szCs w:val="22"/>
                <w:highlight w:val="none"/>
                <w:shd w:val="clear" w:color="auto" w:fill="FFFFFF"/>
              </w:rPr>
              <w:t>媒体服务器功能演示</w:t>
            </w:r>
            <w:r>
              <w:rPr>
                <w:rFonts w:hint="eastAsia"/>
                <w:sz w:val="22"/>
                <w:szCs w:val="22"/>
                <w:highlight w:val="none"/>
                <w:shd w:val="clear" w:color="auto" w:fill="FFFFFF"/>
              </w:rPr>
              <w:t>（</w:t>
            </w:r>
            <w:r>
              <w:rPr>
                <w:rFonts w:hint="eastAsia"/>
                <w:b/>
                <w:bCs/>
                <w:sz w:val="22"/>
                <w:szCs w:val="22"/>
                <w:highlight w:val="none"/>
                <w:shd w:val="clear" w:color="auto" w:fill="FFFFFF"/>
              </w:rPr>
              <w:t>3分</w:t>
            </w:r>
            <w:r>
              <w:rPr>
                <w:rFonts w:hint="eastAsia"/>
                <w:sz w:val="22"/>
                <w:szCs w:val="22"/>
                <w:highlight w:val="none"/>
                <w:shd w:val="clear" w:color="auto" w:fill="FFFFFF"/>
              </w:rPr>
              <w:t>）</w:t>
            </w:r>
          </w:p>
          <w:p w14:paraId="04E52C1D">
            <w:pPr>
              <w:pStyle w:val="111"/>
              <w:overflowPunct w:val="0"/>
              <w:spacing w:before="1" w:line="244" w:lineRule="auto"/>
              <w:ind w:right="282" w:firstLine="0" w:firstLineChars="0"/>
              <w:rPr>
                <w:rFonts w:hint="eastAsia"/>
                <w:bCs/>
                <w:sz w:val="22"/>
                <w:szCs w:val="22"/>
                <w:highlight w:val="none"/>
                <w:shd w:val="clear" w:color="auto" w:fill="FFFFFF"/>
              </w:rPr>
            </w:pPr>
            <w:r>
              <w:rPr>
                <w:rFonts w:hint="eastAsia"/>
                <w:bCs/>
                <w:sz w:val="22"/>
                <w:szCs w:val="22"/>
                <w:highlight w:val="none"/>
                <w:shd w:val="clear" w:color="auto" w:fill="FFFFFF"/>
              </w:rPr>
              <w:t>（</w:t>
            </w:r>
            <w:r>
              <w:rPr>
                <w:bCs/>
                <w:sz w:val="22"/>
                <w:szCs w:val="22"/>
                <w:highlight w:val="none"/>
                <w:shd w:val="clear" w:color="auto" w:fill="FFFFFF"/>
              </w:rPr>
              <w:t>1</w:t>
            </w:r>
            <w:r>
              <w:rPr>
                <w:rFonts w:hint="eastAsia"/>
                <w:bCs/>
                <w:sz w:val="22"/>
                <w:szCs w:val="22"/>
                <w:highlight w:val="none"/>
                <w:shd w:val="clear" w:color="auto" w:fill="FFFFFF"/>
              </w:rPr>
              <w:t>）控制软件界面定制完成以后，点击保存和发布，平板上的控制页面无需手动操作，在</w:t>
            </w:r>
            <w:r>
              <w:rPr>
                <w:bCs/>
                <w:sz w:val="22"/>
                <w:szCs w:val="22"/>
                <w:highlight w:val="none"/>
                <w:shd w:val="clear" w:color="auto" w:fill="FFFFFF"/>
              </w:rPr>
              <w:t>1</w:t>
            </w:r>
            <w:r>
              <w:rPr>
                <w:rFonts w:hint="eastAsia"/>
                <w:bCs/>
                <w:sz w:val="22"/>
                <w:szCs w:val="22"/>
                <w:highlight w:val="none"/>
                <w:shd w:val="clear" w:color="auto" w:fill="FFFFFF"/>
              </w:rPr>
              <w:t>秒钟内自动刷新到最新控制界面。</w:t>
            </w:r>
            <w:r>
              <w:rPr>
                <w:rFonts w:hint="eastAsia"/>
                <w:b/>
                <w:sz w:val="22"/>
                <w:szCs w:val="22"/>
                <w:highlight w:val="none"/>
                <w:shd w:val="clear" w:color="auto" w:fill="FFFFFF" w:themeFill="background1"/>
              </w:rPr>
              <w:t>（0-1分）</w:t>
            </w:r>
          </w:p>
          <w:p w14:paraId="66DA1293">
            <w:pPr>
              <w:pStyle w:val="111"/>
              <w:overflowPunct w:val="0"/>
              <w:spacing w:before="1" w:line="244" w:lineRule="auto"/>
              <w:ind w:right="282" w:firstLine="0" w:firstLineChars="0"/>
              <w:rPr>
                <w:rFonts w:hint="eastAsia"/>
                <w:sz w:val="22"/>
                <w:szCs w:val="22"/>
                <w:highlight w:val="none"/>
                <w:shd w:val="clear" w:color="auto" w:fill="FFFFFF"/>
              </w:rPr>
            </w:pPr>
            <w:r>
              <w:rPr>
                <w:rFonts w:hint="eastAsia"/>
                <w:sz w:val="22"/>
                <w:szCs w:val="22"/>
                <w:highlight w:val="none"/>
                <w:shd w:val="clear" w:color="auto" w:fill="FFFFFF"/>
              </w:rPr>
              <w:t>（</w:t>
            </w:r>
            <w:r>
              <w:rPr>
                <w:sz w:val="22"/>
                <w:szCs w:val="22"/>
                <w:highlight w:val="none"/>
                <w:shd w:val="clear" w:color="auto" w:fill="FFFFFF"/>
              </w:rPr>
              <w:t>2</w:t>
            </w:r>
            <w:r>
              <w:rPr>
                <w:rFonts w:hint="eastAsia"/>
                <w:sz w:val="22"/>
                <w:szCs w:val="22"/>
                <w:highlight w:val="none"/>
                <w:shd w:val="clear" w:color="auto" w:fill="FFFFFF"/>
              </w:rPr>
              <w:t>）平板上可实际操作预览</w:t>
            </w:r>
            <w:r>
              <w:rPr>
                <w:sz w:val="22"/>
                <w:szCs w:val="22"/>
                <w:highlight w:val="none"/>
                <w:shd w:val="clear" w:color="auto" w:fill="FFFFFF"/>
              </w:rPr>
              <w:t>PPT</w:t>
            </w:r>
            <w:r>
              <w:rPr>
                <w:rFonts w:hint="eastAsia"/>
                <w:sz w:val="22"/>
                <w:szCs w:val="22"/>
                <w:highlight w:val="none"/>
                <w:shd w:val="clear" w:color="auto" w:fill="FFFFFF"/>
              </w:rPr>
              <w:t>全内容缩略图，可直接点击预览图进行跳页操作。</w:t>
            </w:r>
            <w:r>
              <w:rPr>
                <w:rFonts w:hint="eastAsia"/>
                <w:b/>
                <w:sz w:val="22"/>
                <w:szCs w:val="22"/>
                <w:highlight w:val="none"/>
                <w:shd w:val="clear" w:color="auto" w:fill="FFFFFF" w:themeFill="background1"/>
              </w:rPr>
              <w:t>（0-1分）</w:t>
            </w:r>
          </w:p>
          <w:p w14:paraId="57077A87">
            <w:pPr>
              <w:pStyle w:val="111"/>
              <w:overflowPunct w:val="0"/>
              <w:spacing w:before="1" w:line="244" w:lineRule="auto"/>
              <w:ind w:right="282" w:firstLine="0" w:firstLineChars="0"/>
              <w:rPr>
                <w:rFonts w:hint="eastAsia"/>
                <w:sz w:val="22"/>
                <w:szCs w:val="22"/>
                <w:highlight w:val="none"/>
                <w:shd w:val="clear" w:color="auto" w:fill="FFFFFF"/>
              </w:rPr>
            </w:pPr>
            <w:r>
              <w:rPr>
                <w:rFonts w:hint="eastAsia"/>
                <w:sz w:val="22"/>
                <w:szCs w:val="22"/>
                <w:highlight w:val="none"/>
                <w:shd w:val="clear" w:color="auto" w:fill="FFFFFF"/>
              </w:rPr>
              <w:t>（</w:t>
            </w:r>
            <w:r>
              <w:rPr>
                <w:sz w:val="22"/>
                <w:szCs w:val="22"/>
                <w:highlight w:val="none"/>
                <w:shd w:val="clear" w:color="auto" w:fill="FFFFFF"/>
              </w:rPr>
              <w:t>3</w:t>
            </w:r>
            <w:r>
              <w:rPr>
                <w:rFonts w:hint="eastAsia"/>
                <w:sz w:val="22"/>
                <w:szCs w:val="22"/>
                <w:highlight w:val="none"/>
                <w:shd w:val="clear" w:color="auto" w:fill="FFFFFF"/>
              </w:rPr>
              <w:t>）控制软件对</w:t>
            </w:r>
            <w:r>
              <w:rPr>
                <w:sz w:val="22"/>
                <w:szCs w:val="22"/>
                <w:highlight w:val="none"/>
                <w:shd w:val="clear" w:color="auto" w:fill="FFFFFF"/>
              </w:rPr>
              <w:t>PPT</w:t>
            </w:r>
            <w:r>
              <w:rPr>
                <w:rFonts w:hint="eastAsia"/>
                <w:sz w:val="22"/>
                <w:szCs w:val="22"/>
                <w:highlight w:val="none"/>
                <w:shd w:val="clear" w:color="auto" w:fill="FFFFFF"/>
              </w:rPr>
              <w:t>进行翻页时，可展示</w:t>
            </w:r>
            <w:r>
              <w:rPr>
                <w:sz w:val="22"/>
                <w:szCs w:val="22"/>
                <w:highlight w:val="none"/>
                <w:shd w:val="clear" w:color="auto" w:fill="FFFFFF"/>
              </w:rPr>
              <w:t>PPT</w:t>
            </w:r>
            <w:r>
              <w:rPr>
                <w:rFonts w:hint="eastAsia"/>
                <w:sz w:val="22"/>
                <w:szCs w:val="22"/>
                <w:highlight w:val="none"/>
                <w:shd w:val="clear" w:color="auto" w:fill="FFFFFF"/>
              </w:rPr>
              <w:t>（</w:t>
            </w:r>
            <w:r>
              <w:rPr>
                <w:sz w:val="22"/>
                <w:szCs w:val="22"/>
                <w:highlight w:val="none"/>
                <w:shd w:val="clear" w:color="auto" w:fill="FFFFFF"/>
              </w:rPr>
              <w:t>powerpoint</w:t>
            </w:r>
            <w:r>
              <w:rPr>
                <w:rFonts w:hint="eastAsia"/>
                <w:sz w:val="22"/>
                <w:szCs w:val="22"/>
                <w:highlight w:val="none"/>
                <w:shd w:val="clear" w:color="auto" w:fill="FFFFFF"/>
              </w:rPr>
              <w:t>软件）原始切换动画效果，对于正在播放的页面每次进入缩略图列表时置顶。</w:t>
            </w:r>
            <w:r>
              <w:rPr>
                <w:rFonts w:hint="eastAsia"/>
                <w:b/>
                <w:sz w:val="22"/>
                <w:szCs w:val="22"/>
                <w:highlight w:val="none"/>
                <w:shd w:val="clear" w:color="auto" w:fill="FFFFFF" w:themeFill="background1"/>
              </w:rPr>
              <w:t>（0-1分）</w:t>
            </w:r>
          </w:p>
          <w:p w14:paraId="54F460D0">
            <w:pPr>
              <w:pStyle w:val="111"/>
              <w:overflowPunct w:val="0"/>
              <w:spacing w:before="1" w:line="244" w:lineRule="auto"/>
              <w:ind w:right="282" w:firstLine="0" w:firstLineChars="0"/>
              <w:rPr>
                <w:rFonts w:hint="eastAsia"/>
                <w:sz w:val="22"/>
                <w:szCs w:val="22"/>
                <w:highlight w:val="none"/>
                <w:shd w:val="clear" w:color="auto" w:fill="FFFFFF"/>
              </w:rPr>
            </w:pPr>
            <w:r>
              <w:rPr>
                <w:sz w:val="22"/>
                <w:szCs w:val="22"/>
                <w:highlight w:val="none"/>
                <w:shd w:val="clear" w:color="auto" w:fill="FFFFFF"/>
              </w:rPr>
              <w:t>2.P1.875</w:t>
            </w:r>
            <w:r>
              <w:rPr>
                <w:rFonts w:hint="eastAsia"/>
                <w:sz w:val="22"/>
                <w:szCs w:val="22"/>
                <w:highlight w:val="none"/>
                <w:shd w:val="clear" w:color="auto" w:fill="FFFFFF"/>
              </w:rPr>
              <w:t>显示屏功能演示（</w:t>
            </w:r>
            <w:r>
              <w:rPr>
                <w:rFonts w:hint="eastAsia"/>
                <w:b w:val="0"/>
                <w:bCs w:val="0"/>
                <w:sz w:val="22"/>
                <w:szCs w:val="22"/>
                <w:highlight w:val="none"/>
                <w:shd w:val="clear" w:color="auto" w:fill="FFFFFF"/>
              </w:rPr>
              <w:t>2分</w:t>
            </w:r>
            <w:r>
              <w:rPr>
                <w:rFonts w:hint="eastAsia"/>
                <w:sz w:val="22"/>
                <w:szCs w:val="22"/>
                <w:highlight w:val="none"/>
                <w:shd w:val="clear" w:color="auto" w:fill="FFFFFF"/>
              </w:rPr>
              <w:t>）</w:t>
            </w:r>
          </w:p>
          <w:p w14:paraId="4204AD2D">
            <w:pPr>
              <w:pStyle w:val="111"/>
              <w:overflowPunct w:val="0"/>
              <w:spacing w:before="1" w:line="244" w:lineRule="auto"/>
              <w:ind w:right="282" w:firstLine="0" w:firstLineChars="0"/>
              <w:rPr>
                <w:rFonts w:hint="default" w:eastAsia="宋体"/>
                <w:sz w:val="22"/>
                <w:szCs w:val="22"/>
                <w:highlight w:val="none"/>
                <w:shd w:val="clear" w:color="auto" w:fill="FFFFFF"/>
                <w:lang w:val="en-US" w:eastAsia="zh-CN"/>
              </w:rPr>
            </w:pPr>
            <w:r>
              <w:rPr>
                <w:rFonts w:hint="eastAsia"/>
                <w:sz w:val="22"/>
                <w:szCs w:val="22"/>
                <w:highlight w:val="none"/>
                <w:shd w:val="clear" w:color="auto" w:fill="FFFFFF"/>
              </w:rPr>
              <w:t>（</w:t>
            </w:r>
            <w:r>
              <w:rPr>
                <w:sz w:val="22"/>
                <w:szCs w:val="22"/>
                <w:highlight w:val="none"/>
                <w:shd w:val="clear" w:color="auto" w:fill="FFFFFF"/>
              </w:rPr>
              <w:t>1</w:t>
            </w:r>
            <w:r>
              <w:rPr>
                <w:rFonts w:hint="eastAsia"/>
                <w:sz w:val="22"/>
                <w:szCs w:val="22"/>
                <w:highlight w:val="none"/>
                <w:shd w:val="clear" w:color="auto" w:fill="FFFFFF"/>
              </w:rPr>
              <w:t>）</w:t>
            </w:r>
            <w:r>
              <w:rPr>
                <w:sz w:val="22"/>
                <w:szCs w:val="22"/>
                <w:highlight w:val="none"/>
                <w:shd w:val="clear" w:color="auto" w:fill="FFFFFF"/>
              </w:rPr>
              <w:t>LED</w:t>
            </w:r>
            <w:r>
              <w:rPr>
                <w:rFonts w:hint="eastAsia"/>
                <w:sz w:val="22"/>
                <w:szCs w:val="22"/>
                <w:highlight w:val="none"/>
                <w:shd w:val="clear" w:color="auto" w:fill="FFFFFF"/>
              </w:rPr>
              <w:t>面板与主板之间采用硬连接，无排线，无网线；</w:t>
            </w:r>
            <w:r>
              <w:rPr>
                <w:sz w:val="22"/>
                <w:szCs w:val="22"/>
                <w:highlight w:val="none"/>
                <w:shd w:val="clear" w:color="auto" w:fill="FFFFFF"/>
              </w:rPr>
              <w:t>LED</w:t>
            </w:r>
            <w:r>
              <w:rPr>
                <w:rFonts w:hint="eastAsia"/>
                <w:sz w:val="22"/>
                <w:szCs w:val="22"/>
                <w:highlight w:val="none"/>
                <w:shd w:val="clear" w:color="auto" w:fill="FFFFFF"/>
              </w:rPr>
              <w:t>单元箱体内部集成</w:t>
            </w:r>
            <w:r>
              <w:rPr>
                <w:sz w:val="22"/>
                <w:szCs w:val="22"/>
                <w:highlight w:val="none"/>
                <w:shd w:val="clear" w:color="auto" w:fill="FFFFFF"/>
              </w:rPr>
              <w:t>4</w:t>
            </w:r>
            <w:r>
              <w:rPr>
                <w:rFonts w:hint="eastAsia"/>
                <w:sz w:val="22"/>
                <w:szCs w:val="22"/>
                <w:highlight w:val="none"/>
                <w:shd w:val="clear" w:color="auto" w:fill="FFFFFF"/>
              </w:rPr>
              <w:t>个</w:t>
            </w:r>
            <w:r>
              <w:rPr>
                <w:sz w:val="22"/>
                <w:szCs w:val="22"/>
                <w:highlight w:val="none"/>
                <w:shd w:val="clear" w:color="auto" w:fill="FFFFFF"/>
              </w:rPr>
              <w:t>HDMI2.0</w:t>
            </w:r>
            <w:r>
              <w:rPr>
                <w:rFonts w:hint="eastAsia"/>
                <w:sz w:val="22"/>
                <w:szCs w:val="22"/>
                <w:highlight w:val="none"/>
                <w:shd w:val="clear" w:color="auto" w:fill="FFFFFF"/>
              </w:rPr>
              <w:t>接口，非网线传输；</w:t>
            </w:r>
            <w:r>
              <w:rPr>
                <w:rFonts w:hint="eastAsia"/>
                <w:b/>
                <w:sz w:val="22"/>
                <w:szCs w:val="22"/>
                <w:highlight w:val="none"/>
                <w:shd w:val="clear" w:color="auto" w:fill="FFFFFF" w:themeFill="background1"/>
              </w:rPr>
              <w:t>（0-1分）</w:t>
            </w:r>
          </w:p>
          <w:p w14:paraId="48746D97">
            <w:pPr>
              <w:pStyle w:val="111"/>
              <w:overflowPunct w:val="0"/>
              <w:spacing w:before="1" w:line="244" w:lineRule="auto"/>
              <w:ind w:right="282" w:firstLine="0" w:firstLineChars="0"/>
              <w:rPr>
                <w:rFonts w:hint="eastAsia"/>
                <w:sz w:val="22"/>
                <w:szCs w:val="22"/>
                <w:highlight w:val="none"/>
                <w:shd w:val="clear" w:color="auto" w:fill="FFFFFF"/>
              </w:rPr>
            </w:pPr>
            <w:r>
              <w:rPr>
                <w:rFonts w:hint="eastAsia"/>
                <w:sz w:val="22"/>
                <w:szCs w:val="22"/>
                <w:highlight w:val="none"/>
                <w:shd w:val="clear" w:color="auto" w:fill="FFFFFF"/>
              </w:rPr>
              <w:t>（</w:t>
            </w:r>
            <w:r>
              <w:rPr>
                <w:rFonts w:hint="eastAsia"/>
                <w:sz w:val="22"/>
                <w:szCs w:val="22"/>
                <w:highlight w:val="none"/>
                <w:shd w:val="clear" w:color="auto" w:fill="FFFFFF"/>
                <w:lang w:val="en-US" w:eastAsia="zh-CN"/>
              </w:rPr>
              <w:t>2</w:t>
            </w:r>
            <w:r>
              <w:rPr>
                <w:rFonts w:hint="eastAsia"/>
                <w:sz w:val="22"/>
                <w:szCs w:val="22"/>
                <w:highlight w:val="none"/>
                <w:shd w:val="clear" w:color="auto" w:fill="FFFFFF"/>
              </w:rPr>
              <w:t>）</w:t>
            </w:r>
            <w:r>
              <w:rPr>
                <w:sz w:val="22"/>
                <w:szCs w:val="22"/>
                <w:highlight w:val="none"/>
                <w:shd w:val="clear" w:color="auto" w:fill="FFFFFF"/>
              </w:rPr>
              <w:t>HDMI</w:t>
            </w:r>
            <w:r>
              <w:rPr>
                <w:rFonts w:hint="eastAsia"/>
                <w:sz w:val="22"/>
                <w:szCs w:val="22"/>
                <w:highlight w:val="none"/>
                <w:shd w:val="clear" w:color="auto" w:fill="FFFFFF"/>
              </w:rPr>
              <w:t>备份功能演示：正常工作中，拔掉箱体内一路输入或输出</w:t>
            </w:r>
            <w:r>
              <w:rPr>
                <w:sz w:val="22"/>
                <w:szCs w:val="22"/>
                <w:highlight w:val="none"/>
                <w:shd w:val="clear" w:color="auto" w:fill="FFFFFF"/>
              </w:rPr>
              <w:t>HDMI</w:t>
            </w:r>
            <w:r>
              <w:rPr>
                <w:rFonts w:hint="eastAsia"/>
                <w:sz w:val="22"/>
                <w:szCs w:val="22"/>
                <w:highlight w:val="none"/>
                <w:shd w:val="clear" w:color="auto" w:fill="FFFFFF"/>
              </w:rPr>
              <w:t>线路，屏幕仍然正常运行播放。</w:t>
            </w:r>
            <w:r>
              <w:rPr>
                <w:rFonts w:hint="eastAsia"/>
                <w:b/>
                <w:sz w:val="22"/>
                <w:szCs w:val="22"/>
                <w:highlight w:val="none"/>
                <w:shd w:val="clear" w:color="auto" w:fill="FFFFFF" w:themeFill="background1"/>
              </w:rPr>
              <w:t>（0-1分）</w:t>
            </w:r>
          </w:p>
          <w:p w14:paraId="7664BEE9">
            <w:pPr>
              <w:pStyle w:val="111"/>
              <w:overflowPunct w:val="0"/>
              <w:spacing w:before="1" w:line="244" w:lineRule="auto"/>
              <w:ind w:right="282" w:firstLine="132"/>
              <w:rPr>
                <w:rFonts w:hint="eastAsia"/>
                <w:bCs/>
                <w:sz w:val="22"/>
                <w:szCs w:val="22"/>
                <w:highlight w:val="none"/>
                <w:shd w:val="clear" w:color="auto" w:fill="FFFFFF" w:themeFill="background1"/>
              </w:rPr>
            </w:pPr>
            <w:r>
              <w:rPr>
                <w:rFonts w:hint="eastAsia"/>
                <w:bCs/>
                <w:sz w:val="22"/>
                <w:szCs w:val="22"/>
                <w:highlight w:val="none"/>
                <w:shd w:val="clear" w:color="auto" w:fill="FFFFFF" w:themeFill="background1"/>
              </w:rPr>
              <w:t>3.</w:t>
            </w:r>
            <w:r>
              <w:rPr>
                <w:rFonts w:hint="eastAsia"/>
                <w:b/>
                <w:bCs/>
                <w:sz w:val="22"/>
                <w:szCs w:val="22"/>
                <w:highlight w:val="none"/>
                <w:shd w:val="clear" w:color="auto" w:fill="FFFFFF"/>
              </w:rPr>
              <w:t>沉浸式数智全景智控解决文案视频</w:t>
            </w:r>
            <w:r>
              <w:rPr>
                <w:rFonts w:hint="eastAsia"/>
                <w:sz w:val="22"/>
                <w:szCs w:val="22"/>
                <w:highlight w:val="none"/>
                <w:shd w:val="clear" w:color="auto" w:fill="FFFFFF"/>
              </w:rPr>
              <w:t>（</w:t>
            </w:r>
            <w:r>
              <w:rPr>
                <w:rFonts w:hint="eastAsia"/>
                <w:b/>
                <w:bCs/>
                <w:sz w:val="22"/>
                <w:szCs w:val="22"/>
                <w:highlight w:val="none"/>
                <w:shd w:val="clear" w:color="auto" w:fill="FFFFFF"/>
              </w:rPr>
              <w:t>2分</w:t>
            </w:r>
            <w:r>
              <w:rPr>
                <w:rFonts w:hint="eastAsia"/>
                <w:sz w:val="22"/>
                <w:szCs w:val="22"/>
                <w:highlight w:val="none"/>
                <w:shd w:val="clear" w:color="auto" w:fill="FFFFFF"/>
              </w:rPr>
              <w:t>）</w:t>
            </w:r>
          </w:p>
          <w:p w14:paraId="11FCF81E">
            <w:pPr>
              <w:pStyle w:val="111"/>
              <w:overflowPunct w:val="0"/>
              <w:spacing w:before="1" w:line="244" w:lineRule="auto"/>
              <w:ind w:right="282" w:firstLine="132"/>
              <w:rPr>
                <w:rFonts w:hint="eastAsia"/>
                <w:bCs/>
                <w:sz w:val="22"/>
                <w:szCs w:val="22"/>
                <w:highlight w:val="none"/>
                <w:shd w:val="clear" w:color="auto" w:fill="FFFFFF" w:themeFill="background1"/>
              </w:rPr>
            </w:pPr>
            <w:r>
              <w:rPr>
                <w:rFonts w:hint="eastAsia"/>
                <w:bCs/>
                <w:sz w:val="22"/>
                <w:szCs w:val="22"/>
                <w:highlight w:val="none"/>
                <w:shd w:val="clear" w:color="auto" w:fill="FFFFFF" w:themeFill="background1"/>
              </w:rPr>
              <w:t>（</w:t>
            </w:r>
            <w:r>
              <w:rPr>
                <w:bCs/>
                <w:sz w:val="22"/>
                <w:szCs w:val="22"/>
                <w:highlight w:val="none"/>
                <w:shd w:val="clear" w:color="auto" w:fill="FFFFFF" w:themeFill="background1"/>
              </w:rPr>
              <w:t>1</w:t>
            </w:r>
            <w:r>
              <w:rPr>
                <w:rFonts w:hint="eastAsia"/>
                <w:bCs/>
                <w:sz w:val="22"/>
                <w:szCs w:val="22"/>
                <w:highlight w:val="none"/>
                <w:shd w:val="clear" w:color="auto" w:fill="FFFFFF" w:themeFill="background1"/>
              </w:rPr>
              <w:t>）各投标人围绕本项目沉浸式数智全景智控，结合本项目招标文件资料，上虞绍兴市杭州湾上虞经开区高端智造集聚区的文化属性，打造高层次人才创业园，考虑整体性、节点性的特色演绎内容，编制沉浸式数智全景智控解决演绎方案。自行制作沉浸式数智全景智控演绎三维动画视频演示，并通过智慧园区综合管理平台的智慧展厅模块进行演示</w:t>
            </w:r>
            <w:r>
              <w:rPr>
                <w:rFonts w:hint="eastAsia"/>
                <w:bCs/>
                <w:sz w:val="22"/>
                <w:szCs w:val="22"/>
                <w:highlight w:val="none"/>
                <w:shd w:val="clear" w:color="auto" w:fill="FFFFFF" w:themeFill="background1"/>
                <w:lang w:eastAsia="zh-CN"/>
              </w:rPr>
              <w:t>。</w:t>
            </w:r>
            <w:r>
              <w:rPr>
                <w:rFonts w:hint="eastAsia"/>
                <w:b/>
                <w:bCs w:val="0"/>
                <w:sz w:val="22"/>
                <w:szCs w:val="22"/>
                <w:highlight w:val="none"/>
                <w:shd w:val="clear" w:color="auto" w:fill="FFFFFF" w:themeFill="background1"/>
                <w:lang w:eastAsia="zh-CN"/>
              </w:rPr>
              <w:t>（</w:t>
            </w:r>
            <w:r>
              <w:rPr>
                <w:rFonts w:hint="eastAsia"/>
                <w:b/>
                <w:bCs w:val="0"/>
                <w:sz w:val="22"/>
                <w:szCs w:val="22"/>
                <w:highlight w:val="none"/>
                <w:shd w:val="clear" w:color="auto" w:fill="FFFFFF" w:themeFill="background1"/>
                <w:lang w:val="en-US" w:eastAsia="zh-CN"/>
              </w:rPr>
              <w:t>0-1分</w:t>
            </w:r>
            <w:r>
              <w:rPr>
                <w:rFonts w:hint="eastAsia"/>
                <w:b/>
                <w:bCs w:val="0"/>
                <w:sz w:val="22"/>
                <w:szCs w:val="22"/>
                <w:highlight w:val="none"/>
                <w:shd w:val="clear" w:color="auto" w:fill="FFFFFF" w:themeFill="background1"/>
                <w:lang w:eastAsia="zh-CN"/>
              </w:rPr>
              <w:t>）</w:t>
            </w:r>
          </w:p>
          <w:p w14:paraId="1652827D">
            <w:pPr>
              <w:pStyle w:val="111"/>
              <w:overflowPunct w:val="0"/>
              <w:spacing w:before="1" w:line="244" w:lineRule="auto"/>
              <w:ind w:right="282" w:firstLine="132"/>
              <w:rPr>
                <w:rFonts w:hint="eastAsia" w:eastAsia="宋体"/>
                <w:bCs/>
                <w:sz w:val="22"/>
                <w:szCs w:val="22"/>
                <w:highlight w:val="none"/>
                <w:shd w:val="clear" w:color="auto" w:fill="FFFFFF" w:themeFill="background1"/>
                <w:lang w:val="en-US" w:eastAsia="zh-CN"/>
              </w:rPr>
            </w:pPr>
            <w:r>
              <w:rPr>
                <w:rFonts w:hint="eastAsia"/>
                <w:bCs/>
                <w:sz w:val="22"/>
                <w:szCs w:val="22"/>
                <w:highlight w:val="none"/>
                <w:shd w:val="clear" w:color="auto" w:fill="FFFFFF" w:themeFill="background1"/>
              </w:rPr>
              <w:t>（</w:t>
            </w:r>
            <w:r>
              <w:rPr>
                <w:bCs/>
                <w:sz w:val="22"/>
                <w:szCs w:val="22"/>
                <w:highlight w:val="none"/>
                <w:shd w:val="clear" w:color="auto" w:fill="FFFFFF" w:themeFill="background1"/>
              </w:rPr>
              <w:t>2</w:t>
            </w:r>
            <w:r>
              <w:rPr>
                <w:rFonts w:hint="eastAsia"/>
                <w:bCs/>
                <w:sz w:val="22"/>
                <w:szCs w:val="22"/>
                <w:highlight w:val="none"/>
                <w:shd w:val="clear" w:color="auto" w:fill="FFFFFF" w:themeFill="background1"/>
              </w:rPr>
              <w:t>）内容应立足高层次人才创业园，具有较高的创意性和感观效果，并能考虑项目实际情况，使沉浸式数智全景智控解决文案具有可实施性。</w:t>
            </w:r>
            <w:r>
              <w:rPr>
                <w:rFonts w:hint="eastAsia"/>
                <w:b/>
                <w:bCs w:val="0"/>
                <w:sz w:val="22"/>
                <w:szCs w:val="22"/>
                <w:highlight w:val="none"/>
                <w:shd w:val="clear" w:color="auto" w:fill="FFFFFF" w:themeFill="background1"/>
                <w:lang w:eastAsia="zh-CN"/>
              </w:rPr>
              <w:t>（</w:t>
            </w:r>
            <w:r>
              <w:rPr>
                <w:rFonts w:hint="eastAsia"/>
                <w:b/>
                <w:bCs w:val="0"/>
                <w:sz w:val="22"/>
                <w:szCs w:val="22"/>
                <w:highlight w:val="none"/>
                <w:shd w:val="clear" w:color="auto" w:fill="FFFFFF" w:themeFill="background1"/>
                <w:lang w:val="en-US" w:eastAsia="zh-CN"/>
              </w:rPr>
              <w:t>0-1分</w:t>
            </w:r>
            <w:r>
              <w:rPr>
                <w:rFonts w:hint="eastAsia"/>
                <w:b/>
                <w:bCs w:val="0"/>
                <w:sz w:val="22"/>
                <w:szCs w:val="22"/>
                <w:highlight w:val="none"/>
                <w:shd w:val="clear" w:color="auto" w:fill="FFFFFF" w:themeFill="background1"/>
                <w:lang w:eastAsia="zh-CN"/>
              </w:rPr>
              <w:t>）</w:t>
            </w:r>
          </w:p>
          <w:p w14:paraId="20C6A52D">
            <w:pPr>
              <w:pStyle w:val="111"/>
              <w:overflowPunct w:val="0"/>
              <w:spacing w:before="1" w:line="244" w:lineRule="auto"/>
              <w:ind w:right="282" w:firstLine="0" w:firstLineChars="0"/>
              <w:rPr>
                <w:rFonts w:hint="eastAsia"/>
                <w:sz w:val="22"/>
                <w:szCs w:val="22"/>
                <w:highlight w:val="none"/>
                <w:shd w:val="clear" w:color="auto" w:fill="FFFFFF"/>
              </w:rPr>
            </w:pPr>
            <w:r>
              <w:rPr>
                <w:rFonts w:hint="eastAsia"/>
                <w:b/>
                <w:sz w:val="22"/>
                <w:szCs w:val="22"/>
                <w:highlight w:val="none"/>
                <w:shd w:val="clear" w:color="auto" w:fill="FFFFFF" w:themeFill="background1"/>
              </w:rPr>
              <w:t>评委根据视频内容的创意性（0-0.5分）、观赏性（0-0.5分）、视觉亮点（0-0.5分）、科学合理性、可实施性（0-0.5分）等进行综合评分。</w:t>
            </w:r>
          </w:p>
        </w:tc>
        <w:tc>
          <w:tcPr>
            <w:tcW w:w="382" w:type="pct"/>
            <w:shd w:val="clear" w:color="auto" w:fill="auto"/>
            <w:vAlign w:val="center"/>
          </w:tcPr>
          <w:p w14:paraId="7FBB72EE">
            <w:pPr>
              <w:spacing w:line="360" w:lineRule="auto"/>
              <w:jc w:val="center"/>
              <w:rPr>
                <w:rFonts w:hint="eastAsia"/>
                <w:sz w:val="22"/>
                <w:szCs w:val="22"/>
                <w:highlight w:val="none"/>
                <w:shd w:val="clear" w:color="auto" w:fill="FFFFFF"/>
              </w:rPr>
            </w:pPr>
            <w:r>
              <w:rPr>
                <w:rFonts w:hint="eastAsia"/>
                <w:sz w:val="22"/>
                <w:szCs w:val="22"/>
                <w:highlight w:val="none"/>
                <w:shd w:val="clear" w:color="auto" w:fill="FFFFFF"/>
              </w:rPr>
              <w:t>7分</w:t>
            </w:r>
          </w:p>
        </w:tc>
      </w:tr>
      <w:tr w14:paraId="1044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97" w:type="pct"/>
            <w:vMerge w:val="restart"/>
            <w:vAlign w:val="center"/>
          </w:tcPr>
          <w:p w14:paraId="6F7ADA1B">
            <w:pPr>
              <w:spacing w:line="360" w:lineRule="auto"/>
              <w:jc w:val="center"/>
              <w:textAlignment w:val="center"/>
              <w:rPr>
                <w:rFonts w:hint="eastAsia"/>
                <w:sz w:val="22"/>
                <w:szCs w:val="22"/>
                <w:highlight w:val="none"/>
              </w:rPr>
            </w:pPr>
            <w:r>
              <w:rPr>
                <w:rFonts w:hint="eastAsia"/>
                <w:sz w:val="22"/>
                <w:szCs w:val="22"/>
                <w:highlight w:val="none"/>
              </w:rPr>
              <w:t>产品参数</w:t>
            </w:r>
          </w:p>
          <w:p w14:paraId="570E3D30">
            <w:pPr>
              <w:pStyle w:val="2"/>
              <w:widowControl w:val="0"/>
              <w:spacing w:line="360" w:lineRule="auto"/>
              <w:rPr>
                <w:rFonts w:hint="eastAsia"/>
                <w:bCs/>
                <w:sz w:val="22"/>
                <w:szCs w:val="22"/>
                <w:highlight w:val="none"/>
              </w:rPr>
            </w:pPr>
            <w:r>
              <w:rPr>
                <w:rFonts w:hint="eastAsia"/>
                <w:b w:val="0"/>
                <w:sz w:val="22"/>
                <w:szCs w:val="22"/>
                <w:highlight w:val="none"/>
              </w:rPr>
              <w:t>(20分)</w:t>
            </w:r>
          </w:p>
        </w:tc>
        <w:tc>
          <w:tcPr>
            <w:tcW w:w="3820" w:type="pct"/>
            <w:vAlign w:val="center"/>
          </w:tcPr>
          <w:p w14:paraId="584E2C2F">
            <w:pPr>
              <w:textAlignment w:val="center"/>
              <w:rPr>
                <w:rFonts w:hint="eastAsia"/>
                <w:sz w:val="22"/>
                <w:szCs w:val="22"/>
                <w:highlight w:val="none"/>
              </w:rPr>
            </w:pPr>
            <w:r>
              <w:rPr>
                <w:rFonts w:hint="eastAsia"/>
                <w:sz w:val="22"/>
                <w:szCs w:val="22"/>
                <w:highlight w:val="none"/>
              </w:rPr>
              <w:t xml:space="preserve">评委根据投标产品的重要性指标及技术参数与招标文件“规格参数要求”的偏离情况进行打分：                      </w:t>
            </w:r>
          </w:p>
          <w:p w14:paraId="4A01E76F">
            <w:pPr>
              <w:numPr>
                <w:ilvl w:val="0"/>
                <w:numId w:val="21"/>
              </w:numPr>
              <w:textAlignment w:val="center"/>
              <w:rPr>
                <w:rFonts w:hint="eastAsia"/>
                <w:sz w:val="22"/>
                <w:szCs w:val="22"/>
                <w:highlight w:val="none"/>
              </w:rPr>
            </w:pPr>
            <w:r>
              <w:rPr>
                <w:rFonts w:hint="eastAsia"/>
                <w:sz w:val="22"/>
                <w:szCs w:val="22"/>
                <w:highlight w:val="none"/>
              </w:rPr>
              <w:t xml:space="preserve">完全满足招标文件重要性指标及技术参数要求配置要求得11分；            </w:t>
            </w:r>
          </w:p>
          <w:p w14:paraId="4618576E">
            <w:pPr>
              <w:numPr>
                <w:ilvl w:val="0"/>
                <w:numId w:val="21"/>
              </w:numPr>
              <w:textAlignment w:val="center"/>
              <w:rPr>
                <w:rFonts w:hint="eastAsia"/>
                <w:sz w:val="22"/>
                <w:szCs w:val="22"/>
                <w:highlight w:val="none"/>
              </w:rPr>
            </w:pPr>
            <w:r>
              <w:rPr>
                <w:rFonts w:hint="eastAsia"/>
                <w:sz w:val="22"/>
                <w:szCs w:val="22"/>
                <w:highlight w:val="none"/>
              </w:rPr>
              <w:t>“▲”为重要性指标及技术参数要求，“▲”技术参数要求条款响应得分= (供应商满足“▲”技术参数要求条款的数量 ÷“▲”技术参数要求条款的总数量) ×1</w:t>
            </w:r>
            <w:r>
              <w:rPr>
                <w:rFonts w:hint="eastAsia"/>
                <w:sz w:val="22"/>
                <w:szCs w:val="22"/>
                <w:highlight w:val="none"/>
                <w:lang w:val="en-US" w:eastAsia="zh-CN"/>
              </w:rPr>
              <w:t>1</w:t>
            </w:r>
            <w:r>
              <w:rPr>
                <w:rFonts w:hint="eastAsia"/>
                <w:sz w:val="22"/>
                <w:szCs w:val="22"/>
                <w:highlight w:val="none"/>
              </w:rPr>
              <w:t>分。(如遇到小数情况，保留两位小数) 。</w:t>
            </w:r>
          </w:p>
          <w:p w14:paraId="2EDEE317">
            <w:pPr>
              <w:textAlignment w:val="center"/>
              <w:rPr>
                <w:rFonts w:hint="eastAsia"/>
                <w:sz w:val="22"/>
                <w:szCs w:val="22"/>
                <w:highlight w:val="none"/>
              </w:rPr>
            </w:pPr>
            <w:r>
              <w:rPr>
                <w:rFonts w:hint="eastAsia"/>
                <w:b/>
                <w:bCs/>
                <w:sz w:val="22"/>
                <w:szCs w:val="22"/>
                <w:highlight w:val="none"/>
              </w:rPr>
              <w:t>证明材料：技术要求及参数在技术偏离表中逐条列出并加盖投标人公章，同时提供</w:t>
            </w:r>
            <w:r>
              <w:rPr>
                <w:rFonts w:hint="eastAsia"/>
                <w:b/>
                <w:bCs/>
                <w:sz w:val="22"/>
                <w:szCs w:val="22"/>
                <w:highlight w:val="none"/>
                <w:lang w:val="en-US" w:eastAsia="zh-CN"/>
              </w:rPr>
              <w:t>采购清单</w:t>
            </w:r>
            <w:r>
              <w:rPr>
                <w:rFonts w:hint="eastAsia"/>
                <w:b/>
                <w:bCs/>
                <w:sz w:val="22"/>
                <w:szCs w:val="22"/>
                <w:highlight w:val="none"/>
              </w:rPr>
              <w:t>内要求提供的相关参数佐证材料的扫描件或复印件并加盖投标人公章，偏离表内响应内容为空头或仅复制响应均不得分。</w:t>
            </w:r>
          </w:p>
        </w:tc>
        <w:tc>
          <w:tcPr>
            <w:tcW w:w="382" w:type="pct"/>
            <w:shd w:val="clear" w:color="auto" w:fill="auto"/>
            <w:vAlign w:val="center"/>
          </w:tcPr>
          <w:p w14:paraId="37BAB1D0">
            <w:pPr>
              <w:spacing w:line="360" w:lineRule="auto"/>
              <w:jc w:val="center"/>
              <w:rPr>
                <w:rFonts w:hint="eastAsia"/>
                <w:sz w:val="22"/>
                <w:szCs w:val="22"/>
                <w:highlight w:val="none"/>
                <w:shd w:val="clear" w:color="auto" w:fill="FFFFFF"/>
              </w:rPr>
            </w:pPr>
            <w:r>
              <w:rPr>
                <w:rFonts w:hint="eastAsia"/>
                <w:sz w:val="22"/>
                <w:szCs w:val="22"/>
                <w:highlight w:val="none"/>
              </w:rPr>
              <w:t>1</w:t>
            </w:r>
            <w:r>
              <w:rPr>
                <w:rFonts w:hint="eastAsia"/>
                <w:sz w:val="22"/>
                <w:szCs w:val="22"/>
                <w:highlight w:val="none"/>
                <w:lang w:val="en-US" w:eastAsia="zh-CN"/>
              </w:rPr>
              <w:t>2</w:t>
            </w:r>
            <w:r>
              <w:rPr>
                <w:rFonts w:hint="eastAsia"/>
                <w:sz w:val="22"/>
                <w:szCs w:val="22"/>
                <w:highlight w:val="none"/>
              </w:rPr>
              <w:t>分</w:t>
            </w:r>
          </w:p>
        </w:tc>
      </w:tr>
      <w:tr w14:paraId="3A42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797" w:type="pct"/>
            <w:vMerge w:val="continue"/>
            <w:vAlign w:val="center"/>
          </w:tcPr>
          <w:p w14:paraId="2611C280">
            <w:pPr>
              <w:spacing w:line="360" w:lineRule="auto"/>
              <w:jc w:val="center"/>
              <w:rPr>
                <w:rFonts w:hint="eastAsia"/>
                <w:bCs/>
                <w:sz w:val="22"/>
                <w:szCs w:val="22"/>
                <w:highlight w:val="none"/>
              </w:rPr>
            </w:pPr>
          </w:p>
        </w:tc>
        <w:tc>
          <w:tcPr>
            <w:tcW w:w="3820" w:type="pct"/>
            <w:vAlign w:val="center"/>
          </w:tcPr>
          <w:p w14:paraId="125F6C8A">
            <w:pPr>
              <w:textAlignment w:val="center"/>
              <w:rPr>
                <w:rFonts w:hint="eastAsia"/>
                <w:sz w:val="22"/>
                <w:szCs w:val="22"/>
                <w:highlight w:val="none"/>
              </w:rPr>
            </w:pPr>
            <w:r>
              <w:rPr>
                <w:rFonts w:hint="eastAsia"/>
                <w:sz w:val="22"/>
                <w:szCs w:val="22"/>
                <w:highlight w:val="none"/>
              </w:rPr>
              <w:t>评委根据投标产品“▲”以外的其他非关键性技术参数与招标文件“规格参数要求”的偏离情况进行打分：</w:t>
            </w:r>
          </w:p>
          <w:p w14:paraId="71D39AE9">
            <w:pPr>
              <w:textAlignment w:val="center"/>
              <w:rPr>
                <w:rFonts w:hint="eastAsia"/>
                <w:sz w:val="22"/>
                <w:szCs w:val="22"/>
                <w:highlight w:val="none"/>
              </w:rPr>
            </w:pPr>
            <w:r>
              <w:rPr>
                <w:rFonts w:hint="eastAsia"/>
                <w:sz w:val="22"/>
                <w:szCs w:val="22"/>
                <w:highlight w:val="none"/>
              </w:rPr>
              <w:t>1.完全满足招标文件“▲”以外的其他非关键性技术参数配置要求的得9分；</w:t>
            </w:r>
          </w:p>
          <w:p w14:paraId="5DEABFFF">
            <w:pPr>
              <w:textAlignment w:val="center"/>
              <w:rPr>
                <w:rFonts w:hint="eastAsia"/>
                <w:sz w:val="22"/>
                <w:szCs w:val="22"/>
                <w:highlight w:val="none"/>
              </w:rPr>
            </w:pPr>
            <w:r>
              <w:rPr>
                <w:rFonts w:hint="eastAsia"/>
                <w:sz w:val="22"/>
                <w:szCs w:val="22"/>
                <w:highlight w:val="none"/>
              </w:rPr>
              <w:t>2.非关键技术参数要求条款响应得分= (供应商满足非关键技术参数要求条款的数量÷非关键技术参数要求条款的总数量) ×9分。(如遇到小数情况，保留两位小数)。</w:t>
            </w:r>
          </w:p>
          <w:p w14:paraId="11D49473">
            <w:pPr>
              <w:textAlignment w:val="center"/>
              <w:rPr>
                <w:rFonts w:hint="eastAsia"/>
                <w:sz w:val="22"/>
                <w:szCs w:val="22"/>
                <w:highlight w:val="none"/>
              </w:rPr>
            </w:pPr>
            <w:r>
              <w:rPr>
                <w:rFonts w:hint="eastAsia"/>
                <w:b/>
                <w:bCs/>
                <w:sz w:val="22"/>
                <w:szCs w:val="22"/>
                <w:highlight w:val="none"/>
              </w:rPr>
              <w:t>证明材料：技术要求及参数在技术偏离表中逐条列出并加盖投标人公章，同时提供</w:t>
            </w:r>
            <w:r>
              <w:rPr>
                <w:rFonts w:hint="eastAsia"/>
                <w:b/>
                <w:bCs/>
                <w:sz w:val="22"/>
                <w:szCs w:val="22"/>
                <w:highlight w:val="none"/>
                <w:lang w:val="en-US" w:eastAsia="zh-CN"/>
              </w:rPr>
              <w:t>采购清单</w:t>
            </w:r>
            <w:r>
              <w:rPr>
                <w:rFonts w:hint="eastAsia"/>
                <w:b/>
                <w:bCs/>
                <w:sz w:val="22"/>
                <w:szCs w:val="22"/>
                <w:highlight w:val="none"/>
              </w:rPr>
              <w:t>内要求提供的（已标黑）相关参数佐证材料的扫描件或复印件并加盖投标人公章，偏离表内响应内容为空头或仅复制响应均不得分。</w:t>
            </w:r>
          </w:p>
        </w:tc>
        <w:tc>
          <w:tcPr>
            <w:tcW w:w="382" w:type="pct"/>
            <w:shd w:val="clear" w:color="auto" w:fill="auto"/>
            <w:vAlign w:val="center"/>
          </w:tcPr>
          <w:p w14:paraId="234FA817">
            <w:pPr>
              <w:spacing w:line="360" w:lineRule="auto"/>
              <w:jc w:val="center"/>
              <w:rPr>
                <w:rFonts w:hint="eastAsia"/>
                <w:sz w:val="22"/>
                <w:szCs w:val="22"/>
                <w:highlight w:val="none"/>
              </w:rPr>
            </w:pPr>
            <w:r>
              <w:rPr>
                <w:rFonts w:hint="eastAsia"/>
                <w:sz w:val="22"/>
                <w:szCs w:val="22"/>
                <w:highlight w:val="none"/>
              </w:rPr>
              <w:t xml:space="preserve"> </w:t>
            </w:r>
          </w:p>
          <w:p w14:paraId="41F0498E">
            <w:pPr>
              <w:spacing w:line="360" w:lineRule="auto"/>
              <w:jc w:val="center"/>
              <w:rPr>
                <w:rFonts w:hint="eastAsia"/>
                <w:sz w:val="22"/>
                <w:szCs w:val="22"/>
                <w:highlight w:val="none"/>
                <w:shd w:val="clear" w:color="auto" w:fill="FFFFFF"/>
              </w:rPr>
            </w:pPr>
            <w:r>
              <w:rPr>
                <w:rFonts w:hint="eastAsia"/>
                <w:sz w:val="22"/>
                <w:szCs w:val="22"/>
                <w:highlight w:val="none"/>
                <w:lang w:val="en-US" w:eastAsia="zh-CN"/>
              </w:rPr>
              <w:t>8</w:t>
            </w:r>
            <w:r>
              <w:rPr>
                <w:rFonts w:hint="eastAsia"/>
                <w:sz w:val="22"/>
                <w:szCs w:val="22"/>
                <w:highlight w:val="none"/>
              </w:rPr>
              <w:t>分</w:t>
            </w:r>
          </w:p>
        </w:tc>
      </w:tr>
      <w:tr w14:paraId="312B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97" w:type="pct"/>
            <w:vAlign w:val="center"/>
          </w:tcPr>
          <w:p w14:paraId="29EED5A9">
            <w:pPr>
              <w:autoSpaceDE w:val="0"/>
              <w:autoSpaceDN w:val="0"/>
              <w:adjustRightInd w:val="0"/>
              <w:jc w:val="center"/>
              <w:rPr>
                <w:rFonts w:hint="eastAsia"/>
                <w:sz w:val="22"/>
                <w:szCs w:val="22"/>
                <w:highlight w:val="none"/>
              </w:rPr>
            </w:pPr>
            <w:r>
              <w:rPr>
                <w:rFonts w:hint="eastAsia"/>
                <w:sz w:val="22"/>
                <w:szCs w:val="22"/>
                <w:highlight w:val="none"/>
              </w:rPr>
              <w:t>光缆链路组织情况</w:t>
            </w:r>
          </w:p>
          <w:p w14:paraId="4A8773C9">
            <w:pPr>
              <w:autoSpaceDE w:val="0"/>
              <w:autoSpaceDN w:val="0"/>
              <w:adjustRightInd w:val="0"/>
              <w:jc w:val="center"/>
              <w:rPr>
                <w:rFonts w:hint="eastAsia"/>
                <w:bCs/>
                <w:sz w:val="22"/>
                <w:szCs w:val="22"/>
                <w:highlight w:val="none"/>
              </w:rPr>
            </w:pPr>
            <w:r>
              <w:rPr>
                <w:rFonts w:hint="eastAsia"/>
                <w:sz w:val="22"/>
                <w:szCs w:val="22"/>
                <w:highlight w:val="none"/>
              </w:rPr>
              <w:t>(1分)</w:t>
            </w:r>
          </w:p>
        </w:tc>
        <w:tc>
          <w:tcPr>
            <w:tcW w:w="3820" w:type="pct"/>
            <w:vAlign w:val="center"/>
          </w:tcPr>
          <w:p w14:paraId="4971B31F">
            <w:pPr>
              <w:rPr>
                <w:rFonts w:hint="eastAsia"/>
                <w:sz w:val="22"/>
                <w:szCs w:val="22"/>
                <w:highlight w:val="none"/>
              </w:rPr>
            </w:pPr>
            <w:r>
              <w:rPr>
                <w:rFonts w:hint="eastAsia"/>
                <w:kern w:val="2"/>
                <w:sz w:val="22"/>
                <w:szCs w:val="22"/>
                <w:highlight w:val="none"/>
              </w:rPr>
              <w:t>明确有线链路（提供自有或者与运营商合作意向书，合作意向书应满足《中华人民共和国电信条例》以及工业和信息化部对运营商基础电信业务经营许可证内基础电信业务经营区域范围要求）得1分。</w:t>
            </w:r>
          </w:p>
        </w:tc>
        <w:tc>
          <w:tcPr>
            <w:tcW w:w="382" w:type="pct"/>
            <w:shd w:val="clear" w:color="auto" w:fill="auto"/>
            <w:vAlign w:val="center"/>
          </w:tcPr>
          <w:p w14:paraId="29F18295">
            <w:pPr>
              <w:jc w:val="center"/>
              <w:rPr>
                <w:rFonts w:hint="eastAsia"/>
                <w:sz w:val="22"/>
                <w:szCs w:val="22"/>
                <w:highlight w:val="none"/>
                <w:shd w:val="clear" w:color="auto" w:fill="FFFFFF"/>
              </w:rPr>
            </w:pPr>
            <w:r>
              <w:rPr>
                <w:rFonts w:hint="eastAsia"/>
                <w:sz w:val="22"/>
                <w:szCs w:val="22"/>
                <w:highlight w:val="none"/>
              </w:rPr>
              <w:t>1分</w:t>
            </w:r>
          </w:p>
        </w:tc>
      </w:tr>
      <w:tr w14:paraId="4241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97" w:type="pct"/>
            <w:vMerge w:val="restart"/>
            <w:vAlign w:val="center"/>
          </w:tcPr>
          <w:p w14:paraId="64F0986D">
            <w:pPr>
              <w:tabs>
                <w:tab w:val="left" w:pos="0"/>
              </w:tabs>
              <w:jc w:val="center"/>
              <w:rPr>
                <w:rFonts w:hint="eastAsia"/>
                <w:sz w:val="22"/>
                <w:szCs w:val="22"/>
                <w:highlight w:val="none"/>
              </w:rPr>
            </w:pPr>
            <w:r>
              <w:rPr>
                <w:sz w:val="22"/>
                <w:szCs w:val="22"/>
                <w:highlight w:val="none"/>
              </w:rPr>
              <w:t>售后服务</w:t>
            </w:r>
            <w:r>
              <w:rPr>
                <w:rFonts w:hint="eastAsia"/>
                <w:sz w:val="22"/>
                <w:szCs w:val="22"/>
                <w:highlight w:val="none"/>
              </w:rPr>
              <w:t>（4.5分）</w:t>
            </w:r>
          </w:p>
        </w:tc>
        <w:tc>
          <w:tcPr>
            <w:tcW w:w="3820" w:type="pct"/>
            <w:vAlign w:val="center"/>
          </w:tcPr>
          <w:p w14:paraId="142FB596">
            <w:pPr>
              <w:rPr>
                <w:rFonts w:hint="eastAsia"/>
                <w:sz w:val="22"/>
                <w:szCs w:val="22"/>
                <w:highlight w:val="none"/>
              </w:rPr>
            </w:pPr>
            <w:r>
              <w:rPr>
                <w:rFonts w:hint="eastAsia"/>
                <w:sz w:val="22"/>
                <w:szCs w:val="22"/>
                <w:highlight w:val="none"/>
              </w:rPr>
              <w:t>售后服务人员中具有特种作业操作证（电工）、网络工程师（高级）、通信高级工程师职称、智能化系统工程师（高级）、消防设施操作员</w:t>
            </w:r>
            <w:r>
              <w:rPr>
                <w:rFonts w:hint="eastAsia"/>
                <w:sz w:val="22"/>
                <w:szCs w:val="22"/>
                <w:highlight w:val="none"/>
                <w:lang w:val="en-US" w:eastAsia="zh-CN"/>
              </w:rPr>
              <w:t>或建构筑物消防员证</w:t>
            </w:r>
            <w:r>
              <w:rPr>
                <w:rFonts w:hint="eastAsia"/>
                <w:sz w:val="22"/>
                <w:szCs w:val="22"/>
                <w:highlight w:val="none"/>
              </w:rPr>
              <w:t>，每具备1个证书的得0.5分，本小项最高得2分。</w:t>
            </w:r>
          </w:p>
          <w:p w14:paraId="0555EA7A">
            <w:pPr>
              <w:rPr>
                <w:rFonts w:hint="eastAsia"/>
                <w:kern w:val="2"/>
                <w:sz w:val="22"/>
                <w:szCs w:val="22"/>
                <w:highlight w:val="none"/>
              </w:rPr>
            </w:pPr>
            <w:r>
              <w:rPr>
                <w:rFonts w:hint="eastAsia"/>
                <w:b/>
                <w:bCs/>
                <w:sz w:val="22"/>
                <w:szCs w:val="22"/>
                <w:highlight w:val="none"/>
              </w:rPr>
              <w:t>注：同一种证书只能得分一次，重复使用无效得分，投标文件中提供证书复印件并加盖投标人公章及该人员近</w:t>
            </w:r>
            <w:r>
              <w:rPr>
                <w:b/>
                <w:bCs/>
                <w:sz w:val="22"/>
                <w:szCs w:val="22"/>
                <w:highlight w:val="none"/>
              </w:rPr>
              <w:t>3</w:t>
            </w:r>
            <w:r>
              <w:rPr>
                <w:rFonts w:hint="eastAsia"/>
                <w:b/>
                <w:bCs/>
                <w:sz w:val="22"/>
                <w:szCs w:val="22"/>
                <w:highlight w:val="none"/>
              </w:rPr>
              <w:t>个月的社保证明复印件</w:t>
            </w:r>
          </w:p>
        </w:tc>
        <w:tc>
          <w:tcPr>
            <w:tcW w:w="382" w:type="pct"/>
            <w:shd w:val="clear" w:color="auto" w:fill="auto"/>
            <w:vAlign w:val="center"/>
          </w:tcPr>
          <w:p w14:paraId="4C10F986">
            <w:pPr>
              <w:jc w:val="center"/>
              <w:rPr>
                <w:rFonts w:hint="eastAsia"/>
                <w:sz w:val="22"/>
                <w:szCs w:val="22"/>
                <w:highlight w:val="none"/>
              </w:rPr>
            </w:pPr>
            <w:r>
              <w:rPr>
                <w:rFonts w:hint="eastAsia"/>
                <w:sz w:val="22"/>
                <w:szCs w:val="22"/>
                <w:highlight w:val="none"/>
              </w:rPr>
              <w:t>2分</w:t>
            </w:r>
          </w:p>
        </w:tc>
      </w:tr>
      <w:tr w14:paraId="715B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97" w:type="pct"/>
            <w:vMerge w:val="continue"/>
            <w:vAlign w:val="center"/>
          </w:tcPr>
          <w:p w14:paraId="6411DA47">
            <w:pPr>
              <w:tabs>
                <w:tab w:val="left" w:pos="0"/>
              </w:tabs>
              <w:jc w:val="center"/>
              <w:rPr>
                <w:rFonts w:hint="eastAsia"/>
                <w:sz w:val="22"/>
                <w:szCs w:val="22"/>
                <w:highlight w:val="none"/>
              </w:rPr>
            </w:pPr>
          </w:p>
        </w:tc>
        <w:tc>
          <w:tcPr>
            <w:tcW w:w="3820" w:type="pct"/>
            <w:vAlign w:val="center"/>
          </w:tcPr>
          <w:p w14:paraId="1BEFB508">
            <w:pPr>
              <w:rPr>
                <w:rFonts w:hint="eastAsia"/>
                <w:sz w:val="22"/>
                <w:szCs w:val="22"/>
                <w:highlight w:val="none"/>
              </w:rPr>
            </w:pPr>
            <w:r>
              <w:rPr>
                <w:rFonts w:hint="eastAsia"/>
                <w:sz w:val="22"/>
                <w:szCs w:val="22"/>
                <w:highlight w:val="none"/>
              </w:rPr>
              <w:t xml:space="preserve">评委根据供应商提供的售后服务方案（包括质保期内的售后服务、对用户故障的响应、处理、定期巡检等情况（0-1分）；质保期满后的售后服务具体方案）（0-1分）；响应时间等情况（0-0.5分）进行打分；未提供相关方案的得0分。   </w:t>
            </w:r>
          </w:p>
        </w:tc>
        <w:tc>
          <w:tcPr>
            <w:tcW w:w="382" w:type="pct"/>
            <w:shd w:val="clear" w:color="auto" w:fill="auto"/>
            <w:vAlign w:val="center"/>
          </w:tcPr>
          <w:p w14:paraId="5600A236">
            <w:pPr>
              <w:jc w:val="center"/>
              <w:rPr>
                <w:rFonts w:hint="eastAsia"/>
                <w:sz w:val="22"/>
                <w:szCs w:val="22"/>
                <w:highlight w:val="none"/>
              </w:rPr>
            </w:pPr>
            <w:r>
              <w:rPr>
                <w:rFonts w:hint="eastAsia"/>
                <w:sz w:val="22"/>
                <w:szCs w:val="22"/>
                <w:highlight w:val="none"/>
              </w:rPr>
              <w:t>2.5分</w:t>
            </w:r>
          </w:p>
        </w:tc>
      </w:tr>
    </w:tbl>
    <w:p w14:paraId="6B0EC85C">
      <w:pPr>
        <w:numPr>
          <w:ilvl w:val="0"/>
          <w:numId w:val="22"/>
        </w:numPr>
        <w:tabs>
          <w:tab w:val="left" w:pos="0"/>
        </w:tabs>
        <w:spacing w:line="360" w:lineRule="auto"/>
        <w:ind w:firstLine="442" w:firstLineChars="200"/>
        <w:rPr>
          <w:rFonts w:hint="eastAsia"/>
          <w:b/>
          <w:sz w:val="22"/>
          <w:szCs w:val="22"/>
          <w:highlight w:val="none"/>
          <w:lang w:val="en-US" w:eastAsia="zh-CN"/>
        </w:rPr>
      </w:pPr>
      <w:r>
        <w:rPr>
          <w:rFonts w:hint="eastAsia"/>
          <w:b/>
          <w:sz w:val="22"/>
          <w:szCs w:val="22"/>
          <w:highlight w:val="none"/>
        </w:rPr>
        <w:t>商务资信部分（10分）</w:t>
      </w:r>
      <w:r>
        <w:rPr>
          <w:rFonts w:hint="eastAsia"/>
          <w:b/>
          <w:sz w:val="22"/>
          <w:szCs w:val="22"/>
          <w:highlight w:val="none"/>
          <w:lang w:val="en-US" w:eastAsia="zh-CN"/>
        </w:rPr>
        <w:t xml:space="preserve">     </w:t>
      </w:r>
    </w:p>
    <w:p w14:paraId="2D0DF16F">
      <w:pPr>
        <w:numPr>
          <w:ilvl w:val="0"/>
          <w:numId w:val="0"/>
        </w:numPr>
        <w:tabs>
          <w:tab w:val="left" w:pos="0"/>
        </w:tabs>
        <w:spacing w:line="360" w:lineRule="auto"/>
        <w:rPr>
          <w:rFonts w:hint="default"/>
          <w:b/>
          <w:sz w:val="22"/>
          <w:szCs w:val="22"/>
          <w:highlight w:val="none"/>
          <w:lang w:val="en-US" w:eastAsia="zh-CN"/>
        </w:rPr>
      </w:pPr>
    </w:p>
    <w:p w14:paraId="6D3ECD66">
      <w:pPr>
        <w:numPr>
          <w:ilvl w:val="0"/>
          <w:numId w:val="0"/>
        </w:numPr>
        <w:tabs>
          <w:tab w:val="left" w:pos="0"/>
        </w:tabs>
        <w:spacing w:line="360" w:lineRule="auto"/>
        <w:rPr>
          <w:rFonts w:hint="default"/>
          <w:b/>
          <w:sz w:val="22"/>
          <w:szCs w:val="22"/>
          <w:highlight w:val="none"/>
          <w:lang w:val="en-US" w:eastAsia="zh-CN"/>
        </w:rPr>
      </w:pPr>
    </w:p>
    <w:p w14:paraId="00075D6D">
      <w:pPr>
        <w:numPr>
          <w:ilvl w:val="0"/>
          <w:numId w:val="0"/>
        </w:numPr>
        <w:tabs>
          <w:tab w:val="left" w:pos="0"/>
        </w:tabs>
        <w:spacing w:line="360" w:lineRule="auto"/>
        <w:rPr>
          <w:rFonts w:hint="default"/>
          <w:b/>
          <w:sz w:val="22"/>
          <w:szCs w:val="22"/>
          <w:highlight w:val="none"/>
          <w:lang w:val="en-US" w:eastAsia="zh-CN"/>
        </w:rPr>
      </w:pPr>
    </w:p>
    <w:tbl>
      <w:tblPr>
        <w:tblStyle w:val="35"/>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300"/>
        <w:gridCol w:w="689"/>
      </w:tblGrid>
      <w:tr w14:paraId="697B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1" w:type="pct"/>
            <w:vAlign w:val="center"/>
          </w:tcPr>
          <w:p w14:paraId="31297286">
            <w:pPr>
              <w:spacing w:line="360" w:lineRule="auto"/>
              <w:jc w:val="center"/>
              <w:rPr>
                <w:rFonts w:hint="eastAsia"/>
                <w:b/>
                <w:bCs/>
                <w:sz w:val="22"/>
                <w:szCs w:val="22"/>
                <w:highlight w:val="none"/>
              </w:rPr>
            </w:pPr>
            <w:r>
              <w:rPr>
                <w:rFonts w:hint="eastAsia"/>
                <w:b/>
                <w:bCs/>
                <w:sz w:val="22"/>
                <w:szCs w:val="22"/>
                <w:highlight w:val="none"/>
              </w:rPr>
              <w:t>项目</w:t>
            </w:r>
          </w:p>
        </w:tc>
        <w:tc>
          <w:tcPr>
            <w:tcW w:w="3836" w:type="pct"/>
            <w:vAlign w:val="center"/>
          </w:tcPr>
          <w:p w14:paraId="1E1B5752">
            <w:pPr>
              <w:spacing w:line="360" w:lineRule="auto"/>
              <w:jc w:val="center"/>
              <w:rPr>
                <w:rFonts w:hint="eastAsia"/>
                <w:b/>
                <w:bCs/>
                <w:sz w:val="22"/>
                <w:szCs w:val="22"/>
                <w:highlight w:val="none"/>
              </w:rPr>
            </w:pPr>
            <w:r>
              <w:rPr>
                <w:rFonts w:hint="eastAsia"/>
                <w:b/>
                <w:bCs/>
                <w:sz w:val="22"/>
                <w:szCs w:val="22"/>
                <w:highlight w:val="none"/>
              </w:rPr>
              <w:t>评审标准</w:t>
            </w:r>
          </w:p>
        </w:tc>
        <w:tc>
          <w:tcPr>
            <w:tcW w:w="362" w:type="pct"/>
            <w:vAlign w:val="center"/>
          </w:tcPr>
          <w:p w14:paraId="19F1BA0F">
            <w:pPr>
              <w:spacing w:line="360" w:lineRule="auto"/>
              <w:jc w:val="center"/>
              <w:rPr>
                <w:rFonts w:hint="eastAsia"/>
                <w:b/>
                <w:bCs/>
                <w:sz w:val="22"/>
                <w:szCs w:val="22"/>
                <w:highlight w:val="none"/>
              </w:rPr>
            </w:pPr>
            <w:r>
              <w:rPr>
                <w:rFonts w:hint="eastAsia"/>
                <w:b/>
                <w:bCs/>
                <w:sz w:val="22"/>
                <w:szCs w:val="22"/>
                <w:highlight w:val="none"/>
              </w:rPr>
              <w:t>分值</w:t>
            </w:r>
          </w:p>
        </w:tc>
      </w:tr>
      <w:tr w14:paraId="4B5C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1" w:type="pct"/>
            <w:vMerge w:val="restart"/>
            <w:vAlign w:val="center"/>
          </w:tcPr>
          <w:p w14:paraId="46B7DAF4">
            <w:pPr>
              <w:spacing w:line="360" w:lineRule="auto"/>
              <w:jc w:val="center"/>
              <w:rPr>
                <w:rFonts w:hint="eastAsia"/>
                <w:sz w:val="22"/>
                <w:szCs w:val="22"/>
                <w:highlight w:val="none"/>
              </w:rPr>
            </w:pPr>
            <w:r>
              <w:rPr>
                <w:rFonts w:hint="eastAsia"/>
                <w:sz w:val="22"/>
                <w:szCs w:val="22"/>
                <w:highlight w:val="none"/>
              </w:rPr>
              <w:t>投标人实力</w:t>
            </w:r>
          </w:p>
          <w:p w14:paraId="1657A061">
            <w:pPr>
              <w:spacing w:line="360" w:lineRule="auto"/>
              <w:jc w:val="center"/>
              <w:rPr>
                <w:rFonts w:hint="eastAsia"/>
                <w:sz w:val="22"/>
                <w:szCs w:val="22"/>
                <w:highlight w:val="none"/>
              </w:rPr>
            </w:pPr>
            <w:r>
              <w:rPr>
                <w:rFonts w:hint="eastAsia"/>
                <w:sz w:val="22"/>
                <w:szCs w:val="22"/>
                <w:highlight w:val="none"/>
              </w:rPr>
              <w:t>（</w:t>
            </w:r>
            <w:r>
              <w:rPr>
                <w:rFonts w:hint="eastAsia"/>
                <w:sz w:val="22"/>
                <w:szCs w:val="22"/>
                <w:highlight w:val="none"/>
                <w:lang w:val="en-US" w:eastAsia="zh-CN"/>
              </w:rPr>
              <w:t>5</w:t>
            </w:r>
            <w:r>
              <w:rPr>
                <w:rFonts w:hint="eastAsia"/>
                <w:sz w:val="22"/>
                <w:szCs w:val="22"/>
                <w:highlight w:val="none"/>
              </w:rPr>
              <w:t>分）</w:t>
            </w:r>
          </w:p>
        </w:tc>
        <w:tc>
          <w:tcPr>
            <w:tcW w:w="3836" w:type="pct"/>
            <w:vAlign w:val="center"/>
          </w:tcPr>
          <w:p w14:paraId="3AB065A2">
            <w:pPr>
              <w:spacing w:line="360" w:lineRule="auto"/>
              <w:rPr>
                <w:rFonts w:hint="eastAsia"/>
                <w:color w:val="000000"/>
                <w:sz w:val="22"/>
                <w:szCs w:val="22"/>
                <w:highlight w:val="none"/>
                <w:shd w:val="clear" w:color="auto" w:fill="FFFFFF"/>
              </w:rPr>
            </w:pPr>
            <w:r>
              <w:rPr>
                <w:rFonts w:hint="eastAsia"/>
                <w:color w:val="000000"/>
                <w:sz w:val="22"/>
                <w:szCs w:val="22"/>
                <w:highlight w:val="none"/>
                <w:shd w:val="clear" w:color="auto" w:fill="FFFFFF"/>
              </w:rPr>
              <w:t>投标人须具备建设行政主管部门核发的</w:t>
            </w:r>
            <w:r>
              <w:rPr>
                <w:color w:val="000000"/>
                <w:sz w:val="22"/>
                <w:szCs w:val="22"/>
                <w:highlight w:val="none"/>
                <w:shd w:val="clear" w:color="auto" w:fill="FFFFFF"/>
              </w:rPr>
              <w:t>机电工程施工总承包贰级</w:t>
            </w:r>
            <w:r>
              <w:rPr>
                <w:rFonts w:hint="eastAsia"/>
                <w:color w:val="000000"/>
                <w:sz w:val="22"/>
                <w:szCs w:val="22"/>
                <w:highlight w:val="none"/>
                <w:shd w:val="clear" w:color="auto" w:fill="FFFFFF"/>
              </w:rPr>
              <w:t>以上资质的，得1分，未提供不得分。</w:t>
            </w:r>
          </w:p>
          <w:p w14:paraId="1C37BAC4">
            <w:pPr>
              <w:spacing w:line="360" w:lineRule="auto"/>
              <w:rPr>
                <w:rFonts w:hint="eastAsia"/>
                <w:sz w:val="22"/>
                <w:szCs w:val="22"/>
                <w:highlight w:val="none"/>
              </w:rPr>
            </w:pPr>
            <w:r>
              <w:rPr>
                <w:rFonts w:hint="eastAsia"/>
                <w:b/>
                <w:bCs/>
                <w:sz w:val="22"/>
                <w:szCs w:val="22"/>
                <w:highlight w:val="none"/>
              </w:rPr>
              <w:t>证明材料：投标人须提供相应资质证书扫描件或复印件并加盖投标人公章。</w:t>
            </w:r>
          </w:p>
        </w:tc>
        <w:tc>
          <w:tcPr>
            <w:tcW w:w="362" w:type="pct"/>
            <w:vAlign w:val="center"/>
          </w:tcPr>
          <w:p w14:paraId="2104AC8C">
            <w:pPr>
              <w:spacing w:line="360" w:lineRule="auto"/>
              <w:jc w:val="center"/>
              <w:rPr>
                <w:rFonts w:hint="eastAsia"/>
                <w:sz w:val="22"/>
                <w:szCs w:val="22"/>
                <w:highlight w:val="none"/>
              </w:rPr>
            </w:pPr>
            <w:r>
              <w:rPr>
                <w:rFonts w:hint="eastAsia"/>
                <w:sz w:val="22"/>
                <w:szCs w:val="22"/>
                <w:highlight w:val="none"/>
              </w:rPr>
              <w:t>1分</w:t>
            </w:r>
          </w:p>
        </w:tc>
      </w:tr>
      <w:tr w14:paraId="5CFD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1" w:type="pct"/>
            <w:vMerge w:val="continue"/>
            <w:vAlign w:val="center"/>
          </w:tcPr>
          <w:p w14:paraId="2EC1BE03">
            <w:pPr>
              <w:spacing w:line="360" w:lineRule="auto"/>
              <w:jc w:val="center"/>
              <w:rPr>
                <w:rFonts w:hint="eastAsia"/>
                <w:sz w:val="22"/>
                <w:szCs w:val="22"/>
                <w:highlight w:val="none"/>
              </w:rPr>
            </w:pPr>
          </w:p>
        </w:tc>
        <w:tc>
          <w:tcPr>
            <w:tcW w:w="3836" w:type="pct"/>
            <w:vAlign w:val="center"/>
          </w:tcPr>
          <w:p w14:paraId="59A3484A">
            <w:pPr>
              <w:spacing w:line="360" w:lineRule="auto"/>
              <w:rPr>
                <w:rFonts w:hint="eastAsia"/>
                <w:sz w:val="22"/>
                <w:szCs w:val="22"/>
                <w:highlight w:val="none"/>
                <w:shd w:val="clear" w:color="auto" w:fill="FFFFFF"/>
              </w:rPr>
            </w:pPr>
            <w:r>
              <w:rPr>
                <w:rFonts w:hint="eastAsia"/>
                <w:sz w:val="22"/>
                <w:szCs w:val="22"/>
                <w:highlight w:val="none"/>
                <w:shd w:val="clear" w:color="auto" w:fill="FFFFFF"/>
              </w:rPr>
              <w:t>投标人所投软件产品具有智慧园区管控平台相关软著、智慧展厅运营平台相关软著、智慧运维平台相关软著、智慧园区治理平台相关软著、数字孪生应用平台相关软著的，每个得</w:t>
            </w:r>
            <w:r>
              <w:rPr>
                <w:sz w:val="22"/>
                <w:szCs w:val="22"/>
                <w:highlight w:val="none"/>
                <w:shd w:val="clear" w:color="auto" w:fill="FFFFFF"/>
              </w:rPr>
              <w:t>1</w:t>
            </w:r>
            <w:r>
              <w:rPr>
                <w:rFonts w:hint="eastAsia"/>
                <w:sz w:val="22"/>
                <w:szCs w:val="22"/>
                <w:highlight w:val="none"/>
                <w:shd w:val="clear" w:color="auto" w:fill="FFFFFF"/>
              </w:rPr>
              <w:t>分，最高</w:t>
            </w:r>
            <w:r>
              <w:rPr>
                <w:sz w:val="22"/>
                <w:szCs w:val="22"/>
                <w:highlight w:val="none"/>
                <w:shd w:val="clear" w:color="auto" w:fill="FFFFFF"/>
              </w:rPr>
              <w:t>2</w:t>
            </w:r>
            <w:r>
              <w:rPr>
                <w:rFonts w:hint="eastAsia"/>
                <w:sz w:val="22"/>
                <w:szCs w:val="22"/>
                <w:highlight w:val="none"/>
                <w:shd w:val="clear" w:color="auto" w:fill="FFFFFF"/>
              </w:rPr>
              <w:t>分。</w:t>
            </w:r>
          </w:p>
          <w:p w14:paraId="6819187F">
            <w:pPr>
              <w:spacing w:line="360" w:lineRule="auto"/>
              <w:rPr>
                <w:rFonts w:hint="eastAsia"/>
                <w:b/>
                <w:bCs/>
                <w:sz w:val="22"/>
                <w:szCs w:val="22"/>
                <w:highlight w:val="none"/>
              </w:rPr>
            </w:pPr>
            <w:r>
              <w:rPr>
                <w:rFonts w:hint="eastAsia"/>
                <w:b/>
                <w:bCs/>
                <w:sz w:val="22"/>
                <w:szCs w:val="22"/>
                <w:highlight w:val="none"/>
              </w:rPr>
              <w:t>证明材料：投标人须提供相应资质证书扫描件或复印件并加盖投标人公章。</w:t>
            </w:r>
          </w:p>
        </w:tc>
        <w:tc>
          <w:tcPr>
            <w:tcW w:w="362" w:type="pct"/>
            <w:vAlign w:val="center"/>
          </w:tcPr>
          <w:p w14:paraId="25CDA345">
            <w:pPr>
              <w:spacing w:line="360" w:lineRule="auto"/>
              <w:jc w:val="center"/>
              <w:rPr>
                <w:rFonts w:hint="eastAsia"/>
                <w:sz w:val="22"/>
                <w:szCs w:val="22"/>
                <w:highlight w:val="none"/>
              </w:rPr>
            </w:pPr>
            <w:r>
              <w:rPr>
                <w:rFonts w:hint="eastAsia"/>
                <w:sz w:val="22"/>
                <w:szCs w:val="22"/>
                <w:highlight w:val="none"/>
              </w:rPr>
              <w:t>2分</w:t>
            </w:r>
          </w:p>
        </w:tc>
      </w:tr>
      <w:tr w14:paraId="3EF4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1" w:type="pct"/>
            <w:vMerge w:val="continue"/>
            <w:vAlign w:val="center"/>
          </w:tcPr>
          <w:p w14:paraId="7C914E9A">
            <w:pPr>
              <w:spacing w:line="360" w:lineRule="auto"/>
              <w:jc w:val="center"/>
              <w:rPr>
                <w:rFonts w:hint="eastAsia"/>
                <w:sz w:val="22"/>
                <w:szCs w:val="22"/>
                <w:highlight w:val="none"/>
              </w:rPr>
            </w:pPr>
          </w:p>
        </w:tc>
        <w:tc>
          <w:tcPr>
            <w:tcW w:w="3836" w:type="pct"/>
            <w:vAlign w:val="center"/>
          </w:tcPr>
          <w:p w14:paraId="6D8166A0">
            <w:pPr>
              <w:spacing w:line="360" w:lineRule="auto"/>
              <w:rPr>
                <w:rFonts w:hint="eastAsia"/>
                <w:sz w:val="22"/>
                <w:szCs w:val="22"/>
                <w:highlight w:val="none"/>
                <w:shd w:val="clear" w:color="auto" w:fill="FFFFFF"/>
              </w:rPr>
            </w:pPr>
            <w:r>
              <w:rPr>
                <w:rFonts w:hint="eastAsia"/>
                <w:sz w:val="22"/>
                <w:szCs w:val="22"/>
                <w:highlight w:val="none"/>
                <w:shd w:val="clear" w:color="auto" w:fill="FFFFFF"/>
              </w:rPr>
              <w:t>投标人具有信息系统建设和服务能力等级证书或信息安全服务资质认证证书得1分。</w:t>
            </w:r>
          </w:p>
          <w:p w14:paraId="184AEB8F">
            <w:pPr>
              <w:spacing w:line="360" w:lineRule="auto"/>
              <w:rPr>
                <w:rFonts w:hint="eastAsia"/>
                <w:b/>
                <w:bCs/>
                <w:sz w:val="22"/>
                <w:szCs w:val="22"/>
                <w:highlight w:val="none"/>
              </w:rPr>
            </w:pPr>
            <w:r>
              <w:rPr>
                <w:rFonts w:hint="eastAsia"/>
                <w:b/>
                <w:bCs/>
                <w:sz w:val="22"/>
                <w:szCs w:val="22"/>
                <w:highlight w:val="none"/>
              </w:rPr>
              <w:t>证明材料：投标人须提供相应资质证书扫描件或复印件并加盖投标人公章。</w:t>
            </w:r>
          </w:p>
        </w:tc>
        <w:tc>
          <w:tcPr>
            <w:tcW w:w="362" w:type="pct"/>
            <w:vAlign w:val="center"/>
          </w:tcPr>
          <w:p w14:paraId="0D3B81ED">
            <w:pPr>
              <w:spacing w:line="360" w:lineRule="auto"/>
              <w:jc w:val="center"/>
              <w:rPr>
                <w:rFonts w:hint="eastAsia"/>
                <w:sz w:val="22"/>
                <w:szCs w:val="22"/>
                <w:highlight w:val="none"/>
              </w:rPr>
            </w:pPr>
            <w:r>
              <w:rPr>
                <w:rFonts w:hint="eastAsia"/>
                <w:sz w:val="22"/>
                <w:szCs w:val="22"/>
                <w:highlight w:val="none"/>
              </w:rPr>
              <w:t>1分</w:t>
            </w:r>
          </w:p>
        </w:tc>
      </w:tr>
      <w:tr w14:paraId="552C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1" w:type="pct"/>
            <w:vMerge w:val="continue"/>
            <w:vAlign w:val="center"/>
          </w:tcPr>
          <w:p w14:paraId="37302145">
            <w:pPr>
              <w:spacing w:line="360" w:lineRule="auto"/>
              <w:jc w:val="center"/>
              <w:rPr>
                <w:rFonts w:hint="eastAsia"/>
                <w:sz w:val="22"/>
                <w:szCs w:val="22"/>
                <w:highlight w:val="none"/>
              </w:rPr>
            </w:pPr>
          </w:p>
        </w:tc>
        <w:tc>
          <w:tcPr>
            <w:tcW w:w="3836" w:type="pct"/>
            <w:vAlign w:val="center"/>
          </w:tcPr>
          <w:p w14:paraId="4C7929C9">
            <w:pPr>
              <w:spacing w:line="360" w:lineRule="auto"/>
              <w:rPr>
                <w:rFonts w:hint="eastAsia"/>
                <w:sz w:val="22"/>
                <w:szCs w:val="22"/>
                <w:highlight w:val="none"/>
              </w:rPr>
            </w:pPr>
            <w:r>
              <w:rPr>
                <w:rFonts w:hint="eastAsia"/>
                <w:sz w:val="22"/>
                <w:szCs w:val="22"/>
                <w:highlight w:val="none"/>
              </w:rPr>
              <w:t>投标人具有CCID信息系统服务交付能力等级证书一级（五星）得1分。</w:t>
            </w:r>
          </w:p>
          <w:p w14:paraId="5F44D610">
            <w:pPr>
              <w:spacing w:line="360" w:lineRule="auto"/>
              <w:rPr>
                <w:rFonts w:hint="eastAsia"/>
                <w:sz w:val="22"/>
                <w:szCs w:val="22"/>
                <w:highlight w:val="none"/>
              </w:rPr>
            </w:pPr>
            <w:r>
              <w:rPr>
                <w:rFonts w:hint="eastAsia"/>
                <w:b/>
                <w:bCs/>
                <w:sz w:val="22"/>
                <w:szCs w:val="22"/>
                <w:highlight w:val="none"/>
              </w:rPr>
              <w:t>证明材料：投标人须提供相应资质证书扫描件或复印件并加盖投标人公章。</w:t>
            </w:r>
          </w:p>
        </w:tc>
        <w:tc>
          <w:tcPr>
            <w:tcW w:w="362" w:type="pct"/>
            <w:vAlign w:val="center"/>
          </w:tcPr>
          <w:p w14:paraId="6ED5200B">
            <w:pPr>
              <w:spacing w:line="360" w:lineRule="auto"/>
              <w:jc w:val="center"/>
              <w:rPr>
                <w:rFonts w:hint="eastAsia"/>
                <w:sz w:val="22"/>
                <w:szCs w:val="22"/>
                <w:highlight w:val="none"/>
              </w:rPr>
            </w:pPr>
            <w:r>
              <w:rPr>
                <w:rFonts w:hint="eastAsia"/>
                <w:sz w:val="22"/>
                <w:szCs w:val="22"/>
                <w:highlight w:val="none"/>
              </w:rPr>
              <w:t xml:space="preserve">1分 </w:t>
            </w:r>
          </w:p>
          <w:p w14:paraId="013B25FC">
            <w:pPr>
              <w:spacing w:line="360" w:lineRule="auto"/>
              <w:jc w:val="center"/>
              <w:rPr>
                <w:rFonts w:hint="eastAsia"/>
                <w:sz w:val="22"/>
                <w:szCs w:val="22"/>
                <w:highlight w:val="none"/>
              </w:rPr>
            </w:pPr>
            <w:r>
              <w:rPr>
                <w:rFonts w:hint="eastAsia"/>
                <w:sz w:val="22"/>
                <w:szCs w:val="22"/>
                <w:highlight w:val="none"/>
              </w:rPr>
              <w:t xml:space="preserve"> </w:t>
            </w:r>
          </w:p>
        </w:tc>
      </w:tr>
      <w:tr w14:paraId="706B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1" w:type="pct"/>
            <w:vAlign w:val="center"/>
          </w:tcPr>
          <w:p w14:paraId="34FC54CE">
            <w:pPr>
              <w:spacing w:line="360" w:lineRule="auto"/>
              <w:jc w:val="center"/>
              <w:rPr>
                <w:rFonts w:hint="eastAsia"/>
                <w:sz w:val="22"/>
                <w:szCs w:val="22"/>
                <w:highlight w:val="none"/>
              </w:rPr>
            </w:pPr>
            <w:r>
              <w:rPr>
                <w:rFonts w:hint="eastAsia"/>
                <w:sz w:val="22"/>
                <w:szCs w:val="22"/>
                <w:highlight w:val="none"/>
              </w:rPr>
              <w:t>企业业绩</w:t>
            </w:r>
          </w:p>
          <w:p w14:paraId="4F4E30C3">
            <w:pPr>
              <w:spacing w:line="360" w:lineRule="auto"/>
              <w:jc w:val="center"/>
              <w:rPr>
                <w:rFonts w:hint="eastAsia"/>
                <w:sz w:val="22"/>
                <w:szCs w:val="22"/>
                <w:highlight w:val="none"/>
              </w:rPr>
            </w:pPr>
            <w:r>
              <w:rPr>
                <w:rFonts w:hint="eastAsia"/>
                <w:sz w:val="22"/>
                <w:szCs w:val="22"/>
                <w:highlight w:val="none"/>
              </w:rPr>
              <w:t>（1分）</w:t>
            </w:r>
          </w:p>
        </w:tc>
        <w:tc>
          <w:tcPr>
            <w:tcW w:w="3836" w:type="pct"/>
            <w:vAlign w:val="center"/>
          </w:tcPr>
          <w:p w14:paraId="05B17F16">
            <w:pPr>
              <w:spacing w:before="1" w:line="353" w:lineRule="auto"/>
              <w:ind w:left="15" w:right="154" w:firstLine="498"/>
              <w:jc w:val="both"/>
              <w:rPr>
                <w:rFonts w:hint="eastAsia"/>
                <w:b/>
                <w:bCs/>
                <w:sz w:val="22"/>
                <w:szCs w:val="22"/>
                <w:highlight w:val="none"/>
                <w:shd w:val="clear" w:color="auto" w:fill="FFFFFF"/>
              </w:rPr>
            </w:pPr>
            <w:bookmarkStart w:id="430" w:name="_Hlk171977554"/>
            <w:r>
              <w:rPr>
                <w:rFonts w:hint="eastAsia"/>
                <w:b/>
                <w:bCs/>
                <w:sz w:val="22"/>
                <w:szCs w:val="22"/>
                <w:highlight w:val="none"/>
                <w:shd w:val="clear" w:color="auto" w:fill="FFFFFF"/>
              </w:rPr>
              <w:t>投标人须具备类似项目业绩:投标人自2019年7月1日以来完成过合同金额在2500万元及以上的公共建筑智能化项目或信息化建设项目。每个得1分，最高1分。</w:t>
            </w:r>
          </w:p>
          <w:p w14:paraId="05652518">
            <w:pPr>
              <w:spacing w:before="1" w:line="353" w:lineRule="auto"/>
              <w:ind w:left="15" w:right="154" w:firstLine="498"/>
              <w:jc w:val="both"/>
              <w:rPr>
                <w:rFonts w:hint="eastAsia"/>
                <w:sz w:val="22"/>
                <w:szCs w:val="22"/>
                <w:highlight w:val="none"/>
              </w:rPr>
            </w:pPr>
            <w:r>
              <w:rPr>
                <w:rFonts w:hint="eastAsia"/>
                <w:b/>
                <w:bCs/>
                <w:sz w:val="22"/>
                <w:szCs w:val="22"/>
                <w:highlight w:val="none"/>
                <w:shd w:val="clear" w:color="auto" w:fill="FFFFFF"/>
              </w:rPr>
              <w:t>类似项目业绩证明材料指</w:t>
            </w:r>
            <w:r>
              <w:rPr>
                <w:b/>
                <w:bCs/>
                <w:sz w:val="22"/>
                <w:szCs w:val="22"/>
                <w:highlight w:val="none"/>
                <w:shd w:val="clear" w:color="auto" w:fill="FFFFFF"/>
              </w:rPr>
              <w:t>①</w:t>
            </w:r>
            <w:r>
              <w:rPr>
                <w:rFonts w:hint="eastAsia"/>
                <w:b/>
                <w:bCs/>
                <w:sz w:val="22"/>
                <w:szCs w:val="22"/>
                <w:highlight w:val="none"/>
                <w:shd w:val="clear" w:color="auto" w:fill="FFFFFF"/>
              </w:rPr>
              <w:t>合同、竣工验收报告（竣工验收报告包括建设单位、施工单位、监理单位签字盖章）；上述材料须能够体现项目规模、项目特征等内容，且材料中的施工单位名称须与本次投标的投标人名称一致；若不能体现项目规模、项目特征等内容，需提供业主证明材料并加盖业主单位公章。时间以竣工验收报告为准，业绩金额以合同金额为准。</w:t>
            </w:r>
            <w:r>
              <w:rPr>
                <w:rFonts w:hint="eastAsia"/>
                <w:b/>
                <w:bCs/>
                <w:sz w:val="22"/>
                <w:szCs w:val="22"/>
                <w:highlight w:val="none"/>
              </w:rPr>
              <w:t xml:space="preserve"> 投标人的有效计分业绩不超过1个，投标人提供多个业绩的，按合同金额最高的业绩计分，不提供的不得分。</w:t>
            </w:r>
          </w:p>
          <w:p w14:paraId="144CC2BE">
            <w:pPr>
              <w:spacing w:before="1" w:line="324" w:lineRule="auto"/>
              <w:ind w:left="4" w:firstLine="509"/>
              <w:jc w:val="both"/>
              <w:rPr>
                <w:rFonts w:hint="eastAsia"/>
                <w:b/>
                <w:bCs/>
                <w:sz w:val="22"/>
                <w:szCs w:val="22"/>
                <w:highlight w:val="none"/>
              </w:rPr>
            </w:pPr>
            <w:r>
              <w:rPr>
                <w:rFonts w:hint="eastAsia"/>
                <w:sz w:val="22"/>
                <w:szCs w:val="22"/>
                <w:highlight w:val="none"/>
              </w:rPr>
              <w:t>公共建筑定义：公共建筑包含办公建筑（包括写字楼、政府部门办公室等），商业建筑（如商场、金融建筑等），旅游建筑（如酒店、娱乐场所等），科教文卫建筑（包括文化、教育、科研、医疗、卫生、体育建筑等），通信建筑（如邮电、通讯、广播用房）以及交通运输类建筑（如机场、高铁站、火车站、汽车站等），但不包括商住楼、厂房、仓储物流。</w:t>
            </w:r>
            <w:bookmarkEnd w:id="430"/>
          </w:p>
        </w:tc>
        <w:tc>
          <w:tcPr>
            <w:tcW w:w="362" w:type="pct"/>
            <w:vAlign w:val="center"/>
          </w:tcPr>
          <w:p w14:paraId="5FD7AF44">
            <w:pPr>
              <w:spacing w:line="360" w:lineRule="auto"/>
              <w:jc w:val="center"/>
              <w:rPr>
                <w:rFonts w:hint="eastAsia"/>
                <w:sz w:val="22"/>
                <w:szCs w:val="22"/>
                <w:highlight w:val="none"/>
              </w:rPr>
            </w:pPr>
            <w:r>
              <w:rPr>
                <w:rFonts w:hint="eastAsia"/>
                <w:sz w:val="22"/>
                <w:szCs w:val="22"/>
                <w:highlight w:val="none"/>
              </w:rPr>
              <w:t>1分</w:t>
            </w:r>
          </w:p>
        </w:tc>
      </w:tr>
      <w:tr w14:paraId="5000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801" w:type="pct"/>
            <w:vAlign w:val="center"/>
          </w:tcPr>
          <w:p w14:paraId="6BC12C94">
            <w:pPr>
              <w:spacing w:line="360" w:lineRule="auto"/>
              <w:jc w:val="center"/>
              <w:rPr>
                <w:rFonts w:hint="eastAsia"/>
                <w:sz w:val="22"/>
                <w:szCs w:val="22"/>
                <w:highlight w:val="none"/>
              </w:rPr>
            </w:pPr>
            <w:r>
              <w:rPr>
                <w:rFonts w:hint="eastAsia"/>
                <w:sz w:val="22"/>
                <w:szCs w:val="22"/>
                <w:highlight w:val="none"/>
              </w:rPr>
              <w:t>管理体系</w:t>
            </w:r>
          </w:p>
          <w:p w14:paraId="6CD823F9">
            <w:pPr>
              <w:spacing w:line="360" w:lineRule="auto"/>
              <w:jc w:val="center"/>
              <w:rPr>
                <w:rFonts w:hint="eastAsia"/>
                <w:sz w:val="22"/>
                <w:szCs w:val="22"/>
                <w:highlight w:val="none"/>
              </w:rPr>
            </w:pPr>
            <w:r>
              <w:rPr>
                <w:rFonts w:hint="eastAsia"/>
                <w:sz w:val="22"/>
                <w:szCs w:val="22"/>
                <w:highlight w:val="none"/>
              </w:rPr>
              <w:t>（1分）</w:t>
            </w:r>
          </w:p>
        </w:tc>
        <w:tc>
          <w:tcPr>
            <w:tcW w:w="3836" w:type="pct"/>
            <w:vAlign w:val="center"/>
          </w:tcPr>
          <w:p w14:paraId="3AE8EB30">
            <w:pPr>
              <w:spacing w:line="360" w:lineRule="auto"/>
              <w:rPr>
                <w:rFonts w:hint="eastAsia"/>
                <w:sz w:val="22"/>
                <w:szCs w:val="22"/>
                <w:highlight w:val="none"/>
              </w:rPr>
            </w:pPr>
            <w:r>
              <w:rPr>
                <w:rFonts w:hint="eastAsia"/>
                <w:sz w:val="22"/>
                <w:szCs w:val="22"/>
                <w:highlight w:val="none"/>
                <w:shd w:val="clear" w:color="auto" w:fill="FFFFFF" w:themeFill="background1"/>
              </w:rPr>
              <w:t>1.投标人具有ISO9001质量体系认证、ISO20000信息技术服务管理体系认证、ISO14001环境管理体系认证</w:t>
            </w:r>
            <w:r>
              <w:rPr>
                <w:rFonts w:hint="eastAsia"/>
                <w:sz w:val="22"/>
                <w:szCs w:val="22"/>
                <w:highlight w:val="none"/>
                <w:shd w:val="clear" w:color="auto" w:fill="FFFFFF"/>
              </w:rPr>
              <w:t>、IS027701隐私信息管理体系认证</w:t>
            </w:r>
            <w:r>
              <w:rPr>
                <w:rFonts w:hint="eastAsia"/>
                <w:sz w:val="22"/>
                <w:szCs w:val="22"/>
                <w:highlight w:val="none"/>
              </w:rPr>
              <w:t>且认证范围含系统集成或电子与智能化工程专业承包或建筑机电安装工程专业承包的，</w:t>
            </w:r>
            <w:r>
              <w:rPr>
                <w:rFonts w:hint="eastAsia"/>
                <w:sz w:val="22"/>
                <w:szCs w:val="22"/>
                <w:highlight w:val="none"/>
                <w:shd w:val="clear" w:color="auto" w:fill="FFFFFF" w:themeFill="background1"/>
              </w:rPr>
              <w:t>全部具备得1分；其他不得分。</w:t>
            </w:r>
          </w:p>
          <w:p w14:paraId="1493614A">
            <w:pPr>
              <w:spacing w:line="360" w:lineRule="auto"/>
              <w:rPr>
                <w:rFonts w:hint="eastAsia"/>
                <w:sz w:val="22"/>
                <w:szCs w:val="22"/>
                <w:highlight w:val="none"/>
              </w:rPr>
            </w:pPr>
            <w:r>
              <w:rPr>
                <w:rFonts w:hint="eastAsia"/>
                <w:b/>
                <w:bCs/>
                <w:sz w:val="22"/>
                <w:szCs w:val="22"/>
                <w:highlight w:val="none"/>
              </w:rPr>
              <w:t>证明材料：投标人需提供有效期内相关证书扫描件并加盖投标人公章，否则不得分。</w:t>
            </w:r>
          </w:p>
        </w:tc>
        <w:tc>
          <w:tcPr>
            <w:tcW w:w="362" w:type="pct"/>
            <w:vAlign w:val="center"/>
          </w:tcPr>
          <w:p w14:paraId="750806FB">
            <w:pPr>
              <w:spacing w:line="360" w:lineRule="auto"/>
              <w:jc w:val="center"/>
              <w:rPr>
                <w:rFonts w:hint="eastAsia"/>
                <w:sz w:val="22"/>
                <w:szCs w:val="22"/>
                <w:highlight w:val="none"/>
              </w:rPr>
            </w:pPr>
            <w:r>
              <w:rPr>
                <w:rFonts w:hint="eastAsia"/>
                <w:sz w:val="22"/>
                <w:szCs w:val="22"/>
                <w:highlight w:val="none"/>
              </w:rPr>
              <w:t>1分</w:t>
            </w:r>
          </w:p>
        </w:tc>
      </w:tr>
      <w:tr w14:paraId="07B9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1" w:type="pct"/>
            <w:vMerge w:val="restart"/>
            <w:vAlign w:val="center"/>
          </w:tcPr>
          <w:p w14:paraId="48D52EBB">
            <w:pPr>
              <w:spacing w:line="360" w:lineRule="auto"/>
              <w:jc w:val="center"/>
              <w:rPr>
                <w:rFonts w:hint="eastAsia"/>
                <w:sz w:val="22"/>
                <w:szCs w:val="22"/>
                <w:highlight w:val="none"/>
              </w:rPr>
            </w:pPr>
            <w:r>
              <w:rPr>
                <w:rFonts w:hint="eastAsia"/>
                <w:sz w:val="22"/>
                <w:szCs w:val="22"/>
                <w:highlight w:val="none"/>
              </w:rPr>
              <w:t>项目团队</w:t>
            </w:r>
          </w:p>
          <w:p w14:paraId="356E8F41">
            <w:pPr>
              <w:spacing w:line="360" w:lineRule="auto"/>
              <w:jc w:val="center"/>
              <w:rPr>
                <w:rFonts w:hint="eastAsia"/>
                <w:sz w:val="22"/>
                <w:szCs w:val="22"/>
                <w:highlight w:val="none"/>
              </w:rPr>
            </w:pPr>
            <w:r>
              <w:rPr>
                <w:rFonts w:hint="eastAsia"/>
                <w:sz w:val="22"/>
                <w:szCs w:val="22"/>
                <w:highlight w:val="none"/>
              </w:rPr>
              <w:t>（</w:t>
            </w:r>
            <w:r>
              <w:rPr>
                <w:rFonts w:hint="eastAsia"/>
                <w:sz w:val="22"/>
                <w:szCs w:val="22"/>
                <w:highlight w:val="none"/>
                <w:lang w:val="en-US" w:eastAsia="zh-CN"/>
              </w:rPr>
              <w:t>3</w:t>
            </w:r>
            <w:r>
              <w:rPr>
                <w:rFonts w:hint="eastAsia"/>
                <w:sz w:val="22"/>
                <w:szCs w:val="22"/>
                <w:highlight w:val="none"/>
              </w:rPr>
              <w:t>分）</w:t>
            </w:r>
          </w:p>
        </w:tc>
        <w:tc>
          <w:tcPr>
            <w:tcW w:w="3836" w:type="pct"/>
            <w:vAlign w:val="center"/>
          </w:tcPr>
          <w:p w14:paraId="6D7A89DA">
            <w:pPr>
              <w:spacing w:line="360" w:lineRule="auto"/>
              <w:rPr>
                <w:rFonts w:hint="eastAsia"/>
                <w:sz w:val="22"/>
                <w:szCs w:val="22"/>
                <w:highlight w:val="none"/>
              </w:rPr>
            </w:pPr>
            <w:r>
              <w:rPr>
                <w:rFonts w:hint="eastAsia"/>
                <w:sz w:val="22"/>
                <w:szCs w:val="22"/>
                <w:highlight w:val="none"/>
              </w:rPr>
              <w:t>拟派本项目的项目负责人</w:t>
            </w:r>
          </w:p>
          <w:p w14:paraId="110756DA">
            <w:pPr>
              <w:numPr>
                <w:ilvl w:val="0"/>
                <w:numId w:val="23"/>
              </w:numPr>
              <w:spacing w:line="360" w:lineRule="auto"/>
              <w:rPr>
                <w:rFonts w:hint="eastAsia"/>
                <w:sz w:val="22"/>
                <w:szCs w:val="22"/>
                <w:highlight w:val="none"/>
              </w:rPr>
            </w:pPr>
            <w:r>
              <w:rPr>
                <w:rFonts w:hint="eastAsia"/>
                <w:sz w:val="22"/>
                <w:szCs w:val="22"/>
                <w:highlight w:val="none"/>
              </w:rPr>
              <w:t>具有机电工程专业注册一级建造师</w:t>
            </w:r>
            <w:r>
              <w:rPr>
                <w:rFonts w:hint="eastAsia" w:eastAsia="等线"/>
                <w:sz w:val="22"/>
                <w:szCs w:val="22"/>
                <w:highlight w:val="none"/>
              </w:rPr>
              <w:t>或通信与广电专业注册一级建造师</w:t>
            </w:r>
            <w:r>
              <w:rPr>
                <w:rFonts w:hint="eastAsia"/>
                <w:sz w:val="22"/>
                <w:szCs w:val="22"/>
                <w:highlight w:val="none"/>
              </w:rPr>
              <w:t>，安全生产考核合格证（B证），得1分；</w:t>
            </w:r>
          </w:p>
          <w:p w14:paraId="619B96FA">
            <w:pPr>
              <w:numPr>
                <w:ilvl w:val="0"/>
                <w:numId w:val="23"/>
              </w:numPr>
              <w:spacing w:line="360" w:lineRule="auto"/>
              <w:rPr>
                <w:rFonts w:hint="eastAsia"/>
                <w:b/>
                <w:bCs/>
                <w:sz w:val="22"/>
                <w:szCs w:val="22"/>
                <w:highlight w:val="none"/>
              </w:rPr>
            </w:pPr>
            <w:r>
              <w:rPr>
                <w:rFonts w:hint="eastAsia"/>
                <w:b w:val="0"/>
                <w:bCs w:val="0"/>
                <w:sz w:val="22"/>
                <w:szCs w:val="22"/>
                <w:highlight w:val="none"/>
              </w:rPr>
              <w:t>项目专职安全生产管理人员(必须具备安全生产考核合格证书C证)，</w:t>
            </w:r>
            <w:r>
              <w:rPr>
                <w:rFonts w:hint="eastAsia"/>
                <w:sz w:val="22"/>
                <w:szCs w:val="22"/>
                <w:highlight w:val="none"/>
              </w:rPr>
              <w:t>同时具备CISP证书的得1分。</w:t>
            </w:r>
          </w:p>
          <w:p w14:paraId="28FBCDFD">
            <w:pPr>
              <w:spacing w:line="360" w:lineRule="auto"/>
              <w:rPr>
                <w:rFonts w:hint="eastAsia"/>
                <w:sz w:val="22"/>
                <w:szCs w:val="22"/>
                <w:highlight w:val="none"/>
              </w:rPr>
            </w:pPr>
            <w:r>
              <w:rPr>
                <w:rFonts w:hint="eastAsia"/>
                <w:b/>
                <w:bCs/>
                <w:sz w:val="22"/>
                <w:szCs w:val="22"/>
                <w:highlight w:val="none"/>
              </w:rPr>
              <w:t>证明材料：须提供有效期内相关证书、拟派项目负责人2024年  月-2024年 月由投标单位缴纳的社保证明扫描件并加盖公章</w:t>
            </w:r>
            <w:r>
              <w:rPr>
                <w:rFonts w:hint="eastAsia"/>
                <w:b/>
                <w:bCs/>
                <w:sz w:val="22"/>
                <w:szCs w:val="22"/>
                <w:highlight w:val="none"/>
                <w:lang w:val="zh-TW"/>
              </w:rPr>
              <w:t>。</w:t>
            </w:r>
          </w:p>
        </w:tc>
        <w:tc>
          <w:tcPr>
            <w:tcW w:w="362" w:type="pct"/>
            <w:vAlign w:val="center"/>
          </w:tcPr>
          <w:p w14:paraId="5F1A1C3B">
            <w:pPr>
              <w:spacing w:line="360" w:lineRule="auto"/>
              <w:jc w:val="center"/>
              <w:rPr>
                <w:rFonts w:hint="eastAsia"/>
                <w:sz w:val="22"/>
                <w:szCs w:val="22"/>
                <w:highlight w:val="none"/>
              </w:rPr>
            </w:pPr>
            <w:r>
              <w:rPr>
                <w:rFonts w:hint="eastAsia"/>
                <w:sz w:val="22"/>
                <w:szCs w:val="22"/>
                <w:highlight w:val="none"/>
              </w:rPr>
              <w:t>2分</w:t>
            </w:r>
          </w:p>
        </w:tc>
      </w:tr>
      <w:tr w14:paraId="5412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801" w:type="pct"/>
            <w:vMerge w:val="continue"/>
            <w:vAlign w:val="center"/>
          </w:tcPr>
          <w:p w14:paraId="00287B15">
            <w:pPr>
              <w:spacing w:line="360" w:lineRule="auto"/>
              <w:jc w:val="center"/>
              <w:rPr>
                <w:rFonts w:hint="eastAsia"/>
                <w:sz w:val="22"/>
                <w:szCs w:val="22"/>
                <w:highlight w:val="none"/>
              </w:rPr>
            </w:pPr>
          </w:p>
        </w:tc>
        <w:tc>
          <w:tcPr>
            <w:tcW w:w="3836" w:type="pct"/>
            <w:vAlign w:val="center"/>
          </w:tcPr>
          <w:p w14:paraId="2C06735A">
            <w:pPr>
              <w:spacing w:line="360" w:lineRule="auto"/>
              <w:rPr>
                <w:rFonts w:hint="eastAsia"/>
                <w:sz w:val="22"/>
                <w:szCs w:val="22"/>
                <w:highlight w:val="none"/>
              </w:rPr>
            </w:pPr>
            <w:r>
              <w:rPr>
                <w:rFonts w:hint="eastAsia"/>
                <w:sz w:val="22"/>
                <w:szCs w:val="22"/>
                <w:highlight w:val="none"/>
              </w:rPr>
              <w:t>拟派本项目的技术负责人</w:t>
            </w:r>
          </w:p>
          <w:p w14:paraId="0E84094F">
            <w:pPr>
              <w:spacing w:line="360" w:lineRule="auto"/>
              <w:rPr>
                <w:rFonts w:hint="eastAsia"/>
                <w:sz w:val="22"/>
                <w:szCs w:val="22"/>
                <w:highlight w:val="none"/>
              </w:rPr>
            </w:pPr>
            <w:r>
              <w:rPr>
                <w:rFonts w:hint="eastAsia"/>
                <w:sz w:val="22"/>
                <w:szCs w:val="22"/>
                <w:highlight w:val="none"/>
              </w:rPr>
              <w:t>具有高级及以上电气类或机电类工程师职称证书，同时具有信息系统项目管理师证书的得1分。</w:t>
            </w:r>
          </w:p>
          <w:p w14:paraId="7A65D3BE">
            <w:pPr>
              <w:spacing w:line="360" w:lineRule="auto"/>
              <w:rPr>
                <w:rFonts w:hint="eastAsia"/>
                <w:b/>
                <w:bCs/>
                <w:sz w:val="22"/>
                <w:szCs w:val="22"/>
                <w:highlight w:val="none"/>
              </w:rPr>
            </w:pPr>
            <w:r>
              <w:rPr>
                <w:rFonts w:hint="eastAsia"/>
                <w:b/>
                <w:bCs/>
                <w:sz w:val="22"/>
                <w:szCs w:val="22"/>
                <w:highlight w:val="none"/>
              </w:rPr>
              <w:t>证明材料：须提供有效期内得相关证书、拟派项目负责人2024年 月-2024年 月由投标单位缴纳的社保证明扫描件并加盖公章</w:t>
            </w:r>
            <w:r>
              <w:rPr>
                <w:rFonts w:hint="eastAsia"/>
                <w:b/>
                <w:bCs/>
                <w:sz w:val="22"/>
                <w:szCs w:val="22"/>
                <w:highlight w:val="none"/>
                <w:lang w:val="zh-TW"/>
              </w:rPr>
              <w:t>。</w:t>
            </w:r>
          </w:p>
        </w:tc>
        <w:tc>
          <w:tcPr>
            <w:tcW w:w="362" w:type="pct"/>
            <w:vAlign w:val="center"/>
          </w:tcPr>
          <w:p w14:paraId="2F791B22">
            <w:pPr>
              <w:spacing w:line="360" w:lineRule="auto"/>
              <w:jc w:val="center"/>
              <w:rPr>
                <w:rFonts w:hint="eastAsia"/>
                <w:sz w:val="22"/>
                <w:szCs w:val="22"/>
                <w:highlight w:val="none"/>
              </w:rPr>
            </w:pPr>
            <w:r>
              <w:rPr>
                <w:rFonts w:hint="eastAsia"/>
                <w:sz w:val="22"/>
                <w:szCs w:val="22"/>
                <w:highlight w:val="none"/>
              </w:rPr>
              <w:t>1分</w:t>
            </w:r>
          </w:p>
        </w:tc>
      </w:tr>
    </w:tbl>
    <w:p w14:paraId="1508D9C1">
      <w:pPr>
        <w:spacing w:line="360" w:lineRule="auto"/>
        <w:rPr>
          <w:rFonts w:hAnsi="Times New Roman"/>
          <w:b/>
          <w:bCs/>
          <w:sz w:val="21"/>
          <w:szCs w:val="21"/>
          <w:highlight w:val="none"/>
        </w:rPr>
      </w:pPr>
      <w:r>
        <w:rPr>
          <w:rFonts w:hint="eastAsia" w:hAnsi="Times New Roman"/>
          <w:b/>
          <w:bCs/>
          <w:highlight w:val="none"/>
        </w:rPr>
        <w:t>注：</w:t>
      </w:r>
      <w:r>
        <w:rPr>
          <w:rFonts w:hint="eastAsia" w:hAnsi="Times New Roman"/>
          <w:b/>
          <w:bCs/>
          <w:sz w:val="21"/>
          <w:szCs w:val="21"/>
          <w:highlight w:val="none"/>
        </w:rPr>
        <w:t>1、所有文件、合同、证书、资质等需要真实有效，以上证明文件若发现资料作假的取消中标资格并承担一切后果。</w:t>
      </w:r>
    </w:p>
    <w:p w14:paraId="0F9672F2">
      <w:pPr>
        <w:spacing w:line="360" w:lineRule="auto"/>
        <w:rPr>
          <w:rFonts w:hint="eastAsia"/>
          <w:sz w:val="21"/>
          <w:szCs w:val="21"/>
          <w:highlight w:val="none"/>
        </w:rPr>
      </w:pPr>
      <w:r>
        <w:rPr>
          <w:rFonts w:hint="eastAsia" w:hAnsi="Times New Roman"/>
          <w:b/>
          <w:bCs/>
          <w:sz w:val="21"/>
          <w:szCs w:val="21"/>
          <w:highlight w:val="none"/>
        </w:rPr>
        <w:t>2、视频演示以投标附件形式上传至交易平台，带中文解说，要求整个视频演示不大于100M，播放时间控制在8分钟以内，</w:t>
      </w:r>
      <w:r>
        <w:rPr>
          <w:rFonts w:hint="eastAsia"/>
          <w:b/>
          <w:bCs/>
          <w:sz w:val="21"/>
          <w:szCs w:val="21"/>
          <w:highlight w:val="none"/>
        </w:rPr>
        <w:t>其中三维动画演示不少于3分钟，</w:t>
      </w:r>
      <w:r>
        <w:rPr>
          <w:rFonts w:hint="eastAsia" w:hAnsi="Times New Roman"/>
          <w:b/>
          <w:bCs/>
          <w:sz w:val="21"/>
          <w:szCs w:val="21"/>
          <w:highlight w:val="none"/>
        </w:rPr>
        <w:t>能在</w:t>
      </w:r>
      <w:r>
        <w:rPr>
          <w:rFonts w:hAnsi="Times New Roman"/>
          <w:b/>
          <w:bCs/>
          <w:sz w:val="21"/>
          <w:szCs w:val="21"/>
          <w:highlight w:val="none"/>
        </w:rPr>
        <w:t>window</w:t>
      </w:r>
      <w:r>
        <w:rPr>
          <w:rFonts w:hint="eastAsia" w:hAnsi="Times New Roman"/>
          <w:b/>
          <w:bCs/>
          <w:sz w:val="21"/>
          <w:szCs w:val="21"/>
          <w:highlight w:val="none"/>
        </w:rPr>
        <w:t>系统下自动播放，提供</w:t>
      </w:r>
      <w:r>
        <w:rPr>
          <w:rFonts w:hAnsi="Times New Roman"/>
          <w:b/>
          <w:bCs/>
          <w:sz w:val="21"/>
          <w:szCs w:val="21"/>
          <w:highlight w:val="none"/>
        </w:rPr>
        <w:t>MP4</w:t>
      </w:r>
      <w:r>
        <w:rPr>
          <w:rFonts w:hint="eastAsia" w:hAnsi="Times New Roman"/>
          <w:b/>
          <w:bCs/>
          <w:sz w:val="21"/>
          <w:szCs w:val="21"/>
          <w:highlight w:val="none"/>
        </w:rPr>
        <w:t>格式，若未能提供或提供的格式导致无法播放的，该项不得分。</w:t>
      </w:r>
    </w:p>
    <w:p w14:paraId="3ADBA45D">
      <w:pPr>
        <w:rPr>
          <w:rFonts w:hint="eastAsia"/>
          <w:highlight w:val="none"/>
        </w:rPr>
        <w:sectPr>
          <w:pgSz w:w="11906" w:h="16838"/>
          <w:pgMar w:top="1247" w:right="1418" w:bottom="1701" w:left="1418" w:header="851" w:footer="992" w:gutter="0"/>
          <w:pgNumType w:fmt="numberInDash"/>
          <w:cols w:space="720" w:num="1"/>
          <w:titlePg/>
          <w:docGrid w:linePitch="312" w:charSpace="0"/>
        </w:sectPr>
      </w:pPr>
    </w:p>
    <w:p w14:paraId="1CA578D7">
      <w:pPr>
        <w:spacing w:after="120" w:afterLines="50" w:line="360" w:lineRule="auto"/>
        <w:jc w:val="center"/>
        <w:outlineLvl w:val="0"/>
        <w:rPr>
          <w:rFonts w:hint="eastAsia"/>
          <w:b/>
          <w:sz w:val="36"/>
          <w:szCs w:val="36"/>
          <w:highlight w:val="none"/>
        </w:rPr>
      </w:pPr>
      <w:bookmarkStart w:id="431" w:name="_Toc151026259"/>
      <w:bookmarkStart w:id="432" w:name="_Toc92799814"/>
      <w:r>
        <w:rPr>
          <w:rFonts w:hint="eastAsia"/>
          <w:b/>
          <w:sz w:val="36"/>
          <w:szCs w:val="36"/>
          <w:highlight w:val="none"/>
        </w:rPr>
        <w:t>第四部分  采购需求</w:t>
      </w:r>
      <w:bookmarkEnd w:id="431"/>
      <w:bookmarkEnd w:id="432"/>
    </w:p>
    <w:bookmarkEnd w:id="428"/>
    <w:bookmarkEnd w:id="429"/>
    <w:p w14:paraId="13199617">
      <w:pPr>
        <w:spacing w:line="360" w:lineRule="auto"/>
        <w:ind w:firstLine="482" w:firstLineChars="200"/>
        <w:rPr>
          <w:rFonts w:hint="eastAsia"/>
          <w:b/>
          <w:bCs/>
          <w:highlight w:val="none"/>
        </w:rPr>
      </w:pPr>
      <w:r>
        <w:rPr>
          <w:rFonts w:hint="eastAsia"/>
          <w:b/>
          <w:bCs/>
          <w:highlight w:val="none"/>
        </w:rPr>
        <w:t>一、采购内容</w:t>
      </w:r>
    </w:p>
    <w:p w14:paraId="579FBCDB">
      <w:pPr>
        <w:spacing w:line="360" w:lineRule="auto"/>
        <w:ind w:firstLine="482" w:firstLineChars="200"/>
        <w:rPr>
          <w:rFonts w:hint="eastAsia"/>
          <w:b/>
          <w:bCs/>
          <w:highlight w:val="none"/>
        </w:rPr>
      </w:pPr>
      <w:r>
        <w:rPr>
          <w:b/>
          <w:bCs/>
          <w:highlight w:val="none"/>
        </w:rPr>
        <w:t xml:space="preserve">1.1 </w:t>
      </w:r>
      <w:r>
        <w:rPr>
          <w:rFonts w:hint="eastAsia"/>
          <w:b/>
          <w:bCs/>
          <w:highlight w:val="none"/>
        </w:rPr>
        <w:t>基本说明</w:t>
      </w:r>
    </w:p>
    <w:p w14:paraId="261D08DC">
      <w:pPr>
        <w:spacing w:line="360" w:lineRule="auto"/>
        <w:ind w:firstLine="480" w:firstLineChars="200"/>
        <w:rPr>
          <w:rFonts w:hint="eastAsia"/>
          <w:highlight w:val="none"/>
        </w:rPr>
      </w:pPr>
      <w:r>
        <w:rPr>
          <w:rFonts w:hint="eastAsia"/>
          <w:highlight w:val="none"/>
        </w:rPr>
        <w:t>1、此技术规格书只是采购内容的一些原则性规定，并不是完整的详尽的要求。投标人可在此基础上提供符合实际要求的产品，要求符合技术规格书的要求，并对所提供产品的功能、安全性、先进性负责。</w:t>
      </w:r>
    </w:p>
    <w:p w14:paraId="42E99798">
      <w:pPr>
        <w:spacing w:line="360" w:lineRule="auto"/>
        <w:ind w:firstLine="480" w:firstLineChars="200"/>
        <w:rPr>
          <w:rFonts w:hint="eastAsia"/>
          <w:highlight w:val="none"/>
        </w:rPr>
      </w:pPr>
      <w:r>
        <w:rPr>
          <w:highlight w:val="none"/>
        </w:rPr>
        <w:t>2</w:t>
      </w:r>
      <w:r>
        <w:rPr>
          <w:rFonts w:hint="eastAsia"/>
          <w:highlight w:val="none"/>
        </w:rPr>
        <w:t>、</w:t>
      </w:r>
      <w:r>
        <w:rPr>
          <w:highlight w:val="none"/>
        </w:rPr>
        <w:t>投标文件中须明确主要材料设备的原产地（国家/地区）</w:t>
      </w:r>
      <w:r>
        <w:rPr>
          <w:rFonts w:hint="eastAsia"/>
          <w:highlight w:val="none"/>
        </w:rPr>
        <w:t>，并</w:t>
      </w:r>
      <w:r>
        <w:rPr>
          <w:highlight w:val="none"/>
        </w:rPr>
        <w:t>在交货时</w:t>
      </w:r>
      <w:r>
        <w:rPr>
          <w:rFonts w:hint="eastAsia"/>
          <w:highlight w:val="none"/>
        </w:rPr>
        <w:t>附带</w:t>
      </w:r>
      <w:r>
        <w:rPr>
          <w:highlight w:val="none"/>
        </w:rPr>
        <w:t>原产地（国家/地区）的产地出厂证明文件、原产地出厂合格证书、原产地装箱清单（中文说明）</w:t>
      </w:r>
      <w:r>
        <w:rPr>
          <w:rFonts w:hint="eastAsia"/>
          <w:highlight w:val="none"/>
        </w:rPr>
        <w:t>。</w:t>
      </w:r>
    </w:p>
    <w:p w14:paraId="16697A7D">
      <w:pPr>
        <w:spacing w:line="360" w:lineRule="auto"/>
        <w:ind w:firstLine="480" w:firstLineChars="200"/>
        <w:rPr>
          <w:rFonts w:hint="eastAsia"/>
          <w:highlight w:val="none"/>
        </w:rPr>
      </w:pPr>
      <w:r>
        <w:rPr>
          <w:rFonts w:hint="eastAsia"/>
          <w:highlight w:val="none"/>
        </w:rPr>
        <w:t>3、投标人必须对全部招标内容进行投标，并在《技术响应及建议表》内给予实质性响应，不能仅复制粘贴本采购内容。</w:t>
      </w:r>
    </w:p>
    <w:p w14:paraId="678CBFD6">
      <w:pPr>
        <w:spacing w:line="360" w:lineRule="auto"/>
        <w:ind w:firstLine="480" w:firstLineChars="200"/>
        <w:rPr>
          <w:rFonts w:hint="eastAsia"/>
          <w:highlight w:val="none"/>
        </w:rPr>
      </w:pPr>
      <w:r>
        <w:rPr>
          <w:highlight w:val="none"/>
        </w:rPr>
        <w:t>4</w:t>
      </w:r>
      <w:r>
        <w:rPr>
          <w:rFonts w:hint="eastAsia"/>
          <w:highlight w:val="none"/>
        </w:rPr>
        <w:t>、投标产品如与采购要求有细微偏差，采购人将有权要求投标人调整偏差，并不改变投标价格。</w:t>
      </w:r>
    </w:p>
    <w:p w14:paraId="1DA857F3">
      <w:pPr>
        <w:spacing w:line="360" w:lineRule="auto"/>
        <w:ind w:firstLine="480" w:firstLineChars="200"/>
        <w:rPr>
          <w:rFonts w:hint="eastAsia"/>
          <w:highlight w:val="none"/>
        </w:rPr>
      </w:pPr>
      <w:r>
        <w:rPr>
          <w:highlight w:val="none"/>
        </w:rPr>
        <w:t>5</w:t>
      </w:r>
      <w:r>
        <w:rPr>
          <w:rFonts w:hint="eastAsia"/>
          <w:highlight w:val="none"/>
        </w:rPr>
        <w:t>、投标人须对投标文件中涉及到的专利负责，并保证不伤害采购人的利益。在法律范围内所有文字、商标和技术侵权造成的相关费用，采购人概不负责。</w:t>
      </w:r>
    </w:p>
    <w:p w14:paraId="5E42CBA2">
      <w:pPr>
        <w:spacing w:line="360" w:lineRule="auto"/>
        <w:ind w:firstLine="480" w:firstLineChars="200"/>
        <w:rPr>
          <w:rFonts w:hint="eastAsia"/>
          <w:highlight w:val="none"/>
        </w:rPr>
      </w:pPr>
      <w:r>
        <w:rPr>
          <w:highlight w:val="none"/>
        </w:rPr>
        <w:t>6</w:t>
      </w:r>
      <w:r>
        <w:rPr>
          <w:rFonts w:hint="eastAsia"/>
          <w:highlight w:val="none"/>
        </w:rPr>
        <w:t>、投标人提供的货物必须符合国家及浙江省等有关安全、环保等强制性标准的要求。</w:t>
      </w:r>
    </w:p>
    <w:p w14:paraId="438AF532">
      <w:pPr>
        <w:spacing w:line="360" w:lineRule="auto"/>
        <w:ind w:firstLine="480" w:firstLineChars="200"/>
        <w:rPr>
          <w:rFonts w:hint="eastAsia"/>
          <w:highlight w:val="none"/>
        </w:rPr>
      </w:pPr>
      <w:r>
        <w:rPr>
          <w:highlight w:val="none"/>
        </w:rPr>
        <w:t>7</w:t>
      </w:r>
      <w:r>
        <w:rPr>
          <w:rFonts w:hint="eastAsia"/>
          <w:highlight w:val="none"/>
        </w:rPr>
        <w:t>、</w:t>
      </w:r>
      <w:r>
        <w:rPr>
          <w:highlight w:val="none"/>
        </w:rPr>
        <w:t>投标人应保证提供的产品和服务满足</w:t>
      </w:r>
      <w:r>
        <w:rPr>
          <w:rFonts w:hint="eastAsia"/>
          <w:highlight w:val="none"/>
        </w:rPr>
        <w:t>采购</w:t>
      </w:r>
      <w:r>
        <w:rPr>
          <w:highlight w:val="none"/>
        </w:rPr>
        <w:t>人的使用需求，且在法律</w:t>
      </w:r>
      <w:r>
        <w:rPr>
          <w:rFonts w:hint="eastAsia"/>
          <w:highlight w:val="none"/>
        </w:rPr>
        <w:t>允许</w:t>
      </w:r>
      <w:r>
        <w:rPr>
          <w:highlight w:val="none"/>
        </w:rPr>
        <w:t>范围内，</w:t>
      </w:r>
      <w:r>
        <w:rPr>
          <w:rFonts w:hint="eastAsia"/>
          <w:highlight w:val="none"/>
        </w:rPr>
        <w:t>若因</w:t>
      </w:r>
      <w:r>
        <w:rPr>
          <w:highlight w:val="none"/>
        </w:rPr>
        <w:t>文字、商标和技术</w:t>
      </w:r>
      <w:r>
        <w:rPr>
          <w:rFonts w:hint="eastAsia"/>
          <w:highlight w:val="none"/>
        </w:rPr>
        <w:t>等投标文件及产品、服务内容造成</w:t>
      </w:r>
      <w:r>
        <w:rPr>
          <w:highlight w:val="none"/>
        </w:rPr>
        <w:t>侵权的</w:t>
      </w:r>
      <w:r>
        <w:rPr>
          <w:rFonts w:hint="eastAsia"/>
          <w:highlight w:val="none"/>
        </w:rPr>
        <w:t>，</w:t>
      </w:r>
      <w:r>
        <w:rPr>
          <w:highlight w:val="none"/>
        </w:rPr>
        <w:t>由投标人自行负责。</w:t>
      </w:r>
    </w:p>
    <w:p w14:paraId="44ED55DB">
      <w:pPr>
        <w:spacing w:line="360" w:lineRule="auto"/>
        <w:ind w:firstLine="482" w:firstLineChars="200"/>
        <w:rPr>
          <w:rFonts w:hint="eastAsia"/>
          <w:b/>
          <w:bCs/>
          <w:highlight w:val="none"/>
        </w:rPr>
      </w:pPr>
      <w:r>
        <w:rPr>
          <w:rFonts w:hint="eastAsia"/>
          <w:b/>
          <w:bCs/>
          <w:highlight w:val="none"/>
        </w:rPr>
        <w:t>1.</w:t>
      </w:r>
      <w:r>
        <w:rPr>
          <w:b/>
          <w:bCs/>
          <w:highlight w:val="none"/>
        </w:rPr>
        <w:t>2</w:t>
      </w:r>
      <w:r>
        <w:rPr>
          <w:rFonts w:hint="eastAsia"/>
          <w:b/>
          <w:bCs/>
          <w:highlight w:val="none"/>
        </w:rPr>
        <w:t xml:space="preserve"> 项目概况</w:t>
      </w:r>
    </w:p>
    <w:p w14:paraId="60039277">
      <w:pPr>
        <w:spacing w:line="360" w:lineRule="auto"/>
        <w:ind w:firstLine="480" w:firstLineChars="200"/>
        <w:rPr>
          <w:rFonts w:hint="eastAsia"/>
          <w:color w:val="000000"/>
          <w:highlight w:val="none"/>
        </w:rPr>
      </w:pPr>
      <w:r>
        <w:rPr>
          <w:rFonts w:hint="eastAsia"/>
          <w:color w:val="000000"/>
          <w:highlight w:val="none"/>
        </w:rPr>
        <w:t>杭州湾上虞高层次人才创业园智能化项目图纸范围内所有系统工程，包括但不限于施工图审查范围内的综合布线系统、计算机网络系统、语音通信系统（弱电施工单位负责管管路及配合工作）、室内5G信号覆盖系统（弱电预留管路桥架）、有线电视系统（弱电施工单位负责管管路及配合工作）、背景音乐系统、多媒体信息发布系统、多功能会议系统、多媒体会议管理系统、安保集成平台、视频监控系统、入侵报警系统、无线对讲系统、电子巡更系统、停车场管理系统、智能一卡通系统、楼宇自控系统、能源管理系统、电梯五方通话系统、机房工程、综合管路系统、智慧消防、智慧景观、智能展厅系统、智慧园区管理平台等系统设备的供货、安装和调试，以及所有其他为系统正常运行所需必要的项目。</w:t>
      </w:r>
    </w:p>
    <w:p w14:paraId="0416CC41">
      <w:pPr>
        <w:spacing w:line="360" w:lineRule="auto"/>
        <w:ind w:firstLine="482" w:firstLineChars="200"/>
        <w:rPr>
          <w:rFonts w:hint="eastAsia"/>
          <w:b/>
          <w:bCs/>
          <w:highlight w:val="none"/>
        </w:rPr>
      </w:pPr>
      <w:r>
        <w:rPr>
          <w:rFonts w:hint="eastAsia"/>
          <w:b/>
          <w:bCs/>
          <w:highlight w:val="none"/>
        </w:rPr>
        <w:t>1.</w:t>
      </w:r>
      <w:r>
        <w:rPr>
          <w:b/>
          <w:bCs/>
          <w:highlight w:val="none"/>
        </w:rPr>
        <w:t>3</w:t>
      </w:r>
      <w:r>
        <w:rPr>
          <w:rFonts w:hint="eastAsia"/>
          <w:b/>
          <w:bCs/>
          <w:highlight w:val="none"/>
        </w:rPr>
        <w:t xml:space="preserve"> 采购需求</w:t>
      </w:r>
    </w:p>
    <w:p w14:paraId="79A6981A">
      <w:pPr>
        <w:topLinePunct/>
        <w:spacing w:line="360" w:lineRule="auto"/>
        <w:outlineLvl w:val="1"/>
        <w:rPr>
          <w:rFonts w:hint="eastAsia"/>
          <w:b/>
          <w:bCs/>
          <w:highlight w:val="none"/>
        </w:rPr>
      </w:pPr>
      <w:bookmarkStart w:id="433" w:name="_Toc16056"/>
      <w:r>
        <w:rPr>
          <w:rFonts w:hint="eastAsia"/>
          <w:b/>
          <w:bCs/>
          <w:highlight w:val="none"/>
        </w:rPr>
        <w:t>（一）、设计内容</w:t>
      </w:r>
      <w:bookmarkEnd w:id="433"/>
    </w:p>
    <w:p w14:paraId="07260A05">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综合布线系统;</w:t>
      </w:r>
    </w:p>
    <w:p w14:paraId="595B1CEF">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计算机网络系统;</w:t>
      </w:r>
    </w:p>
    <w:p w14:paraId="1771E2BB">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语音通信系统;</w:t>
      </w:r>
    </w:p>
    <w:p w14:paraId="0713D49D">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室内5G信号覆盖系统;</w:t>
      </w:r>
    </w:p>
    <w:p w14:paraId="1ED032C0">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有线电视系统;</w:t>
      </w:r>
    </w:p>
    <w:p w14:paraId="3437AD91">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背景音乐系统;</w:t>
      </w:r>
    </w:p>
    <w:p w14:paraId="570A67E5">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多媒体信息发布系统;</w:t>
      </w:r>
    </w:p>
    <w:p w14:paraId="45409C53">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多功能会议系统;</w:t>
      </w:r>
    </w:p>
    <w:p w14:paraId="5AB9F7B7">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多媒体会议管理系统;</w:t>
      </w:r>
    </w:p>
    <w:p w14:paraId="2B60FFF9">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安保集成平台;</w:t>
      </w:r>
    </w:p>
    <w:p w14:paraId="4348BACA">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视频监控系统;</w:t>
      </w:r>
    </w:p>
    <w:p w14:paraId="5832AE39">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入侵报警系统；</w:t>
      </w:r>
    </w:p>
    <w:p w14:paraId="2B52AE8E">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无线对讲系统;</w:t>
      </w:r>
    </w:p>
    <w:p w14:paraId="1DFF3C01">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电子巡更系统;</w:t>
      </w:r>
    </w:p>
    <w:p w14:paraId="63ADB19A">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停车场管理系统；</w:t>
      </w:r>
    </w:p>
    <w:p w14:paraId="1983467A">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智能一卡通系统;</w:t>
      </w:r>
    </w:p>
    <w:p w14:paraId="5C336E84">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楼宇自控系统；</w:t>
      </w:r>
    </w:p>
    <w:p w14:paraId="3C23A0A2">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能源管理系统;</w:t>
      </w:r>
    </w:p>
    <w:p w14:paraId="3DD64928">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电梯五方通话系统；</w:t>
      </w:r>
    </w:p>
    <w:p w14:paraId="60C1695B">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机房工程；</w:t>
      </w:r>
    </w:p>
    <w:p w14:paraId="76F3C27D">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综合管路系统</w:t>
      </w:r>
    </w:p>
    <w:p w14:paraId="00792DF9">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智慧消安</w:t>
      </w:r>
    </w:p>
    <w:p w14:paraId="43E566F9">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智慧景观</w:t>
      </w:r>
    </w:p>
    <w:p w14:paraId="52AC3D2B">
      <w:pPr>
        <w:pStyle w:val="75"/>
        <w:widowControl w:val="0"/>
        <w:numPr>
          <w:ilvl w:val="0"/>
          <w:numId w:val="24"/>
        </w:numPr>
        <w:spacing w:line="360" w:lineRule="auto"/>
        <w:ind w:left="300" w:firstLine="420"/>
        <w:jc w:val="both"/>
        <w:rPr>
          <w:rFonts w:hint="eastAsia" w:ascii="宋体" w:hAnsi="宋体" w:eastAsia="宋体"/>
          <w:color w:val="auto"/>
          <w:szCs w:val="21"/>
          <w:highlight w:val="none"/>
        </w:rPr>
      </w:pPr>
      <w:r>
        <w:rPr>
          <w:rFonts w:hint="eastAsia" w:ascii="宋体" w:hAnsi="宋体" w:eastAsia="宋体"/>
          <w:color w:val="auto"/>
          <w:szCs w:val="21"/>
          <w:highlight w:val="none"/>
        </w:rPr>
        <w:t>智能展厅系统</w:t>
      </w:r>
    </w:p>
    <w:p w14:paraId="34B37057">
      <w:pPr>
        <w:pStyle w:val="75"/>
        <w:widowControl w:val="0"/>
        <w:numPr>
          <w:ilvl w:val="0"/>
          <w:numId w:val="24"/>
        </w:numPr>
        <w:spacing w:line="360" w:lineRule="auto"/>
        <w:ind w:left="300" w:firstLine="420"/>
        <w:jc w:val="both"/>
        <w:rPr>
          <w:rFonts w:hint="eastAsia" w:ascii="宋体" w:hAnsi="宋体" w:eastAsia="宋体"/>
          <w:b/>
          <w:bCs/>
          <w:color w:val="auto"/>
          <w:szCs w:val="21"/>
          <w:highlight w:val="none"/>
        </w:rPr>
      </w:pPr>
      <w:r>
        <w:rPr>
          <w:rFonts w:hint="eastAsia" w:ascii="宋体" w:hAnsi="宋体" w:eastAsia="宋体"/>
          <w:color w:val="auto"/>
          <w:szCs w:val="21"/>
          <w:highlight w:val="none"/>
        </w:rPr>
        <w:t>智慧园区管理平台</w:t>
      </w:r>
      <w:bookmarkStart w:id="434" w:name="_Toc1135"/>
    </w:p>
    <w:p w14:paraId="62E98BA6">
      <w:pPr>
        <w:topLinePunct/>
        <w:spacing w:line="360" w:lineRule="auto"/>
        <w:outlineLvl w:val="1"/>
        <w:rPr>
          <w:rFonts w:hint="eastAsia"/>
          <w:b/>
          <w:bCs/>
          <w:highlight w:val="none"/>
        </w:rPr>
      </w:pPr>
      <w:r>
        <w:rPr>
          <w:rFonts w:hint="eastAsia"/>
          <w:b/>
          <w:bCs/>
          <w:highlight w:val="none"/>
        </w:rPr>
        <w:t>（二）、设计原则</w:t>
      </w:r>
      <w:bookmarkEnd w:id="434"/>
    </w:p>
    <w:p w14:paraId="349F5B89">
      <w:pPr>
        <w:spacing w:line="360" w:lineRule="auto"/>
        <w:ind w:firstLine="420"/>
        <w:rPr>
          <w:rFonts w:hint="eastAsia"/>
          <w:highlight w:val="none"/>
        </w:rPr>
      </w:pPr>
      <w:r>
        <w:rPr>
          <w:rFonts w:hint="eastAsia"/>
          <w:highlight w:val="none"/>
        </w:rPr>
        <w:t>本项目希望打造成一个高科技的现代化园区，有灵活的分割可能，舒适的办公享受、完整的配套设施，一卡通的区域应用，无线WIFI覆盖的通讯网络，结合各单体的建筑功能、管理需求进行设计。从安全、快捷、便利、舒适、节能等多个方面考虑，采用先进、成熟、实用的技术进行规划、设计和实施，建立既能适应现在，又能面向未来的具有相对前瞻性的智能化系统。真正做到以智能化系统为核心，优化管理，控制运行，便于维护，创造节能、舒适、安全的园区环境。</w:t>
      </w:r>
    </w:p>
    <w:p w14:paraId="608776C0">
      <w:pPr>
        <w:spacing w:line="360" w:lineRule="auto"/>
        <w:ind w:firstLine="420"/>
        <w:rPr>
          <w:rFonts w:hint="eastAsia"/>
          <w:highlight w:val="none"/>
        </w:rPr>
      </w:pPr>
      <w:r>
        <w:rPr>
          <w:rFonts w:hint="eastAsia"/>
          <w:highlight w:val="none"/>
        </w:rPr>
        <w:t>整个项目方案的编制遵循以下原则：</w:t>
      </w:r>
    </w:p>
    <w:p w14:paraId="47E397BD">
      <w:pPr>
        <w:spacing w:line="360" w:lineRule="auto"/>
        <w:ind w:firstLine="420"/>
        <w:outlineLvl w:val="0"/>
        <w:rPr>
          <w:rFonts w:hint="eastAsia"/>
          <w:highlight w:val="none"/>
        </w:rPr>
      </w:pPr>
      <w:bookmarkStart w:id="435" w:name="_Toc153270141"/>
      <w:bookmarkStart w:id="436" w:name="_Toc480982521"/>
      <w:bookmarkStart w:id="437" w:name="_Toc120564008"/>
      <w:bookmarkStart w:id="438" w:name="_Toc476309363"/>
      <w:r>
        <w:rPr>
          <w:rFonts w:hint="eastAsia"/>
          <w:highlight w:val="none"/>
        </w:rPr>
        <w:t>一、先进性</w:t>
      </w:r>
      <w:bookmarkEnd w:id="435"/>
      <w:bookmarkEnd w:id="436"/>
      <w:bookmarkEnd w:id="437"/>
      <w:bookmarkEnd w:id="438"/>
    </w:p>
    <w:p w14:paraId="01410E66">
      <w:pPr>
        <w:spacing w:line="360" w:lineRule="auto"/>
        <w:ind w:firstLine="480" w:firstLineChars="200"/>
        <w:rPr>
          <w:rFonts w:hint="eastAsia"/>
          <w:highlight w:val="none"/>
        </w:rPr>
      </w:pPr>
      <w:r>
        <w:rPr>
          <w:rFonts w:hint="eastAsia"/>
          <w:highlight w:val="none"/>
        </w:rPr>
        <w:t>充分考虑信息技术和信息需求的迅速发展的趋势，在技术上应具有一定的超前性，采用国际或国内通行的先进技术，以适应现代科学技术的发展。总体设计要一步到位，要保证本项目的智能化水平达到较高档次。</w:t>
      </w:r>
    </w:p>
    <w:p w14:paraId="37D1FF46">
      <w:pPr>
        <w:spacing w:line="360" w:lineRule="auto"/>
        <w:ind w:firstLine="480" w:firstLineChars="200"/>
        <w:rPr>
          <w:rFonts w:hint="eastAsia"/>
          <w:highlight w:val="none"/>
        </w:rPr>
      </w:pPr>
      <w:r>
        <w:rPr>
          <w:rFonts w:hint="eastAsia"/>
          <w:highlight w:val="none"/>
        </w:rPr>
        <w:t>以适度超前的意识为指导原则，保证将建成的智慧园区智能化系统在多年内不落后，设计中采用先进的系统设备及系统软件和开发工具，以集成化和数字化的主流产品为核心设备，保证系统在技术上领先，成熟稳定，符合今后的发展趋势。</w:t>
      </w:r>
    </w:p>
    <w:p w14:paraId="0E3AFE52">
      <w:pPr>
        <w:spacing w:line="360" w:lineRule="auto"/>
        <w:ind w:firstLine="420"/>
        <w:outlineLvl w:val="0"/>
        <w:rPr>
          <w:rFonts w:hint="eastAsia"/>
          <w:highlight w:val="none"/>
        </w:rPr>
      </w:pPr>
      <w:bookmarkStart w:id="439" w:name="_Toc480982522"/>
      <w:bookmarkStart w:id="440" w:name="_Toc153270142"/>
      <w:bookmarkStart w:id="441" w:name="_Toc476309364"/>
      <w:bookmarkStart w:id="442" w:name="_Toc120564009"/>
      <w:r>
        <w:rPr>
          <w:rFonts w:hint="eastAsia"/>
          <w:highlight w:val="none"/>
        </w:rPr>
        <w:t>二、成熟性和实用性</w:t>
      </w:r>
      <w:bookmarkEnd w:id="439"/>
      <w:bookmarkEnd w:id="440"/>
      <w:bookmarkEnd w:id="441"/>
      <w:bookmarkEnd w:id="442"/>
    </w:p>
    <w:p w14:paraId="083B3F39">
      <w:pPr>
        <w:spacing w:line="360" w:lineRule="auto"/>
        <w:ind w:firstLine="480"/>
        <w:rPr>
          <w:rFonts w:hint="eastAsia"/>
          <w:highlight w:val="none"/>
        </w:rPr>
      </w:pPr>
      <w:r>
        <w:rPr>
          <w:rFonts w:hint="eastAsia"/>
          <w:highlight w:val="none"/>
        </w:rPr>
        <w:t>采用被实践证明为成熟和实用的技术和设备，最大限度地满足本项目现在和将来的业务发展需要，确保耐久实用。</w:t>
      </w:r>
    </w:p>
    <w:p w14:paraId="63F5205B">
      <w:pPr>
        <w:spacing w:line="360" w:lineRule="auto"/>
        <w:ind w:firstLine="420"/>
        <w:rPr>
          <w:rFonts w:hint="eastAsia"/>
          <w:highlight w:val="none"/>
        </w:rPr>
      </w:pPr>
      <w:r>
        <w:rPr>
          <w:rFonts w:hint="eastAsia"/>
          <w:highlight w:val="none"/>
        </w:rPr>
        <w:t>系统管理功能全面，能充分满足本项目自身各种业务的管理要求。具有完全的操作环境，界面简练、友好，联机帮助功能健全有效。</w:t>
      </w:r>
    </w:p>
    <w:p w14:paraId="4DE73B2B">
      <w:pPr>
        <w:spacing w:line="360" w:lineRule="auto"/>
        <w:ind w:firstLine="420"/>
        <w:outlineLvl w:val="0"/>
        <w:rPr>
          <w:rFonts w:hint="eastAsia"/>
          <w:highlight w:val="none"/>
        </w:rPr>
      </w:pPr>
      <w:bookmarkStart w:id="443" w:name="_Toc153270143"/>
      <w:bookmarkStart w:id="444" w:name="_Toc480982523"/>
      <w:bookmarkStart w:id="445" w:name="_Toc476309365"/>
      <w:bookmarkStart w:id="446" w:name="_Toc120564010"/>
      <w:r>
        <w:rPr>
          <w:rFonts w:hint="eastAsia"/>
          <w:highlight w:val="none"/>
        </w:rPr>
        <w:t>三、开放性</w:t>
      </w:r>
      <w:bookmarkEnd w:id="443"/>
      <w:bookmarkEnd w:id="444"/>
      <w:bookmarkEnd w:id="445"/>
      <w:bookmarkEnd w:id="446"/>
    </w:p>
    <w:p w14:paraId="3AD5C0FB">
      <w:pPr>
        <w:spacing w:line="360" w:lineRule="auto"/>
        <w:ind w:firstLine="420"/>
        <w:rPr>
          <w:rFonts w:hint="eastAsia"/>
          <w:highlight w:val="none"/>
        </w:rPr>
      </w:pPr>
      <w:r>
        <w:rPr>
          <w:rFonts w:hint="eastAsia"/>
          <w:highlight w:val="none"/>
        </w:rPr>
        <w:t>为了满足系统所选用的技术和设备的协同运行能力、系统投资的长期效应以及本项目发展系统功能不断扩展的需求，追求系统的开放性，采用开放的技术标准。本系统设计中各子系统均提供了标准化和开放性的接口协议，保证了各子系统之间的网络化与集成化实现。</w:t>
      </w:r>
    </w:p>
    <w:p w14:paraId="3559274A">
      <w:pPr>
        <w:spacing w:line="360" w:lineRule="auto"/>
        <w:ind w:firstLine="420"/>
        <w:outlineLvl w:val="0"/>
        <w:rPr>
          <w:rFonts w:hint="eastAsia"/>
          <w:highlight w:val="none"/>
        </w:rPr>
      </w:pPr>
      <w:bookmarkStart w:id="447" w:name="_Toc480982524"/>
      <w:bookmarkStart w:id="448" w:name="_Toc153270144"/>
      <w:bookmarkStart w:id="449" w:name="_Toc476309366"/>
      <w:bookmarkStart w:id="450" w:name="_Toc120564011"/>
      <w:r>
        <w:rPr>
          <w:rFonts w:hint="eastAsia"/>
          <w:highlight w:val="none"/>
        </w:rPr>
        <w:t>四、集成性和可扩展性</w:t>
      </w:r>
      <w:bookmarkEnd w:id="447"/>
      <w:bookmarkEnd w:id="448"/>
      <w:bookmarkEnd w:id="449"/>
      <w:bookmarkEnd w:id="450"/>
    </w:p>
    <w:p w14:paraId="38450E03">
      <w:pPr>
        <w:spacing w:line="360" w:lineRule="auto"/>
        <w:ind w:firstLine="420"/>
        <w:rPr>
          <w:rFonts w:hint="eastAsia"/>
          <w:highlight w:val="none"/>
        </w:rPr>
      </w:pPr>
      <w:r>
        <w:rPr>
          <w:rFonts w:hint="eastAsia"/>
          <w:highlight w:val="none"/>
        </w:rPr>
        <w:t>充分考虑弱电智能化系统所涉及的各子系统的集成和信息共享，保证系统总体上的先进性和合理性，采用集中管理，操作和分散控制的模式。</w:t>
      </w:r>
    </w:p>
    <w:p w14:paraId="4C37518C">
      <w:pPr>
        <w:spacing w:line="360" w:lineRule="auto"/>
        <w:ind w:firstLine="420"/>
        <w:rPr>
          <w:rFonts w:hint="eastAsia"/>
          <w:highlight w:val="none"/>
        </w:rPr>
      </w:pPr>
      <w:r>
        <w:rPr>
          <w:rFonts w:hint="eastAsia"/>
          <w:highlight w:val="none"/>
        </w:rPr>
        <w:t>根据智能化系统的实际情况，按需要分层次实现各子系统的集成和信息共享，保证系统总体上的先进性和合理性，采用集中管理、分散控制的模式。</w:t>
      </w:r>
    </w:p>
    <w:p w14:paraId="01403424">
      <w:pPr>
        <w:spacing w:line="360" w:lineRule="auto"/>
        <w:ind w:firstLine="420"/>
        <w:rPr>
          <w:rFonts w:hint="eastAsia"/>
          <w:highlight w:val="none"/>
        </w:rPr>
      </w:pPr>
      <w:r>
        <w:rPr>
          <w:rFonts w:hint="eastAsia"/>
          <w:highlight w:val="none"/>
        </w:rPr>
        <w:t>总体结构应具有兼容性和可扩展性，即：可以包容不同类型的产品，便于升级换代，使整个智能化系统可以随着技术的发展与进步，不断得到充实、完善、改进和提高，并在预埋和主干敷设上留有冗余，以便于将来的扩展。</w:t>
      </w:r>
    </w:p>
    <w:p w14:paraId="171CF91C">
      <w:pPr>
        <w:spacing w:line="360" w:lineRule="auto"/>
        <w:ind w:firstLine="420"/>
        <w:outlineLvl w:val="0"/>
        <w:rPr>
          <w:rFonts w:hint="eastAsia"/>
          <w:highlight w:val="none"/>
        </w:rPr>
      </w:pPr>
      <w:bookmarkStart w:id="451" w:name="_Toc120564012"/>
      <w:bookmarkStart w:id="452" w:name="_Toc153270145"/>
      <w:bookmarkStart w:id="453" w:name="_Toc476309368"/>
      <w:bookmarkStart w:id="454" w:name="_Toc480982526"/>
      <w:r>
        <w:rPr>
          <w:rFonts w:hint="eastAsia"/>
          <w:highlight w:val="none"/>
        </w:rPr>
        <w:t>五、安全性和可靠性</w:t>
      </w:r>
      <w:bookmarkEnd w:id="451"/>
      <w:bookmarkEnd w:id="452"/>
      <w:bookmarkEnd w:id="453"/>
      <w:bookmarkEnd w:id="454"/>
    </w:p>
    <w:p w14:paraId="4D8D6B35">
      <w:pPr>
        <w:spacing w:line="360" w:lineRule="auto"/>
        <w:ind w:firstLine="420"/>
        <w:rPr>
          <w:rFonts w:hint="eastAsia"/>
          <w:highlight w:val="none"/>
        </w:rPr>
      </w:pPr>
      <w:r>
        <w:rPr>
          <w:rFonts w:hint="eastAsia"/>
          <w:highlight w:val="none"/>
        </w:rPr>
        <w:t>项目智能化系统具有高度的安全性、可靠性和稳定性，包括系统自身安全和信息传递的安全，以及运行的可靠性。</w:t>
      </w:r>
    </w:p>
    <w:p w14:paraId="4556B2E6">
      <w:pPr>
        <w:spacing w:line="360" w:lineRule="auto"/>
        <w:ind w:firstLine="420"/>
        <w:rPr>
          <w:rFonts w:hint="eastAsia"/>
          <w:highlight w:val="none"/>
        </w:rPr>
      </w:pPr>
      <w:r>
        <w:rPr>
          <w:rFonts w:hint="eastAsia"/>
          <w:highlight w:val="none"/>
        </w:rPr>
        <w:t>对网络系统、数据系统的数据交换、存储和访问等具有效的安全措施，防止数据被破坏、窃取、丢失等事故发生。安全级别控制健全，防止截取操作，能有效审计用户操作，以便追查事故原因。</w:t>
      </w:r>
    </w:p>
    <w:p w14:paraId="2A19ED3C">
      <w:pPr>
        <w:spacing w:line="360" w:lineRule="auto"/>
        <w:ind w:firstLine="420"/>
        <w:rPr>
          <w:rFonts w:hint="eastAsia"/>
          <w:highlight w:val="none"/>
        </w:rPr>
      </w:pPr>
      <w:r>
        <w:rPr>
          <w:rFonts w:hint="eastAsia"/>
          <w:highlight w:val="none"/>
        </w:rPr>
        <w:t>系统的软、硬件设备要求运行稳定，故障率低，容错性强，采取有效措施，保证系统无故障连续运行。</w:t>
      </w:r>
    </w:p>
    <w:p w14:paraId="3FAEDBCE">
      <w:pPr>
        <w:spacing w:line="360" w:lineRule="auto"/>
        <w:ind w:firstLine="420"/>
        <w:outlineLvl w:val="0"/>
        <w:rPr>
          <w:rFonts w:hint="eastAsia"/>
          <w:highlight w:val="none"/>
        </w:rPr>
      </w:pPr>
      <w:bookmarkStart w:id="455" w:name="_Toc153270146"/>
      <w:bookmarkStart w:id="456" w:name="_Toc120564013"/>
      <w:r>
        <w:rPr>
          <w:rFonts w:hint="eastAsia"/>
          <w:highlight w:val="none"/>
        </w:rPr>
        <w:t>六、服务性和便利性</w:t>
      </w:r>
      <w:bookmarkEnd w:id="455"/>
      <w:bookmarkEnd w:id="456"/>
    </w:p>
    <w:p w14:paraId="323352D7">
      <w:pPr>
        <w:spacing w:line="360" w:lineRule="auto"/>
        <w:ind w:firstLine="420"/>
        <w:rPr>
          <w:rFonts w:hint="eastAsia"/>
          <w:highlight w:val="none"/>
        </w:rPr>
      </w:pPr>
      <w:r>
        <w:rPr>
          <w:rFonts w:hint="eastAsia"/>
          <w:highlight w:val="none"/>
        </w:rPr>
        <w:t>强调以人为本的设计思想，适应多功能、外向型的需求，对于来自智慧园区的各种信息进行收集、处理、存储、传输、检索、查询，为本项目的使用者和管理者提供有效的信息服务和充分的决策依据，为用户、办公和管理人员提供安全、舒适、方便、快捷、高效、节约的工作、办公及生活环境。</w:t>
      </w:r>
    </w:p>
    <w:p w14:paraId="75FDD63F">
      <w:pPr>
        <w:spacing w:line="360" w:lineRule="auto"/>
        <w:ind w:firstLine="420"/>
        <w:outlineLvl w:val="0"/>
        <w:rPr>
          <w:rFonts w:hint="eastAsia"/>
          <w:highlight w:val="none"/>
        </w:rPr>
      </w:pPr>
      <w:bookmarkStart w:id="457" w:name="_Toc153270147"/>
      <w:bookmarkStart w:id="458" w:name="_Toc120564014"/>
      <w:r>
        <w:rPr>
          <w:rFonts w:hint="eastAsia"/>
          <w:highlight w:val="none"/>
        </w:rPr>
        <w:t>七、可维护性</w:t>
      </w:r>
      <w:bookmarkEnd w:id="457"/>
      <w:bookmarkEnd w:id="458"/>
    </w:p>
    <w:p w14:paraId="26112E6B">
      <w:pPr>
        <w:spacing w:line="360" w:lineRule="auto"/>
        <w:ind w:firstLine="420"/>
        <w:rPr>
          <w:rFonts w:hint="eastAsia"/>
          <w:highlight w:val="none"/>
        </w:rPr>
      </w:pPr>
      <w:r>
        <w:rPr>
          <w:rFonts w:hint="eastAsia"/>
          <w:highlight w:val="none"/>
        </w:rPr>
        <w:t>具备故障诊断和分析工具，能帮助维护人员迅速判断故障原因，并具备有效的维护工具和系统自恢复工具，能保证及时准确排除故障。</w:t>
      </w:r>
    </w:p>
    <w:p w14:paraId="7C2E7856">
      <w:pPr>
        <w:spacing w:line="360" w:lineRule="auto"/>
        <w:ind w:firstLine="420"/>
        <w:rPr>
          <w:rFonts w:hint="eastAsia"/>
          <w:highlight w:val="none"/>
        </w:rPr>
      </w:pPr>
      <w:r>
        <w:rPr>
          <w:rFonts w:hint="eastAsia"/>
          <w:highlight w:val="none"/>
        </w:rPr>
        <w:t>智能化系统同时具备有一定的远程诊断和维护能力。</w:t>
      </w:r>
    </w:p>
    <w:p w14:paraId="1DCB87A9">
      <w:pPr>
        <w:spacing w:line="360" w:lineRule="auto"/>
        <w:ind w:firstLine="420"/>
        <w:outlineLvl w:val="0"/>
        <w:rPr>
          <w:rFonts w:hint="eastAsia"/>
          <w:highlight w:val="none"/>
        </w:rPr>
      </w:pPr>
      <w:bookmarkStart w:id="459" w:name="_Toc153270148"/>
      <w:bookmarkStart w:id="460" w:name="_Toc476309370"/>
      <w:bookmarkStart w:id="461" w:name="_Toc120564015"/>
      <w:bookmarkStart w:id="462" w:name="_Toc480982528"/>
      <w:r>
        <w:rPr>
          <w:rFonts w:hint="eastAsia"/>
          <w:highlight w:val="none"/>
        </w:rPr>
        <w:t>八、经济性</w:t>
      </w:r>
      <w:bookmarkEnd w:id="459"/>
      <w:bookmarkEnd w:id="460"/>
      <w:bookmarkEnd w:id="461"/>
      <w:bookmarkEnd w:id="462"/>
    </w:p>
    <w:p w14:paraId="24202128">
      <w:pPr>
        <w:spacing w:line="360" w:lineRule="auto"/>
        <w:ind w:firstLine="420"/>
        <w:rPr>
          <w:rFonts w:hint="eastAsia"/>
          <w:highlight w:val="none"/>
        </w:rPr>
      </w:pPr>
      <w:r>
        <w:rPr>
          <w:rFonts w:hint="eastAsia"/>
          <w:highlight w:val="none"/>
        </w:rPr>
        <w:t>在实现先进性和可靠性的前提下，达到较高的性能价格比以及经济的优化设计。</w:t>
      </w:r>
    </w:p>
    <w:p w14:paraId="7FA4CF4C">
      <w:pPr>
        <w:spacing w:line="360" w:lineRule="auto"/>
        <w:ind w:firstLine="420"/>
        <w:rPr>
          <w:rFonts w:hint="eastAsia"/>
          <w:highlight w:val="none"/>
        </w:rPr>
      </w:pPr>
      <w:r>
        <w:rPr>
          <w:rFonts w:hint="eastAsia"/>
          <w:highlight w:val="none"/>
        </w:rPr>
        <w:t>设备选型和系统设计要在确保用户需求、系统集成要求的前提下具有良好的性价比。充分考虑各类产品的性能价格比，对关键性的产品以性能的先进性为主要考虑因素，以提高系统的整体水平，对非关键性产品则以实用性为主。</w:t>
      </w:r>
    </w:p>
    <w:p w14:paraId="70B199A8">
      <w:pPr>
        <w:topLinePunct/>
        <w:spacing w:line="360" w:lineRule="auto"/>
        <w:outlineLvl w:val="1"/>
        <w:rPr>
          <w:rFonts w:hint="eastAsia"/>
          <w:b/>
          <w:bCs/>
          <w:highlight w:val="none"/>
        </w:rPr>
      </w:pPr>
      <w:bookmarkStart w:id="463" w:name="_Toc4149"/>
      <w:r>
        <w:rPr>
          <w:rFonts w:hint="eastAsia"/>
          <w:b/>
          <w:bCs/>
          <w:highlight w:val="none"/>
        </w:rPr>
        <w:t>（三）、设计说明</w:t>
      </w:r>
      <w:bookmarkEnd w:id="463"/>
    </w:p>
    <w:p w14:paraId="6860B665">
      <w:pPr>
        <w:spacing w:line="360" w:lineRule="auto"/>
        <w:ind w:firstLine="420"/>
        <w:outlineLvl w:val="2"/>
        <w:rPr>
          <w:rFonts w:hint="eastAsia"/>
          <w:b/>
          <w:bCs/>
          <w:highlight w:val="none"/>
        </w:rPr>
      </w:pPr>
      <w:r>
        <w:rPr>
          <w:rFonts w:hint="eastAsia"/>
          <w:b/>
          <w:bCs/>
          <w:highlight w:val="none"/>
        </w:rPr>
        <w:t>1、综合布线系统</w:t>
      </w:r>
    </w:p>
    <w:p w14:paraId="61421DFA">
      <w:pPr>
        <w:spacing w:line="360" w:lineRule="auto"/>
        <w:ind w:firstLine="420"/>
        <w:rPr>
          <w:rFonts w:hint="eastAsia"/>
          <w:highlight w:val="none"/>
        </w:rPr>
      </w:pPr>
      <w:r>
        <w:rPr>
          <w:rFonts w:hint="eastAsia"/>
          <w:highlight w:val="none"/>
        </w:rPr>
        <w:t>综合布线系统是建筑物或建筑群内的基础传输网络。它既是语音和数据通信设备、交换设备和其他信息管理系统彼此相连，又使这些设备与外部通信网络连接。它包括建筑物到外部网络或电话局线路上的连接点与工作区的语音或数据终端之间的所有电缆及相关联的布线部件。</w:t>
      </w:r>
    </w:p>
    <w:p w14:paraId="4084DF21">
      <w:pPr>
        <w:spacing w:line="360" w:lineRule="auto"/>
        <w:ind w:firstLine="420"/>
        <w:rPr>
          <w:rFonts w:hint="eastAsia"/>
          <w:highlight w:val="none"/>
        </w:rPr>
      </w:pPr>
      <w:r>
        <w:rPr>
          <w:rFonts w:hint="eastAsia"/>
          <w:highlight w:val="none"/>
        </w:rPr>
        <w:t>本系统是整个建筑的各智能化系统的通用平台，是向所有具有通讯要求的设备提供通讯线路的最底层的系统，布线系统应具有先进性、灵活性、实用性和可扩充能力。</w:t>
      </w:r>
    </w:p>
    <w:p w14:paraId="4470D0A0">
      <w:pPr>
        <w:widowControl w:val="0"/>
        <w:numPr>
          <w:ilvl w:val="0"/>
          <w:numId w:val="25"/>
        </w:numPr>
        <w:spacing w:line="360" w:lineRule="auto"/>
        <w:ind w:firstLine="420"/>
        <w:rPr>
          <w:rFonts w:hint="eastAsia"/>
          <w:highlight w:val="none"/>
        </w:rPr>
      </w:pPr>
      <w:r>
        <w:rPr>
          <w:rFonts w:hint="eastAsia"/>
          <w:highlight w:val="none"/>
        </w:rPr>
        <w:t>工作区子系统：本次前端点位设置分5个网（语音网、互联网、业务专网、智能化专网、有线电视网）。</w:t>
      </w:r>
    </w:p>
    <w:p w14:paraId="37006996">
      <w:pPr>
        <w:widowControl w:val="0"/>
        <w:numPr>
          <w:ilvl w:val="0"/>
          <w:numId w:val="25"/>
        </w:numPr>
        <w:spacing w:line="360" w:lineRule="auto"/>
        <w:ind w:firstLine="420"/>
        <w:rPr>
          <w:rFonts w:hint="eastAsia"/>
          <w:highlight w:val="none"/>
        </w:rPr>
      </w:pPr>
      <w:r>
        <w:rPr>
          <w:rFonts w:hint="eastAsia"/>
          <w:highlight w:val="none"/>
        </w:rPr>
        <w:t>水平区子系统：本次数据点和语音点全部采用六类非屏蔽四对双绞线，最长不应超过90米，以满足传输速率的要求。施工时，六类四对八芯非屏蔽对绞线敷设至信息点位置后还需预留0.3米。</w:t>
      </w:r>
    </w:p>
    <w:p w14:paraId="25DF62B4">
      <w:pPr>
        <w:widowControl w:val="0"/>
        <w:numPr>
          <w:ilvl w:val="0"/>
          <w:numId w:val="25"/>
        </w:numPr>
        <w:spacing w:line="360" w:lineRule="auto"/>
        <w:ind w:firstLine="420"/>
        <w:rPr>
          <w:rFonts w:hint="eastAsia"/>
          <w:highlight w:val="none"/>
        </w:rPr>
      </w:pPr>
      <w:r>
        <w:rPr>
          <w:rFonts w:hint="eastAsia"/>
          <w:highlight w:val="none"/>
        </w:rPr>
        <w:t>竖向干线子系统：数据垂直干线采用单模光缆，每个弱电管理间智能化专网1根6芯万兆单模光纤，互联网采用2根6芯万兆单模光纤，业务专网采用2根6芯万兆单模光纤，三网主干由运营商建设。</w:t>
      </w:r>
    </w:p>
    <w:p w14:paraId="05DA6A9C">
      <w:pPr>
        <w:widowControl w:val="0"/>
        <w:numPr>
          <w:ilvl w:val="0"/>
          <w:numId w:val="25"/>
        </w:numPr>
        <w:spacing w:line="360" w:lineRule="auto"/>
        <w:ind w:firstLine="420"/>
        <w:rPr>
          <w:rFonts w:hint="eastAsia"/>
          <w:highlight w:val="none"/>
        </w:rPr>
      </w:pPr>
      <w:r>
        <w:rPr>
          <w:rFonts w:hint="eastAsia"/>
          <w:highlight w:val="none"/>
        </w:rPr>
        <w:t>管理区子系统：本工程楼层弱电间兼作楼层管理间，机柜内设有光纤配线架，铜缆配线架，网络交换机等设备，分别管理相应每层信息点，计算机网络垂直干线采用光纤配线架，数据语音水平配线子系系统采用RJ45端口模块式配线架。三网在弱电间设置分纤箱。</w:t>
      </w:r>
    </w:p>
    <w:p w14:paraId="2738A6A2">
      <w:pPr>
        <w:widowControl w:val="0"/>
        <w:numPr>
          <w:ilvl w:val="0"/>
          <w:numId w:val="25"/>
        </w:numPr>
        <w:spacing w:line="360" w:lineRule="auto"/>
        <w:ind w:firstLine="420"/>
        <w:rPr>
          <w:rFonts w:hint="eastAsia"/>
          <w:highlight w:val="none"/>
        </w:rPr>
      </w:pPr>
      <w:r>
        <w:rPr>
          <w:rFonts w:hint="eastAsia"/>
          <w:highlight w:val="none"/>
        </w:rPr>
        <w:t>设备间子系统：本次智能化专网管理中心设置在6#楼一层消控室，内设置安防机柜，机柜中设置智能化专网核心交换机等相关设备；互联网及业务专网管理中心设置在6#楼一层弱电机房，内设置网络机柜，机柜中设置互联网及业务专网核心交换机等相关设备。</w:t>
      </w:r>
    </w:p>
    <w:p w14:paraId="435D6506">
      <w:pPr>
        <w:spacing w:line="360" w:lineRule="auto"/>
        <w:ind w:firstLine="420"/>
        <w:outlineLvl w:val="2"/>
        <w:rPr>
          <w:rFonts w:hint="eastAsia"/>
          <w:b/>
          <w:bCs/>
          <w:highlight w:val="none"/>
        </w:rPr>
      </w:pPr>
      <w:r>
        <w:rPr>
          <w:rFonts w:hint="eastAsia"/>
          <w:b/>
          <w:bCs/>
          <w:highlight w:val="none"/>
        </w:rPr>
        <w:t>2、计算机网络系统</w:t>
      </w:r>
    </w:p>
    <w:p w14:paraId="70F97EA7">
      <w:pPr>
        <w:spacing w:line="360" w:lineRule="auto"/>
        <w:ind w:firstLine="420"/>
        <w:rPr>
          <w:rFonts w:hint="eastAsia"/>
          <w:highlight w:val="none"/>
        </w:rPr>
      </w:pPr>
      <w:r>
        <w:rPr>
          <w:rFonts w:hint="eastAsia"/>
          <w:highlight w:val="none"/>
        </w:rPr>
        <w:t>计算机网络信息系统以当今流行的网络技术为基础，充分考虑未来计算机网络信息技术的发展，以信息系统的安全为核心，采用合理的网络拓扑结构和网络设备，建立一个高带宽、高速率的计算机网络系统，并满足宽带、DDN专线、FR专线、ISDN等高速信息通道，成为园区智能化信息系统的平台。</w:t>
      </w:r>
    </w:p>
    <w:p w14:paraId="2E7CC6F4">
      <w:pPr>
        <w:spacing w:line="360" w:lineRule="auto"/>
        <w:ind w:firstLine="420"/>
        <w:rPr>
          <w:rFonts w:hint="eastAsia"/>
          <w:highlight w:val="none"/>
        </w:rPr>
      </w:pPr>
      <w:r>
        <w:rPr>
          <w:rFonts w:hint="eastAsia"/>
          <w:highlight w:val="none"/>
        </w:rPr>
        <w:t>本项目要求采用先进成熟的产品与技术，并能满足未来几年数据通信业务发展的功能与性能要求，同时兼顾应用的稳定性与信息安全防护，达到行业先进的目标要求。</w:t>
      </w:r>
    </w:p>
    <w:p w14:paraId="03E942E7">
      <w:pPr>
        <w:spacing w:line="360" w:lineRule="auto"/>
        <w:ind w:firstLine="420"/>
        <w:rPr>
          <w:rFonts w:hint="eastAsia"/>
          <w:highlight w:val="none"/>
        </w:rPr>
      </w:pPr>
      <w:r>
        <w:rPr>
          <w:rFonts w:hint="eastAsia"/>
          <w:highlight w:val="none"/>
        </w:rPr>
        <w:t>1）网络须按层次、分区进行设计，采用网络虚拟化技术，保障网络系统具备高性能和扩展性。</w:t>
      </w:r>
    </w:p>
    <w:p w14:paraId="26B85D9A">
      <w:pPr>
        <w:spacing w:line="360" w:lineRule="auto"/>
        <w:ind w:firstLine="420"/>
        <w:rPr>
          <w:rFonts w:hint="eastAsia"/>
          <w:highlight w:val="none"/>
        </w:rPr>
      </w:pPr>
      <w:r>
        <w:rPr>
          <w:rFonts w:hint="eastAsia"/>
          <w:highlight w:val="none"/>
        </w:rPr>
        <w:t>2）提供的所有设备必须是成熟的产品，保证所提供产品接口的开放性和兼容性，并对所采用的主要硬件设备进行详细的功能及性能说明。</w:t>
      </w:r>
    </w:p>
    <w:p w14:paraId="09EBB3F1">
      <w:pPr>
        <w:spacing w:line="360" w:lineRule="auto"/>
        <w:ind w:firstLine="420"/>
        <w:rPr>
          <w:rFonts w:hint="eastAsia"/>
          <w:highlight w:val="none"/>
        </w:rPr>
      </w:pPr>
      <w:r>
        <w:rPr>
          <w:rFonts w:hint="eastAsia"/>
          <w:highlight w:val="none"/>
        </w:rPr>
        <w:t>3）提供的设备应满足用户的应用需要，在容量、功能、性能和管理等方面完全满足技术规格的要求。</w:t>
      </w:r>
    </w:p>
    <w:p w14:paraId="3262D39B">
      <w:pPr>
        <w:spacing w:line="360" w:lineRule="auto"/>
        <w:ind w:firstLine="420"/>
        <w:rPr>
          <w:rFonts w:hint="eastAsia"/>
          <w:highlight w:val="none"/>
        </w:rPr>
      </w:pPr>
      <w:r>
        <w:rPr>
          <w:rFonts w:hint="eastAsia"/>
          <w:highlight w:val="none"/>
        </w:rPr>
        <w:t>4）提供的软件应包括确保网络正常运行所需的管理、运营、维护等有关的全部软件，用户具有合法的使用权。</w:t>
      </w:r>
    </w:p>
    <w:p w14:paraId="145CBDD9">
      <w:pPr>
        <w:spacing w:line="360" w:lineRule="auto"/>
        <w:ind w:firstLine="420"/>
        <w:rPr>
          <w:rFonts w:hint="eastAsia"/>
          <w:highlight w:val="none"/>
        </w:rPr>
      </w:pPr>
      <w:r>
        <w:rPr>
          <w:rFonts w:hint="eastAsia"/>
          <w:kern w:val="2"/>
          <w:highlight w:val="none"/>
        </w:rPr>
        <w:t>考虑到随着高新技术不断发展和新技术层出不穷，新的数据库系统和应用系统不断发展，系统的网络传输带宽的需求越来越高，以及系统的不断升级和以后大数据量处理的要求，在网络设计中，必须考虑到以下几个方面的特点和要求：</w:t>
      </w:r>
    </w:p>
    <w:p w14:paraId="44EBEDD2">
      <w:pPr>
        <w:widowControl w:val="0"/>
        <w:numPr>
          <w:ilvl w:val="0"/>
          <w:numId w:val="26"/>
        </w:numPr>
        <w:spacing w:after="120" w:line="360" w:lineRule="auto"/>
        <w:ind w:left="0" w:firstLine="480" w:firstLineChars="200"/>
        <w:jc w:val="both"/>
        <w:rPr>
          <w:rFonts w:hint="eastAsia"/>
          <w:kern w:val="2"/>
          <w:highlight w:val="none"/>
        </w:rPr>
      </w:pPr>
      <w:r>
        <w:rPr>
          <w:rFonts w:hint="eastAsia"/>
          <w:kern w:val="2"/>
          <w:highlight w:val="none"/>
        </w:rPr>
        <w:t>大容量、高速率，以满足大量的专业数据、多媒体信息等信息处理要求；</w:t>
      </w:r>
    </w:p>
    <w:p w14:paraId="2A0F6FC6">
      <w:pPr>
        <w:widowControl w:val="0"/>
        <w:numPr>
          <w:ilvl w:val="0"/>
          <w:numId w:val="26"/>
        </w:numPr>
        <w:spacing w:after="120" w:line="360" w:lineRule="auto"/>
        <w:ind w:left="0" w:firstLine="480" w:firstLineChars="200"/>
        <w:jc w:val="both"/>
        <w:rPr>
          <w:rFonts w:hint="eastAsia"/>
          <w:kern w:val="2"/>
          <w:highlight w:val="none"/>
        </w:rPr>
      </w:pPr>
      <w:r>
        <w:rPr>
          <w:rFonts w:hint="eastAsia"/>
          <w:kern w:val="2"/>
          <w:highlight w:val="none"/>
        </w:rPr>
        <w:t>先进成熟的、便于升级换代的、园区主流产品技术；</w:t>
      </w:r>
    </w:p>
    <w:p w14:paraId="2D3FDAA5">
      <w:pPr>
        <w:widowControl w:val="0"/>
        <w:numPr>
          <w:ilvl w:val="0"/>
          <w:numId w:val="26"/>
        </w:numPr>
        <w:spacing w:after="120" w:line="360" w:lineRule="auto"/>
        <w:ind w:left="0" w:firstLine="480" w:firstLineChars="200"/>
        <w:jc w:val="both"/>
        <w:rPr>
          <w:rFonts w:hint="eastAsia"/>
          <w:kern w:val="2"/>
          <w:highlight w:val="none"/>
        </w:rPr>
      </w:pPr>
      <w:r>
        <w:rPr>
          <w:rFonts w:hint="eastAsia"/>
          <w:kern w:val="2"/>
          <w:highlight w:val="none"/>
        </w:rPr>
        <w:t>灵活性和可扩充性，可以方便灵活进行网络结构调整；</w:t>
      </w:r>
    </w:p>
    <w:p w14:paraId="05B3AC02">
      <w:pPr>
        <w:widowControl w:val="0"/>
        <w:numPr>
          <w:ilvl w:val="0"/>
          <w:numId w:val="26"/>
        </w:numPr>
        <w:spacing w:after="120" w:line="360" w:lineRule="auto"/>
        <w:ind w:left="0" w:firstLine="480" w:firstLineChars="200"/>
        <w:jc w:val="both"/>
        <w:rPr>
          <w:rFonts w:hint="eastAsia"/>
          <w:kern w:val="2"/>
          <w:highlight w:val="none"/>
        </w:rPr>
      </w:pPr>
      <w:r>
        <w:rPr>
          <w:rFonts w:hint="eastAsia"/>
          <w:kern w:val="2"/>
          <w:highlight w:val="none"/>
        </w:rPr>
        <w:t>满足网络传输信息结构多样化；</w:t>
      </w:r>
    </w:p>
    <w:p w14:paraId="58DA87D1">
      <w:pPr>
        <w:widowControl w:val="0"/>
        <w:numPr>
          <w:ilvl w:val="0"/>
          <w:numId w:val="26"/>
        </w:numPr>
        <w:spacing w:after="120" w:line="360" w:lineRule="auto"/>
        <w:ind w:left="0" w:firstLine="480" w:firstLineChars="200"/>
        <w:jc w:val="both"/>
        <w:rPr>
          <w:rFonts w:hint="eastAsia"/>
          <w:kern w:val="2"/>
          <w:highlight w:val="none"/>
        </w:rPr>
      </w:pPr>
      <w:r>
        <w:rPr>
          <w:rFonts w:hint="eastAsia"/>
          <w:kern w:val="2"/>
          <w:highlight w:val="none"/>
        </w:rPr>
        <w:t>完善的监控、管理手段，以便于及时发现问题，及早解决；</w:t>
      </w:r>
    </w:p>
    <w:p w14:paraId="52993484">
      <w:pPr>
        <w:widowControl w:val="0"/>
        <w:numPr>
          <w:ilvl w:val="0"/>
          <w:numId w:val="26"/>
        </w:numPr>
        <w:spacing w:after="120" w:line="360" w:lineRule="auto"/>
        <w:ind w:left="0" w:firstLine="480" w:firstLineChars="200"/>
        <w:jc w:val="both"/>
        <w:rPr>
          <w:rFonts w:hint="eastAsia"/>
          <w:kern w:val="2"/>
          <w:highlight w:val="none"/>
        </w:rPr>
      </w:pPr>
      <w:r>
        <w:rPr>
          <w:rFonts w:hint="eastAsia"/>
          <w:kern w:val="2"/>
          <w:highlight w:val="none"/>
        </w:rPr>
        <w:t>网络安全、可靠；</w:t>
      </w:r>
    </w:p>
    <w:p w14:paraId="5A8092C1">
      <w:pPr>
        <w:widowControl w:val="0"/>
        <w:numPr>
          <w:ilvl w:val="0"/>
          <w:numId w:val="26"/>
        </w:numPr>
        <w:spacing w:after="120" w:line="360" w:lineRule="auto"/>
        <w:ind w:left="0" w:firstLine="480" w:firstLineChars="200"/>
        <w:jc w:val="both"/>
        <w:rPr>
          <w:rFonts w:hint="eastAsia"/>
          <w:kern w:val="2"/>
          <w:highlight w:val="none"/>
        </w:rPr>
      </w:pPr>
      <w:r>
        <w:rPr>
          <w:rFonts w:hint="eastAsia"/>
          <w:kern w:val="2"/>
          <w:highlight w:val="none"/>
        </w:rPr>
        <w:t>高度的可用性，用和管理应简便易行，界面友好；</w:t>
      </w:r>
    </w:p>
    <w:p w14:paraId="118AD80C">
      <w:pPr>
        <w:widowControl w:val="0"/>
        <w:numPr>
          <w:ilvl w:val="0"/>
          <w:numId w:val="26"/>
        </w:numPr>
        <w:spacing w:line="360" w:lineRule="auto"/>
        <w:ind w:left="0" w:firstLine="480" w:firstLineChars="200"/>
        <w:rPr>
          <w:rFonts w:hint="eastAsia"/>
          <w:highlight w:val="none"/>
        </w:rPr>
      </w:pPr>
      <w:r>
        <w:rPr>
          <w:rFonts w:hint="eastAsia"/>
          <w:kern w:val="2"/>
          <w:highlight w:val="none"/>
        </w:rPr>
        <w:t>高性价比，做到经济、实用。</w:t>
      </w:r>
    </w:p>
    <w:p w14:paraId="168F0759">
      <w:pPr>
        <w:spacing w:line="360" w:lineRule="auto"/>
        <w:ind w:firstLine="420"/>
        <w:rPr>
          <w:rFonts w:hint="eastAsia"/>
          <w:highlight w:val="none"/>
        </w:rPr>
      </w:pPr>
      <w:r>
        <w:rPr>
          <w:rFonts w:hint="eastAsia"/>
          <w:highlight w:val="none"/>
        </w:rPr>
        <w:t>网络系统的管理在网络系统应用中的地位相当重要。完善、有效的网络管理可以确保网络系统的正常运行和使用，并能在网络出现故障时迅速确定故障位置，以便最快地解决问题，减轻维护的工作量和难度。计算机网络系统应满足建筑使用功能、业务需求及信息传输的要求，并配置信息安全保障设备及网络安全管理系统。</w:t>
      </w:r>
    </w:p>
    <w:p w14:paraId="0819A3A6">
      <w:pPr>
        <w:widowControl w:val="0"/>
        <w:numPr>
          <w:ilvl w:val="0"/>
          <w:numId w:val="27"/>
        </w:numPr>
        <w:spacing w:line="360" w:lineRule="auto"/>
        <w:ind w:firstLine="420"/>
        <w:outlineLvl w:val="3"/>
        <w:rPr>
          <w:rFonts w:hint="eastAsia"/>
          <w:b/>
          <w:bCs/>
          <w:highlight w:val="none"/>
        </w:rPr>
      </w:pPr>
      <w:r>
        <w:rPr>
          <w:rFonts w:hint="eastAsia"/>
          <w:b/>
          <w:bCs/>
          <w:highlight w:val="none"/>
        </w:rPr>
        <w:t>智能化专网：</w:t>
      </w:r>
    </w:p>
    <w:p w14:paraId="5AA7C143">
      <w:pPr>
        <w:widowControl w:val="0"/>
        <w:numPr>
          <w:ilvl w:val="0"/>
          <w:numId w:val="28"/>
        </w:numPr>
        <w:spacing w:line="360" w:lineRule="auto"/>
        <w:ind w:left="0" w:firstLine="480" w:firstLineChars="200"/>
        <w:rPr>
          <w:rFonts w:hint="eastAsia"/>
          <w:highlight w:val="none"/>
        </w:rPr>
      </w:pPr>
      <w:r>
        <w:rPr>
          <w:rFonts w:hint="eastAsia"/>
          <w:highlight w:val="none"/>
        </w:rPr>
        <w:t>核心采用万兆核心交换机，接入层采用千兆交换机；</w:t>
      </w:r>
    </w:p>
    <w:p w14:paraId="70AE1CC0">
      <w:pPr>
        <w:widowControl w:val="0"/>
        <w:numPr>
          <w:ilvl w:val="0"/>
          <w:numId w:val="28"/>
        </w:numPr>
        <w:spacing w:line="360" w:lineRule="auto"/>
        <w:ind w:left="0" w:firstLine="480" w:firstLineChars="200"/>
        <w:rPr>
          <w:rFonts w:hint="eastAsia"/>
          <w:highlight w:val="none"/>
        </w:rPr>
      </w:pPr>
      <w:r>
        <w:rPr>
          <w:rFonts w:hint="eastAsia"/>
          <w:bCs/>
          <w:highlight w:val="none"/>
        </w:rPr>
        <w:t>设备网核心交换机除光接口业务板外，还配置电接口业务板用于连接监控存储设备；</w:t>
      </w:r>
    </w:p>
    <w:p w14:paraId="6291E3CA">
      <w:pPr>
        <w:widowControl w:val="0"/>
        <w:numPr>
          <w:ilvl w:val="0"/>
          <w:numId w:val="28"/>
        </w:numPr>
        <w:spacing w:line="360" w:lineRule="auto"/>
        <w:ind w:left="0" w:firstLine="480" w:firstLineChars="200"/>
        <w:rPr>
          <w:rFonts w:hint="eastAsia"/>
          <w:highlight w:val="none"/>
        </w:rPr>
      </w:pPr>
      <w:r>
        <w:rPr>
          <w:rFonts w:hint="eastAsia"/>
          <w:bCs/>
          <w:highlight w:val="none"/>
        </w:rPr>
        <w:t>智能化专网交换机为内部视频监控、门禁、道闸、楼控等系统的接入提供相应的服务；</w:t>
      </w:r>
    </w:p>
    <w:p w14:paraId="11DCA7E8">
      <w:pPr>
        <w:widowControl w:val="0"/>
        <w:numPr>
          <w:ilvl w:val="0"/>
          <w:numId w:val="27"/>
        </w:numPr>
        <w:spacing w:line="360" w:lineRule="auto"/>
        <w:ind w:firstLine="420"/>
        <w:outlineLvl w:val="3"/>
        <w:rPr>
          <w:rFonts w:hint="eastAsia"/>
          <w:b/>
          <w:bCs/>
          <w:highlight w:val="none"/>
        </w:rPr>
      </w:pPr>
      <w:r>
        <w:rPr>
          <w:rFonts w:hint="eastAsia"/>
          <w:b/>
          <w:bCs/>
          <w:highlight w:val="none"/>
        </w:rPr>
        <w:t>业务专网：</w:t>
      </w:r>
    </w:p>
    <w:p w14:paraId="59223BDB">
      <w:pPr>
        <w:widowControl w:val="0"/>
        <w:numPr>
          <w:ilvl w:val="0"/>
          <w:numId w:val="28"/>
        </w:numPr>
        <w:spacing w:line="360" w:lineRule="auto"/>
        <w:ind w:left="0" w:firstLine="480" w:firstLineChars="200"/>
        <w:rPr>
          <w:rFonts w:hint="eastAsia"/>
          <w:highlight w:val="none"/>
        </w:rPr>
      </w:pPr>
      <w:r>
        <w:rPr>
          <w:rFonts w:hint="eastAsia"/>
          <w:highlight w:val="none"/>
        </w:rPr>
        <w:t>核心采用万兆核心交换机，接入层采用千兆交换机；</w:t>
      </w:r>
    </w:p>
    <w:p w14:paraId="115F32D4">
      <w:pPr>
        <w:widowControl w:val="0"/>
        <w:numPr>
          <w:ilvl w:val="0"/>
          <w:numId w:val="28"/>
        </w:numPr>
        <w:spacing w:line="360" w:lineRule="auto"/>
        <w:ind w:left="0" w:firstLine="480" w:firstLineChars="200"/>
        <w:rPr>
          <w:rFonts w:hint="eastAsia"/>
          <w:highlight w:val="none"/>
        </w:rPr>
      </w:pPr>
      <w:r>
        <w:rPr>
          <w:rFonts w:hint="eastAsia"/>
          <w:bCs/>
          <w:highlight w:val="none"/>
        </w:rPr>
        <w:t>业务专网交换机为办证服务中心的信息网络提供相应的服务；</w:t>
      </w:r>
    </w:p>
    <w:p w14:paraId="0C2DA292">
      <w:pPr>
        <w:widowControl w:val="0"/>
        <w:numPr>
          <w:ilvl w:val="0"/>
          <w:numId w:val="28"/>
        </w:numPr>
        <w:spacing w:line="360" w:lineRule="auto"/>
        <w:ind w:left="0" w:firstLine="480" w:firstLineChars="200"/>
        <w:rPr>
          <w:rFonts w:hint="eastAsia"/>
          <w:highlight w:val="none"/>
        </w:rPr>
      </w:pPr>
      <w:r>
        <w:rPr>
          <w:rFonts w:hint="eastAsia"/>
          <w:bCs/>
          <w:highlight w:val="none"/>
        </w:rPr>
        <w:t>安全：设置防火墙、路由器；</w:t>
      </w:r>
    </w:p>
    <w:p w14:paraId="4DC26D51">
      <w:pPr>
        <w:widowControl w:val="0"/>
        <w:numPr>
          <w:ilvl w:val="0"/>
          <w:numId w:val="27"/>
        </w:numPr>
        <w:spacing w:line="360" w:lineRule="auto"/>
        <w:ind w:firstLine="420"/>
        <w:outlineLvl w:val="3"/>
        <w:rPr>
          <w:rFonts w:hint="eastAsia"/>
          <w:b/>
          <w:bCs/>
          <w:highlight w:val="none"/>
        </w:rPr>
      </w:pPr>
      <w:r>
        <w:rPr>
          <w:rFonts w:hint="eastAsia"/>
          <w:b/>
          <w:bCs/>
          <w:highlight w:val="none"/>
        </w:rPr>
        <w:t>互联网：</w:t>
      </w:r>
    </w:p>
    <w:p w14:paraId="36E891B2">
      <w:pPr>
        <w:widowControl w:val="0"/>
        <w:numPr>
          <w:ilvl w:val="0"/>
          <w:numId w:val="28"/>
        </w:numPr>
        <w:spacing w:line="360" w:lineRule="auto"/>
        <w:ind w:left="0" w:firstLine="480" w:firstLineChars="200"/>
        <w:rPr>
          <w:rFonts w:hint="eastAsia"/>
          <w:highlight w:val="none"/>
        </w:rPr>
      </w:pPr>
      <w:r>
        <w:rPr>
          <w:rFonts w:hint="eastAsia"/>
          <w:highlight w:val="none"/>
        </w:rPr>
        <w:t>核心采用万兆核心交换机，接入层采用千兆交换机；</w:t>
      </w:r>
    </w:p>
    <w:p w14:paraId="132A2844">
      <w:pPr>
        <w:widowControl w:val="0"/>
        <w:numPr>
          <w:ilvl w:val="0"/>
          <w:numId w:val="28"/>
        </w:numPr>
        <w:spacing w:line="360" w:lineRule="auto"/>
        <w:ind w:left="0" w:firstLine="480" w:firstLineChars="200"/>
        <w:rPr>
          <w:rFonts w:hint="eastAsia"/>
          <w:highlight w:val="none"/>
        </w:rPr>
      </w:pPr>
      <w:r>
        <w:rPr>
          <w:rFonts w:hint="eastAsia"/>
          <w:bCs/>
          <w:highlight w:val="none"/>
        </w:rPr>
        <w:t>互联网交换机为园区办公信息网络、管理信息网络、无线WIFI网络提供相应的服务；</w:t>
      </w:r>
    </w:p>
    <w:p w14:paraId="535780EF">
      <w:pPr>
        <w:widowControl w:val="0"/>
        <w:numPr>
          <w:ilvl w:val="0"/>
          <w:numId w:val="28"/>
        </w:numPr>
        <w:spacing w:line="360" w:lineRule="auto"/>
        <w:ind w:left="0" w:firstLine="480" w:firstLineChars="200"/>
        <w:rPr>
          <w:rFonts w:hint="eastAsia"/>
          <w:highlight w:val="none"/>
        </w:rPr>
      </w:pPr>
      <w:r>
        <w:rPr>
          <w:rFonts w:hint="eastAsia"/>
          <w:bCs/>
          <w:highlight w:val="none"/>
        </w:rPr>
        <w:t>安全：设置防火墙、路由器。</w:t>
      </w:r>
    </w:p>
    <w:p w14:paraId="5EFA2E8F">
      <w:pPr>
        <w:spacing w:line="360" w:lineRule="auto"/>
        <w:ind w:firstLine="480" w:firstLineChars="200"/>
        <w:rPr>
          <w:rFonts w:hint="eastAsia"/>
          <w:highlight w:val="none"/>
          <w:lang w:val="zh-CN"/>
        </w:rPr>
      </w:pPr>
      <w:r>
        <w:rPr>
          <w:rFonts w:hint="eastAsia"/>
          <w:highlight w:val="none"/>
          <w:lang w:val="zh-CN"/>
        </w:rPr>
        <w:t>计算机网络系统中使用的设备必须符合国家法律法规和现行强制性标准的要求，并经法定机构检验或认证合格。</w:t>
      </w:r>
    </w:p>
    <w:p w14:paraId="3ED906B5">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26E310AB">
      <w:pPr>
        <w:spacing w:line="360" w:lineRule="auto"/>
        <w:ind w:firstLine="480" w:firstLineChars="200"/>
        <w:rPr>
          <w:rFonts w:hint="eastAsia"/>
          <w:highlight w:val="none"/>
        </w:rPr>
      </w:pPr>
      <w:r>
        <w:rPr>
          <w:rFonts w:hint="eastAsia"/>
          <w:highlight w:val="none"/>
          <w:lang w:val="zh-CN"/>
        </w:rPr>
        <w:t>处于沿海地区等腐蚀性环境的LED视频显示屏应采取防腐蚀措施。</w:t>
      </w:r>
    </w:p>
    <w:p w14:paraId="70032B76">
      <w:pPr>
        <w:spacing w:line="360" w:lineRule="auto"/>
        <w:ind w:firstLine="420"/>
        <w:outlineLvl w:val="2"/>
        <w:rPr>
          <w:rFonts w:hint="eastAsia"/>
          <w:b/>
          <w:bCs/>
          <w:highlight w:val="none"/>
        </w:rPr>
      </w:pPr>
      <w:r>
        <w:rPr>
          <w:rFonts w:hint="eastAsia"/>
          <w:b/>
          <w:bCs/>
          <w:highlight w:val="none"/>
        </w:rPr>
        <w:t>3、语音通信系统</w:t>
      </w:r>
    </w:p>
    <w:p w14:paraId="44A748AD">
      <w:pPr>
        <w:spacing w:line="360" w:lineRule="auto"/>
        <w:ind w:firstLine="420"/>
        <w:rPr>
          <w:rFonts w:hint="eastAsia"/>
          <w:highlight w:val="none"/>
        </w:rPr>
      </w:pPr>
      <w:r>
        <w:rPr>
          <w:rFonts w:hint="eastAsia"/>
          <w:highlight w:val="none"/>
        </w:rPr>
        <w:t>语音通信系统接入要求：语音业务、数据业务；</w:t>
      </w:r>
    </w:p>
    <w:p w14:paraId="609BE398">
      <w:pPr>
        <w:spacing w:line="360" w:lineRule="auto"/>
        <w:ind w:firstLine="420"/>
        <w:rPr>
          <w:rFonts w:hint="eastAsia"/>
          <w:highlight w:val="none"/>
        </w:rPr>
      </w:pPr>
      <w:r>
        <w:rPr>
          <w:rFonts w:hint="eastAsia"/>
          <w:highlight w:val="none"/>
        </w:rPr>
        <w:t>由运营商建设完成（接入运营商机房实施前由甲方确认），弱电施工单位负责管路路由及配合工作。</w:t>
      </w:r>
    </w:p>
    <w:p w14:paraId="57773AC0">
      <w:pPr>
        <w:spacing w:line="360" w:lineRule="auto"/>
        <w:ind w:firstLine="420"/>
        <w:rPr>
          <w:rFonts w:hint="eastAsia"/>
          <w:highlight w:val="none"/>
        </w:rPr>
      </w:pPr>
      <w:r>
        <w:rPr>
          <w:rFonts w:hint="eastAsia"/>
          <w:highlight w:val="none"/>
        </w:rPr>
        <w:t>1）信息接入系统应具有将建筑物内所需的公共信息及专用信息接入的功能，通信网、有线电视网应接入有需求的建筑物内，并合理配置信息接入系统设施用房。</w:t>
      </w:r>
    </w:p>
    <w:p w14:paraId="1415AD3F">
      <w:pPr>
        <w:spacing w:line="360" w:lineRule="auto"/>
        <w:ind w:firstLine="420"/>
        <w:rPr>
          <w:rFonts w:hint="eastAsia"/>
          <w:highlight w:val="none"/>
        </w:rPr>
      </w:pPr>
      <w:r>
        <w:rPr>
          <w:rFonts w:hint="eastAsia"/>
          <w:highlight w:val="none"/>
        </w:rPr>
        <w:t>2）本工程信息接入系统采用光纤到户方式建设。</w:t>
      </w:r>
    </w:p>
    <w:p w14:paraId="1EA40708">
      <w:pPr>
        <w:spacing w:line="360" w:lineRule="auto"/>
        <w:ind w:firstLine="420"/>
        <w:rPr>
          <w:rFonts w:hint="eastAsia"/>
          <w:highlight w:val="none"/>
        </w:rPr>
      </w:pPr>
      <w:r>
        <w:rPr>
          <w:rFonts w:hint="eastAsia"/>
          <w:highlight w:val="none"/>
        </w:rPr>
        <w:t>3）光纤到用户单元通信设施工程的设计必须满足多家电信业务经营者平等接入、用户单元内的通信业务使用者可自由选择电信业务经营者的要求。</w:t>
      </w:r>
    </w:p>
    <w:p w14:paraId="15AE79C7">
      <w:pPr>
        <w:spacing w:line="360" w:lineRule="auto"/>
        <w:ind w:firstLine="420"/>
        <w:outlineLvl w:val="2"/>
        <w:rPr>
          <w:rFonts w:hint="eastAsia"/>
          <w:b/>
          <w:bCs/>
          <w:highlight w:val="none"/>
        </w:rPr>
      </w:pPr>
      <w:r>
        <w:rPr>
          <w:rFonts w:hint="eastAsia"/>
          <w:b/>
          <w:bCs/>
          <w:highlight w:val="none"/>
        </w:rPr>
        <w:t>4、室内5G信号覆盖系统</w:t>
      </w:r>
    </w:p>
    <w:p w14:paraId="61827FCA">
      <w:pPr>
        <w:spacing w:line="360" w:lineRule="auto"/>
        <w:ind w:firstLine="420"/>
        <w:rPr>
          <w:rFonts w:hint="eastAsia"/>
          <w:highlight w:val="none"/>
        </w:rPr>
      </w:pPr>
      <w:r>
        <w:rPr>
          <w:rFonts w:hint="eastAsia"/>
          <w:highlight w:val="none"/>
        </w:rPr>
        <w:t>本系统由运营商建设完成，公共移动通信信号应覆盖至建筑物的地下公共空间、客梯轿厢内，实现园区内5G信号全覆盖。</w:t>
      </w:r>
    </w:p>
    <w:p w14:paraId="666D4092">
      <w:pPr>
        <w:spacing w:line="360" w:lineRule="auto"/>
        <w:ind w:firstLine="420"/>
        <w:rPr>
          <w:rFonts w:hint="eastAsia"/>
          <w:highlight w:val="none"/>
        </w:rPr>
      </w:pPr>
      <w:r>
        <w:rPr>
          <w:rFonts w:hint="eastAsia"/>
          <w:highlight w:val="none"/>
        </w:rPr>
        <w:t>本工程弱电预留管路桥架，弱电施工单位进行配合铁塔公司进行5G信号布置等相关工作。</w:t>
      </w:r>
    </w:p>
    <w:p w14:paraId="0853193A">
      <w:pPr>
        <w:spacing w:line="360" w:lineRule="auto"/>
        <w:ind w:firstLine="420"/>
        <w:rPr>
          <w:rFonts w:hint="eastAsia"/>
          <w:highlight w:val="none"/>
        </w:rPr>
      </w:pPr>
      <w:r>
        <w:rPr>
          <w:rFonts w:hint="eastAsia"/>
          <w:bCs/>
          <w:highlight w:val="none"/>
        </w:rPr>
        <w:t>系统保证在本项目内的任何地方都能无障碍的进行移动通信，是实现通信调度中心“数字办公”的通信基础。系统要求支持中国移动、中国联通、中国电信、网通等多个运营商的GSM和CDMA制式。</w:t>
      </w:r>
    </w:p>
    <w:p w14:paraId="76FB8708">
      <w:pPr>
        <w:spacing w:line="360" w:lineRule="auto"/>
        <w:ind w:firstLine="420"/>
        <w:outlineLvl w:val="2"/>
        <w:rPr>
          <w:rFonts w:hint="eastAsia"/>
          <w:b/>
          <w:bCs/>
          <w:highlight w:val="none"/>
        </w:rPr>
      </w:pPr>
      <w:r>
        <w:rPr>
          <w:rFonts w:hint="eastAsia"/>
          <w:b/>
          <w:bCs/>
          <w:highlight w:val="none"/>
        </w:rPr>
        <w:t>5、有线电视系统</w:t>
      </w:r>
    </w:p>
    <w:p w14:paraId="2A782A41">
      <w:pPr>
        <w:spacing w:line="360" w:lineRule="auto"/>
        <w:ind w:firstLine="420"/>
        <w:rPr>
          <w:rFonts w:hint="eastAsia"/>
          <w:highlight w:val="none"/>
        </w:rPr>
      </w:pPr>
      <w:r>
        <w:rPr>
          <w:rFonts w:hint="eastAsia"/>
          <w:highlight w:val="none"/>
        </w:rPr>
        <w:t>有线电视系统接入要求：电视业务；</w:t>
      </w:r>
    </w:p>
    <w:p w14:paraId="5EF9CC43">
      <w:pPr>
        <w:spacing w:line="360" w:lineRule="auto"/>
        <w:ind w:firstLine="420"/>
        <w:rPr>
          <w:rFonts w:hint="eastAsia"/>
          <w:highlight w:val="none"/>
        </w:rPr>
      </w:pPr>
      <w:r>
        <w:rPr>
          <w:rFonts w:hint="eastAsia"/>
          <w:highlight w:val="none"/>
        </w:rPr>
        <w:t>由运营商建设完成（接入运营商机房实施前由甲方确认），弱电施工单位负责管路路由及配合工作。</w:t>
      </w:r>
    </w:p>
    <w:p w14:paraId="301E1F93">
      <w:pPr>
        <w:spacing w:line="360" w:lineRule="auto"/>
        <w:ind w:firstLine="420"/>
        <w:rPr>
          <w:rFonts w:hint="eastAsia"/>
          <w:highlight w:val="none"/>
        </w:rPr>
      </w:pPr>
      <w:r>
        <w:rPr>
          <w:rFonts w:hint="eastAsia"/>
          <w:highlight w:val="none"/>
        </w:rPr>
        <w:t>有线电视系统终端输出电平满足用户接收设备对输入电平的要求。</w:t>
      </w:r>
    </w:p>
    <w:p w14:paraId="0EAE2033">
      <w:pPr>
        <w:spacing w:line="360" w:lineRule="auto"/>
        <w:ind w:firstLine="420"/>
        <w:outlineLvl w:val="2"/>
        <w:rPr>
          <w:rFonts w:hint="eastAsia"/>
          <w:b/>
          <w:bCs/>
          <w:highlight w:val="none"/>
        </w:rPr>
      </w:pPr>
      <w:r>
        <w:rPr>
          <w:rFonts w:hint="eastAsia"/>
          <w:b/>
          <w:bCs/>
          <w:highlight w:val="none"/>
        </w:rPr>
        <w:t>6、背景音乐系统</w:t>
      </w:r>
    </w:p>
    <w:p w14:paraId="4915F72E">
      <w:pPr>
        <w:spacing w:line="360" w:lineRule="auto"/>
        <w:ind w:firstLine="420"/>
        <w:rPr>
          <w:rFonts w:hint="eastAsia"/>
          <w:highlight w:val="none"/>
        </w:rPr>
      </w:pPr>
      <w:r>
        <w:rPr>
          <w:rFonts w:hint="eastAsia"/>
          <w:highlight w:val="none"/>
        </w:rPr>
        <w:t>背景音乐的主要作用是掩盖噪声并创造轻松愉快的环境氛围，是优化环境的重要手段之一。它要求扬声器要分散均匀布置，无明显声源方向性，且音量适宜，不影响人群正常交谈。背景音乐可以起到宣传、播放通知、疏散引导和找人等作用。该功能要求扩声系统的声场强度略高于背景音乐，以不影响两人对面讲话为原则。</w:t>
      </w:r>
    </w:p>
    <w:p w14:paraId="6AB87175">
      <w:pPr>
        <w:spacing w:line="360" w:lineRule="auto"/>
        <w:ind w:firstLine="420"/>
        <w:rPr>
          <w:rFonts w:hint="eastAsia"/>
          <w:highlight w:val="none"/>
        </w:rPr>
      </w:pPr>
      <w:r>
        <w:rPr>
          <w:rFonts w:hint="eastAsia"/>
          <w:b/>
          <w:bCs/>
          <w:highlight w:val="none"/>
        </w:rPr>
        <w:t>1）设计要求：</w:t>
      </w:r>
      <w:r>
        <w:rPr>
          <w:rFonts w:hint="eastAsia"/>
          <w:highlight w:val="none"/>
        </w:rPr>
        <w:t>系统设计需要满足消防应急广播要求符合消防设计标准；播放背景音乐；业务性广播；背景音乐系统要能够灵活划分分区，满足不同区域音源输入的播放需求。</w:t>
      </w:r>
    </w:p>
    <w:p w14:paraId="40E575DD">
      <w:pPr>
        <w:spacing w:line="360" w:lineRule="auto"/>
        <w:ind w:firstLine="420"/>
        <w:rPr>
          <w:rFonts w:hint="eastAsia"/>
          <w:highlight w:val="none"/>
        </w:rPr>
      </w:pPr>
      <w:r>
        <w:rPr>
          <w:rFonts w:hint="eastAsia"/>
          <w:b/>
          <w:bCs/>
          <w:highlight w:val="none"/>
        </w:rPr>
        <w:t>2）系统设计：</w:t>
      </w:r>
      <w:r>
        <w:rPr>
          <w:rFonts w:hint="eastAsia"/>
          <w:highlight w:val="none"/>
        </w:rPr>
        <w:t>该系统采用IP网络广播架构。主要有音源、IP网络远程寻呼站、CD播放器、数字调谐器、网络音频采集终端、智能控制主机等。在整个系统的分区设计时我们充分考虑了广播对扬声器分区的要求，室外空间布置草坪音响，4#~6#楼（精装修部分）室内扬声器与消防广播合用。</w:t>
      </w:r>
    </w:p>
    <w:p w14:paraId="3DE76964">
      <w:pPr>
        <w:spacing w:line="360" w:lineRule="auto"/>
        <w:ind w:firstLine="420"/>
        <w:rPr>
          <w:rFonts w:hint="eastAsia"/>
          <w:highlight w:val="none"/>
        </w:rPr>
      </w:pPr>
      <w:r>
        <w:rPr>
          <w:rFonts w:hint="eastAsia"/>
          <w:b/>
          <w:bCs/>
          <w:highlight w:val="none"/>
        </w:rPr>
        <w:t>3）管理形式：</w:t>
      </w:r>
      <w:r>
        <w:rPr>
          <w:rFonts w:hint="eastAsia"/>
          <w:highlight w:val="none"/>
        </w:rPr>
        <w:t>背景音乐结合不同场景及功能分区,采用不同功能分区独立控制管理的形式。</w:t>
      </w:r>
    </w:p>
    <w:p w14:paraId="71C2ED74">
      <w:pPr>
        <w:widowControl w:val="0"/>
        <w:numPr>
          <w:ilvl w:val="0"/>
          <w:numId w:val="28"/>
        </w:numPr>
        <w:spacing w:line="360" w:lineRule="auto"/>
        <w:ind w:left="0" w:firstLine="480" w:firstLineChars="200"/>
        <w:rPr>
          <w:rFonts w:hint="eastAsia"/>
          <w:highlight w:val="none"/>
        </w:rPr>
      </w:pPr>
      <w:r>
        <w:rPr>
          <w:rFonts w:hint="eastAsia"/>
          <w:highlight w:val="none"/>
        </w:rPr>
        <w:t>公共广播系统应具有实时发布语音广播的功能。当公共广播系统具有多种语音广播用途时，应有一个广播传声器处于最高广播优先级。</w:t>
      </w:r>
    </w:p>
    <w:p w14:paraId="5E1C69F5">
      <w:pPr>
        <w:widowControl w:val="0"/>
        <w:numPr>
          <w:ilvl w:val="0"/>
          <w:numId w:val="28"/>
        </w:numPr>
        <w:spacing w:line="360" w:lineRule="auto"/>
        <w:ind w:left="0" w:firstLine="480" w:firstLineChars="200"/>
        <w:rPr>
          <w:rFonts w:hint="eastAsia"/>
          <w:highlight w:val="none"/>
        </w:rPr>
      </w:pPr>
      <w:r>
        <w:rPr>
          <w:rFonts w:hint="eastAsia"/>
          <w:highlight w:val="none"/>
        </w:rPr>
        <w:t>紧急广播应具有最高级别的优先权，紧急广播系统备用电源的连续供电时间应与消防疏散指示标志照明备用电源的连续供电时间一致。</w:t>
      </w:r>
    </w:p>
    <w:p w14:paraId="0319CEB9">
      <w:pPr>
        <w:widowControl w:val="0"/>
        <w:numPr>
          <w:ilvl w:val="0"/>
          <w:numId w:val="28"/>
        </w:numPr>
        <w:spacing w:line="360" w:lineRule="auto"/>
        <w:ind w:left="0" w:firstLine="480" w:firstLineChars="200"/>
        <w:rPr>
          <w:rFonts w:hint="eastAsia"/>
          <w:highlight w:val="none"/>
        </w:rPr>
      </w:pPr>
      <w:r>
        <w:rPr>
          <w:rFonts w:hint="eastAsia"/>
          <w:highlight w:val="none"/>
        </w:rPr>
        <w:t>公共广播系统应能在手动或警报信号触发的10s内，向相关广播区播放警示信号（含警笛）、警报语音或实时指挥语音。</w:t>
      </w:r>
    </w:p>
    <w:p w14:paraId="101C4635">
      <w:pPr>
        <w:widowControl w:val="0"/>
        <w:numPr>
          <w:ilvl w:val="0"/>
          <w:numId w:val="28"/>
        </w:numPr>
        <w:spacing w:line="360" w:lineRule="auto"/>
        <w:ind w:left="0" w:firstLine="480" w:firstLineChars="200"/>
        <w:rPr>
          <w:rFonts w:hint="eastAsia"/>
          <w:highlight w:val="none"/>
        </w:rPr>
      </w:pPr>
      <w:r>
        <w:rPr>
          <w:rFonts w:hint="eastAsia"/>
          <w:highlight w:val="none"/>
        </w:rPr>
        <w:t>以现场环境噪声为基准，紧急广播的信噪比应等于或大于12dB。</w:t>
      </w:r>
    </w:p>
    <w:p w14:paraId="27BE1F2C">
      <w:pPr>
        <w:spacing w:line="360" w:lineRule="auto"/>
        <w:ind w:firstLine="480" w:firstLineChars="200"/>
        <w:rPr>
          <w:rFonts w:hint="eastAsia"/>
          <w:highlight w:val="none"/>
          <w:lang w:val="zh-CN"/>
        </w:rPr>
      </w:pPr>
      <w:r>
        <w:rPr>
          <w:rFonts w:hint="eastAsia"/>
          <w:highlight w:val="none"/>
          <w:lang w:val="zh-CN"/>
        </w:rPr>
        <w:t>背景音乐系统中使用的设备必须符合国家法律法规和现行强制性标准的要求，并经法定机构检验或认证合格。</w:t>
      </w:r>
    </w:p>
    <w:p w14:paraId="43BEA324">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038572D9">
      <w:pPr>
        <w:spacing w:line="360" w:lineRule="auto"/>
        <w:ind w:firstLine="480" w:firstLineChars="200"/>
        <w:rPr>
          <w:rFonts w:hint="eastAsia"/>
          <w:highlight w:val="none"/>
          <w:lang w:val="zh-CN"/>
        </w:rPr>
      </w:pPr>
      <w:r>
        <w:rPr>
          <w:rFonts w:hint="eastAsia"/>
          <w:highlight w:val="none"/>
          <w:lang w:val="zh-CN"/>
        </w:rPr>
        <w:t>处于沿海地区等腐蚀性环境的LED视频显示屏应采取防腐蚀措施。</w:t>
      </w:r>
    </w:p>
    <w:p w14:paraId="3193AF59">
      <w:pPr>
        <w:spacing w:line="360" w:lineRule="auto"/>
        <w:ind w:firstLine="480" w:firstLineChars="200"/>
        <w:rPr>
          <w:rFonts w:hint="eastAsia"/>
          <w:highlight w:val="none"/>
          <w:lang w:val="zh-CN"/>
        </w:rPr>
      </w:pPr>
      <w:r>
        <w:rPr>
          <w:rFonts w:hint="eastAsia"/>
          <w:highlight w:val="none"/>
          <w:lang w:val="zh-CN"/>
        </w:rPr>
        <w:t>当公共广播系统有多种用途时，紧急广播应具有最高级别的优先权。公共广播系统应能在手动或警报信号触发的10s内，向相关广播区播放警示信号（含警笛）、警报语声文件或实时指挥语声。</w:t>
      </w:r>
    </w:p>
    <w:p w14:paraId="09BAABDF">
      <w:pPr>
        <w:spacing w:line="360" w:lineRule="auto"/>
        <w:ind w:firstLine="480" w:firstLineChars="200"/>
        <w:rPr>
          <w:rFonts w:hint="eastAsia"/>
          <w:highlight w:val="none"/>
          <w:lang w:val="zh-CN"/>
        </w:rPr>
      </w:pPr>
      <w:r>
        <w:rPr>
          <w:rFonts w:hint="eastAsia"/>
          <w:highlight w:val="none"/>
          <w:lang w:val="zh-CN"/>
        </w:rPr>
        <w:t>以现场环境噪声为基准，紧急广播的信噪比应等于或大于12dB。</w:t>
      </w:r>
    </w:p>
    <w:p w14:paraId="596048E0">
      <w:pPr>
        <w:spacing w:line="360" w:lineRule="auto"/>
        <w:ind w:firstLine="480" w:firstLineChars="200"/>
        <w:rPr>
          <w:rFonts w:hint="eastAsia"/>
          <w:highlight w:val="none"/>
          <w:lang w:val="zh-CN"/>
        </w:rPr>
      </w:pPr>
      <w:r>
        <w:rPr>
          <w:rFonts w:hint="eastAsia"/>
          <w:highlight w:val="none"/>
          <w:lang w:val="zh-CN"/>
        </w:rPr>
        <w:t>广播扬声器应使用阻燃材料，或具有阻燃后罩结构。</w:t>
      </w:r>
    </w:p>
    <w:p w14:paraId="5DD8A26C">
      <w:pPr>
        <w:spacing w:line="360" w:lineRule="auto"/>
        <w:ind w:firstLine="480" w:firstLineChars="200"/>
        <w:rPr>
          <w:rFonts w:hint="eastAsia"/>
          <w:highlight w:val="none"/>
          <w:lang w:val="zh-CN"/>
        </w:rPr>
      </w:pPr>
      <w:r>
        <w:rPr>
          <w:rFonts w:hint="eastAsia"/>
          <w:highlight w:val="none"/>
          <w:lang w:val="zh-CN"/>
        </w:rPr>
        <w:t>紧急广播系统备用电源的连续供电时间，必须与消防疏散指示标志照明备用电源的连续供电时间一致。</w:t>
      </w:r>
    </w:p>
    <w:p w14:paraId="5ADBFC66">
      <w:pPr>
        <w:spacing w:line="360" w:lineRule="auto"/>
        <w:ind w:firstLine="480" w:firstLineChars="200"/>
        <w:rPr>
          <w:rFonts w:hint="eastAsia"/>
          <w:highlight w:val="none"/>
          <w:lang w:val="zh-CN"/>
        </w:rPr>
      </w:pPr>
      <w:r>
        <w:rPr>
          <w:rFonts w:hint="eastAsia"/>
          <w:highlight w:val="none"/>
          <w:lang w:val="zh-CN"/>
        </w:rPr>
        <w:t>火灾隐患地区使用的紧急广播传输线路及其线槽（或线管）应采用阻燃材料。</w:t>
      </w:r>
    </w:p>
    <w:p w14:paraId="446EB5DD">
      <w:pPr>
        <w:spacing w:line="360" w:lineRule="auto"/>
        <w:ind w:firstLine="480" w:firstLineChars="200"/>
        <w:rPr>
          <w:rFonts w:hint="eastAsia"/>
          <w:highlight w:val="none"/>
          <w:lang w:val="zh-CN"/>
        </w:rPr>
      </w:pPr>
      <w:r>
        <w:rPr>
          <w:rFonts w:hint="eastAsia"/>
          <w:highlight w:val="none"/>
          <w:lang w:val="zh-CN"/>
        </w:rPr>
        <w:t>具有室外传输线路（除光缆外）的公共广播系统应有防雷设施。公共广播系统的防雷和接地应符合现行国家标准的有关规定。</w:t>
      </w:r>
    </w:p>
    <w:p w14:paraId="6643ACD5">
      <w:pPr>
        <w:spacing w:line="360" w:lineRule="auto"/>
        <w:ind w:firstLine="420"/>
        <w:outlineLvl w:val="2"/>
        <w:rPr>
          <w:rFonts w:hint="eastAsia"/>
          <w:b/>
          <w:bCs/>
          <w:highlight w:val="none"/>
        </w:rPr>
      </w:pPr>
      <w:r>
        <w:rPr>
          <w:rFonts w:hint="eastAsia"/>
          <w:b/>
          <w:bCs/>
          <w:highlight w:val="none"/>
        </w:rPr>
        <w:t>7、多媒体信息发布系统</w:t>
      </w:r>
    </w:p>
    <w:p w14:paraId="4D4A6781">
      <w:pPr>
        <w:spacing w:line="360" w:lineRule="auto"/>
        <w:ind w:firstLine="420"/>
        <w:rPr>
          <w:rFonts w:hint="eastAsia"/>
          <w:highlight w:val="none"/>
        </w:rPr>
      </w:pPr>
      <w:r>
        <w:rPr>
          <w:rFonts w:hint="eastAsia"/>
          <w:highlight w:val="none"/>
        </w:rPr>
        <w:t>本次主要针对室外主出入口、大堂、电梯厅等处布置LED全彩屏，针对来访人员及园区工作人员，整个工程需要实时对外公布基本信息、公告、宣传的视频资料；充分的、多方面的利用了LED大屏的用途。</w:t>
      </w:r>
    </w:p>
    <w:p w14:paraId="3A71B0EE">
      <w:pPr>
        <w:spacing w:line="360" w:lineRule="auto"/>
        <w:ind w:firstLine="420"/>
        <w:rPr>
          <w:rFonts w:hint="eastAsia"/>
          <w:highlight w:val="none"/>
          <w:lang w:val="zh-CN"/>
        </w:rPr>
      </w:pPr>
      <w:r>
        <w:rPr>
          <w:rFonts w:hint="eastAsia"/>
          <w:highlight w:val="none"/>
          <w:lang w:val="zh-CN"/>
        </w:rPr>
        <w:t>通过网络化的方式传输到指定的宣传发布点进行播出，将视频、音频、图片信息和滚动字幕等各类组合的多媒体信息通过网络传输到分布在不同位置的媒体显示端，为到访者提供各类信息的有效平台，成为本工程的一个展示的窗口，同时软件具有多场地重复使用的特点，使得在同一时间，不同地点，实现统一宣传成为可能，并且大大节省了重复投资，实现了宣传的一体化。</w:t>
      </w:r>
    </w:p>
    <w:p w14:paraId="369D77F9">
      <w:pPr>
        <w:spacing w:line="360" w:lineRule="auto"/>
        <w:ind w:firstLine="420"/>
        <w:rPr>
          <w:rFonts w:hint="eastAsia"/>
          <w:highlight w:val="none"/>
          <w:lang w:val="zh-CN"/>
        </w:rPr>
      </w:pPr>
      <w:r>
        <w:rPr>
          <w:rFonts w:hint="eastAsia"/>
          <w:highlight w:val="none"/>
          <w:lang w:val="zh-CN"/>
        </w:rPr>
        <w:t>本系统采用TCP/IP传输协议的网络架构，由中心控制系统和显示终端所构成，构建一个通过集中管理实时多路播出的具有统一调度与灵活分组分区的多媒体信息发布平台，操作人员通过信息发布服务器端进行节目内容采集、编排、发布和管理等功能操作，节目通过网络传输到各显控终端进行本地存储及信息实时播放。能够实现点对点的控制与管理，也可以实现群组管理。</w:t>
      </w:r>
    </w:p>
    <w:p w14:paraId="5210594F">
      <w:pPr>
        <w:spacing w:line="360" w:lineRule="auto"/>
        <w:ind w:firstLine="420"/>
        <w:rPr>
          <w:rFonts w:hint="eastAsia"/>
          <w:highlight w:val="none"/>
          <w:lang w:val="zh-CN"/>
        </w:rPr>
      </w:pPr>
      <w:r>
        <w:rPr>
          <w:rFonts w:hint="eastAsia"/>
          <w:highlight w:val="none"/>
          <w:lang w:val="zh-CN"/>
        </w:rPr>
        <w:t>本</w:t>
      </w:r>
      <w:r>
        <w:rPr>
          <w:rFonts w:hint="eastAsia"/>
          <w:highlight w:val="none"/>
        </w:rPr>
        <w:t>系统能进行网络多级管理和远程控制开关机控制，可采用在线/离线显示方式统一发</w:t>
      </w:r>
      <w:r>
        <w:rPr>
          <w:rFonts w:hint="eastAsia"/>
          <w:highlight w:val="none"/>
          <w:lang w:val="zh-CN"/>
        </w:rPr>
        <w:t>布相同内容或针对单点/多点发布不同信息，信息内容易编辑，发布内容可以包含由管理端实时采集的发布信息。</w:t>
      </w:r>
    </w:p>
    <w:p w14:paraId="583EFAF9">
      <w:pPr>
        <w:spacing w:line="360" w:lineRule="auto"/>
        <w:ind w:firstLine="420"/>
        <w:rPr>
          <w:rFonts w:hint="eastAsia"/>
          <w:highlight w:val="none"/>
          <w:lang w:val="zh-CN"/>
        </w:rPr>
      </w:pPr>
      <w:r>
        <w:rPr>
          <w:rFonts w:hint="eastAsia"/>
          <w:highlight w:val="none"/>
          <w:lang w:val="zh-CN"/>
        </w:rPr>
        <w:t>系统设备应满足防潮、防火、防雷等要求。</w:t>
      </w:r>
    </w:p>
    <w:p w14:paraId="032F030B">
      <w:pPr>
        <w:spacing w:line="360" w:lineRule="auto"/>
        <w:ind w:firstLine="420"/>
        <w:rPr>
          <w:rFonts w:hint="eastAsia"/>
          <w:highlight w:val="none"/>
          <w:lang w:val="zh-CN"/>
        </w:rPr>
      </w:pPr>
      <w:r>
        <w:rPr>
          <w:rFonts w:hint="eastAsia"/>
          <w:highlight w:val="none"/>
          <w:lang w:val="zh-CN"/>
        </w:rPr>
        <w:t>处于沿海地区等腐蚀性环境的LED视频显示屏应采取防腐蚀措施。</w:t>
      </w:r>
    </w:p>
    <w:p w14:paraId="3D9475A4">
      <w:pPr>
        <w:spacing w:line="360" w:lineRule="auto"/>
        <w:ind w:firstLine="420"/>
        <w:rPr>
          <w:rFonts w:hint="eastAsia"/>
          <w:highlight w:val="none"/>
          <w:lang w:val="zh-CN"/>
        </w:rPr>
      </w:pPr>
      <w:r>
        <w:rPr>
          <w:highlight w:val="none"/>
          <w:lang w:val="zh-CN"/>
        </w:rPr>
        <w:t>选用高性能的</w:t>
      </w:r>
      <w:r>
        <w:rPr>
          <w:rFonts w:hint="eastAsia"/>
          <w:highlight w:val="none"/>
          <w:lang w:val="zh-CN"/>
        </w:rPr>
        <w:t>显示设备</w:t>
      </w:r>
      <w:r>
        <w:rPr>
          <w:highlight w:val="none"/>
          <w:lang w:val="zh-CN"/>
        </w:rPr>
        <w:t>，确保演示文稿、视频等内容能够清晰显示。</w:t>
      </w:r>
    </w:p>
    <w:p w14:paraId="0371FAB6">
      <w:pPr>
        <w:spacing w:line="360" w:lineRule="auto"/>
        <w:ind w:firstLine="420"/>
        <w:rPr>
          <w:rFonts w:hint="eastAsia"/>
          <w:highlight w:val="none"/>
          <w:lang w:val="zh-CN"/>
        </w:rPr>
      </w:pPr>
      <w:r>
        <w:rPr>
          <w:highlight w:val="none"/>
          <w:lang w:val="zh-CN"/>
        </w:rPr>
        <w:t>配置高质量的音响系统，包括扬声器、麦克风等，确保声音的放大和传输效果。</w:t>
      </w:r>
    </w:p>
    <w:p w14:paraId="46ABD256">
      <w:pPr>
        <w:spacing w:line="360" w:lineRule="auto"/>
        <w:ind w:firstLine="420"/>
        <w:rPr>
          <w:rFonts w:hint="eastAsia"/>
          <w:highlight w:val="none"/>
          <w:lang w:val="zh-CN"/>
        </w:rPr>
      </w:pPr>
      <w:r>
        <w:rPr>
          <w:highlight w:val="none"/>
          <w:lang w:val="zh-CN"/>
        </w:rPr>
        <w:t>采用先进的中央控制技术，实现对会议室各种电子设备的集中控制和管理。</w:t>
      </w:r>
    </w:p>
    <w:p w14:paraId="48B10C40">
      <w:pPr>
        <w:spacing w:line="360" w:lineRule="auto"/>
        <w:ind w:firstLine="420"/>
        <w:rPr>
          <w:rFonts w:hint="eastAsia"/>
          <w:highlight w:val="none"/>
          <w:lang w:val="zh-CN"/>
        </w:rPr>
      </w:pPr>
      <w:r>
        <w:rPr>
          <w:highlight w:val="none"/>
          <w:lang w:val="zh-CN"/>
        </w:rPr>
        <w:t>确保音视频信号的同步性，避免延迟或不匹配导致的沟通障碍。</w:t>
      </w:r>
    </w:p>
    <w:p w14:paraId="4B2FD960">
      <w:pPr>
        <w:spacing w:line="360" w:lineRule="auto"/>
        <w:ind w:firstLine="420"/>
        <w:rPr>
          <w:rFonts w:hint="eastAsia"/>
          <w:highlight w:val="none"/>
        </w:rPr>
      </w:pPr>
      <w:r>
        <w:rPr>
          <w:rFonts w:hint="eastAsia"/>
          <w:highlight w:val="none"/>
        </w:rPr>
        <w:t>本系统管理中心设置6#楼一层消控室。</w:t>
      </w:r>
    </w:p>
    <w:p w14:paraId="05B327D2">
      <w:pPr>
        <w:spacing w:line="360" w:lineRule="auto"/>
        <w:ind w:firstLine="420"/>
        <w:rPr>
          <w:rFonts w:hint="eastAsia"/>
          <w:highlight w:val="none"/>
        </w:rPr>
      </w:pPr>
      <w:r>
        <w:rPr>
          <w:rFonts w:hint="eastAsia"/>
          <w:highlight w:val="none"/>
        </w:rPr>
        <w:t>设置区域（具体以图纸为准）：</w:t>
      </w:r>
    </w:p>
    <w:tbl>
      <w:tblPr>
        <w:tblStyle w:val="35"/>
        <w:tblW w:w="8490" w:type="dxa"/>
        <w:tblInd w:w="93" w:type="dxa"/>
        <w:tblLayout w:type="autofit"/>
        <w:tblCellMar>
          <w:top w:w="0" w:type="dxa"/>
          <w:left w:w="108" w:type="dxa"/>
          <w:bottom w:w="0" w:type="dxa"/>
          <w:right w:w="108" w:type="dxa"/>
        </w:tblCellMar>
      </w:tblPr>
      <w:tblGrid>
        <w:gridCol w:w="615"/>
        <w:gridCol w:w="2616"/>
        <w:gridCol w:w="4241"/>
        <w:gridCol w:w="1080"/>
      </w:tblGrid>
      <w:tr w14:paraId="145ED8D3">
        <w:tblPrEx>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450B6500">
            <w:pPr>
              <w:jc w:val="center"/>
              <w:textAlignment w:val="center"/>
              <w:rPr>
                <w:rFonts w:hint="eastAsia"/>
                <w:highlight w:val="none"/>
              </w:rPr>
            </w:pPr>
            <w:r>
              <w:rPr>
                <w:rFonts w:hint="eastAsia"/>
                <w:highlight w:val="none"/>
              </w:rPr>
              <w:t>序号</w:t>
            </w:r>
          </w:p>
        </w:tc>
        <w:tc>
          <w:tcPr>
            <w:tcW w:w="2565" w:type="dxa"/>
            <w:tcBorders>
              <w:top w:val="single" w:color="000000" w:sz="4" w:space="0"/>
              <w:left w:val="single" w:color="000000" w:sz="4" w:space="0"/>
              <w:bottom w:val="single" w:color="000000" w:sz="4" w:space="0"/>
              <w:right w:val="single" w:color="000000" w:sz="4" w:space="0"/>
            </w:tcBorders>
            <w:noWrap/>
            <w:vAlign w:val="center"/>
          </w:tcPr>
          <w:p w14:paraId="612E964D">
            <w:pPr>
              <w:jc w:val="center"/>
              <w:textAlignment w:val="center"/>
              <w:rPr>
                <w:rFonts w:hint="eastAsia"/>
                <w:highlight w:val="none"/>
              </w:rPr>
            </w:pPr>
            <w:r>
              <w:rPr>
                <w:rFonts w:hint="eastAsia"/>
                <w:highlight w:val="none"/>
              </w:rPr>
              <w:t>设置区域</w:t>
            </w:r>
          </w:p>
        </w:tc>
        <w:tc>
          <w:tcPr>
            <w:tcW w:w="4241" w:type="dxa"/>
            <w:tcBorders>
              <w:top w:val="single" w:color="000000" w:sz="4" w:space="0"/>
              <w:left w:val="single" w:color="000000" w:sz="4" w:space="0"/>
              <w:bottom w:val="single" w:color="000000" w:sz="4" w:space="0"/>
              <w:right w:val="single" w:color="000000" w:sz="4" w:space="0"/>
            </w:tcBorders>
            <w:noWrap/>
            <w:vAlign w:val="center"/>
          </w:tcPr>
          <w:p w14:paraId="5348F7FD">
            <w:pPr>
              <w:jc w:val="center"/>
              <w:textAlignment w:val="center"/>
              <w:rPr>
                <w:rFonts w:hint="eastAsia"/>
                <w:highlight w:val="none"/>
              </w:rPr>
            </w:pPr>
            <w:r>
              <w:rPr>
                <w:rFonts w:hint="eastAsia"/>
                <w:highlight w:val="none"/>
              </w:rPr>
              <w:t>信息发布尺寸及参数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5E93F5">
            <w:pPr>
              <w:jc w:val="center"/>
              <w:textAlignment w:val="center"/>
              <w:rPr>
                <w:rFonts w:hint="eastAsia"/>
                <w:highlight w:val="none"/>
              </w:rPr>
            </w:pPr>
            <w:r>
              <w:rPr>
                <w:rFonts w:hint="eastAsia"/>
                <w:highlight w:val="none"/>
              </w:rPr>
              <w:t>数量</w:t>
            </w:r>
          </w:p>
        </w:tc>
      </w:tr>
      <w:tr w14:paraId="2EB9D4C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B0E0AF">
            <w:pPr>
              <w:jc w:val="center"/>
              <w:textAlignment w:val="center"/>
              <w:rPr>
                <w:rFonts w:hint="eastAsia"/>
                <w:highlight w:val="none"/>
              </w:rPr>
            </w:pPr>
            <w:r>
              <w:rPr>
                <w:rFonts w:hint="eastAsia"/>
                <w:highlight w:val="none"/>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DA85EBC">
            <w:pPr>
              <w:jc w:val="center"/>
              <w:textAlignment w:val="center"/>
              <w:rPr>
                <w:rFonts w:hint="eastAsia"/>
                <w:highlight w:val="none"/>
              </w:rPr>
            </w:pPr>
            <w:r>
              <w:rPr>
                <w:rFonts w:hint="eastAsia"/>
                <w:highlight w:val="none"/>
              </w:rPr>
              <w:t>1#楼一层大堂、电梯厅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471EDF">
            <w:pPr>
              <w:jc w:val="center"/>
              <w:textAlignment w:val="center"/>
              <w:rPr>
                <w:rFonts w:hint="eastAsia"/>
                <w:highlight w:val="none"/>
              </w:rPr>
            </w:pPr>
            <w:r>
              <w:rPr>
                <w:rFonts w:hint="eastAsia"/>
                <w:highlight w:val="none"/>
              </w:rPr>
              <w:t>P1.5 LED全彩屏：3500*1200mm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84346">
            <w:pPr>
              <w:jc w:val="center"/>
              <w:textAlignment w:val="center"/>
              <w:rPr>
                <w:rFonts w:hint="eastAsia"/>
                <w:highlight w:val="none"/>
              </w:rPr>
            </w:pPr>
            <w:r>
              <w:rPr>
                <w:rFonts w:hint="eastAsia"/>
                <w:highlight w:val="none"/>
              </w:rPr>
              <w:t>2</w:t>
            </w:r>
          </w:p>
        </w:tc>
      </w:tr>
      <w:tr w14:paraId="50754CCB">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24DC44">
            <w:pPr>
              <w:jc w:val="center"/>
              <w:textAlignment w:val="center"/>
              <w:rPr>
                <w:rFonts w:hint="eastAsia"/>
                <w:highlight w:val="none"/>
              </w:rPr>
            </w:pPr>
            <w:r>
              <w:rPr>
                <w:rFonts w:hint="eastAsia"/>
                <w:highlight w:val="none"/>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22EDD9">
            <w:pPr>
              <w:jc w:val="center"/>
              <w:rPr>
                <w:rFonts w:hint="eastAsia"/>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0B932B">
            <w:pPr>
              <w:jc w:val="center"/>
              <w:textAlignment w:val="center"/>
              <w:rPr>
                <w:rFonts w:hint="eastAsia"/>
                <w:highlight w:val="none"/>
              </w:rPr>
            </w:pPr>
            <w:r>
              <w:rPr>
                <w:rFonts w:hint="eastAsia"/>
                <w:highlight w:val="none"/>
              </w:rPr>
              <w:t>P1.5 LED全彩屏：1500x2000mm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9C3B2">
            <w:pPr>
              <w:jc w:val="center"/>
              <w:textAlignment w:val="center"/>
              <w:rPr>
                <w:rFonts w:hint="eastAsia"/>
                <w:highlight w:val="none"/>
              </w:rPr>
            </w:pPr>
            <w:r>
              <w:rPr>
                <w:rFonts w:hint="eastAsia"/>
                <w:highlight w:val="none"/>
              </w:rPr>
              <w:t>1</w:t>
            </w:r>
          </w:p>
        </w:tc>
      </w:tr>
      <w:tr w14:paraId="4847F94B">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0FEC60">
            <w:pPr>
              <w:jc w:val="center"/>
              <w:textAlignment w:val="center"/>
              <w:rPr>
                <w:rFonts w:hint="eastAsia"/>
                <w:highlight w:val="none"/>
              </w:rPr>
            </w:pPr>
            <w:r>
              <w:rPr>
                <w:rFonts w:hint="eastAsia"/>
                <w:highlight w:val="none"/>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BF68A">
            <w:pPr>
              <w:jc w:val="center"/>
              <w:textAlignment w:val="center"/>
              <w:rPr>
                <w:rFonts w:hint="eastAsia"/>
                <w:highlight w:val="none"/>
              </w:rPr>
            </w:pPr>
            <w:r>
              <w:rPr>
                <w:rFonts w:hint="eastAsia"/>
                <w:highlight w:val="none"/>
              </w:rPr>
              <w:t>1#楼二层电梯厅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DF9E7">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48F0BA">
            <w:pPr>
              <w:jc w:val="center"/>
              <w:textAlignment w:val="center"/>
              <w:rPr>
                <w:rFonts w:hint="eastAsia"/>
                <w:highlight w:val="none"/>
              </w:rPr>
            </w:pPr>
            <w:r>
              <w:rPr>
                <w:rFonts w:hint="eastAsia"/>
                <w:highlight w:val="none"/>
              </w:rPr>
              <w:t>2</w:t>
            </w:r>
          </w:p>
        </w:tc>
      </w:tr>
      <w:tr w14:paraId="5A658F73">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339767">
            <w:pPr>
              <w:jc w:val="center"/>
              <w:textAlignment w:val="center"/>
              <w:rPr>
                <w:rFonts w:hint="eastAsia"/>
                <w:highlight w:val="none"/>
              </w:rPr>
            </w:pPr>
            <w:r>
              <w:rPr>
                <w:rFonts w:hint="eastAsia"/>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440623">
            <w:pPr>
              <w:jc w:val="center"/>
              <w:textAlignment w:val="center"/>
              <w:rPr>
                <w:rFonts w:hint="eastAsia"/>
                <w:highlight w:val="none"/>
              </w:rPr>
            </w:pPr>
            <w:r>
              <w:rPr>
                <w:rFonts w:hint="eastAsia"/>
                <w:highlight w:val="none"/>
              </w:rPr>
              <w:t>1#楼三层电梯厅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AC3DA2">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C576A6">
            <w:pPr>
              <w:jc w:val="center"/>
              <w:textAlignment w:val="center"/>
              <w:rPr>
                <w:rFonts w:hint="eastAsia"/>
                <w:highlight w:val="none"/>
              </w:rPr>
            </w:pPr>
            <w:r>
              <w:rPr>
                <w:rFonts w:hint="eastAsia"/>
                <w:highlight w:val="none"/>
              </w:rPr>
              <w:t>2</w:t>
            </w:r>
          </w:p>
        </w:tc>
      </w:tr>
      <w:tr w14:paraId="28F4AA1D">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3D241E">
            <w:pPr>
              <w:jc w:val="center"/>
              <w:textAlignment w:val="center"/>
              <w:rPr>
                <w:rFonts w:hint="eastAsia"/>
                <w:highlight w:val="none"/>
              </w:rPr>
            </w:pPr>
            <w:r>
              <w:rPr>
                <w:rFonts w:hint="eastAsia"/>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9F579C">
            <w:pPr>
              <w:jc w:val="center"/>
              <w:textAlignment w:val="center"/>
              <w:rPr>
                <w:rFonts w:hint="eastAsia"/>
                <w:highlight w:val="none"/>
              </w:rPr>
            </w:pPr>
            <w:r>
              <w:rPr>
                <w:rFonts w:hint="eastAsia"/>
                <w:highlight w:val="none"/>
              </w:rPr>
              <w:t>1#楼四层电梯厅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F0C4CE">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BAD11A">
            <w:pPr>
              <w:jc w:val="center"/>
              <w:textAlignment w:val="center"/>
              <w:rPr>
                <w:rFonts w:hint="eastAsia"/>
                <w:highlight w:val="none"/>
              </w:rPr>
            </w:pPr>
            <w:r>
              <w:rPr>
                <w:rFonts w:hint="eastAsia"/>
                <w:highlight w:val="none"/>
              </w:rPr>
              <w:t>2</w:t>
            </w:r>
          </w:p>
        </w:tc>
      </w:tr>
      <w:tr w14:paraId="656D7C4C">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2EE1F1">
            <w:pPr>
              <w:jc w:val="center"/>
              <w:textAlignment w:val="center"/>
              <w:rPr>
                <w:rFonts w:hint="eastAsia"/>
                <w:highlight w:val="none"/>
              </w:rPr>
            </w:pPr>
            <w:r>
              <w:rPr>
                <w:rFonts w:hint="eastAsia"/>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EB85D">
            <w:pPr>
              <w:jc w:val="center"/>
              <w:textAlignment w:val="center"/>
              <w:rPr>
                <w:rFonts w:hint="eastAsia"/>
                <w:highlight w:val="none"/>
              </w:rPr>
            </w:pPr>
            <w:r>
              <w:rPr>
                <w:rFonts w:hint="eastAsia"/>
                <w:highlight w:val="none"/>
              </w:rPr>
              <w:t>1#楼五层电梯厅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138B25">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DEF98">
            <w:pPr>
              <w:jc w:val="center"/>
              <w:textAlignment w:val="center"/>
              <w:rPr>
                <w:rFonts w:hint="eastAsia"/>
                <w:highlight w:val="none"/>
              </w:rPr>
            </w:pPr>
            <w:r>
              <w:rPr>
                <w:rFonts w:hint="eastAsia"/>
                <w:highlight w:val="none"/>
              </w:rPr>
              <w:t>2</w:t>
            </w:r>
          </w:p>
        </w:tc>
      </w:tr>
      <w:tr w14:paraId="720E2A9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4666E5">
            <w:pPr>
              <w:jc w:val="center"/>
              <w:textAlignment w:val="center"/>
              <w:rPr>
                <w:rFonts w:hint="eastAsia"/>
                <w:highlight w:val="none"/>
              </w:rPr>
            </w:pPr>
            <w:r>
              <w:rPr>
                <w:rFonts w:hint="eastAsia"/>
                <w:highlight w:val="none"/>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63FA1">
            <w:pPr>
              <w:jc w:val="center"/>
              <w:textAlignment w:val="center"/>
              <w:rPr>
                <w:rFonts w:hint="eastAsia"/>
                <w:highlight w:val="none"/>
              </w:rPr>
            </w:pPr>
            <w:r>
              <w:rPr>
                <w:rFonts w:hint="eastAsia"/>
                <w:highlight w:val="none"/>
              </w:rPr>
              <w:t>1#楼六层电梯厅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23AE33">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DEA289">
            <w:pPr>
              <w:jc w:val="center"/>
              <w:textAlignment w:val="center"/>
              <w:rPr>
                <w:rFonts w:hint="eastAsia"/>
                <w:highlight w:val="none"/>
              </w:rPr>
            </w:pPr>
            <w:r>
              <w:rPr>
                <w:rFonts w:hint="eastAsia"/>
                <w:highlight w:val="none"/>
              </w:rPr>
              <w:t>2</w:t>
            </w:r>
          </w:p>
        </w:tc>
      </w:tr>
      <w:tr w14:paraId="58F6B0DE">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851EB4">
            <w:pPr>
              <w:jc w:val="center"/>
              <w:textAlignment w:val="center"/>
              <w:rPr>
                <w:rFonts w:hint="eastAsia"/>
                <w:highlight w:val="none"/>
              </w:rPr>
            </w:pPr>
            <w:r>
              <w:rPr>
                <w:rFonts w:hint="eastAsia"/>
                <w:highlight w:val="none"/>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F7A141">
            <w:pPr>
              <w:jc w:val="center"/>
              <w:textAlignment w:val="center"/>
              <w:rPr>
                <w:rFonts w:hint="eastAsia"/>
                <w:highlight w:val="none"/>
              </w:rPr>
            </w:pPr>
            <w:r>
              <w:rPr>
                <w:rFonts w:hint="eastAsia"/>
                <w:highlight w:val="none"/>
              </w:rPr>
              <w:t>1#楼七层电梯厅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F2077E">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162E2F">
            <w:pPr>
              <w:jc w:val="center"/>
              <w:textAlignment w:val="center"/>
              <w:rPr>
                <w:rFonts w:hint="eastAsia"/>
                <w:highlight w:val="none"/>
              </w:rPr>
            </w:pPr>
            <w:r>
              <w:rPr>
                <w:rFonts w:hint="eastAsia"/>
                <w:highlight w:val="none"/>
              </w:rPr>
              <w:t>2</w:t>
            </w:r>
          </w:p>
        </w:tc>
      </w:tr>
      <w:tr w14:paraId="6583CB3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EC0ECA">
            <w:pPr>
              <w:jc w:val="center"/>
              <w:textAlignment w:val="center"/>
              <w:rPr>
                <w:rFonts w:hint="eastAsia"/>
                <w:highlight w:val="none"/>
              </w:rPr>
            </w:pPr>
            <w:r>
              <w:rPr>
                <w:rFonts w:hint="eastAsia"/>
                <w:highlight w:val="none"/>
              </w:rPr>
              <w:t>9</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D002291">
            <w:pPr>
              <w:jc w:val="center"/>
              <w:textAlignment w:val="center"/>
              <w:rPr>
                <w:rFonts w:hint="eastAsia"/>
                <w:highlight w:val="none"/>
              </w:rPr>
            </w:pPr>
            <w:r>
              <w:rPr>
                <w:rFonts w:hint="eastAsia"/>
                <w:highlight w:val="none"/>
              </w:rPr>
              <w:t>2#楼二层大堂、电梯厅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ADD95">
            <w:pPr>
              <w:jc w:val="center"/>
              <w:textAlignment w:val="center"/>
              <w:rPr>
                <w:rFonts w:hint="eastAsia"/>
                <w:highlight w:val="none"/>
              </w:rPr>
            </w:pPr>
            <w:r>
              <w:rPr>
                <w:rFonts w:hint="eastAsia"/>
                <w:highlight w:val="none"/>
              </w:rPr>
              <w:t>P1.5 LED全彩屏：3500*1200mm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36CDA">
            <w:pPr>
              <w:jc w:val="center"/>
              <w:textAlignment w:val="center"/>
              <w:rPr>
                <w:rFonts w:hint="eastAsia"/>
                <w:highlight w:val="none"/>
              </w:rPr>
            </w:pPr>
            <w:r>
              <w:rPr>
                <w:rFonts w:hint="eastAsia"/>
                <w:highlight w:val="none"/>
              </w:rPr>
              <w:t>2</w:t>
            </w:r>
          </w:p>
        </w:tc>
      </w:tr>
      <w:tr w14:paraId="0D89D19E">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18365B">
            <w:pPr>
              <w:jc w:val="center"/>
              <w:textAlignment w:val="center"/>
              <w:rPr>
                <w:rFonts w:hint="eastAsia"/>
                <w:highlight w:val="none"/>
              </w:rPr>
            </w:pPr>
            <w:r>
              <w:rPr>
                <w:rFonts w:hint="eastAsia"/>
                <w:highlight w:val="none"/>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EA0313">
            <w:pPr>
              <w:jc w:val="center"/>
              <w:rPr>
                <w:rFonts w:hint="eastAsia"/>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84A45B">
            <w:pPr>
              <w:jc w:val="center"/>
              <w:textAlignment w:val="center"/>
              <w:rPr>
                <w:rFonts w:hint="eastAsia"/>
                <w:highlight w:val="none"/>
              </w:rPr>
            </w:pPr>
            <w:r>
              <w:rPr>
                <w:rFonts w:hint="eastAsia"/>
                <w:highlight w:val="none"/>
              </w:rPr>
              <w:t>P1.5 LED全彩屏：2500x2000mm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1F03C">
            <w:pPr>
              <w:jc w:val="center"/>
              <w:textAlignment w:val="center"/>
              <w:rPr>
                <w:rFonts w:hint="eastAsia"/>
                <w:highlight w:val="none"/>
              </w:rPr>
            </w:pPr>
            <w:r>
              <w:rPr>
                <w:rFonts w:hint="eastAsia"/>
                <w:highlight w:val="none"/>
              </w:rPr>
              <w:t>1</w:t>
            </w:r>
          </w:p>
        </w:tc>
      </w:tr>
      <w:tr w14:paraId="6F884B5C">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3B4721">
            <w:pPr>
              <w:jc w:val="center"/>
              <w:textAlignment w:val="center"/>
              <w:rPr>
                <w:rFonts w:hint="eastAsia"/>
                <w:highlight w:val="none"/>
              </w:rPr>
            </w:pPr>
            <w:r>
              <w:rPr>
                <w:rFonts w:hint="eastAsia"/>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24A7B0">
            <w:pPr>
              <w:jc w:val="center"/>
              <w:textAlignment w:val="center"/>
              <w:rPr>
                <w:rFonts w:hint="eastAsia"/>
                <w:highlight w:val="none"/>
              </w:rPr>
            </w:pPr>
            <w:r>
              <w:rPr>
                <w:rFonts w:hint="eastAsia"/>
                <w:highlight w:val="none"/>
              </w:rPr>
              <w:t>2#楼二层电梯厅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1D798">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88EBB">
            <w:pPr>
              <w:jc w:val="center"/>
              <w:textAlignment w:val="center"/>
              <w:rPr>
                <w:rFonts w:hint="eastAsia"/>
                <w:highlight w:val="none"/>
              </w:rPr>
            </w:pPr>
            <w:r>
              <w:rPr>
                <w:rFonts w:hint="eastAsia"/>
                <w:highlight w:val="none"/>
              </w:rPr>
              <w:t>2</w:t>
            </w:r>
          </w:p>
        </w:tc>
      </w:tr>
      <w:tr w14:paraId="15AA7844">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C007CC">
            <w:pPr>
              <w:jc w:val="center"/>
              <w:textAlignment w:val="center"/>
              <w:rPr>
                <w:rFonts w:hint="eastAsia"/>
                <w:highlight w:val="none"/>
              </w:rPr>
            </w:pPr>
            <w:r>
              <w:rPr>
                <w:rFonts w:hint="eastAsia"/>
                <w:highlight w:val="none"/>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F81539">
            <w:pPr>
              <w:jc w:val="center"/>
              <w:textAlignment w:val="center"/>
              <w:rPr>
                <w:rFonts w:hint="eastAsia"/>
                <w:highlight w:val="none"/>
              </w:rPr>
            </w:pPr>
            <w:r>
              <w:rPr>
                <w:rFonts w:hint="eastAsia"/>
                <w:highlight w:val="none"/>
              </w:rPr>
              <w:t>2#楼三层电梯厅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52E5B4">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42F47F">
            <w:pPr>
              <w:jc w:val="center"/>
              <w:textAlignment w:val="center"/>
              <w:rPr>
                <w:rFonts w:hint="eastAsia"/>
                <w:highlight w:val="none"/>
              </w:rPr>
            </w:pPr>
            <w:r>
              <w:rPr>
                <w:rFonts w:hint="eastAsia"/>
                <w:highlight w:val="none"/>
              </w:rPr>
              <w:t>2</w:t>
            </w:r>
          </w:p>
        </w:tc>
      </w:tr>
      <w:tr w14:paraId="6F6FC192">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D49129">
            <w:pPr>
              <w:jc w:val="center"/>
              <w:textAlignment w:val="center"/>
              <w:rPr>
                <w:rFonts w:hint="eastAsia"/>
                <w:highlight w:val="none"/>
              </w:rPr>
            </w:pPr>
            <w:r>
              <w:rPr>
                <w:rFonts w:hint="eastAsia"/>
                <w:highlight w:val="none"/>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D19E2C">
            <w:pPr>
              <w:jc w:val="center"/>
              <w:textAlignment w:val="center"/>
              <w:rPr>
                <w:rFonts w:hint="eastAsia"/>
                <w:highlight w:val="none"/>
              </w:rPr>
            </w:pPr>
            <w:r>
              <w:rPr>
                <w:rFonts w:hint="eastAsia"/>
                <w:highlight w:val="none"/>
              </w:rPr>
              <w:t>2#楼四层电梯厅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ADD460">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B95146">
            <w:pPr>
              <w:jc w:val="center"/>
              <w:textAlignment w:val="center"/>
              <w:rPr>
                <w:rFonts w:hint="eastAsia"/>
                <w:highlight w:val="none"/>
              </w:rPr>
            </w:pPr>
            <w:r>
              <w:rPr>
                <w:rFonts w:hint="eastAsia"/>
                <w:highlight w:val="none"/>
              </w:rPr>
              <w:t>2</w:t>
            </w:r>
          </w:p>
        </w:tc>
      </w:tr>
      <w:tr w14:paraId="60148CA8">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61E165">
            <w:pPr>
              <w:jc w:val="center"/>
              <w:textAlignment w:val="center"/>
              <w:rPr>
                <w:rFonts w:hint="eastAsia"/>
                <w:highlight w:val="none"/>
              </w:rPr>
            </w:pPr>
            <w:r>
              <w:rPr>
                <w:rFonts w:hint="eastAsia"/>
                <w:highlight w:val="none"/>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10B423">
            <w:pPr>
              <w:jc w:val="center"/>
              <w:textAlignment w:val="center"/>
              <w:rPr>
                <w:rFonts w:hint="eastAsia"/>
                <w:highlight w:val="none"/>
              </w:rPr>
            </w:pPr>
            <w:r>
              <w:rPr>
                <w:rFonts w:hint="eastAsia"/>
                <w:highlight w:val="none"/>
              </w:rPr>
              <w:t>2#楼五层电梯厅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DB7163">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99D888">
            <w:pPr>
              <w:jc w:val="center"/>
              <w:textAlignment w:val="center"/>
              <w:rPr>
                <w:rFonts w:hint="eastAsia"/>
                <w:highlight w:val="none"/>
              </w:rPr>
            </w:pPr>
            <w:r>
              <w:rPr>
                <w:rFonts w:hint="eastAsia"/>
                <w:highlight w:val="none"/>
              </w:rPr>
              <w:t>2</w:t>
            </w:r>
          </w:p>
        </w:tc>
      </w:tr>
      <w:tr w14:paraId="32419183">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64EC2A">
            <w:pPr>
              <w:jc w:val="center"/>
              <w:textAlignment w:val="center"/>
              <w:rPr>
                <w:rFonts w:hint="eastAsia"/>
                <w:highlight w:val="none"/>
              </w:rPr>
            </w:pPr>
            <w:r>
              <w:rPr>
                <w:rFonts w:hint="eastAsia"/>
                <w:highlight w:val="none"/>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C4C6A6">
            <w:pPr>
              <w:jc w:val="center"/>
              <w:textAlignment w:val="center"/>
              <w:rPr>
                <w:rFonts w:hint="eastAsia"/>
                <w:highlight w:val="none"/>
              </w:rPr>
            </w:pPr>
            <w:r>
              <w:rPr>
                <w:rFonts w:hint="eastAsia"/>
                <w:highlight w:val="none"/>
              </w:rPr>
              <w:t>2#楼六层电梯厅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59B67">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27BB18">
            <w:pPr>
              <w:jc w:val="center"/>
              <w:textAlignment w:val="center"/>
              <w:rPr>
                <w:rFonts w:hint="eastAsia"/>
                <w:highlight w:val="none"/>
              </w:rPr>
            </w:pPr>
            <w:r>
              <w:rPr>
                <w:rFonts w:hint="eastAsia"/>
                <w:highlight w:val="none"/>
              </w:rPr>
              <w:t>2</w:t>
            </w:r>
          </w:p>
        </w:tc>
      </w:tr>
      <w:tr w14:paraId="0C0265E3">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7829EE">
            <w:pPr>
              <w:jc w:val="center"/>
              <w:textAlignment w:val="center"/>
              <w:rPr>
                <w:rFonts w:hint="eastAsia"/>
                <w:highlight w:val="none"/>
              </w:rPr>
            </w:pPr>
            <w:r>
              <w:rPr>
                <w:rFonts w:hint="eastAsia"/>
                <w:highlight w:val="none"/>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ED530C">
            <w:pPr>
              <w:jc w:val="center"/>
              <w:textAlignment w:val="center"/>
              <w:rPr>
                <w:rFonts w:hint="eastAsia"/>
                <w:highlight w:val="none"/>
              </w:rPr>
            </w:pPr>
            <w:r>
              <w:rPr>
                <w:rFonts w:hint="eastAsia"/>
                <w:highlight w:val="none"/>
              </w:rPr>
              <w:t>2#楼七层电梯厅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7C70E">
            <w:pPr>
              <w:jc w:val="center"/>
              <w:textAlignment w:val="center"/>
              <w:rPr>
                <w:rFonts w:hint="eastAsia"/>
                <w:highlight w:val="none"/>
              </w:rPr>
            </w:pPr>
            <w:r>
              <w:rPr>
                <w:rFonts w:hint="eastAsia"/>
                <w:highlight w:val="none"/>
              </w:rPr>
              <w:t>P1.5 LED全彩屏：3600*1000mm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BC39CD">
            <w:pPr>
              <w:jc w:val="center"/>
              <w:textAlignment w:val="center"/>
              <w:rPr>
                <w:rFonts w:hint="eastAsia"/>
                <w:highlight w:val="none"/>
              </w:rPr>
            </w:pPr>
            <w:r>
              <w:rPr>
                <w:rFonts w:hint="eastAsia"/>
                <w:highlight w:val="none"/>
              </w:rPr>
              <w:t>2</w:t>
            </w:r>
          </w:p>
        </w:tc>
      </w:tr>
      <w:tr w14:paraId="59D51322">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0B650B">
            <w:pPr>
              <w:jc w:val="center"/>
              <w:textAlignment w:val="center"/>
              <w:rPr>
                <w:rFonts w:hint="eastAsia"/>
                <w:highlight w:val="none"/>
              </w:rPr>
            </w:pPr>
            <w:r>
              <w:rPr>
                <w:rFonts w:hint="eastAsia"/>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303DF2">
            <w:pPr>
              <w:jc w:val="center"/>
              <w:textAlignment w:val="center"/>
              <w:rPr>
                <w:rFonts w:hint="eastAsia"/>
                <w:highlight w:val="none"/>
              </w:rPr>
            </w:pPr>
            <w:r>
              <w:rPr>
                <w:rFonts w:hint="eastAsia"/>
                <w:highlight w:val="none"/>
              </w:rPr>
              <w:t>3#楼一层大堂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C55CC9">
            <w:pPr>
              <w:jc w:val="center"/>
              <w:textAlignment w:val="center"/>
              <w:rPr>
                <w:rFonts w:hint="eastAsia"/>
                <w:highlight w:val="none"/>
              </w:rPr>
            </w:pPr>
            <w:r>
              <w:rPr>
                <w:rFonts w:hint="eastAsia"/>
                <w:highlight w:val="none"/>
              </w:rPr>
              <w:t>P1.5 LED全彩屏：22000x4000mm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545D6">
            <w:pPr>
              <w:jc w:val="center"/>
              <w:textAlignment w:val="center"/>
              <w:rPr>
                <w:rFonts w:hint="eastAsia"/>
                <w:highlight w:val="none"/>
              </w:rPr>
            </w:pPr>
            <w:r>
              <w:rPr>
                <w:rFonts w:hint="eastAsia"/>
                <w:highlight w:val="none"/>
              </w:rPr>
              <w:t>2</w:t>
            </w:r>
          </w:p>
        </w:tc>
      </w:tr>
      <w:tr w14:paraId="1389E1CA">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4BEADF">
            <w:pPr>
              <w:jc w:val="center"/>
              <w:textAlignment w:val="center"/>
              <w:rPr>
                <w:rFonts w:hint="eastAsia"/>
                <w:highlight w:val="none"/>
              </w:rPr>
            </w:pPr>
            <w:r>
              <w:rPr>
                <w:rFonts w:hint="eastAsia"/>
                <w:highlight w:val="none"/>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7E5FF4">
            <w:pPr>
              <w:jc w:val="center"/>
              <w:textAlignment w:val="center"/>
              <w:rPr>
                <w:rFonts w:hint="eastAsia"/>
                <w:highlight w:val="none"/>
              </w:rPr>
            </w:pPr>
            <w:r>
              <w:rPr>
                <w:rFonts w:hint="eastAsia"/>
                <w:highlight w:val="none"/>
              </w:rPr>
              <w:t>5#楼三层电梯厅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33DF8C">
            <w:pPr>
              <w:jc w:val="center"/>
              <w:textAlignment w:val="center"/>
              <w:rPr>
                <w:rFonts w:hint="eastAsia"/>
                <w:highlight w:val="none"/>
              </w:rPr>
            </w:pPr>
            <w:r>
              <w:rPr>
                <w:rFonts w:hint="eastAsia"/>
                <w:highlight w:val="none"/>
              </w:rPr>
              <w:t>P1.5 LED全彩屏：1000x600mm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13B169">
            <w:pPr>
              <w:jc w:val="center"/>
              <w:textAlignment w:val="center"/>
              <w:rPr>
                <w:rFonts w:hint="eastAsia"/>
                <w:highlight w:val="none"/>
              </w:rPr>
            </w:pPr>
            <w:r>
              <w:rPr>
                <w:rFonts w:hint="eastAsia"/>
                <w:highlight w:val="none"/>
              </w:rPr>
              <w:t>3</w:t>
            </w:r>
          </w:p>
        </w:tc>
      </w:tr>
      <w:tr w14:paraId="7397F9CC">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A7B14A">
            <w:pPr>
              <w:jc w:val="center"/>
              <w:textAlignment w:val="center"/>
              <w:rPr>
                <w:rFonts w:hint="eastAsia"/>
                <w:highlight w:val="none"/>
              </w:rPr>
            </w:pPr>
            <w:r>
              <w:rPr>
                <w:rFonts w:hint="eastAsia"/>
                <w:highlight w:val="none"/>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9327B">
            <w:pPr>
              <w:jc w:val="center"/>
              <w:textAlignment w:val="center"/>
              <w:rPr>
                <w:rFonts w:hint="eastAsia"/>
                <w:highlight w:val="none"/>
              </w:rPr>
            </w:pPr>
            <w:r>
              <w:rPr>
                <w:rFonts w:hint="eastAsia"/>
                <w:highlight w:val="none"/>
              </w:rPr>
              <w:t>5#楼四层电梯厅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228748">
            <w:pPr>
              <w:jc w:val="center"/>
              <w:textAlignment w:val="center"/>
              <w:rPr>
                <w:rFonts w:hint="eastAsia"/>
                <w:highlight w:val="none"/>
              </w:rPr>
            </w:pPr>
            <w:r>
              <w:rPr>
                <w:rFonts w:hint="eastAsia"/>
                <w:highlight w:val="none"/>
              </w:rPr>
              <w:t>P1.5 LED全彩屏：1440x810mm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C8C88">
            <w:pPr>
              <w:jc w:val="center"/>
              <w:textAlignment w:val="center"/>
              <w:rPr>
                <w:rFonts w:hint="eastAsia"/>
                <w:highlight w:val="none"/>
              </w:rPr>
            </w:pPr>
            <w:r>
              <w:rPr>
                <w:rFonts w:hint="eastAsia"/>
                <w:highlight w:val="none"/>
              </w:rPr>
              <w:t>2</w:t>
            </w:r>
          </w:p>
        </w:tc>
      </w:tr>
      <w:tr w14:paraId="3C5D5860">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56F063">
            <w:pPr>
              <w:jc w:val="center"/>
              <w:textAlignment w:val="center"/>
              <w:rPr>
                <w:rFonts w:hint="eastAsia"/>
                <w:highlight w:val="none"/>
              </w:rPr>
            </w:pPr>
            <w:r>
              <w:rPr>
                <w:rFonts w:hint="eastAsia"/>
                <w:highlight w:val="none"/>
              </w:rPr>
              <w:t>20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A50C162">
            <w:pPr>
              <w:jc w:val="center"/>
              <w:textAlignment w:val="center"/>
              <w:rPr>
                <w:rFonts w:hint="eastAsia"/>
                <w:highlight w:val="none"/>
              </w:rPr>
            </w:pPr>
            <w:r>
              <w:rPr>
                <w:rFonts w:hint="eastAsia"/>
                <w:highlight w:val="none"/>
              </w:rPr>
              <w:t>6#楼一层大堂、电梯厅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17A803">
            <w:pPr>
              <w:jc w:val="center"/>
              <w:textAlignment w:val="center"/>
              <w:rPr>
                <w:rFonts w:hint="eastAsia"/>
                <w:highlight w:val="none"/>
              </w:rPr>
            </w:pPr>
            <w:r>
              <w:rPr>
                <w:rFonts w:hint="eastAsia"/>
                <w:highlight w:val="none"/>
              </w:rPr>
              <w:t>P1.5 LED全彩屏：11000x6000mm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56C01">
            <w:pPr>
              <w:jc w:val="center"/>
              <w:textAlignment w:val="center"/>
              <w:rPr>
                <w:rFonts w:hint="eastAsia"/>
                <w:highlight w:val="none"/>
              </w:rPr>
            </w:pPr>
            <w:r>
              <w:rPr>
                <w:rFonts w:hint="eastAsia"/>
                <w:highlight w:val="none"/>
              </w:rPr>
              <w:t>1</w:t>
            </w:r>
          </w:p>
        </w:tc>
      </w:tr>
      <w:tr w14:paraId="2D6D25F8">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1437EF">
            <w:pPr>
              <w:jc w:val="center"/>
              <w:textAlignment w:val="center"/>
              <w:rPr>
                <w:rFonts w:hint="eastAsia"/>
                <w:highlight w:val="none"/>
              </w:rPr>
            </w:pPr>
            <w:r>
              <w:rPr>
                <w:rFonts w:hint="eastAsia"/>
                <w:highlight w:val="none"/>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B2BC97">
            <w:pPr>
              <w:jc w:val="center"/>
              <w:rPr>
                <w:rFonts w:hint="eastAsia"/>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F9D4DB">
            <w:pPr>
              <w:jc w:val="center"/>
              <w:textAlignment w:val="center"/>
              <w:rPr>
                <w:rFonts w:hint="eastAsia"/>
                <w:highlight w:val="none"/>
              </w:rPr>
            </w:pPr>
            <w:r>
              <w:rPr>
                <w:rFonts w:hint="eastAsia"/>
                <w:highlight w:val="none"/>
              </w:rPr>
              <w:t>P1.5 LED全彩屏：5000x2000mm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7B3E5">
            <w:pPr>
              <w:jc w:val="center"/>
              <w:textAlignment w:val="center"/>
              <w:rPr>
                <w:rFonts w:hint="eastAsia"/>
                <w:highlight w:val="none"/>
              </w:rPr>
            </w:pPr>
            <w:r>
              <w:rPr>
                <w:rFonts w:hint="eastAsia"/>
                <w:highlight w:val="none"/>
              </w:rPr>
              <w:t>3</w:t>
            </w:r>
          </w:p>
        </w:tc>
      </w:tr>
      <w:tr w14:paraId="1D51127A">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566366">
            <w:pPr>
              <w:jc w:val="center"/>
              <w:textAlignment w:val="center"/>
              <w:rPr>
                <w:rFonts w:hint="eastAsia"/>
                <w:highlight w:val="none"/>
              </w:rPr>
            </w:pPr>
            <w:r>
              <w:rPr>
                <w:rFonts w:hint="eastAsia"/>
                <w:highlight w:val="none"/>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3024C2">
            <w:pPr>
              <w:jc w:val="center"/>
              <w:rPr>
                <w:rFonts w:hint="eastAsia"/>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F051D">
            <w:pPr>
              <w:jc w:val="center"/>
              <w:textAlignment w:val="center"/>
              <w:rPr>
                <w:rFonts w:hint="eastAsia"/>
                <w:highlight w:val="none"/>
              </w:rPr>
            </w:pPr>
            <w:r>
              <w:rPr>
                <w:rFonts w:hint="eastAsia"/>
                <w:highlight w:val="none"/>
              </w:rPr>
              <w:t>P1.5 LED全彩屏：12000x4000mm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3ECD1">
            <w:pPr>
              <w:jc w:val="center"/>
              <w:textAlignment w:val="center"/>
              <w:rPr>
                <w:rFonts w:hint="eastAsia"/>
                <w:highlight w:val="none"/>
              </w:rPr>
            </w:pPr>
            <w:r>
              <w:rPr>
                <w:rFonts w:hint="eastAsia"/>
                <w:highlight w:val="none"/>
              </w:rPr>
              <w:t>1</w:t>
            </w:r>
          </w:p>
        </w:tc>
      </w:tr>
      <w:tr w14:paraId="7100457F">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3E923C">
            <w:pPr>
              <w:jc w:val="center"/>
              <w:textAlignment w:val="center"/>
              <w:rPr>
                <w:rFonts w:hint="eastAsia"/>
                <w:highlight w:val="none"/>
              </w:rPr>
            </w:pPr>
            <w:r>
              <w:rPr>
                <w:rFonts w:hint="eastAsia"/>
                <w:highlight w:val="none"/>
              </w:rPr>
              <w:t>23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7CDF50">
            <w:pPr>
              <w:jc w:val="center"/>
              <w:rPr>
                <w:rFonts w:hint="eastAsia"/>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FDFE6">
            <w:pPr>
              <w:jc w:val="center"/>
              <w:textAlignment w:val="center"/>
              <w:rPr>
                <w:rFonts w:hint="eastAsia"/>
                <w:highlight w:val="none"/>
              </w:rPr>
            </w:pPr>
            <w:r>
              <w:rPr>
                <w:rFonts w:hint="eastAsia"/>
                <w:highlight w:val="none"/>
              </w:rPr>
              <w:t>P1.5 LED全彩屏：20000x2000mm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8D3A3F">
            <w:pPr>
              <w:jc w:val="center"/>
              <w:textAlignment w:val="center"/>
              <w:rPr>
                <w:rFonts w:hint="eastAsia"/>
                <w:highlight w:val="none"/>
              </w:rPr>
            </w:pPr>
            <w:r>
              <w:rPr>
                <w:rFonts w:hint="eastAsia"/>
                <w:highlight w:val="none"/>
              </w:rPr>
              <w:t>1</w:t>
            </w:r>
          </w:p>
        </w:tc>
      </w:tr>
      <w:tr w14:paraId="53616047">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770556">
            <w:pPr>
              <w:jc w:val="center"/>
              <w:textAlignment w:val="center"/>
              <w:rPr>
                <w:rFonts w:hint="eastAsia"/>
                <w:highlight w:val="none"/>
              </w:rPr>
            </w:pPr>
            <w:r>
              <w:rPr>
                <w:rFonts w:hint="eastAsia"/>
                <w:highlight w:val="none"/>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1472CF">
            <w:pPr>
              <w:jc w:val="center"/>
              <w:textAlignment w:val="center"/>
              <w:rPr>
                <w:rFonts w:hint="eastAsia"/>
                <w:highlight w:val="none"/>
              </w:rPr>
            </w:pPr>
            <w:r>
              <w:rPr>
                <w:rFonts w:hint="eastAsia"/>
                <w:highlight w:val="none"/>
              </w:rPr>
              <w:t>室外主入口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853C5F">
            <w:pPr>
              <w:jc w:val="center"/>
              <w:textAlignment w:val="center"/>
              <w:rPr>
                <w:rFonts w:hint="eastAsia"/>
                <w:highlight w:val="none"/>
              </w:rPr>
            </w:pPr>
            <w:r>
              <w:rPr>
                <w:rFonts w:hint="eastAsia"/>
                <w:highlight w:val="none"/>
              </w:rPr>
              <w:t>P4 LED全彩屏：4000*2250mm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6A0C29">
            <w:pPr>
              <w:jc w:val="center"/>
              <w:textAlignment w:val="center"/>
              <w:rPr>
                <w:rFonts w:hint="eastAsia"/>
                <w:highlight w:val="none"/>
              </w:rPr>
            </w:pPr>
            <w:r>
              <w:rPr>
                <w:rFonts w:hint="eastAsia"/>
                <w:highlight w:val="none"/>
              </w:rPr>
              <w:t>1</w:t>
            </w:r>
          </w:p>
        </w:tc>
      </w:tr>
    </w:tbl>
    <w:p w14:paraId="59B76666">
      <w:pPr>
        <w:spacing w:line="360" w:lineRule="auto"/>
        <w:ind w:firstLine="420"/>
        <w:rPr>
          <w:rFonts w:hint="eastAsia"/>
          <w:highlight w:val="none"/>
        </w:rPr>
      </w:pPr>
    </w:p>
    <w:p w14:paraId="6BE03264">
      <w:pPr>
        <w:spacing w:line="360" w:lineRule="auto"/>
        <w:ind w:firstLine="420"/>
        <w:outlineLvl w:val="2"/>
        <w:rPr>
          <w:rFonts w:hint="eastAsia"/>
          <w:b/>
          <w:bCs/>
          <w:highlight w:val="none"/>
        </w:rPr>
      </w:pPr>
      <w:r>
        <w:rPr>
          <w:rFonts w:hint="eastAsia"/>
          <w:b/>
          <w:bCs/>
          <w:highlight w:val="none"/>
        </w:rPr>
        <w:t>8、多功能会议系统</w:t>
      </w:r>
    </w:p>
    <w:p w14:paraId="12FA1048">
      <w:pPr>
        <w:spacing w:line="360" w:lineRule="auto"/>
        <w:ind w:firstLine="420"/>
        <w:rPr>
          <w:rFonts w:hint="eastAsia"/>
          <w:highlight w:val="none"/>
        </w:rPr>
      </w:pPr>
      <w:r>
        <w:rPr>
          <w:rFonts w:hint="eastAsia"/>
          <w:highlight w:val="none"/>
        </w:rPr>
        <w:t>随着信息时代的不断发展，企业内部、企业之间甚至国家之间的交流与合作越来越频繁，会议系统作为会议交流的辅助系统，通过运用多媒体、音视频等功能，能够让人们更好地进行交流与合作。</w:t>
      </w:r>
    </w:p>
    <w:p w14:paraId="1E4F47A4">
      <w:pPr>
        <w:spacing w:line="360" w:lineRule="auto"/>
        <w:ind w:firstLine="420"/>
        <w:rPr>
          <w:rFonts w:hint="eastAsia"/>
          <w:highlight w:val="none"/>
        </w:rPr>
      </w:pPr>
      <w:r>
        <w:rPr>
          <w:rFonts w:hint="eastAsia"/>
          <w:highlight w:val="none"/>
        </w:rPr>
        <w:t>多媒体会议系统是重要的集会、报告的场所。是运用现代化的声音、成像及光学等技术，提供使用者一个舒适的视听环境，保证会议、报告的正常进行。智能会议系统将高质量的音频、视频和诸多智能特性紧密结合在一起，通过数字信号处理、压缩编码技术和数据传输等新技术的融入，实现更多、更齐全的视频传输、信息传输功能。</w:t>
      </w:r>
    </w:p>
    <w:p w14:paraId="627C1BDE">
      <w:pPr>
        <w:spacing w:line="360" w:lineRule="auto"/>
        <w:ind w:firstLine="480" w:firstLineChars="200"/>
        <w:rPr>
          <w:rFonts w:hint="eastAsia"/>
          <w:highlight w:val="none"/>
          <w:lang w:val="zh-CN"/>
        </w:rPr>
      </w:pPr>
      <w:r>
        <w:rPr>
          <w:rFonts w:hint="eastAsia"/>
          <w:highlight w:val="none"/>
          <w:lang w:val="zh-CN"/>
        </w:rPr>
        <w:t>多功能会议系统中使用的设备必须符合国家法律法规和现行强制性标准的要求，并经法定机构检验或认证合格。</w:t>
      </w:r>
    </w:p>
    <w:p w14:paraId="4E4603D1">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6F0D3F8A">
      <w:pPr>
        <w:spacing w:line="360" w:lineRule="auto"/>
        <w:ind w:firstLine="480" w:firstLineChars="200"/>
        <w:rPr>
          <w:rFonts w:hint="eastAsia"/>
          <w:highlight w:val="none"/>
          <w:lang w:val="zh-CN"/>
        </w:rPr>
      </w:pPr>
      <w:r>
        <w:rPr>
          <w:rFonts w:hint="eastAsia"/>
          <w:highlight w:val="none"/>
          <w:lang w:val="zh-CN"/>
        </w:rPr>
        <w:t>处于沿海地区等腐蚀性环境的LED视频显示屏应采取防腐蚀措施。</w:t>
      </w:r>
    </w:p>
    <w:p w14:paraId="6A4B906F">
      <w:pPr>
        <w:spacing w:line="360" w:lineRule="auto"/>
        <w:ind w:firstLine="480" w:firstLineChars="200"/>
        <w:rPr>
          <w:rFonts w:hint="eastAsia"/>
          <w:highlight w:val="none"/>
          <w:lang w:val="zh-CN"/>
        </w:rPr>
      </w:pPr>
      <w:r>
        <w:rPr>
          <w:rFonts w:hint="eastAsia"/>
          <w:highlight w:val="none"/>
          <w:lang w:val="zh-CN"/>
        </w:rPr>
        <w:t>会议系统的功能应按照可靠、实用、先进、专业、开放、安全、经济和易集成的原则进行系统建设。</w:t>
      </w:r>
    </w:p>
    <w:p w14:paraId="6FF0E38A">
      <w:pPr>
        <w:spacing w:line="360" w:lineRule="auto"/>
        <w:ind w:firstLine="480" w:firstLineChars="200"/>
        <w:rPr>
          <w:rFonts w:hint="eastAsia"/>
          <w:highlight w:val="none"/>
          <w:lang w:val="zh-CN"/>
        </w:rPr>
      </w:pPr>
      <w:r>
        <w:rPr>
          <w:rFonts w:hint="eastAsia"/>
          <w:highlight w:val="none"/>
          <w:lang w:val="zh-CN"/>
        </w:rPr>
        <w:t>本项目建设需考虑到各个会议场所的实际功能需求，通过会议系统平台实现所有信号（音频、视频、控制）的无缝传输，在各个会议室均可独立完成音视频信号的控制、传输、处理、管理、存储等功能。</w:t>
      </w:r>
    </w:p>
    <w:p w14:paraId="07561095">
      <w:pPr>
        <w:spacing w:line="360" w:lineRule="auto"/>
        <w:ind w:firstLine="480" w:firstLineChars="200"/>
        <w:rPr>
          <w:rFonts w:hint="eastAsia"/>
          <w:highlight w:val="none"/>
          <w:lang w:val="zh-CN"/>
        </w:rPr>
      </w:pPr>
      <w:r>
        <w:rPr>
          <w:rFonts w:hint="eastAsia"/>
          <w:highlight w:val="none"/>
          <w:lang w:val="zh-CN"/>
        </w:rPr>
        <w:t>会议电视会场的各种吊装设备和吊装件必须有可靠的安全保障措施。</w:t>
      </w:r>
    </w:p>
    <w:p w14:paraId="0BC6E9E4">
      <w:pPr>
        <w:spacing w:line="360" w:lineRule="auto"/>
        <w:ind w:firstLine="480" w:firstLineChars="200"/>
        <w:rPr>
          <w:rFonts w:hint="eastAsia"/>
          <w:highlight w:val="none"/>
          <w:lang w:val="zh-CN"/>
        </w:rPr>
      </w:pPr>
      <w:r>
        <w:rPr>
          <w:rFonts w:hint="eastAsia"/>
          <w:highlight w:val="none"/>
          <w:lang w:val="zh-CN"/>
        </w:rPr>
        <w:t>扬声器系统必须采取安全保障措施，且不应产生机械噪声。</w:t>
      </w:r>
    </w:p>
    <w:p w14:paraId="6907876C">
      <w:pPr>
        <w:spacing w:line="360" w:lineRule="auto"/>
        <w:ind w:firstLine="480" w:firstLineChars="200"/>
        <w:rPr>
          <w:rFonts w:hint="eastAsia"/>
          <w:highlight w:val="none"/>
          <w:lang w:val="zh-CN"/>
        </w:rPr>
      </w:pPr>
      <w:r>
        <w:rPr>
          <w:rFonts w:hint="eastAsia"/>
          <w:highlight w:val="none"/>
          <w:lang w:val="zh-CN"/>
        </w:rPr>
        <w:t>扬声器系统承重结构改动或荷载增加时，必须由原结构设计单位或具备相应资质的设计单位核查有关原始资料，并应对既有建筑结构的安全性进行核验、确认。</w:t>
      </w:r>
    </w:p>
    <w:p w14:paraId="60E331E5">
      <w:pPr>
        <w:spacing w:line="360" w:lineRule="auto"/>
        <w:ind w:firstLine="480" w:firstLineChars="200"/>
        <w:rPr>
          <w:rFonts w:hint="eastAsia"/>
          <w:highlight w:val="none"/>
        </w:rPr>
      </w:pPr>
      <w:r>
        <w:rPr>
          <w:rFonts w:hint="eastAsia"/>
          <w:highlight w:val="none"/>
          <w:lang w:val="zh-CN"/>
        </w:rPr>
        <w:t>本次多功能会议系统主要针对会议室设置多功能、多应用、高配置的会议系统，包括配置扩声系统、数字会议发言系统、</w:t>
      </w:r>
      <w:r>
        <w:rPr>
          <w:rFonts w:hint="eastAsia"/>
          <w:highlight w:val="none"/>
        </w:rPr>
        <w:t>录播系统、显示系统、集中控制系统、高清混合矩阵切换系统、会议预约系统等。</w:t>
      </w:r>
    </w:p>
    <w:p w14:paraId="06FDFB1B">
      <w:pPr>
        <w:spacing w:line="360" w:lineRule="auto"/>
        <w:ind w:firstLine="480" w:firstLineChars="200"/>
        <w:rPr>
          <w:rFonts w:hint="eastAsia"/>
          <w:highlight w:val="none"/>
        </w:rPr>
      </w:pPr>
      <w:r>
        <w:rPr>
          <w:rFonts w:hint="eastAsia"/>
          <w:highlight w:val="none"/>
        </w:rPr>
        <w:t>会议讨论系统和会议系统必须具备火灾自动报警联动功能的规定。会议系统控制主机提供火灾自动报警联动触发接口，一旦消防中心有联动信号发送过来，系统立即自动终止会议，同时会议讨论系统的会议单元及翻译单元显示报警提示，并自动切换到报警信号，让与会人员通过耳机、会议单元扬声器或会场扩声系统聆听紧急广播；或者立即自动终止会议，同时会议讨论系统的会议单元及翻译单元显示报警提示，让与会人员通过会场扩声系统聆听紧急广播。</w:t>
      </w:r>
    </w:p>
    <w:p w14:paraId="5896F746">
      <w:pPr>
        <w:pStyle w:val="13"/>
        <w:widowControl w:val="0"/>
        <w:numPr>
          <w:ilvl w:val="0"/>
          <w:numId w:val="29"/>
        </w:numPr>
        <w:ind w:left="480" w:firstLine="420"/>
        <w:jc w:val="both"/>
        <w:rPr>
          <w:rFonts w:hint="eastAsia"/>
          <w:sz w:val="21"/>
          <w:szCs w:val="21"/>
          <w:highlight w:val="none"/>
        </w:rPr>
      </w:pPr>
      <w:r>
        <w:rPr>
          <w:rFonts w:hint="eastAsia"/>
          <w:sz w:val="21"/>
          <w:szCs w:val="21"/>
          <w:highlight w:val="none"/>
        </w:rPr>
        <w:t>厅堂扩声系统对服务区以外人员活动区域不应造成环境噪声污染。</w:t>
      </w:r>
    </w:p>
    <w:p w14:paraId="329928AC">
      <w:pPr>
        <w:pStyle w:val="13"/>
        <w:widowControl w:val="0"/>
        <w:numPr>
          <w:ilvl w:val="0"/>
          <w:numId w:val="29"/>
        </w:numPr>
        <w:ind w:left="480" w:firstLine="420"/>
        <w:jc w:val="both"/>
        <w:rPr>
          <w:rFonts w:hint="eastAsia"/>
          <w:sz w:val="21"/>
          <w:szCs w:val="21"/>
          <w:highlight w:val="none"/>
        </w:rPr>
      </w:pPr>
      <w:r>
        <w:rPr>
          <w:rFonts w:hint="eastAsia"/>
          <w:sz w:val="21"/>
          <w:szCs w:val="21"/>
          <w:highlight w:val="none"/>
        </w:rPr>
        <w:t>扬声器系统，必须有可靠的安全保障措施，且不应产生机械噪声。</w:t>
      </w:r>
    </w:p>
    <w:p w14:paraId="38BA2C12">
      <w:pPr>
        <w:pStyle w:val="13"/>
        <w:widowControl w:val="0"/>
        <w:numPr>
          <w:ilvl w:val="0"/>
          <w:numId w:val="29"/>
        </w:numPr>
        <w:ind w:left="480" w:firstLine="420"/>
        <w:jc w:val="both"/>
        <w:rPr>
          <w:rFonts w:hint="eastAsia"/>
          <w:sz w:val="21"/>
          <w:szCs w:val="21"/>
          <w:highlight w:val="none"/>
        </w:rPr>
      </w:pPr>
      <w:r>
        <w:rPr>
          <w:rFonts w:hint="eastAsia"/>
          <w:sz w:val="21"/>
          <w:szCs w:val="21"/>
          <w:highlight w:val="none"/>
        </w:rPr>
        <w:t>会议系统和会议同声传译系统应具备与火灾自动报警系统联动的功能。</w:t>
      </w:r>
    </w:p>
    <w:p w14:paraId="5939835B">
      <w:pPr>
        <w:pStyle w:val="13"/>
        <w:widowControl w:val="0"/>
        <w:numPr>
          <w:ilvl w:val="0"/>
          <w:numId w:val="29"/>
        </w:numPr>
        <w:ind w:left="480" w:firstLine="420"/>
        <w:jc w:val="both"/>
        <w:rPr>
          <w:rFonts w:hint="eastAsia"/>
          <w:sz w:val="21"/>
          <w:szCs w:val="21"/>
          <w:highlight w:val="none"/>
        </w:rPr>
      </w:pPr>
      <w:r>
        <w:rPr>
          <w:rFonts w:hint="eastAsia"/>
          <w:sz w:val="21"/>
          <w:szCs w:val="21"/>
          <w:highlight w:val="none"/>
        </w:rPr>
        <w:t>大型扬声器系统应单独固定，并应避免扬声器系统工作时引起墙面和吊顶产生共振。</w:t>
      </w:r>
    </w:p>
    <w:p w14:paraId="0E712B94">
      <w:pPr>
        <w:spacing w:line="360" w:lineRule="auto"/>
        <w:ind w:firstLine="420"/>
        <w:rPr>
          <w:rFonts w:hint="eastAsia"/>
          <w:highlight w:val="none"/>
        </w:rPr>
      </w:pPr>
      <w:r>
        <w:rPr>
          <w:rFonts w:hint="eastAsia"/>
          <w:highlight w:val="none"/>
        </w:rPr>
        <w:t>各会议室配置情况如下（具体以图纸为准）：</w:t>
      </w:r>
    </w:p>
    <w:tbl>
      <w:tblPr>
        <w:tblStyle w:val="35"/>
        <w:tblW w:w="8418" w:type="dxa"/>
        <w:tblInd w:w="93" w:type="dxa"/>
        <w:tblLayout w:type="autofit"/>
        <w:tblCellMar>
          <w:top w:w="0" w:type="dxa"/>
          <w:left w:w="108" w:type="dxa"/>
          <w:bottom w:w="0" w:type="dxa"/>
          <w:right w:w="108" w:type="dxa"/>
        </w:tblCellMar>
      </w:tblPr>
      <w:tblGrid>
        <w:gridCol w:w="714"/>
        <w:gridCol w:w="2557"/>
        <w:gridCol w:w="5147"/>
      </w:tblGrid>
      <w:tr w14:paraId="17F0F014">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26A1875D">
            <w:pPr>
              <w:jc w:val="center"/>
              <w:textAlignment w:val="center"/>
              <w:rPr>
                <w:rFonts w:hint="eastAsia"/>
                <w:highlight w:val="none"/>
              </w:rPr>
            </w:pPr>
            <w:r>
              <w:rPr>
                <w:rFonts w:hint="eastAsia"/>
                <w:highlight w:val="none"/>
              </w:rPr>
              <w:t>序号</w:t>
            </w:r>
          </w:p>
        </w:tc>
        <w:tc>
          <w:tcPr>
            <w:tcW w:w="2557" w:type="dxa"/>
            <w:tcBorders>
              <w:top w:val="single" w:color="000000" w:sz="4" w:space="0"/>
              <w:left w:val="single" w:color="000000" w:sz="4" w:space="0"/>
              <w:bottom w:val="single" w:color="000000" w:sz="4" w:space="0"/>
              <w:right w:val="single" w:color="000000" w:sz="4" w:space="0"/>
            </w:tcBorders>
            <w:vAlign w:val="center"/>
          </w:tcPr>
          <w:p w14:paraId="1DD2AFE9">
            <w:pPr>
              <w:jc w:val="center"/>
              <w:textAlignment w:val="center"/>
              <w:rPr>
                <w:rFonts w:hint="eastAsia"/>
                <w:highlight w:val="none"/>
              </w:rPr>
            </w:pPr>
            <w:r>
              <w:rPr>
                <w:rFonts w:hint="eastAsia"/>
                <w:highlight w:val="none"/>
              </w:rPr>
              <w:t>会议室名称</w:t>
            </w:r>
          </w:p>
        </w:tc>
        <w:tc>
          <w:tcPr>
            <w:tcW w:w="5147" w:type="dxa"/>
            <w:tcBorders>
              <w:top w:val="single" w:color="000000" w:sz="4" w:space="0"/>
              <w:left w:val="single" w:color="000000" w:sz="4" w:space="0"/>
              <w:bottom w:val="single" w:color="000000" w:sz="4" w:space="0"/>
              <w:right w:val="single" w:color="000000" w:sz="4" w:space="0"/>
            </w:tcBorders>
            <w:vAlign w:val="center"/>
          </w:tcPr>
          <w:p w14:paraId="36B34F2B">
            <w:pPr>
              <w:jc w:val="center"/>
              <w:textAlignment w:val="center"/>
              <w:rPr>
                <w:rFonts w:hint="eastAsia"/>
                <w:highlight w:val="none"/>
              </w:rPr>
            </w:pPr>
            <w:r>
              <w:rPr>
                <w:rFonts w:hint="eastAsia"/>
                <w:highlight w:val="none"/>
              </w:rPr>
              <w:t>会议室主要配置功能</w:t>
            </w:r>
          </w:p>
        </w:tc>
      </w:tr>
      <w:tr w14:paraId="43940030">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1136DF5F">
            <w:pPr>
              <w:jc w:val="center"/>
              <w:textAlignment w:val="center"/>
              <w:rPr>
                <w:rFonts w:hint="eastAsia"/>
                <w:highlight w:val="none"/>
              </w:rPr>
            </w:pPr>
            <w:r>
              <w:rPr>
                <w:rFonts w:hint="eastAsia"/>
                <w:highlight w:val="none"/>
              </w:rPr>
              <w:t>1</w:t>
            </w:r>
          </w:p>
        </w:tc>
        <w:tc>
          <w:tcPr>
            <w:tcW w:w="2557" w:type="dxa"/>
            <w:tcBorders>
              <w:top w:val="single" w:color="000000" w:sz="4" w:space="0"/>
              <w:left w:val="single" w:color="000000" w:sz="4" w:space="0"/>
              <w:bottom w:val="single" w:color="000000" w:sz="4" w:space="0"/>
              <w:right w:val="single" w:color="000000" w:sz="4" w:space="0"/>
            </w:tcBorders>
            <w:vAlign w:val="center"/>
          </w:tcPr>
          <w:p w14:paraId="01240A85">
            <w:pPr>
              <w:textAlignment w:val="center"/>
              <w:rPr>
                <w:rFonts w:hint="eastAsia"/>
                <w:highlight w:val="none"/>
              </w:rPr>
            </w:pPr>
            <w:r>
              <w:rPr>
                <w:rFonts w:hint="eastAsia"/>
                <w:highlight w:val="none"/>
              </w:rPr>
              <w:t>6#楼一层531人报告厅</w:t>
            </w:r>
          </w:p>
        </w:tc>
        <w:tc>
          <w:tcPr>
            <w:tcW w:w="5147" w:type="dxa"/>
            <w:tcBorders>
              <w:top w:val="single" w:color="000000" w:sz="4" w:space="0"/>
              <w:left w:val="single" w:color="000000" w:sz="4" w:space="0"/>
              <w:bottom w:val="single" w:color="000000" w:sz="4" w:space="0"/>
              <w:right w:val="single" w:color="000000" w:sz="4" w:space="0"/>
            </w:tcBorders>
            <w:vAlign w:val="center"/>
          </w:tcPr>
          <w:p w14:paraId="5EB43CF9">
            <w:pPr>
              <w:textAlignment w:val="center"/>
              <w:rPr>
                <w:rFonts w:hint="eastAsia"/>
                <w:highlight w:val="none"/>
              </w:rPr>
            </w:pPr>
            <w:r>
              <w:rPr>
                <w:rFonts w:hint="eastAsia"/>
                <w:highlight w:val="none"/>
              </w:rPr>
              <w:t>显示系统、扩声系统、会议发言、高清摄像机、集中控制、会议预约、舞台灯光等</w:t>
            </w:r>
          </w:p>
        </w:tc>
      </w:tr>
      <w:tr w14:paraId="4743F27A">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1FD80DAD">
            <w:pPr>
              <w:jc w:val="center"/>
              <w:textAlignment w:val="center"/>
              <w:rPr>
                <w:rFonts w:hint="eastAsia"/>
                <w:highlight w:val="none"/>
              </w:rPr>
            </w:pPr>
            <w:r>
              <w:rPr>
                <w:rFonts w:hint="eastAsia"/>
                <w:highlight w:val="none"/>
              </w:rPr>
              <w:t>2</w:t>
            </w:r>
          </w:p>
        </w:tc>
        <w:tc>
          <w:tcPr>
            <w:tcW w:w="2557" w:type="dxa"/>
            <w:tcBorders>
              <w:top w:val="single" w:color="000000" w:sz="4" w:space="0"/>
              <w:left w:val="single" w:color="000000" w:sz="4" w:space="0"/>
              <w:bottom w:val="single" w:color="000000" w:sz="4" w:space="0"/>
              <w:right w:val="single" w:color="000000" w:sz="4" w:space="0"/>
            </w:tcBorders>
            <w:vAlign w:val="center"/>
          </w:tcPr>
          <w:p w14:paraId="3E917054">
            <w:pPr>
              <w:textAlignment w:val="center"/>
              <w:rPr>
                <w:rFonts w:hint="eastAsia"/>
                <w:highlight w:val="none"/>
              </w:rPr>
            </w:pPr>
            <w:r>
              <w:rPr>
                <w:rFonts w:hint="eastAsia"/>
                <w:highlight w:val="none"/>
              </w:rPr>
              <w:t>6#楼二层会议室</w:t>
            </w:r>
          </w:p>
        </w:tc>
        <w:tc>
          <w:tcPr>
            <w:tcW w:w="5147" w:type="dxa"/>
            <w:tcBorders>
              <w:top w:val="single" w:color="000000" w:sz="4" w:space="0"/>
              <w:left w:val="single" w:color="000000" w:sz="4" w:space="0"/>
              <w:bottom w:val="single" w:color="000000" w:sz="4" w:space="0"/>
              <w:right w:val="single" w:color="000000" w:sz="4" w:space="0"/>
            </w:tcBorders>
            <w:vAlign w:val="center"/>
          </w:tcPr>
          <w:p w14:paraId="6C8F0F1E">
            <w:pPr>
              <w:textAlignment w:val="center"/>
              <w:rPr>
                <w:rFonts w:hint="eastAsia"/>
                <w:highlight w:val="none"/>
              </w:rPr>
            </w:pPr>
            <w:r>
              <w:rPr>
                <w:rFonts w:hint="eastAsia"/>
                <w:highlight w:val="none"/>
              </w:rPr>
              <w:t>显示系统、扩声系统、会议发言、高清摄像机、集中控制、会议预约等</w:t>
            </w:r>
          </w:p>
        </w:tc>
      </w:tr>
      <w:tr w14:paraId="0699A0C6">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14BA0079">
            <w:pPr>
              <w:jc w:val="center"/>
              <w:textAlignment w:val="center"/>
              <w:rPr>
                <w:rFonts w:hint="eastAsia"/>
                <w:highlight w:val="none"/>
              </w:rPr>
            </w:pPr>
            <w:r>
              <w:rPr>
                <w:rFonts w:hint="eastAsia"/>
                <w:highlight w:val="none"/>
              </w:rPr>
              <w:t>3</w:t>
            </w:r>
          </w:p>
        </w:tc>
        <w:tc>
          <w:tcPr>
            <w:tcW w:w="2557" w:type="dxa"/>
            <w:tcBorders>
              <w:top w:val="single" w:color="000000" w:sz="4" w:space="0"/>
              <w:left w:val="single" w:color="000000" w:sz="4" w:space="0"/>
              <w:bottom w:val="single" w:color="000000" w:sz="4" w:space="0"/>
              <w:right w:val="single" w:color="000000" w:sz="4" w:space="0"/>
            </w:tcBorders>
            <w:vAlign w:val="center"/>
          </w:tcPr>
          <w:p w14:paraId="3EB0E6BE">
            <w:pPr>
              <w:textAlignment w:val="center"/>
              <w:rPr>
                <w:rFonts w:hint="eastAsia"/>
                <w:highlight w:val="none"/>
              </w:rPr>
            </w:pPr>
            <w:r>
              <w:rPr>
                <w:rFonts w:hint="eastAsia"/>
                <w:highlight w:val="none"/>
              </w:rPr>
              <w:t>6#楼二层人才加速学院（共6间）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2390D720">
            <w:pPr>
              <w:textAlignment w:val="center"/>
              <w:rPr>
                <w:rFonts w:hint="eastAsia"/>
                <w:highlight w:val="none"/>
              </w:rPr>
            </w:pPr>
            <w:r>
              <w:rPr>
                <w:rFonts w:hint="eastAsia"/>
                <w:highlight w:val="none"/>
              </w:rPr>
              <w:t>显示系统、扩声系统、会议发言等</w:t>
            </w:r>
          </w:p>
        </w:tc>
      </w:tr>
      <w:tr w14:paraId="5EE673C3">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4EB97D9B">
            <w:pPr>
              <w:jc w:val="center"/>
              <w:textAlignment w:val="center"/>
              <w:rPr>
                <w:rFonts w:hint="eastAsia"/>
                <w:highlight w:val="none"/>
              </w:rPr>
            </w:pPr>
            <w:r>
              <w:rPr>
                <w:rFonts w:hint="eastAsia"/>
                <w:highlight w:val="none"/>
              </w:rPr>
              <w:t>4</w:t>
            </w:r>
          </w:p>
        </w:tc>
        <w:tc>
          <w:tcPr>
            <w:tcW w:w="2557" w:type="dxa"/>
            <w:tcBorders>
              <w:top w:val="single" w:color="000000" w:sz="4" w:space="0"/>
              <w:left w:val="single" w:color="000000" w:sz="4" w:space="0"/>
              <w:bottom w:val="single" w:color="000000" w:sz="4" w:space="0"/>
              <w:right w:val="single" w:color="000000" w:sz="4" w:space="0"/>
            </w:tcBorders>
            <w:vAlign w:val="center"/>
          </w:tcPr>
          <w:p w14:paraId="3D148D8F">
            <w:pPr>
              <w:textAlignment w:val="center"/>
              <w:rPr>
                <w:rFonts w:hint="eastAsia"/>
                <w:highlight w:val="none"/>
              </w:rPr>
            </w:pPr>
            <w:r>
              <w:rPr>
                <w:rFonts w:hint="eastAsia"/>
                <w:highlight w:val="none"/>
              </w:rPr>
              <w:t>6#楼二层多功能厅</w:t>
            </w:r>
          </w:p>
        </w:tc>
        <w:tc>
          <w:tcPr>
            <w:tcW w:w="5147" w:type="dxa"/>
            <w:tcBorders>
              <w:top w:val="single" w:color="000000" w:sz="4" w:space="0"/>
              <w:left w:val="single" w:color="000000" w:sz="4" w:space="0"/>
              <w:bottom w:val="single" w:color="000000" w:sz="4" w:space="0"/>
              <w:right w:val="single" w:color="000000" w:sz="4" w:space="0"/>
            </w:tcBorders>
            <w:vAlign w:val="center"/>
          </w:tcPr>
          <w:p w14:paraId="58877027">
            <w:pPr>
              <w:textAlignment w:val="center"/>
              <w:rPr>
                <w:rFonts w:hint="eastAsia"/>
                <w:highlight w:val="none"/>
              </w:rPr>
            </w:pPr>
            <w:r>
              <w:rPr>
                <w:rFonts w:hint="eastAsia"/>
                <w:highlight w:val="none"/>
              </w:rPr>
              <w:t>显示系统、扩声系统、会议发言、集中控制、会议预约等</w:t>
            </w:r>
          </w:p>
        </w:tc>
      </w:tr>
      <w:tr w14:paraId="600082C8">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49F3F9BF">
            <w:pPr>
              <w:jc w:val="center"/>
              <w:textAlignment w:val="center"/>
              <w:rPr>
                <w:rFonts w:hint="eastAsia"/>
                <w:highlight w:val="none"/>
              </w:rPr>
            </w:pPr>
            <w:r>
              <w:rPr>
                <w:rFonts w:hint="eastAsia"/>
                <w:highlight w:val="none"/>
              </w:rPr>
              <w:t>5</w:t>
            </w:r>
          </w:p>
        </w:tc>
        <w:tc>
          <w:tcPr>
            <w:tcW w:w="2557" w:type="dxa"/>
            <w:tcBorders>
              <w:top w:val="single" w:color="000000" w:sz="4" w:space="0"/>
              <w:left w:val="single" w:color="000000" w:sz="4" w:space="0"/>
              <w:bottom w:val="single" w:color="000000" w:sz="4" w:space="0"/>
              <w:right w:val="single" w:color="000000" w:sz="4" w:space="0"/>
            </w:tcBorders>
            <w:vAlign w:val="center"/>
          </w:tcPr>
          <w:p w14:paraId="2FC10288">
            <w:pPr>
              <w:textAlignment w:val="center"/>
              <w:rPr>
                <w:rFonts w:hint="eastAsia"/>
                <w:highlight w:val="none"/>
              </w:rPr>
            </w:pPr>
            <w:r>
              <w:rPr>
                <w:rFonts w:hint="eastAsia"/>
                <w:highlight w:val="none"/>
              </w:rPr>
              <w:t>6#楼三、四层90m²会议室（共2间）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1A8AF5B3">
            <w:pPr>
              <w:textAlignment w:val="center"/>
              <w:rPr>
                <w:rFonts w:hint="eastAsia"/>
                <w:highlight w:val="none"/>
              </w:rPr>
            </w:pPr>
            <w:r>
              <w:rPr>
                <w:rFonts w:hint="eastAsia"/>
                <w:highlight w:val="none"/>
              </w:rPr>
              <w:t>显示系统、扩声系统、会议发言、集中控制、会议预约等</w:t>
            </w:r>
          </w:p>
        </w:tc>
      </w:tr>
      <w:tr w14:paraId="5E52D5C4">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0EA619B0">
            <w:pPr>
              <w:jc w:val="center"/>
              <w:textAlignment w:val="center"/>
              <w:rPr>
                <w:rFonts w:hint="eastAsia"/>
                <w:highlight w:val="none"/>
              </w:rPr>
            </w:pPr>
            <w:r>
              <w:rPr>
                <w:rFonts w:hint="eastAsia"/>
                <w:highlight w:val="none"/>
              </w:rPr>
              <w:t>6</w:t>
            </w:r>
          </w:p>
        </w:tc>
        <w:tc>
          <w:tcPr>
            <w:tcW w:w="2557" w:type="dxa"/>
            <w:tcBorders>
              <w:top w:val="single" w:color="000000" w:sz="4" w:space="0"/>
              <w:left w:val="single" w:color="000000" w:sz="4" w:space="0"/>
              <w:bottom w:val="single" w:color="000000" w:sz="4" w:space="0"/>
              <w:right w:val="single" w:color="000000" w:sz="4" w:space="0"/>
            </w:tcBorders>
            <w:vAlign w:val="center"/>
          </w:tcPr>
          <w:p w14:paraId="15341F0D">
            <w:pPr>
              <w:textAlignment w:val="center"/>
              <w:rPr>
                <w:rFonts w:hint="eastAsia"/>
                <w:highlight w:val="none"/>
              </w:rPr>
            </w:pPr>
            <w:r>
              <w:rPr>
                <w:rFonts w:hint="eastAsia"/>
                <w:highlight w:val="none"/>
              </w:rPr>
              <w:t>6#楼三层、四层57m²会议室（共2间）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0B97EC59">
            <w:pPr>
              <w:textAlignment w:val="center"/>
              <w:rPr>
                <w:rFonts w:hint="eastAsia"/>
                <w:highlight w:val="none"/>
              </w:rPr>
            </w:pPr>
            <w:r>
              <w:rPr>
                <w:rFonts w:hint="eastAsia"/>
                <w:highlight w:val="none"/>
              </w:rPr>
              <w:t>显示系统、扩声系统、会议发言、集中控制、会议预约等</w:t>
            </w:r>
          </w:p>
        </w:tc>
      </w:tr>
      <w:tr w14:paraId="7CB14749">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2ADFAC54">
            <w:pPr>
              <w:jc w:val="center"/>
              <w:textAlignment w:val="center"/>
              <w:rPr>
                <w:rFonts w:hint="eastAsia"/>
                <w:highlight w:val="none"/>
              </w:rPr>
            </w:pPr>
            <w:r>
              <w:rPr>
                <w:rFonts w:hint="eastAsia"/>
                <w:highlight w:val="none"/>
              </w:rPr>
              <w:t>7</w:t>
            </w:r>
          </w:p>
        </w:tc>
        <w:tc>
          <w:tcPr>
            <w:tcW w:w="2557" w:type="dxa"/>
            <w:tcBorders>
              <w:top w:val="single" w:color="000000" w:sz="4" w:space="0"/>
              <w:left w:val="single" w:color="000000" w:sz="4" w:space="0"/>
              <w:bottom w:val="single" w:color="000000" w:sz="4" w:space="0"/>
              <w:right w:val="single" w:color="000000" w:sz="4" w:space="0"/>
            </w:tcBorders>
            <w:vAlign w:val="center"/>
          </w:tcPr>
          <w:p w14:paraId="61E2CA1C">
            <w:pPr>
              <w:textAlignment w:val="center"/>
              <w:rPr>
                <w:rFonts w:hint="eastAsia"/>
                <w:highlight w:val="none"/>
              </w:rPr>
            </w:pPr>
            <w:r>
              <w:rPr>
                <w:rFonts w:hint="eastAsia"/>
                <w:highlight w:val="none"/>
              </w:rPr>
              <w:t>6#楼三层、四层42m²会议室1（共2间）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54708BD5">
            <w:pPr>
              <w:textAlignment w:val="center"/>
              <w:rPr>
                <w:rFonts w:hint="eastAsia"/>
                <w:highlight w:val="none"/>
              </w:rPr>
            </w:pPr>
            <w:r>
              <w:rPr>
                <w:rFonts w:hint="eastAsia"/>
                <w:highlight w:val="none"/>
              </w:rPr>
              <w:t>显示系统、扩声系统、会议发言、集中控制、会议预约等</w:t>
            </w:r>
          </w:p>
        </w:tc>
      </w:tr>
      <w:tr w14:paraId="20887070">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3808C4B7">
            <w:pPr>
              <w:jc w:val="center"/>
              <w:textAlignment w:val="center"/>
              <w:rPr>
                <w:rFonts w:hint="eastAsia"/>
                <w:highlight w:val="none"/>
              </w:rPr>
            </w:pPr>
            <w:r>
              <w:rPr>
                <w:rFonts w:hint="eastAsia"/>
                <w:highlight w:val="none"/>
              </w:rPr>
              <w:t>8</w:t>
            </w:r>
          </w:p>
        </w:tc>
        <w:tc>
          <w:tcPr>
            <w:tcW w:w="2557" w:type="dxa"/>
            <w:tcBorders>
              <w:top w:val="single" w:color="000000" w:sz="4" w:space="0"/>
              <w:left w:val="single" w:color="000000" w:sz="4" w:space="0"/>
              <w:bottom w:val="single" w:color="000000" w:sz="4" w:space="0"/>
              <w:right w:val="single" w:color="000000" w:sz="4" w:space="0"/>
            </w:tcBorders>
            <w:vAlign w:val="center"/>
          </w:tcPr>
          <w:p w14:paraId="436F6A6F">
            <w:pPr>
              <w:textAlignment w:val="center"/>
              <w:rPr>
                <w:rFonts w:hint="eastAsia"/>
                <w:highlight w:val="none"/>
              </w:rPr>
            </w:pPr>
            <w:r>
              <w:rPr>
                <w:rFonts w:hint="eastAsia"/>
                <w:highlight w:val="none"/>
              </w:rPr>
              <w:t>6#楼三层、四层42m²会议室2（共2间）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245308E1">
            <w:pPr>
              <w:textAlignment w:val="center"/>
              <w:rPr>
                <w:rFonts w:hint="eastAsia"/>
                <w:highlight w:val="none"/>
              </w:rPr>
            </w:pPr>
            <w:r>
              <w:rPr>
                <w:rFonts w:hint="eastAsia"/>
                <w:highlight w:val="none"/>
              </w:rPr>
              <w:t>显示系统等</w:t>
            </w:r>
          </w:p>
        </w:tc>
      </w:tr>
      <w:tr w14:paraId="4C837982">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2D4E4437">
            <w:pPr>
              <w:jc w:val="center"/>
              <w:textAlignment w:val="center"/>
              <w:rPr>
                <w:rFonts w:hint="eastAsia"/>
                <w:highlight w:val="none"/>
              </w:rPr>
            </w:pPr>
            <w:r>
              <w:rPr>
                <w:rFonts w:hint="eastAsia"/>
                <w:highlight w:val="none"/>
              </w:rPr>
              <w:t>9</w:t>
            </w:r>
          </w:p>
        </w:tc>
        <w:tc>
          <w:tcPr>
            <w:tcW w:w="2557" w:type="dxa"/>
            <w:tcBorders>
              <w:top w:val="single" w:color="000000" w:sz="4" w:space="0"/>
              <w:left w:val="single" w:color="000000" w:sz="4" w:space="0"/>
              <w:bottom w:val="single" w:color="000000" w:sz="4" w:space="0"/>
              <w:right w:val="single" w:color="000000" w:sz="4" w:space="0"/>
            </w:tcBorders>
            <w:vAlign w:val="center"/>
          </w:tcPr>
          <w:p w14:paraId="2E9BCF6B">
            <w:pPr>
              <w:textAlignment w:val="center"/>
              <w:rPr>
                <w:rFonts w:hint="eastAsia"/>
                <w:highlight w:val="none"/>
              </w:rPr>
            </w:pPr>
            <w:r>
              <w:rPr>
                <w:rFonts w:hint="eastAsia"/>
                <w:highlight w:val="none"/>
              </w:rPr>
              <w:t>6#楼三层、四层小会议室（共6间）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2A7102C1">
            <w:pPr>
              <w:textAlignment w:val="center"/>
              <w:rPr>
                <w:rFonts w:hint="eastAsia"/>
                <w:highlight w:val="none"/>
              </w:rPr>
            </w:pPr>
            <w:r>
              <w:rPr>
                <w:rFonts w:hint="eastAsia"/>
                <w:highlight w:val="none"/>
              </w:rPr>
              <w:t>显示系统等</w:t>
            </w:r>
          </w:p>
        </w:tc>
      </w:tr>
      <w:tr w14:paraId="1EA5770A">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6AD9506F">
            <w:pPr>
              <w:jc w:val="center"/>
              <w:textAlignment w:val="center"/>
              <w:rPr>
                <w:rFonts w:hint="eastAsia"/>
                <w:highlight w:val="none"/>
              </w:rPr>
            </w:pPr>
            <w:r>
              <w:rPr>
                <w:rFonts w:hint="eastAsia"/>
                <w:highlight w:val="none"/>
              </w:rPr>
              <w:t>10</w:t>
            </w:r>
          </w:p>
        </w:tc>
        <w:tc>
          <w:tcPr>
            <w:tcW w:w="2557" w:type="dxa"/>
            <w:tcBorders>
              <w:top w:val="single" w:color="000000" w:sz="4" w:space="0"/>
              <w:left w:val="single" w:color="000000" w:sz="4" w:space="0"/>
              <w:bottom w:val="single" w:color="000000" w:sz="4" w:space="0"/>
              <w:right w:val="single" w:color="000000" w:sz="4" w:space="0"/>
            </w:tcBorders>
            <w:vAlign w:val="center"/>
          </w:tcPr>
          <w:p w14:paraId="2DEF94DB">
            <w:pPr>
              <w:textAlignment w:val="center"/>
              <w:rPr>
                <w:rFonts w:hint="eastAsia"/>
                <w:highlight w:val="none"/>
              </w:rPr>
            </w:pPr>
            <w:r>
              <w:rPr>
                <w:rFonts w:hint="eastAsia"/>
                <w:highlight w:val="none"/>
              </w:rPr>
              <w:t>6#楼三层、四层28m²会议室(共4间)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5B2E6A00">
            <w:pPr>
              <w:textAlignment w:val="center"/>
              <w:rPr>
                <w:rFonts w:hint="eastAsia"/>
                <w:highlight w:val="none"/>
              </w:rPr>
            </w:pPr>
            <w:r>
              <w:rPr>
                <w:rFonts w:hint="eastAsia"/>
                <w:highlight w:val="none"/>
              </w:rPr>
              <w:t>显示系统等</w:t>
            </w:r>
          </w:p>
        </w:tc>
      </w:tr>
      <w:tr w14:paraId="21B92D2C">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4CD489D5">
            <w:pPr>
              <w:jc w:val="center"/>
              <w:textAlignment w:val="center"/>
              <w:rPr>
                <w:rFonts w:hint="eastAsia"/>
                <w:highlight w:val="none"/>
              </w:rPr>
            </w:pPr>
            <w:r>
              <w:rPr>
                <w:rFonts w:hint="eastAsia"/>
                <w:highlight w:val="none"/>
              </w:rPr>
              <w:t>11</w:t>
            </w:r>
          </w:p>
        </w:tc>
        <w:tc>
          <w:tcPr>
            <w:tcW w:w="2557" w:type="dxa"/>
            <w:tcBorders>
              <w:top w:val="single" w:color="000000" w:sz="4" w:space="0"/>
              <w:left w:val="single" w:color="000000" w:sz="4" w:space="0"/>
              <w:bottom w:val="single" w:color="000000" w:sz="4" w:space="0"/>
              <w:right w:val="single" w:color="000000" w:sz="4" w:space="0"/>
            </w:tcBorders>
            <w:vAlign w:val="center"/>
          </w:tcPr>
          <w:p w14:paraId="10B889FF">
            <w:pPr>
              <w:textAlignment w:val="center"/>
              <w:rPr>
                <w:rFonts w:hint="eastAsia"/>
                <w:highlight w:val="none"/>
              </w:rPr>
            </w:pPr>
            <w:r>
              <w:rPr>
                <w:rFonts w:hint="eastAsia"/>
                <w:highlight w:val="none"/>
              </w:rPr>
              <w:t>6#楼五层90m²会议室</w:t>
            </w:r>
          </w:p>
        </w:tc>
        <w:tc>
          <w:tcPr>
            <w:tcW w:w="5147" w:type="dxa"/>
            <w:tcBorders>
              <w:top w:val="single" w:color="000000" w:sz="4" w:space="0"/>
              <w:left w:val="single" w:color="000000" w:sz="4" w:space="0"/>
              <w:bottom w:val="single" w:color="000000" w:sz="4" w:space="0"/>
              <w:right w:val="single" w:color="000000" w:sz="4" w:space="0"/>
            </w:tcBorders>
            <w:vAlign w:val="center"/>
          </w:tcPr>
          <w:p w14:paraId="1292B868">
            <w:pPr>
              <w:textAlignment w:val="center"/>
              <w:rPr>
                <w:rFonts w:hint="eastAsia"/>
                <w:highlight w:val="none"/>
              </w:rPr>
            </w:pPr>
            <w:r>
              <w:rPr>
                <w:rFonts w:hint="eastAsia"/>
                <w:highlight w:val="none"/>
              </w:rPr>
              <w:t>显示系统、扩声系统、会议发言、集中控制、会议预约等</w:t>
            </w:r>
          </w:p>
        </w:tc>
      </w:tr>
      <w:tr w14:paraId="3BFFC740">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5806BE16">
            <w:pPr>
              <w:jc w:val="center"/>
              <w:textAlignment w:val="center"/>
              <w:rPr>
                <w:rFonts w:hint="eastAsia"/>
                <w:highlight w:val="none"/>
              </w:rPr>
            </w:pPr>
            <w:r>
              <w:rPr>
                <w:rFonts w:hint="eastAsia"/>
                <w:highlight w:val="none"/>
              </w:rPr>
              <w:t>12</w:t>
            </w:r>
          </w:p>
        </w:tc>
        <w:tc>
          <w:tcPr>
            <w:tcW w:w="2557" w:type="dxa"/>
            <w:tcBorders>
              <w:top w:val="single" w:color="000000" w:sz="4" w:space="0"/>
              <w:left w:val="single" w:color="000000" w:sz="4" w:space="0"/>
              <w:bottom w:val="single" w:color="000000" w:sz="4" w:space="0"/>
              <w:right w:val="single" w:color="000000" w:sz="4" w:space="0"/>
            </w:tcBorders>
            <w:vAlign w:val="center"/>
          </w:tcPr>
          <w:p w14:paraId="15B72850">
            <w:pPr>
              <w:textAlignment w:val="center"/>
              <w:rPr>
                <w:rFonts w:hint="eastAsia"/>
                <w:highlight w:val="none"/>
              </w:rPr>
            </w:pPr>
            <w:r>
              <w:rPr>
                <w:rFonts w:hint="eastAsia"/>
                <w:highlight w:val="none"/>
              </w:rPr>
              <w:t>6#楼五层57m²会议室</w:t>
            </w:r>
          </w:p>
        </w:tc>
        <w:tc>
          <w:tcPr>
            <w:tcW w:w="5147" w:type="dxa"/>
            <w:tcBorders>
              <w:top w:val="single" w:color="000000" w:sz="4" w:space="0"/>
              <w:left w:val="single" w:color="000000" w:sz="4" w:space="0"/>
              <w:bottom w:val="single" w:color="000000" w:sz="4" w:space="0"/>
              <w:right w:val="single" w:color="000000" w:sz="4" w:space="0"/>
            </w:tcBorders>
            <w:vAlign w:val="center"/>
          </w:tcPr>
          <w:p w14:paraId="2E924221">
            <w:pPr>
              <w:textAlignment w:val="center"/>
              <w:rPr>
                <w:rFonts w:hint="eastAsia"/>
                <w:highlight w:val="none"/>
              </w:rPr>
            </w:pPr>
            <w:r>
              <w:rPr>
                <w:rFonts w:hint="eastAsia"/>
                <w:highlight w:val="none"/>
              </w:rPr>
              <w:t>显示系统、扩声系统、会议发言、集中控制、会议预约等</w:t>
            </w:r>
          </w:p>
        </w:tc>
      </w:tr>
      <w:tr w14:paraId="072D18CA">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5E8BC53B">
            <w:pPr>
              <w:jc w:val="center"/>
              <w:textAlignment w:val="center"/>
              <w:rPr>
                <w:rFonts w:hint="eastAsia"/>
                <w:highlight w:val="none"/>
              </w:rPr>
            </w:pPr>
            <w:r>
              <w:rPr>
                <w:rFonts w:hint="eastAsia"/>
                <w:highlight w:val="none"/>
              </w:rPr>
              <w:t>13</w:t>
            </w:r>
          </w:p>
        </w:tc>
        <w:tc>
          <w:tcPr>
            <w:tcW w:w="2557" w:type="dxa"/>
            <w:tcBorders>
              <w:top w:val="single" w:color="000000" w:sz="4" w:space="0"/>
              <w:left w:val="single" w:color="000000" w:sz="4" w:space="0"/>
              <w:bottom w:val="single" w:color="000000" w:sz="4" w:space="0"/>
              <w:right w:val="single" w:color="000000" w:sz="4" w:space="0"/>
            </w:tcBorders>
            <w:vAlign w:val="center"/>
          </w:tcPr>
          <w:p w14:paraId="331A4040">
            <w:pPr>
              <w:textAlignment w:val="center"/>
              <w:rPr>
                <w:rFonts w:hint="eastAsia"/>
                <w:highlight w:val="none"/>
              </w:rPr>
            </w:pPr>
            <w:r>
              <w:rPr>
                <w:rFonts w:hint="eastAsia"/>
                <w:highlight w:val="none"/>
              </w:rPr>
              <w:t>6#楼五层172m²大会议室</w:t>
            </w:r>
          </w:p>
        </w:tc>
        <w:tc>
          <w:tcPr>
            <w:tcW w:w="5147" w:type="dxa"/>
            <w:tcBorders>
              <w:top w:val="single" w:color="000000" w:sz="4" w:space="0"/>
              <w:left w:val="single" w:color="000000" w:sz="4" w:space="0"/>
              <w:bottom w:val="single" w:color="000000" w:sz="4" w:space="0"/>
              <w:right w:val="single" w:color="000000" w:sz="4" w:space="0"/>
            </w:tcBorders>
            <w:vAlign w:val="center"/>
          </w:tcPr>
          <w:p w14:paraId="111FAC99">
            <w:pPr>
              <w:textAlignment w:val="center"/>
              <w:rPr>
                <w:rFonts w:hint="eastAsia"/>
                <w:highlight w:val="none"/>
              </w:rPr>
            </w:pPr>
            <w:r>
              <w:rPr>
                <w:rFonts w:hint="eastAsia"/>
                <w:highlight w:val="none"/>
              </w:rPr>
              <w:t>显示系统、扩声系统、会议发言、集中控制、会议预约等</w:t>
            </w:r>
          </w:p>
        </w:tc>
      </w:tr>
      <w:tr w14:paraId="3A6A1CE9">
        <w:tblPrEx>
          <w:tblCellMar>
            <w:top w:w="0" w:type="dxa"/>
            <w:left w:w="108" w:type="dxa"/>
            <w:bottom w:w="0" w:type="dxa"/>
            <w:right w:w="108" w:type="dxa"/>
          </w:tblCellMar>
        </w:tblPrEx>
        <w:trPr>
          <w:trHeight w:val="335"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681CC17E">
            <w:pPr>
              <w:jc w:val="center"/>
              <w:textAlignment w:val="center"/>
              <w:rPr>
                <w:rFonts w:hint="eastAsia"/>
                <w:highlight w:val="none"/>
              </w:rPr>
            </w:pPr>
            <w:r>
              <w:rPr>
                <w:rFonts w:hint="eastAsia"/>
                <w:highlight w:val="none"/>
              </w:rPr>
              <w:t>14</w:t>
            </w:r>
          </w:p>
        </w:tc>
        <w:tc>
          <w:tcPr>
            <w:tcW w:w="2557" w:type="dxa"/>
            <w:tcBorders>
              <w:top w:val="single" w:color="000000" w:sz="4" w:space="0"/>
              <w:left w:val="single" w:color="000000" w:sz="4" w:space="0"/>
              <w:bottom w:val="single" w:color="000000" w:sz="4" w:space="0"/>
              <w:right w:val="single" w:color="000000" w:sz="4" w:space="0"/>
            </w:tcBorders>
            <w:vAlign w:val="center"/>
          </w:tcPr>
          <w:p w14:paraId="3237DCE2">
            <w:pPr>
              <w:textAlignment w:val="center"/>
              <w:rPr>
                <w:rFonts w:hint="eastAsia"/>
                <w:highlight w:val="none"/>
              </w:rPr>
            </w:pPr>
            <w:r>
              <w:rPr>
                <w:rFonts w:hint="eastAsia"/>
                <w:highlight w:val="none"/>
              </w:rPr>
              <w:t>6#楼六层知行讲堂</w:t>
            </w:r>
          </w:p>
        </w:tc>
        <w:tc>
          <w:tcPr>
            <w:tcW w:w="5147" w:type="dxa"/>
            <w:tcBorders>
              <w:top w:val="single" w:color="000000" w:sz="4" w:space="0"/>
              <w:left w:val="single" w:color="000000" w:sz="4" w:space="0"/>
              <w:bottom w:val="single" w:color="000000" w:sz="4" w:space="0"/>
              <w:right w:val="single" w:color="000000" w:sz="4" w:space="0"/>
            </w:tcBorders>
            <w:vAlign w:val="center"/>
          </w:tcPr>
          <w:p w14:paraId="2421A956">
            <w:pPr>
              <w:textAlignment w:val="center"/>
              <w:rPr>
                <w:rFonts w:hint="eastAsia"/>
                <w:highlight w:val="none"/>
              </w:rPr>
            </w:pPr>
            <w:r>
              <w:rPr>
                <w:rFonts w:hint="eastAsia"/>
                <w:highlight w:val="none"/>
              </w:rPr>
              <w:t>显示系统、扩声系统、会议发言等</w:t>
            </w:r>
          </w:p>
        </w:tc>
      </w:tr>
      <w:tr w14:paraId="00768863">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13E3FA3A">
            <w:pPr>
              <w:jc w:val="center"/>
              <w:textAlignment w:val="center"/>
              <w:rPr>
                <w:rFonts w:hint="eastAsia"/>
                <w:highlight w:val="none"/>
              </w:rPr>
            </w:pPr>
            <w:r>
              <w:rPr>
                <w:rFonts w:hint="eastAsia"/>
                <w:highlight w:val="none"/>
              </w:rPr>
              <w:t>15</w:t>
            </w:r>
          </w:p>
        </w:tc>
        <w:tc>
          <w:tcPr>
            <w:tcW w:w="2557" w:type="dxa"/>
            <w:tcBorders>
              <w:top w:val="single" w:color="000000" w:sz="4" w:space="0"/>
              <w:left w:val="single" w:color="000000" w:sz="4" w:space="0"/>
              <w:bottom w:val="single" w:color="000000" w:sz="4" w:space="0"/>
              <w:right w:val="single" w:color="000000" w:sz="4" w:space="0"/>
            </w:tcBorders>
            <w:vAlign w:val="center"/>
          </w:tcPr>
          <w:p w14:paraId="2C0345E8">
            <w:pPr>
              <w:textAlignment w:val="center"/>
              <w:rPr>
                <w:rFonts w:hint="eastAsia"/>
                <w:highlight w:val="none"/>
              </w:rPr>
            </w:pPr>
            <w:r>
              <w:rPr>
                <w:rFonts w:hint="eastAsia"/>
                <w:highlight w:val="none"/>
              </w:rPr>
              <w:t>5#楼三层60人报告厅</w:t>
            </w:r>
          </w:p>
        </w:tc>
        <w:tc>
          <w:tcPr>
            <w:tcW w:w="5147" w:type="dxa"/>
            <w:tcBorders>
              <w:top w:val="single" w:color="000000" w:sz="4" w:space="0"/>
              <w:left w:val="single" w:color="000000" w:sz="4" w:space="0"/>
              <w:bottom w:val="single" w:color="000000" w:sz="4" w:space="0"/>
              <w:right w:val="single" w:color="000000" w:sz="4" w:space="0"/>
            </w:tcBorders>
            <w:vAlign w:val="center"/>
          </w:tcPr>
          <w:p w14:paraId="149DB006">
            <w:pPr>
              <w:textAlignment w:val="center"/>
              <w:rPr>
                <w:rFonts w:hint="eastAsia"/>
                <w:highlight w:val="none"/>
              </w:rPr>
            </w:pPr>
            <w:r>
              <w:rPr>
                <w:rFonts w:hint="eastAsia"/>
                <w:highlight w:val="none"/>
              </w:rPr>
              <w:t>显示系统、扩声系统、会议发言等</w:t>
            </w:r>
          </w:p>
        </w:tc>
      </w:tr>
      <w:tr w14:paraId="0C86C7CC">
        <w:tblPrEx>
          <w:tblCellMar>
            <w:top w:w="0" w:type="dxa"/>
            <w:left w:w="108" w:type="dxa"/>
            <w:bottom w:w="0" w:type="dxa"/>
            <w:right w:w="108" w:type="dxa"/>
          </w:tblCellMar>
        </w:tblPrEx>
        <w:trPr>
          <w:trHeight w:val="661"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5E5AE5E6">
            <w:pPr>
              <w:jc w:val="center"/>
              <w:textAlignment w:val="center"/>
              <w:rPr>
                <w:rFonts w:hint="eastAsia"/>
                <w:highlight w:val="none"/>
              </w:rPr>
            </w:pPr>
            <w:r>
              <w:rPr>
                <w:rFonts w:hint="eastAsia"/>
                <w:highlight w:val="none"/>
              </w:rPr>
              <w:t>16</w:t>
            </w:r>
          </w:p>
        </w:tc>
        <w:tc>
          <w:tcPr>
            <w:tcW w:w="2557" w:type="dxa"/>
            <w:tcBorders>
              <w:top w:val="single" w:color="000000" w:sz="4" w:space="0"/>
              <w:left w:val="single" w:color="000000" w:sz="4" w:space="0"/>
              <w:bottom w:val="single" w:color="000000" w:sz="4" w:space="0"/>
              <w:right w:val="single" w:color="000000" w:sz="4" w:space="0"/>
            </w:tcBorders>
            <w:vAlign w:val="center"/>
          </w:tcPr>
          <w:p w14:paraId="6032A1A3">
            <w:pPr>
              <w:textAlignment w:val="center"/>
              <w:rPr>
                <w:rFonts w:hint="eastAsia"/>
                <w:highlight w:val="none"/>
              </w:rPr>
            </w:pPr>
            <w:r>
              <w:rPr>
                <w:rFonts w:hint="eastAsia"/>
                <w:highlight w:val="none"/>
              </w:rPr>
              <w:t>5#楼三层会议室（共2间）</w:t>
            </w:r>
          </w:p>
        </w:tc>
        <w:tc>
          <w:tcPr>
            <w:tcW w:w="5147" w:type="dxa"/>
            <w:tcBorders>
              <w:top w:val="single" w:color="000000" w:sz="4" w:space="0"/>
              <w:left w:val="single" w:color="000000" w:sz="4" w:space="0"/>
              <w:bottom w:val="single" w:color="000000" w:sz="4" w:space="0"/>
              <w:right w:val="single" w:color="000000" w:sz="4" w:space="0"/>
            </w:tcBorders>
            <w:vAlign w:val="center"/>
          </w:tcPr>
          <w:p w14:paraId="116FE3E7">
            <w:pPr>
              <w:textAlignment w:val="center"/>
              <w:rPr>
                <w:rFonts w:hint="eastAsia"/>
                <w:highlight w:val="none"/>
              </w:rPr>
            </w:pPr>
            <w:r>
              <w:rPr>
                <w:rFonts w:hint="eastAsia"/>
                <w:highlight w:val="none"/>
              </w:rPr>
              <w:t>显示系统、扩声系统、会议发言等</w:t>
            </w:r>
          </w:p>
        </w:tc>
      </w:tr>
      <w:tr w14:paraId="1717D135">
        <w:tblPrEx>
          <w:tblCellMar>
            <w:top w:w="0" w:type="dxa"/>
            <w:left w:w="108" w:type="dxa"/>
            <w:bottom w:w="0" w:type="dxa"/>
            <w:right w:w="108"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29AB9D66">
            <w:pPr>
              <w:jc w:val="center"/>
              <w:textAlignment w:val="center"/>
              <w:rPr>
                <w:rFonts w:hint="eastAsia"/>
                <w:highlight w:val="none"/>
              </w:rPr>
            </w:pPr>
            <w:r>
              <w:rPr>
                <w:rFonts w:hint="eastAsia"/>
                <w:highlight w:val="none"/>
              </w:rPr>
              <w:t>17</w:t>
            </w:r>
          </w:p>
        </w:tc>
        <w:tc>
          <w:tcPr>
            <w:tcW w:w="2557" w:type="dxa"/>
            <w:tcBorders>
              <w:top w:val="single" w:color="000000" w:sz="4" w:space="0"/>
              <w:left w:val="single" w:color="000000" w:sz="4" w:space="0"/>
              <w:bottom w:val="single" w:color="000000" w:sz="4" w:space="0"/>
              <w:right w:val="single" w:color="000000" w:sz="4" w:space="0"/>
            </w:tcBorders>
            <w:vAlign w:val="center"/>
          </w:tcPr>
          <w:p w14:paraId="37C2260D">
            <w:pPr>
              <w:textAlignment w:val="center"/>
              <w:rPr>
                <w:rFonts w:hint="eastAsia"/>
                <w:highlight w:val="none"/>
              </w:rPr>
            </w:pPr>
            <w:r>
              <w:rPr>
                <w:rFonts w:hint="eastAsia"/>
                <w:highlight w:val="none"/>
              </w:rPr>
              <w:t>5#楼四层会议室</w:t>
            </w:r>
          </w:p>
        </w:tc>
        <w:tc>
          <w:tcPr>
            <w:tcW w:w="5147" w:type="dxa"/>
            <w:tcBorders>
              <w:top w:val="single" w:color="000000" w:sz="4" w:space="0"/>
              <w:left w:val="single" w:color="000000" w:sz="4" w:space="0"/>
              <w:bottom w:val="single" w:color="000000" w:sz="4" w:space="0"/>
              <w:right w:val="single" w:color="000000" w:sz="4" w:space="0"/>
            </w:tcBorders>
            <w:vAlign w:val="center"/>
          </w:tcPr>
          <w:p w14:paraId="2E3A8BF4">
            <w:pPr>
              <w:textAlignment w:val="center"/>
              <w:rPr>
                <w:rFonts w:hint="eastAsia"/>
                <w:highlight w:val="none"/>
              </w:rPr>
            </w:pPr>
            <w:r>
              <w:rPr>
                <w:rFonts w:hint="eastAsia"/>
                <w:highlight w:val="none"/>
              </w:rPr>
              <w:t>显示系统等</w:t>
            </w:r>
          </w:p>
        </w:tc>
      </w:tr>
    </w:tbl>
    <w:p w14:paraId="07C18F43">
      <w:pPr>
        <w:pStyle w:val="13"/>
        <w:ind w:left="480"/>
        <w:rPr>
          <w:rFonts w:hint="eastAsia"/>
          <w:sz w:val="21"/>
          <w:szCs w:val="21"/>
          <w:highlight w:val="none"/>
        </w:rPr>
      </w:pPr>
    </w:p>
    <w:p w14:paraId="27A1A8E0">
      <w:pPr>
        <w:spacing w:line="360" w:lineRule="auto"/>
        <w:ind w:firstLine="420"/>
        <w:outlineLvl w:val="2"/>
        <w:rPr>
          <w:rFonts w:hint="eastAsia"/>
          <w:b/>
          <w:bCs/>
          <w:highlight w:val="none"/>
        </w:rPr>
      </w:pPr>
      <w:r>
        <w:rPr>
          <w:rFonts w:hint="eastAsia"/>
          <w:b/>
          <w:bCs/>
          <w:highlight w:val="none"/>
        </w:rPr>
        <w:t>9、多媒体会议管理系统</w:t>
      </w:r>
    </w:p>
    <w:p w14:paraId="7FD8614D">
      <w:pPr>
        <w:spacing w:line="360" w:lineRule="auto"/>
        <w:ind w:firstLine="420"/>
        <w:rPr>
          <w:rFonts w:hint="eastAsia"/>
          <w:highlight w:val="none"/>
        </w:rPr>
      </w:pPr>
      <w:r>
        <w:rPr>
          <w:rFonts w:hint="eastAsia"/>
          <w:highlight w:val="none"/>
        </w:rPr>
        <w:t>本次多媒体会议管理系统对整个建筑物的不同楼层、不同房间的会务总管理功能；设备状态监视自检诊断；资产管理；故障记录；权限管理。</w:t>
      </w:r>
    </w:p>
    <w:p w14:paraId="2B19D590">
      <w:pPr>
        <w:pStyle w:val="13"/>
        <w:widowControl w:val="0"/>
        <w:numPr>
          <w:ilvl w:val="0"/>
          <w:numId w:val="30"/>
        </w:numPr>
        <w:ind w:left="480" w:firstLine="420"/>
        <w:jc w:val="both"/>
        <w:rPr>
          <w:rFonts w:hint="eastAsia"/>
          <w:sz w:val="21"/>
          <w:szCs w:val="21"/>
          <w:highlight w:val="none"/>
        </w:rPr>
      </w:pPr>
      <w:r>
        <w:rPr>
          <w:rFonts w:hint="eastAsia"/>
          <w:sz w:val="21"/>
          <w:szCs w:val="21"/>
          <w:highlight w:val="none"/>
        </w:rPr>
        <w:t>支持会议室预定，通过PC实现会议室快速查询与预定；</w:t>
      </w:r>
    </w:p>
    <w:p w14:paraId="1922C244">
      <w:pPr>
        <w:pStyle w:val="13"/>
        <w:widowControl w:val="0"/>
        <w:numPr>
          <w:ilvl w:val="0"/>
          <w:numId w:val="30"/>
        </w:numPr>
        <w:ind w:left="480" w:firstLine="420"/>
        <w:jc w:val="both"/>
        <w:rPr>
          <w:rFonts w:hint="eastAsia"/>
          <w:sz w:val="21"/>
          <w:szCs w:val="21"/>
          <w:highlight w:val="none"/>
        </w:rPr>
      </w:pPr>
      <w:r>
        <w:rPr>
          <w:rFonts w:hint="eastAsia"/>
          <w:sz w:val="21"/>
          <w:szCs w:val="21"/>
          <w:highlight w:val="none"/>
        </w:rPr>
        <w:t>支持会议通知，会前参会通知邮件发送；</w:t>
      </w:r>
    </w:p>
    <w:p w14:paraId="65837315">
      <w:pPr>
        <w:pStyle w:val="13"/>
        <w:widowControl w:val="0"/>
        <w:numPr>
          <w:ilvl w:val="0"/>
          <w:numId w:val="30"/>
        </w:numPr>
        <w:ind w:left="480" w:firstLine="420"/>
        <w:jc w:val="both"/>
        <w:rPr>
          <w:rFonts w:hint="eastAsia"/>
          <w:sz w:val="21"/>
          <w:szCs w:val="21"/>
          <w:highlight w:val="none"/>
        </w:rPr>
      </w:pPr>
      <w:r>
        <w:rPr>
          <w:rFonts w:hint="eastAsia"/>
          <w:sz w:val="21"/>
          <w:szCs w:val="21"/>
          <w:highlight w:val="none"/>
        </w:rPr>
        <w:t>支持会场信息展示，显示会议主题、人员、使用情况等信息；</w:t>
      </w:r>
    </w:p>
    <w:p w14:paraId="7EE2D84C">
      <w:pPr>
        <w:pStyle w:val="13"/>
        <w:widowControl w:val="0"/>
        <w:numPr>
          <w:ilvl w:val="0"/>
          <w:numId w:val="30"/>
        </w:numPr>
        <w:ind w:left="480" w:firstLine="420"/>
        <w:jc w:val="both"/>
        <w:rPr>
          <w:rFonts w:hint="eastAsia"/>
          <w:sz w:val="21"/>
          <w:szCs w:val="21"/>
          <w:highlight w:val="none"/>
        </w:rPr>
      </w:pPr>
      <w:r>
        <w:rPr>
          <w:sz w:val="21"/>
          <w:szCs w:val="21"/>
          <w:highlight w:val="none"/>
        </w:rPr>
        <w:t>确保系统数据传输的安全性，采用加密技术保护敏感信息。</w:t>
      </w:r>
    </w:p>
    <w:p w14:paraId="5F90DC7C">
      <w:pPr>
        <w:pStyle w:val="13"/>
        <w:widowControl w:val="0"/>
        <w:numPr>
          <w:ilvl w:val="0"/>
          <w:numId w:val="30"/>
        </w:numPr>
        <w:ind w:left="480" w:firstLine="420"/>
        <w:jc w:val="both"/>
        <w:rPr>
          <w:rFonts w:hint="eastAsia"/>
          <w:sz w:val="21"/>
          <w:szCs w:val="21"/>
          <w:highlight w:val="none"/>
        </w:rPr>
      </w:pPr>
      <w:r>
        <w:rPr>
          <w:sz w:val="21"/>
          <w:szCs w:val="21"/>
          <w:highlight w:val="none"/>
        </w:rPr>
        <w:t>设定严格的访问控制机制，防止未经授权的访问和操作。</w:t>
      </w:r>
    </w:p>
    <w:p w14:paraId="53676B12">
      <w:pPr>
        <w:pStyle w:val="13"/>
        <w:widowControl w:val="0"/>
        <w:numPr>
          <w:ilvl w:val="0"/>
          <w:numId w:val="30"/>
        </w:numPr>
        <w:ind w:left="480" w:firstLine="420"/>
        <w:jc w:val="both"/>
        <w:rPr>
          <w:rFonts w:hint="eastAsia"/>
          <w:sz w:val="21"/>
          <w:szCs w:val="21"/>
          <w:highlight w:val="none"/>
        </w:rPr>
      </w:pPr>
      <w:r>
        <w:rPr>
          <w:sz w:val="21"/>
          <w:szCs w:val="21"/>
          <w:highlight w:val="none"/>
        </w:rPr>
        <w:t>采用冗余设计和备份机制，确保系统的高可用性。</w:t>
      </w:r>
    </w:p>
    <w:p w14:paraId="41836C34">
      <w:pPr>
        <w:spacing w:line="360" w:lineRule="auto"/>
        <w:ind w:firstLine="420"/>
        <w:outlineLvl w:val="2"/>
        <w:rPr>
          <w:rFonts w:hint="eastAsia"/>
          <w:b/>
          <w:bCs/>
          <w:highlight w:val="none"/>
        </w:rPr>
      </w:pPr>
      <w:r>
        <w:rPr>
          <w:rFonts w:hint="eastAsia"/>
          <w:b/>
          <w:bCs/>
          <w:highlight w:val="none"/>
        </w:rPr>
        <w:t>10、安保集成平台</w:t>
      </w:r>
    </w:p>
    <w:p w14:paraId="69DAD87C">
      <w:pPr>
        <w:spacing w:line="360" w:lineRule="auto"/>
        <w:ind w:firstLine="420"/>
        <w:rPr>
          <w:rFonts w:hint="eastAsia"/>
          <w:highlight w:val="none"/>
        </w:rPr>
      </w:pPr>
      <w:r>
        <w:rPr>
          <w:rFonts w:hint="eastAsia"/>
          <w:highlight w:val="none"/>
        </w:rPr>
        <w:t>安防集成系统作为整个安防系统的核心，需要具有很高的系统集成性、兼容性、操作的便利性，使得安防系统在统一的界面和电子地图下得到快速有效的查询和管理；能够通过协议实现更灵活的策略联动，实现报警、门禁和监控系统的联动功能；能够实现各分控工作站更全面的信息掌握。</w:t>
      </w:r>
    </w:p>
    <w:p w14:paraId="0BB005D6">
      <w:pPr>
        <w:spacing w:line="360" w:lineRule="auto"/>
        <w:ind w:firstLine="420"/>
        <w:rPr>
          <w:rFonts w:hint="eastAsia"/>
          <w:highlight w:val="none"/>
        </w:rPr>
      </w:pPr>
      <w:r>
        <w:rPr>
          <w:rFonts w:hint="eastAsia"/>
          <w:highlight w:val="none"/>
        </w:rPr>
        <w:t>安保集成平台是“集成化”、“智能化”的综合安防管理平台，通过接入视频监控、停车场、报警检测等系统的设备，获取边缘节点数据，实现安防信息化集成与联动；以电子地图为载体，融合各系统能力实现丰富的智能应用。</w:t>
      </w:r>
    </w:p>
    <w:p w14:paraId="7ADC8EB9">
      <w:pPr>
        <w:spacing w:line="360" w:lineRule="auto"/>
        <w:ind w:firstLine="420"/>
        <w:rPr>
          <w:rFonts w:hint="eastAsia"/>
          <w:highlight w:val="none"/>
        </w:rPr>
      </w:pPr>
      <w:r>
        <w:rPr>
          <w:rFonts w:hint="eastAsia"/>
          <w:highlight w:val="none"/>
        </w:rPr>
        <w:t>平台应采用开放的标准接口，实现与各子系统的松耦合集成，确保不同厂商的产品能够顺利接入。</w:t>
      </w:r>
    </w:p>
    <w:p w14:paraId="7A5C40F2">
      <w:pPr>
        <w:spacing w:line="360" w:lineRule="auto"/>
        <w:ind w:firstLine="420"/>
        <w:rPr>
          <w:rFonts w:hint="eastAsia"/>
          <w:highlight w:val="none"/>
        </w:rPr>
      </w:pPr>
      <w:r>
        <w:rPr>
          <w:rFonts w:hint="eastAsia"/>
          <w:highlight w:val="none"/>
        </w:rPr>
        <w:t>平台必须能够定义和改变系统运行策略和连接设备的参数，确保系统能够实时响应各种变化。</w:t>
      </w:r>
    </w:p>
    <w:p w14:paraId="403479ED">
      <w:pPr>
        <w:spacing w:line="360" w:lineRule="auto"/>
        <w:ind w:firstLine="420"/>
        <w:rPr>
          <w:rFonts w:hint="eastAsia"/>
          <w:highlight w:val="none"/>
        </w:rPr>
      </w:pPr>
      <w:r>
        <w:rPr>
          <w:rFonts w:hint="eastAsia"/>
          <w:highlight w:val="none"/>
        </w:rPr>
        <w:t>平台应支持多种品牌和型号的安防设备接入，如门禁控制器、摄像机、报警器等，实现设备的统一管理和控制。</w:t>
      </w:r>
    </w:p>
    <w:p w14:paraId="3836563C">
      <w:pPr>
        <w:spacing w:line="360" w:lineRule="auto"/>
        <w:ind w:firstLine="420"/>
        <w:rPr>
          <w:rFonts w:hint="eastAsia"/>
          <w:highlight w:val="none"/>
        </w:rPr>
      </w:pPr>
      <w:r>
        <w:rPr>
          <w:rFonts w:hint="eastAsia"/>
          <w:highlight w:val="none"/>
        </w:rPr>
        <w:t>平台应兼容不同操作系统和浏览器，确保用户可以在多种环境下访问和使用系统。</w:t>
      </w:r>
    </w:p>
    <w:p w14:paraId="17970D2C">
      <w:pPr>
        <w:spacing w:line="360" w:lineRule="auto"/>
        <w:ind w:firstLine="420"/>
        <w:rPr>
          <w:rFonts w:hint="eastAsia"/>
          <w:highlight w:val="none"/>
        </w:rPr>
      </w:pPr>
      <w:r>
        <w:rPr>
          <w:rFonts w:hint="eastAsia"/>
          <w:highlight w:val="none"/>
        </w:rPr>
        <w:t>控制中心位于6#楼一层消控室，系统可通过接口方式接入整个物联网平台进行统一管理。</w:t>
      </w:r>
    </w:p>
    <w:p w14:paraId="18E10E81">
      <w:pPr>
        <w:spacing w:line="360" w:lineRule="auto"/>
        <w:ind w:firstLine="420"/>
        <w:rPr>
          <w:rFonts w:hint="eastAsia"/>
          <w:highlight w:val="none"/>
        </w:rPr>
      </w:pPr>
      <w:r>
        <w:rPr>
          <w:rFonts w:hint="eastAsia"/>
          <w:highlight w:val="none"/>
        </w:rPr>
        <w:t>平台应采用加密技术保护数据传输和存储过程中的安全性，防止数据泄露和篡改。</w:t>
      </w:r>
    </w:p>
    <w:p w14:paraId="0CF62336">
      <w:pPr>
        <w:spacing w:line="360" w:lineRule="auto"/>
        <w:ind w:firstLine="420"/>
        <w:rPr>
          <w:rFonts w:hint="eastAsia"/>
          <w:highlight w:val="none"/>
        </w:rPr>
      </w:pPr>
      <w:r>
        <w:rPr>
          <w:rFonts w:hint="eastAsia"/>
          <w:highlight w:val="none"/>
        </w:rPr>
        <w:t>通过身份验证和授权机制控制用户对数据的访问权限，确保只有授权用户才能访问系统。</w:t>
      </w:r>
    </w:p>
    <w:p w14:paraId="59B198DF">
      <w:pPr>
        <w:spacing w:line="360" w:lineRule="auto"/>
        <w:ind w:firstLine="420"/>
        <w:rPr>
          <w:rFonts w:hint="eastAsia"/>
          <w:highlight w:val="none"/>
        </w:rPr>
      </w:pPr>
      <w:r>
        <w:rPr>
          <w:rFonts w:hint="eastAsia"/>
          <w:highlight w:val="none"/>
        </w:rPr>
        <w:t>定期对系统进行安全审计和漏洞扫描，及时发现并修复安全隐患。</w:t>
      </w:r>
    </w:p>
    <w:p w14:paraId="0D427D14">
      <w:pPr>
        <w:spacing w:line="360" w:lineRule="auto"/>
        <w:ind w:firstLine="420"/>
        <w:rPr>
          <w:rFonts w:hint="eastAsia"/>
          <w:highlight w:val="none"/>
        </w:rPr>
      </w:pPr>
      <w:r>
        <w:rPr>
          <w:rFonts w:hint="eastAsia"/>
          <w:highlight w:val="none"/>
        </w:rPr>
        <w:t>安全防范工程的设计除应满足系统的安全防范效能外，还应满足紧急情况下疏散通道人员疏散的需要。</w:t>
      </w:r>
    </w:p>
    <w:p w14:paraId="4AC5287B">
      <w:pPr>
        <w:spacing w:line="360" w:lineRule="auto"/>
        <w:ind w:firstLine="420"/>
        <w:rPr>
          <w:rFonts w:hint="eastAsia"/>
          <w:highlight w:val="none"/>
        </w:rPr>
      </w:pPr>
      <w:r>
        <w:rPr>
          <w:rFonts w:hint="eastAsia"/>
          <w:highlight w:val="none"/>
        </w:rPr>
        <w:t>安全防范系统的设计应防止造成对人员的伤害，并应符合下列规定：</w:t>
      </w:r>
    </w:p>
    <w:p w14:paraId="08AEC3B7">
      <w:pPr>
        <w:spacing w:line="360" w:lineRule="auto"/>
        <w:ind w:firstLine="420"/>
        <w:rPr>
          <w:rFonts w:hint="eastAsia"/>
          <w:highlight w:val="none"/>
        </w:rPr>
      </w:pPr>
      <w:r>
        <w:rPr>
          <w:rFonts w:hint="eastAsia"/>
          <w:highlight w:val="none"/>
        </w:rPr>
        <w:t>1）系统所用设备及其安装部件的机械结构应有足够的强度，应能防止由于机械重心不稳、安装固定不牢、突出物和锐利边缘以及显示设备爆裂等造成对人员的伤害；</w:t>
      </w:r>
    </w:p>
    <w:p w14:paraId="3396EC78">
      <w:pPr>
        <w:spacing w:line="360" w:lineRule="auto"/>
        <w:ind w:firstLine="420"/>
        <w:rPr>
          <w:rFonts w:hint="eastAsia"/>
          <w:highlight w:val="none"/>
        </w:rPr>
      </w:pPr>
      <w:r>
        <w:rPr>
          <w:rFonts w:hint="eastAsia"/>
          <w:highlight w:val="none"/>
        </w:rPr>
        <w:t>2）系统所用设备所产生的气体、X射线、激光辐射和电磁辐射等应符合国家相关标准的要求，不能损害人体健康；</w:t>
      </w:r>
    </w:p>
    <w:p w14:paraId="3FFA78C8">
      <w:pPr>
        <w:spacing w:line="360" w:lineRule="auto"/>
        <w:ind w:firstLine="420"/>
        <w:rPr>
          <w:rFonts w:hint="eastAsia"/>
          <w:highlight w:val="none"/>
        </w:rPr>
      </w:pPr>
      <w:r>
        <w:rPr>
          <w:rFonts w:hint="eastAsia"/>
          <w:highlight w:val="none"/>
        </w:rPr>
        <w:t>3）系统和设备应有防人身触电、防火、防过热的保护措施；</w:t>
      </w:r>
    </w:p>
    <w:p w14:paraId="06F86B8C">
      <w:pPr>
        <w:spacing w:line="360" w:lineRule="auto"/>
        <w:ind w:firstLine="420"/>
        <w:rPr>
          <w:rFonts w:hint="eastAsia"/>
          <w:highlight w:val="none"/>
        </w:rPr>
      </w:pPr>
      <w:r>
        <w:rPr>
          <w:rFonts w:hint="eastAsia"/>
          <w:highlight w:val="none"/>
        </w:rPr>
        <w:t>4）应有防病毒和防网络入侵的措施；</w:t>
      </w:r>
    </w:p>
    <w:p w14:paraId="03429A01">
      <w:pPr>
        <w:spacing w:line="360" w:lineRule="auto"/>
        <w:ind w:firstLine="420"/>
        <w:rPr>
          <w:rFonts w:hint="eastAsia"/>
          <w:highlight w:val="none"/>
        </w:rPr>
      </w:pPr>
      <w:r>
        <w:rPr>
          <w:rFonts w:hint="eastAsia"/>
          <w:highlight w:val="none"/>
        </w:rPr>
        <w:t>5）系统运行的密钥或编码不应是弱口令，用户名和操作密码组合应不同；</w:t>
      </w:r>
    </w:p>
    <w:p w14:paraId="2D1AB80F">
      <w:pPr>
        <w:spacing w:line="360" w:lineRule="auto"/>
        <w:ind w:firstLine="420"/>
        <w:rPr>
          <w:rFonts w:hint="eastAsia"/>
          <w:highlight w:val="none"/>
        </w:rPr>
      </w:pPr>
      <w:r>
        <w:rPr>
          <w:rFonts w:hint="eastAsia"/>
          <w:highlight w:val="none"/>
        </w:rPr>
        <w:t>6）当基于不同传输网络的系统和设备联网时，应采取相应的网络边界安全管理措施；</w:t>
      </w:r>
    </w:p>
    <w:p w14:paraId="7513EAEB">
      <w:pPr>
        <w:spacing w:line="360" w:lineRule="auto"/>
        <w:ind w:firstLine="480" w:firstLineChars="200"/>
        <w:rPr>
          <w:rFonts w:hint="eastAsia"/>
          <w:highlight w:val="none"/>
        </w:rPr>
      </w:pPr>
      <w:r>
        <w:rPr>
          <w:rFonts w:hint="eastAsia"/>
          <w:highlight w:val="none"/>
        </w:rPr>
        <w:t>7）系统供电暂时中断恢复供电后，系统应能自动恢复原有工作状态，该功能应能人工设定；</w:t>
      </w:r>
    </w:p>
    <w:p w14:paraId="1828378E">
      <w:pPr>
        <w:spacing w:line="360" w:lineRule="auto"/>
        <w:ind w:firstLine="420"/>
        <w:outlineLvl w:val="2"/>
        <w:rPr>
          <w:rFonts w:hint="eastAsia"/>
          <w:b/>
          <w:bCs/>
          <w:highlight w:val="none"/>
        </w:rPr>
      </w:pPr>
      <w:r>
        <w:rPr>
          <w:rFonts w:hint="eastAsia"/>
          <w:b/>
          <w:bCs/>
          <w:highlight w:val="none"/>
        </w:rPr>
        <w:t>11、视频监控系统</w:t>
      </w:r>
    </w:p>
    <w:p w14:paraId="59E7F191">
      <w:pPr>
        <w:spacing w:line="360" w:lineRule="auto"/>
        <w:ind w:firstLine="420"/>
        <w:rPr>
          <w:rFonts w:hint="eastAsia"/>
          <w:highlight w:val="none"/>
        </w:rPr>
      </w:pPr>
      <w:r>
        <w:rPr>
          <w:rFonts w:hint="eastAsia"/>
          <w:highlight w:val="none"/>
        </w:rPr>
        <w:t>本工程针对室外主要通道、地下室、电梯厅、楼梯间等重要区域设计，主要包括彩色半球摄像机（400万像素红外）、电梯专用摄像机（400万像素红外）、彩转黑固定摄像机（400万像素红外）、一体化快球AI摄像机（400万像素红外）、人脸识别摄像机（400万像素红外）、高空AR球型摄像机（2400万像素红外），监控信号接入6#楼一层消控室进行集中管理。视频监控系统采用全数字技术、高码流存储，以方便因管理区域变更而引起的安防设备增减与位置调整。</w:t>
      </w:r>
    </w:p>
    <w:p w14:paraId="322B1D3F">
      <w:pPr>
        <w:spacing w:line="360" w:lineRule="auto"/>
        <w:ind w:firstLine="420"/>
        <w:rPr>
          <w:rFonts w:hint="eastAsia"/>
          <w:highlight w:val="none"/>
        </w:rPr>
      </w:pPr>
      <w:r>
        <w:rPr>
          <w:rFonts w:hint="eastAsia"/>
          <w:highlight w:val="none"/>
        </w:rPr>
        <w:t>在6#楼一层消控室设置监控机房，机房内设置磁盘阵列进行集中存储，通过网络键盘进行图像切换，并由12台49寸液晶电视墙进行显示。</w:t>
      </w:r>
    </w:p>
    <w:p w14:paraId="3B0DBDFF">
      <w:pPr>
        <w:spacing w:line="360" w:lineRule="auto"/>
        <w:ind w:firstLine="420"/>
        <w:rPr>
          <w:rFonts w:hint="eastAsia"/>
          <w:highlight w:val="none"/>
        </w:rPr>
      </w:pPr>
      <w:r>
        <w:rPr>
          <w:rFonts w:hint="eastAsia"/>
          <w:highlight w:val="none"/>
        </w:rPr>
        <w:t>系统存储时间按1080P格式2M码流两个月时间存储。</w:t>
      </w:r>
    </w:p>
    <w:p w14:paraId="193EBDC0">
      <w:pPr>
        <w:spacing w:line="360" w:lineRule="auto"/>
        <w:ind w:firstLine="420"/>
        <w:rPr>
          <w:rFonts w:hint="eastAsia"/>
          <w:highlight w:val="none"/>
        </w:rPr>
      </w:pPr>
      <w:r>
        <w:rPr>
          <w:rFonts w:hint="eastAsia"/>
          <w:highlight w:val="none"/>
        </w:rPr>
        <w:t>摄像机电源由6#楼一层消控室UPS提供，由UPS配电箱引到相应各楼层IDF机柜，经变压后引出。一体化快球AI摄像机设置两根线缆，网线UTP Cat6、电源线RYY2.1.5，外穿JDG25/SC25在顶板或吊顶内敷设,其他各类型摄像机设置一根线缆，网线UTP Cat6（POE供电），外穿JDG20/SC20在顶板或吊顶内敷设。施工时，各线缆在进入安防监控机房之后盘留长度10m。各线缆到达摄像机后盘留长度预留1m。线缆在引出桥架或出线盒后在摄像机之间均加可挠型金属软管保护。</w:t>
      </w:r>
    </w:p>
    <w:p w14:paraId="170227A0">
      <w:pPr>
        <w:spacing w:line="360" w:lineRule="auto"/>
        <w:ind w:firstLine="420"/>
        <w:rPr>
          <w:rFonts w:hint="eastAsia"/>
          <w:highlight w:val="none"/>
        </w:rPr>
      </w:pPr>
      <w:r>
        <w:rPr>
          <w:rFonts w:hint="eastAsia"/>
          <w:highlight w:val="none"/>
        </w:rPr>
        <w:t>系统调试时对图像的质量要求：在摄像机的标准照度下，视频监视图像质量按五级操作制评分标准评定。图象质量不应低于4级。</w:t>
      </w:r>
    </w:p>
    <w:p w14:paraId="48B6D36E">
      <w:pPr>
        <w:spacing w:line="360" w:lineRule="auto"/>
        <w:ind w:firstLine="480" w:firstLineChars="200"/>
        <w:rPr>
          <w:rFonts w:hint="eastAsia"/>
          <w:highlight w:val="none"/>
          <w:lang w:val="zh-CN"/>
        </w:rPr>
      </w:pPr>
      <w:r>
        <w:rPr>
          <w:rFonts w:hint="eastAsia"/>
          <w:highlight w:val="none"/>
          <w:lang w:val="zh-CN"/>
        </w:rPr>
        <w:t xml:space="preserve">监视图像信息和声音信息应具有原始完整性。 </w:t>
      </w:r>
    </w:p>
    <w:p w14:paraId="28DA068B">
      <w:pPr>
        <w:spacing w:line="360" w:lineRule="auto"/>
        <w:ind w:firstLine="480" w:firstLineChars="200"/>
        <w:rPr>
          <w:rFonts w:hint="eastAsia"/>
          <w:highlight w:val="none"/>
        </w:rPr>
      </w:pPr>
      <w:r>
        <w:rPr>
          <w:rFonts w:hint="eastAsia"/>
          <w:highlight w:val="none"/>
        </w:rPr>
        <w:t xml:space="preserve">系统记录的图像信息应包含图像编号／地址、记录时的时间和日期。 </w:t>
      </w:r>
    </w:p>
    <w:p w14:paraId="4F39C555">
      <w:pPr>
        <w:spacing w:line="360" w:lineRule="auto"/>
        <w:ind w:firstLine="480" w:firstLineChars="200"/>
        <w:rPr>
          <w:rFonts w:hint="eastAsia"/>
          <w:highlight w:val="none"/>
          <w:lang w:val="zh-CN"/>
        </w:rPr>
      </w:pPr>
      <w:r>
        <w:rPr>
          <w:rFonts w:hint="eastAsia"/>
          <w:highlight w:val="none"/>
          <w:lang w:val="zh-CN"/>
        </w:rPr>
        <w:t>视频安防监控系统中使用的设备必须符合国家法律法规和现行强制性标准的要求，并经法定机构检验或认证合格。</w:t>
      </w:r>
    </w:p>
    <w:p w14:paraId="7654289D">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15A70DF7">
      <w:pPr>
        <w:spacing w:line="360" w:lineRule="auto"/>
        <w:ind w:firstLine="480" w:firstLineChars="200"/>
        <w:rPr>
          <w:rFonts w:hint="eastAsia"/>
          <w:highlight w:val="none"/>
          <w:lang w:val="zh-CN"/>
        </w:rPr>
      </w:pPr>
      <w:r>
        <w:rPr>
          <w:rFonts w:hint="eastAsia"/>
          <w:highlight w:val="none"/>
          <w:lang w:val="zh-CN"/>
        </w:rPr>
        <w:t>处于沿海地区等腐蚀性环境的LED视频显示屏应采取防腐蚀措施。</w:t>
      </w:r>
    </w:p>
    <w:p w14:paraId="44CF8B2E">
      <w:pPr>
        <w:spacing w:line="360" w:lineRule="auto"/>
        <w:ind w:firstLine="480" w:firstLineChars="200"/>
        <w:rPr>
          <w:rFonts w:hint="eastAsia"/>
          <w:highlight w:val="none"/>
          <w:lang w:val="zh-CN"/>
        </w:rPr>
      </w:pPr>
      <w:r>
        <w:rPr>
          <w:rFonts w:hint="eastAsia"/>
          <w:highlight w:val="none"/>
          <w:lang w:val="zh-CN"/>
        </w:rPr>
        <w:t>系统的传输装置应从传输信道的衰耗、带宽、信噪比，误码率、时延、时延抖动等方面，确保视频图像信息和其他相关信息在前端采集设备到显示设备、存储设备等各设备之间的安全有效及时传递。视频传输应支持对同一视频资源的信号分配或数据分发的能力。</w:t>
      </w:r>
    </w:p>
    <w:p w14:paraId="691B445E">
      <w:pPr>
        <w:spacing w:line="360" w:lineRule="auto"/>
        <w:ind w:firstLine="480" w:firstLineChars="200"/>
        <w:rPr>
          <w:rFonts w:hint="eastAsia"/>
          <w:highlight w:val="none"/>
          <w:lang w:val="zh-CN"/>
        </w:rPr>
      </w:pPr>
      <w:r>
        <w:rPr>
          <w:rFonts w:hint="eastAsia"/>
          <w:highlight w:val="none"/>
          <w:lang w:val="zh-CN"/>
        </w:rPr>
        <w:t>系统应具备按照授权实时切换调度指定视频信号到指定终端的能力。</w:t>
      </w:r>
    </w:p>
    <w:p w14:paraId="561AB020">
      <w:pPr>
        <w:spacing w:line="360" w:lineRule="auto"/>
        <w:ind w:firstLine="480" w:firstLineChars="200"/>
        <w:rPr>
          <w:rFonts w:hint="eastAsia"/>
          <w:highlight w:val="none"/>
          <w:lang w:val="zh-CN"/>
        </w:rPr>
      </w:pPr>
      <w:r>
        <w:rPr>
          <w:rFonts w:hint="eastAsia"/>
          <w:highlight w:val="none"/>
          <w:lang w:val="zh-CN"/>
        </w:rPr>
        <w:t>系统应能实时显示系统内的所有视频图像，系统图像质量应满足安全管理要求。声音的展示应满足辨识需要。显示的图像和展示的声音应具有原始完整性。</w:t>
      </w:r>
    </w:p>
    <w:p w14:paraId="58E39DA1">
      <w:pPr>
        <w:spacing w:line="360" w:lineRule="auto"/>
        <w:ind w:firstLine="480" w:firstLineChars="200"/>
        <w:rPr>
          <w:rFonts w:hint="eastAsia"/>
          <w:highlight w:val="none"/>
          <w:lang w:val="zh-CN"/>
        </w:rPr>
      </w:pPr>
      <w:r>
        <w:rPr>
          <w:rFonts w:hint="eastAsia"/>
          <w:highlight w:val="none"/>
          <w:lang w:val="zh-CN"/>
        </w:rPr>
        <w:t>监控中心的值守区与设备区为两个独立物理区域且不相邻时，两个区域之间的传输线缆应封闭保护，其保护结构的抗拉伸、抗弯折强度不应低于镀锌钢管。</w:t>
      </w:r>
    </w:p>
    <w:p w14:paraId="2F2319CF">
      <w:pPr>
        <w:spacing w:line="360" w:lineRule="auto"/>
        <w:ind w:firstLine="480" w:firstLineChars="200"/>
        <w:rPr>
          <w:rFonts w:hint="eastAsia"/>
          <w:highlight w:val="none"/>
          <w:lang w:val="zh-CN"/>
        </w:rPr>
      </w:pPr>
      <w:r>
        <w:rPr>
          <w:rFonts w:hint="eastAsia"/>
          <w:highlight w:val="none"/>
          <w:lang w:val="zh-CN"/>
        </w:rPr>
        <w:t>来自高风险区域的线缆路由经过低风险区域时，应采取必要的防妒措施。</w:t>
      </w:r>
    </w:p>
    <w:p w14:paraId="70A1D863">
      <w:pPr>
        <w:spacing w:line="360" w:lineRule="auto"/>
        <w:ind w:firstLine="420"/>
        <w:rPr>
          <w:rFonts w:hint="eastAsia"/>
          <w:highlight w:val="none"/>
        </w:rPr>
      </w:pPr>
      <w:r>
        <w:rPr>
          <w:rFonts w:hint="eastAsia"/>
          <w:highlight w:val="none"/>
        </w:rPr>
        <w:t>系统的监控区域应有效覆盖保护区域、部位和目标，监视效果应满足场景监控或目标特征识别的需求；视频监控摄像机的探测灵敏度应与监控区域的环境最低照度相适应;视频监控装置采集的图像应能清晰显示行人出入口处进出行人的体貌特征和车辆出入口处通行车辆的号牌；走道、通道和公共活动场所的视频监控装置采集的图像应能清晰显示监控区域内人员、物品、车辆的通行、活动情况；在公共建筑自动扶梯上下端口处设视频监控摄像机；系统应具备按照授权对前端视频采集设备进行实时控制，或进行工作状态调整的能力；系统应具备按照授权实时调度指定视频信号到指定终端的能力；系统应能实时显示系统内的所有视频图像；视频图像信息存储的时间不应少于30d；系统应具备设备管理、用户管理及日志管理等功能。</w:t>
      </w:r>
    </w:p>
    <w:p w14:paraId="0BF74508">
      <w:pPr>
        <w:spacing w:line="360" w:lineRule="auto"/>
        <w:ind w:firstLine="420"/>
        <w:rPr>
          <w:rFonts w:hint="eastAsia"/>
          <w:highlight w:val="none"/>
        </w:rPr>
      </w:pPr>
      <w:r>
        <w:rPr>
          <w:rFonts w:hint="eastAsia"/>
          <w:highlight w:val="none"/>
        </w:rPr>
        <w:t>监控中心：安防监控中心应具有防止非正常进入的安全防护措施及对外的通信功能，且应预留向上级接处警中心报警的通信接口；安防监控中心应采用专用回路供电，安全防范系统应按其负荷等级供电；监控中心内设置视频监控装置，且其采集的图像应能清晰显示人员出入及室内活动的情况；监控中心内配备内外联络的通信设备；监控中心内设置紧急报警装置，并能够向外发送报警信息；当监控中心值守区与设备区为两个独立物理区域且不相邻时，两个区域之间的传输线缆应采取保护措施；独立的监控中心设备区设置入侵探测、出入口控制装置。</w:t>
      </w:r>
    </w:p>
    <w:p w14:paraId="281FE926">
      <w:pPr>
        <w:spacing w:line="360" w:lineRule="auto"/>
        <w:ind w:firstLine="420"/>
        <w:rPr>
          <w:rFonts w:hint="eastAsia"/>
          <w:highlight w:val="none"/>
        </w:rPr>
      </w:pPr>
      <w:r>
        <w:rPr>
          <w:rFonts w:hint="eastAsia"/>
          <w:highlight w:val="none"/>
        </w:rPr>
        <w:t>安防监控管理平台：安全防范管理平台应具有集成管理、信息管理、用户管理，设备管理、联动控制、日志管理、数据统计等功能。</w:t>
      </w:r>
    </w:p>
    <w:p w14:paraId="6B4014D8">
      <w:pPr>
        <w:spacing w:line="360" w:lineRule="auto"/>
        <w:ind w:firstLine="420"/>
        <w:outlineLvl w:val="2"/>
        <w:rPr>
          <w:rFonts w:hint="eastAsia"/>
          <w:b/>
          <w:bCs/>
          <w:highlight w:val="none"/>
        </w:rPr>
      </w:pPr>
      <w:r>
        <w:rPr>
          <w:rFonts w:hint="eastAsia"/>
          <w:b/>
          <w:bCs/>
          <w:highlight w:val="none"/>
        </w:rPr>
        <w:t>12、入侵报警系统</w:t>
      </w:r>
    </w:p>
    <w:p w14:paraId="146C8B99">
      <w:pPr>
        <w:spacing w:line="360" w:lineRule="auto"/>
        <w:ind w:firstLine="420"/>
        <w:rPr>
          <w:rFonts w:hint="eastAsia"/>
          <w:highlight w:val="none"/>
        </w:rPr>
      </w:pPr>
      <w:r>
        <w:rPr>
          <w:rFonts w:hint="eastAsia"/>
          <w:highlight w:val="none"/>
        </w:rPr>
        <w:t>系统应对报警输入、输出点进行设定、编组、编制报警地图等。系统支持布防配置图。控制器通讯回路自动检测。系统对控制器通讯回路自动进行检测。当通讯线路故障时，系统可自动报警。报警系统要求具有进出安全，系统对所有操作人员可设定操作级别，级别的设定将阻止未经授权的人员的进出和控制系统。</w:t>
      </w:r>
    </w:p>
    <w:p w14:paraId="23341A11">
      <w:pPr>
        <w:spacing w:line="360" w:lineRule="auto"/>
        <w:ind w:firstLine="420"/>
        <w:rPr>
          <w:rFonts w:hint="eastAsia"/>
          <w:highlight w:val="none"/>
        </w:rPr>
      </w:pPr>
      <w:r>
        <w:rPr>
          <w:rFonts w:hint="eastAsia"/>
          <w:highlight w:val="none"/>
        </w:rPr>
        <w:t>系统报警信号通过报警主机110语音模块，上传至110报警指挥中心。</w:t>
      </w:r>
    </w:p>
    <w:p w14:paraId="20D8BB78">
      <w:pPr>
        <w:spacing w:line="360" w:lineRule="auto"/>
        <w:ind w:firstLine="420"/>
        <w:rPr>
          <w:rFonts w:hint="eastAsia"/>
          <w:highlight w:val="none"/>
        </w:rPr>
      </w:pPr>
      <w:r>
        <w:rPr>
          <w:rFonts w:hint="eastAsia"/>
          <w:highlight w:val="none"/>
        </w:rPr>
        <w:t>控制中心位于6#楼一层消控室。</w:t>
      </w:r>
    </w:p>
    <w:p w14:paraId="359CB466">
      <w:pPr>
        <w:spacing w:line="360" w:lineRule="auto"/>
        <w:ind w:firstLine="480" w:firstLineChars="200"/>
        <w:rPr>
          <w:rFonts w:hint="eastAsia"/>
          <w:highlight w:val="none"/>
          <w:lang w:val="zh-CN"/>
        </w:rPr>
      </w:pPr>
      <w:r>
        <w:rPr>
          <w:rFonts w:hint="eastAsia"/>
          <w:highlight w:val="none"/>
          <w:lang w:val="zh-CN"/>
        </w:rPr>
        <w:t>入侵报警系统中使用的设备必须符合国家法律法规和现行强制性标准的要求，并经法定机构检验或认证合格。</w:t>
      </w:r>
    </w:p>
    <w:p w14:paraId="57C183AC">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35E5366D">
      <w:pPr>
        <w:spacing w:line="360" w:lineRule="auto"/>
        <w:ind w:firstLine="480" w:firstLineChars="200"/>
        <w:rPr>
          <w:rFonts w:hint="eastAsia"/>
          <w:highlight w:val="none"/>
        </w:rPr>
      </w:pPr>
      <w:r>
        <w:rPr>
          <w:rFonts w:hint="eastAsia"/>
          <w:highlight w:val="none"/>
          <w:lang w:val="zh-CN"/>
        </w:rPr>
        <w:t>处于沿海地区等腐蚀性环境的LED视频显示屏应采取防腐蚀措施。</w:t>
      </w:r>
    </w:p>
    <w:p w14:paraId="3565BE61">
      <w:pPr>
        <w:spacing w:line="360" w:lineRule="auto"/>
        <w:ind w:firstLine="420"/>
        <w:rPr>
          <w:rFonts w:hint="eastAsia"/>
          <w:highlight w:val="none"/>
        </w:rPr>
      </w:pPr>
      <w:r>
        <w:rPr>
          <w:rFonts w:hint="eastAsia"/>
          <w:highlight w:val="none"/>
        </w:rPr>
        <w:t>入侵和紧急报警系统根据需要防范的风险和现场环境条件等因素，选择相应的设备，设计安装位置和传输路由，具备对隐蔽进入、强行闯入以及撬、挖、凿等入侵行为的探测与报警功能，并具备下列功能：</w:t>
      </w:r>
    </w:p>
    <w:p w14:paraId="1B454D5B">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系统应准确、及时地探测入侵行为和紧急报警装置触发状态，发出报警信号；</w:t>
      </w:r>
    </w:p>
    <w:p w14:paraId="4CB565CA">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入侵探测器和控制指示设备应具有防拆报警功能；</w:t>
      </w:r>
    </w:p>
    <w:p w14:paraId="660EC608">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当报警信号传输线缆断路或短路、探测器电源线被切断时，控制指示设备应能发出报警信号；</w:t>
      </w:r>
    </w:p>
    <w:p w14:paraId="5FCFFDF7">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系统应具有参数设置和用户权限设置功能；</w:t>
      </w:r>
    </w:p>
    <w:p w14:paraId="494EDD7F">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系统应具有设防、撤防、旁路、胁迫报警等功能；</w:t>
      </w:r>
    </w:p>
    <w:p w14:paraId="71943922">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系统应能对人侵、紧急、防拆、故障等报警信号准确指示；</w:t>
      </w:r>
    </w:p>
    <w:p w14:paraId="5E60D20C">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系统应能对操作、报警和警情处理等事件进行记录，且不可更改；</w:t>
      </w:r>
    </w:p>
    <w:p w14:paraId="43670A93">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单控制器系统报警响应时间不应超过2s；</w:t>
      </w:r>
    </w:p>
    <w:p w14:paraId="630D78AD">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备用电源应能保证系统正常工作时间不少于8h。</w:t>
      </w:r>
    </w:p>
    <w:p w14:paraId="16DB656F">
      <w:pPr>
        <w:pStyle w:val="13"/>
        <w:widowControl w:val="0"/>
        <w:numPr>
          <w:ilvl w:val="0"/>
          <w:numId w:val="31"/>
        </w:numPr>
        <w:ind w:left="480" w:firstLine="420"/>
        <w:jc w:val="both"/>
        <w:rPr>
          <w:rFonts w:hint="eastAsia"/>
          <w:sz w:val="21"/>
          <w:szCs w:val="21"/>
          <w:highlight w:val="none"/>
        </w:rPr>
      </w:pPr>
      <w:r>
        <w:rPr>
          <w:rFonts w:hint="eastAsia"/>
          <w:sz w:val="21"/>
          <w:szCs w:val="21"/>
          <w:highlight w:val="none"/>
        </w:rPr>
        <w:t>在生活饮用水水箱间、给水泵房设置入侵报警系统等技防、物防安全防范和监控措施。</w:t>
      </w:r>
    </w:p>
    <w:p w14:paraId="79CF0BF8">
      <w:pPr>
        <w:pStyle w:val="13"/>
        <w:widowControl w:val="0"/>
        <w:numPr>
          <w:ilvl w:val="0"/>
          <w:numId w:val="31"/>
        </w:numPr>
        <w:ind w:left="480" w:firstLine="420"/>
        <w:jc w:val="both"/>
        <w:rPr>
          <w:rFonts w:hint="eastAsia"/>
          <w:sz w:val="21"/>
          <w:szCs w:val="21"/>
          <w:highlight w:val="none"/>
        </w:rPr>
      </w:pPr>
      <w:r>
        <w:rPr>
          <w:rFonts w:hint="eastAsia"/>
          <w:sz w:val="21"/>
          <w:szCs w:val="21"/>
          <w:highlight w:val="none"/>
          <w:lang w:val="zh-CN"/>
        </w:rPr>
        <w:t>紧急报警装置应设置为不可撤防状态，应有防误触发措施，被触发后应自锁。</w:t>
      </w:r>
    </w:p>
    <w:p w14:paraId="170B0F39">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当下列任何情况发生时，报警控制设备应发出声、光报警信息，报警信息应能保持到手动复位，报警信号应无丢失。</w:t>
      </w:r>
    </w:p>
    <w:p w14:paraId="1E53C75D">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在设防状态下，当探测器探测到有入侵发生或触动紧急报警装置时，报警控制设备应显示出报警发生的区域或地址。</w:t>
      </w:r>
    </w:p>
    <w:p w14:paraId="0F140378">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在设防状态下，当多路探测器同时报警(含紧急报警装置报警)时，报警控制设备应依次显示出报警发生的区域或地址。</w:t>
      </w:r>
    </w:p>
    <w:p w14:paraId="0DD5CD6A">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在撤防状态下，系统不应对探测器的报警状态做出响应。</w:t>
      </w:r>
    </w:p>
    <w:p w14:paraId="5E362589">
      <w:pPr>
        <w:spacing w:line="360" w:lineRule="auto"/>
        <w:ind w:firstLine="420"/>
        <w:rPr>
          <w:rFonts w:hint="eastAsia"/>
          <w:highlight w:val="none"/>
          <w:lang w:val="zh-CN"/>
        </w:rPr>
      </w:pPr>
      <w:r>
        <w:rPr>
          <w:rFonts w:hint="eastAsia"/>
          <w:highlight w:val="none"/>
          <w:lang w:val="zh-CN"/>
        </w:rPr>
        <w:t>当下列任何情况发生时，报警控制设备上应发出声、光报警信息，报警信息应能保持到手动复位，报警信号应无丢失：</w:t>
      </w:r>
    </w:p>
    <w:p w14:paraId="5E4AE44A">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 xml:space="preserve">在设防或撤防状态下，当入侵探测器机壳被打开时。 </w:t>
      </w:r>
    </w:p>
    <w:p w14:paraId="7A24DDD2">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 xml:space="preserve">在设防或撤防状态下，当报警控制器机盖被打开时。 </w:t>
      </w:r>
    </w:p>
    <w:p w14:paraId="735EB38D">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 xml:space="preserve">在有线传输系统中，当报警信号传输线被断路、短路时。  </w:t>
      </w:r>
    </w:p>
    <w:p w14:paraId="131B2894">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 xml:space="preserve">在有线传输系统中，当探测器电源线被切断时。 </w:t>
      </w:r>
    </w:p>
    <w:p w14:paraId="13F06F17">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 xml:space="preserve">当报警控制器主电源／备用电源发生故障时。 </w:t>
      </w:r>
    </w:p>
    <w:p w14:paraId="09E2771D">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在利用公共网络传输报警信号的系统中,当网络传输发生故障或信息连续阻塞超过30s时。</w:t>
      </w:r>
    </w:p>
    <w:p w14:paraId="50003806">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入侵报警系统中使用的设备必须符合国家法律法规和现行强制性标准的要求，并经法定机构检验或认证合格。</w:t>
      </w:r>
    </w:p>
    <w:p w14:paraId="337229A1">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系统供电暂时中断，恢复供电后，系统应不需设置即能恢复原有工作状态。</w:t>
      </w:r>
    </w:p>
    <w:p w14:paraId="3DB3CB19">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入侵和紧急报警系统应能准确、及时地探测入侵行为或触发紧急报警装置，并发出入侵报警信号或紧急报警信号。</w:t>
      </w:r>
    </w:p>
    <w:p w14:paraId="35834E1B">
      <w:pPr>
        <w:spacing w:line="360" w:lineRule="auto"/>
        <w:ind w:firstLine="420"/>
        <w:rPr>
          <w:rFonts w:hint="eastAsia"/>
          <w:highlight w:val="none"/>
          <w:lang w:val="zh-CN"/>
        </w:rPr>
      </w:pPr>
      <w:r>
        <w:rPr>
          <w:rFonts w:hint="eastAsia"/>
          <w:highlight w:val="none"/>
          <w:lang w:val="zh-CN"/>
        </w:rPr>
        <w:t>当下列设备被替换或外壳被打开时，入侵和紧急报警系统应能发出防拆信号：</w:t>
      </w:r>
    </w:p>
    <w:p w14:paraId="09583B5A">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控制指示设备、告警装置；</w:t>
      </w:r>
    </w:p>
    <w:p w14:paraId="18E9A17F">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安全等级2、3、4级的入侵探测器；</w:t>
      </w:r>
    </w:p>
    <w:p w14:paraId="55E548A5">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安全等级3、4级的接线盒。</w:t>
      </w:r>
    </w:p>
    <w:p w14:paraId="5820D508">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当报警信号传输线被断路/短路、探测器电源线被切断、系统设备出现故障时，控制指示设备应发出声、光报警信号。</w:t>
      </w:r>
    </w:p>
    <w:p w14:paraId="7E996DBE">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应能按时间、区域、部位，对全部或部分探测防区（回路）的瞬时防区、24h防区、延时防区、设防、撤防、旁路、传输、告菁、胁迫报警等功能进行设置。应能对系统用户权限进行设置。</w:t>
      </w:r>
    </w:p>
    <w:p w14:paraId="5F140A0F">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系统用户应能根据权限类别不同，按时间、区域、部位对全部或部分探测防区进行自动或手动设防、撒防、旁路等操作，并应能实现胁迫报警操作。</w:t>
      </w:r>
    </w:p>
    <w:p w14:paraId="1ED2BAFE">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系统应能对入侵、紧急、防拆等报警信号来源、控制指示设备以及远程信息传输工作状态有明显清晰的指示。</w:t>
      </w:r>
    </w:p>
    <w:p w14:paraId="155C5813">
      <w:pPr>
        <w:pStyle w:val="13"/>
        <w:widowControl w:val="0"/>
        <w:numPr>
          <w:ilvl w:val="0"/>
          <w:numId w:val="31"/>
        </w:numPr>
        <w:ind w:left="480" w:firstLine="420"/>
        <w:jc w:val="both"/>
        <w:rPr>
          <w:rFonts w:hint="eastAsia"/>
          <w:sz w:val="21"/>
          <w:szCs w:val="21"/>
          <w:highlight w:val="none"/>
          <w:lang w:val="zh-CN"/>
        </w:rPr>
      </w:pPr>
      <w:r>
        <w:rPr>
          <w:rFonts w:hint="eastAsia"/>
          <w:sz w:val="21"/>
          <w:szCs w:val="21"/>
          <w:highlight w:val="none"/>
          <w:lang w:val="zh-CN"/>
        </w:rPr>
        <w:t>当系统出现入侵、紧急、防拆、故障、胁迫等报警状态和非法操作时，系统应能根据不同需要在现场和（或）消控中心发出声光报警通告。</w:t>
      </w:r>
    </w:p>
    <w:p w14:paraId="12AB946A">
      <w:pPr>
        <w:spacing w:line="360" w:lineRule="auto"/>
        <w:ind w:firstLine="420"/>
        <w:outlineLvl w:val="2"/>
        <w:rPr>
          <w:rFonts w:hint="eastAsia"/>
          <w:b/>
          <w:bCs/>
          <w:highlight w:val="none"/>
        </w:rPr>
      </w:pPr>
      <w:r>
        <w:rPr>
          <w:rFonts w:hint="eastAsia"/>
          <w:b/>
          <w:bCs/>
          <w:highlight w:val="none"/>
        </w:rPr>
        <w:t>13、无线对讲系统</w:t>
      </w:r>
    </w:p>
    <w:p w14:paraId="5B69733C">
      <w:pPr>
        <w:spacing w:line="360" w:lineRule="auto"/>
        <w:ind w:firstLine="420"/>
        <w:rPr>
          <w:rFonts w:hint="eastAsia"/>
          <w:highlight w:val="none"/>
        </w:rPr>
      </w:pPr>
      <w:r>
        <w:rPr>
          <w:rFonts w:hint="eastAsia"/>
          <w:highlight w:val="none"/>
        </w:rPr>
        <w:t>无线对讲覆盖系统具有机动灵活，操作简便，语音传递快捷，使用经济之特点，实现保安管理现代化的基础手段，帮助物业保安各个使用部门的用户高效完成实时通信沟通任务，无缝对讲，结合监控，实现空间管控。</w:t>
      </w:r>
    </w:p>
    <w:p w14:paraId="77769EA2">
      <w:pPr>
        <w:spacing w:line="360" w:lineRule="auto"/>
        <w:ind w:firstLine="420"/>
        <w:rPr>
          <w:rFonts w:hint="eastAsia"/>
          <w:highlight w:val="none"/>
        </w:rPr>
      </w:pPr>
      <w:r>
        <w:rPr>
          <w:rFonts w:hint="eastAsia"/>
          <w:highlight w:val="none"/>
        </w:rPr>
        <w:t>本次针对园区配置公网无线对讲设备，通过对讲机以便给园区内的安全保卫，设备维护，管理等各项管理工作将带来极大的便利。</w:t>
      </w:r>
    </w:p>
    <w:p w14:paraId="1CB0A4E4">
      <w:pPr>
        <w:spacing w:line="360" w:lineRule="auto"/>
        <w:ind w:firstLine="420"/>
        <w:rPr>
          <w:rFonts w:hint="eastAsia"/>
          <w:highlight w:val="none"/>
        </w:rPr>
      </w:pPr>
      <w:r>
        <w:rPr>
          <w:rFonts w:hint="eastAsia"/>
          <w:highlight w:val="none"/>
        </w:rPr>
        <w:t>本次保安无线对讲系统利用运营商4G/5G网络，采用4G/5G无线对讲机。</w:t>
      </w:r>
    </w:p>
    <w:p w14:paraId="3FB27201">
      <w:pPr>
        <w:spacing w:line="360" w:lineRule="auto"/>
        <w:ind w:firstLine="420"/>
        <w:rPr>
          <w:rFonts w:hint="eastAsia"/>
          <w:highlight w:val="none"/>
        </w:rPr>
      </w:pPr>
      <w:r>
        <w:rPr>
          <w:rFonts w:hint="eastAsia"/>
          <w:highlight w:val="none"/>
        </w:rPr>
        <w:t>本系统管理中心设置在6#楼一层消控室。</w:t>
      </w:r>
    </w:p>
    <w:p w14:paraId="3BCC6C87">
      <w:pPr>
        <w:spacing w:line="360" w:lineRule="auto"/>
        <w:ind w:firstLine="420"/>
        <w:outlineLvl w:val="2"/>
        <w:rPr>
          <w:rFonts w:hint="eastAsia"/>
          <w:b/>
          <w:bCs/>
          <w:highlight w:val="none"/>
        </w:rPr>
      </w:pPr>
      <w:r>
        <w:rPr>
          <w:rFonts w:hint="eastAsia"/>
          <w:b/>
          <w:bCs/>
          <w:highlight w:val="none"/>
        </w:rPr>
        <w:t>14、电子巡更系统</w:t>
      </w:r>
    </w:p>
    <w:p w14:paraId="2C6C3A8E">
      <w:pPr>
        <w:spacing w:line="360" w:lineRule="auto"/>
        <w:ind w:firstLine="420"/>
        <w:rPr>
          <w:rFonts w:hint="eastAsia"/>
          <w:highlight w:val="none"/>
        </w:rPr>
      </w:pPr>
      <w:r>
        <w:rPr>
          <w:rFonts w:hint="eastAsia"/>
          <w:highlight w:val="none"/>
        </w:rPr>
        <w:t>本系统采用巡更码，保安在巡更码地点通过扫码的方式记录巡更路线。</w:t>
      </w:r>
    </w:p>
    <w:p w14:paraId="4F0F2650">
      <w:pPr>
        <w:spacing w:line="360" w:lineRule="auto"/>
        <w:ind w:firstLine="420"/>
        <w:rPr>
          <w:rFonts w:hint="eastAsia"/>
          <w:highlight w:val="none"/>
        </w:rPr>
      </w:pPr>
      <w:r>
        <w:rPr>
          <w:rFonts w:hint="eastAsia"/>
          <w:highlight w:val="none"/>
        </w:rPr>
        <w:t>主要针对消控室、室外空间、楼梯间、地下室等重要区域设置，后续根据物业保安经理根据巡逻线路规划自行调整。</w:t>
      </w:r>
    </w:p>
    <w:p w14:paraId="133DA4E8">
      <w:pPr>
        <w:spacing w:line="360" w:lineRule="auto"/>
        <w:ind w:firstLine="420"/>
        <w:rPr>
          <w:rFonts w:hint="eastAsia"/>
          <w:highlight w:val="none"/>
        </w:rPr>
      </w:pPr>
      <w:r>
        <w:rPr>
          <w:rFonts w:hint="eastAsia"/>
          <w:highlight w:val="none"/>
        </w:rPr>
        <w:t>电子巡查系统应能按照预先编制的巡查方案，实现对人员巡查的工作状态进行监督管理，具有巡查路线、巡查时间、巡查人员设置和统计报表等功能。在线式电子巡查系统应能对不符合巡查方案的异常情况及时报警。</w:t>
      </w:r>
    </w:p>
    <w:p w14:paraId="3EEC0397">
      <w:pPr>
        <w:spacing w:line="360" w:lineRule="auto"/>
        <w:ind w:firstLine="420"/>
        <w:rPr>
          <w:rFonts w:hint="eastAsia"/>
          <w:highlight w:val="none"/>
        </w:rPr>
      </w:pPr>
      <w:r>
        <w:rPr>
          <w:rFonts w:hint="eastAsia"/>
          <w:highlight w:val="none"/>
        </w:rPr>
        <w:t>本系统管理中心设置在6#楼一层消控室。</w:t>
      </w:r>
    </w:p>
    <w:p w14:paraId="7F52913E">
      <w:pPr>
        <w:spacing w:line="360" w:lineRule="auto"/>
        <w:ind w:firstLine="420"/>
        <w:outlineLvl w:val="2"/>
        <w:rPr>
          <w:rFonts w:hint="eastAsia"/>
          <w:b/>
          <w:bCs/>
          <w:highlight w:val="none"/>
        </w:rPr>
      </w:pPr>
      <w:r>
        <w:rPr>
          <w:rFonts w:hint="eastAsia"/>
          <w:b/>
          <w:bCs/>
          <w:highlight w:val="none"/>
        </w:rPr>
        <w:t>15、停车场管理系统</w:t>
      </w:r>
    </w:p>
    <w:p w14:paraId="1D9AEC1D">
      <w:pPr>
        <w:spacing w:line="360" w:lineRule="auto"/>
        <w:ind w:firstLine="420"/>
        <w:rPr>
          <w:rFonts w:hint="eastAsia"/>
          <w:highlight w:val="none"/>
          <w:lang w:val="zh-CN"/>
        </w:rPr>
      </w:pPr>
      <w:r>
        <w:rPr>
          <w:rFonts w:hint="eastAsia"/>
          <w:highlight w:val="none"/>
          <w:lang w:val="zh-CN"/>
        </w:rPr>
        <w:t>停车场管理系统</w:t>
      </w:r>
      <w:r>
        <w:rPr>
          <w:rFonts w:hint="eastAsia"/>
          <w:highlight w:val="none"/>
        </w:rPr>
        <w:t>采用电动挡车器+车牌识别模块设备的组合，并进行对设备进行整合联动的方式，来对车辆的进出进行管制。结合管制空余车位数量，计算或限制停车时间，加强</w:t>
      </w:r>
      <w:r>
        <w:rPr>
          <w:rFonts w:hint="eastAsia"/>
          <w:highlight w:val="none"/>
          <w:lang w:val="zh-CN"/>
        </w:rPr>
        <w:t>防盗/防作弊的功能，使系统更有效的辨识和管理进出场车辆。</w:t>
      </w:r>
    </w:p>
    <w:p w14:paraId="5B60E049">
      <w:pPr>
        <w:spacing w:line="360" w:lineRule="auto"/>
        <w:ind w:firstLine="480" w:firstLineChars="200"/>
        <w:rPr>
          <w:rFonts w:hint="eastAsia"/>
          <w:highlight w:val="none"/>
          <w:lang w:val="zh-CN"/>
        </w:rPr>
      </w:pPr>
      <w:r>
        <w:rPr>
          <w:rFonts w:hint="eastAsia"/>
          <w:highlight w:val="none"/>
          <w:lang w:val="zh-CN"/>
        </w:rPr>
        <w:t>停车场管理系统中使用的设备必须符合国家法律法规和现行强制性标准的要求，并经法定机构检验或认证合格。</w:t>
      </w:r>
    </w:p>
    <w:p w14:paraId="2E8942DD">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62D6D2CD">
      <w:pPr>
        <w:spacing w:line="360" w:lineRule="auto"/>
        <w:ind w:firstLine="480" w:firstLineChars="200"/>
        <w:rPr>
          <w:rFonts w:hint="eastAsia"/>
          <w:highlight w:val="none"/>
          <w:lang w:val="zh-CN"/>
        </w:rPr>
      </w:pPr>
      <w:r>
        <w:rPr>
          <w:rFonts w:hint="eastAsia"/>
          <w:highlight w:val="none"/>
          <w:lang w:val="zh-CN"/>
        </w:rPr>
        <w:t>处于沿海地区等腐蚀性环境的LED视频显示屏应采取防腐蚀措施。</w:t>
      </w:r>
    </w:p>
    <w:p w14:paraId="6661FD5A">
      <w:pPr>
        <w:spacing w:line="360" w:lineRule="auto"/>
        <w:ind w:firstLine="420"/>
        <w:rPr>
          <w:rFonts w:hint="eastAsia"/>
          <w:highlight w:val="none"/>
        </w:rPr>
      </w:pPr>
      <w:r>
        <w:rPr>
          <w:rFonts w:hint="eastAsia"/>
          <w:highlight w:val="none"/>
        </w:rPr>
        <w:t>1）车行道闸子系统：</w:t>
      </w:r>
    </w:p>
    <w:p w14:paraId="584161B3">
      <w:pPr>
        <w:spacing w:line="360" w:lineRule="auto"/>
        <w:ind w:firstLine="420"/>
        <w:rPr>
          <w:rFonts w:hint="eastAsia"/>
          <w:highlight w:val="none"/>
        </w:rPr>
      </w:pPr>
      <w:r>
        <w:rPr>
          <w:rFonts w:hint="eastAsia"/>
          <w:highlight w:val="none"/>
          <w:lang w:val="zh-CN"/>
        </w:rPr>
        <w:t>本系统主要针对园区车行出</w:t>
      </w:r>
      <w:r>
        <w:rPr>
          <w:rFonts w:hint="eastAsia"/>
          <w:highlight w:val="none"/>
        </w:rPr>
        <w:t>入口设置车行道闸（数据接入杭州城市大脑停车系统）。</w:t>
      </w:r>
    </w:p>
    <w:p w14:paraId="5F4E0178">
      <w:pPr>
        <w:spacing w:line="360" w:lineRule="auto"/>
        <w:ind w:firstLine="420"/>
        <w:rPr>
          <w:rFonts w:hint="eastAsia"/>
          <w:highlight w:val="none"/>
        </w:rPr>
      </w:pPr>
      <w:r>
        <w:rPr>
          <w:rFonts w:hint="eastAsia"/>
          <w:highlight w:val="none"/>
        </w:rPr>
        <w:t>道闸摄像机可提供图像（可包含车辆全貌）满足大货车车牌高度的识别。</w:t>
      </w:r>
    </w:p>
    <w:p w14:paraId="4E9B3295">
      <w:pPr>
        <w:spacing w:line="360" w:lineRule="auto"/>
        <w:ind w:firstLine="420"/>
        <w:rPr>
          <w:rFonts w:hint="eastAsia"/>
          <w:highlight w:val="none"/>
        </w:rPr>
      </w:pPr>
      <w:r>
        <w:rPr>
          <w:rFonts w:hint="eastAsia"/>
          <w:highlight w:val="none"/>
        </w:rPr>
        <w:t>在双立柱方案下，闪光灯与摄像机分离双柱安装时拍摄的图像可全天候清晰辨别驾驶室内司乘人员面部特征。</w:t>
      </w:r>
    </w:p>
    <w:p w14:paraId="32F05DBD">
      <w:pPr>
        <w:spacing w:line="360" w:lineRule="auto"/>
        <w:ind w:firstLine="420"/>
        <w:rPr>
          <w:rFonts w:hint="eastAsia"/>
          <w:highlight w:val="none"/>
        </w:rPr>
      </w:pPr>
      <w:r>
        <w:rPr>
          <w:rFonts w:hint="eastAsia"/>
          <w:highlight w:val="none"/>
        </w:rPr>
        <w:t>当车辆进场时，车辆通过车牌自动识别进入，系统记录车辆车牌信息后，控制道闸自动开启，不停车进场。</w:t>
      </w:r>
    </w:p>
    <w:p w14:paraId="4A48ECCF">
      <w:pPr>
        <w:spacing w:line="360" w:lineRule="auto"/>
        <w:ind w:firstLine="420"/>
        <w:rPr>
          <w:rFonts w:hint="eastAsia"/>
          <w:highlight w:val="none"/>
        </w:rPr>
      </w:pPr>
      <w:r>
        <w:rPr>
          <w:rFonts w:hint="eastAsia"/>
          <w:highlight w:val="none"/>
        </w:rPr>
        <w:t>本次停车场管理系统与消防自动报警控制系统联动，实现在消防报警的情况下强制抬杆（直杆式）、保证车辆能够顺利通行。</w:t>
      </w:r>
    </w:p>
    <w:p w14:paraId="6AB1902C">
      <w:pPr>
        <w:spacing w:line="360" w:lineRule="auto"/>
        <w:ind w:firstLine="420"/>
        <w:rPr>
          <w:rFonts w:hint="eastAsia"/>
          <w:highlight w:val="none"/>
        </w:rPr>
      </w:pPr>
      <w:r>
        <w:rPr>
          <w:rFonts w:hint="eastAsia"/>
          <w:highlight w:val="none"/>
        </w:rPr>
        <w:t>系统主要组成有纯车牌识别道闸、摄像机、感应雷达、管理电脑以及网络设备等组成（系统具有支付宝微信等第三方支付功能）。</w:t>
      </w:r>
    </w:p>
    <w:p w14:paraId="38F4D30F">
      <w:pPr>
        <w:spacing w:line="360" w:lineRule="auto"/>
        <w:ind w:firstLine="420"/>
        <w:rPr>
          <w:rFonts w:hint="eastAsia"/>
          <w:highlight w:val="none"/>
        </w:rPr>
      </w:pPr>
      <w:r>
        <w:rPr>
          <w:rFonts w:hint="eastAsia"/>
          <w:highlight w:val="none"/>
        </w:rPr>
        <w:t>停车库（场）安全管理系统设计应根据车辆进出停车库（场）的安全管理要求，选择适当类型的识读、控制与执行装置，具备对进出的车辆进行识别、通行控制和信息记录等功能，并具备下列功能：系统应能通过对车辆的识读做出能否通行的指示；执行装置应具有防砸车功能；执行装置应具有在紧急状态下人工开启的功能。</w:t>
      </w:r>
    </w:p>
    <w:p w14:paraId="2351AF95">
      <w:pPr>
        <w:spacing w:line="360" w:lineRule="auto"/>
        <w:ind w:firstLine="420"/>
        <w:rPr>
          <w:rFonts w:hint="eastAsia"/>
          <w:highlight w:val="none"/>
        </w:rPr>
      </w:pPr>
      <w:r>
        <w:rPr>
          <w:rFonts w:hint="eastAsia"/>
          <w:highlight w:val="none"/>
        </w:rPr>
        <w:t>本系统管理中心考虑设置在6#楼一层消控室。</w:t>
      </w:r>
    </w:p>
    <w:p w14:paraId="0FC9A566">
      <w:pPr>
        <w:spacing w:line="360" w:lineRule="auto"/>
        <w:ind w:firstLine="420"/>
        <w:rPr>
          <w:rFonts w:hint="eastAsia"/>
          <w:highlight w:val="none"/>
        </w:rPr>
      </w:pPr>
      <w:r>
        <w:rPr>
          <w:rFonts w:hint="eastAsia"/>
          <w:highlight w:val="none"/>
        </w:rPr>
        <w:t>2）车位引导子系统：</w:t>
      </w:r>
    </w:p>
    <w:p w14:paraId="45DAEB5C">
      <w:pPr>
        <w:spacing w:line="360" w:lineRule="auto"/>
        <w:ind w:firstLine="420"/>
        <w:rPr>
          <w:rFonts w:hint="eastAsia"/>
          <w:highlight w:val="none"/>
        </w:rPr>
      </w:pPr>
      <w:r>
        <w:rPr>
          <w:rFonts w:hint="eastAsia"/>
          <w:highlight w:val="none"/>
          <w:lang w:val="zh-CN"/>
        </w:rPr>
        <w:t>车位引导子系统统是通过在停车场的停车位上前方安装高清视频车位检测器，对停车位的图像信息实时抓拍，并将抓拍到的车位图像信息通过处理、进行车牌识别，再通过网络把抓拍图片、识别后的车牌号码及车位状态传输给到服务器数据库中进行统一管理。</w:t>
      </w:r>
    </w:p>
    <w:p w14:paraId="7A83EFD3">
      <w:pPr>
        <w:spacing w:line="360" w:lineRule="auto"/>
        <w:ind w:firstLine="420"/>
        <w:rPr>
          <w:rFonts w:hint="eastAsia"/>
          <w:highlight w:val="none"/>
        </w:rPr>
      </w:pPr>
      <w:r>
        <w:rPr>
          <w:rFonts w:hint="eastAsia"/>
          <w:highlight w:val="none"/>
          <w:lang w:val="zh-CN"/>
        </w:rPr>
        <w:t>服务器在接收到高清视频车位检测器发送的车位状态后，会进行数据处理，并将空车位数信息发送到引导屏进行显示，从而实现车位引导功能。</w:t>
      </w:r>
    </w:p>
    <w:p w14:paraId="329475D4">
      <w:pPr>
        <w:spacing w:line="360" w:lineRule="auto"/>
        <w:ind w:firstLine="420"/>
        <w:rPr>
          <w:rFonts w:hint="eastAsia" w:cs="Times New Roman"/>
          <w:highlight w:val="none"/>
          <w:lang w:val="zh-CN"/>
        </w:rPr>
      </w:pPr>
      <w:r>
        <w:rPr>
          <w:rFonts w:hint="eastAsia"/>
          <w:highlight w:val="none"/>
          <w:lang w:val="zh-CN"/>
        </w:rPr>
        <w:t>同时系统具备监</w:t>
      </w:r>
      <w:r>
        <w:rPr>
          <w:rFonts w:hint="eastAsia" w:cs="Times New Roman"/>
          <w:highlight w:val="none"/>
          <w:lang w:val="zh-CN"/>
        </w:rPr>
        <w:t>控功能，可对实时视频进行存储，一般存储为3天。系统可监控到停车位，精细到车身，当发生车辆刮擦、偷盗事件时提供有效依据。</w:t>
      </w:r>
    </w:p>
    <w:p w14:paraId="04790961">
      <w:pPr>
        <w:spacing w:line="360" w:lineRule="auto"/>
        <w:ind w:firstLine="420"/>
        <w:rPr>
          <w:rFonts w:hint="eastAsia"/>
          <w:highlight w:val="none"/>
          <w:lang w:val="zh-CN"/>
        </w:rPr>
      </w:pPr>
      <w:r>
        <w:rPr>
          <w:rFonts w:hint="eastAsia" w:cs="Times New Roman"/>
          <w:highlight w:val="none"/>
          <w:lang w:val="zh-CN"/>
        </w:rPr>
        <w:t>高清视频车位检测终端每台最多可对一个、两个、三个车位进行视频检测处理，车位状态指示灯集成于视频车位检测终端内。当车位组全部停满车时，该车位状态指示灯显示红色,有空车位时,该车位状态指示灯显示绿色。</w:t>
      </w:r>
    </w:p>
    <w:p w14:paraId="32698D08">
      <w:pPr>
        <w:spacing w:line="360" w:lineRule="auto"/>
        <w:ind w:firstLine="420"/>
        <w:rPr>
          <w:rFonts w:hint="eastAsia"/>
          <w:highlight w:val="none"/>
        </w:rPr>
      </w:pPr>
      <w:r>
        <w:rPr>
          <w:rFonts w:hint="eastAsia"/>
          <w:highlight w:val="none"/>
        </w:rPr>
        <w:t>本系统能够实时提供车位状态信息、车位使用信息，引导驾驶员查找空车位，减少了因缺乏停车信息导致的车位难找情况，大大减少了道路占用，降低了车辆尾气排放和噪声，从而提高了停车场的使用率，主要配备1-2车位摄像机，3车位摄像机。在电梯厅设置取车查询终端采用人性化的交互界面，客户可以快速、便捷的查询到自车的具体位置，并且规划出最合理的查找路径，方便客户快速的找到车辆。</w:t>
      </w:r>
    </w:p>
    <w:p w14:paraId="165427A1">
      <w:pPr>
        <w:spacing w:line="360" w:lineRule="auto"/>
        <w:ind w:firstLine="420"/>
        <w:rPr>
          <w:rFonts w:hint="eastAsia"/>
          <w:highlight w:val="none"/>
        </w:rPr>
      </w:pPr>
      <w:r>
        <w:rPr>
          <w:rFonts w:hint="eastAsia"/>
          <w:highlight w:val="none"/>
        </w:rPr>
        <w:t>本系统管理中心考虑设置在6#楼一层消控室。</w:t>
      </w:r>
    </w:p>
    <w:p w14:paraId="3580F60C">
      <w:pPr>
        <w:spacing w:line="360" w:lineRule="auto"/>
        <w:ind w:firstLine="420"/>
        <w:rPr>
          <w:rFonts w:hint="eastAsia"/>
          <w:highlight w:val="none"/>
        </w:rPr>
      </w:pPr>
      <w:r>
        <w:rPr>
          <w:rFonts w:hint="eastAsia"/>
          <w:highlight w:val="none"/>
        </w:rPr>
        <w:t>3）坡道提醒子系统：</w:t>
      </w:r>
    </w:p>
    <w:p w14:paraId="2F6C0ACB">
      <w:pPr>
        <w:spacing w:line="360" w:lineRule="auto"/>
        <w:ind w:firstLine="420"/>
        <w:rPr>
          <w:rFonts w:hint="eastAsia"/>
          <w:highlight w:val="none"/>
        </w:rPr>
      </w:pPr>
      <w:r>
        <w:rPr>
          <w:rFonts w:hint="eastAsia"/>
          <w:highlight w:val="none"/>
        </w:rPr>
        <w:t>在地下坡道出入口设置6块信息屏，用于发布天气状况、物业通知、节日问候等信息.在地面视觉盲区、地下坡道出入口设置两处来车提醒灯，给驾驶者以及行人以人性化的来车提醒，避免安全事故的发生。</w:t>
      </w:r>
    </w:p>
    <w:p w14:paraId="5EE6DED1">
      <w:pPr>
        <w:spacing w:line="360" w:lineRule="auto"/>
        <w:ind w:firstLine="420"/>
        <w:rPr>
          <w:rFonts w:hint="eastAsia"/>
          <w:highlight w:val="none"/>
        </w:rPr>
      </w:pPr>
      <w:r>
        <w:rPr>
          <w:rFonts w:hint="eastAsia"/>
          <w:highlight w:val="none"/>
        </w:rPr>
        <w:t>本系统管理中心考虑设置在6#楼一层消控室。</w:t>
      </w:r>
    </w:p>
    <w:p w14:paraId="59FEE64B">
      <w:pPr>
        <w:spacing w:line="360" w:lineRule="auto"/>
        <w:ind w:firstLine="420"/>
        <w:outlineLvl w:val="2"/>
        <w:rPr>
          <w:rFonts w:hint="eastAsia"/>
          <w:b/>
          <w:bCs/>
          <w:highlight w:val="none"/>
        </w:rPr>
      </w:pPr>
      <w:r>
        <w:rPr>
          <w:rFonts w:hint="eastAsia"/>
          <w:b/>
          <w:bCs/>
          <w:highlight w:val="none"/>
        </w:rPr>
        <w:t>16、智能一卡通系统</w:t>
      </w:r>
    </w:p>
    <w:p w14:paraId="22D5BA71">
      <w:pPr>
        <w:spacing w:line="360" w:lineRule="auto"/>
        <w:ind w:firstLine="420"/>
        <w:rPr>
          <w:rFonts w:hint="eastAsia"/>
          <w:highlight w:val="none"/>
          <w:lang w:val="zh-CN"/>
        </w:rPr>
      </w:pPr>
      <w:r>
        <w:rPr>
          <w:rFonts w:hint="eastAsia"/>
          <w:highlight w:val="none"/>
          <w:lang w:val="zh-CN"/>
        </w:rPr>
        <w:t>智能一卡通系统是主要是对园区内的工作人员等人员的出入状况、活动范围、消费活动等各种活动进行规范和管理的综合应用系统。该系统拥有该项目所有工作人员的基本资料、日常工作的出入和用餐消费等相关信息，可以给项目提供最真实、最详细的统计资料。同时只能一卡通系统建设也为项目提高管理水平、体现管理科学化、人性化的运作管理提供了必要基础和条件。</w:t>
      </w:r>
    </w:p>
    <w:p w14:paraId="7C5E49CE">
      <w:pPr>
        <w:spacing w:line="360" w:lineRule="auto"/>
        <w:ind w:firstLine="420"/>
        <w:rPr>
          <w:rFonts w:hint="eastAsia" w:cs="Times New Roman"/>
          <w:highlight w:val="none"/>
        </w:rPr>
      </w:pPr>
      <w:r>
        <w:rPr>
          <w:rFonts w:hint="eastAsia" w:cs="Times New Roman"/>
          <w:highlight w:val="none"/>
          <w:lang w:val="zh-CN"/>
        </w:rPr>
        <w:t>本系统为网络型结构，几个应用子系统应集成在统一的支撑平台，并通过局域网与全局高层信息管理系统相联接。数据库采用标准的商用数据库，该数据库开放，以便与其它管理系统相联接，实现资源共享。</w:t>
      </w:r>
    </w:p>
    <w:p w14:paraId="48424BFC">
      <w:pPr>
        <w:spacing w:line="360" w:lineRule="auto"/>
        <w:ind w:firstLine="420"/>
        <w:rPr>
          <w:rFonts w:hint="eastAsia"/>
          <w:highlight w:val="none"/>
        </w:rPr>
      </w:pPr>
      <w:r>
        <w:rPr>
          <w:rFonts w:hint="eastAsia"/>
          <w:highlight w:val="none"/>
        </w:rPr>
        <w:t>本系统采用人脸识别门禁、梯控等控制出入口，实行出入口人脸、二维码、刷卡开门，电脑实时监控，使出入口管理建成方便、安全、高效的控制体系。以符合园区门禁安全之要求，本系统与消防联动，当发生消防报警时，门禁自动失效打开门锁，消防信号由强电专业提供。</w:t>
      </w:r>
    </w:p>
    <w:p w14:paraId="3269EEF8">
      <w:pPr>
        <w:spacing w:line="360" w:lineRule="auto"/>
        <w:ind w:firstLine="420"/>
        <w:rPr>
          <w:rFonts w:hint="eastAsia"/>
          <w:highlight w:val="none"/>
        </w:rPr>
      </w:pPr>
      <w:r>
        <w:rPr>
          <w:rFonts w:hint="eastAsia"/>
          <w:highlight w:val="none"/>
        </w:rPr>
        <w:t>系统满足紧急逃生时人员疏散的相关要求。当通向疏散通道方向为防护面时，系统必须与火灾报警系统及其他紧急疏散系统联动，当发生火警或需紧急疏散时，人员不使用钥匙应能迅速安全通过，本次门禁控制器供电方式采用机柜UPS集中供电。</w:t>
      </w:r>
    </w:p>
    <w:p w14:paraId="25017391">
      <w:pPr>
        <w:spacing w:line="360" w:lineRule="auto"/>
        <w:ind w:firstLine="420"/>
        <w:rPr>
          <w:rFonts w:hint="eastAsia"/>
          <w:highlight w:val="none"/>
        </w:rPr>
      </w:pPr>
      <w:r>
        <w:rPr>
          <w:rFonts w:hint="eastAsia"/>
          <w:highlight w:val="none"/>
        </w:rPr>
        <w:t>出入口控制系统设计应根据通行对象进出各受控区的安全管理要求，选择适当类型的识读、控制与执行设备，具备凭证识别查验、进出授权、控制与管理等功能，并应符合下列规定：安装于受控区以外的部件应采取防拆保护措施；疏散通道的出入口控制点应满足紧急情况下人员不经先证识读操作即可通行的要求；断电开启的出入口控制点应配置备用电源，并应确保执行装置正常工作时间不少于48h；当系统与其他非安防业务系统共用凭证或凭证为“一卡通”应用模式时，出入口控制系统应独立管理；执行装置的连接线缆位于该出入口的受控区以外的部分应封闭保护;出入口控制系统、停车库（场）管理系统应能接收消防联动控制信号，并应具有解除门禁控制的功能;出入口控制装置应能满足目标识别、出入管理的要求，并应具有防拆卸、防技术开启等防护能力。</w:t>
      </w:r>
    </w:p>
    <w:p w14:paraId="43BB427D">
      <w:pPr>
        <w:spacing w:line="360" w:lineRule="auto"/>
        <w:ind w:firstLine="480" w:firstLineChars="200"/>
        <w:rPr>
          <w:rFonts w:hint="eastAsia"/>
          <w:highlight w:val="none"/>
          <w:lang w:val="zh-CN"/>
        </w:rPr>
      </w:pPr>
      <w:r>
        <w:rPr>
          <w:rFonts w:hint="eastAsia"/>
          <w:highlight w:val="none"/>
          <w:lang w:val="zh-CN"/>
        </w:rPr>
        <w:t>智能一卡通系统中使用的设备必须符合国家法律法规和现行强制性标准的要求，并经法定机构检验或认证合格。</w:t>
      </w:r>
    </w:p>
    <w:p w14:paraId="01F293D3">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521DB408">
      <w:pPr>
        <w:spacing w:line="360" w:lineRule="auto"/>
        <w:ind w:firstLine="480" w:firstLineChars="200"/>
        <w:rPr>
          <w:rFonts w:hint="eastAsia"/>
          <w:highlight w:val="none"/>
        </w:rPr>
      </w:pPr>
      <w:r>
        <w:rPr>
          <w:rFonts w:hint="eastAsia"/>
          <w:highlight w:val="none"/>
          <w:lang w:val="zh-CN"/>
        </w:rPr>
        <w:t>处于沿海地区等腐蚀性环境的LED视频显示屏应采取防腐蚀措施。</w:t>
      </w:r>
    </w:p>
    <w:p w14:paraId="58908175">
      <w:pPr>
        <w:spacing w:line="360" w:lineRule="auto"/>
        <w:ind w:firstLine="420"/>
        <w:outlineLvl w:val="2"/>
        <w:rPr>
          <w:rFonts w:hint="eastAsia"/>
          <w:b/>
          <w:bCs/>
          <w:highlight w:val="none"/>
        </w:rPr>
      </w:pPr>
      <w:r>
        <w:rPr>
          <w:rFonts w:hint="eastAsia"/>
          <w:b/>
          <w:bCs/>
          <w:highlight w:val="none"/>
        </w:rPr>
        <w:t>17、楼宇自控系统</w:t>
      </w:r>
    </w:p>
    <w:p w14:paraId="3AC33B39">
      <w:pPr>
        <w:spacing w:line="360" w:lineRule="auto"/>
        <w:ind w:firstLine="420"/>
        <w:rPr>
          <w:rFonts w:hint="eastAsia"/>
          <w:highlight w:val="none"/>
        </w:rPr>
      </w:pPr>
      <w:r>
        <w:rPr>
          <w:rFonts w:hint="eastAsia"/>
          <w:highlight w:val="none"/>
        </w:rPr>
        <w:t>本次通过楼宇自控系统，以多能互补、综合能源管理的方式帮助园区实现节能减排，提升能源利用效率，减少能耗支出，助力园区实现碳达峰目标，践行碳中和理念，共建美好未来。</w:t>
      </w:r>
    </w:p>
    <w:p w14:paraId="6EC3CBC0">
      <w:pPr>
        <w:spacing w:line="360" w:lineRule="auto"/>
        <w:ind w:firstLine="420"/>
        <w:rPr>
          <w:rFonts w:hint="eastAsia"/>
          <w:highlight w:val="none"/>
        </w:rPr>
      </w:pPr>
      <w:r>
        <w:rPr>
          <w:rFonts w:hint="eastAsia"/>
          <w:kern w:val="2"/>
          <w:highlight w:val="none"/>
        </w:rPr>
        <w:t>本次针对园区进行集中监测、控制和管理，将节能管理、维修管理、照明控制等系统的</w:t>
      </w:r>
      <w:r>
        <w:rPr>
          <w:rFonts w:hint="eastAsia"/>
          <w:highlight w:val="none"/>
        </w:rPr>
        <w:t>运行和控制进行统一管理，提高园区机电设备的运行控制管理效率、节约人力资源，通过网络形式连接各个功能转换器实现节能高效的目标。</w:t>
      </w:r>
    </w:p>
    <w:p w14:paraId="686C80FB">
      <w:pPr>
        <w:spacing w:line="360" w:lineRule="auto"/>
        <w:ind w:firstLine="420"/>
        <w:rPr>
          <w:rFonts w:hint="eastAsia"/>
          <w:highlight w:val="none"/>
        </w:rPr>
      </w:pPr>
      <w:r>
        <w:rPr>
          <w:rFonts w:hint="eastAsia"/>
          <w:highlight w:val="none"/>
        </w:rPr>
        <w:t>楼宇设备监控系统除消防设备外，实现远程监测功能，包括高低压配电系统监控、中央空调及新风系统监控、热力系统监控、水质在线监测等。可实现系统启、停和运作状态及故障报警、手/自动状态显示、电梯运转状态、水质在线监测等参数，并生成趋势记录表。本次通过优化控制提高管理水平，达到节约能源和运行成本，并能方便地实现管理自动化。</w:t>
      </w:r>
    </w:p>
    <w:p w14:paraId="259CFD52">
      <w:pPr>
        <w:widowControl w:val="0"/>
        <w:numPr>
          <w:ilvl w:val="0"/>
          <w:numId w:val="32"/>
        </w:numPr>
        <w:spacing w:line="360" w:lineRule="auto"/>
        <w:rPr>
          <w:rFonts w:hint="eastAsia"/>
          <w:highlight w:val="none"/>
        </w:rPr>
      </w:pPr>
      <w:r>
        <w:rPr>
          <w:rFonts w:hint="eastAsia"/>
          <w:highlight w:val="none"/>
        </w:rPr>
        <w:t>建筑智能化系统工程中采用的节能技术和产品，应在满足建筑功能要求的前提下，提高建筑设备及系统的能源利用效率，降低能耗。</w:t>
      </w:r>
    </w:p>
    <w:p w14:paraId="12AEE7FE">
      <w:pPr>
        <w:widowControl w:val="0"/>
        <w:numPr>
          <w:ilvl w:val="0"/>
          <w:numId w:val="32"/>
        </w:numPr>
        <w:spacing w:line="360" w:lineRule="auto"/>
        <w:rPr>
          <w:rFonts w:hint="eastAsia"/>
          <w:highlight w:val="none"/>
        </w:rPr>
      </w:pPr>
      <w:r>
        <w:rPr>
          <w:rFonts w:hint="eastAsia"/>
          <w:highlight w:val="none"/>
        </w:rPr>
        <w:t>建筑设备管理系统应具备下列功能：支持开放式系统技术；具备系统自诊断和故障部件自动隔离、自动唤醒、故障报警及自动监控功能；具备参数超限报警和执行保护动作的功能，并反馈其动作信号；建筑设备管理系统与其他建筑智能化系统关联时，应配置与其他建筑智能化系统的通信接口。</w:t>
      </w:r>
    </w:p>
    <w:p w14:paraId="5B06AD66">
      <w:pPr>
        <w:widowControl w:val="0"/>
        <w:numPr>
          <w:ilvl w:val="0"/>
          <w:numId w:val="32"/>
        </w:numPr>
        <w:spacing w:line="360" w:lineRule="auto"/>
        <w:rPr>
          <w:rFonts w:hint="eastAsia"/>
          <w:highlight w:val="none"/>
        </w:rPr>
      </w:pPr>
      <w:r>
        <w:rPr>
          <w:rFonts w:hint="eastAsia"/>
          <w:highlight w:val="none"/>
        </w:rPr>
        <w:t>设有建筑设备管理系统的地下机动车库设置与排风设备联动的一氧化碳浓度监测装置。</w:t>
      </w:r>
    </w:p>
    <w:p w14:paraId="2A370FC0">
      <w:pPr>
        <w:widowControl w:val="0"/>
        <w:numPr>
          <w:ilvl w:val="0"/>
          <w:numId w:val="32"/>
        </w:numPr>
        <w:spacing w:line="360" w:lineRule="auto"/>
        <w:rPr>
          <w:rFonts w:hint="eastAsia"/>
          <w:highlight w:val="none"/>
        </w:rPr>
      </w:pPr>
      <w:r>
        <w:rPr>
          <w:rFonts w:hint="eastAsia"/>
          <w:highlight w:val="none"/>
        </w:rPr>
        <w:t>当通风空调系统采用电加热器时，建筑设备管理系统应具有电加热器与送风机连锁、电加热器无风断电、超温断电保护及报警装置的监控功能，并具有对相应风机系统延时运行后再停机的监控功能。</w:t>
      </w:r>
    </w:p>
    <w:p w14:paraId="1D640F98">
      <w:pPr>
        <w:widowControl w:val="0"/>
        <w:numPr>
          <w:ilvl w:val="0"/>
          <w:numId w:val="32"/>
        </w:numPr>
        <w:spacing w:line="360" w:lineRule="auto"/>
        <w:rPr>
          <w:rFonts w:hint="eastAsia"/>
          <w:highlight w:val="none"/>
        </w:rPr>
      </w:pPr>
      <w:r>
        <w:rPr>
          <w:rFonts w:hint="eastAsia"/>
          <w:highlight w:val="none"/>
        </w:rPr>
        <w:t>建筑能效监管系统的设置不应影响用能系统与设备的功能，不应降低用能系统与设备的技术指标。</w:t>
      </w:r>
    </w:p>
    <w:p w14:paraId="22B701B4">
      <w:pPr>
        <w:widowControl w:val="0"/>
        <w:numPr>
          <w:ilvl w:val="0"/>
          <w:numId w:val="32"/>
        </w:numPr>
        <w:spacing w:line="360" w:lineRule="auto"/>
        <w:rPr>
          <w:rFonts w:hint="eastAsia"/>
          <w:highlight w:val="none"/>
        </w:rPr>
      </w:pPr>
      <w:r>
        <w:rPr>
          <w:rFonts w:hint="eastAsia"/>
          <w:highlight w:val="none"/>
        </w:rPr>
        <w:t>建筑设备管理系统应建立信息数据库，并应具备根据需要形成运行记录的功能。</w:t>
      </w:r>
    </w:p>
    <w:p w14:paraId="61C914CE">
      <w:pPr>
        <w:spacing w:line="360" w:lineRule="auto"/>
        <w:ind w:firstLine="420"/>
        <w:outlineLvl w:val="2"/>
        <w:rPr>
          <w:rFonts w:hint="eastAsia"/>
          <w:b/>
          <w:bCs/>
          <w:highlight w:val="none"/>
        </w:rPr>
      </w:pPr>
      <w:r>
        <w:rPr>
          <w:rFonts w:hint="eastAsia"/>
          <w:b/>
          <w:bCs/>
          <w:highlight w:val="none"/>
        </w:rPr>
        <w:t>18、能源管理系统</w:t>
      </w:r>
    </w:p>
    <w:p w14:paraId="7A30086F">
      <w:pPr>
        <w:spacing w:line="360" w:lineRule="auto"/>
        <w:ind w:firstLine="420"/>
        <w:rPr>
          <w:rFonts w:hint="eastAsia"/>
          <w:kern w:val="2"/>
          <w:highlight w:val="none"/>
        </w:rPr>
      </w:pPr>
      <w:r>
        <w:rPr>
          <w:rFonts w:hint="eastAsia"/>
          <w:kern w:val="2"/>
          <w:highlight w:val="none"/>
        </w:rPr>
        <w:t>本次系统是由能源管理软件、采集服务、管理机（集中器）、转发器、计量模块等模块组成业务系统。在本工程前端设置计量水表、电表，在弱电间内设置集中器、转发器，系统同时具备实时监测、数据采集、智能分析、故障报警等功能。本次系统采用总线形式，通过计量控制箱接入公区及设备机房水电表（具有管网漏损自动监测），本次水井、水表间、强电井、电表间等位置预留总线接入。</w:t>
      </w:r>
    </w:p>
    <w:p w14:paraId="1FC09638">
      <w:pPr>
        <w:spacing w:line="360" w:lineRule="auto"/>
        <w:ind w:firstLine="420"/>
        <w:rPr>
          <w:rFonts w:hint="eastAsia"/>
          <w:kern w:val="2"/>
          <w:highlight w:val="none"/>
        </w:rPr>
      </w:pPr>
      <w:r>
        <w:rPr>
          <w:rFonts w:hint="eastAsia"/>
          <w:kern w:val="2"/>
          <w:highlight w:val="none"/>
        </w:rPr>
        <w:t>本系统管理中心设置在6#楼一层消控室。</w:t>
      </w:r>
    </w:p>
    <w:p w14:paraId="3A4F9A9E">
      <w:pPr>
        <w:spacing w:line="360" w:lineRule="auto"/>
        <w:ind w:firstLine="420"/>
        <w:outlineLvl w:val="2"/>
        <w:rPr>
          <w:rFonts w:hint="eastAsia"/>
          <w:b/>
          <w:bCs/>
          <w:highlight w:val="none"/>
        </w:rPr>
      </w:pPr>
      <w:r>
        <w:rPr>
          <w:rFonts w:hint="eastAsia"/>
          <w:b/>
          <w:bCs/>
          <w:highlight w:val="none"/>
        </w:rPr>
        <w:t>19、电梯五方通话系统</w:t>
      </w:r>
    </w:p>
    <w:p w14:paraId="1AEB62B0">
      <w:pPr>
        <w:spacing w:line="360" w:lineRule="auto"/>
        <w:ind w:firstLine="420"/>
        <w:rPr>
          <w:rFonts w:hint="eastAsia"/>
          <w:kern w:val="2"/>
          <w:highlight w:val="none"/>
        </w:rPr>
      </w:pPr>
      <w:r>
        <w:rPr>
          <w:rFonts w:hint="eastAsia"/>
          <w:kern w:val="2"/>
          <w:highlight w:val="none"/>
        </w:rPr>
        <w:t>本次电梯五方通话系统主要针对各电梯进行布置，主要考虑电梯轿厢、轿顶、轿坑、电梯机房、6#楼一层消控室进行五方通话。本次系统线路为每栋楼综合布置，并在消防控制室汇总，本次弱电仅完成电梯机房与消防控制室的线缆敷设，其余线缆及具体对讲设备由电梯厂家自行提供完成建设。</w:t>
      </w:r>
    </w:p>
    <w:p w14:paraId="5335B1C2">
      <w:pPr>
        <w:spacing w:line="360" w:lineRule="auto"/>
        <w:ind w:firstLine="420"/>
        <w:rPr>
          <w:rFonts w:hint="eastAsia"/>
          <w:kern w:val="2"/>
          <w:highlight w:val="none"/>
        </w:rPr>
      </w:pPr>
      <w:r>
        <w:rPr>
          <w:rFonts w:hint="eastAsia"/>
          <w:kern w:val="2"/>
          <w:highlight w:val="none"/>
        </w:rPr>
        <w:t>本系统管理中心设置在6#楼一层消控室。</w:t>
      </w:r>
    </w:p>
    <w:p w14:paraId="4DF145AE">
      <w:pPr>
        <w:spacing w:line="360" w:lineRule="auto"/>
        <w:ind w:firstLine="420"/>
        <w:outlineLvl w:val="2"/>
        <w:rPr>
          <w:rFonts w:hint="eastAsia"/>
          <w:b/>
          <w:bCs/>
          <w:highlight w:val="none"/>
        </w:rPr>
      </w:pPr>
      <w:r>
        <w:rPr>
          <w:rFonts w:hint="eastAsia"/>
          <w:b/>
          <w:bCs/>
          <w:highlight w:val="none"/>
        </w:rPr>
        <w:t>20、机房工程</w:t>
      </w:r>
    </w:p>
    <w:p w14:paraId="3C0AF4C2">
      <w:pPr>
        <w:spacing w:line="360" w:lineRule="auto"/>
        <w:ind w:firstLine="420"/>
        <w:rPr>
          <w:rFonts w:hint="eastAsia"/>
          <w:kern w:val="2"/>
          <w:highlight w:val="none"/>
        </w:rPr>
      </w:pPr>
      <w:r>
        <w:rPr>
          <w:rFonts w:hint="eastAsia"/>
          <w:kern w:val="2"/>
          <w:highlight w:val="none"/>
        </w:rPr>
        <w:t>1）机房工程</w:t>
      </w:r>
    </w:p>
    <w:p w14:paraId="0B5C9A6F">
      <w:pPr>
        <w:spacing w:line="360" w:lineRule="auto"/>
        <w:ind w:firstLine="420"/>
        <w:rPr>
          <w:rFonts w:hint="eastAsia"/>
          <w:kern w:val="2"/>
          <w:highlight w:val="none"/>
        </w:rPr>
      </w:pPr>
      <w:r>
        <w:rPr>
          <w:rFonts w:hint="eastAsia"/>
          <w:kern w:val="2"/>
          <w:highlight w:val="none"/>
        </w:rPr>
        <w:t>智能建筑中机房是各个终端计算机信息、数据的汇集点，是智能化系统工程的心脏。机房工程系统是一个集成了多种系统的系统性工程，本次主要针对6#楼一层消控室、弱电机房进行设计。</w:t>
      </w:r>
    </w:p>
    <w:p w14:paraId="7A9D53A3">
      <w:pPr>
        <w:spacing w:line="360" w:lineRule="auto"/>
        <w:ind w:firstLine="420"/>
        <w:rPr>
          <w:rFonts w:hint="eastAsia"/>
          <w:kern w:val="2"/>
          <w:highlight w:val="none"/>
          <w:lang w:val="zh-CN"/>
        </w:rPr>
      </w:pPr>
      <w:r>
        <w:rPr>
          <w:rFonts w:hint="eastAsia"/>
          <w:kern w:val="2"/>
          <w:highlight w:val="none"/>
          <w:lang w:val="zh-CN"/>
        </w:rPr>
        <w:t>装修效果：舒适、明快、简洁。装修选用绿色环保以及吸音效果好、不易变色、变形、材料。易清洁、防静电、防磁干扰、防火性能强的整个机房区域的装饰装修部分主要内容包括：微孔铝板吊顶、抗静电活动地板、乳胶漆顶面及墙面、门窗的设计安装等整体规划。</w:t>
      </w:r>
    </w:p>
    <w:p w14:paraId="009E80B7">
      <w:pPr>
        <w:spacing w:line="360" w:lineRule="auto"/>
        <w:ind w:firstLine="420"/>
        <w:rPr>
          <w:rFonts w:hint="eastAsia"/>
          <w:kern w:val="2"/>
          <w:highlight w:val="none"/>
          <w:lang w:val="zh-CN"/>
        </w:rPr>
      </w:pPr>
      <w:r>
        <w:rPr>
          <w:rFonts w:hint="eastAsia"/>
          <w:kern w:val="2"/>
          <w:highlight w:val="none"/>
          <w:lang w:val="zh-CN"/>
        </w:rPr>
        <w:t>顶面:机房主要区域的天花板采用微孔铝合金方板，并带防尘吸音纸，，主要考虑到均匀回风，金属屏蔽作用，美观耐用的需求,天花安装前清理天棚底面、梁及墙沿上部并刷环保防尘漆进行防尘处理，天棚底面、梁及墙沿上部做保温层。</w:t>
      </w:r>
    </w:p>
    <w:p w14:paraId="5BBCA08E">
      <w:pPr>
        <w:spacing w:line="360" w:lineRule="auto"/>
        <w:ind w:firstLine="420"/>
        <w:rPr>
          <w:rFonts w:hint="eastAsia"/>
          <w:kern w:val="2"/>
          <w:highlight w:val="none"/>
          <w:lang w:val="zh-CN"/>
        </w:rPr>
      </w:pPr>
      <w:r>
        <w:rPr>
          <w:rFonts w:hint="eastAsia"/>
          <w:kern w:val="2"/>
          <w:highlight w:val="none"/>
          <w:lang w:val="zh-CN"/>
        </w:rPr>
        <w:t>地面:机房地面采用抗静电活动地板。电缆线出口应配合实际情况及使用单位之要求，在施工时负责切割，出入口并应嵌上Z型塑胶护条,地板铺设前需对地板下楼板面进行防尘处理。使用精密空调的机房，需对地面做保温处理。配电柜、UPS主机、电池柜、弱电设备放置区域，设计采用角钢做承重安装支架，架高与地板上表面高度一致。</w:t>
      </w:r>
    </w:p>
    <w:p w14:paraId="6E684AA4">
      <w:pPr>
        <w:spacing w:line="360" w:lineRule="auto"/>
        <w:ind w:firstLine="420"/>
        <w:rPr>
          <w:rFonts w:hint="eastAsia"/>
          <w:kern w:val="2"/>
          <w:highlight w:val="none"/>
          <w:lang w:val="zh-CN"/>
        </w:rPr>
      </w:pPr>
      <w:r>
        <w:rPr>
          <w:rFonts w:hint="eastAsia"/>
          <w:kern w:val="2"/>
          <w:highlight w:val="none"/>
          <w:lang w:val="zh-CN"/>
        </w:rPr>
        <w:t>隐蔽部分处理:对于本装饰工程中的隐蔽工程，需严格按照国家标准对隐蔽部分材料的要求进行设计施工，需采取如下措施：（1）.墙体部分作防潮、防火及保温处理；（2）.部分非阻燃材料必须涂刷防火涂料；（3）.所有隐蔽用材必须符合机房用材性能指标，做到不起尘、阻燃、绝燃、不会产生 静电、牢固耐用并无病虫害发生；（4）.各种涂料须符合环保要求；（5）.静电地板下的走线线槽、管路、桥架和插座应悬空地面保温层上5～8cm，不应贴地面；（6）.在与机房外部相通部分做好防鼠设施。</w:t>
      </w:r>
    </w:p>
    <w:p w14:paraId="32045FD4">
      <w:pPr>
        <w:spacing w:line="360" w:lineRule="auto"/>
        <w:ind w:firstLine="420"/>
        <w:rPr>
          <w:rFonts w:hint="eastAsia"/>
          <w:kern w:val="2"/>
          <w:highlight w:val="none"/>
        </w:rPr>
      </w:pPr>
      <w:r>
        <w:rPr>
          <w:rFonts w:hint="eastAsia"/>
          <w:kern w:val="2"/>
          <w:highlight w:val="none"/>
          <w:lang w:val="zh-CN"/>
        </w:rPr>
        <w:t>静电防护:机房内采用的抗静电活动地板是由不燃性材料制成。活动地板表面是导静电的耐磨层，严禁暴露金属部分。机房内的导体与大地作可靠的联接，不得有对接地绝缘的孤立导体。</w:t>
      </w:r>
    </w:p>
    <w:p w14:paraId="6CDD115E">
      <w:pPr>
        <w:spacing w:line="360" w:lineRule="auto"/>
        <w:ind w:firstLine="420"/>
        <w:rPr>
          <w:rFonts w:hint="eastAsia"/>
          <w:kern w:val="2"/>
          <w:highlight w:val="none"/>
        </w:rPr>
      </w:pPr>
      <w:r>
        <w:rPr>
          <w:rFonts w:hint="eastAsia"/>
          <w:kern w:val="2"/>
          <w:highlight w:val="none"/>
        </w:rPr>
        <w:t>机房工程设置空调系统，室内室温控制在16-25℃，室内湿度控制在60-75%，地面敷设防静电地板，静电地板下面安装桥架；放置UPS后备电池区域的静电地板需加固，荷载应满足规范要求。监控中心工作区应有良好的照明，光线不能直射屏幕墙和操作人员，宜采用嵌入式灯光。消控室内所有线路的排放端接合理、标识清晰耐磨、维护方便，能将停机维修控制在最小范围内。</w:t>
      </w:r>
    </w:p>
    <w:p w14:paraId="77F03CAE">
      <w:pPr>
        <w:spacing w:line="360" w:lineRule="auto"/>
        <w:ind w:firstLine="420"/>
        <w:rPr>
          <w:rFonts w:hint="eastAsia"/>
          <w:kern w:val="2"/>
          <w:highlight w:val="none"/>
        </w:rPr>
      </w:pPr>
      <w:r>
        <w:rPr>
          <w:rFonts w:hint="eastAsia"/>
          <w:kern w:val="2"/>
          <w:highlight w:val="none"/>
        </w:rPr>
        <w:t>监控中心电视墙及监控操作台须设计科学、布局合理，安装时留有充足的操作空间。</w:t>
      </w:r>
    </w:p>
    <w:p w14:paraId="5654D107">
      <w:pPr>
        <w:spacing w:line="360" w:lineRule="auto"/>
        <w:ind w:firstLine="420"/>
        <w:rPr>
          <w:rFonts w:hint="eastAsia"/>
          <w:highlight w:val="none"/>
        </w:rPr>
      </w:pPr>
      <w:r>
        <w:rPr>
          <w:rFonts w:hint="eastAsia"/>
          <w:kern w:val="2"/>
          <w:highlight w:val="none"/>
        </w:rPr>
        <w:t>机房自配电间引入可靠电源到机房配电箱，各设备用电由机房内的配电箱进行用电分配；供配电方式为双路供电系统加UPS电源，并对空调系统和其他用电设备单独供电，以避免空调系统启停对重要用电设备的干扰。</w:t>
      </w:r>
    </w:p>
    <w:p w14:paraId="0EE3D017">
      <w:pPr>
        <w:widowControl w:val="0"/>
        <w:numPr>
          <w:ilvl w:val="0"/>
          <w:numId w:val="33"/>
        </w:numPr>
        <w:spacing w:line="360" w:lineRule="auto"/>
        <w:ind w:firstLine="420"/>
        <w:rPr>
          <w:rFonts w:hint="eastAsia"/>
          <w:kern w:val="2"/>
          <w:highlight w:val="none"/>
        </w:rPr>
      </w:pPr>
      <w:r>
        <w:rPr>
          <w:rFonts w:hint="eastAsia"/>
          <w:kern w:val="2"/>
          <w:highlight w:val="none"/>
        </w:rPr>
        <w:t>UPS不间断电源</w:t>
      </w:r>
    </w:p>
    <w:p w14:paraId="54B2ADF6">
      <w:pPr>
        <w:spacing w:line="360" w:lineRule="auto"/>
        <w:ind w:firstLine="420"/>
        <w:rPr>
          <w:rFonts w:hint="eastAsia"/>
          <w:kern w:val="2"/>
          <w:highlight w:val="none"/>
        </w:rPr>
      </w:pPr>
      <w:r>
        <w:rPr>
          <w:rFonts w:hint="eastAsia"/>
          <w:kern w:val="2"/>
          <w:highlight w:val="none"/>
        </w:rPr>
        <w:t>本工程在6#楼一层消控室设置一台UPS主机,UPS主机留有余量，断电后满足消控室内安防设备后备4小时供电。报警主机独立设置一台UPS主机供电，保证24小时供电。6#楼一层弱电机房设置一台UPS主机,UPS主机留有余量，断电断电后满足弱电机房内网络设备后备2小时供电。</w:t>
      </w:r>
    </w:p>
    <w:p w14:paraId="65C8ABA1">
      <w:pPr>
        <w:widowControl w:val="0"/>
        <w:numPr>
          <w:ilvl w:val="0"/>
          <w:numId w:val="33"/>
        </w:numPr>
        <w:spacing w:line="360" w:lineRule="auto"/>
        <w:ind w:firstLine="420"/>
        <w:rPr>
          <w:rFonts w:hint="eastAsia"/>
          <w:kern w:val="2"/>
          <w:highlight w:val="none"/>
        </w:rPr>
      </w:pPr>
      <w:r>
        <w:rPr>
          <w:rFonts w:hint="eastAsia"/>
          <w:kern w:val="2"/>
          <w:highlight w:val="none"/>
        </w:rPr>
        <w:t>防雷接地系统</w:t>
      </w:r>
    </w:p>
    <w:p w14:paraId="5E6D2397">
      <w:pPr>
        <w:spacing w:line="360" w:lineRule="auto"/>
        <w:ind w:firstLine="420"/>
        <w:rPr>
          <w:rFonts w:hint="eastAsia"/>
          <w:kern w:val="2"/>
          <w:highlight w:val="none"/>
        </w:rPr>
      </w:pPr>
      <w:r>
        <w:rPr>
          <w:rFonts w:hint="eastAsia"/>
          <w:kern w:val="2"/>
          <w:highlight w:val="none"/>
        </w:rPr>
        <w:t>本工程采用综合接地方式，接地电阻要求不大于1欧姆。在每个弱电间都设有连接基础接地装置的接地端子箱。各机房所有需接地的设备和箱体都用BVR-16导线穿PVC20管接到接地端子箱上。弱电系统接地除在公共接地一点外与电气接地、防雷接地不得有任何连接。</w:t>
      </w:r>
    </w:p>
    <w:p w14:paraId="1BFB4B79">
      <w:pPr>
        <w:spacing w:line="360" w:lineRule="auto"/>
        <w:ind w:firstLine="420"/>
        <w:rPr>
          <w:rFonts w:hint="eastAsia"/>
          <w:kern w:val="2"/>
          <w:highlight w:val="none"/>
        </w:rPr>
      </w:pPr>
      <w:r>
        <w:rPr>
          <w:rFonts w:hint="eastAsia"/>
          <w:kern w:val="2"/>
          <w:highlight w:val="none"/>
        </w:rPr>
        <w:t>在消控室、弱电机房设防静电地板，地板下用30x3铜排交叉排成600x600网格，然后汇集到接地端子箱上。机房内所有设备和箱体需接地的部分都用BVR-1x16导线穿PVC25管就近接到铜排上。弱电竖井内各接地端子箱用BVR-1x25线穿PVC32管引到弱电竖井40x4的接地铜排上。桥架之间用6mm编织铜带进行连接，水平及垂直桥架用BVR-1×16导线穿PVC20管与接地端子箱连接。各桥架及支架全长敷设一根25×4镀锌扁钢作为接地干线,桥架及支架全长不少于2处与接地干线相连接。</w:t>
      </w:r>
    </w:p>
    <w:p w14:paraId="128B1EDA">
      <w:pPr>
        <w:spacing w:line="360" w:lineRule="auto"/>
        <w:ind w:firstLine="420"/>
        <w:rPr>
          <w:rFonts w:hint="eastAsia"/>
          <w:kern w:val="2"/>
          <w:highlight w:val="none"/>
        </w:rPr>
      </w:pPr>
      <w:r>
        <w:rPr>
          <w:rFonts w:hint="eastAsia"/>
          <w:kern w:val="2"/>
          <w:highlight w:val="none"/>
        </w:rPr>
        <w:t>本工程智能化机房（消控室、弱电机房、运营商机房等），地面或门槛应高出本层楼地面，其标高差值不应小于 0.10m，设在地下层时不应小于0.15m。智能化系统及机房内电气设备和智能化设备的外露可导电部分、外界可导电部分、建筑物金属结构应等电位联结并接地0；智能化系统单独设置的接地线应采用截面面积不小于25mm2的铜材。</w:t>
      </w:r>
    </w:p>
    <w:p w14:paraId="7E2B4604">
      <w:pPr>
        <w:spacing w:line="360" w:lineRule="auto"/>
        <w:ind w:firstLine="420"/>
        <w:outlineLvl w:val="2"/>
        <w:rPr>
          <w:rFonts w:hint="eastAsia"/>
          <w:b/>
          <w:bCs/>
          <w:highlight w:val="none"/>
        </w:rPr>
      </w:pPr>
      <w:r>
        <w:rPr>
          <w:rFonts w:hint="eastAsia"/>
          <w:b/>
          <w:bCs/>
          <w:highlight w:val="none"/>
        </w:rPr>
        <w:t>21、综合管路系统</w:t>
      </w:r>
    </w:p>
    <w:p w14:paraId="5D2A09D4">
      <w:pPr>
        <w:spacing w:line="360" w:lineRule="auto"/>
        <w:ind w:firstLine="420"/>
        <w:rPr>
          <w:rFonts w:hint="eastAsia"/>
          <w:highlight w:val="none"/>
        </w:rPr>
      </w:pPr>
      <w:r>
        <w:rPr>
          <w:rFonts w:hint="eastAsia"/>
          <w:highlight w:val="none"/>
        </w:rPr>
        <w:t>智能化系统是现代建筑物内的综合系统工程。它包括与建筑体、变配电、给排水、照明等设施有关的安全防范系统、结构化综合布线系统等所有弱电系统。智能化系统对建筑物来说是一个整体，从管理、控制机房、弱电管道到各个信息点或控制点都有相关的路由。这些路由要按一定的规律，合理有序、有机地通过综合管路。</w:t>
      </w:r>
    </w:p>
    <w:p w14:paraId="30C7E5F4">
      <w:pPr>
        <w:spacing w:line="360" w:lineRule="auto"/>
        <w:ind w:firstLine="420"/>
        <w:rPr>
          <w:rFonts w:hint="eastAsia"/>
          <w:highlight w:val="none"/>
        </w:rPr>
      </w:pPr>
      <w:r>
        <w:rPr>
          <w:rFonts w:hint="eastAsia"/>
          <w:highlight w:val="none"/>
        </w:rPr>
        <w:t>综合管路的内容包括了与整个智能化系统相关的弱电预埋管、预留孔洞、弱电竖井、桥架、管路及系统的电源供应、接地、避雷、屏蔽和机房。综合管路的设计和施工还牵涉到其他管路（如暖通、给排水和强电）和建筑功能的综合配管或调整,桥架敷设预埋。</w:t>
      </w:r>
    </w:p>
    <w:p w14:paraId="7FCD969B">
      <w:pPr>
        <w:spacing w:line="360" w:lineRule="auto"/>
        <w:ind w:firstLine="420"/>
        <w:rPr>
          <w:rFonts w:hint="eastAsia"/>
          <w:highlight w:val="none"/>
        </w:rPr>
      </w:pPr>
      <w:r>
        <w:rPr>
          <w:rFonts w:hint="eastAsia"/>
          <w:highlight w:val="none"/>
        </w:rPr>
        <w:t>综合管路的设计原则：符合国家有关规范，方便建筑施工，避免预埋的盲目性造成的损失，给管线管理和维修带来方便。</w:t>
      </w:r>
    </w:p>
    <w:p w14:paraId="0D17B7C4">
      <w:pPr>
        <w:widowControl w:val="0"/>
        <w:numPr>
          <w:ilvl w:val="0"/>
          <w:numId w:val="34"/>
        </w:numPr>
        <w:spacing w:line="360" w:lineRule="auto"/>
        <w:ind w:left="0" w:firstLine="480" w:firstLineChars="200"/>
        <w:rPr>
          <w:rFonts w:hint="eastAsia"/>
          <w:highlight w:val="none"/>
        </w:rPr>
      </w:pPr>
      <w:r>
        <w:rPr>
          <w:rFonts w:hint="eastAsia"/>
          <w:highlight w:val="none"/>
        </w:rPr>
        <w:t>弱电系统（广播系统、电源除外）共用一个弱电桥架，出桥架后可根据室内装修情况在吊顶内暗敷或楼板内暗敷或墙内暗敷管，广播线缆采用单独敷管。</w:t>
      </w:r>
    </w:p>
    <w:p w14:paraId="61F18CA1">
      <w:pPr>
        <w:widowControl w:val="0"/>
        <w:numPr>
          <w:ilvl w:val="0"/>
          <w:numId w:val="34"/>
        </w:numPr>
        <w:spacing w:line="360" w:lineRule="auto"/>
        <w:ind w:left="0" w:firstLine="480" w:firstLineChars="200"/>
        <w:rPr>
          <w:rFonts w:hint="eastAsia"/>
          <w:highlight w:val="none"/>
        </w:rPr>
      </w:pPr>
      <w:r>
        <w:rPr>
          <w:rFonts w:hint="eastAsia"/>
          <w:highlight w:val="none"/>
        </w:rPr>
        <w:t>当与强电桥架平行敷设时，弱电桥架与强电桥架宜保持0.6米以上距离；当强电桥架与弱电桥架有交叉跨越时二者相距不小于0.2m。当与消防桥架平行敷设时，弱电桥架应与消防桥架保持0.3米以上距离。桥架直线每段隔1.5m或转角处都应设置吊点或支点。过沉降缝时应断开。</w:t>
      </w:r>
    </w:p>
    <w:p w14:paraId="0AACDFB2">
      <w:pPr>
        <w:widowControl w:val="0"/>
        <w:numPr>
          <w:ilvl w:val="0"/>
          <w:numId w:val="34"/>
        </w:numPr>
        <w:spacing w:line="360" w:lineRule="auto"/>
        <w:ind w:left="0" w:firstLine="480" w:firstLineChars="200"/>
        <w:rPr>
          <w:rFonts w:hint="eastAsia"/>
          <w:highlight w:val="none"/>
        </w:rPr>
      </w:pPr>
      <w:r>
        <w:rPr>
          <w:rFonts w:hint="eastAsia"/>
          <w:highlight w:val="none"/>
        </w:rPr>
        <w:t>弱电系统桥架采用热镀锌桥架，桥架厚度参照国家相关标准；进户管路采用镀锌钢管敷设，在墙内或楼板内预埋JDG20或JDG25管。管子过沉降缝时应断开增设过路盒，在两过路盒之间中间经金属软管连接，电缆留50mm余量。</w:t>
      </w:r>
    </w:p>
    <w:p w14:paraId="250E7606">
      <w:pPr>
        <w:widowControl w:val="0"/>
        <w:numPr>
          <w:ilvl w:val="0"/>
          <w:numId w:val="34"/>
        </w:numPr>
        <w:spacing w:line="360" w:lineRule="auto"/>
        <w:ind w:left="0" w:firstLine="480" w:firstLineChars="200"/>
        <w:rPr>
          <w:rFonts w:hint="eastAsia"/>
          <w:highlight w:val="none"/>
        </w:rPr>
      </w:pPr>
      <w:r>
        <w:rPr>
          <w:rFonts w:hint="eastAsia"/>
          <w:highlight w:val="none"/>
        </w:rPr>
        <w:t>管路超长时应加装过路盒，无弯曲时不应超过30m，有一个弯曲时不应超过20m，有3个弯曲时不应超过12m。</w:t>
      </w:r>
    </w:p>
    <w:p w14:paraId="36D28D29">
      <w:pPr>
        <w:widowControl w:val="0"/>
        <w:numPr>
          <w:ilvl w:val="0"/>
          <w:numId w:val="34"/>
        </w:numPr>
        <w:spacing w:line="360" w:lineRule="auto"/>
        <w:ind w:left="0" w:firstLine="480" w:firstLineChars="200"/>
        <w:rPr>
          <w:rFonts w:hint="eastAsia"/>
          <w:highlight w:val="none"/>
        </w:rPr>
      </w:pPr>
      <w:r>
        <w:rPr>
          <w:rFonts w:hint="eastAsia"/>
          <w:highlight w:val="none"/>
        </w:rPr>
        <w:t>电缆桥架和导管穿越建筑物变形缝处时，应设置补偿装置。管线穿越变形缝时采用金属软管连接两线盒，并作跨接处理；桥架穿越变形缝时连接板右段的螺栓紧密固定，左端的螺栓留有缝隙，便于伸缩,并对两侧线槽进行跨接，中间采用带槽活动桥架连接板。</w:t>
      </w:r>
    </w:p>
    <w:p w14:paraId="467E3496">
      <w:pPr>
        <w:widowControl w:val="0"/>
        <w:numPr>
          <w:ilvl w:val="0"/>
          <w:numId w:val="34"/>
        </w:numPr>
        <w:spacing w:line="360" w:lineRule="auto"/>
        <w:ind w:left="0" w:firstLine="480" w:firstLineChars="200"/>
        <w:rPr>
          <w:rFonts w:hint="eastAsia"/>
          <w:highlight w:val="none"/>
        </w:rPr>
      </w:pPr>
      <w:r>
        <w:rPr>
          <w:rFonts w:hint="eastAsia"/>
          <w:highlight w:val="none"/>
        </w:rPr>
        <w:t>导管和电缆槽盒内配电电线的总截面面积不应超过导管或电缆槽盒内截面面积的40% ；电缆槽盒内控制线缆的总截面面积不应超过电缆槽盒内截面面积的50%。</w:t>
      </w:r>
    </w:p>
    <w:p w14:paraId="72B43E66">
      <w:pPr>
        <w:widowControl w:val="0"/>
        <w:numPr>
          <w:ilvl w:val="0"/>
          <w:numId w:val="34"/>
        </w:numPr>
        <w:spacing w:line="360" w:lineRule="auto"/>
        <w:ind w:left="0" w:firstLine="480" w:firstLineChars="200"/>
        <w:rPr>
          <w:rFonts w:hint="eastAsia"/>
          <w:highlight w:val="none"/>
        </w:rPr>
      </w:pPr>
      <w:r>
        <w:rPr>
          <w:rFonts w:hint="eastAsia"/>
          <w:highlight w:val="none"/>
        </w:rPr>
        <w:t>室内干燥场所的线缆采用导管布线时，选用的金属导管壁厚不应小千1. 5mm，选用塑料管暗敷时选用不低于中型的导管，刚性塑料导管壁厚不应低于中型导管的壁厚。</w:t>
      </w:r>
    </w:p>
    <w:p w14:paraId="07CABC14">
      <w:pPr>
        <w:widowControl w:val="0"/>
        <w:numPr>
          <w:ilvl w:val="0"/>
          <w:numId w:val="34"/>
        </w:numPr>
        <w:spacing w:line="360" w:lineRule="auto"/>
        <w:ind w:left="0" w:firstLine="480" w:firstLineChars="200"/>
        <w:rPr>
          <w:rFonts w:hint="eastAsia"/>
          <w:highlight w:val="none"/>
        </w:rPr>
      </w:pPr>
      <w:r>
        <w:rPr>
          <w:rFonts w:hint="eastAsia"/>
          <w:highlight w:val="none"/>
        </w:rPr>
        <w:t>在建筑物底层及地面层以下外墙内的智能化线缆采用导管暗敷布线时，选用的金属导管壁厚不应小于2.0mm，选用的可弯曲金属导管为防水重型的导管，选用的塑料导管为重型的导管。</w:t>
      </w:r>
    </w:p>
    <w:p w14:paraId="079E09D6">
      <w:pPr>
        <w:widowControl w:val="0"/>
        <w:numPr>
          <w:ilvl w:val="0"/>
          <w:numId w:val="34"/>
        </w:numPr>
        <w:spacing w:line="360" w:lineRule="auto"/>
        <w:ind w:left="0" w:firstLine="480" w:firstLineChars="200"/>
        <w:rPr>
          <w:rFonts w:hint="eastAsia"/>
          <w:highlight w:val="none"/>
        </w:rPr>
      </w:pPr>
      <w:r>
        <w:rPr>
          <w:rFonts w:hint="eastAsia"/>
          <w:highlight w:val="none"/>
        </w:rPr>
        <w:t>智能化系统建筑进户预埋管均需要采取止水措施，设置刚性防水导管，采用柔性防水材料封堵。</w:t>
      </w:r>
    </w:p>
    <w:p w14:paraId="54EBFD8E">
      <w:pPr>
        <w:widowControl w:val="0"/>
        <w:numPr>
          <w:ilvl w:val="0"/>
          <w:numId w:val="34"/>
        </w:numPr>
        <w:spacing w:line="360" w:lineRule="auto"/>
        <w:ind w:left="0" w:firstLine="480" w:firstLineChars="200"/>
        <w:rPr>
          <w:rFonts w:hint="eastAsia"/>
          <w:highlight w:val="none"/>
        </w:rPr>
      </w:pPr>
      <w:r>
        <w:rPr>
          <w:rFonts w:hint="eastAsia"/>
          <w:highlight w:val="none"/>
        </w:rPr>
        <w:t>所有明敷的导管、电缆桥架，应选择燃烧性能不低于B1级的难燃材料制品或不燃材料制品。</w:t>
      </w:r>
    </w:p>
    <w:p w14:paraId="7C6B0DDE">
      <w:pPr>
        <w:widowControl w:val="0"/>
        <w:numPr>
          <w:ilvl w:val="0"/>
          <w:numId w:val="34"/>
        </w:numPr>
        <w:spacing w:line="360" w:lineRule="auto"/>
        <w:ind w:left="0" w:firstLine="480" w:firstLineChars="200"/>
        <w:rPr>
          <w:rFonts w:hint="eastAsia"/>
          <w:highlight w:val="none"/>
        </w:rPr>
      </w:pPr>
      <w:r>
        <w:rPr>
          <w:rFonts w:hint="eastAsia"/>
          <w:highlight w:val="none"/>
        </w:rPr>
        <w:t>电缆桥架全长不大于30m时，不应少于2 处与保护导体可靠连接； 全长大于30m时，每隔20m~30m应增加一个连接点，起始端和终点端均应可靠接地；</w:t>
      </w:r>
    </w:p>
    <w:p w14:paraId="32000352">
      <w:pPr>
        <w:widowControl w:val="0"/>
        <w:numPr>
          <w:ilvl w:val="0"/>
          <w:numId w:val="34"/>
        </w:numPr>
        <w:spacing w:line="360" w:lineRule="auto"/>
        <w:ind w:left="0" w:firstLine="480" w:firstLineChars="200"/>
        <w:rPr>
          <w:rFonts w:hint="eastAsia"/>
          <w:highlight w:val="none"/>
        </w:rPr>
      </w:pPr>
      <w:r>
        <w:rPr>
          <w:rFonts w:hint="eastAsia"/>
          <w:highlight w:val="none"/>
        </w:rPr>
        <w:t>室外弱电综合管路，在线路转角、分支处以及变更敷设方式处，应设电缆人（手）孔井。电缆人（手）孔井不应设置在建筑物散水内。</w:t>
      </w:r>
    </w:p>
    <w:p w14:paraId="458C3C6D">
      <w:pPr>
        <w:widowControl w:val="0"/>
        <w:spacing w:line="360" w:lineRule="auto"/>
        <w:ind w:firstLine="482" w:firstLineChars="200"/>
        <w:outlineLvl w:val="2"/>
        <w:rPr>
          <w:rFonts w:hint="eastAsia"/>
          <w:b/>
          <w:bCs/>
          <w:highlight w:val="none"/>
        </w:rPr>
      </w:pPr>
      <w:r>
        <w:rPr>
          <w:rFonts w:hint="eastAsia"/>
          <w:b/>
          <w:bCs/>
          <w:highlight w:val="none"/>
        </w:rPr>
        <w:t>22、智慧消安</w:t>
      </w:r>
    </w:p>
    <w:p w14:paraId="2FF7010F">
      <w:pPr>
        <w:spacing w:line="360" w:lineRule="auto"/>
        <w:ind w:firstLine="420"/>
        <w:rPr>
          <w:rFonts w:hint="eastAsia"/>
          <w:highlight w:val="none"/>
        </w:rPr>
      </w:pPr>
      <w:r>
        <w:rPr>
          <w:rFonts w:hint="eastAsia"/>
          <w:highlight w:val="none"/>
        </w:rPr>
        <w:t>智慧消安设备实时监管消防漏洞，物联网平台数字化管理，对前端设备进行实时运维，防止设备故障造成的意外事故。智慧消安平台联动消防应用，实现园区消防预警精准化、可视化，为园区消防安全保驾护航。</w:t>
      </w:r>
    </w:p>
    <w:p w14:paraId="31F05FA9">
      <w:pPr>
        <w:widowControl w:val="0"/>
        <w:numPr>
          <w:ilvl w:val="0"/>
          <w:numId w:val="35"/>
        </w:numPr>
        <w:spacing w:line="360" w:lineRule="auto"/>
        <w:ind w:left="0" w:firstLine="480" w:firstLineChars="200"/>
        <w:rPr>
          <w:rFonts w:hint="eastAsia"/>
          <w:highlight w:val="none"/>
        </w:rPr>
      </w:pPr>
      <w:r>
        <w:rPr>
          <w:rFonts w:hint="eastAsia"/>
          <w:highlight w:val="none"/>
        </w:rPr>
        <w:t>火灾自动报警系统主要包括火灾报警控制器、烟感探测器、温感探测器、手动报警按钮、消火栓按钮、火灾声光报警器、火灾显示盘等设备。</w:t>
      </w:r>
    </w:p>
    <w:p w14:paraId="6D92AD9C">
      <w:pPr>
        <w:pStyle w:val="13"/>
        <w:widowControl w:val="0"/>
        <w:numPr>
          <w:ilvl w:val="0"/>
          <w:numId w:val="35"/>
        </w:numPr>
        <w:ind w:left="480" w:firstLine="420"/>
        <w:jc w:val="both"/>
        <w:rPr>
          <w:rFonts w:hint="eastAsia"/>
          <w:sz w:val="21"/>
          <w:szCs w:val="21"/>
          <w:highlight w:val="none"/>
        </w:rPr>
      </w:pPr>
      <w:r>
        <w:rPr>
          <w:rFonts w:hint="eastAsia"/>
          <w:sz w:val="21"/>
          <w:szCs w:val="21"/>
          <w:highlight w:val="none"/>
        </w:rPr>
        <w:t>火灾预警系统主要包括点火识别摄像机、温度监测摄像机、烟雾监测摄像机等设备。</w:t>
      </w:r>
    </w:p>
    <w:p w14:paraId="2F1B23FF">
      <w:pPr>
        <w:pStyle w:val="13"/>
        <w:widowControl w:val="0"/>
        <w:numPr>
          <w:ilvl w:val="0"/>
          <w:numId w:val="35"/>
        </w:numPr>
        <w:ind w:left="480" w:firstLine="420"/>
        <w:jc w:val="both"/>
        <w:rPr>
          <w:rFonts w:hint="eastAsia"/>
          <w:sz w:val="21"/>
          <w:szCs w:val="21"/>
          <w:highlight w:val="none"/>
        </w:rPr>
      </w:pPr>
      <w:r>
        <w:rPr>
          <w:rFonts w:hint="eastAsia"/>
          <w:sz w:val="21"/>
          <w:szCs w:val="21"/>
          <w:highlight w:val="none"/>
        </w:rPr>
        <w:t>消防用水监测系统主要包括喷淋末端探测器、消火栓探测器等设备。</w:t>
      </w:r>
    </w:p>
    <w:p w14:paraId="3F40BDE3">
      <w:pPr>
        <w:pStyle w:val="13"/>
        <w:widowControl w:val="0"/>
        <w:numPr>
          <w:ilvl w:val="0"/>
          <w:numId w:val="35"/>
        </w:numPr>
        <w:ind w:left="480" w:firstLine="420"/>
        <w:jc w:val="both"/>
        <w:rPr>
          <w:rFonts w:hint="eastAsia"/>
          <w:sz w:val="21"/>
          <w:szCs w:val="21"/>
          <w:highlight w:val="none"/>
        </w:rPr>
      </w:pPr>
      <w:r>
        <w:rPr>
          <w:rFonts w:hint="eastAsia"/>
          <w:sz w:val="21"/>
          <w:szCs w:val="21"/>
          <w:highlight w:val="none"/>
        </w:rPr>
        <w:t>电气火灾监测系统主要包括电流探测器、温度探测器、剩余电流探测器等设备。</w:t>
      </w:r>
    </w:p>
    <w:p w14:paraId="31C1758C">
      <w:pPr>
        <w:pStyle w:val="13"/>
        <w:widowControl w:val="0"/>
        <w:numPr>
          <w:ilvl w:val="0"/>
          <w:numId w:val="35"/>
        </w:numPr>
        <w:ind w:left="480" w:firstLine="420"/>
        <w:jc w:val="both"/>
        <w:rPr>
          <w:rFonts w:hint="eastAsia"/>
          <w:sz w:val="21"/>
          <w:szCs w:val="21"/>
          <w:highlight w:val="none"/>
        </w:rPr>
      </w:pPr>
      <w:r>
        <w:rPr>
          <w:rFonts w:hint="eastAsia"/>
          <w:sz w:val="21"/>
          <w:szCs w:val="21"/>
          <w:highlight w:val="none"/>
        </w:rPr>
        <w:t>可燃气体泄漏报警系统主要包括一氧化碳探测器、甲烷探测器等设备。</w:t>
      </w:r>
    </w:p>
    <w:p w14:paraId="65C74BA8">
      <w:pPr>
        <w:spacing w:line="360" w:lineRule="auto"/>
        <w:ind w:firstLine="420"/>
        <w:rPr>
          <w:rFonts w:hint="eastAsia"/>
          <w:highlight w:val="none"/>
        </w:rPr>
      </w:pPr>
      <w:r>
        <w:rPr>
          <w:rFonts w:hint="eastAsia"/>
          <w:highlight w:val="none"/>
        </w:rPr>
        <w:t>具体消安设备点位根据现场实际情况深化布置，需根据设备产品配套敷设相应线缆。</w:t>
      </w:r>
    </w:p>
    <w:p w14:paraId="29AE5708">
      <w:pPr>
        <w:spacing w:line="360" w:lineRule="auto"/>
        <w:ind w:firstLine="420"/>
        <w:rPr>
          <w:rFonts w:hint="eastAsia"/>
          <w:highlight w:val="none"/>
        </w:rPr>
      </w:pPr>
      <w:r>
        <w:rPr>
          <w:rFonts w:hint="eastAsia"/>
          <w:highlight w:val="none"/>
        </w:rPr>
        <w:t>本系统管理中心设置在6#楼一层消控室。</w:t>
      </w:r>
    </w:p>
    <w:p w14:paraId="204D9012">
      <w:pPr>
        <w:widowControl w:val="0"/>
        <w:spacing w:line="360" w:lineRule="auto"/>
        <w:ind w:firstLine="482" w:firstLineChars="200"/>
        <w:outlineLvl w:val="2"/>
        <w:rPr>
          <w:rFonts w:hint="eastAsia"/>
          <w:b/>
          <w:bCs/>
          <w:highlight w:val="none"/>
        </w:rPr>
      </w:pPr>
      <w:r>
        <w:rPr>
          <w:rFonts w:hint="eastAsia"/>
          <w:b/>
          <w:bCs/>
          <w:highlight w:val="none"/>
        </w:rPr>
        <w:t>23、智慧景观</w:t>
      </w:r>
    </w:p>
    <w:p w14:paraId="5A9CC4ED">
      <w:pPr>
        <w:spacing w:line="360" w:lineRule="auto"/>
        <w:ind w:firstLine="420"/>
        <w:rPr>
          <w:rFonts w:hint="eastAsia"/>
          <w:highlight w:val="none"/>
        </w:rPr>
      </w:pPr>
      <w:r>
        <w:rPr>
          <w:rFonts w:hint="eastAsia"/>
          <w:highlight w:val="none"/>
        </w:rPr>
        <w:t>本次智慧景观主要针对园区室外设置4套智慧灯杆、3套智慧座椅设备，系统配置功能多种多样可根据园区需求扩展配置。</w:t>
      </w:r>
    </w:p>
    <w:p w14:paraId="4B3B8F64">
      <w:pPr>
        <w:spacing w:line="360" w:lineRule="auto"/>
        <w:ind w:firstLine="420"/>
        <w:rPr>
          <w:rFonts w:hint="eastAsia"/>
          <w:highlight w:val="none"/>
        </w:rPr>
      </w:pPr>
      <w:r>
        <w:rPr>
          <w:rFonts w:hint="eastAsia"/>
          <w:highlight w:val="none"/>
        </w:rPr>
        <w:t>智慧灯杆智慧设备主要包括LED灯具、智慧灯杆、灯控制器、WIFI-AP、广播、信息发布模块、环境感知模块、一键报警模块等设备。</w:t>
      </w:r>
    </w:p>
    <w:p w14:paraId="46F8BA42">
      <w:pPr>
        <w:spacing w:line="360" w:lineRule="auto"/>
        <w:ind w:firstLine="420"/>
        <w:rPr>
          <w:rFonts w:hint="eastAsia"/>
          <w:highlight w:val="none"/>
        </w:rPr>
      </w:pPr>
      <w:r>
        <w:rPr>
          <w:rFonts w:hint="eastAsia"/>
          <w:highlight w:val="none"/>
        </w:rPr>
        <w:t>智慧座椅智慧设备主要包括智慧座椅、灯控制器、WIFI-AP、广播、信息发布模块等设备。</w:t>
      </w:r>
    </w:p>
    <w:p w14:paraId="4F0E4207">
      <w:pPr>
        <w:spacing w:line="360" w:lineRule="auto"/>
        <w:ind w:firstLine="480" w:firstLineChars="200"/>
        <w:rPr>
          <w:rFonts w:hint="eastAsia"/>
          <w:highlight w:val="none"/>
          <w:lang w:val="zh-CN"/>
        </w:rPr>
      </w:pPr>
      <w:r>
        <w:rPr>
          <w:rFonts w:hint="eastAsia"/>
          <w:highlight w:val="none"/>
          <w:lang w:val="zh-CN"/>
        </w:rPr>
        <w:t>智慧景观系统中使用的设备必须符合国家法律法规和现行强制性标准的要求，并经法定机构检验或认证合格。</w:t>
      </w:r>
    </w:p>
    <w:p w14:paraId="7107EE64">
      <w:pPr>
        <w:spacing w:line="360" w:lineRule="auto"/>
        <w:ind w:firstLine="480" w:firstLineChars="200"/>
        <w:rPr>
          <w:rFonts w:hint="eastAsia"/>
          <w:highlight w:val="none"/>
          <w:lang w:val="zh-CN"/>
        </w:rPr>
      </w:pPr>
      <w:r>
        <w:rPr>
          <w:rFonts w:hint="eastAsia"/>
          <w:highlight w:val="none"/>
          <w:lang w:val="zh-CN"/>
        </w:rPr>
        <w:t>系统设备应满足防潮、防火、防雷等要求。</w:t>
      </w:r>
    </w:p>
    <w:p w14:paraId="58516917">
      <w:pPr>
        <w:spacing w:line="360" w:lineRule="auto"/>
        <w:ind w:firstLine="480" w:firstLineChars="200"/>
        <w:rPr>
          <w:rFonts w:hint="eastAsia"/>
          <w:highlight w:val="none"/>
        </w:rPr>
      </w:pPr>
      <w:r>
        <w:rPr>
          <w:rFonts w:hint="eastAsia"/>
          <w:highlight w:val="none"/>
          <w:lang w:val="zh-CN"/>
        </w:rPr>
        <w:t>处于沿海地区等腐蚀性环境的LED视频显示屏应采取防腐蚀措施。</w:t>
      </w:r>
    </w:p>
    <w:p w14:paraId="46396D73">
      <w:pPr>
        <w:spacing w:line="360" w:lineRule="auto"/>
        <w:ind w:firstLine="420"/>
        <w:rPr>
          <w:rFonts w:hint="eastAsia"/>
          <w:highlight w:val="none"/>
        </w:rPr>
      </w:pPr>
      <w:r>
        <w:rPr>
          <w:rFonts w:hint="eastAsia"/>
          <w:highlight w:val="none"/>
        </w:rPr>
        <w:t>本系统管理中心设置在6#楼一层消控室。</w:t>
      </w:r>
    </w:p>
    <w:p w14:paraId="2428A34E">
      <w:pPr>
        <w:widowControl w:val="0"/>
        <w:spacing w:line="360" w:lineRule="auto"/>
        <w:ind w:firstLine="482" w:firstLineChars="200"/>
        <w:outlineLvl w:val="2"/>
        <w:rPr>
          <w:rFonts w:hint="eastAsia"/>
          <w:b/>
          <w:bCs/>
          <w:highlight w:val="none"/>
        </w:rPr>
      </w:pPr>
      <w:r>
        <w:rPr>
          <w:rFonts w:hint="eastAsia"/>
          <w:b/>
          <w:bCs/>
          <w:highlight w:val="none"/>
        </w:rPr>
        <w:t>24、智能展厅系统</w:t>
      </w:r>
    </w:p>
    <w:p w14:paraId="460DA899">
      <w:pPr>
        <w:spacing w:line="360" w:lineRule="auto"/>
        <w:ind w:firstLine="420"/>
        <w:rPr>
          <w:rFonts w:hint="eastAsia"/>
          <w:highlight w:val="none"/>
        </w:rPr>
      </w:pPr>
      <w:r>
        <w:rPr>
          <w:rFonts w:hint="eastAsia"/>
          <w:highlight w:val="none"/>
        </w:rPr>
        <w:t>本次针对园区6#楼展厅进行设计，展厅内的所有内容都可以聚合显示、组合控，并通过智能平台统一管理。展厅兼顾接待功能达到展示科技成果和企业理念的沉浸式接待交互体验。LED显示屏采用最新户内超清晰、超高对比度显示产品，配套搭载高端显示屏专用视频图像处理器和配套的专业LED显示屏播放控制软件，实现从前端到后端、从软件到硬件完善的整体显示方案。其丰富的科技含量、磅礴的外观气势、流畅的显示画面、细腻的色彩表现，力求打造一流的高层次人才创业研发的“高创云廊”，协助园区成为区域重要产业技术创新策源区和重大科技成果转化承载区。依仗墙面屏幕与地砖屏，分别搭建背景LED显示屏与一块地面LED显示屏，构建出XYZ三轴沉浸式显示空间。配套搭载专业级视频图像拼接处理器、光显场景融合服务器等，使整个区域做到多维度的沉浸式光显效果呈现，在具有沉浸式显视效果的同时又兼备交互功能，观众进入该区域不单能够感受到身临其境的沉浸效果，又可与显示场景进行交互。整体场景功能更加丰富完善。</w:t>
      </w:r>
    </w:p>
    <w:p w14:paraId="1509D771">
      <w:pPr>
        <w:widowControl w:val="0"/>
        <w:spacing w:line="360" w:lineRule="auto"/>
        <w:ind w:firstLine="482" w:firstLineChars="200"/>
        <w:outlineLvl w:val="2"/>
        <w:rPr>
          <w:rFonts w:hint="eastAsia"/>
          <w:b/>
          <w:bCs/>
          <w:highlight w:val="none"/>
        </w:rPr>
      </w:pPr>
      <w:r>
        <w:rPr>
          <w:rFonts w:hint="eastAsia"/>
          <w:b/>
          <w:bCs/>
          <w:highlight w:val="none"/>
        </w:rPr>
        <w:t>25、智慧园区管理平台</w:t>
      </w:r>
    </w:p>
    <w:p w14:paraId="359AC612">
      <w:pPr>
        <w:spacing w:line="360" w:lineRule="auto"/>
        <w:ind w:firstLine="420"/>
        <w:rPr>
          <w:rFonts w:hint="eastAsia"/>
          <w:highlight w:val="none"/>
        </w:rPr>
      </w:pPr>
      <w:r>
        <w:rPr>
          <w:rFonts w:hint="eastAsia"/>
          <w:highlight w:val="none"/>
        </w:rPr>
        <w:t>本次智慧园区管理平台通过IOT物联引擎、业务服务引擎、数据仓等对物业管理、设备管理、招商管理、产业分析、智慧决策、产业服务、公众服务、移动应用等进行数据采集、统一入口接入，集成组织架构体系、权限控制体系、流程执行体系、门户应用体系、数据分析体系、应用管理体系、报表统计体系等。</w:t>
      </w:r>
    </w:p>
    <w:p w14:paraId="0DAD66FA">
      <w:pPr>
        <w:spacing w:line="360" w:lineRule="auto"/>
        <w:ind w:firstLine="420"/>
        <w:rPr>
          <w:rFonts w:hint="eastAsia"/>
          <w:highlight w:val="none"/>
        </w:rPr>
      </w:pPr>
      <w:r>
        <w:rPr>
          <w:rFonts w:hint="eastAsia"/>
          <w:highlight w:val="none"/>
        </w:rPr>
        <w:t>设备层主要包括车行道闸、视频监控、门禁、信息发布屏、会议系统、楼宇自控、能耗计量、入侵报警、智慧消安等；</w:t>
      </w:r>
    </w:p>
    <w:p w14:paraId="50542E68">
      <w:pPr>
        <w:spacing w:line="360" w:lineRule="auto"/>
        <w:ind w:firstLine="420"/>
        <w:rPr>
          <w:rFonts w:hint="eastAsia"/>
          <w:highlight w:val="none"/>
        </w:rPr>
      </w:pPr>
      <w:r>
        <w:rPr>
          <w:rFonts w:hint="eastAsia"/>
          <w:highlight w:val="none"/>
        </w:rPr>
        <w:t>应用层主要包括物业管理、设备管理、招商管理、产业分析、智慧决策、产业服务、公众服务、移动应用等；</w:t>
      </w:r>
    </w:p>
    <w:p w14:paraId="48851E5A">
      <w:pPr>
        <w:spacing w:line="360" w:lineRule="auto"/>
        <w:ind w:firstLine="420"/>
        <w:rPr>
          <w:rFonts w:hint="eastAsia"/>
          <w:highlight w:val="none"/>
        </w:rPr>
      </w:pPr>
      <w:r>
        <w:rPr>
          <w:rFonts w:hint="eastAsia"/>
          <w:highlight w:val="none"/>
        </w:rPr>
        <w:t>平台层主要包括IOT物联网引擎、业务服务引擎、数据仓、数字孪生引擎、智慧园区管理平台、组织架构系统、权限控制系统、流程执行体系、门户应用体系、数据分析系统、应用管理体系、报表数据体系、数据大屏展示、园区数据分析、PC端、小程序、公众号、APP端等多端口呈现等；</w:t>
      </w:r>
    </w:p>
    <w:p w14:paraId="35EA42FB">
      <w:pPr>
        <w:spacing w:line="360" w:lineRule="auto"/>
        <w:ind w:firstLine="420"/>
        <w:rPr>
          <w:rFonts w:hint="eastAsia"/>
          <w:highlight w:val="none"/>
        </w:rPr>
      </w:pPr>
      <w:r>
        <w:rPr>
          <w:rFonts w:hint="eastAsia"/>
          <w:highlight w:val="none"/>
        </w:rPr>
        <w:t>具体需要后期根据运营使用部门要求进行个性化定制开发。</w:t>
      </w:r>
    </w:p>
    <w:p w14:paraId="77185A51">
      <w:pPr>
        <w:spacing w:line="360" w:lineRule="auto"/>
        <w:ind w:firstLine="420"/>
        <w:rPr>
          <w:rFonts w:hint="eastAsia"/>
          <w:highlight w:val="none"/>
        </w:rPr>
      </w:pPr>
      <w:r>
        <w:rPr>
          <w:rFonts w:hint="eastAsia"/>
          <w:highlight w:val="none"/>
        </w:rPr>
        <w:t>平台应具备数据采集功能，能够实时收集园区内各种设备和系统的数据，包括能耗数据、环境数据、设备状态数据等。同时，通过多媒体技术和智能算法，实现对园区内各个角落的全方位、无死角监控。</w:t>
      </w:r>
    </w:p>
    <w:p w14:paraId="7C4DCC09">
      <w:pPr>
        <w:spacing w:line="360" w:lineRule="auto"/>
        <w:ind w:firstLine="420"/>
        <w:rPr>
          <w:rFonts w:hint="eastAsia"/>
          <w:highlight w:val="none"/>
        </w:rPr>
      </w:pPr>
      <w:r>
        <w:rPr>
          <w:rFonts w:hint="eastAsia"/>
          <w:highlight w:val="none"/>
        </w:rPr>
        <w:t>平台应具备强大的数据分析能力，能够对采集到的数据进行深度挖掘和分析，发现园区内存在的问题和潜在风险，并生成相应的决策建议。例如，在能源管理方面，平台可以根据实时的能耗数据和成本数据，提供节能的建议和方案。</w:t>
      </w:r>
    </w:p>
    <w:p w14:paraId="4F9963CA">
      <w:pPr>
        <w:spacing w:line="360" w:lineRule="auto"/>
        <w:ind w:firstLine="420"/>
        <w:rPr>
          <w:rFonts w:hint="eastAsia"/>
          <w:highlight w:val="none"/>
        </w:rPr>
      </w:pPr>
      <w:r>
        <w:rPr>
          <w:rFonts w:hint="eastAsia"/>
          <w:highlight w:val="none"/>
        </w:rPr>
        <w:t>平台应能够实现对园区内各种设备和系统的远程控制和调节，如照明系统、空调系统、安防系统等，提高园区的能源利用效率和安全性。同时，平台还应支持园区内各项业务的智能化管理，如资产管理、租赁管理、客户管理等。</w:t>
      </w:r>
    </w:p>
    <w:p w14:paraId="4A961339">
      <w:pPr>
        <w:spacing w:line="360" w:lineRule="auto"/>
        <w:ind w:firstLine="420"/>
        <w:rPr>
          <w:rFonts w:hint="eastAsia"/>
          <w:highlight w:val="none"/>
        </w:rPr>
      </w:pPr>
      <w:r>
        <w:rPr>
          <w:rFonts w:hint="eastAsia"/>
          <w:highlight w:val="none"/>
        </w:rPr>
        <w:t>平台应建立完善的数据安全体系，确保数据的完整性、保密性和可用性。关键设备和部件应备份，数据应异地备份，并具备应急和灾难恢复措施。</w:t>
      </w:r>
    </w:p>
    <w:p w14:paraId="7A6C5F8C">
      <w:pPr>
        <w:spacing w:line="360" w:lineRule="auto"/>
        <w:ind w:firstLine="420"/>
        <w:rPr>
          <w:rFonts w:hint="eastAsia"/>
          <w:highlight w:val="none"/>
        </w:rPr>
      </w:pPr>
      <w:r>
        <w:rPr>
          <w:rFonts w:hint="eastAsia"/>
          <w:highlight w:val="none"/>
        </w:rPr>
        <w:t>平台在处理个人敏感信息时，应严格遵守相关法律法规和隐私保护政策，确保用户隐私不被泄露。</w:t>
      </w:r>
    </w:p>
    <w:p w14:paraId="2A9A8901">
      <w:pPr>
        <w:spacing w:line="360" w:lineRule="auto"/>
        <w:ind w:firstLine="420"/>
        <w:rPr>
          <w:rFonts w:hint="eastAsia"/>
          <w:highlight w:val="none"/>
        </w:rPr>
      </w:pPr>
      <w:r>
        <w:rPr>
          <w:rFonts w:hint="eastAsia"/>
          <w:highlight w:val="none"/>
        </w:rPr>
        <w:t>平台应具备良好的可扩展性和兼容性，能够支持未来新功能的扩展和与其他系统的对接。</w:t>
      </w:r>
    </w:p>
    <w:p w14:paraId="0586AAAE">
      <w:pPr>
        <w:spacing w:line="360" w:lineRule="auto"/>
        <w:ind w:firstLine="420"/>
        <w:rPr>
          <w:rFonts w:hint="eastAsia"/>
          <w:highlight w:val="none"/>
        </w:rPr>
      </w:pPr>
      <w:r>
        <w:rPr>
          <w:rFonts w:hint="eastAsia"/>
          <w:highlight w:val="none"/>
        </w:rPr>
        <w:t>26、本说明未尽事宜请参照国家、地方相关标准规范执行。</w:t>
      </w:r>
    </w:p>
    <w:p w14:paraId="1A4E9B59">
      <w:pPr>
        <w:jc w:val="center"/>
        <w:rPr>
          <w:rFonts w:hint="eastAsia" w:eastAsia="等线"/>
          <w:b/>
          <w:bCs/>
          <w:color w:val="000000"/>
          <w:sz w:val="28"/>
          <w:szCs w:val="28"/>
          <w:highlight w:val="none"/>
        </w:rPr>
      </w:pPr>
    </w:p>
    <w:p w14:paraId="54AA5968">
      <w:pPr>
        <w:jc w:val="center"/>
        <w:rPr>
          <w:rFonts w:hint="eastAsia" w:eastAsia="等线"/>
          <w:b/>
          <w:bCs/>
          <w:color w:val="000000"/>
          <w:sz w:val="28"/>
          <w:szCs w:val="28"/>
          <w:highlight w:val="none"/>
        </w:rPr>
      </w:pPr>
    </w:p>
    <w:p w14:paraId="2634CDD7">
      <w:pPr>
        <w:jc w:val="center"/>
        <w:rPr>
          <w:rFonts w:hint="eastAsia" w:eastAsia="等线"/>
          <w:b/>
          <w:bCs/>
          <w:color w:val="000000"/>
          <w:sz w:val="28"/>
          <w:szCs w:val="28"/>
          <w:highlight w:val="none"/>
        </w:rPr>
      </w:pPr>
    </w:p>
    <w:p w14:paraId="52C96987">
      <w:pPr>
        <w:jc w:val="center"/>
        <w:rPr>
          <w:rFonts w:hint="eastAsia" w:eastAsia="等线"/>
          <w:b/>
          <w:bCs/>
          <w:color w:val="000000"/>
          <w:sz w:val="28"/>
          <w:szCs w:val="28"/>
          <w:highlight w:val="none"/>
        </w:rPr>
      </w:pPr>
    </w:p>
    <w:p w14:paraId="13E23145">
      <w:pPr>
        <w:jc w:val="center"/>
        <w:rPr>
          <w:rFonts w:hint="eastAsia" w:eastAsia="等线"/>
          <w:b/>
          <w:bCs/>
          <w:color w:val="000000"/>
          <w:sz w:val="28"/>
          <w:szCs w:val="28"/>
          <w:highlight w:val="none"/>
        </w:rPr>
      </w:pPr>
    </w:p>
    <w:p w14:paraId="6788D3A5">
      <w:pPr>
        <w:jc w:val="center"/>
        <w:rPr>
          <w:rFonts w:hint="eastAsia" w:eastAsia="等线"/>
          <w:b/>
          <w:bCs/>
          <w:color w:val="000000"/>
          <w:sz w:val="28"/>
          <w:szCs w:val="28"/>
          <w:highlight w:val="none"/>
        </w:rPr>
      </w:pPr>
    </w:p>
    <w:p w14:paraId="072C47E6">
      <w:pPr>
        <w:jc w:val="center"/>
        <w:rPr>
          <w:rFonts w:hint="eastAsia" w:eastAsia="等线"/>
          <w:b/>
          <w:bCs/>
          <w:color w:val="000000"/>
          <w:sz w:val="28"/>
          <w:szCs w:val="28"/>
          <w:highlight w:val="none"/>
        </w:rPr>
      </w:pPr>
    </w:p>
    <w:p w14:paraId="48CEE5B2">
      <w:pPr>
        <w:jc w:val="center"/>
        <w:rPr>
          <w:rFonts w:hint="eastAsia" w:eastAsia="等线"/>
          <w:b/>
          <w:bCs/>
          <w:color w:val="000000"/>
          <w:sz w:val="28"/>
          <w:szCs w:val="28"/>
          <w:highlight w:val="none"/>
        </w:rPr>
      </w:pPr>
    </w:p>
    <w:p w14:paraId="444EBEC5">
      <w:pPr>
        <w:jc w:val="center"/>
        <w:rPr>
          <w:rFonts w:hint="eastAsia" w:eastAsia="等线"/>
          <w:b/>
          <w:bCs/>
          <w:color w:val="000000"/>
          <w:sz w:val="28"/>
          <w:szCs w:val="28"/>
          <w:highlight w:val="none"/>
        </w:rPr>
      </w:pPr>
    </w:p>
    <w:p w14:paraId="1BF974FE">
      <w:pPr>
        <w:jc w:val="center"/>
        <w:rPr>
          <w:rFonts w:hint="eastAsia" w:eastAsia="等线"/>
          <w:b/>
          <w:bCs/>
          <w:color w:val="000000"/>
          <w:sz w:val="28"/>
          <w:szCs w:val="28"/>
          <w:highlight w:val="none"/>
        </w:rPr>
      </w:pPr>
    </w:p>
    <w:p w14:paraId="4C09FD8E">
      <w:pPr>
        <w:jc w:val="center"/>
        <w:rPr>
          <w:rFonts w:hint="eastAsia" w:eastAsia="等线"/>
          <w:b/>
          <w:bCs/>
          <w:color w:val="000000"/>
          <w:sz w:val="28"/>
          <w:szCs w:val="28"/>
          <w:highlight w:val="none"/>
        </w:rPr>
      </w:pPr>
    </w:p>
    <w:p w14:paraId="3650FCCA">
      <w:pPr>
        <w:jc w:val="center"/>
        <w:rPr>
          <w:rFonts w:hint="eastAsia" w:eastAsia="等线"/>
          <w:b/>
          <w:bCs/>
          <w:color w:val="000000"/>
          <w:sz w:val="28"/>
          <w:szCs w:val="28"/>
          <w:highlight w:val="none"/>
        </w:rPr>
      </w:pPr>
    </w:p>
    <w:p w14:paraId="5BFEA0CE">
      <w:pPr>
        <w:jc w:val="center"/>
        <w:rPr>
          <w:rFonts w:hint="eastAsia" w:eastAsia="等线"/>
          <w:b/>
          <w:bCs/>
          <w:color w:val="000000"/>
          <w:sz w:val="28"/>
          <w:szCs w:val="28"/>
          <w:highlight w:val="none"/>
        </w:rPr>
      </w:pPr>
    </w:p>
    <w:p w14:paraId="526BED5B">
      <w:pPr>
        <w:jc w:val="center"/>
        <w:rPr>
          <w:rFonts w:hint="eastAsia" w:eastAsia="等线"/>
          <w:b/>
          <w:bCs/>
          <w:color w:val="000000"/>
          <w:sz w:val="28"/>
          <w:szCs w:val="28"/>
          <w:highlight w:val="none"/>
        </w:rPr>
      </w:pPr>
    </w:p>
    <w:p w14:paraId="117D92D4">
      <w:pPr>
        <w:jc w:val="center"/>
        <w:rPr>
          <w:rFonts w:hint="eastAsia" w:eastAsia="等线"/>
          <w:b/>
          <w:bCs/>
          <w:color w:val="000000"/>
          <w:sz w:val="28"/>
          <w:szCs w:val="28"/>
          <w:highlight w:val="none"/>
        </w:rPr>
      </w:pPr>
    </w:p>
    <w:p w14:paraId="19768F88">
      <w:pPr>
        <w:jc w:val="center"/>
        <w:rPr>
          <w:rFonts w:hint="eastAsia" w:eastAsia="等线"/>
          <w:b/>
          <w:bCs/>
          <w:color w:val="000000"/>
          <w:sz w:val="28"/>
          <w:szCs w:val="28"/>
          <w:highlight w:val="none"/>
        </w:rPr>
      </w:pPr>
    </w:p>
    <w:p w14:paraId="746D16F1">
      <w:pPr>
        <w:jc w:val="center"/>
        <w:rPr>
          <w:rFonts w:hint="eastAsia" w:eastAsia="等线"/>
          <w:b/>
          <w:bCs/>
          <w:color w:val="000000"/>
          <w:sz w:val="28"/>
          <w:szCs w:val="28"/>
          <w:highlight w:val="none"/>
        </w:rPr>
      </w:pPr>
    </w:p>
    <w:p w14:paraId="181600C8">
      <w:pPr>
        <w:jc w:val="center"/>
        <w:rPr>
          <w:rFonts w:hint="eastAsia" w:eastAsia="等线"/>
          <w:b/>
          <w:bCs/>
          <w:color w:val="000000"/>
          <w:sz w:val="28"/>
          <w:szCs w:val="28"/>
          <w:highlight w:val="none"/>
        </w:rPr>
      </w:pPr>
    </w:p>
    <w:p w14:paraId="1F28BB6B">
      <w:pPr>
        <w:jc w:val="center"/>
        <w:rPr>
          <w:rFonts w:hint="eastAsia" w:eastAsia="等线"/>
          <w:b/>
          <w:bCs/>
          <w:color w:val="000000"/>
          <w:sz w:val="28"/>
          <w:szCs w:val="28"/>
          <w:highlight w:val="none"/>
        </w:rPr>
      </w:pPr>
      <w:r>
        <w:rPr>
          <w:rFonts w:hint="eastAsia" w:eastAsia="等线"/>
          <w:b/>
          <w:bCs/>
          <w:color w:val="000000"/>
          <w:sz w:val="28"/>
          <w:szCs w:val="28"/>
          <w:highlight w:val="none"/>
        </w:rPr>
        <w:t>主要设备和材料参考品牌推荐表</w:t>
      </w:r>
    </w:p>
    <w:p w14:paraId="78AACBA3">
      <w:pPr>
        <w:widowControl w:val="0"/>
        <w:jc w:val="center"/>
        <w:rPr>
          <w:rFonts w:hint="eastAsia" w:ascii="等线" w:hAnsi="等线" w:eastAsia="等线" w:cs="Times New Roman"/>
          <w:kern w:val="2"/>
          <w:sz w:val="28"/>
          <w:szCs w:val="28"/>
          <w:highlight w:val="none"/>
          <w14:ligatures w14:val="standardContextual"/>
        </w:rPr>
      </w:pPr>
    </w:p>
    <w:tbl>
      <w:tblPr>
        <w:tblStyle w:val="112"/>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00"/>
        <w:gridCol w:w="5880"/>
      </w:tblGrid>
      <w:tr w14:paraId="554C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B532F44">
            <w:pPr>
              <w:widowControl w:val="0"/>
              <w:jc w:val="center"/>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序号</w:t>
            </w:r>
          </w:p>
        </w:tc>
        <w:tc>
          <w:tcPr>
            <w:tcW w:w="2500" w:type="dxa"/>
            <w:tcBorders>
              <w:top w:val="single" w:color="auto" w:sz="4" w:space="0"/>
              <w:left w:val="single" w:color="auto" w:sz="4" w:space="0"/>
              <w:bottom w:val="single" w:color="auto" w:sz="4" w:space="0"/>
              <w:right w:val="single" w:color="auto" w:sz="4" w:space="0"/>
            </w:tcBorders>
          </w:tcPr>
          <w:p w14:paraId="514911B4">
            <w:pPr>
              <w:widowControl w:val="0"/>
              <w:jc w:val="center"/>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项目</w:t>
            </w:r>
          </w:p>
        </w:tc>
        <w:tc>
          <w:tcPr>
            <w:tcW w:w="5880" w:type="dxa"/>
            <w:tcBorders>
              <w:top w:val="single" w:color="auto" w:sz="4" w:space="0"/>
              <w:left w:val="single" w:color="auto" w:sz="4" w:space="0"/>
              <w:bottom w:val="single" w:color="auto" w:sz="4" w:space="0"/>
              <w:right w:val="single" w:color="auto" w:sz="4" w:space="0"/>
            </w:tcBorders>
          </w:tcPr>
          <w:p w14:paraId="7B390399">
            <w:pPr>
              <w:widowControl w:val="0"/>
              <w:jc w:val="center"/>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品牌</w:t>
            </w:r>
          </w:p>
        </w:tc>
      </w:tr>
      <w:tr w14:paraId="2DAC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026E75A">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一</w:t>
            </w:r>
          </w:p>
        </w:tc>
        <w:tc>
          <w:tcPr>
            <w:tcW w:w="2500" w:type="dxa"/>
            <w:tcBorders>
              <w:top w:val="single" w:color="auto" w:sz="4" w:space="0"/>
              <w:left w:val="single" w:color="auto" w:sz="4" w:space="0"/>
              <w:bottom w:val="single" w:color="auto" w:sz="4" w:space="0"/>
              <w:right w:val="single" w:color="auto" w:sz="4" w:space="0"/>
            </w:tcBorders>
          </w:tcPr>
          <w:p w14:paraId="4F864DBF">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综合布线系统</w:t>
            </w:r>
          </w:p>
        </w:tc>
        <w:tc>
          <w:tcPr>
            <w:tcW w:w="5880" w:type="dxa"/>
            <w:tcBorders>
              <w:top w:val="single" w:color="auto" w:sz="4" w:space="0"/>
              <w:left w:val="single" w:color="auto" w:sz="4" w:space="0"/>
              <w:bottom w:val="single" w:color="auto" w:sz="4" w:space="0"/>
              <w:right w:val="single" w:color="auto" w:sz="4" w:space="0"/>
            </w:tcBorders>
          </w:tcPr>
          <w:p w14:paraId="6E61815C">
            <w:pPr>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一舟、普天天纪、清华同方或同档次及以上</w:t>
            </w:r>
          </w:p>
        </w:tc>
      </w:tr>
      <w:tr w14:paraId="1B92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tcPr>
          <w:p w14:paraId="50819C53">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二</w:t>
            </w:r>
          </w:p>
        </w:tc>
        <w:tc>
          <w:tcPr>
            <w:tcW w:w="2500" w:type="dxa"/>
            <w:tcBorders>
              <w:top w:val="single" w:color="auto" w:sz="4" w:space="0"/>
              <w:left w:val="single" w:color="auto" w:sz="4" w:space="0"/>
              <w:bottom w:val="single" w:color="auto" w:sz="4" w:space="0"/>
              <w:right w:val="single" w:color="auto" w:sz="4" w:space="0"/>
            </w:tcBorders>
          </w:tcPr>
          <w:p w14:paraId="17570FB2">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计算机网络系统</w:t>
            </w:r>
          </w:p>
        </w:tc>
        <w:tc>
          <w:tcPr>
            <w:tcW w:w="5880" w:type="dxa"/>
            <w:tcBorders>
              <w:top w:val="single" w:color="auto" w:sz="4" w:space="0"/>
              <w:left w:val="single" w:color="auto" w:sz="4" w:space="0"/>
              <w:bottom w:val="single" w:color="auto" w:sz="4" w:space="0"/>
              <w:right w:val="single" w:color="auto" w:sz="4" w:space="0"/>
            </w:tcBorders>
          </w:tcPr>
          <w:p w14:paraId="0201D69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中兴、华为、华三或同档次及以上</w:t>
            </w:r>
          </w:p>
        </w:tc>
      </w:tr>
      <w:tr w14:paraId="7763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EA7EF1D">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三</w:t>
            </w:r>
          </w:p>
        </w:tc>
        <w:tc>
          <w:tcPr>
            <w:tcW w:w="2500" w:type="dxa"/>
            <w:tcBorders>
              <w:top w:val="single" w:color="auto" w:sz="4" w:space="0"/>
              <w:left w:val="single" w:color="auto" w:sz="4" w:space="0"/>
              <w:bottom w:val="single" w:color="auto" w:sz="4" w:space="0"/>
              <w:right w:val="single" w:color="auto" w:sz="4" w:space="0"/>
            </w:tcBorders>
          </w:tcPr>
          <w:p w14:paraId="1B8CFBA3">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背景音乐系统</w:t>
            </w:r>
          </w:p>
        </w:tc>
        <w:tc>
          <w:tcPr>
            <w:tcW w:w="5880" w:type="dxa"/>
            <w:tcBorders>
              <w:top w:val="single" w:color="auto" w:sz="4" w:space="0"/>
              <w:left w:val="single" w:color="auto" w:sz="4" w:space="0"/>
              <w:bottom w:val="single" w:color="auto" w:sz="4" w:space="0"/>
              <w:right w:val="single" w:color="auto" w:sz="4" w:space="0"/>
            </w:tcBorders>
          </w:tcPr>
          <w:p w14:paraId="0A9E565D">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ITC、LOTFUN、SONBS或同档次及以上</w:t>
            </w:r>
          </w:p>
        </w:tc>
      </w:tr>
      <w:tr w14:paraId="17D9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D809C1D">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四</w:t>
            </w:r>
          </w:p>
        </w:tc>
        <w:tc>
          <w:tcPr>
            <w:tcW w:w="2500" w:type="dxa"/>
            <w:tcBorders>
              <w:top w:val="single" w:color="auto" w:sz="4" w:space="0"/>
              <w:left w:val="single" w:color="auto" w:sz="4" w:space="0"/>
              <w:bottom w:val="single" w:color="auto" w:sz="4" w:space="0"/>
              <w:right w:val="single" w:color="auto" w:sz="4" w:space="0"/>
            </w:tcBorders>
          </w:tcPr>
          <w:p w14:paraId="59F1F441">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多媒体信息发布系统</w:t>
            </w:r>
          </w:p>
        </w:tc>
        <w:tc>
          <w:tcPr>
            <w:tcW w:w="5880" w:type="dxa"/>
            <w:tcBorders>
              <w:top w:val="single" w:color="auto" w:sz="4" w:space="0"/>
              <w:left w:val="single" w:color="auto" w:sz="4" w:space="0"/>
              <w:bottom w:val="single" w:color="auto" w:sz="4" w:space="0"/>
              <w:right w:val="single" w:color="auto" w:sz="4" w:space="0"/>
            </w:tcBorders>
          </w:tcPr>
          <w:p w14:paraId="323434C9">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三思、艾比森、洲明、利亚德或同档次及以上</w:t>
            </w:r>
          </w:p>
        </w:tc>
      </w:tr>
      <w:tr w14:paraId="64AA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9CD0EB0">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五</w:t>
            </w:r>
          </w:p>
        </w:tc>
        <w:tc>
          <w:tcPr>
            <w:tcW w:w="2500" w:type="dxa"/>
            <w:tcBorders>
              <w:top w:val="single" w:color="auto" w:sz="4" w:space="0"/>
              <w:left w:val="single" w:color="auto" w:sz="4" w:space="0"/>
              <w:bottom w:val="single" w:color="auto" w:sz="4" w:space="0"/>
              <w:right w:val="single" w:color="auto" w:sz="4" w:space="0"/>
            </w:tcBorders>
          </w:tcPr>
          <w:p w14:paraId="6AB922D1">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多功能会议系统</w:t>
            </w:r>
          </w:p>
        </w:tc>
        <w:tc>
          <w:tcPr>
            <w:tcW w:w="5880" w:type="dxa"/>
            <w:tcBorders>
              <w:top w:val="single" w:color="auto" w:sz="4" w:space="0"/>
              <w:left w:val="single" w:color="auto" w:sz="4" w:space="0"/>
              <w:bottom w:val="single" w:color="auto" w:sz="4" w:space="0"/>
              <w:right w:val="single" w:color="auto" w:sz="4" w:space="0"/>
            </w:tcBorders>
          </w:tcPr>
          <w:p w14:paraId="5B79A48F">
            <w:pPr>
              <w:widowControl w:val="0"/>
              <w:jc w:val="both"/>
              <w:rPr>
                <w:rFonts w:hint="eastAsia" w:ascii="等线" w:hAnsi="等线" w:eastAsia="等线" w:cs="等线"/>
                <w:kern w:val="2"/>
                <w:sz w:val="20"/>
                <w:szCs w:val="20"/>
                <w:highlight w:val="none"/>
                <w14:ligatures w14:val="standardContextual"/>
              </w:rPr>
            </w:pPr>
          </w:p>
        </w:tc>
      </w:tr>
      <w:tr w14:paraId="367E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C4848D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C1EBBC4">
            <w:pPr>
              <w:jc w:val="both"/>
              <w:rPr>
                <w:rFonts w:hint="eastAsia" w:ascii="等线" w:hAnsi="等线" w:eastAsia="等线" w:cs="Times New Roman"/>
                <w:b/>
                <w:bCs/>
                <w:sz w:val="20"/>
                <w:szCs w:val="20"/>
                <w:highlight w:val="none"/>
              </w:rPr>
            </w:pPr>
            <w:r>
              <w:rPr>
                <w:rFonts w:hint="eastAsia" w:ascii="等线" w:hAnsi="等线" w:eastAsia="等线" w:cs="Times New Roman"/>
                <w:b/>
                <w:bCs/>
                <w:kern w:val="2"/>
                <w:sz w:val="20"/>
                <w:szCs w:val="20"/>
                <w:highlight w:val="none"/>
                <w14:ligatures w14:val="standardContextual"/>
              </w:rPr>
              <w:t>扩声系统</w:t>
            </w:r>
          </w:p>
        </w:tc>
        <w:tc>
          <w:tcPr>
            <w:tcW w:w="5880" w:type="dxa"/>
            <w:tcBorders>
              <w:top w:val="single" w:color="auto" w:sz="4" w:space="0"/>
              <w:left w:val="single" w:color="auto" w:sz="4" w:space="0"/>
              <w:bottom w:val="single" w:color="auto" w:sz="4" w:space="0"/>
              <w:right w:val="single" w:color="auto" w:sz="4" w:space="0"/>
            </w:tcBorders>
          </w:tcPr>
          <w:p w14:paraId="5216245F">
            <w:pPr>
              <w:widowControl w:val="0"/>
              <w:jc w:val="both"/>
              <w:rPr>
                <w:rFonts w:hint="eastAsia" w:ascii="等线" w:hAnsi="等线" w:eastAsia="等线" w:cs="等线"/>
                <w:kern w:val="2"/>
                <w:sz w:val="20"/>
                <w:szCs w:val="20"/>
                <w:highlight w:val="none"/>
                <w14:ligatures w14:val="standardContextual"/>
              </w:rPr>
            </w:pPr>
          </w:p>
        </w:tc>
      </w:tr>
      <w:tr w14:paraId="482E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084D7D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35A41E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主扩 有源8单元两分频指向性可控音柱</w:t>
            </w:r>
          </w:p>
        </w:tc>
        <w:tc>
          <w:tcPr>
            <w:tcW w:w="5880" w:type="dxa"/>
            <w:tcBorders>
              <w:top w:val="single" w:color="auto" w:sz="4" w:space="0"/>
              <w:left w:val="single" w:color="auto" w:sz="4" w:space="0"/>
              <w:bottom w:val="single" w:color="auto" w:sz="4" w:space="0"/>
              <w:right w:val="single" w:color="auto" w:sz="4" w:space="0"/>
            </w:tcBorders>
            <w:vAlign w:val="center"/>
          </w:tcPr>
          <w:p w14:paraId="589E3399">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TAIDEN台电、ITC、TANNOY（天朗）或同档次及以上</w:t>
            </w:r>
          </w:p>
        </w:tc>
      </w:tr>
      <w:tr w14:paraId="415D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34419C1">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69CC21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辅助 无源8英寸两分频扬声器</w:t>
            </w:r>
          </w:p>
        </w:tc>
        <w:tc>
          <w:tcPr>
            <w:tcW w:w="5880" w:type="dxa"/>
            <w:tcBorders>
              <w:top w:val="single" w:color="auto" w:sz="4" w:space="0"/>
              <w:left w:val="single" w:color="auto" w:sz="4" w:space="0"/>
              <w:bottom w:val="single" w:color="auto" w:sz="4" w:space="0"/>
              <w:right w:val="single" w:color="auto" w:sz="4" w:space="0"/>
            </w:tcBorders>
            <w:vAlign w:val="center"/>
          </w:tcPr>
          <w:p w14:paraId="56CE3F3F">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TAIDEN台电、ITC、TANNOY（天朗）或同档次及以上</w:t>
            </w:r>
          </w:p>
        </w:tc>
      </w:tr>
      <w:tr w14:paraId="24E5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2701F0C">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1263ED6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辅助数字功放</w:t>
            </w:r>
          </w:p>
        </w:tc>
        <w:tc>
          <w:tcPr>
            <w:tcW w:w="5880" w:type="dxa"/>
            <w:tcBorders>
              <w:top w:val="single" w:color="auto" w:sz="4" w:space="0"/>
              <w:left w:val="single" w:color="auto" w:sz="4" w:space="0"/>
              <w:bottom w:val="single" w:color="auto" w:sz="4" w:space="0"/>
              <w:right w:val="single" w:color="auto" w:sz="4" w:space="0"/>
            </w:tcBorders>
            <w:vAlign w:val="center"/>
          </w:tcPr>
          <w:p w14:paraId="1E9713F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TAIDEN台电、ITC、Lab.gruppen或同档次及以上</w:t>
            </w:r>
          </w:p>
        </w:tc>
      </w:tr>
      <w:tr w14:paraId="5D17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20B2CF4">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1C852FF">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无源12英寸同轴返送扬声器</w:t>
            </w:r>
          </w:p>
        </w:tc>
        <w:tc>
          <w:tcPr>
            <w:tcW w:w="5880" w:type="dxa"/>
            <w:tcBorders>
              <w:top w:val="single" w:color="auto" w:sz="4" w:space="0"/>
              <w:left w:val="single" w:color="auto" w:sz="4" w:space="0"/>
              <w:bottom w:val="single" w:color="auto" w:sz="4" w:space="0"/>
              <w:right w:val="single" w:color="auto" w:sz="4" w:space="0"/>
            </w:tcBorders>
            <w:vAlign w:val="center"/>
          </w:tcPr>
          <w:p w14:paraId="0D24EFFC">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TAIDEN台电、ITC、TANNOY（天朗）或同档次及以上</w:t>
            </w:r>
          </w:p>
        </w:tc>
      </w:tr>
      <w:tr w14:paraId="3C7C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106DF4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FB0BA2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返送数字功放</w:t>
            </w:r>
          </w:p>
        </w:tc>
        <w:tc>
          <w:tcPr>
            <w:tcW w:w="5880" w:type="dxa"/>
            <w:tcBorders>
              <w:top w:val="single" w:color="auto" w:sz="4" w:space="0"/>
              <w:left w:val="single" w:color="auto" w:sz="4" w:space="0"/>
              <w:bottom w:val="single" w:color="auto" w:sz="4" w:space="0"/>
              <w:right w:val="single" w:color="auto" w:sz="4" w:space="0"/>
            </w:tcBorders>
            <w:vAlign w:val="center"/>
          </w:tcPr>
          <w:p w14:paraId="19E33534">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TAIDEN台电、ITC、Lab.gruppen或同档次及以上</w:t>
            </w:r>
          </w:p>
        </w:tc>
      </w:tr>
      <w:tr w14:paraId="16FD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B94EA7E">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3AF49C58">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无源4单元两分频音柱</w:t>
            </w:r>
          </w:p>
        </w:tc>
        <w:tc>
          <w:tcPr>
            <w:tcW w:w="5880" w:type="dxa"/>
            <w:tcBorders>
              <w:top w:val="single" w:color="auto" w:sz="4" w:space="0"/>
              <w:left w:val="single" w:color="auto" w:sz="4" w:space="0"/>
              <w:bottom w:val="single" w:color="auto" w:sz="4" w:space="0"/>
              <w:right w:val="single" w:color="auto" w:sz="4" w:space="0"/>
            </w:tcBorders>
            <w:vAlign w:val="center"/>
          </w:tcPr>
          <w:p w14:paraId="551EBB2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TAIDEN台电、ITC、TANNOY（天朗）或同档次及以上</w:t>
            </w:r>
          </w:p>
        </w:tc>
      </w:tr>
      <w:tr w14:paraId="6E5C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D237DA4">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7597BF09">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返送数字功放</w:t>
            </w:r>
          </w:p>
        </w:tc>
        <w:tc>
          <w:tcPr>
            <w:tcW w:w="5880" w:type="dxa"/>
            <w:tcBorders>
              <w:top w:val="single" w:color="auto" w:sz="4" w:space="0"/>
              <w:left w:val="single" w:color="auto" w:sz="4" w:space="0"/>
              <w:bottom w:val="single" w:color="auto" w:sz="4" w:space="0"/>
              <w:right w:val="single" w:color="auto" w:sz="4" w:space="0"/>
            </w:tcBorders>
            <w:vAlign w:val="center"/>
          </w:tcPr>
          <w:p w14:paraId="5988C0E4">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TAIDEN台电、ITC、Lab.gruppen或同档次及以上</w:t>
            </w:r>
          </w:p>
        </w:tc>
      </w:tr>
      <w:tr w14:paraId="17FC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ADD042A">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BF5C1D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中置补声无源8英寸两分频扬声器</w:t>
            </w:r>
          </w:p>
        </w:tc>
        <w:tc>
          <w:tcPr>
            <w:tcW w:w="5880" w:type="dxa"/>
            <w:tcBorders>
              <w:top w:val="single" w:color="auto" w:sz="4" w:space="0"/>
              <w:left w:val="single" w:color="auto" w:sz="4" w:space="0"/>
              <w:bottom w:val="single" w:color="auto" w:sz="4" w:space="0"/>
              <w:right w:val="single" w:color="auto" w:sz="4" w:space="0"/>
            </w:tcBorders>
            <w:vAlign w:val="center"/>
          </w:tcPr>
          <w:p w14:paraId="6E1ADF79">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TAIDEN台电、ITC、TANNOY（天朗）或同档次及以上</w:t>
            </w:r>
          </w:p>
        </w:tc>
      </w:tr>
      <w:tr w14:paraId="3447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DA0996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52B13C9">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中置补声数字功放</w:t>
            </w:r>
          </w:p>
        </w:tc>
        <w:tc>
          <w:tcPr>
            <w:tcW w:w="5880" w:type="dxa"/>
            <w:tcBorders>
              <w:top w:val="single" w:color="auto" w:sz="4" w:space="0"/>
              <w:left w:val="single" w:color="auto" w:sz="4" w:space="0"/>
              <w:bottom w:val="single" w:color="auto" w:sz="4" w:space="0"/>
              <w:right w:val="single" w:color="auto" w:sz="4" w:space="0"/>
            </w:tcBorders>
            <w:vAlign w:val="center"/>
          </w:tcPr>
          <w:p w14:paraId="70A2E56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TAIDEN台电、ITC、Lab.gruppen或同档次及以上</w:t>
            </w:r>
          </w:p>
        </w:tc>
      </w:tr>
      <w:tr w14:paraId="31A2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67A588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EA2A9E8">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超低频音箱</w:t>
            </w:r>
          </w:p>
        </w:tc>
        <w:tc>
          <w:tcPr>
            <w:tcW w:w="5880" w:type="dxa"/>
            <w:tcBorders>
              <w:top w:val="single" w:color="auto" w:sz="4" w:space="0"/>
              <w:left w:val="single" w:color="auto" w:sz="4" w:space="0"/>
              <w:bottom w:val="single" w:color="auto" w:sz="4" w:space="0"/>
              <w:right w:val="single" w:color="auto" w:sz="4" w:space="0"/>
            </w:tcBorders>
            <w:vAlign w:val="center"/>
          </w:tcPr>
          <w:p w14:paraId="115CD69E">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TAIDEN台电、ITC、TANNOY（天朗）或同档次及以上</w:t>
            </w:r>
          </w:p>
        </w:tc>
      </w:tr>
      <w:tr w14:paraId="3F8D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2E93029">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36E96AC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超低频数字功放</w:t>
            </w:r>
          </w:p>
        </w:tc>
        <w:tc>
          <w:tcPr>
            <w:tcW w:w="5880" w:type="dxa"/>
            <w:tcBorders>
              <w:top w:val="single" w:color="auto" w:sz="4" w:space="0"/>
              <w:left w:val="single" w:color="auto" w:sz="4" w:space="0"/>
              <w:bottom w:val="single" w:color="auto" w:sz="4" w:space="0"/>
              <w:right w:val="single" w:color="auto" w:sz="4" w:space="0"/>
            </w:tcBorders>
            <w:vAlign w:val="center"/>
          </w:tcPr>
          <w:p w14:paraId="33B19AD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TAIDEN台电、ITC、Lab.gruppen或同档次及以上</w:t>
            </w:r>
          </w:p>
        </w:tc>
      </w:tr>
      <w:tr w14:paraId="0EF7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D66AA87">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6A8C3A0">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网络数字音频处理器</w:t>
            </w:r>
          </w:p>
        </w:tc>
        <w:tc>
          <w:tcPr>
            <w:tcW w:w="5880" w:type="dxa"/>
            <w:tcBorders>
              <w:top w:val="single" w:color="auto" w:sz="4" w:space="0"/>
              <w:left w:val="single" w:color="auto" w:sz="4" w:space="0"/>
              <w:bottom w:val="single" w:color="auto" w:sz="4" w:space="0"/>
              <w:right w:val="single" w:color="auto" w:sz="4" w:space="0"/>
            </w:tcBorders>
            <w:vAlign w:val="center"/>
          </w:tcPr>
          <w:p w14:paraId="2365AF0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Crest Audio高峰、ITC、CLEARONE克令万或同档次及以上</w:t>
            </w:r>
          </w:p>
        </w:tc>
      </w:tr>
      <w:tr w14:paraId="7C7C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40379E7">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4687560">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数字调音台</w:t>
            </w:r>
          </w:p>
        </w:tc>
        <w:tc>
          <w:tcPr>
            <w:tcW w:w="5880" w:type="dxa"/>
            <w:tcBorders>
              <w:top w:val="single" w:color="auto" w:sz="4" w:space="0"/>
              <w:left w:val="single" w:color="auto" w:sz="4" w:space="0"/>
              <w:bottom w:val="single" w:color="auto" w:sz="4" w:space="0"/>
              <w:right w:val="single" w:color="auto" w:sz="4" w:space="0"/>
            </w:tcBorders>
            <w:vAlign w:val="center"/>
          </w:tcPr>
          <w:p w14:paraId="566BB14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MIDAS迈达斯、YAMAHA雅马哈、Soundcraft声艺或同档次及以上</w:t>
            </w:r>
          </w:p>
        </w:tc>
      </w:tr>
      <w:tr w14:paraId="63C6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85CF2B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0D7E698">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数字调音台同步器</w:t>
            </w:r>
          </w:p>
        </w:tc>
        <w:tc>
          <w:tcPr>
            <w:tcW w:w="5880" w:type="dxa"/>
            <w:tcBorders>
              <w:top w:val="single" w:color="auto" w:sz="4" w:space="0"/>
              <w:left w:val="single" w:color="auto" w:sz="4" w:space="0"/>
              <w:bottom w:val="single" w:color="auto" w:sz="4" w:space="0"/>
              <w:right w:val="single" w:color="auto" w:sz="4" w:space="0"/>
            </w:tcBorders>
            <w:vAlign w:val="center"/>
          </w:tcPr>
          <w:p w14:paraId="75B60AB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A LAN DOWN THE ROAD、ITC或同档次及以上</w:t>
            </w:r>
          </w:p>
        </w:tc>
      </w:tr>
      <w:tr w14:paraId="423E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E68014B">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3706788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音频接口箱</w:t>
            </w:r>
          </w:p>
        </w:tc>
        <w:tc>
          <w:tcPr>
            <w:tcW w:w="5880" w:type="dxa"/>
            <w:tcBorders>
              <w:top w:val="single" w:color="auto" w:sz="4" w:space="0"/>
              <w:left w:val="single" w:color="auto" w:sz="4" w:space="0"/>
              <w:bottom w:val="single" w:color="auto" w:sz="4" w:space="0"/>
              <w:right w:val="single" w:color="auto" w:sz="4" w:space="0"/>
            </w:tcBorders>
            <w:vAlign w:val="center"/>
          </w:tcPr>
          <w:p w14:paraId="0E49DA0A">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MIDAS迈达斯、YAMAHA雅马哈、Soundcraft声艺或同档次及以上</w:t>
            </w:r>
          </w:p>
        </w:tc>
      </w:tr>
      <w:tr w14:paraId="7F02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CB72BFE">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4A1F916E">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有源监听音箱</w:t>
            </w:r>
          </w:p>
        </w:tc>
        <w:tc>
          <w:tcPr>
            <w:tcW w:w="5880" w:type="dxa"/>
            <w:tcBorders>
              <w:top w:val="single" w:color="auto" w:sz="4" w:space="0"/>
              <w:left w:val="single" w:color="auto" w:sz="4" w:space="0"/>
              <w:bottom w:val="single" w:color="auto" w:sz="4" w:space="0"/>
              <w:right w:val="single" w:color="auto" w:sz="4" w:space="0"/>
            </w:tcBorders>
            <w:vAlign w:val="center"/>
          </w:tcPr>
          <w:p w14:paraId="381B0101">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YAMAHA雅马哈、ITC、TANNOY（天朗）、（DYNAUDIO）丹拿或同档次及以上</w:t>
            </w:r>
          </w:p>
        </w:tc>
      </w:tr>
      <w:tr w14:paraId="3D7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5742B7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4B3ECD1">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头戴式监听耳机</w:t>
            </w:r>
          </w:p>
        </w:tc>
        <w:tc>
          <w:tcPr>
            <w:tcW w:w="5880" w:type="dxa"/>
            <w:tcBorders>
              <w:top w:val="single" w:color="auto" w:sz="4" w:space="0"/>
              <w:left w:val="single" w:color="auto" w:sz="4" w:space="0"/>
              <w:bottom w:val="single" w:color="auto" w:sz="4" w:space="0"/>
              <w:right w:val="single" w:color="auto" w:sz="4" w:space="0"/>
            </w:tcBorders>
            <w:vAlign w:val="center"/>
          </w:tcPr>
          <w:p w14:paraId="2590C214">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YAMAHA雅马哈、ITC、TANNOY（天朗）、（DYNAUDIO）丹拿或同档次及以上</w:t>
            </w:r>
          </w:p>
        </w:tc>
      </w:tr>
      <w:tr w14:paraId="1900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2982AC2">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2AD4C71">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无线双手持话筒</w:t>
            </w:r>
          </w:p>
        </w:tc>
        <w:tc>
          <w:tcPr>
            <w:tcW w:w="5880" w:type="dxa"/>
            <w:tcBorders>
              <w:top w:val="single" w:color="auto" w:sz="4" w:space="0"/>
              <w:left w:val="single" w:color="auto" w:sz="4" w:space="0"/>
              <w:bottom w:val="single" w:color="auto" w:sz="4" w:space="0"/>
              <w:right w:val="single" w:color="auto" w:sz="4" w:space="0"/>
            </w:tcBorders>
            <w:vAlign w:val="center"/>
          </w:tcPr>
          <w:p w14:paraId="4D5A371C">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JTS、SHURE舒尔、ITC、beyerdynamic拜亚动力或同档次及以上</w:t>
            </w:r>
          </w:p>
        </w:tc>
      </w:tr>
      <w:tr w14:paraId="7B8D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65773B2">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73FE6075">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无线头戴话筒</w:t>
            </w:r>
          </w:p>
        </w:tc>
        <w:tc>
          <w:tcPr>
            <w:tcW w:w="5880" w:type="dxa"/>
            <w:tcBorders>
              <w:top w:val="single" w:color="auto" w:sz="4" w:space="0"/>
              <w:left w:val="single" w:color="auto" w:sz="4" w:space="0"/>
              <w:bottom w:val="single" w:color="auto" w:sz="4" w:space="0"/>
              <w:right w:val="single" w:color="auto" w:sz="4" w:space="0"/>
            </w:tcBorders>
            <w:vAlign w:val="center"/>
          </w:tcPr>
          <w:p w14:paraId="00C75ED2">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JTS、SHURE舒尔、ITC、beyerdynamic拜亚动力或同档次及以上</w:t>
            </w:r>
          </w:p>
        </w:tc>
      </w:tr>
      <w:tr w14:paraId="2F27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672AA4A">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7FBC9C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无线分配器</w:t>
            </w:r>
          </w:p>
        </w:tc>
        <w:tc>
          <w:tcPr>
            <w:tcW w:w="5880" w:type="dxa"/>
            <w:tcBorders>
              <w:top w:val="single" w:color="auto" w:sz="4" w:space="0"/>
              <w:left w:val="single" w:color="auto" w:sz="4" w:space="0"/>
              <w:bottom w:val="single" w:color="auto" w:sz="4" w:space="0"/>
              <w:right w:val="single" w:color="auto" w:sz="4" w:space="0"/>
            </w:tcBorders>
            <w:vAlign w:val="center"/>
          </w:tcPr>
          <w:p w14:paraId="01798D2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JTS、SHURE舒尔、ITC、beyerdynamic拜亚动力或同档次及以上</w:t>
            </w:r>
          </w:p>
        </w:tc>
      </w:tr>
      <w:tr w14:paraId="5750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24A298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12292017">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宽频天线</w:t>
            </w:r>
          </w:p>
        </w:tc>
        <w:tc>
          <w:tcPr>
            <w:tcW w:w="5880" w:type="dxa"/>
            <w:tcBorders>
              <w:top w:val="single" w:color="auto" w:sz="4" w:space="0"/>
              <w:left w:val="single" w:color="auto" w:sz="4" w:space="0"/>
              <w:bottom w:val="single" w:color="auto" w:sz="4" w:space="0"/>
              <w:right w:val="single" w:color="auto" w:sz="4" w:space="0"/>
            </w:tcBorders>
            <w:vAlign w:val="center"/>
          </w:tcPr>
          <w:p w14:paraId="4EC0D8FA">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JTS、SHURE舒尔、ITC、beyerdynamic拜亚动力或同档次及以上</w:t>
            </w:r>
          </w:p>
        </w:tc>
      </w:tr>
      <w:tr w14:paraId="634B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F6FD123">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FB71CA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报告席鹅颈式高性能电容话筒</w:t>
            </w:r>
          </w:p>
        </w:tc>
        <w:tc>
          <w:tcPr>
            <w:tcW w:w="5880" w:type="dxa"/>
            <w:tcBorders>
              <w:top w:val="single" w:color="auto" w:sz="4" w:space="0"/>
              <w:left w:val="single" w:color="auto" w:sz="4" w:space="0"/>
              <w:bottom w:val="single" w:color="auto" w:sz="4" w:space="0"/>
              <w:right w:val="single" w:color="auto" w:sz="4" w:space="0"/>
            </w:tcBorders>
            <w:vAlign w:val="center"/>
          </w:tcPr>
          <w:p w14:paraId="7ED2426C">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TAIDEN台电、ITC、TELEVIC泰勒维克、Sennheiser森海塞尔或同档次及以上</w:t>
            </w:r>
          </w:p>
        </w:tc>
      </w:tr>
      <w:tr w14:paraId="0C3F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4F1C5E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A41F726">
            <w:pPr>
              <w:jc w:val="both"/>
              <w:rPr>
                <w:rFonts w:hint="eastAsia" w:ascii="等线" w:hAnsi="等线" w:eastAsia="等线" w:cs="Times New Roman"/>
                <w:b/>
                <w:bCs/>
                <w:sz w:val="20"/>
                <w:szCs w:val="20"/>
                <w:highlight w:val="none"/>
              </w:rPr>
            </w:pPr>
            <w:r>
              <w:rPr>
                <w:rFonts w:hint="eastAsia" w:ascii="等线" w:hAnsi="等线" w:eastAsia="等线" w:cs="Times New Roman"/>
                <w:b/>
                <w:bCs/>
                <w:kern w:val="2"/>
                <w:sz w:val="20"/>
                <w:szCs w:val="20"/>
                <w:highlight w:val="none"/>
                <w14:ligatures w14:val="standardContextual"/>
              </w:rPr>
              <w:t>数字会议系统</w:t>
            </w:r>
          </w:p>
        </w:tc>
        <w:tc>
          <w:tcPr>
            <w:tcW w:w="5880" w:type="dxa"/>
            <w:tcBorders>
              <w:top w:val="single" w:color="auto" w:sz="4" w:space="0"/>
              <w:left w:val="single" w:color="auto" w:sz="4" w:space="0"/>
              <w:bottom w:val="single" w:color="auto" w:sz="4" w:space="0"/>
              <w:right w:val="single" w:color="auto" w:sz="4" w:space="0"/>
            </w:tcBorders>
          </w:tcPr>
          <w:p w14:paraId="2FB34A8B">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TAIDEN台电、ITC、TELEVIC泰勒维克、Sennheiser森海塞尔或同档次及以上</w:t>
            </w:r>
          </w:p>
        </w:tc>
      </w:tr>
      <w:tr w14:paraId="4C21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92757BC">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755DCF5D">
            <w:pPr>
              <w:jc w:val="both"/>
              <w:rPr>
                <w:rFonts w:hint="eastAsia" w:ascii="等线" w:hAnsi="等线" w:eastAsia="等线" w:cs="Times New Roman"/>
                <w:b/>
                <w:bCs/>
                <w:sz w:val="20"/>
                <w:szCs w:val="20"/>
                <w:highlight w:val="none"/>
              </w:rPr>
            </w:pPr>
            <w:r>
              <w:rPr>
                <w:rFonts w:hint="eastAsia" w:ascii="等线" w:hAnsi="等线" w:eastAsia="等线" w:cs="Times New Roman"/>
                <w:b/>
                <w:bCs/>
                <w:kern w:val="2"/>
                <w:sz w:val="20"/>
                <w:szCs w:val="20"/>
                <w:highlight w:val="none"/>
                <w14:ligatures w14:val="standardContextual"/>
              </w:rPr>
              <w:t>视频显示系统</w:t>
            </w:r>
          </w:p>
        </w:tc>
        <w:tc>
          <w:tcPr>
            <w:tcW w:w="5880" w:type="dxa"/>
            <w:tcBorders>
              <w:top w:val="single" w:color="auto" w:sz="4" w:space="0"/>
              <w:left w:val="single" w:color="auto" w:sz="4" w:space="0"/>
              <w:bottom w:val="single" w:color="auto" w:sz="4" w:space="0"/>
              <w:right w:val="single" w:color="auto" w:sz="4" w:space="0"/>
            </w:tcBorders>
          </w:tcPr>
          <w:p w14:paraId="2AE91D98">
            <w:pPr>
              <w:widowControl w:val="0"/>
              <w:jc w:val="both"/>
              <w:rPr>
                <w:rFonts w:hint="eastAsia" w:ascii="等线" w:hAnsi="等线" w:eastAsia="等线" w:cs="等线"/>
                <w:kern w:val="2"/>
                <w:sz w:val="20"/>
                <w:szCs w:val="20"/>
                <w:highlight w:val="none"/>
                <w14:ligatures w14:val="standardContextual"/>
              </w:rPr>
            </w:pPr>
          </w:p>
        </w:tc>
      </w:tr>
      <w:tr w14:paraId="7BB7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DADE643">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3676DD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LED全彩屏</w:t>
            </w:r>
          </w:p>
        </w:tc>
        <w:tc>
          <w:tcPr>
            <w:tcW w:w="5880" w:type="dxa"/>
            <w:tcBorders>
              <w:top w:val="single" w:color="auto" w:sz="4" w:space="0"/>
              <w:left w:val="single" w:color="auto" w:sz="4" w:space="0"/>
              <w:bottom w:val="single" w:color="auto" w:sz="4" w:space="0"/>
              <w:right w:val="single" w:color="auto" w:sz="4" w:space="0"/>
            </w:tcBorders>
            <w:vAlign w:val="center"/>
          </w:tcPr>
          <w:p w14:paraId="31ED67E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三思、艾比森、洲明、利亚德或同档次及以上</w:t>
            </w:r>
          </w:p>
        </w:tc>
      </w:tr>
      <w:tr w14:paraId="0171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D063ABD">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33083D00">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反显电视机55寸</w:t>
            </w:r>
          </w:p>
        </w:tc>
        <w:tc>
          <w:tcPr>
            <w:tcW w:w="5880" w:type="dxa"/>
            <w:tcBorders>
              <w:top w:val="single" w:color="auto" w:sz="4" w:space="0"/>
              <w:left w:val="single" w:color="auto" w:sz="4" w:space="0"/>
              <w:bottom w:val="single" w:color="auto" w:sz="4" w:space="0"/>
              <w:right w:val="single" w:color="auto" w:sz="4" w:space="0"/>
            </w:tcBorders>
            <w:vAlign w:val="center"/>
          </w:tcPr>
          <w:p w14:paraId="5E1908C2">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长虹、创维、海信或同档次及以上</w:t>
            </w:r>
          </w:p>
        </w:tc>
      </w:tr>
      <w:tr w14:paraId="3703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7B4300C">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6A401D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移动电视机支架</w:t>
            </w:r>
          </w:p>
        </w:tc>
        <w:tc>
          <w:tcPr>
            <w:tcW w:w="5880" w:type="dxa"/>
            <w:tcBorders>
              <w:top w:val="single" w:color="auto" w:sz="4" w:space="0"/>
              <w:left w:val="single" w:color="auto" w:sz="4" w:space="0"/>
              <w:bottom w:val="single" w:color="auto" w:sz="4" w:space="0"/>
              <w:right w:val="single" w:color="auto" w:sz="4" w:space="0"/>
            </w:tcBorders>
            <w:vAlign w:val="center"/>
          </w:tcPr>
          <w:p w14:paraId="7CE6A2E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w:t>
            </w:r>
          </w:p>
        </w:tc>
      </w:tr>
      <w:tr w14:paraId="5899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6E5C9C7">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87A85E7">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控制室显示器</w:t>
            </w:r>
          </w:p>
        </w:tc>
        <w:tc>
          <w:tcPr>
            <w:tcW w:w="5880" w:type="dxa"/>
            <w:tcBorders>
              <w:top w:val="single" w:color="auto" w:sz="4" w:space="0"/>
              <w:left w:val="single" w:color="auto" w:sz="4" w:space="0"/>
              <w:bottom w:val="single" w:color="auto" w:sz="4" w:space="0"/>
              <w:right w:val="single" w:color="auto" w:sz="4" w:space="0"/>
            </w:tcBorders>
            <w:vAlign w:val="center"/>
          </w:tcPr>
          <w:p w14:paraId="5F6FA1A5">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长虹、创维、海信或同档次及以上</w:t>
            </w:r>
          </w:p>
        </w:tc>
      </w:tr>
      <w:tr w14:paraId="649E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2FA7C4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E7E2D8B">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24寸显示器壁挂架</w:t>
            </w:r>
          </w:p>
        </w:tc>
        <w:tc>
          <w:tcPr>
            <w:tcW w:w="5880" w:type="dxa"/>
            <w:tcBorders>
              <w:top w:val="single" w:color="auto" w:sz="4" w:space="0"/>
              <w:left w:val="single" w:color="auto" w:sz="4" w:space="0"/>
              <w:bottom w:val="single" w:color="auto" w:sz="4" w:space="0"/>
              <w:right w:val="single" w:color="auto" w:sz="4" w:space="0"/>
            </w:tcBorders>
            <w:vAlign w:val="center"/>
          </w:tcPr>
          <w:p w14:paraId="29A61C78">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w:t>
            </w:r>
          </w:p>
        </w:tc>
      </w:tr>
      <w:tr w14:paraId="5F6F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0C7EADD">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089E5E5">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摄像机</w:t>
            </w:r>
          </w:p>
        </w:tc>
        <w:tc>
          <w:tcPr>
            <w:tcW w:w="5880" w:type="dxa"/>
            <w:tcBorders>
              <w:top w:val="single" w:color="auto" w:sz="4" w:space="0"/>
              <w:left w:val="single" w:color="auto" w:sz="4" w:space="0"/>
              <w:bottom w:val="single" w:color="auto" w:sz="4" w:space="0"/>
              <w:right w:val="single" w:color="auto" w:sz="4" w:space="0"/>
            </w:tcBorders>
            <w:vAlign w:val="center"/>
          </w:tcPr>
          <w:p w14:paraId="5545523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TAIDEN台电、SONY索尼、Panasonic松下或同档次及以上</w:t>
            </w:r>
          </w:p>
        </w:tc>
      </w:tr>
      <w:tr w14:paraId="4743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22B877A">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3AF93D3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高清摄像机控制键盘</w:t>
            </w:r>
          </w:p>
        </w:tc>
        <w:tc>
          <w:tcPr>
            <w:tcW w:w="5880" w:type="dxa"/>
            <w:tcBorders>
              <w:top w:val="single" w:color="auto" w:sz="4" w:space="0"/>
              <w:left w:val="single" w:color="auto" w:sz="4" w:space="0"/>
              <w:bottom w:val="single" w:color="auto" w:sz="4" w:space="0"/>
              <w:right w:val="single" w:color="auto" w:sz="4" w:space="0"/>
            </w:tcBorders>
            <w:vAlign w:val="center"/>
          </w:tcPr>
          <w:p w14:paraId="06AD73E5">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TAIDEN台电、SONY索尼、Panasonic松下或同档次及以上</w:t>
            </w:r>
          </w:p>
        </w:tc>
      </w:tr>
      <w:tr w14:paraId="687F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EE930CC">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301B52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高清混合矩阵主机</w:t>
            </w:r>
          </w:p>
        </w:tc>
        <w:tc>
          <w:tcPr>
            <w:tcW w:w="5880" w:type="dxa"/>
            <w:tcBorders>
              <w:top w:val="single" w:color="auto" w:sz="4" w:space="0"/>
              <w:left w:val="single" w:color="auto" w:sz="4" w:space="0"/>
              <w:bottom w:val="single" w:color="auto" w:sz="4" w:space="0"/>
              <w:right w:val="single" w:color="auto" w:sz="4" w:space="0"/>
            </w:tcBorders>
            <w:vAlign w:val="center"/>
          </w:tcPr>
          <w:p w14:paraId="138ECDF1">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LOTFUN、TAIDEN台电、ITC或同档次及以上</w:t>
            </w:r>
          </w:p>
        </w:tc>
      </w:tr>
      <w:tr w14:paraId="76F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9EB164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4AC3DBF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HDMI 4K变换输入卡</w:t>
            </w:r>
          </w:p>
        </w:tc>
        <w:tc>
          <w:tcPr>
            <w:tcW w:w="5880" w:type="dxa"/>
            <w:tcBorders>
              <w:top w:val="single" w:color="auto" w:sz="4" w:space="0"/>
              <w:left w:val="single" w:color="auto" w:sz="4" w:space="0"/>
              <w:bottom w:val="single" w:color="auto" w:sz="4" w:space="0"/>
              <w:right w:val="single" w:color="auto" w:sz="4" w:space="0"/>
            </w:tcBorders>
            <w:vAlign w:val="center"/>
          </w:tcPr>
          <w:p w14:paraId="56D9A782">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LOTFUN、TAIDEN台电、ITC或同档次及以上</w:t>
            </w:r>
          </w:p>
        </w:tc>
      </w:tr>
      <w:tr w14:paraId="2E3C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D05B910">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1F997541">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HDMI 4K变换输出卡</w:t>
            </w:r>
          </w:p>
        </w:tc>
        <w:tc>
          <w:tcPr>
            <w:tcW w:w="5880" w:type="dxa"/>
            <w:tcBorders>
              <w:top w:val="single" w:color="auto" w:sz="4" w:space="0"/>
              <w:left w:val="single" w:color="auto" w:sz="4" w:space="0"/>
              <w:bottom w:val="single" w:color="auto" w:sz="4" w:space="0"/>
              <w:right w:val="single" w:color="auto" w:sz="4" w:space="0"/>
            </w:tcBorders>
            <w:vAlign w:val="center"/>
          </w:tcPr>
          <w:p w14:paraId="5D33FB4E">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LOTFUN、TAIDEN台电、ITC或同档次及以上</w:t>
            </w:r>
          </w:p>
        </w:tc>
      </w:tr>
      <w:tr w14:paraId="7802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B567C7B">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6FF276F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3G-SDI变换输出卡</w:t>
            </w:r>
          </w:p>
        </w:tc>
        <w:tc>
          <w:tcPr>
            <w:tcW w:w="5880" w:type="dxa"/>
            <w:tcBorders>
              <w:top w:val="single" w:color="auto" w:sz="4" w:space="0"/>
              <w:left w:val="single" w:color="auto" w:sz="4" w:space="0"/>
              <w:bottom w:val="single" w:color="auto" w:sz="4" w:space="0"/>
              <w:right w:val="single" w:color="auto" w:sz="4" w:space="0"/>
            </w:tcBorders>
            <w:vAlign w:val="center"/>
          </w:tcPr>
          <w:p w14:paraId="43CBAEF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LOTFUN、TAIDEN台电、ITC或同档次及以上</w:t>
            </w:r>
          </w:p>
        </w:tc>
      </w:tr>
      <w:tr w14:paraId="05A5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5CCF941">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4382F214">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蓝光DVD</w:t>
            </w:r>
          </w:p>
        </w:tc>
        <w:tc>
          <w:tcPr>
            <w:tcW w:w="5880" w:type="dxa"/>
            <w:tcBorders>
              <w:top w:val="single" w:color="auto" w:sz="4" w:space="0"/>
              <w:left w:val="single" w:color="auto" w:sz="4" w:space="0"/>
              <w:bottom w:val="single" w:color="auto" w:sz="4" w:space="0"/>
              <w:right w:val="single" w:color="auto" w:sz="4" w:space="0"/>
            </w:tcBorders>
            <w:vAlign w:val="center"/>
          </w:tcPr>
          <w:p w14:paraId="118DBD5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SONY索尼、Panasonic松下、PHILIPS飞利浦或同档次及以上</w:t>
            </w:r>
          </w:p>
        </w:tc>
      </w:tr>
      <w:tr w14:paraId="6979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424D27E">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03AC0385">
            <w:pPr>
              <w:jc w:val="both"/>
              <w:rPr>
                <w:rFonts w:hint="eastAsia" w:ascii="等线" w:hAnsi="等线" w:eastAsia="等线" w:cs="Times New Roman"/>
                <w:b/>
                <w:bCs/>
                <w:sz w:val="20"/>
                <w:szCs w:val="20"/>
                <w:highlight w:val="none"/>
              </w:rPr>
            </w:pPr>
            <w:r>
              <w:rPr>
                <w:rFonts w:hint="eastAsia" w:ascii="等线" w:hAnsi="等线" w:eastAsia="等线" w:cs="Times New Roman"/>
                <w:b/>
                <w:bCs/>
                <w:kern w:val="2"/>
                <w:sz w:val="20"/>
                <w:szCs w:val="20"/>
                <w:highlight w:val="none"/>
                <w14:ligatures w14:val="standardContextual"/>
              </w:rPr>
              <w:t>中央控制及会议管理系统</w:t>
            </w:r>
          </w:p>
        </w:tc>
        <w:tc>
          <w:tcPr>
            <w:tcW w:w="5880" w:type="dxa"/>
            <w:tcBorders>
              <w:top w:val="single" w:color="auto" w:sz="4" w:space="0"/>
              <w:left w:val="single" w:color="auto" w:sz="4" w:space="0"/>
              <w:bottom w:val="single" w:color="auto" w:sz="4" w:space="0"/>
              <w:right w:val="single" w:color="auto" w:sz="4" w:space="0"/>
            </w:tcBorders>
          </w:tcPr>
          <w:p w14:paraId="790FAD53">
            <w:pPr>
              <w:widowControl w:val="0"/>
              <w:jc w:val="both"/>
              <w:rPr>
                <w:rFonts w:hint="eastAsia" w:ascii="等线" w:hAnsi="等线" w:eastAsia="等线" w:cs="等线"/>
                <w:kern w:val="2"/>
                <w:sz w:val="20"/>
                <w:szCs w:val="20"/>
                <w:highlight w:val="none"/>
                <w14:ligatures w14:val="standardContextual"/>
              </w:rPr>
            </w:pPr>
          </w:p>
        </w:tc>
      </w:tr>
      <w:tr w14:paraId="5FC7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CFA3A10">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56926069">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智慧主机</w:t>
            </w:r>
          </w:p>
        </w:tc>
        <w:tc>
          <w:tcPr>
            <w:tcW w:w="5880" w:type="dxa"/>
            <w:tcBorders>
              <w:top w:val="single" w:color="auto" w:sz="4" w:space="0"/>
              <w:left w:val="single" w:color="auto" w:sz="4" w:space="0"/>
              <w:bottom w:val="single" w:color="auto" w:sz="4" w:space="0"/>
              <w:right w:val="single" w:color="auto" w:sz="4" w:space="0"/>
            </w:tcBorders>
            <w:vAlign w:val="center"/>
          </w:tcPr>
          <w:p w14:paraId="48898BDD">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NAVIoT、ITC、LOTFUN、或同档次及以上</w:t>
            </w:r>
          </w:p>
        </w:tc>
      </w:tr>
      <w:tr w14:paraId="392F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13203D0">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76C8E4BA">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会议室调试服务</w:t>
            </w:r>
          </w:p>
        </w:tc>
        <w:tc>
          <w:tcPr>
            <w:tcW w:w="5880" w:type="dxa"/>
            <w:tcBorders>
              <w:top w:val="single" w:color="auto" w:sz="4" w:space="0"/>
              <w:left w:val="single" w:color="auto" w:sz="4" w:space="0"/>
              <w:bottom w:val="single" w:color="auto" w:sz="4" w:space="0"/>
              <w:right w:val="single" w:color="auto" w:sz="4" w:space="0"/>
            </w:tcBorders>
            <w:vAlign w:val="center"/>
          </w:tcPr>
          <w:p w14:paraId="13FBAD2F">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NAVIoT、ITC、LOTFUN、或同档次及以上</w:t>
            </w:r>
          </w:p>
        </w:tc>
      </w:tr>
      <w:tr w14:paraId="4C39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27106E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7522F9AC">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台式控制电脑</w:t>
            </w:r>
          </w:p>
        </w:tc>
        <w:tc>
          <w:tcPr>
            <w:tcW w:w="5880" w:type="dxa"/>
            <w:tcBorders>
              <w:top w:val="single" w:color="auto" w:sz="4" w:space="0"/>
              <w:left w:val="single" w:color="auto" w:sz="4" w:space="0"/>
              <w:bottom w:val="single" w:color="auto" w:sz="4" w:space="0"/>
              <w:right w:val="single" w:color="auto" w:sz="4" w:space="0"/>
            </w:tcBorders>
            <w:vAlign w:val="center"/>
          </w:tcPr>
          <w:p w14:paraId="59D14461">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联想、惠普、戴尔或同档次及以上</w:t>
            </w:r>
          </w:p>
        </w:tc>
      </w:tr>
      <w:tr w14:paraId="427C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4683540">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6CCFA77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无线控制平板</w:t>
            </w:r>
          </w:p>
        </w:tc>
        <w:tc>
          <w:tcPr>
            <w:tcW w:w="5880" w:type="dxa"/>
            <w:tcBorders>
              <w:top w:val="single" w:color="auto" w:sz="4" w:space="0"/>
              <w:left w:val="single" w:color="auto" w:sz="4" w:space="0"/>
              <w:bottom w:val="single" w:color="auto" w:sz="4" w:space="0"/>
              <w:right w:val="single" w:color="auto" w:sz="4" w:space="0"/>
            </w:tcBorders>
            <w:vAlign w:val="center"/>
          </w:tcPr>
          <w:p w14:paraId="7557C06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华为、小米、联想或同档次及以上</w:t>
            </w:r>
          </w:p>
        </w:tc>
      </w:tr>
      <w:tr w14:paraId="248A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1FE315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4FB75DF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无线AP</w:t>
            </w:r>
          </w:p>
        </w:tc>
        <w:tc>
          <w:tcPr>
            <w:tcW w:w="5880" w:type="dxa"/>
            <w:tcBorders>
              <w:top w:val="single" w:color="auto" w:sz="4" w:space="0"/>
              <w:left w:val="single" w:color="auto" w:sz="4" w:space="0"/>
              <w:bottom w:val="single" w:color="auto" w:sz="4" w:space="0"/>
              <w:right w:val="single" w:color="auto" w:sz="4" w:space="0"/>
            </w:tcBorders>
            <w:vAlign w:val="center"/>
          </w:tcPr>
          <w:p w14:paraId="489C0579">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华为、H3C、中兴或同档次及以上</w:t>
            </w:r>
          </w:p>
        </w:tc>
      </w:tr>
      <w:tr w14:paraId="5F21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D5DCE94">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12CAF88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千兆路由器</w:t>
            </w:r>
          </w:p>
        </w:tc>
        <w:tc>
          <w:tcPr>
            <w:tcW w:w="5880" w:type="dxa"/>
            <w:tcBorders>
              <w:top w:val="single" w:color="auto" w:sz="4" w:space="0"/>
              <w:left w:val="single" w:color="auto" w:sz="4" w:space="0"/>
              <w:bottom w:val="single" w:color="auto" w:sz="4" w:space="0"/>
              <w:right w:val="single" w:color="auto" w:sz="4" w:space="0"/>
            </w:tcBorders>
            <w:vAlign w:val="center"/>
          </w:tcPr>
          <w:p w14:paraId="0FAC46B5">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华为、H3C、中兴或同档次及以上</w:t>
            </w:r>
          </w:p>
        </w:tc>
      </w:tr>
      <w:tr w14:paraId="261D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896F434">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72233D1D">
            <w:pPr>
              <w:widowControl w:val="0"/>
              <w:jc w:val="both"/>
              <w:rPr>
                <w:rFonts w:hint="eastAsia" w:ascii="等线" w:hAnsi="等线" w:eastAsia="等线" w:cs="Times New Roman"/>
                <w:b/>
                <w:bCs/>
                <w:kern w:val="2"/>
                <w:szCs w:val="22"/>
                <w:highlight w:val="none"/>
                <w14:ligatures w14:val="standardContextual"/>
              </w:rPr>
            </w:pPr>
            <w:r>
              <w:rPr>
                <w:rFonts w:hint="eastAsia" w:ascii="等线" w:hAnsi="等线" w:eastAsia="等线" w:cs="Times New Roman"/>
                <w:b/>
                <w:bCs/>
                <w:kern w:val="2"/>
                <w:sz w:val="20"/>
                <w:szCs w:val="20"/>
                <w:highlight w:val="none"/>
                <w14:ligatures w14:val="standardContextual"/>
              </w:rPr>
              <w:t>录播及远程视频系统</w:t>
            </w:r>
          </w:p>
        </w:tc>
        <w:tc>
          <w:tcPr>
            <w:tcW w:w="5880" w:type="dxa"/>
            <w:tcBorders>
              <w:top w:val="single" w:color="auto" w:sz="4" w:space="0"/>
              <w:left w:val="single" w:color="auto" w:sz="4" w:space="0"/>
              <w:bottom w:val="single" w:color="auto" w:sz="4" w:space="0"/>
              <w:right w:val="single" w:color="auto" w:sz="4" w:space="0"/>
            </w:tcBorders>
          </w:tcPr>
          <w:p w14:paraId="4CEC73A7">
            <w:pPr>
              <w:widowControl w:val="0"/>
              <w:jc w:val="both"/>
              <w:rPr>
                <w:rFonts w:hint="eastAsia" w:ascii="等线" w:hAnsi="等线" w:eastAsia="等线" w:cs="等线"/>
                <w:kern w:val="2"/>
                <w:sz w:val="20"/>
                <w:szCs w:val="20"/>
                <w:highlight w:val="none"/>
                <w14:ligatures w14:val="standardContextual"/>
              </w:rPr>
            </w:pPr>
          </w:p>
        </w:tc>
      </w:tr>
      <w:tr w14:paraId="4A94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89F0FB1">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6929F00F">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会议录播主机</w:t>
            </w:r>
          </w:p>
        </w:tc>
        <w:tc>
          <w:tcPr>
            <w:tcW w:w="5880" w:type="dxa"/>
            <w:tcBorders>
              <w:top w:val="single" w:color="auto" w:sz="4" w:space="0"/>
              <w:left w:val="single" w:color="auto" w:sz="4" w:space="0"/>
              <w:bottom w:val="single" w:color="auto" w:sz="4" w:space="0"/>
              <w:right w:val="single" w:color="auto" w:sz="4" w:space="0"/>
            </w:tcBorders>
            <w:vAlign w:val="center"/>
          </w:tcPr>
          <w:p w14:paraId="08EB6BD5">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锐取、LOTFUN、世纪金航、金运智能或同档次及以上</w:t>
            </w:r>
          </w:p>
        </w:tc>
      </w:tr>
      <w:tr w14:paraId="6373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0AF6992">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471E78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高清远程主机</w:t>
            </w:r>
          </w:p>
        </w:tc>
        <w:tc>
          <w:tcPr>
            <w:tcW w:w="5880" w:type="dxa"/>
            <w:tcBorders>
              <w:top w:val="single" w:color="auto" w:sz="4" w:space="0"/>
              <w:left w:val="single" w:color="auto" w:sz="4" w:space="0"/>
              <w:bottom w:val="single" w:color="auto" w:sz="4" w:space="0"/>
              <w:right w:val="single" w:color="auto" w:sz="4" w:space="0"/>
            </w:tcBorders>
            <w:vAlign w:val="center"/>
          </w:tcPr>
          <w:p w14:paraId="40CBBF38">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亿联、宝利通、华为或同档次及以上</w:t>
            </w:r>
          </w:p>
        </w:tc>
      </w:tr>
      <w:tr w14:paraId="6702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62957AD">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B156C07">
            <w:pPr>
              <w:jc w:val="both"/>
              <w:rPr>
                <w:rFonts w:hint="eastAsia" w:ascii="等线" w:hAnsi="等线" w:eastAsia="等线" w:cs="Times New Roman"/>
                <w:sz w:val="20"/>
                <w:szCs w:val="20"/>
                <w:highlight w:val="none"/>
              </w:rPr>
            </w:pPr>
            <w:r>
              <w:rPr>
                <w:rFonts w:hint="eastAsia" w:ascii="等线" w:hAnsi="等线" w:eastAsia="等线" w:cs="Times New Roman"/>
                <w:kern w:val="2"/>
                <w:sz w:val="20"/>
                <w:szCs w:val="20"/>
                <w:highlight w:val="none"/>
                <w14:ligatures w14:val="standardContextual"/>
              </w:rPr>
              <w:t>舞台灯光系统</w:t>
            </w:r>
          </w:p>
        </w:tc>
        <w:tc>
          <w:tcPr>
            <w:tcW w:w="5880" w:type="dxa"/>
            <w:tcBorders>
              <w:top w:val="single" w:color="auto" w:sz="4" w:space="0"/>
              <w:left w:val="single" w:color="auto" w:sz="4" w:space="0"/>
              <w:bottom w:val="single" w:color="auto" w:sz="4" w:space="0"/>
              <w:right w:val="single" w:color="auto" w:sz="4" w:space="0"/>
            </w:tcBorders>
          </w:tcPr>
          <w:p w14:paraId="5FDE1CC3">
            <w:pPr>
              <w:jc w:val="both"/>
              <w:rPr>
                <w:rFonts w:hint="eastAsia" w:ascii="等线" w:hAnsi="等线" w:eastAsia="等线" w:cs="等线"/>
                <w:sz w:val="20"/>
                <w:szCs w:val="20"/>
                <w:highlight w:val="none"/>
              </w:rPr>
            </w:pPr>
            <w:r>
              <w:rPr>
                <w:rFonts w:hint="eastAsia" w:ascii="等线" w:hAnsi="等线" w:eastAsia="等线" w:cs="等线"/>
                <w:kern w:val="2"/>
                <w:sz w:val="20"/>
                <w:szCs w:val="20"/>
                <w:highlight w:val="none"/>
                <w14:ligatures w14:val="standardContextual"/>
              </w:rPr>
              <w:t>LAB、ITC、飞达、珠江或同档次及以上</w:t>
            </w:r>
          </w:p>
        </w:tc>
      </w:tr>
      <w:tr w14:paraId="49E8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D1CE00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37CAF84F">
            <w:pPr>
              <w:jc w:val="both"/>
              <w:rPr>
                <w:rFonts w:hint="eastAsia" w:ascii="等线" w:hAnsi="等线" w:eastAsia="等线" w:cs="Times New Roman"/>
                <w:b/>
                <w:bCs/>
                <w:sz w:val="20"/>
                <w:szCs w:val="20"/>
                <w:highlight w:val="none"/>
              </w:rPr>
            </w:pPr>
            <w:r>
              <w:rPr>
                <w:rFonts w:hint="eastAsia" w:ascii="等线" w:hAnsi="等线" w:eastAsia="等线" w:cs="Times New Roman"/>
                <w:b/>
                <w:bCs/>
                <w:kern w:val="2"/>
                <w:sz w:val="20"/>
                <w:szCs w:val="20"/>
                <w:highlight w:val="none"/>
                <w14:ligatures w14:val="standardContextual"/>
              </w:rPr>
              <w:t>其他</w:t>
            </w:r>
          </w:p>
        </w:tc>
        <w:tc>
          <w:tcPr>
            <w:tcW w:w="5880" w:type="dxa"/>
            <w:tcBorders>
              <w:top w:val="single" w:color="auto" w:sz="4" w:space="0"/>
              <w:left w:val="single" w:color="auto" w:sz="4" w:space="0"/>
              <w:bottom w:val="single" w:color="auto" w:sz="4" w:space="0"/>
              <w:right w:val="single" w:color="auto" w:sz="4" w:space="0"/>
            </w:tcBorders>
          </w:tcPr>
          <w:p w14:paraId="00A4B609">
            <w:pPr>
              <w:widowControl w:val="0"/>
              <w:jc w:val="both"/>
              <w:rPr>
                <w:rFonts w:hint="eastAsia" w:ascii="等线" w:hAnsi="等线" w:eastAsia="等线" w:cs="等线"/>
                <w:kern w:val="2"/>
                <w:sz w:val="20"/>
                <w:szCs w:val="20"/>
                <w:highlight w:val="none"/>
                <w14:ligatures w14:val="standardContextual"/>
              </w:rPr>
            </w:pPr>
          </w:p>
        </w:tc>
      </w:tr>
      <w:tr w14:paraId="5E65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A49B83B">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92D9FAE">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电源时序器</w:t>
            </w:r>
          </w:p>
        </w:tc>
        <w:tc>
          <w:tcPr>
            <w:tcW w:w="5880" w:type="dxa"/>
            <w:tcBorders>
              <w:top w:val="single" w:color="auto" w:sz="4" w:space="0"/>
              <w:left w:val="single" w:color="auto" w:sz="4" w:space="0"/>
              <w:bottom w:val="single" w:color="auto" w:sz="4" w:space="0"/>
              <w:right w:val="single" w:color="auto" w:sz="4" w:space="0"/>
            </w:tcBorders>
            <w:vAlign w:val="center"/>
          </w:tcPr>
          <w:p w14:paraId="56538D6F">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QEMINI、TAIDEN台电、MediaComm美凯或同档次及以上</w:t>
            </w:r>
          </w:p>
        </w:tc>
      </w:tr>
      <w:tr w14:paraId="0B6E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E234697">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A58162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千兆网络交换机</w:t>
            </w:r>
          </w:p>
        </w:tc>
        <w:tc>
          <w:tcPr>
            <w:tcW w:w="5880" w:type="dxa"/>
            <w:tcBorders>
              <w:top w:val="single" w:color="auto" w:sz="4" w:space="0"/>
              <w:left w:val="single" w:color="auto" w:sz="4" w:space="0"/>
              <w:bottom w:val="single" w:color="auto" w:sz="4" w:space="0"/>
              <w:right w:val="single" w:color="auto" w:sz="4" w:space="0"/>
            </w:tcBorders>
            <w:vAlign w:val="center"/>
          </w:tcPr>
          <w:p w14:paraId="105797FD">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华为、H3C、中兴或同档次及以上</w:t>
            </w:r>
          </w:p>
        </w:tc>
      </w:tr>
      <w:tr w14:paraId="5EF3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8E4D5F0">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六</w:t>
            </w:r>
          </w:p>
        </w:tc>
        <w:tc>
          <w:tcPr>
            <w:tcW w:w="2500" w:type="dxa"/>
            <w:tcBorders>
              <w:top w:val="single" w:color="auto" w:sz="4" w:space="0"/>
              <w:left w:val="single" w:color="auto" w:sz="4" w:space="0"/>
              <w:bottom w:val="single" w:color="auto" w:sz="4" w:space="0"/>
              <w:right w:val="single" w:color="auto" w:sz="4" w:space="0"/>
            </w:tcBorders>
          </w:tcPr>
          <w:p w14:paraId="6DF02F67">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多媒体会议管理系统</w:t>
            </w:r>
          </w:p>
        </w:tc>
        <w:tc>
          <w:tcPr>
            <w:tcW w:w="5880" w:type="dxa"/>
            <w:tcBorders>
              <w:top w:val="single" w:color="auto" w:sz="4" w:space="0"/>
              <w:left w:val="single" w:color="auto" w:sz="4" w:space="0"/>
              <w:bottom w:val="single" w:color="auto" w:sz="4" w:space="0"/>
              <w:right w:val="single" w:color="auto" w:sz="4" w:space="0"/>
            </w:tcBorders>
          </w:tcPr>
          <w:p w14:paraId="32576CBE">
            <w:pPr>
              <w:widowControl w:val="0"/>
              <w:jc w:val="both"/>
              <w:rPr>
                <w:rFonts w:hint="eastAsia" w:ascii="等线" w:hAnsi="等线" w:eastAsia="等线" w:cs="等线"/>
                <w:kern w:val="2"/>
                <w:sz w:val="20"/>
                <w:szCs w:val="20"/>
                <w:highlight w:val="none"/>
                <w14:ligatures w14:val="standardContextual"/>
              </w:rPr>
            </w:pPr>
          </w:p>
        </w:tc>
      </w:tr>
      <w:tr w14:paraId="555B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F4C9683">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7836EF6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服务器</w:t>
            </w:r>
          </w:p>
        </w:tc>
        <w:tc>
          <w:tcPr>
            <w:tcW w:w="5880" w:type="dxa"/>
            <w:tcBorders>
              <w:top w:val="single" w:color="auto" w:sz="4" w:space="0"/>
              <w:left w:val="single" w:color="auto" w:sz="4" w:space="0"/>
              <w:bottom w:val="single" w:color="auto" w:sz="4" w:space="0"/>
              <w:right w:val="single" w:color="auto" w:sz="4" w:space="0"/>
            </w:tcBorders>
            <w:vAlign w:val="center"/>
          </w:tcPr>
          <w:p w14:paraId="6E8A93F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sz w:val="20"/>
                <w:szCs w:val="20"/>
                <w:highlight w:val="none"/>
              </w:rPr>
              <w:t>NAVIoT、</w:t>
            </w:r>
            <w:r>
              <w:rPr>
                <w:rFonts w:hint="eastAsia" w:ascii="等线" w:hAnsi="等线" w:eastAsia="等线" w:cs="等线"/>
                <w:kern w:val="2"/>
                <w:sz w:val="20"/>
                <w:szCs w:val="20"/>
                <w:highlight w:val="none"/>
                <w14:ligatures w14:val="standardContextual"/>
              </w:rPr>
              <w:t>ITC、LOTFUN、</w:t>
            </w:r>
            <w:r>
              <w:rPr>
                <w:rFonts w:hint="eastAsia" w:ascii="等线" w:hAnsi="等线" w:eastAsia="等线" w:cs="等线"/>
                <w:sz w:val="20"/>
                <w:szCs w:val="20"/>
                <w:highlight w:val="none"/>
              </w:rPr>
              <w:t>晶安信达、凌猫科技</w:t>
            </w:r>
            <w:r>
              <w:rPr>
                <w:rFonts w:hint="eastAsia" w:ascii="等线" w:hAnsi="等线" w:eastAsia="等线" w:cs="等线"/>
                <w:kern w:val="2"/>
                <w:sz w:val="20"/>
                <w:szCs w:val="20"/>
                <w:highlight w:val="none"/>
                <w14:ligatures w14:val="standardContextual"/>
              </w:rPr>
              <w:t>同档次及以上</w:t>
            </w:r>
          </w:p>
        </w:tc>
      </w:tr>
      <w:tr w14:paraId="6870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5D60FA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02357EE">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15.6寸会议触控引导屏</w:t>
            </w:r>
          </w:p>
        </w:tc>
        <w:tc>
          <w:tcPr>
            <w:tcW w:w="5880" w:type="dxa"/>
            <w:tcBorders>
              <w:top w:val="single" w:color="auto" w:sz="4" w:space="0"/>
              <w:left w:val="single" w:color="auto" w:sz="4" w:space="0"/>
              <w:bottom w:val="single" w:color="auto" w:sz="4" w:space="0"/>
              <w:right w:val="single" w:color="auto" w:sz="4" w:space="0"/>
            </w:tcBorders>
            <w:vAlign w:val="center"/>
          </w:tcPr>
          <w:p w14:paraId="06F10C4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5B72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ED7E91A">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7C166C99">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会议预定软件</w:t>
            </w:r>
          </w:p>
        </w:tc>
        <w:tc>
          <w:tcPr>
            <w:tcW w:w="5880" w:type="dxa"/>
            <w:tcBorders>
              <w:top w:val="single" w:color="auto" w:sz="4" w:space="0"/>
              <w:left w:val="single" w:color="auto" w:sz="4" w:space="0"/>
              <w:bottom w:val="single" w:color="auto" w:sz="4" w:space="0"/>
              <w:right w:val="single" w:color="auto" w:sz="4" w:space="0"/>
            </w:tcBorders>
            <w:vAlign w:val="center"/>
          </w:tcPr>
          <w:p w14:paraId="035127D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sz w:val="20"/>
                <w:szCs w:val="20"/>
                <w:highlight w:val="none"/>
              </w:rPr>
              <w:t>NAVIoT、</w:t>
            </w:r>
            <w:r>
              <w:rPr>
                <w:rFonts w:hint="eastAsia" w:ascii="等线" w:hAnsi="等线" w:eastAsia="等线" w:cs="等线"/>
                <w:kern w:val="2"/>
                <w:sz w:val="20"/>
                <w:szCs w:val="20"/>
                <w:highlight w:val="none"/>
                <w14:ligatures w14:val="standardContextual"/>
              </w:rPr>
              <w:t>ITC、LOTFUN、</w:t>
            </w:r>
            <w:r>
              <w:rPr>
                <w:rFonts w:hint="eastAsia" w:ascii="等线" w:hAnsi="等线" w:eastAsia="等线" w:cs="等线"/>
                <w:sz w:val="20"/>
                <w:szCs w:val="20"/>
                <w:highlight w:val="none"/>
              </w:rPr>
              <w:t>晶安信达、凌猫科技</w:t>
            </w:r>
            <w:r>
              <w:rPr>
                <w:rFonts w:hint="eastAsia" w:ascii="等线" w:hAnsi="等线" w:eastAsia="等线" w:cs="等线"/>
                <w:kern w:val="2"/>
                <w:sz w:val="20"/>
                <w:szCs w:val="20"/>
                <w:highlight w:val="none"/>
                <w14:ligatures w14:val="standardContextual"/>
              </w:rPr>
              <w:t>同档次及以上</w:t>
            </w:r>
          </w:p>
        </w:tc>
      </w:tr>
      <w:tr w14:paraId="647C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33ADF6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4499702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统一多媒体显控平台</w:t>
            </w:r>
          </w:p>
        </w:tc>
        <w:tc>
          <w:tcPr>
            <w:tcW w:w="5880" w:type="dxa"/>
            <w:tcBorders>
              <w:top w:val="single" w:color="auto" w:sz="4" w:space="0"/>
              <w:left w:val="single" w:color="auto" w:sz="4" w:space="0"/>
              <w:bottom w:val="single" w:color="auto" w:sz="4" w:space="0"/>
              <w:right w:val="single" w:color="auto" w:sz="4" w:space="0"/>
            </w:tcBorders>
            <w:vAlign w:val="center"/>
          </w:tcPr>
          <w:p w14:paraId="4D7033B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sz w:val="20"/>
                <w:szCs w:val="20"/>
                <w:highlight w:val="none"/>
              </w:rPr>
              <w:t>NAVIoT、</w:t>
            </w:r>
            <w:r>
              <w:rPr>
                <w:rFonts w:hint="eastAsia" w:ascii="等线" w:hAnsi="等线" w:eastAsia="等线" w:cs="等线"/>
                <w:kern w:val="2"/>
                <w:sz w:val="20"/>
                <w:szCs w:val="20"/>
                <w:highlight w:val="none"/>
                <w14:ligatures w14:val="standardContextual"/>
              </w:rPr>
              <w:t>ITC、LOTFUN、</w:t>
            </w:r>
            <w:r>
              <w:rPr>
                <w:rFonts w:hint="eastAsia" w:ascii="等线" w:hAnsi="等线" w:eastAsia="等线" w:cs="等线"/>
                <w:sz w:val="20"/>
                <w:szCs w:val="20"/>
                <w:highlight w:val="none"/>
              </w:rPr>
              <w:t>晶安信达、凌猫科技</w:t>
            </w:r>
            <w:r>
              <w:rPr>
                <w:rFonts w:hint="eastAsia" w:ascii="等线" w:hAnsi="等线" w:eastAsia="等线" w:cs="等线"/>
                <w:kern w:val="2"/>
                <w:sz w:val="20"/>
                <w:szCs w:val="20"/>
                <w:highlight w:val="none"/>
                <w14:ligatures w14:val="standardContextual"/>
              </w:rPr>
              <w:t>同档次及以上</w:t>
            </w:r>
          </w:p>
        </w:tc>
      </w:tr>
      <w:tr w14:paraId="6EDE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EEF5A0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F5D1855">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会议门禁</w:t>
            </w:r>
          </w:p>
        </w:tc>
        <w:tc>
          <w:tcPr>
            <w:tcW w:w="5880" w:type="dxa"/>
            <w:tcBorders>
              <w:top w:val="single" w:color="auto" w:sz="4" w:space="0"/>
              <w:left w:val="single" w:color="auto" w:sz="4" w:space="0"/>
              <w:bottom w:val="single" w:color="auto" w:sz="4" w:space="0"/>
              <w:right w:val="single" w:color="auto" w:sz="4" w:space="0"/>
            </w:tcBorders>
            <w:vAlign w:val="center"/>
          </w:tcPr>
          <w:p w14:paraId="017B364C">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15CE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E605AFC">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018F6EB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客户端授权</w:t>
            </w:r>
          </w:p>
        </w:tc>
        <w:tc>
          <w:tcPr>
            <w:tcW w:w="5880" w:type="dxa"/>
            <w:tcBorders>
              <w:top w:val="single" w:color="auto" w:sz="4" w:space="0"/>
              <w:left w:val="single" w:color="auto" w:sz="4" w:space="0"/>
              <w:bottom w:val="single" w:color="auto" w:sz="4" w:space="0"/>
              <w:right w:val="single" w:color="auto" w:sz="4" w:space="0"/>
            </w:tcBorders>
            <w:vAlign w:val="center"/>
          </w:tcPr>
          <w:p w14:paraId="7696E4A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sz w:val="20"/>
                <w:szCs w:val="20"/>
                <w:highlight w:val="none"/>
              </w:rPr>
              <w:t>NAVIoT、</w:t>
            </w:r>
            <w:r>
              <w:rPr>
                <w:rFonts w:hint="eastAsia" w:ascii="等线" w:hAnsi="等线" w:eastAsia="等线" w:cs="等线"/>
                <w:kern w:val="2"/>
                <w:sz w:val="20"/>
                <w:szCs w:val="20"/>
                <w:highlight w:val="none"/>
                <w14:ligatures w14:val="standardContextual"/>
              </w:rPr>
              <w:t>ITC、LOTFUN、</w:t>
            </w:r>
            <w:r>
              <w:rPr>
                <w:rFonts w:hint="eastAsia" w:ascii="等线" w:hAnsi="等线" w:eastAsia="等线" w:cs="等线"/>
                <w:sz w:val="20"/>
                <w:szCs w:val="20"/>
                <w:highlight w:val="none"/>
              </w:rPr>
              <w:t>晶安信达、凌猫科技</w:t>
            </w:r>
            <w:r>
              <w:rPr>
                <w:rFonts w:hint="eastAsia" w:ascii="等线" w:hAnsi="等线" w:eastAsia="等线" w:cs="等线"/>
                <w:kern w:val="2"/>
                <w:sz w:val="20"/>
                <w:szCs w:val="20"/>
                <w:highlight w:val="none"/>
                <w14:ligatures w14:val="standardContextual"/>
              </w:rPr>
              <w:t>同档次及以上</w:t>
            </w:r>
          </w:p>
        </w:tc>
      </w:tr>
      <w:tr w14:paraId="21F1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7798AB8">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七</w:t>
            </w:r>
          </w:p>
        </w:tc>
        <w:tc>
          <w:tcPr>
            <w:tcW w:w="2500" w:type="dxa"/>
            <w:tcBorders>
              <w:top w:val="single" w:color="auto" w:sz="4" w:space="0"/>
              <w:left w:val="single" w:color="auto" w:sz="4" w:space="0"/>
              <w:bottom w:val="single" w:color="auto" w:sz="4" w:space="0"/>
              <w:right w:val="single" w:color="auto" w:sz="4" w:space="0"/>
            </w:tcBorders>
          </w:tcPr>
          <w:p w14:paraId="4CCB980C">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安保集成平台</w:t>
            </w:r>
          </w:p>
        </w:tc>
        <w:tc>
          <w:tcPr>
            <w:tcW w:w="5880" w:type="dxa"/>
            <w:tcBorders>
              <w:top w:val="single" w:color="auto" w:sz="4" w:space="0"/>
              <w:left w:val="single" w:color="auto" w:sz="4" w:space="0"/>
              <w:bottom w:val="single" w:color="auto" w:sz="4" w:space="0"/>
              <w:right w:val="single" w:color="auto" w:sz="4" w:space="0"/>
            </w:tcBorders>
          </w:tcPr>
          <w:p w14:paraId="3994F115">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海康威视、大华、宇视或同档次及以上</w:t>
            </w:r>
          </w:p>
        </w:tc>
      </w:tr>
      <w:tr w14:paraId="3DAE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81FE65D">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八</w:t>
            </w:r>
          </w:p>
        </w:tc>
        <w:tc>
          <w:tcPr>
            <w:tcW w:w="2500" w:type="dxa"/>
            <w:tcBorders>
              <w:top w:val="single" w:color="auto" w:sz="4" w:space="0"/>
              <w:left w:val="single" w:color="auto" w:sz="4" w:space="0"/>
              <w:bottom w:val="single" w:color="auto" w:sz="4" w:space="0"/>
              <w:right w:val="single" w:color="auto" w:sz="4" w:space="0"/>
            </w:tcBorders>
          </w:tcPr>
          <w:p w14:paraId="0AD55DB2">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视频监控系统</w:t>
            </w:r>
          </w:p>
        </w:tc>
        <w:tc>
          <w:tcPr>
            <w:tcW w:w="5880" w:type="dxa"/>
            <w:tcBorders>
              <w:top w:val="single" w:color="auto" w:sz="4" w:space="0"/>
              <w:left w:val="single" w:color="auto" w:sz="4" w:space="0"/>
              <w:bottom w:val="single" w:color="auto" w:sz="4" w:space="0"/>
              <w:right w:val="single" w:color="auto" w:sz="4" w:space="0"/>
            </w:tcBorders>
          </w:tcPr>
          <w:p w14:paraId="36783C5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海康威视、大华、宇视或同档次及以上</w:t>
            </w:r>
          </w:p>
        </w:tc>
      </w:tr>
      <w:tr w14:paraId="098B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CD25225">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九</w:t>
            </w:r>
          </w:p>
        </w:tc>
        <w:tc>
          <w:tcPr>
            <w:tcW w:w="2500" w:type="dxa"/>
            <w:tcBorders>
              <w:top w:val="single" w:color="auto" w:sz="4" w:space="0"/>
              <w:left w:val="single" w:color="auto" w:sz="4" w:space="0"/>
              <w:bottom w:val="single" w:color="auto" w:sz="4" w:space="0"/>
              <w:right w:val="single" w:color="auto" w:sz="4" w:space="0"/>
            </w:tcBorders>
          </w:tcPr>
          <w:p w14:paraId="2BA65D37">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入侵报警系统</w:t>
            </w:r>
          </w:p>
        </w:tc>
        <w:tc>
          <w:tcPr>
            <w:tcW w:w="5880" w:type="dxa"/>
            <w:tcBorders>
              <w:top w:val="single" w:color="auto" w:sz="4" w:space="0"/>
              <w:left w:val="single" w:color="auto" w:sz="4" w:space="0"/>
              <w:bottom w:val="single" w:color="auto" w:sz="4" w:space="0"/>
              <w:right w:val="single" w:color="auto" w:sz="4" w:space="0"/>
            </w:tcBorders>
          </w:tcPr>
          <w:p w14:paraId="2852BF8E">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海康威视、大华、宇视或同档次及以上</w:t>
            </w:r>
          </w:p>
        </w:tc>
      </w:tr>
      <w:tr w14:paraId="1E90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370744D">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w:t>
            </w:r>
          </w:p>
        </w:tc>
        <w:tc>
          <w:tcPr>
            <w:tcW w:w="2500" w:type="dxa"/>
            <w:tcBorders>
              <w:top w:val="single" w:color="auto" w:sz="4" w:space="0"/>
              <w:left w:val="single" w:color="auto" w:sz="4" w:space="0"/>
              <w:bottom w:val="single" w:color="auto" w:sz="4" w:space="0"/>
              <w:right w:val="single" w:color="auto" w:sz="4" w:space="0"/>
            </w:tcBorders>
          </w:tcPr>
          <w:p w14:paraId="4C2A95AC">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无线对讲系统</w:t>
            </w:r>
          </w:p>
        </w:tc>
        <w:tc>
          <w:tcPr>
            <w:tcW w:w="5880" w:type="dxa"/>
            <w:tcBorders>
              <w:top w:val="single" w:color="auto" w:sz="4" w:space="0"/>
              <w:left w:val="single" w:color="auto" w:sz="4" w:space="0"/>
              <w:bottom w:val="single" w:color="auto" w:sz="4" w:space="0"/>
              <w:right w:val="single" w:color="auto" w:sz="4" w:space="0"/>
            </w:tcBorders>
          </w:tcPr>
          <w:p w14:paraId="18BCD050">
            <w:pPr>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摩托罗拉、海能达、建伍或同档次及以上</w:t>
            </w:r>
          </w:p>
        </w:tc>
      </w:tr>
      <w:tr w14:paraId="6B62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FB2582D">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十一</w:t>
            </w:r>
          </w:p>
        </w:tc>
        <w:tc>
          <w:tcPr>
            <w:tcW w:w="2500" w:type="dxa"/>
            <w:tcBorders>
              <w:top w:val="single" w:color="auto" w:sz="4" w:space="0"/>
              <w:left w:val="single" w:color="auto" w:sz="4" w:space="0"/>
              <w:bottom w:val="single" w:color="auto" w:sz="4" w:space="0"/>
              <w:right w:val="single" w:color="auto" w:sz="4" w:space="0"/>
            </w:tcBorders>
          </w:tcPr>
          <w:p w14:paraId="17ED82C7">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电子巡更系统</w:t>
            </w:r>
          </w:p>
        </w:tc>
        <w:tc>
          <w:tcPr>
            <w:tcW w:w="5880" w:type="dxa"/>
            <w:tcBorders>
              <w:top w:val="single" w:color="auto" w:sz="4" w:space="0"/>
              <w:left w:val="single" w:color="auto" w:sz="4" w:space="0"/>
              <w:bottom w:val="single" w:color="auto" w:sz="4" w:space="0"/>
              <w:right w:val="single" w:color="auto" w:sz="4" w:space="0"/>
            </w:tcBorders>
          </w:tcPr>
          <w:p w14:paraId="0DBECA4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兰德华、蓝卡、格瑞特或同档次及以上</w:t>
            </w:r>
          </w:p>
        </w:tc>
      </w:tr>
      <w:tr w14:paraId="0EE1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FAA783E">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十二</w:t>
            </w:r>
          </w:p>
        </w:tc>
        <w:tc>
          <w:tcPr>
            <w:tcW w:w="2500" w:type="dxa"/>
            <w:tcBorders>
              <w:top w:val="single" w:color="auto" w:sz="4" w:space="0"/>
              <w:left w:val="single" w:color="auto" w:sz="4" w:space="0"/>
              <w:bottom w:val="single" w:color="auto" w:sz="4" w:space="0"/>
              <w:right w:val="single" w:color="auto" w:sz="4" w:space="0"/>
            </w:tcBorders>
          </w:tcPr>
          <w:p w14:paraId="39D3BEE9">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停车场管理系统</w:t>
            </w:r>
          </w:p>
        </w:tc>
        <w:tc>
          <w:tcPr>
            <w:tcW w:w="5880" w:type="dxa"/>
            <w:tcBorders>
              <w:top w:val="single" w:color="auto" w:sz="4" w:space="0"/>
              <w:left w:val="single" w:color="auto" w:sz="4" w:space="0"/>
              <w:bottom w:val="single" w:color="auto" w:sz="4" w:space="0"/>
              <w:right w:val="single" w:color="auto" w:sz="4" w:space="0"/>
            </w:tcBorders>
          </w:tcPr>
          <w:p w14:paraId="0B4FC91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海康威视、大华、宇视或同档次及以上</w:t>
            </w:r>
          </w:p>
        </w:tc>
      </w:tr>
      <w:tr w14:paraId="2BA1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F42384F">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十三</w:t>
            </w:r>
          </w:p>
        </w:tc>
        <w:tc>
          <w:tcPr>
            <w:tcW w:w="2500" w:type="dxa"/>
            <w:tcBorders>
              <w:top w:val="single" w:color="auto" w:sz="4" w:space="0"/>
              <w:left w:val="single" w:color="auto" w:sz="4" w:space="0"/>
              <w:bottom w:val="single" w:color="auto" w:sz="4" w:space="0"/>
              <w:right w:val="single" w:color="auto" w:sz="4" w:space="0"/>
            </w:tcBorders>
          </w:tcPr>
          <w:p w14:paraId="5A771C2B">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智能一卡通系统</w:t>
            </w:r>
          </w:p>
        </w:tc>
        <w:tc>
          <w:tcPr>
            <w:tcW w:w="5880" w:type="dxa"/>
            <w:tcBorders>
              <w:top w:val="single" w:color="auto" w:sz="4" w:space="0"/>
              <w:left w:val="single" w:color="auto" w:sz="4" w:space="0"/>
              <w:bottom w:val="single" w:color="auto" w:sz="4" w:space="0"/>
              <w:right w:val="single" w:color="auto" w:sz="4" w:space="0"/>
            </w:tcBorders>
          </w:tcPr>
          <w:p w14:paraId="2680860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海康威视、大华、宇视或同档次及以上</w:t>
            </w:r>
          </w:p>
        </w:tc>
      </w:tr>
      <w:tr w14:paraId="5FB7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94AB54F">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十四</w:t>
            </w:r>
          </w:p>
        </w:tc>
        <w:tc>
          <w:tcPr>
            <w:tcW w:w="2500" w:type="dxa"/>
            <w:tcBorders>
              <w:top w:val="single" w:color="auto" w:sz="4" w:space="0"/>
              <w:left w:val="single" w:color="auto" w:sz="4" w:space="0"/>
              <w:bottom w:val="single" w:color="auto" w:sz="4" w:space="0"/>
              <w:right w:val="single" w:color="auto" w:sz="4" w:space="0"/>
            </w:tcBorders>
          </w:tcPr>
          <w:p w14:paraId="721A883D">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楼宇自控系统</w:t>
            </w:r>
          </w:p>
        </w:tc>
        <w:tc>
          <w:tcPr>
            <w:tcW w:w="5880" w:type="dxa"/>
            <w:tcBorders>
              <w:top w:val="single" w:color="auto" w:sz="4" w:space="0"/>
              <w:left w:val="single" w:color="auto" w:sz="4" w:space="0"/>
              <w:bottom w:val="single" w:color="auto" w:sz="4" w:space="0"/>
              <w:right w:val="single" w:color="auto" w:sz="4" w:space="0"/>
            </w:tcBorders>
          </w:tcPr>
          <w:p w14:paraId="7EE9859E">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中控信息、上海源控、保瑞自控或同档次及以上</w:t>
            </w:r>
          </w:p>
        </w:tc>
      </w:tr>
      <w:tr w14:paraId="78D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59" w:type="dxa"/>
            <w:tcBorders>
              <w:top w:val="single" w:color="auto" w:sz="4" w:space="0"/>
              <w:left w:val="single" w:color="auto" w:sz="4" w:space="0"/>
              <w:bottom w:val="single" w:color="auto" w:sz="4" w:space="0"/>
              <w:right w:val="single" w:color="auto" w:sz="4" w:space="0"/>
            </w:tcBorders>
          </w:tcPr>
          <w:p w14:paraId="2D7910AE">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十五</w:t>
            </w:r>
          </w:p>
        </w:tc>
        <w:tc>
          <w:tcPr>
            <w:tcW w:w="2500" w:type="dxa"/>
            <w:tcBorders>
              <w:top w:val="single" w:color="auto" w:sz="4" w:space="0"/>
              <w:left w:val="single" w:color="auto" w:sz="4" w:space="0"/>
              <w:bottom w:val="single" w:color="auto" w:sz="4" w:space="0"/>
              <w:right w:val="single" w:color="auto" w:sz="4" w:space="0"/>
            </w:tcBorders>
          </w:tcPr>
          <w:p w14:paraId="1881B8EE">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能源管理系统</w:t>
            </w:r>
          </w:p>
        </w:tc>
        <w:tc>
          <w:tcPr>
            <w:tcW w:w="5880" w:type="dxa"/>
            <w:tcBorders>
              <w:top w:val="single" w:color="auto" w:sz="4" w:space="0"/>
              <w:left w:val="single" w:color="auto" w:sz="4" w:space="0"/>
              <w:bottom w:val="single" w:color="auto" w:sz="4" w:space="0"/>
              <w:right w:val="single" w:color="auto" w:sz="4" w:space="0"/>
            </w:tcBorders>
          </w:tcPr>
          <w:p w14:paraId="43A05482">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color w:val="auto"/>
                <w:kern w:val="2"/>
                <w:sz w:val="20"/>
                <w:szCs w:val="20"/>
                <w:highlight w:val="none"/>
                <w14:ligatures w14:val="standardContextual"/>
              </w:rPr>
              <w:t>同方泰德、上海源控、保瑞自控</w:t>
            </w:r>
            <w:r>
              <w:rPr>
                <w:rFonts w:hint="eastAsia" w:ascii="等线" w:hAnsi="等线" w:eastAsia="等线" w:cs="等线"/>
                <w:kern w:val="2"/>
                <w:sz w:val="20"/>
                <w:szCs w:val="20"/>
                <w:highlight w:val="none"/>
                <w14:ligatures w14:val="standardContextual"/>
              </w:rPr>
              <w:t>或同档次及以上</w:t>
            </w:r>
          </w:p>
        </w:tc>
      </w:tr>
      <w:tr w14:paraId="0AAB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4B9D9B3">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十六</w:t>
            </w:r>
          </w:p>
        </w:tc>
        <w:tc>
          <w:tcPr>
            <w:tcW w:w="2500" w:type="dxa"/>
            <w:tcBorders>
              <w:top w:val="single" w:color="auto" w:sz="4" w:space="0"/>
              <w:left w:val="single" w:color="auto" w:sz="4" w:space="0"/>
              <w:bottom w:val="single" w:color="auto" w:sz="4" w:space="0"/>
              <w:right w:val="single" w:color="auto" w:sz="4" w:space="0"/>
            </w:tcBorders>
          </w:tcPr>
          <w:p w14:paraId="48E19C17">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电梯五方通话系统</w:t>
            </w:r>
          </w:p>
        </w:tc>
        <w:tc>
          <w:tcPr>
            <w:tcW w:w="5880" w:type="dxa"/>
            <w:tcBorders>
              <w:top w:val="single" w:color="auto" w:sz="4" w:space="0"/>
              <w:left w:val="single" w:color="auto" w:sz="4" w:space="0"/>
              <w:bottom w:val="single" w:color="auto" w:sz="4" w:space="0"/>
              <w:right w:val="single" w:color="auto" w:sz="4" w:space="0"/>
            </w:tcBorders>
          </w:tcPr>
          <w:p w14:paraId="122E060F">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一舟、普天天纪、清华同方或同档次及以上</w:t>
            </w:r>
          </w:p>
        </w:tc>
      </w:tr>
      <w:tr w14:paraId="2A11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459DBE7">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十七</w:t>
            </w:r>
          </w:p>
        </w:tc>
        <w:tc>
          <w:tcPr>
            <w:tcW w:w="2500" w:type="dxa"/>
            <w:tcBorders>
              <w:top w:val="single" w:color="auto" w:sz="4" w:space="0"/>
              <w:left w:val="single" w:color="auto" w:sz="4" w:space="0"/>
              <w:bottom w:val="single" w:color="auto" w:sz="4" w:space="0"/>
              <w:right w:val="single" w:color="auto" w:sz="4" w:space="0"/>
            </w:tcBorders>
          </w:tcPr>
          <w:p w14:paraId="66561A16">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机房工程</w:t>
            </w:r>
          </w:p>
        </w:tc>
        <w:tc>
          <w:tcPr>
            <w:tcW w:w="5880" w:type="dxa"/>
            <w:tcBorders>
              <w:top w:val="single" w:color="auto" w:sz="4" w:space="0"/>
              <w:left w:val="single" w:color="auto" w:sz="4" w:space="0"/>
              <w:bottom w:val="single" w:color="auto" w:sz="4" w:space="0"/>
              <w:right w:val="single" w:color="auto" w:sz="4" w:space="0"/>
            </w:tcBorders>
          </w:tcPr>
          <w:p w14:paraId="1033B0C9">
            <w:pPr>
              <w:widowControl w:val="0"/>
              <w:jc w:val="both"/>
              <w:rPr>
                <w:rFonts w:hint="eastAsia" w:ascii="等线" w:hAnsi="等线" w:eastAsia="等线" w:cs="等线"/>
                <w:kern w:val="2"/>
                <w:sz w:val="20"/>
                <w:szCs w:val="20"/>
                <w:highlight w:val="none"/>
                <w14:ligatures w14:val="standardContextual"/>
              </w:rPr>
            </w:pPr>
          </w:p>
        </w:tc>
      </w:tr>
      <w:tr w14:paraId="356A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7F1C1B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60A0EE48">
            <w:pPr>
              <w:widowControl w:val="0"/>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UPS</w:t>
            </w:r>
          </w:p>
        </w:tc>
        <w:tc>
          <w:tcPr>
            <w:tcW w:w="5880" w:type="dxa"/>
            <w:tcBorders>
              <w:top w:val="single" w:color="auto" w:sz="4" w:space="0"/>
              <w:left w:val="single" w:color="auto" w:sz="4" w:space="0"/>
              <w:bottom w:val="single" w:color="auto" w:sz="4" w:space="0"/>
              <w:right w:val="single" w:color="auto" w:sz="4" w:space="0"/>
            </w:tcBorders>
          </w:tcPr>
          <w:p w14:paraId="18E21C78">
            <w:pPr>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约顿、维基、施耐德或同档次及以上</w:t>
            </w:r>
          </w:p>
        </w:tc>
      </w:tr>
      <w:tr w14:paraId="3145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3E0DF7B">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44EA4C46">
            <w:pPr>
              <w:widowControl w:val="0"/>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蓄电池</w:t>
            </w:r>
          </w:p>
        </w:tc>
        <w:tc>
          <w:tcPr>
            <w:tcW w:w="5880" w:type="dxa"/>
            <w:tcBorders>
              <w:top w:val="single" w:color="auto" w:sz="4" w:space="0"/>
              <w:left w:val="single" w:color="auto" w:sz="4" w:space="0"/>
              <w:bottom w:val="single" w:color="auto" w:sz="4" w:space="0"/>
              <w:right w:val="single" w:color="auto" w:sz="4" w:space="0"/>
            </w:tcBorders>
          </w:tcPr>
          <w:p w14:paraId="6B7CE40E">
            <w:pPr>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约顿、维基、施耐德或同档次及以上</w:t>
            </w:r>
          </w:p>
        </w:tc>
      </w:tr>
      <w:tr w14:paraId="1ACB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22E8751">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vAlign w:val="center"/>
          </w:tcPr>
          <w:p w14:paraId="2E0A2AA9">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电池柜</w:t>
            </w:r>
          </w:p>
        </w:tc>
        <w:tc>
          <w:tcPr>
            <w:tcW w:w="5880" w:type="dxa"/>
            <w:tcBorders>
              <w:top w:val="single" w:color="auto" w:sz="4" w:space="0"/>
              <w:left w:val="single" w:color="auto" w:sz="4" w:space="0"/>
              <w:bottom w:val="single" w:color="auto" w:sz="4" w:space="0"/>
              <w:right w:val="single" w:color="auto" w:sz="4" w:space="0"/>
            </w:tcBorders>
          </w:tcPr>
          <w:p w14:paraId="57134F03">
            <w:pPr>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约顿、维基、施耐德或同档次及以上</w:t>
            </w:r>
          </w:p>
        </w:tc>
      </w:tr>
      <w:tr w14:paraId="7B13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CB451FF">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十八</w:t>
            </w:r>
          </w:p>
        </w:tc>
        <w:tc>
          <w:tcPr>
            <w:tcW w:w="2500" w:type="dxa"/>
            <w:tcBorders>
              <w:top w:val="single" w:color="auto" w:sz="4" w:space="0"/>
              <w:left w:val="single" w:color="auto" w:sz="4" w:space="0"/>
              <w:bottom w:val="single" w:color="auto" w:sz="4" w:space="0"/>
              <w:right w:val="single" w:color="auto" w:sz="4" w:space="0"/>
            </w:tcBorders>
          </w:tcPr>
          <w:p w14:paraId="2CBA9095">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综合管路系统</w:t>
            </w:r>
          </w:p>
        </w:tc>
        <w:tc>
          <w:tcPr>
            <w:tcW w:w="5880" w:type="dxa"/>
            <w:tcBorders>
              <w:top w:val="single" w:color="auto" w:sz="4" w:space="0"/>
              <w:left w:val="single" w:color="auto" w:sz="4" w:space="0"/>
              <w:bottom w:val="single" w:color="auto" w:sz="4" w:space="0"/>
              <w:right w:val="single" w:color="auto" w:sz="4" w:space="0"/>
            </w:tcBorders>
          </w:tcPr>
          <w:p w14:paraId="0C49822B">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111C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0F7B679">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十九</w:t>
            </w:r>
          </w:p>
        </w:tc>
        <w:tc>
          <w:tcPr>
            <w:tcW w:w="2500" w:type="dxa"/>
            <w:tcBorders>
              <w:top w:val="single" w:color="auto" w:sz="4" w:space="0"/>
              <w:left w:val="single" w:color="auto" w:sz="4" w:space="0"/>
              <w:bottom w:val="single" w:color="auto" w:sz="4" w:space="0"/>
              <w:right w:val="single" w:color="auto" w:sz="4" w:space="0"/>
            </w:tcBorders>
          </w:tcPr>
          <w:p w14:paraId="2A1FFCE0">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智慧消安</w:t>
            </w:r>
          </w:p>
        </w:tc>
        <w:tc>
          <w:tcPr>
            <w:tcW w:w="5880" w:type="dxa"/>
            <w:tcBorders>
              <w:top w:val="single" w:color="auto" w:sz="4" w:space="0"/>
              <w:left w:val="single" w:color="auto" w:sz="4" w:space="0"/>
              <w:bottom w:val="single" w:color="auto" w:sz="4" w:space="0"/>
              <w:right w:val="single" w:color="auto" w:sz="4" w:space="0"/>
            </w:tcBorders>
          </w:tcPr>
          <w:p w14:paraId="2834EAB4">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3F9D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7082E52">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二十</w:t>
            </w:r>
          </w:p>
        </w:tc>
        <w:tc>
          <w:tcPr>
            <w:tcW w:w="2500" w:type="dxa"/>
            <w:tcBorders>
              <w:top w:val="single" w:color="auto" w:sz="4" w:space="0"/>
              <w:left w:val="single" w:color="auto" w:sz="4" w:space="0"/>
              <w:bottom w:val="single" w:color="auto" w:sz="4" w:space="0"/>
              <w:right w:val="single" w:color="auto" w:sz="4" w:space="0"/>
            </w:tcBorders>
          </w:tcPr>
          <w:p w14:paraId="2FE5B5D0">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智慧景观</w:t>
            </w:r>
          </w:p>
        </w:tc>
        <w:tc>
          <w:tcPr>
            <w:tcW w:w="5880" w:type="dxa"/>
            <w:tcBorders>
              <w:top w:val="single" w:color="auto" w:sz="4" w:space="0"/>
              <w:left w:val="single" w:color="auto" w:sz="4" w:space="0"/>
              <w:bottom w:val="single" w:color="auto" w:sz="4" w:space="0"/>
              <w:right w:val="single" w:color="auto" w:sz="4" w:space="0"/>
            </w:tcBorders>
          </w:tcPr>
          <w:p w14:paraId="1A7CC4FB">
            <w:pPr>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阳光照明、景色智慧、方大智控、尧亮或同档次及以上</w:t>
            </w:r>
          </w:p>
        </w:tc>
      </w:tr>
      <w:tr w14:paraId="25FE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AE582D3">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二十一</w:t>
            </w:r>
          </w:p>
        </w:tc>
        <w:tc>
          <w:tcPr>
            <w:tcW w:w="2500" w:type="dxa"/>
            <w:tcBorders>
              <w:top w:val="single" w:color="auto" w:sz="4" w:space="0"/>
              <w:left w:val="single" w:color="auto" w:sz="4" w:space="0"/>
              <w:bottom w:val="single" w:color="auto" w:sz="4" w:space="0"/>
              <w:right w:val="single" w:color="auto" w:sz="4" w:space="0"/>
            </w:tcBorders>
          </w:tcPr>
          <w:p w14:paraId="71D89FC2">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沉浸式智能展厅系统</w:t>
            </w:r>
          </w:p>
        </w:tc>
        <w:tc>
          <w:tcPr>
            <w:tcW w:w="5880" w:type="dxa"/>
            <w:tcBorders>
              <w:top w:val="single" w:color="auto" w:sz="4" w:space="0"/>
              <w:left w:val="single" w:color="auto" w:sz="4" w:space="0"/>
              <w:bottom w:val="single" w:color="auto" w:sz="4" w:space="0"/>
              <w:right w:val="single" w:color="auto" w:sz="4" w:space="0"/>
            </w:tcBorders>
          </w:tcPr>
          <w:p w14:paraId="1E75BDC7">
            <w:pPr>
              <w:widowControl w:val="0"/>
              <w:jc w:val="both"/>
              <w:rPr>
                <w:rFonts w:hint="eastAsia" w:ascii="等线" w:hAnsi="等线" w:eastAsia="等线" w:cs="等线"/>
                <w:kern w:val="2"/>
                <w:sz w:val="20"/>
                <w:szCs w:val="20"/>
                <w:highlight w:val="none"/>
                <w14:ligatures w14:val="standardContextual"/>
              </w:rPr>
            </w:pPr>
          </w:p>
        </w:tc>
      </w:tr>
      <w:tr w14:paraId="4C35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82ED55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27BC6751">
            <w:pPr>
              <w:widowControl w:val="0"/>
              <w:jc w:val="both"/>
              <w:rPr>
                <w:rFonts w:hint="eastAsia" w:ascii="等线" w:hAnsi="等线" w:eastAsia="等线" w:cs="Times New Roman"/>
                <w:b/>
                <w:bCs/>
                <w:kern w:val="2"/>
                <w:szCs w:val="22"/>
                <w:highlight w:val="none"/>
                <w14:ligatures w14:val="standardContextual"/>
              </w:rPr>
            </w:pPr>
            <w:r>
              <w:rPr>
                <w:rFonts w:hint="eastAsia" w:ascii="等线" w:hAnsi="等线" w:eastAsia="等线" w:cs="Times New Roman"/>
                <w:b/>
                <w:bCs/>
                <w:kern w:val="2"/>
                <w:szCs w:val="22"/>
                <w:highlight w:val="none"/>
                <w14:ligatures w14:val="standardContextual"/>
              </w:rPr>
              <w:t>显示系统</w:t>
            </w:r>
          </w:p>
        </w:tc>
        <w:tc>
          <w:tcPr>
            <w:tcW w:w="5880" w:type="dxa"/>
            <w:tcBorders>
              <w:top w:val="single" w:color="auto" w:sz="4" w:space="0"/>
              <w:left w:val="single" w:color="auto" w:sz="4" w:space="0"/>
              <w:bottom w:val="single" w:color="auto" w:sz="4" w:space="0"/>
              <w:right w:val="single" w:color="auto" w:sz="4" w:space="0"/>
            </w:tcBorders>
          </w:tcPr>
          <w:p w14:paraId="01D4650C">
            <w:pPr>
              <w:widowControl w:val="0"/>
              <w:jc w:val="both"/>
              <w:rPr>
                <w:rFonts w:hint="eastAsia" w:ascii="等线" w:hAnsi="等线" w:eastAsia="等线" w:cs="等线"/>
                <w:kern w:val="2"/>
                <w:sz w:val="20"/>
                <w:szCs w:val="20"/>
                <w:highlight w:val="none"/>
                <w14:ligatures w14:val="standardContextual"/>
              </w:rPr>
            </w:pPr>
          </w:p>
        </w:tc>
      </w:tr>
      <w:tr w14:paraId="430E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F7CD4F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6303033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沉浸式墙面屏</w:t>
            </w:r>
          </w:p>
        </w:tc>
        <w:tc>
          <w:tcPr>
            <w:tcW w:w="5880" w:type="dxa"/>
            <w:tcBorders>
              <w:top w:val="single" w:color="auto" w:sz="4" w:space="0"/>
              <w:left w:val="single" w:color="auto" w:sz="4" w:space="0"/>
              <w:bottom w:val="single" w:color="auto" w:sz="4" w:space="0"/>
              <w:right w:val="single" w:color="auto" w:sz="4" w:space="0"/>
            </w:tcBorders>
          </w:tcPr>
          <w:p w14:paraId="059F15A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三思、洲明、艾比森、利亚德或同档次及以上</w:t>
            </w:r>
          </w:p>
        </w:tc>
      </w:tr>
      <w:tr w14:paraId="16A0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1A45E7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69C9F192">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沉浸式地砖屏</w:t>
            </w:r>
          </w:p>
        </w:tc>
        <w:tc>
          <w:tcPr>
            <w:tcW w:w="5880" w:type="dxa"/>
            <w:tcBorders>
              <w:top w:val="single" w:color="auto" w:sz="4" w:space="0"/>
              <w:left w:val="single" w:color="auto" w:sz="4" w:space="0"/>
              <w:bottom w:val="single" w:color="auto" w:sz="4" w:space="0"/>
              <w:right w:val="single" w:color="auto" w:sz="4" w:space="0"/>
            </w:tcBorders>
          </w:tcPr>
          <w:p w14:paraId="03455A2A">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三思、洲明、艾比森、利亚德或同档次及以上</w:t>
            </w:r>
          </w:p>
        </w:tc>
      </w:tr>
      <w:tr w14:paraId="011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E4706DC">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75DEF378">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悬浮屏</w:t>
            </w:r>
          </w:p>
        </w:tc>
        <w:tc>
          <w:tcPr>
            <w:tcW w:w="5880" w:type="dxa"/>
            <w:tcBorders>
              <w:top w:val="single" w:color="auto" w:sz="4" w:space="0"/>
              <w:left w:val="single" w:color="auto" w:sz="4" w:space="0"/>
              <w:bottom w:val="single" w:color="auto" w:sz="4" w:space="0"/>
              <w:right w:val="single" w:color="auto" w:sz="4" w:space="0"/>
            </w:tcBorders>
          </w:tcPr>
          <w:p w14:paraId="052F42BA">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三思、洲明、艾比森、利亚德或同档次及以上</w:t>
            </w:r>
          </w:p>
        </w:tc>
      </w:tr>
      <w:tr w14:paraId="5867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033F0E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3AD6D2A">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侧面辅屏</w:t>
            </w:r>
          </w:p>
        </w:tc>
        <w:tc>
          <w:tcPr>
            <w:tcW w:w="5880" w:type="dxa"/>
            <w:tcBorders>
              <w:top w:val="single" w:color="auto" w:sz="4" w:space="0"/>
              <w:left w:val="single" w:color="auto" w:sz="4" w:space="0"/>
              <w:bottom w:val="single" w:color="auto" w:sz="4" w:space="0"/>
              <w:right w:val="single" w:color="auto" w:sz="4" w:space="0"/>
            </w:tcBorders>
          </w:tcPr>
          <w:p w14:paraId="3F41BFC8">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三思、洲明、艾比森、利亚德或同档次及以上</w:t>
            </w:r>
          </w:p>
        </w:tc>
      </w:tr>
      <w:tr w14:paraId="1C7D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CA1221C">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1CA651B5">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视频管理平台</w:t>
            </w:r>
          </w:p>
        </w:tc>
        <w:tc>
          <w:tcPr>
            <w:tcW w:w="5880" w:type="dxa"/>
            <w:tcBorders>
              <w:top w:val="single" w:color="auto" w:sz="4" w:space="0"/>
              <w:left w:val="single" w:color="auto" w:sz="4" w:space="0"/>
              <w:bottom w:val="single" w:color="auto" w:sz="4" w:space="0"/>
              <w:right w:val="single" w:color="auto" w:sz="4" w:space="0"/>
            </w:tcBorders>
          </w:tcPr>
          <w:p w14:paraId="339955CF">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三思、洲明、艾比森、利亚德或同档次及以上</w:t>
            </w:r>
          </w:p>
        </w:tc>
      </w:tr>
      <w:tr w14:paraId="438D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FCFAAB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7CD4CF25">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媒体服务器</w:t>
            </w:r>
          </w:p>
        </w:tc>
        <w:tc>
          <w:tcPr>
            <w:tcW w:w="5880" w:type="dxa"/>
            <w:tcBorders>
              <w:top w:val="single" w:color="auto" w:sz="4" w:space="0"/>
              <w:left w:val="single" w:color="auto" w:sz="4" w:space="0"/>
              <w:bottom w:val="single" w:color="auto" w:sz="4" w:space="0"/>
              <w:right w:val="single" w:color="auto" w:sz="4" w:space="0"/>
            </w:tcBorders>
          </w:tcPr>
          <w:p w14:paraId="0B1BC624">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诺瓦、凯视达或同档次及以上</w:t>
            </w:r>
          </w:p>
        </w:tc>
      </w:tr>
      <w:tr w14:paraId="4DC5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3FC4A5D">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0BD9AF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安装支架及装饰包边</w:t>
            </w:r>
          </w:p>
        </w:tc>
        <w:tc>
          <w:tcPr>
            <w:tcW w:w="5880" w:type="dxa"/>
            <w:tcBorders>
              <w:top w:val="single" w:color="auto" w:sz="4" w:space="0"/>
              <w:left w:val="single" w:color="auto" w:sz="4" w:space="0"/>
              <w:bottom w:val="single" w:color="auto" w:sz="4" w:space="0"/>
              <w:right w:val="single" w:color="auto" w:sz="4" w:space="0"/>
            </w:tcBorders>
          </w:tcPr>
          <w:p w14:paraId="14EFC78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三思、洲明、艾比森、利亚德或同档次及以上</w:t>
            </w:r>
          </w:p>
        </w:tc>
      </w:tr>
      <w:tr w14:paraId="17E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0A908B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FC00867">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配电系统</w:t>
            </w:r>
          </w:p>
        </w:tc>
        <w:tc>
          <w:tcPr>
            <w:tcW w:w="5880" w:type="dxa"/>
            <w:tcBorders>
              <w:top w:val="single" w:color="auto" w:sz="4" w:space="0"/>
              <w:left w:val="single" w:color="auto" w:sz="4" w:space="0"/>
              <w:bottom w:val="single" w:color="auto" w:sz="4" w:space="0"/>
              <w:right w:val="single" w:color="auto" w:sz="4" w:space="0"/>
            </w:tcBorders>
          </w:tcPr>
          <w:p w14:paraId="650F52E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三思、洲明、艾比森、利亚德或同档次及以上</w:t>
            </w:r>
          </w:p>
        </w:tc>
      </w:tr>
      <w:tr w14:paraId="4CD0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9DDAC9A">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28336CEF">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升降机械</w:t>
            </w:r>
          </w:p>
        </w:tc>
        <w:tc>
          <w:tcPr>
            <w:tcW w:w="5880" w:type="dxa"/>
            <w:tcBorders>
              <w:top w:val="single" w:color="auto" w:sz="4" w:space="0"/>
              <w:left w:val="single" w:color="auto" w:sz="4" w:space="0"/>
              <w:bottom w:val="single" w:color="auto" w:sz="4" w:space="0"/>
              <w:right w:val="single" w:color="auto" w:sz="4" w:space="0"/>
            </w:tcBorders>
          </w:tcPr>
          <w:p w14:paraId="57E6D042">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31A3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1037D0A">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2DE0E04B">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强弱电缆及配套设备</w:t>
            </w:r>
          </w:p>
        </w:tc>
        <w:tc>
          <w:tcPr>
            <w:tcW w:w="5880" w:type="dxa"/>
            <w:tcBorders>
              <w:top w:val="single" w:color="auto" w:sz="4" w:space="0"/>
              <w:left w:val="single" w:color="auto" w:sz="4" w:space="0"/>
              <w:bottom w:val="single" w:color="auto" w:sz="4" w:space="0"/>
              <w:right w:val="single" w:color="auto" w:sz="4" w:space="0"/>
            </w:tcBorders>
          </w:tcPr>
          <w:p w14:paraId="27097A3C">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5C4E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825AA8E">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380CE78C">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辅材</w:t>
            </w:r>
          </w:p>
        </w:tc>
        <w:tc>
          <w:tcPr>
            <w:tcW w:w="5880" w:type="dxa"/>
            <w:tcBorders>
              <w:top w:val="single" w:color="auto" w:sz="4" w:space="0"/>
              <w:left w:val="single" w:color="auto" w:sz="4" w:space="0"/>
              <w:bottom w:val="single" w:color="auto" w:sz="4" w:space="0"/>
              <w:right w:val="single" w:color="auto" w:sz="4" w:space="0"/>
            </w:tcBorders>
          </w:tcPr>
          <w:p w14:paraId="621BB728">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12F4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4570FE2">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B091AFB">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附件</w:t>
            </w:r>
          </w:p>
        </w:tc>
        <w:tc>
          <w:tcPr>
            <w:tcW w:w="5880" w:type="dxa"/>
            <w:tcBorders>
              <w:top w:val="single" w:color="auto" w:sz="4" w:space="0"/>
              <w:left w:val="single" w:color="auto" w:sz="4" w:space="0"/>
              <w:bottom w:val="single" w:color="auto" w:sz="4" w:space="0"/>
              <w:right w:val="single" w:color="auto" w:sz="4" w:space="0"/>
            </w:tcBorders>
          </w:tcPr>
          <w:p w14:paraId="075CECC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758D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90B9F1E">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0DE422DC">
            <w:pPr>
              <w:widowControl w:val="0"/>
              <w:jc w:val="both"/>
              <w:rPr>
                <w:rFonts w:hint="eastAsia" w:ascii="等线" w:hAnsi="等线" w:eastAsia="等线" w:cs="Times New Roman"/>
                <w:b/>
                <w:bCs/>
                <w:kern w:val="2"/>
                <w:szCs w:val="22"/>
                <w:highlight w:val="none"/>
                <w14:ligatures w14:val="standardContextual"/>
              </w:rPr>
            </w:pPr>
            <w:r>
              <w:rPr>
                <w:rFonts w:hint="eastAsia" w:ascii="等线" w:hAnsi="等线" w:eastAsia="等线" w:cs="Times New Roman"/>
                <w:b/>
                <w:bCs/>
                <w:kern w:val="2"/>
                <w:szCs w:val="22"/>
                <w:highlight w:val="none"/>
                <w14:ligatures w14:val="standardContextual"/>
              </w:rPr>
              <w:t>音频系统</w:t>
            </w:r>
          </w:p>
        </w:tc>
        <w:tc>
          <w:tcPr>
            <w:tcW w:w="5880" w:type="dxa"/>
            <w:tcBorders>
              <w:top w:val="single" w:color="auto" w:sz="4" w:space="0"/>
              <w:left w:val="single" w:color="auto" w:sz="4" w:space="0"/>
              <w:bottom w:val="single" w:color="auto" w:sz="4" w:space="0"/>
              <w:right w:val="single" w:color="auto" w:sz="4" w:space="0"/>
            </w:tcBorders>
          </w:tcPr>
          <w:p w14:paraId="041A070D">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 xml:space="preserve"> </w:t>
            </w:r>
          </w:p>
        </w:tc>
      </w:tr>
      <w:tr w14:paraId="7DCE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366318E">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287EB21">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电子可导向柱状扬声器</w:t>
            </w:r>
          </w:p>
        </w:tc>
        <w:tc>
          <w:tcPr>
            <w:tcW w:w="5880" w:type="dxa"/>
            <w:tcBorders>
              <w:top w:val="single" w:color="auto" w:sz="4" w:space="0"/>
              <w:left w:val="single" w:color="auto" w:sz="4" w:space="0"/>
              <w:bottom w:val="single" w:color="auto" w:sz="4" w:space="0"/>
              <w:right w:val="single" w:color="auto" w:sz="4" w:space="0"/>
            </w:tcBorders>
          </w:tcPr>
          <w:p w14:paraId="735422F5">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JBL、ITC、Meyer Sound或同档次及以上</w:t>
            </w:r>
          </w:p>
        </w:tc>
      </w:tr>
      <w:tr w14:paraId="2174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3D342E1">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3AB9AC6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主扩柱状超低频扬声器</w:t>
            </w:r>
          </w:p>
        </w:tc>
        <w:tc>
          <w:tcPr>
            <w:tcW w:w="5880" w:type="dxa"/>
            <w:tcBorders>
              <w:top w:val="single" w:color="auto" w:sz="4" w:space="0"/>
              <w:left w:val="single" w:color="auto" w:sz="4" w:space="0"/>
              <w:bottom w:val="single" w:color="auto" w:sz="4" w:space="0"/>
              <w:right w:val="single" w:color="auto" w:sz="4" w:space="0"/>
            </w:tcBorders>
          </w:tcPr>
          <w:p w14:paraId="001785CC">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JBL、ITC、Meyer Sound或同档次及以上</w:t>
            </w:r>
          </w:p>
        </w:tc>
      </w:tr>
      <w:tr w14:paraId="18CD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065CE4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2CA857C9">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LED展示区柱状全频扬声器</w:t>
            </w:r>
          </w:p>
        </w:tc>
        <w:tc>
          <w:tcPr>
            <w:tcW w:w="5880" w:type="dxa"/>
            <w:tcBorders>
              <w:top w:val="single" w:color="auto" w:sz="4" w:space="0"/>
              <w:left w:val="single" w:color="auto" w:sz="4" w:space="0"/>
              <w:bottom w:val="single" w:color="auto" w:sz="4" w:space="0"/>
              <w:right w:val="single" w:color="auto" w:sz="4" w:space="0"/>
            </w:tcBorders>
          </w:tcPr>
          <w:p w14:paraId="513C7E81">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JBL、ITC、Meyer Sound或同档次及以上</w:t>
            </w:r>
          </w:p>
        </w:tc>
      </w:tr>
      <w:tr w14:paraId="50B5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04E2DC5">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23EB51C">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LED展示区柱状超低频扬声器</w:t>
            </w:r>
          </w:p>
        </w:tc>
        <w:tc>
          <w:tcPr>
            <w:tcW w:w="5880" w:type="dxa"/>
            <w:tcBorders>
              <w:top w:val="single" w:color="auto" w:sz="4" w:space="0"/>
              <w:left w:val="single" w:color="auto" w:sz="4" w:space="0"/>
              <w:bottom w:val="single" w:color="auto" w:sz="4" w:space="0"/>
              <w:right w:val="single" w:color="auto" w:sz="4" w:space="0"/>
            </w:tcBorders>
          </w:tcPr>
          <w:p w14:paraId="7AB6C524">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JBL、ITC、Meyer Sound或同档次及以上</w:t>
            </w:r>
          </w:p>
        </w:tc>
      </w:tr>
      <w:tr w14:paraId="238A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E124CC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F188F3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后场辅助柱状全频扬声器</w:t>
            </w:r>
          </w:p>
        </w:tc>
        <w:tc>
          <w:tcPr>
            <w:tcW w:w="5880" w:type="dxa"/>
            <w:tcBorders>
              <w:top w:val="single" w:color="auto" w:sz="4" w:space="0"/>
              <w:left w:val="single" w:color="auto" w:sz="4" w:space="0"/>
              <w:bottom w:val="single" w:color="auto" w:sz="4" w:space="0"/>
              <w:right w:val="single" w:color="auto" w:sz="4" w:space="0"/>
            </w:tcBorders>
          </w:tcPr>
          <w:p w14:paraId="7C3BF74A">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JBL、ITC、Meyer Sound或同档次及以上</w:t>
            </w:r>
          </w:p>
        </w:tc>
      </w:tr>
      <w:tr w14:paraId="7BFC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FEC84D7">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FB10160">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安装支架</w:t>
            </w:r>
          </w:p>
        </w:tc>
        <w:tc>
          <w:tcPr>
            <w:tcW w:w="5880" w:type="dxa"/>
            <w:tcBorders>
              <w:top w:val="single" w:color="auto" w:sz="4" w:space="0"/>
              <w:left w:val="single" w:color="auto" w:sz="4" w:space="0"/>
              <w:bottom w:val="single" w:color="auto" w:sz="4" w:space="0"/>
              <w:right w:val="single" w:color="auto" w:sz="4" w:space="0"/>
            </w:tcBorders>
          </w:tcPr>
          <w:p w14:paraId="548E8E79">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51FF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68E4CF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3C2B35D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两通道DSP功率放大器</w:t>
            </w:r>
          </w:p>
        </w:tc>
        <w:tc>
          <w:tcPr>
            <w:tcW w:w="5880" w:type="dxa"/>
            <w:tcBorders>
              <w:top w:val="single" w:color="auto" w:sz="4" w:space="0"/>
              <w:left w:val="single" w:color="auto" w:sz="4" w:space="0"/>
              <w:bottom w:val="single" w:color="auto" w:sz="4" w:space="0"/>
              <w:right w:val="single" w:color="auto" w:sz="4" w:space="0"/>
            </w:tcBorders>
          </w:tcPr>
          <w:p w14:paraId="60BD1C9F">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JBL、ITC、Meyer Sound或同档次及以上</w:t>
            </w:r>
          </w:p>
        </w:tc>
      </w:tr>
      <w:tr w14:paraId="3E6B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FDB742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0103C75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音频处理器</w:t>
            </w:r>
          </w:p>
        </w:tc>
        <w:tc>
          <w:tcPr>
            <w:tcW w:w="5880" w:type="dxa"/>
            <w:tcBorders>
              <w:top w:val="single" w:color="auto" w:sz="4" w:space="0"/>
              <w:left w:val="single" w:color="auto" w:sz="4" w:space="0"/>
              <w:bottom w:val="single" w:color="auto" w:sz="4" w:space="0"/>
              <w:right w:val="single" w:color="auto" w:sz="4" w:space="0"/>
            </w:tcBorders>
          </w:tcPr>
          <w:p w14:paraId="090275C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DBX、ITC、KLING&amp;FREITAG或同档次及以上</w:t>
            </w:r>
          </w:p>
        </w:tc>
      </w:tr>
      <w:tr w14:paraId="715A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FAA9D66">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F652C1E">
            <w:pPr>
              <w:widowControl w:val="0"/>
              <w:jc w:val="both"/>
              <w:rPr>
                <w:rFonts w:hint="eastAsia" w:ascii="等线" w:hAnsi="等线" w:eastAsia="等线" w:cs="Times New Roman"/>
                <w:b/>
                <w:bCs/>
                <w:kern w:val="2"/>
                <w:szCs w:val="22"/>
                <w:highlight w:val="none"/>
                <w14:ligatures w14:val="standardContextual"/>
              </w:rPr>
            </w:pPr>
            <w:r>
              <w:rPr>
                <w:rFonts w:hint="eastAsia" w:ascii="等线" w:hAnsi="等线" w:eastAsia="等线" w:cs="Times New Roman"/>
                <w:b/>
                <w:bCs/>
                <w:kern w:val="2"/>
                <w:szCs w:val="22"/>
                <w:highlight w:val="none"/>
                <w14:ligatures w14:val="standardContextual"/>
              </w:rPr>
              <w:t>控制系统</w:t>
            </w:r>
          </w:p>
        </w:tc>
        <w:tc>
          <w:tcPr>
            <w:tcW w:w="5880" w:type="dxa"/>
            <w:tcBorders>
              <w:top w:val="single" w:color="auto" w:sz="4" w:space="0"/>
              <w:left w:val="single" w:color="auto" w:sz="4" w:space="0"/>
              <w:bottom w:val="single" w:color="auto" w:sz="4" w:space="0"/>
              <w:right w:val="single" w:color="auto" w:sz="4" w:space="0"/>
            </w:tcBorders>
          </w:tcPr>
          <w:p w14:paraId="475A617A">
            <w:pPr>
              <w:widowControl w:val="0"/>
              <w:jc w:val="both"/>
              <w:rPr>
                <w:rFonts w:hint="eastAsia" w:ascii="等线" w:hAnsi="等线" w:eastAsia="等线" w:cs="等线"/>
                <w:kern w:val="2"/>
                <w:sz w:val="20"/>
                <w:szCs w:val="20"/>
                <w:highlight w:val="none"/>
                <w14:ligatures w14:val="standardContextual"/>
              </w:rPr>
            </w:pPr>
          </w:p>
        </w:tc>
      </w:tr>
      <w:tr w14:paraId="59DC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115EFAF">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3198CDD7">
            <w:pPr>
              <w:widowControl w:val="0"/>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网络中控主机</w:t>
            </w:r>
          </w:p>
        </w:tc>
        <w:tc>
          <w:tcPr>
            <w:tcW w:w="5880" w:type="dxa"/>
            <w:tcBorders>
              <w:top w:val="single" w:color="auto" w:sz="4" w:space="0"/>
              <w:left w:val="single" w:color="auto" w:sz="4" w:space="0"/>
              <w:bottom w:val="single" w:color="auto" w:sz="4" w:space="0"/>
              <w:right w:val="single" w:color="auto" w:sz="4" w:space="0"/>
            </w:tcBorders>
          </w:tcPr>
          <w:p w14:paraId="4E1D6C99">
            <w:pPr>
              <w:widowControl w:val="0"/>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ITC、LOTFUN、MediaComm、或同档次及以上</w:t>
            </w:r>
          </w:p>
        </w:tc>
      </w:tr>
      <w:tr w14:paraId="3973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9C3C929">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1709203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控制器</w:t>
            </w:r>
          </w:p>
        </w:tc>
        <w:tc>
          <w:tcPr>
            <w:tcW w:w="5880" w:type="dxa"/>
            <w:tcBorders>
              <w:top w:val="single" w:color="auto" w:sz="4" w:space="0"/>
              <w:left w:val="single" w:color="auto" w:sz="4" w:space="0"/>
              <w:bottom w:val="single" w:color="auto" w:sz="4" w:space="0"/>
              <w:right w:val="single" w:color="auto" w:sz="4" w:space="0"/>
            </w:tcBorders>
          </w:tcPr>
          <w:p w14:paraId="542563D3">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ITC、LOTFUN、MediaComm、或同档次及以上</w:t>
            </w:r>
          </w:p>
        </w:tc>
      </w:tr>
      <w:tr w14:paraId="3236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D803B53">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B70AF66">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系统专用编程软件</w:t>
            </w:r>
          </w:p>
        </w:tc>
        <w:tc>
          <w:tcPr>
            <w:tcW w:w="5880" w:type="dxa"/>
            <w:tcBorders>
              <w:top w:val="single" w:color="auto" w:sz="4" w:space="0"/>
              <w:left w:val="single" w:color="auto" w:sz="4" w:space="0"/>
              <w:bottom w:val="single" w:color="auto" w:sz="4" w:space="0"/>
              <w:right w:val="single" w:color="auto" w:sz="4" w:space="0"/>
            </w:tcBorders>
          </w:tcPr>
          <w:p w14:paraId="0D05CA81">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ITC、LOTFUN、MediaComm、或同档次及以上</w:t>
            </w:r>
          </w:p>
        </w:tc>
      </w:tr>
      <w:tr w14:paraId="29BC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B192E9B">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01DD8D5">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电源时序器</w:t>
            </w:r>
          </w:p>
        </w:tc>
        <w:tc>
          <w:tcPr>
            <w:tcW w:w="5880" w:type="dxa"/>
            <w:tcBorders>
              <w:top w:val="single" w:color="auto" w:sz="4" w:space="0"/>
              <w:left w:val="single" w:color="auto" w:sz="4" w:space="0"/>
              <w:bottom w:val="single" w:color="auto" w:sz="4" w:space="0"/>
              <w:right w:val="single" w:color="auto" w:sz="4" w:space="0"/>
            </w:tcBorders>
          </w:tcPr>
          <w:p w14:paraId="54144C34">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ITC、LOTFUN、MediaComm、或同档次及以上</w:t>
            </w:r>
          </w:p>
        </w:tc>
      </w:tr>
      <w:tr w14:paraId="750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6B5AFFA">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732CD63F">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无线路由器</w:t>
            </w:r>
          </w:p>
        </w:tc>
        <w:tc>
          <w:tcPr>
            <w:tcW w:w="5880" w:type="dxa"/>
            <w:tcBorders>
              <w:top w:val="single" w:color="auto" w:sz="4" w:space="0"/>
              <w:left w:val="single" w:color="auto" w:sz="4" w:space="0"/>
              <w:bottom w:val="single" w:color="auto" w:sz="4" w:space="0"/>
              <w:right w:val="single" w:color="auto" w:sz="4" w:space="0"/>
            </w:tcBorders>
          </w:tcPr>
          <w:p w14:paraId="1A241338">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华为、小米、TPLINK或同档次及以上</w:t>
            </w:r>
          </w:p>
        </w:tc>
      </w:tr>
      <w:tr w14:paraId="2AA6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9DB8179">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2502FDAA">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中控控制平板</w:t>
            </w:r>
          </w:p>
        </w:tc>
        <w:tc>
          <w:tcPr>
            <w:tcW w:w="5880" w:type="dxa"/>
            <w:tcBorders>
              <w:top w:val="single" w:color="auto" w:sz="4" w:space="0"/>
              <w:left w:val="single" w:color="auto" w:sz="4" w:space="0"/>
              <w:bottom w:val="single" w:color="auto" w:sz="4" w:space="0"/>
              <w:right w:val="single" w:color="auto" w:sz="4" w:space="0"/>
            </w:tcBorders>
          </w:tcPr>
          <w:p w14:paraId="7ECA1C26">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华为、小米或同档次及以上</w:t>
            </w:r>
          </w:p>
        </w:tc>
      </w:tr>
      <w:tr w14:paraId="5A69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F68FB6B">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59822AA9">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混合插卡矩阵</w:t>
            </w:r>
          </w:p>
        </w:tc>
        <w:tc>
          <w:tcPr>
            <w:tcW w:w="5880" w:type="dxa"/>
            <w:tcBorders>
              <w:top w:val="single" w:color="auto" w:sz="4" w:space="0"/>
              <w:left w:val="single" w:color="auto" w:sz="4" w:space="0"/>
              <w:bottom w:val="single" w:color="auto" w:sz="4" w:space="0"/>
              <w:right w:val="single" w:color="auto" w:sz="4" w:space="0"/>
            </w:tcBorders>
          </w:tcPr>
          <w:p w14:paraId="71AB79B9">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ITC、LOTFUN、MediaComm、或同档次及以上</w:t>
            </w:r>
          </w:p>
        </w:tc>
      </w:tr>
      <w:tr w14:paraId="740F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ED417D4">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9A2E3E7">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双通道4K HDMI输入卡</w:t>
            </w:r>
          </w:p>
        </w:tc>
        <w:tc>
          <w:tcPr>
            <w:tcW w:w="5880" w:type="dxa"/>
            <w:tcBorders>
              <w:top w:val="single" w:color="auto" w:sz="4" w:space="0"/>
              <w:left w:val="single" w:color="auto" w:sz="4" w:space="0"/>
              <w:bottom w:val="single" w:color="auto" w:sz="4" w:space="0"/>
              <w:right w:val="single" w:color="auto" w:sz="4" w:space="0"/>
            </w:tcBorders>
          </w:tcPr>
          <w:p w14:paraId="090DDE2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ITC、LOTFUN、MediaComm、或同档次及以上</w:t>
            </w:r>
          </w:p>
        </w:tc>
      </w:tr>
      <w:tr w14:paraId="2A0C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6B86979">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6BB2E873">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双通道4K HDMI输出卡</w:t>
            </w:r>
          </w:p>
        </w:tc>
        <w:tc>
          <w:tcPr>
            <w:tcW w:w="5880" w:type="dxa"/>
            <w:tcBorders>
              <w:top w:val="single" w:color="auto" w:sz="4" w:space="0"/>
              <w:left w:val="single" w:color="auto" w:sz="4" w:space="0"/>
              <w:bottom w:val="single" w:color="auto" w:sz="4" w:space="0"/>
              <w:right w:val="single" w:color="auto" w:sz="4" w:space="0"/>
            </w:tcBorders>
          </w:tcPr>
          <w:p w14:paraId="498C6509">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ITC、LOTFUN、MediaComm、或同档次及以上</w:t>
            </w:r>
          </w:p>
        </w:tc>
      </w:tr>
      <w:tr w14:paraId="5540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A4A66D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2358578B">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无线手持话筒</w:t>
            </w:r>
          </w:p>
        </w:tc>
        <w:tc>
          <w:tcPr>
            <w:tcW w:w="5880" w:type="dxa"/>
            <w:tcBorders>
              <w:top w:val="single" w:color="auto" w:sz="4" w:space="0"/>
              <w:left w:val="single" w:color="auto" w:sz="4" w:space="0"/>
              <w:bottom w:val="single" w:color="auto" w:sz="4" w:space="0"/>
              <w:right w:val="single" w:color="auto" w:sz="4" w:space="0"/>
            </w:tcBorders>
          </w:tcPr>
          <w:p w14:paraId="0F2338A1">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SHURE、 ITC、beyerdynamic、或同档次及以上</w:t>
            </w:r>
          </w:p>
        </w:tc>
      </w:tr>
      <w:tr w14:paraId="6841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B8161C8">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4D90FD10">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无线接收机</w:t>
            </w:r>
          </w:p>
        </w:tc>
        <w:tc>
          <w:tcPr>
            <w:tcW w:w="5880" w:type="dxa"/>
            <w:tcBorders>
              <w:top w:val="single" w:color="auto" w:sz="4" w:space="0"/>
              <w:left w:val="single" w:color="auto" w:sz="4" w:space="0"/>
              <w:bottom w:val="single" w:color="auto" w:sz="4" w:space="0"/>
              <w:right w:val="single" w:color="auto" w:sz="4" w:space="0"/>
            </w:tcBorders>
          </w:tcPr>
          <w:p w14:paraId="4E492C9F">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SHURE、 ITC、beyerdynamic、或同档次及以上</w:t>
            </w:r>
          </w:p>
        </w:tc>
      </w:tr>
      <w:tr w14:paraId="169F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C75AF33">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09CF199D">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无线天线</w:t>
            </w:r>
          </w:p>
        </w:tc>
        <w:tc>
          <w:tcPr>
            <w:tcW w:w="5880" w:type="dxa"/>
            <w:tcBorders>
              <w:top w:val="single" w:color="auto" w:sz="4" w:space="0"/>
              <w:left w:val="single" w:color="auto" w:sz="4" w:space="0"/>
              <w:bottom w:val="single" w:color="auto" w:sz="4" w:space="0"/>
              <w:right w:val="single" w:color="auto" w:sz="4" w:space="0"/>
            </w:tcBorders>
          </w:tcPr>
          <w:p w14:paraId="69164698">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SHURE、 ITC、beyerdynamic、或同档次及以上</w:t>
            </w:r>
          </w:p>
        </w:tc>
      </w:tr>
      <w:tr w14:paraId="2FEB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00E78BD">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763AD907">
            <w:pPr>
              <w:widowControl w:val="0"/>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Cs w:val="22"/>
                <w:highlight w:val="none"/>
                <w14:ligatures w14:val="standardContextual"/>
              </w:rPr>
              <w:t>天线分配器</w:t>
            </w:r>
          </w:p>
        </w:tc>
        <w:tc>
          <w:tcPr>
            <w:tcW w:w="5880" w:type="dxa"/>
            <w:tcBorders>
              <w:top w:val="single" w:color="auto" w:sz="4" w:space="0"/>
              <w:left w:val="single" w:color="auto" w:sz="4" w:space="0"/>
              <w:bottom w:val="single" w:color="auto" w:sz="4" w:space="0"/>
              <w:right w:val="single" w:color="auto" w:sz="4" w:space="0"/>
            </w:tcBorders>
          </w:tcPr>
          <w:p w14:paraId="4AA4D0D0">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SHURE、 ITC、beyerdynamic、或同档次及以上</w:t>
            </w:r>
          </w:p>
        </w:tc>
      </w:tr>
      <w:tr w14:paraId="18F7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A4E336B">
            <w:pPr>
              <w:widowControl w:val="0"/>
              <w:jc w:val="both"/>
              <w:rPr>
                <w:rFonts w:hint="eastAsia" w:ascii="等线" w:hAnsi="等线" w:eastAsia="等线" w:cs="Times New Roman"/>
                <w:kern w:val="2"/>
                <w:szCs w:val="22"/>
                <w:highlight w:val="none"/>
                <w14:ligatures w14:val="standardContextual"/>
              </w:rPr>
            </w:pPr>
          </w:p>
        </w:tc>
        <w:tc>
          <w:tcPr>
            <w:tcW w:w="2500" w:type="dxa"/>
            <w:tcBorders>
              <w:top w:val="single" w:color="auto" w:sz="4" w:space="0"/>
              <w:left w:val="single" w:color="auto" w:sz="4" w:space="0"/>
              <w:bottom w:val="single" w:color="auto" w:sz="4" w:space="0"/>
              <w:right w:val="single" w:color="auto" w:sz="4" w:space="0"/>
            </w:tcBorders>
          </w:tcPr>
          <w:p w14:paraId="25177866">
            <w:pPr>
              <w:jc w:val="both"/>
              <w:rPr>
                <w:rFonts w:hint="eastAsia" w:ascii="等线" w:hAnsi="等线" w:eastAsia="等线" w:cs="Times New Roman"/>
                <w:kern w:val="2"/>
                <w:szCs w:val="22"/>
                <w:highlight w:val="none"/>
                <w14:ligatures w14:val="standardContextual"/>
              </w:rPr>
            </w:pPr>
            <w:r>
              <w:rPr>
                <w:rFonts w:hint="eastAsia" w:ascii="等线" w:hAnsi="等线" w:eastAsia="等线" w:cs="Times New Roman"/>
                <w:kern w:val="2"/>
                <w:sz w:val="20"/>
                <w:szCs w:val="20"/>
                <w:highlight w:val="none"/>
                <w14:ligatures w14:val="standardContextual"/>
              </w:rPr>
              <w:t>附件</w:t>
            </w:r>
          </w:p>
        </w:tc>
        <w:tc>
          <w:tcPr>
            <w:tcW w:w="5880" w:type="dxa"/>
            <w:tcBorders>
              <w:top w:val="single" w:color="auto" w:sz="4" w:space="0"/>
              <w:left w:val="single" w:color="auto" w:sz="4" w:space="0"/>
              <w:bottom w:val="single" w:color="auto" w:sz="4" w:space="0"/>
              <w:right w:val="single" w:color="auto" w:sz="4" w:space="0"/>
            </w:tcBorders>
          </w:tcPr>
          <w:p w14:paraId="1072A385">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国产优质</w:t>
            </w:r>
          </w:p>
        </w:tc>
      </w:tr>
      <w:tr w14:paraId="48D7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7EE4DC9">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二十一</w:t>
            </w:r>
          </w:p>
        </w:tc>
        <w:tc>
          <w:tcPr>
            <w:tcW w:w="2500" w:type="dxa"/>
            <w:tcBorders>
              <w:top w:val="single" w:color="auto" w:sz="4" w:space="0"/>
              <w:left w:val="single" w:color="auto" w:sz="4" w:space="0"/>
              <w:bottom w:val="single" w:color="auto" w:sz="4" w:space="0"/>
              <w:right w:val="single" w:color="auto" w:sz="4" w:space="0"/>
            </w:tcBorders>
          </w:tcPr>
          <w:p w14:paraId="0C2B0AD0">
            <w:pPr>
              <w:widowControl w:val="0"/>
              <w:jc w:val="both"/>
              <w:rPr>
                <w:rFonts w:hint="eastAsia" w:ascii="等线" w:hAnsi="等线" w:eastAsia="等线" w:cs="Times New Roman"/>
                <w:b/>
                <w:bCs/>
                <w:kern w:val="2"/>
                <w:highlight w:val="none"/>
                <w14:ligatures w14:val="standardContextual"/>
              </w:rPr>
            </w:pPr>
            <w:r>
              <w:rPr>
                <w:rFonts w:hint="eastAsia" w:ascii="等线" w:hAnsi="等线" w:eastAsia="等线" w:cs="Times New Roman"/>
                <w:b/>
                <w:bCs/>
                <w:kern w:val="2"/>
                <w:highlight w:val="none"/>
                <w14:ligatures w14:val="standardContextual"/>
              </w:rPr>
              <w:t>智慧园区综合管理平台</w:t>
            </w:r>
          </w:p>
        </w:tc>
        <w:tc>
          <w:tcPr>
            <w:tcW w:w="5880" w:type="dxa"/>
            <w:tcBorders>
              <w:top w:val="single" w:color="auto" w:sz="4" w:space="0"/>
              <w:left w:val="single" w:color="auto" w:sz="4" w:space="0"/>
              <w:bottom w:val="single" w:color="auto" w:sz="4" w:space="0"/>
              <w:right w:val="single" w:color="auto" w:sz="4" w:space="0"/>
            </w:tcBorders>
          </w:tcPr>
          <w:p w14:paraId="6A4A8B87">
            <w:pPr>
              <w:widowControl w:val="0"/>
              <w:jc w:val="both"/>
              <w:rPr>
                <w:rFonts w:hint="eastAsia" w:ascii="等线" w:hAnsi="等线" w:eastAsia="等线" w:cs="等线"/>
                <w:kern w:val="2"/>
                <w:sz w:val="20"/>
                <w:szCs w:val="20"/>
                <w:highlight w:val="none"/>
                <w14:ligatures w14:val="standardContextual"/>
              </w:rPr>
            </w:pPr>
            <w:r>
              <w:rPr>
                <w:rFonts w:hint="eastAsia" w:ascii="等线" w:hAnsi="等线" w:eastAsia="等线" w:cs="等线"/>
                <w:kern w:val="2"/>
                <w:sz w:val="20"/>
                <w:szCs w:val="20"/>
                <w:highlight w:val="none"/>
                <w14:ligatures w14:val="standardContextual"/>
              </w:rPr>
              <w:t>国产定制</w:t>
            </w:r>
          </w:p>
        </w:tc>
      </w:tr>
    </w:tbl>
    <w:p w14:paraId="248D3C8F">
      <w:pPr>
        <w:spacing w:line="360" w:lineRule="auto"/>
        <w:ind w:firstLine="480" w:firstLineChars="200"/>
        <w:rPr>
          <w:rFonts w:hint="eastAsia" w:ascii="宋体" w:hAnsi="宋体" w:eastAsia="宋体" w:cs="宋体"/>
          <w:highlight w:val="none"/>
        </w:rPr>
      </w:pPr>
      <w:bookmarkStart w:id="464" w:name="_Toc4542"/>
      <w:r>
        <w:rPr>
          <w:rFonts w:hint="eastAsia" w:ascii="宋体" w:hAnsi="宋体" w:eastAsia="宋体" w:cs="宋体"/>
          <w:highlight w:val="none"/>
          <w:lang w:val="en-US" w:eastAsia="zh-CN"/>
        </w:rPr>
        <w:t>注：</w:t>
      </w:r>
      <w:r>
        <w:rPr>
          <w:rFonts w:hint="eastAsia" w:ascii="宋体" w:hAnsi="宋体" w:eastAsia="宋体" w:cs="宋体"/>
          <w:highlight w:val="none"/>
        </w:rPr>
        <w:t>上述所有</w:t>
      </w:r>
      <w:r>
        <w:rPr>
          <w:rFonts w:hint="eastAsia" w:ascii="宋体" w:hAnsi="宋体" w:eastAsia="宋体" w:cs="宋体"/>
          <w:highlight w:val="none"/>
          <w:lang w:val="en-US" w:eastAsia="zh-CN"/>
        </w:rPr>
        <w:t>设备</w:t>
      </w:r>
      <w:r>
        <w:rPr>
          <w:rFonts w:hint="eastAsia" w:ascii="宋体" w:hAnsi="宋体" w:eastAsia="宋体" w:cs="宋体"/>
          <w:highlight w:val="none"/>
        </w:rPr>
        <w:t>材料必须符合设计及发包人要求，投标人应在投标文件中列出所投产品的品牌、档次等，投标人在投标文件中提供了招标人推荐品牌以外产品的，应同时提供相当于招标人推荐品牌的证明材料。评标时，评标专家应根据投标人的证明材料及专业水平进行谨慎评标，对推荐品牌外的产品能否满足招标人要求作出明确说明。</w:t>
      </w:r>
    </w:p>
    <w:p w14:paraId="17487586">
      <w:pPr>
        <w:spacing w:line="360" w:lineRule="auto"/>
        <w:ind w:firstLine="482" w:firstLineChars="200"/>
        <w:rPr>
          <w:rFonts w:hint="eastAsia"/>
          <w:b/>
          <w:bCs/>
          <w:highlight w:val="none"/>
        </w:rPr>
      </w:pPr>
      <w:r>
        <w:rPr>
          <w:rFonts w:hint="eastAsia"/>
          <w:b/>
          <w:bCs/>
          <w:highlight w:val="none"/>
        </w:rPr>
        <w:t>二、技术标准</w:t>
      </w:r>
    </w:p>
    <w:p w14:paraId="51D15A2A">
      <w:pPr>
        <w:spacing w:line="360" w:lineRule="auto"/>
        <w:ind w:firstLine="480" w:firstLineChars="200"/>
        <w:rPr>
          <w:rFonts w:hint="eastAsia"/>
          <w:highlight w:val="none"/>
        </w:rPr>
      </w:pPr>
      <w:r>
        <w:rPr>
          <w:rFonts w:hint="eastAsia"/>
          <w:highlight w:val="none"/>
        </w:rPr>
        <w:t>在本规定中引用的标准和规范，应是在投标截止日期之前30天内尚在通用的或最新版本标准和规范。投标人应清楚说明所提供设备的设计、制造、检验、测试、验收等实际采用的标准和规范。当需采用国外标准和规范时，只有当其采用的标准和规范是国际公认的、适用的、且等于或优于国内相关行业已实施标准和规范的要求时，此标准和规范才可能被接受。</w:t>
      </w:r>
    </w:p>
    <w:p w14:paraId="677CD7D8">
      <w:pPr>
        <w:autoSpaceDE w:val="0"/>
        <w:autoSpaceDN w:val="0"/>
        <w:adjustRightInd w:val="0"/>
        <w:spacing w:line="360" w:lineRule="auto"/>
        <w:ind w:firstLine="480" w:firstLineChars="200"/>
        <w:rPr>
          <w:rFonts w:hint="eastAsia"/>
          <w:highlight w:val="none"/>
        </w:rPr>
      </w:pPr>
      <w:r>
        <w:rPr>
          <w:rFonts w:hint="eastAsia"/>
          <w:highlight w:val="none"/>
        </w:rPr>
        <w:t>系统设计应遵守国家现行的规范与标准，对我国尚未制定的规范，参照相应的国际标准。本工程智能化系统设计依据的主要技术规范及标准包括：</w:t>
      </w:r>
    </w:p>
    <w:p w14:paraId="3B716A76">
      <w:pPr>
        <w:autoSpaceDE w:val="0"/>
        <w:autoSpaceDN w:val="0"/>
        <w:adjustRightInd w:val="0"/>
        <w:spacing w:line="360" w:lineRule="auto"/>
        <w:rPr>
          <w:rFonts w:hint="eastAsia"/>
          <w:highlight w:val="none"/>
        </w:rPr>
      </w:pPr>
      <w:r>
        <w:rPr>
          <w:rFonts w:hint="eastAsia"/>
          <w:highlight w:val="none"/>
        </w:rPr>
        <w:t xml:space="preserve">    《智能建筑设计标准》                       GB50314-2015</w:t>
      </w:r>
    </w:p>
    <w:p w14:paraId="090E076A">
      <w:pPr>
        <w:autoSpaceDE w:val="0"/>
        <w:autoSpaceDN w:val="0"/>
        <w:adjustRightInd w:val="0"/>
        <w:spacing w:line="360" w:lineRule="auto"/>
        <w:rPr>
          <w:rFonts w:hint="eastAsia"/>
          <w:highlight w:val="none"/>
        </w:rPr>
      </w:pPr>
      <w:r>
        <w:rPr>
          <w:rFonts w:hint="eastAsia"/>
          <w:highlight w:val="none"/>
        </w:rPr>
        <w:t xml:space="preserve">    《民用建筑电气设计标准》                   GB51348-2019</w:t>
      </w:r>
    </w:p>
    <w:p w14:paraId="7A3F191D">
      <w:pPr>
        <w:autoSpaceDE w:val="0"/>
        <w:autoSpaceDN w:val="0"/>
        <w:adjustRightInd w:val="0"/>
        <w:spacing w:line="360" w:lineRule="auto"/>
        <w:rPr>
          <w:rFonts w:hint="eastAsia"/>
          <w:highlight w:val="none"/>
        </w:rPr>
      </w:pPr>
      <w:r>
        <w:rPr>
          <w:rFonts w:hint="eastAsia"/>
          <w:highlight w:val="none"/>
        </w:rPr>
        <w:t xml:space="preserve">    《综合布线系统工程设计规范》               GB50311-2016</w:t>
      </w:r>
    </w:p>
    <w:p w14:paraId="61B362CC">
      <w:pPr>
        <w:autoSpaceDE w:val="0"/>
        <w:autoSpaceDN w:val="0"/>
        <w:adjustRightInd w:val="0"/>
        <w:spacing w:line="360" w:lineRule="auto"/>
        <w:rPr>
          <w:rFonts w:hint="eastAsia"/>
          <w:highlight w:val="none"/>
        </w:rPr>
      </w:pPr>
      <w:r>
        <w:rPr>
          <w:rFonts w:hint="eastAsia"/>
          <w:highlight w:val="none"/>
        </w:rPr>
        <w:t xml:space="preserve">    《综合布线系统工程验收规范》               GB50312-2016</w:t>
      </w:r>
    </w:p>
    <w:p w14:paraId="39E2104A">
      <w:pPr>
        <w:autoSpaceDE w:val="0"/>
        <w:autoSpaceDN w:val="0"/>
        <w:adjustRightInd w:val="0"/>
        <w:spacing w:line="360" w:lineRule="auto"/>
        <w:rPr>
          <w:rFonts w:hint="eastAsia"/>
          <w:highlight w:val="none"/>
        </w:rPr>
      </w:pPr>
      <w:r>
        <w:rPr>
          <w:rFonts w:hint="eastAsia"/>
          <w:highlight w:val="none"/>
        </w:rPr>
        <w:t xml:space="preserve">    《安全防范工程技术规范》                   GB50348-2018</w:t>
      </w:r>
    </w:p>
    <w:p w14:paraId="3097BB1A">
      <w:pPr>
        <w:autoSpaceDE w:val="0"/>
        <w:autoSpaceDN w:val="0"/>
        <w:adjustRightInd w:val="0"/>
        <w:spacing w:line="360" w:lineRule="auto"/>
        <w:rPr>
          <w:rFonts w:hint="eastAsia"/>
          <w:highlight w:val="none"/>
        </w:rPr>
      </w:pPr>
      <w:r>
        <w:rPr>
          <w:rFonts w:hint="eastAsia"/>
          <w:highlight w:val="none"/>
        </w:rPr>
        <w:t xml:space="preserve">    《视频安防监控系统工程设计规范》           GB50395-2007</w:t>
      </w:r>
    </w:p>
    <w:p w14:paraId="47F1B494">
      <w:pPr>
        <w:autoSpaceDE w:val="0"/>
        <w:autoSpaceDN w:val="0"/>
        <w:adjustRightInd w:val="0"/>
        <w:spacing w:line="360" w:lineRule="auto"/>
        <w:rPr>
          <w:rFonts w:hint="eastAsia"/>
          <w:highlight w:val="none"/>
        </w:rPr>
      </w:pPr>
      <w:r>
        <w:rPr>
          <w:rFonts w:hint="eastAsia"/>
          <w:highlight w:val="none"/>
        </w:rPr>
        <w:t xml:space="preserve">    《出入口控制系统工程设计规范》             GB50396-2007</w:t>
      </w:r>
    </w:p>
    <w:p w14:paraId="1EA96D55">
      <w:pPr>
        <w:autoSpaceDE w:val="0"/>
        <w:autoSpaceDN w:val="0"/>
        <w:adjustRightInd w:val="0"/>
        <w:spacing w:line="360" w:lineRule="auto"/>
        <w:rPr>
          <w:rFonts w:hint="eastAsia"/>
          <w:highlight w:val="none"/>
        </w:rPr>
      </w:pPr>
      <w:r>
        <w:rPr>
          <w:rFonts w:hint="eastAsia"/>
          <w:highlight w:val="none"/>
        </w:rPr>
        <w:t xml:space="preserve">    《入侵报警系统工程设计规范》               GB50394-2007</w:t>
      </w:r>
    </w:p>
    <w:p w14:paraId="64D40801">
      <w:pPr>
        <w:autoSpaceDE w:val="0"/>
        <w:autoSpaceDN w:val="0"/>
        <w:adjustRightInd w:val="0"/>
        <w:spacing w:line="360" w:lineRule="auto"/>
        <w:rPr>
          <w:rFonts w:hint="eastAsia"/>
          <w:highlight w:val="none"/>
        </w:rPr>
      </w:pPr>
      <w:r>
        <w:rPr>
          <w:rFonts w:hint="eastAsia"/>
          <w:highlight w:val="none"/>
        </w:rPr>
        <w:t xml:space="preserve">    《数据中心设计规范》                       GB50174-2017</w:t>
      </w:r>
    </w:p>
    <w:p w14:paraId="3543FC0F">
      <w:pPr>
        <w:autoSpaceDE w:val="0"/>
        <w:autoSpaceDN w:val="0"/>
        <w:adjustRightInd w:val="0"/>
        <w:spacing w:line="360" w:lineRule="auto"/>
        <w:rPr>
          <w:rFonts w:hint="eastAsia"/>
          <w:highlight w:val="none"/>
        </w:rPr>
      </w:pPr>
      <w:r>
        <w:rPr>
          <w:rFonts w:hint="eastAsia"/>
          <w:highlight w:val="none"/>
        </w:rPr>
        <w:t xml:space="preserve">    《建筑物电子信息系统防雷技术规范》         GB50343-2012</w:t>
      </w:r>
    </w:p>
    <w:p w14:paraId="0C29A24B">
      <w:pPr>
        <w:autoSpaceDE w:val="0"/>
        <w:autoSpaceDN w:val="0"/>
        <w:adjustRightInd w:val="0"/>
        <w:spacing w:line="360" w:lineRule="auto"/>
        <w:rPr>
          <w:rFonts w:hint="eastAsia"/>
          <w:highlight w:val="none"/>
        </w:rPr>
      </w:pPr>
      <w:r>
        <w:rPr>
          <w:rFonts w:hint="eastAsia"/>
          <w:highlight w:val="none"/>
        </w:rPr>
        <w:t xml:space="preserve">    《建筑设计防火规范》                       GB50016-2014(2018年版)</w:t>
      </w:r>
    </w:p>
    <w:p w14:paraId="3443DEBB">
      <w:pPr>
        <w:autoSpaceDE w:val="0"/>
        <w:autoSpaceDN w:val="0"/>
        <w:adjustRightInd w:val="0"/>
        <w:spacing w:line="360" w:lineRule="auto"/>
        <w:rPr>
          <w:rFonts w:hint="eastAsia"/>
          <w:highlight w:val="none"/>
        </w:rPr>
      </w:pPr>
      <w:r>
        <w:rPr>
          <w:rFonts w:hint="eastAsia"/>
          <w:highlight w:val="none"/>
        </w:rPr>
        <w:t xml:space="preserve">    《建筑机电工程抗震设计规范》               GB50981-2014</w:t>
      </w:r>
    </w:p>
    <w:p w14:paraId="2AC46A5A">
      <w:pPr>
        <w:autoSpaceDE w:val="0"/>
        <w:autoSpaceDN w:val="0"/>
        <w:adjustRightInd w:val="0"/>
        <w:spacing w:line="360" w:lineRule="auto"/>
        <w:rPr>
          <w:rFonts w:hint="eastAsia"/>
          <w:highlight w:val="none"/>
        </w:rPr>
      </w:pPr>
      <w:r>
        <w:rPr>
          <w:rFonts w:hint="eastAsia"/>
          <w:highlight w:val="none"/>
        </w:rPr>
        <w:t xml:space="preserve">    《体育建筑智能化系统工程技术规程》         JGJ/T179-2009</w:t>
      </w:r>
    </w:p>
    <w:p w14:paraId="4C30BDEF">
      <w:pPr>
        <w:autoSpaceDE w:val="0"/>
        <w:autoSpaceDN w:val="0"/>
        <w:adjustRightInd w:val="0"/>
        <w:spacing w:line="360" w:lineRule="auto"/>
        <w:rPr>
          <w:rFonts w:hint="eastAsia"/>
          <w:highlight w:val="none"/>
        </w:rPr>
      </w:pPr>
      <w:r>
        <w:rPr>
          <w:rFonts w:hint="eastAsia"/>
          <w:highlight w:val="none"/>
        </w:rPr>
        <w:t xml:space="preserve">    《体育建筑设计规范》                       JGJ31-2003</w:t>
      </w:r>
    </w:p>
    <w:p w14:paraId="04F35F5B">
      <w:pPr>
        <w:autoSpaceDE w:val="0"/>
        <w:autoSpaceDN w:val="0"/>
        <w:adjustRightInd w:val="0"/>
        <w:spacing w:line="360" w:lineRule="auto"/>
        <w:rPr>
          <w:rFonts w:hint="eastAsia"/>
          <w:highlight w:val="none"/>
        </w:rPr>
      </w:pPr>
      <w:r>
        <w:rPr>
          <w:rFonts w:hint="eastAsia"/>
          <w:highlight w:val="none"/>
        </w:rPr>
        <w:t xml:space="preserve">    《体育馆声学设计及测量规范》               JGJ/T131-2012</w:t>
      </w:r>
    </w:p>
    <w:p w14:paraId="079DDE42">
      <w:pPr>
        <w:spacing w:line="360" w:lineRule="auto"/>
        <w:ind w:firstLine="482" w:firstLineChars="200"/>
        <w:rPr>
          <w:rFonts w:hint="eastAsia"/>
          <w:b/>
          <w:bCs/>
          <w:highlight w:val="none"/>
        </w:rPr>
      </w:pPr>
      <w:r>
        <w:rPr>
          <w:rFonts w:hint="eastAsia"/>
          <w:b/>
          <w:bCs/>
          <w:highlight w:val="none"/>
        </w:rPr>
        <w:t>三、制造监制和出厂检验</w:t>
      </w:r>
    </w:p>
    <w:p w14:paraId="4E64464B">
      <w:pPr>
        <w:spacing w:line="360" w:lineRule="auto"/>
        <w:ind w:firstLine="480" w:firstLineChars="200"/>
        <w:rPr>
          <w:rFonts w:hint="eastAsia"/>
          <w:highlight w:val="none"/>
        </w:rPr>
      </w:pPr>
      <w:r>
        <w:rPr>
          <w:highlight w:val="none"/>
        </w:rPr>
        <w:t>1</w:t>
      </w:r>
      <w:r>
        <w:rPr>
          <w:rFonts w:hint="eastAsia"/>
          <w:highlight w:val="none"/>
        </w:rPr>
        <w:t>、在设备制造期间，采购人有权在适当的时间到制造厂进行制造监制。在制造监制期间，制造商有责任提供有关设备包括各种数据，设备结构图和部件图的详细中文资料。但采购人监制并不解除制造商对所有产品在制造质量上应负的全部责任。</w:t>
      </w:r>
    </w:p>
    <w:p w14:paraId="77E98D8D">
      <w:pPr>
        <w:spacing w:line="360" w:lineRule="auto"/>
        <w:ind w:firstLine="480" w:firstLineChars="200"/>
        <w:rPr>
          <w:rFonts w:hint="eastAsia"/>
          <w:highlight w:val="none"/>
        </w:rPr>
      </w:pPr>
      <w:r>
        <w:rPr>
          <w:rFonts w:hint="eastAsia"/>
          <w:highlight w:val="none"/>
        </w:rPr>
        <w:t>2、主要部件和电气部件及整机设备的检验都应在制造厂内结束。中标人须提供由采购人认可的一整套检验标准和计划。所有检验应严格地按照认可的方式进行。</w:t>
      </w:r>
    </w:p>
    <w:p w14:paraId="55E8400D">
      <w:pPr>
        <w:spacing w:line="360" w:lineRule="auto"/>
        <w:ind w:firstLine="482" w:firstLineChars="200"/>
        <w:rPr>
          <w:rFonts w:hint="eastAsia"/>
          <w:b/>
          <w:bCs/>
          <w:highlight w:val="none"/>
        </w:rPr>
      </w:pPr>
      <w:r>
        <w:rPr>
          <w:rFonts w:hint="eastAsia"/>
          <w:b/>
          <w:bCs/>
          <w:highlight w:val="none"/>
        </w:rPr>
        <w:t>四、设备的防护、包装及运输</w:t>
      </w:r>
    </w:p>
    <w:p w14:paraId="49EE06DE">
      <w:pPr>
        <w:spacing w:line="360" w:lineRule="auto"/>
        <w:ind w:firstLine="480" w:firstLineChars="200"/>
        <w:rPr>
          <w:rFonts w:hint="eastAsia"/>
          <w:highlight w:val="none"/>
        </w:rPr>
      </w:pPr>
      <w:r>
        <w:rPr>
          <w:rFonts w:hint="eastAsia"/>
          <w:highlight w:val="none"/>
        </w:rPr>
        <w:t>1、设备的防护、油漆及色彩</w:t>
      </w:r>
    </w:p>
    <w:p w14:paraId="4B8A4BD0">
      <w:pPr>
        <w:spacing w:line="360" w:lineRule="auto"/>
        <w:ind w:firstLine="480" w:firstLineChars="200"/>
        <w:rPr>
          <w:rFonts w:hint="eastAsia"/>
          <w:highlight w:val="none"/>
        </w:rPr>
      </w:pPr>
      <w:r>
        <w:rPr>
          <w:rFonts w:hint="eastAsia"/>
          <w:highlight w:val="none"/>
        </w:rPr>
        <w:t>中标人在运输前须提供设备的具体防护措施供采购人认可，并对此工作负责。油漆表面应光洁，无折皱和剥落。</w:t>
      </w:r>
    </w:p>
    <w:p w14:paraId="138B4A40">
      <w:pPr>
        <w:spacing w:line="360" w:lineRule="auto"/>
        <w:ind w:firstLine="480" w:firstLineChars="200"/>
        <w:rPr>
          <w:rFonts w:hint="eastAsia"/>
          <w:highlight w:val="none"/>
        </w:rPr>
      </w:pPr>
      <w:r>
        <w:rPr>
          <w:rFonts w:hint="eastAsia"/>
          <w:highlight w:val="none"/>
        </w:rPr>
        <w:t>2、所有设备应合理、有效地包装，以使其有效防止各种损坏，如受潮、受热、剥落、腐蚀、变形等。</w:t>
      </w:r>
    </w:p>
    <w:p w14:paraId="61AC2B00">
      <w:pPr>
        <w:spacing w:line="360" w:lineRule="auto"/>
        <w:ind w:firstLine="480" w:firstLineChars="200"/>
        <w:rPr>
          <w:rFonts w:hint="eastAsia"/>
          <w:highlight w:val="none"/>
        </w:rPr>
      </w:pPr>
      <w:r>
        <w:rPr>
          <w:rFonts w:hint="eastAsia"/>
          <w:highlight w:val="none"/>
        </w:rPr>
        <w:t>3、不油漆且易磨损的零件应涂上高熔点或脂肪酸或其他保护功能的油脂以得到保护，并得到妥善包装后固定。机组所有开口处应封闭保护起来，以防止在运输搬运途中异物进入。裸露于外部的电动机、控制箱、排气装置和机组的控制器等均应加保护罩。</w:t>
      </w:r>
    </w:p>
    <w:p w14:paraId="24FA9038">
      <w:pPr>
        <w:spacing w:line="360" w:lineRule="auto"/>
        <w:ind w:firstLine="480" w:firstLineChars="200"/>
        <w:rPr>
          <w:rFonts w:hint="eastAsia"/>
          <w:highlight w:val="none"/>
        </w:rPr>
      </w:pPr>
      <w:r>
        <w:rPr>
          <w:rFonts w:hint="eastAsia"/>
          <w:highlight w:val="none"/>
        </w:rPr>
        <w:t>4、随机的零部件、备品备件等散件应木箱包装。这些箱盒应适合于储存，储存年限应在包装上予以说明。</w:t>
      </w:r>
    </w:p>
    <w:p w14:paraId="3B7B796E">
      <w:pPr>
        <w:spacing w:line="360" w:lineRule="auto"/>
        <w:ind w:firstLine="480" w:firstLineChars="200"/>
        <w:rPr>
          <w:rFonts w:hint="eastAsia"/>
          <w:highlight w:val="none"/>
        </w:rPr>
      </w:pPr>
      <w:r>
        <w:rPr>
          <w:rFonts w:hint="eastAsia"/>
          <w:highlight w:val="none"/>
        </w:rPr>
        <w:t>5、设备的包装费应包括在投标总价中。</w:t>
      </w:r>
    </w:p>
    <w:p w14:paraId="0AEE3693">
      <w:pPr>
        <w:spacing w:line="360" w:lineRule="auto"/>
        <w:ind w:firstLine="480" w:firstLineChars="200"/>
        <w:rPr>
          <w:rFonts w:hint="eastAsia"/>
          <w:highlight w:val="none"/>
        </w:rPr>
      </w:pPr>
      <w:r>
        <w:rPr>
          <w:rFonts w:hint="eastAsia"/>
          <w:highlight w:val="none"/>
        </w:rPr>
        <w:t>6、在包装箱中，应附有产品合格证书（包括机组合格证、部件合格证、材料合格证等）、产品说明书、装箱单，一套完整的经批准的图纸及有关技术文件资料。包装箱外面应注明数量、设备名称、编号、起吊位置、警示标志、外形尺寸、毛重等。</w:t>
      </w:r>
    </w:p>
    <w:p w14:paraId="6FB04F0F">
      <w:pPr>
        <w:spacing w:line="360" w:lineRule="auto"/>
        <w:ind w:firstLine="480" w:firstLineChars="200"/>
        <w:rPr>
          <w:rFonts w:hint="eastAsia"/>
          <w:highlight w:val="none"/>
        </w:rPr>
      </w:pPr>
      <w:r>
        <w:rPr>
          <w:rFonts w:hint="eastAsia"/>
          <w:highlight w:val="none"/>
        </w:rPr>
        <w:t>7、中标人应对设备的整个交货过程负责，包括运输、装卸、调试的安全。</w:t>
      </w:r>
    </w:p>
    <w:p w14:paraId="59D5F25A">
      <w:pPr>
        <w:spacing w:line="360" w:lineRule="auto"/>
        <w:ind w:firstLine="480" w:firstLineChars="200"/>
        <w:rPr>
          <w:rFonts w:hint="eastAsia"/>
          <w:highlight w:val="none"/>
        </w:rPr>
      </w:pPr>
      <w:r>
        <w:rPr>
          <w:rFonts w:hint="eastAsia"/>
          <w:highlight w:val="none"/>
        </w:rPr>
        <w:t>8、随包装箱配带的文件、资料应防潮密封，并放置在包装箱内明显处。</w:t>
      </w:r>
    </w:p>
    <w:p w14:paraId="7FBF42EE">
      <w:pPr>
        <w:spacing w:line="360" w:lineRule="auto"/>
        <w:ind w:firstLine="482" w:firstLineChars="200"/>
        <w:rPr>
          <w:rFonts w:hint="eastAsia"/>
          <w:b/>
          <w:bCs/>
          <w:highlight w:val="none"/>
        </w:rPr>
      </w:pPr>
      <w:r>
        <w:rPr>
          <w:rFonts w:hint="eastAsia"/>
          <w:b/>
          <w:bCs/>
          <w:highlight w:val="none"/>
        </w:rPr>
        <w:t>五、</w:t>
      </w:r>
      <w:bookmarkEnd w:id="464"/>
      <w:r>
        <w:rPr>
          <w:rFonts w:hint="eastAsia"/>
          <w:b/>
          <w:bCs/>
          <w:highlight w:val="none"/>
        </w:rPr>
        <w:t>交货要求</w:t>
      </w:r>
    </w:p>
    <w:p w14:paraId="6777954D">
      <w:pPr>
        <w:spacing w:line="360" w:lineRule="auto"/>
        <w:ind w:firstLine="480" w:firstLineChars="200"/>
        <w:rPr>
          <w:rFonts w:hint="eastAsia"/>
          <w:highlight w:val="none"/>
        </w:rPr>
      </w:pPr>
      <w:r>
        <w:rPr>
          <w:highlight w:val="none"/>
        </w:rPr>
        <w:t>1</w:t>
      </w:r>
      <w:r>
        <w:rPr>
          <w:rFonts w:hint="eastAsia"/>
          <w:highlight w:val="none"/>
        </w:rPr>
        <w:t>、工期：</w:t>
      </w:r>
    </w:p>
    <w:p w14:paraId="71A79A17">
      <w:pPr>
        <w:spacing w:line="360" w:lineRule="auto"/>
        <w:ind w:firstLine="480" w:firstLineChars="200"/>
        <w:rPr>
          <w:rFonts w:hint="eastAsia"/>
          <w:highlight w:val="none"/>
        </w:rPr>
      </w:pPr>
      <w:r>
        <w:rPr>
          <w:rFonts w:hint="eastAsia"/>
          <w:highlight w:val="none"/>
        </w:rPr>
        <w:t>200日历天（开工时间以采购人通知为准）。</w:t>
      </w:r>
    </w:p>
    <w:p w14:paraId="45CF4C81">
      <w:pPr>
        <w:spacing w:line="360" w:lineRule="auto"/>
        <w:ind w:firstLine="480" w:firstLineChars="200"/>
        <w:rPr>
          <w:rFonts w:hint="eastAsia"/>
          <w:highlight w:val="none"/>
        </w:rPr>
      </w:pPr>
      <w:r>
        <w:rPr>
          <w:rFonts w:hint="eastAsia"/>
          <w:highlight w:val="none"/>
        </w:rPr>
        <w:t>一旦中标，中标人须根据采购人的进度要求随时进场，并在满足采购人</w:t>
      </w:r>
      <w:r>
        <w:rPr>
          <w:rFonts w:hint="eastAsia"/>
          <w:highlight w:val="none"/>
          <w:lang w:val="en-US" w:eastAsia="zh-CN"/>
        </w:rPr>
        <w:t>工期</w:t>
      </w:r>
      <w:r>
        <w:rPr>
          <w:rFonts w:hint="eastAsia"/>
          <w:highlight w:val="none"/>
        </w:rPr>
        <w:t>计划中节点目标的条件下组织施工，并配合总承包单位完成竣工验收。</w:t>
      </w:r>
    </w:p>
    <w:p w14:paraId="3CB6DD49">
      <w:pPr>
        <w:spacing w:line="360" w:lineRule="auto"/>
        <w:ind w:firstLine="480" w:firstLineChars="200"/>
        <w:rPr>
          <w:rFonts w:hint="eastAsia"/>
          <w:highlight w:val="none"/>
        </w:rPr>
      </w:pPr>
      <w:r>
        <w:rPr>
          <w:highlight w:val="none"/>
        </w:rPr>
        <w:t>2</w:t>
      </w:r>
      <w:r>
        <w:rPr>
          <w:rFonts w:hint="eastAsia"/>
          <w:highlight w:val="none"/>
        </w:rPr>
        <w:t>、</w:t>
      </w:r>
      <w:r>
        <w:rPr>
          <w:highlight w:val="none"/>
        </w:rPr>
        <w:t>交货地点：</w:t>
      </w:r>
      <w:r>
        <w:rPr>
          <w:rFonts w:hint="eastAsia"/>
          <w:highlight w:val="none"/>
        </w:rPr>
        <w:t>绍兴上虞区（具体以采购人指定的地点）。</w:t>
      </w:r>
    </w:p>
    <w:p w14:paraId="4E540CFD">
      <w:pPr>
        <w:spacing w:line="360" w:lineRule="auto"/>
        <w:ind w:firstLine="480" w:firstLineChars="200"/>
        <w:rPr>
          <w:rFonts w:hint="eastAsia"/>
          <w:highlight w:val="none"/>
        </w:rPr>
      </w:pPr>
      <w:r>
        <w:rPr>
          <w:highlight w:val="none"/>
        </w:rPr>
        <w:t>3</w:t>
      </w:r>
      <w:r>
        <w:rPr>
          <w:rFonts w:hint="eastAsia"/>
          <w:highlight w:val="none"/>
        </w:rPr>
        <w:t>、中标人须按采购人的要求并在采购人、设计单位确定后制定深化设计图，竣工后提供6份竣工图及必要的后期维护等。中标人将所提供的设备产品按采购人的要求安装，调试完毕，保证采购人能够正常使用。</w:t>
      </w:r>
    </w:p>
    <w:p w14:paraId="09832D17">
      <w:pPr>
        <w:spacing w:line="360" w:lineRule="auto"/>
        <w:ind w:firstLine="480" w:firstLineChars="200"/>
        <w:rPr>
          <w:rFonts w:hint="eastAsia"/>
          <w:highlight w:val="none"/>
        </w:rPr>
      </w:pPr>
      <w:r>
        <w:rPr>
          <w:highlight w:val="none"/>
        </w:rPr>
        <w:t>4</w:t>
      </w:r>
      <w:r>
        <w:rPr>
          <w:rFonts w:hint="eastAsia"/>
          <w:highlight w:val="none"/>
        </w:rPr>
        <w:t>、中标人在供货时提供的所有设备、部件必须符合招投标文件及合同的要求原装部件，原包原盒，非OEM的产品，不得以拆封件、拆机件交货，所有材料到现场需采购人签收。</w:t>
      </w:r>
    </w:p>
    <w:p w14:paraId="08658368">
      <w:pPr>
        <w:spacing w:line="360" w:lineRule="auto"/>
        <w:ind w:firstLine="480" w:firstLineChars="200"/>
        <w:rPr>
          <w:rFonts w:hint="eastAsia"/>
          <w:highlight w:val="none"/>
        </w:rPr>
      </w:pPr>
      <w:r>
        <w:rPr>
          <w:highlight w:val="none"/>
        </w:rPr>
        <w:t>5</w:t>
      </w:r>
      <w:r>
        <w:rPr>
          <w:rFonts w:hint="eastAsia"/>
          <w:highlight w:val="none"/>
        </w:rPr>
        <w:t>、中标人在供货时应将产品品牌、名称、型号等信息逐一进行登记，制成清单加盖中标人公章。采购人（可委派监理单位）根据清单现场核对确认，如果发现数量不足或有质量、技术等问题，中标人应负责根据项目要求补足或更换，并承担由此发生的一切损失和费用。验收合格后，采购人（可委派监理单位）在验收单上签字。未经采购人（可委派监理单位）现场核对确认就擅自投入使用的货物，采购人有权不予认可、不支付费用。</w:t>
      </w:r>
    </w:p>
    <w:p w14:paraId="396EDB2A">
      <w:pPr>
        <w:spacing w:line="360" w:lineRule="auto"/>
        <w:ind w:firstLine="480" w:firstLineChars="200"/>
        <w:rPr>
          <w:rFonts w:hint="eastAsia"/>
          <w:highlight w:val="none"/>
        </w:rPr>
      </w:pPr>
      <w:r>
        <w:rPr>
          <w:highlight w:val="none"/>
        </w:rPr>
        <w:t>6</w:t>
      </w:r>
      <w:r>
        <w:rPr>
          <w:rFonts w:hint="eastAsia"/>
          <w:highlight w:val="none"/>
        </w:rPr>
        <w:t>、中标人将所供货物的产品序列号、保修卡、合格证、测验报告、产品说明书等信息逐一进行登记，经核对无误后加盖中标人公章，随交货时移交采购人保管备查。</w:t>
      </w:r>
    </w:p>
    <w:p w14:paraId="6CDA9E71">
      <w:pPr>
        <w:spacing w:line="360" w:lineRule="auto"/>
        <w:ind w:firstLine="480" w:firstLineChars="200"/>
        <w:rPr>
          <w:rFonts w:hint="eastAsia"/>
          <w:highlight w:val="none"/>
        </w:rPr>
      </w:pPr>
      <w:r>
        <w:rPr>
          <w:highlight w:val="none"/>
        </w:rPr>
        <w:t>7</w:t>
      </w:r>
      <w:r>
        <w:rPr>
          <w:rFonts w:hint="eastAsia"/>
          <w:highlight w:val="none"/>
        </w:rPr>
        <w:t>、中标人方应在货物发运前对其进行满足运输距离、防潮、防震、防锈和防破损装卸等要求包装，以保证货物安全运达采购人指定地点，对提供的设备必须按招标文件要求。</w:t>
      </w:r>
    </w:p>
    <w:p w14:paraId="19FD3A22">
      <w:pPr>
        <w:spacing w:line="360" w:lineRule="auto"/>
        <w:ind w:firstLine="480" w:firstLineChars="200"/>
        <w:rPr>
          <w:rFonts w:hint="eastAsia"/>
          <w:highlight w:val="none"/>
        </w:rPr>
      </w:pPr>
      <w:r>
        <w:rPr>
          <w:highlight w:val="none"/>
        </w:rPr>
        <w:t>8</w:t>
      </w:r>
      <w:r>
        <w:rPr>
          <w:rFonts w:hint="eastAsia"/>
          <w:highlight w:val="none"/>
        </w:rPr>
        <w:t>、采购人保留在合同签订后对中标的软件和货物进行试用、测试的权利，如果测试发现与标书要求或投标文件不一致、软件缺失或中标单位有意拖延测试，则被视为欺诈行为，采购人有权罚没履约保证金并废止合同，相关情况上报有关部门，投标单位需承担一切后果与责任。</w:t>
      </w:r>
    </w:p>
    <w:p w14:paraId="22ABDF2E">
      <w:pPr>
        <w:spacing w:line="360" w:lineRule="auto"/>
        <w:ind w:firstLine="480" w:firstLineChars="200"/>
        <w:rPr>
          <w:rFonts w:hint="eastAsia"/>
          <w:highlight w:val="none"/>
        </w:rPr>
      </w:pPr>
      <w:r>
        <w:rPr>
          <w:highlight w:val="none"/>
        </w:rPr>
        <w:t>9</w:t>
      </w:r>
      <w:r>
        <w:rPr>
          <w:rFonts w:hint="eastAsia"/>
          <w:highlight w:val="none"/>
        </w:rPr>
        <w:t>、软件平台安全要求</w:t>
      </w:r>
    </w:p>
    <w:p w14:paraId="369D9D5C">
      <w:pPr>
        <w:spacing w:line="360" w:lineRule="auto"/>
        <w:ind w:firstLine="480" w:firstLineChars="200"/>
        <w:rPr>
          <w:rFonts w:hint="eastAsia"/>
          <w:highlight w:val="none"/>
        </w:rPr>
      </w:pPr>
      <w:r>
        <w:rPr>
          <w:rFonts w:hint="eastAsia"/>
          <w:highlight w:val="none"/>
        </w:rPr>
        <w:t>（1）</w:t>
      </w:r>
      <w:r>
        <w:rPr>
          <w:highlight w:val="none"/>
        </w:rPr>
        <w:t>数据安全性</w:t>
      </w:r>
      <w:r>
        <w:rPr>
          <w:rFonts w:hint="eastAsia"/>
          <w:highlight w:val="none"/>
        </w:rPr>
        <w:t>：</w:t>
      </w:r>
      <w:r>
        <w:rPr>
          <w:highlight w:val="none"/>
        </w:rPr>
        <w:t>在数据存储、传输过程</w:t>
      </w:r>
      <w:r>
        <w:rPr>
          <w:rFonts w:hint="eastAsia"/>
          <w:highlight w:val="none"/>
        </w:rPr>
        <w:t>中保障</w:t>
      </w:r>
      <w:r>
        <w:rPr>
          <w:highlight w:val="none"/>
        </w:rPr>
        <w:t>安全保密。</w:t>
      </w:r>
    </w:p>
    <w:p w14:paraId="57AAAE5C">
      <w:pPr>
        <w:spacing w:line="360" w:lineRule="auto"/>
        <w:ind w:firstLine="480" w:firstLineChars="200"/>
        <w:rPr>
          <w:rFonts w:hint="eastAsia"/>
          <w:highlight w:val="none"/>
        </w:rPr>
      </w:pPr>
      <w:r>
        <w:rPr>
          <w:rFonts w:hint="eastAsia"/>
          <w:highlight w:val="none"/>
        </w:rPr>
        <w:t>（2）</w:t>
      </w:r>
      <w:r>
        <w:rPr>
          <w:highlight w:val="none"/>
        </w:rPr>
        <w:t>数据完整性</w:t>
      </w:r>
      <w:r>
        <w:rPr>
          <w:rFonts w:hint="eastAsia"/>
          <w:highlight w:val="none"/>
        </w:rPr>
        <w:t>：</w:t>
      </w:r>
      <w:r>
        <w:rPr>
          <w:highlight w:val="none"/>
        </w:rPr>
        <w:t>在数据存储、传输过程中</w:t>
      </w:r>
      <w:r>
        <w:rPr>
          <w:rFonts w:hint="eastAsia"/>
          <w:highlight w:val="none"/>
        </w:rPr>
        <w:t>保障数据</w:t>
      </w:r>
      <w:r>
        <w:rPr>
          <w:highlight w:val="none"/>
        </w:rPr>
        <w:t>完整性。</w:t>
      </w:r>
    </w:p>
    <w:p w14:paraId="49EFD464">
      <w:pPr>
        <w:spacing w:line="360" w:lineRule="auto"/>
        <w:ind w:firstLine="480" w:firstLineChars="200"/>
        <w:rPr>
          <w:rFonts w:hint="eastAsia"/>
          <w:highlight w:val="none"/>
        </w:rPr>
      </w:pPr>
      <w:r>
        <w:rPr>
          <w:rFonts w:hint="eastAsia"/>
          <w:highlight w:val="none"/>
        </w:rPr>
        <w:t>（3）</w:t>
      </w:r>
      <w:r>
        <w:rPr>
          <w:highlight w:val="none"/>
        </w:rPr>
        <w:t>可鉴别性</w:t>
      </w:r>
      <w:r>
        <w:rPr>
          <w:rFonts w:hint="eastAsia"/>
          <w:highlight w:val="none"/>
        </w:rPr>
        <w:t>：</w:t>
      </w:r>
      <w:r>
        <w:rPr>
          <w:highlight w:val="none"/>
        </w:rPr>
        <w:t>对用户及数据交换服务</w:t>
      </w:r>
      <w:r>
        <w:rPr>
          <w:rFonts w:hint="eastAsia"/>
          <w:highlight w:val="none"/>
        </w:rPr>
        <w:t>实现</w:t>
      </w:r>
      <w:r>
        <w:rPr>
          <w:highlight w:val="none"/>
        </w:rPr>
        <w:t>可鉴别性。</w:t>
      </w:r>
    </w:p>
    <w:p w14:paraId="10B3D96C">
      <w:pPr>
        <w:spacing w:line="360" w:lineRule="auto"/>
        <w:ind w:firstLine="480" w:firstLineChars="200"/>
        <w:rPr>
          <w:rFonts w:hint="eastAsia"/>
          <w:highlight w:val="none"/>
        </w:rPr>
      </w:pPr>
      <w:r>
        <w:rPr>
          <w:rFonts w:hint="eastAsia"/>
          <w:highlight w:val="none"/>
        </w:rPr>
        <w:t>（4）</w:t>
      </w:r>
      <w:r>
        <w:rPr>
          <w:highlight w:val="none"/>
        </w:rPr>
        <w:t>不可否认性</w:t>
      </w:r>
      <w:r>
        <w:rPr>
          <w:rFonts w:hint="eastAsia"/>
          <w:highlight w:val="none"/>
        </w:rPr>
        <w:t>：要求</w:t>
      </w:r>
      <w:r>
        <w:rPr>
          <w:highlight w:val="none"/>
        </w:rPr>
        <w:t>可以确认和跟踪对系统所做的任何修改。审计跟踪功能记录每个操作人员对所有原始数据的修改，包括修改时间，修改前、后的数据。</w:t>
      </w:r>
    </w:p>
    <w:p w14:paraId="5EA8B696">
      <w:pPr>
        <w:spacing w:line="360" w:lineRule="auto"/>
        <w:ind w:firstLine="480" w:firstLineChars="200"/>
        <w:rPr>
          <w:rFonts w:hint="eastAsia"/>
          <w:highlight w:val="none"/>
        </w:rPr>
      </w:pPr>
      <w:r>
        <w:rPr>
          <w:rFonts w:hint="eastAsia"/>
          <w:highlight w:val="none"/>
        </w:rPr>
        <w:t>（5）</w:t>
      </w:r>
      <w:r>
        <w:rPr>
          <w:highlight w:val="none"/>
        </w:rPr>
        <w:t>可授权性</w:t>
      </w:r>
      <w:r>
        <w:rPr>
          <w:rFonts w:hint="eastAsia"/>
          <w:highlight w:val="none"/>
        </w:rPr>
        <w:t>：</w:t>
      </w:r>
      <w:r>
        <w:rPr>
          <w:highlight w:val="none"/>
        </w:rPr>
        <w:t>具备</w:t>
      </w:r>
      <w:r>
        <w:rPr>
          <w:rFonts w:hint="eastAsia"/>
          <w:highlight w:val="none"/>
        </w:rPr>
        <w:t>多级</w:t>
      </w:r>
      <w:r>
        <w:rPr>
          <w:highlight w:val="none"/>
        </w:rPr>
        <w:t>授权功能，实现对数据资源的自主授权和访问控制的功能。</w:t>
      </w:r>
    </w:p>
    <w:p w14:paraId="097174BC">
      <w:pPr>
        <w:spacing w:line="360" w:lineRule="auto"/>
        <w:ind w:firstLine="480" w:firstLineChars="200"/>
        <w:rPr>
          <w:rFonts w:hint="eastAsia"/>
          <w:highlight w:val="none"/>
        </w:rPr>
      </w:pPr>
      <w:r>
        <w:rPr>
          <w:rFonts w:hint="eastAsia"/>
          <w:highlight w:val="none"/>
        </w:rPr>
        <w:t>（6）</w:t>
      </w:r>
      <w:r>
        <w:rPr>
          <w:highlight w:val="none"/>
        </w:rPr>
        <w:t>安全监管性</w:t>
      </w:r>
      <w:r>
        <w:rPr>
          <w:rFonts w:hint="eastAsia"/>
          <w:highlight w:val="none"/>
        </w:rPr>
        <w:t>：</w:t>
      </w:r>
      <w:r>
        <w:rPr>
          <w:highlight w:val="none"/>
        </w:rPr>
        <w:t>通过系统日志系统管理员可以观察当前所有进入系统的人员和登录所在的工作站以及所有人员登录的历史记录。</w:t>
      </w:r>
    </w:p>
    <w:p w14:paraId="6097F469">
      <w:pPr>
        <w:spacing w:line="360" w:lineRule="auto"/>
        <w:ind w:firstLine="480" w:firstLineChars="200"/>
        <w:rPr>
          <w:rFonts w:hint="eastAsia"/>
          <w:highlight w:val="none"/>
        </w:rPr>
      </w:pPr>
      <w:r>
        <w:rPr>
          <w:rFonts w:hint="eastAsia"/>
          <w:highlight w:val="none"/>
        </w:rPr>
        <w:t>（7）其他</w:t>
      </w:r>
    </w:p>
    <w:p w14:paraId="40884F1D">
      <w:pPr>
        <w:spacing w:line="360" w:lineRule="auto"/>
        <w:ind w:firstLine="480" w:firstLineChars="200"/>
        <w:rPr>
          <w:rFonts w:hint="eastAsia"/>
          <w:highlight w:val="none"/>
        </w:rPr>
      </w:pPr>
      <w:r>
        <w:rPr>
          <w:rFonts w:hint="eastAsia"/>
          <w:highlight w:val="none"/>
        </w:rPr>
        <w:t>1）软件平台要具有较强的硬件规模扩展能力。</w:t>
      </w:r>
    </w:p>
    <w:p w14:paraId="484FE5C0">
      <w:pPr>
        <w:spacing w:line="360" w:lineRule="auto"/>
        <w:ind w:firstLine="480" w:firstLineChars="200"/>
        <w:rPr>
          <w:rFonts w:hint="eastAsia"/>
          <w:highlight w:val="none"/>
        </w:rPr>
      </w:pPr>
      <w:r>
        <w:rPr>
          <w:rFonts w:hint="eastAsia"/>
          <w:highlight w:val="none"/>
        </w:rPr>
        <w:t>2）软件平台本身要具有良好的扩展能力，具备高度的可伸缩扩充能力。</w:t>
      </w:r>
    </w:p>
    <w:p w14:paraId="3C2DC4E7">
      <w:pPr>
        <w:spacing w:line="360" w:lineRule="auto"/>
        <w:ind w:firstLine="480" w:firstLineChars="200"/>
        <w:rPr>
          <w:rFonts w:hint="eastAsia"/>
          <w:highlight w:val="none"/>
        </w:rPr>
      </w:pPr>
      <w:r>
        <w:rPr>
          <w:rFonts w:hint="eastAsia"/>
          <w:highlight w:val="none"/>
        </w:rPr>
        <w:t>3）软件平台要具有良好的负载均衡能力。</w:t>
      </w:r>
    </w:p>
    <w:p w14:paraId="42E796B4">
      <w:pPr>
        <w:spacing w:line="360" w:lineRule="auto"/>
        <w:ind w:firstLine="480" w:firstLineChars="200"/>
        <w:rPr>
          <w:rFonts w:hint="eastAsia"/>
          <w:highlight w:val="none"/>
        </w:rPr>
      </w:pPr>
      <w:r>
        <w:rPr>
          <w:rFonts w:hint="eastAsia"/>
          <w:highlight w:val="none"/>
        </w:rPr>
        <w:t>4）软件平台具有可维护性，系统设置要方便灵活。</w:t>
      </w:r>
    </w:p>
    <w:p w14:paraId="498D477D">
      <w:pPr>
        <w:spacing w:line="360" w:lineRule="auto"/>
        <w:ind w:firstLine="480" w:firstLineChars="200"/>
        <w:rPr>
          <w:rFonts w:hint="eastAsia"/>
          <w:highlight w:val="none"/>
        </w:rPr>
      </w:pPr>
      <w:r>
        <w:rPr>
          <w:rFonts w:hint="eastAsia"/>
          <w:highlight w:val="none"/>
        </w:rPr>
        <w:t>5）软件平台应提供符合业务规范的数据接口，以实现与其他系统的连接，支持一致性数据模型，保证数据的一致性、完整性。</w:t>
      </w:r>
    </w:p>
    <w:p w14:paraId="4BFC66EB">
      <w:pPr>
        <w:spacing w:line="360" w:lineRule="auto"/>
        <w:ind w:firstLine="480" w:firstLineChars="200"/>
        <w:rPr>
          <w:rFonts w:hint="eastAsia"/>
          <w:highlight w:val="none"/>
        </w:rPr>
      </w:pPr>
      <w:r>
        <w:rPr>
          <w:rFonts w:hint="eastAsia"/>
          <w:highlight w:val="none"/>
        </w:rPr>
        <w:t>6）软件平台设计面向数据，而不是面向流程，易于系统的构造和重组织。</w:t>
      </w:r>
    </w:p>
    <w:p w14:paraId="2D051D6A">
      <w:pPr>
        <w:spacing w:line="360" w:lineRule="auto"/>
        <w:ind w:firstLine="480" w:firstLineChars="200"/>
        <w:rPr>
          <w:rFonts w:hint="eastAsia"/>
          <w:highlight w:val="none"/>
        </w:rPr>
      </w:pPr>
      <w:r>
        <w:rPr>
          <w:rFonts w:hint="eastAsia"/>
          <w:highlight w:val="none"/>
        </w:rPr>
        <w:t>7）系统设计要做到代码标准化、模块标准化、文档标准化、测试标准化和信息标准化。</w:t>
      </w:r>
    </w:p>
    <w:p w14:paraId="38462F65">
      <w:pPr>
        <w:spacing w:line="360" w:lineRule="auto"/>
        <w:ind w:firstLine="480" w:firstLineChars="200"/>
        <w:rPr>
          <w:rFonts w:hint="eastAsia"/>
          <w:highlight w:val="none"/>
        </w:rPr>
      </w:pPr>
      <w:r>
        <w:rPr>
          <w:rFonts w:hint="eastAsia"/>
          <w:highlight w:val="none"/>
        </w:rPr>
        <w:t>1</w:t>
      </w:r>
      <w:r>
        <w:rPr>
          <w:highlight w:val="none"/>
        </w:rPr>
        <w:t>0</w:t>
      </w:r>
      <w:r>
        <w:rPr>
          <w:rFonts w:hint="eastAsia"/>
          <w:highlight w:val="none"/>
        </w:rPr>
        <w:t>、检测要求</w:t>
      </w:r>
    </w:p>
    <w:p w14:paraId="7794FEE5">
      <w:pPr>
        <w:spacing w:line="360" w:lineRule="auto"/>
        <w:ind w:firstLine="480" w:firstLineChars="200"/>
        <w:rPr>
          <w:rFonts w:hint="eastAsia"/>
          <w:highlight w:val="none"/>
        </w:rPr>
      </w:pPr>
      <w:r>
        <w:rPr>
          <w:rFonts w:hint="eastAsia"/>
          <w:highlight w:val="none"/>
        </w:rPr>
        <w:t>项目完工后，供货人须提供以下检测报告作为验收依据：</w:t>
      </w:r>
    </w:p>
    <w:p w14:paraId="2A0382CA">
      <w:pPr>
        <w:spacing w:line="360" w:lineRule="auto"/>
        <w:ind w:firstLine="480" w:firstLineChars="200"/>
        <w:rPr>
          <w:rFonts w:hint="eastAsia"/>
          <w:highlight w:val="none"/>
        </w:rPr>
      </w:pPr>
      <w:r>
        <w:rPr>
          <w:rFonts w:hint="eastAsia"/>
          <w:highlight w:val="none"/>
        </w:rPr>
        <w:t>（1）针对网</w:t>
      </w:r>
      <w:r>
        <w:rPr>
          <w:highlight w:val="none"/>
        </w:rPr>
        <w:t>络系统提供福禄克（FLUKE）检测通过报告</w:t>
      </w:r>
      <w:r>
        <w:rPr>
          <w:rFonts w:hint="eastAsia"/>
          <w:highlight w:val="none"/>
        </w:rPr>
        <w:t>；</w:t>
      </w:r>
    </w:p>
    <w:p w14:paraId="63BD52ED">
      <w:pPr>
        <w:spacing w:line="360" w:lineRule="auto"/>
        <w:ind w:firstLine="480" w:firstLineChars="200"/>
        <w:rPr>
          <w:rFonts w:hint="eastAsia"/>
          <w:highlight w:val="none"/>
        </w:rPr>
      </w:pPr>
      <w:r>
        <w:rPr>
          <w:rFonts w:hint="eastAsia"/>
          <w:highlight w:val="none"/>
        </w:rPr>
        <w:t>（2）针对</w:t>
      </w:r>
      <w:r>
        <w:rPr>
          <w:highlight w:val="none"/>
        </w:rPr>
        <w:t>所有网络交换机型号提供进网检验报告</w:t>
      </w:r>
      <w:r>
        <w:rPr>
          <w:rFonts w:hint="eastAsia"/>
          <w:highlight w:val="none"/>
        </w:rPr>
        <w:t>。</w:t>
      </w:r>
    </w:p>
    <w:p w14:paraId="71233C3D">
      <w:pPr>
        <w:spacing w:line="360" w:lineRule="auto"/>
        <w:ind w:firstLine="482" w:firstLineChars="200"/>
        <w:rPr>
          <w:rFonts w:hint="eastAsia"/>
          <w:b/>
          <w:bCs/>
          <w:highlight w:val="none"/>
        </w:rPr>
      </w:pPr>
      <w:r>
        <w:rPr>
          <w:rFonts w:hint="eastAsia"/>
          <w:b/>
          <w:bCs/>
          <w:highlight w:val="none"/>
        </w:rPr>
        <w:t>六、安装服务要求</w:t>
      </w:r>
    </w:p>
    <w:p w14:paraId="6FCAF0CF">
      <w:pPr>
        <w:spacing w:line="360" w:lineRule="auto"/>
        <w:ind w:firstLine="480" w:firstLineChars="200"/>
        <w:rPr>
          <w:rFonts w:hint="eastAsia"/>
          <w:highlight w:val="none"/>
        </w:rPr>
      </w:pPr>
      <w:r>
        <w:rPr>
          <w:highlight w:val="none"/>
        </w:rPr>
        <w:t>1、供货人保证所提供的设备是全新的、未使用过的。</w:t>
      </w:r>
    </w:p>
    <w:p w14:paraId="578530C1">
      <w:pPr>
        <w:spacing w:line="360" w:lineRule="auto"/>
        <w:ind w:firstLine="480" w:firstLineChars="200"/>
        <w:rPr>
          <w:rFonts w:hint="eastAsia"/>
          <w:highlight w:val="none"/>
        </w:rPr>
      </w:pPr>
      <w:r>
        <w:rPr>
          <w:highlight w:val="none"/>
        </w:rPr>
        <w:t>2、供货人保证采用先进的技术、优质的材料和零部件、一流的工艺、严格的质量管理为采购人提供技术先进、质量上乘、外表美观并完全符合合同规定的质量、规格、性能要求的设备。</w:t>
      </w:r>
    </w:p>
    <w:p w14:paraId="2BAC4A2F">
      <w:pPr>
        <w:spacing w:line="360" w:lineRule="auto"/>
        <w:ind w:firstLine="480" w:firstLineChars="200"/>
        <w:rPr>
          <w:rFonts w:hint="eastAsia"/>
          <w:highlight w:val="none"/>
        </w:rPr>
      </w:pPr>
      <w:r>
        <w:rPr>
          <w:highlight w:val="none"/>
        </w:rPr>
        <w:t>3、供货人应对外购或外协的零部件的质量和技术性能负全部责任。</w:t>
      </w:r>
    </w:p>
    <w:p w14:paraId="0BA6C066">
      <w:pPr>
        <w:spacing w:line="360" w:lineRule="auto"/>
        <w:ind w:firstLine="480" w:firstLineChars="200"/>
        <w:rPr>
          <w:rFonts w:hint="eastAsia"/>
          <w:highlight w:val="none"/>
        </w:rPr>
      </w:pPr>
      <w:r>
        <w:rPr>
          <w:highlight w:val="none"/>
        </w:rPr>
        <w:t>4、供货人保证所提供的设备在正确安装、正常使用和维护保养的情况下，具有使买方满意的使用性能和使用寿命。</w:t>
      </w:r>
    </w:p>
    <w:p w14:paraId="172FBBEF">
      <w:pPr>
        <w:spacing w:line="360" w:lineRule="auto"/>
        <w:ind w:firstLine="480" w:firstLineChars="200"/>
        <w:rPr>
          <w:rFonts w:hint="eastAsia"/>
          <w:highlight w:val="none"/>
        </w:rPr>
      </w:pPr>
      <w:r>
        <w:rPr>
          <w:highlight w:val="none"/>
        </w:rPr>
        <w:t>5</w:t>
      </w:r>
      <w:r>
        <w:rPr>
          <w:rFonts w:hint="eastAsia"/>
          <w:highlight w:val="none"/>
        </w:rPr>
        <w:t>、</w:t>
      </w:r>
      <w:r>
        <w:rPr>
          <w:highlight w:val="none"/>
        </w:rPr>
        <w:t>货物安装、调试应符合国家的相关规定，供货人应服从采购人的管理和检查，供货人应指派具有丰富工作经验且有相似规模项目管理经验的工作人员作为负责人，负责安装、调试工作，供货人指派的其他现场人员和货物应按计划进场。若驻场人员无故缺席，采购人享有要求供货人及时更换人员的权利，若多次无故缺席或拒不提供驻场服务的，在验收完成后采购人有权扣除履约保证金。</w:t>
      </w:r>
    </w:p>
    <w:p w14:paraId="1D49801D">
      <w:pPr>
        <w:spacing w:line="360" w:lineRule="auto"/>
        <w:ind w:firstLine="480" w:firstLineChars="200"/>
        <w:rPr>
          <w:rFonts w:hint="eastAsia"/>
          <w:highlight w:val="none"/>
        </w:rPr>
      </w:pPr>
      <w:r>
        <w:rPr>
          <w:highlight w:val="none"/>
        </w:rPr>
        <w:t>6</w:t>
      </w:r>
      <w:r>
        <w:rPr>
          <w:rFonts w:hint="eastAsia"/>
          <w:highlight w:val="none"/>
        </w:rPr>
        <w:t>、</w:t>
      </w:r>
      <w:r>
        <w:rPr>
          <w:highlight w:val="none"/>
        </w:rPr>
        <w:t>供货人应做到文明施工，保持现场清洁，强化安全责任，服从采购人管理，供货人须严格执行安全生产有关规定，对施工人员开展安全教育，购买有关保险，施工中发生的任何事故均由供货人负责。</w:t>
      </w:r>
    </w:p>
    <w:p w14:paraId="27C4AC88">
      <w:pPr>
        <w:spacing w:line="360" w:lineRule="auto"/>
        <w:ind w:firstLine="480" w:firstLineChars="200"/>
        <w:rPr>
          <w:rFonts w:hint="eastAsia"/>
          <w:highlight w:val="none"/>
        </w:rPr>
      </w:pPr>
      <w:r>
        <w:rPr>
          <w:highlight w:val="none"/>
        </w:rPr>
        <w:t>7</w:t>
      </w:r>
      <w:r>
        <w:rPr>
          <w:rFonts w:hint="eastAsia"/>
          <w:highlight w:val="none"/>
        </w:rPr>
        <w:t>、</w:t>
      </w:r>
      <w:r>
        <w:rPr>
          <w:highlight w:val="none"/>
        </w:rPr>
        <w:t>供货人施工中应做好场所</w:t>
      </w:r>
      <w:r>
        <w:rPr>
          <w:rFonts w:hint="eastAsia"/>
          <w:highlight w:val="none"/>
        </w:rPr>
        <w:t>防护</w:t>
      </w:r>
      <w:r>
        <w:rPr>
          <w:highlight w:val="none"/>
        </w:rPr>
        <w:t>，不得损坏采购人电梯、地面、吊顶等</w:t>
      </w:r>
      <w:r>
        <w:rPr>
          <w:rFonts w:hint="eastAsia"/>
          <w:highlight w:val="none"/>
        </w:rPr>
        <w:t>各种</w:t>
      </w:r>
      <w:r>
        <w:rPr>
          <w:highlight w:val="none"/>
        </w:rPr>
        <w:t>设施；供货人不得野蛮施工，如开展对</w:t>
      </w:r>
      <w:r>
        <w:rPr>
          <w:rFonts w:hint="eastAsia"/>
          <w:highlight w:val="none"/>
        </w:rPr>
        <w:t>现有建筑</w:t>
      </w:r>
      <w:r>
        <w:rPr>
          <w:highlight w:val="none"/>
        </w:rPr>
        <w:t>有影响事项，应提前与采购人沟通，提前做好预案。</w:t>
      </w:r>
    </w:p>
    <w:p w14:paraId="3F1BA8A2">
      <w:pPr>
        <w:spacing w:line="360" w:lineRule="auto"/>
        <w:ind w:firstLine="482" w:firstLineChars="200"/>
        <w:rPr>
          <w:rFonts w:hint="eastAsia"/>
          <w:b/>
          <w:bCs/>
          <w:highlight w:val="none"/>
        </w:rPr>
      </w:pPr>
      <w:r>
        <w:rPr>
          <w:rFonts w:hint="eastAsia"/>
          <w:b/>
          <w:bCs/>
          <w:highlight w:val="none"/>
        </w:rPr>
        <w:t>七、验收要求</w:t>
      </w:r>
    </w:p>
    <w:p w14:paraId="232136C7">
      <w:pPr>
        <w:spacing w:line="360" w:lineRule="auto"/>
        <w:ind w:firstLine="480" w:firstLineChars="200"/>
        <w:rPr>
          <w:rFonts w:hint="eastAsia"/>
          <w:highlight w:val="none"/>
        </w:rPr>
      </w:pPr>
      <w:bookmarkStart w:id="465" w:name="_Toc14908813"/>
      <w:bookmarkStart w:id="466" w:name="_Toc17342"/>
      <w:bookmarkStart w:id="467" w:name="_Toc514333569"/>
      <w:r>
        <w:rPr>
          <w:rFonts w:hint="eastAsia"/>
          <w:highlight w:val="none"/>
        </w:rPr>
        <w:t>1、采购人对中标人提交的货物依据国家标准/规范、招标文件、投标文件进行现场验收。</w:t>
      </w:r>
    </w:p>
    <w:p w14:paraId="4C3F47A9">
      <w:pPr>
        <w:spacing w:line="360" w:lineRule="auto"/>
        <w:ind w:firstLine="480" w:firstLineChars="200"/>
        <w:rPr>
          <w:rFonts w:hint="eastAsia"/>
          <w:highlight w:val="none"/>
        </w:rPr>
      </w:pPr>
      <w:r>
        <w:rPr>
          <w:highlight w:val="none"/>
        </w:rPr>
        <w:t>2</w:t>
      </w:r>
      <w:r>
        <w:rPr>
          <w:rFonts w:hint="eastAsia"/>
          <w:highlight w:val="none"/>
        </w:rPr>
        <w:t>、中标人交货前应对产品作出全面检查和对验收文件进行整理，并列出清单，作为采购人收货验收和使用的技术条件依据，检验的结果应随货物交采购人。</w:t>
      </w:r>
    </w:p>
    <w:p w14:paraId="32ACF04B">
      <w:pPr>
        <w:spacing w:line="360" w:lineRule="auto"/>
        <w:ind w:firstLine="480" w:firstLineChars="200"/>
        <w:rPr>
          <w:rFonts w:hint="eastAsia"/>
          <w:highlight w:val="none"/>
        </w:rPr>
      </w:pPr>
      <w:r>
        <w:rPr>
          <w:highlight w:val="none"/>
        </w:rPr>
        <w:t>3</w:t>
      </w:r>
      <w:r>
        <w:rPr>
          <w:rFonts w:hint="eastAsia"/>
          <w:highlight w:val="none"/>
        </w:rPr>
        <w:t>、采购人对中标人提供的货物在使用前进行调试时，中标人需负责安装并培训采购人的使用操作人员和维修人员，并协助采购人一起调试（免费提供所需的耗材、备件），直到符合技术要求，采购人才做最终验收。</w:t>
      </w:r>
    </w:p>
    <w:p w14:paraId="2F8B352E">
      <w:pPr>
        <w:spacing w:line="360" w:lineRule="auto"/>
        <w:ind w:firstLine="480" w:firstLineChars="200"/>
        <w:rPr>
          <w:rFonts w:hint="eastAsia"/>
          <w:highlight w:val="none"/>
        </w:rPr>
      </w:pPr>
      <w:r>
        <w:rPr>
          <w:highlight w:val="none"/>
        </w:rPr>
        <w:t>4</w:t>
      </w:r>
      <w:r>
        <w:rPr>
          <w:rFonts w:hint="eastAsia"/>
          <w:highlight w:val="none"/>
        </w:rPr>
        <w:t>、验收时中标人需在现场，验收完毕后作出验收结果报告。</w:t>
      </w:r>
      <w:bookmarkEnd w:id="465"/>
      <w:bookmarkEnd w:id="466"/>
      <w:bookmarkEnd w:id="467"/>
    </w:p>
    <w:p w14:paraId="0157BF48">
      <w:pPr>
        <w:spacing w:line="360" w:lineRule="auto"/>
        <w:ind w:firstLine="482" w:firstLineChars="200"/>
        <w:rPr>
          <w:rFonts w:hint="eastAsia"/>
          <w:b/>
          <w:bCs/>
          <w:highlight w:val="none"/>
        </w:rPr>
      </w:pPr>
      <w:r>
        <w:rPr>
          <w:rFonts w:hint="eastAsia"/>
          <w:b/>
          <w:bCs/>
          <w:highlight w:val="none"/>
        </w:rPr>
        <w:t>八、售后服务要求与质保期</w:t>
      </w:r>
    </w:p>
    <w:p w14:paraId="1E51EE92">
      <w:pPr>
        <w:spacing w:line="360" w:lineRule="auto"/>
        <w:ind w:firstLine="480" w:firstLineChars="200"/>
        <w:rPr>
          <w:rFonts w:hint="eastAsia"/>
          <w:highlight w:val="none"/>
        </w:rPr>
      </w:pPr>
      <w:r>
        <w:rPr>
          <w:rFonts w:hint="eastAsia"/>
          <w:highlight w:val="none"/>
        </w:rPr>
        <w:t>1、</w:t>
      </w:r>
      <w:r>
        <w:rPr>
          <w:rFonts w:hint="eastAsia"/>
          <w:b/>
          <w:bCs/>
          <w:highlight w:val="none"/>
        </w:rPr>
        <w:t>投标人提供</w:t>
      </w:r>
      <w:r>
        <w:rPr>
          <w:b/>
          <w:bCs/>
          <w:highlight w:val="none"/>
        </w:rPr>
        <w:t>验收合格之日起</w:t>
      </w:r>
      <w:r>
        <w:rPr>
          <w:rFonts w:hint="eastAsia"/>
          <w:b/>
          <w:bCs/>
          <w:highlight w:val="none"/>
        </w:rPr>
        <w:t>至少24</w:t>
      </w:r>
      <w:r>
        <w:rPr>
          <w:b/>
          <w:bCs/>
          <w:highlight w:val="none"/>
        </w:rPr>
        <w:t>个月的质保期</w:t>
      </w:r>
      <w:r>
        <w:rPr>
          <w:rFonts w:hint="eastAsia"/>
          <w:b/>
          <w:bCs/>
          <w:highlight w:val="none"/>
        </w:rPr>
        <w:t>（需提供承诺函），具体以投标文件承诺为准</w:t>
      </w:r>
      <w:r>
        <w:rPr>
          <w:b/>
          <w:bCs/>
          <w:highlight w:val="none"/>
        </w:rPr>
        <w:t>。</w:t>
      </w:r>
      <w:r>
        <w:rPr>
          <w:highlight w:val="none"/>
        </w:rPr>
        <w:t>质保期内因设备自身质量问题发生故障，供货人应负责及时修复、妥善处理或更换设备，发生的费用由供货人负责。无论在质保期内还是质保期满后，供货人负责对其实施的项目提供现场服务。</w:t>
      </w:r>
    </w:p>
    <w:p w14:paraId="78FC813B">
      <w:pPr>
        <w:spacing w:line="360" w:lineRule="auto"/>
        <w:ind w:firstLine="480" w:firstLineChars="200"/>
        <w:rPr>
          <w:rFonts w:hint="eastAsia"/>
          <w:highlight w:val="none"/>
        </w:rPr>
      </w:pPr>
      <w:r>
        <w:rPr>
          <w:rFonts w:hint="eastAsia"/>
          <w:highlight w:val="none"/>
          <w:lang w:val="en-US" w:eastAsia="zh-CN"/>
        </w:rPr>
        <w:t>2</w:t>
      </w:r>
      <w:r>
        <w:rPr>
          <w:rFonts w:hint="eastAsia"/>
          <w:highlight w:val="none"/>
        </w:rPr>
        <w:t>、</w:t>
      </w:r>
      <w:r>
        <w:rPr>
          <w:highlight w:val="none"/>
        </w:rPr>
        <w:t>要求供货人</w:t>
      </w:r>
      <w:r>
        <w:rPr>
          <w:rFonts w:hint="eastAsia"/>
          <w:szCs w:val="20"/>
          <w:highlight w:val="none"/>
        </w:rPr>
        <w:t>在接到采购人的故障通知后，中标人须在</w:t>
      </w:r>
      <w:r>
        <w:rPr>
          <w:szCs w:val="20"/>
          <w:highlight w:val="none"/>
        </w:rPr>
        <w:t>2</w:t>
      </w:r>
      <w:r>
        <w:rPr>
          <w:rFonts w:hint="eastAsia"/>
          <w:szCs w:val="20"/>
          <w:highlight w:val="none"/>
        </w:rPr>
        <w:t>小时内作出响应，并在12小时内提出解决方案，直至修复货物。</w:t>
      </w:r>
    </w:p>
    <w:p w14:paraId="09F6B0AB">
      <w:pPr>
        <w:spacing w:line="360" w:lineRule="auto"/>
        <w:ind w:firstLine="480" w:firstLineChars="200"/>
        <w:rPr>
          <w:rFonts w:hint="eastAsia"/>
          <w:szCs w:val="20"/>
          <w:highlight w:val="none"/>
        </w:rPr>
      </w:pPr>
      <w:r>
        <w:rPr>
          <w:rFonts w:hint="eastAsia"/>
          <w:szCs w:val="20"/>
          <w:highlight w:val="none"/>
          <w:lang w:val="en-US" w:eastAsia="zh-CN"/>
        </w:rPr>
        <w:t>3</w:t>
      </w:r>
      <w:r>
        <w:rPr>
          <w:rFonts w:hint="eastAsia"/>
          <w:szCs w:val="20"/>
          <w:highlight w:val="none"/>
        </w:rPr>
        <w:t>、中标人须按下列规定的要求，为采购人提供维修服务：</w:t>
      </w:r>
    </w:p>
    <w:p w14:paraId="57E449E4">
      <w:pPr>
        <w:spacing w:line="360" w:lineRule="auto"/>
        <w:ind w:firstLine="480" w:firstLineChars="200"/>
        <w:rPr>
          <w:rFonts w:hint="eastAsia"/>
          <w:szCs w:val="20"/>
          <w:highlight w:val="none"/>
        </w:rPr>
      </w:pPr>
      <w:r>
        <w:rPr>
          <w:rFonts w:hint="eastAsia"/>
          <w:szCs w:val="20"/>
          <w:highlight w:val="none"/>
        </w:rPr>
        <w:t>（1）在采购人附近设置维修服务网点。</w:t>
      </w:r>
    </w:p>
    <w:p w14:paraId="6BF38B63">
      <w:pPr>
        <w:spacing w:line="360" w:lineRule="auto"/>
        <w:ind w:firstLine="480" w:firstLineChars="200"/>
        <w:rPr>
          <w:rFonts w:hint="eastAsia"/>
          <w:szCs w:val="20"/>
          <w:highlight w:val="none"/>
        </w:rPr>
      </w:pPr>
      <w:r>
        <w:rPr>
          <w:rFonts w:hint="eastAsia"/>
          <w:szCs w:val="20"/>
          <w:highlight w:val="none"/>
        </w:rPr>
        <w:t>（2）在3小时期限内为采购人提供上门维修服务。</w:t>
      </w:r>
    </w:p>
    <w:p w14:paraId="793753D1">
      <w:pPr>
        <w:spacing w:line="360" w:lineRule="auto"/>
        <w:ind w:firstLine="480" w:firstLineChars="200"/>
        <w:rPr>
          <w:rFonts w:hint="eastAsia"/>
          <w:szCs w:val="20"/>
          <w:highlight w:val="none"/>
        </w:rPr>
      </w:pPr>
      <w:r>
        <w:rPr>
          <w:rFonts w:hint="eastAsia"/>
          <w:szCs w:val="20"/>
          <w:highlight w:val="none"/>
        </w:rPr>
        <w:t>（3）在12小时内未能修复货物的情况下，要求为采购人免费提供备用货物。</w:t>
      </w:r>
    </w:p>
    <w:p w14:paraId="5A9766B2">
      <w:pPr>
        <w:spacing w:line="360" w:lineRule="auto"/>
        <w:ind w:firstLine="480" w:firstLineChars="200"/>
        <w:rPr>
          <w:rFonts w:hint="eastAsia"/>
          <w:szCs w:val="20"/>
          <w:highlight w:val="none"/>
        </w:rPr>
      </w:pPr>
      <w:r>
        <w:rPr>
          <w:rFonts w:hint="eastAsia"/>
          <w:szCs w:val="20"/>
          <w:highlight w:val="none"/>
          <w:lang w:val="en-US" w:eastAsia="zh-CN"/>
        </w:rPr>
        <w:t>4</w:t>
      </w:r>
      <w:r>
        <w:rPr>
          <w:rFonts w:hint="eastAsia"/>
          <w:szCs w:val="20"/>
          <w:highlight w:val="none"/>
        </w:rPr>
        <w:t>、技术服务要求</w:t>
      </w:r>
    </w:p>
    <w:p w14:paraId="7D4B988C">
      <w:pPr>
        <w:spacing w:line="360" w:lineRule="auto"/>
        <w:ind w:firstLine="480" w:firstLineChars="200"/>
        <w:rPr>
          <w:rFonts w:hint="eastAsia"/>
          <w:szCs w:val="20"/>
          <w:highlight w:val="none"/>
        </w:rPr>
      </w:pPr>
      <w:r>
        <w:rPr>
          <w:rFonts w:hint="eastAsia"/>
          <w:szCs w:val="20"/>
          <w:highlight w:val="none"/>
        </w:rPr>
        <w:t>中标人须派合格的现场服务人员，为采购人提供上门技术服务，确保所供货物安全、正常投运。中标人对其现场服务人员的一切行为负全部责任。</w:t>
      </w:r>
    </w:p>
    <w:p w14:paraId="5828238D">
      <w:pPr>
        <w:spacing w:line="360" w:lineRule="auto"/>
        <w:ind w:firstLine="482" w:firstLineChars="200"/>
        <w:rPr>
          <w:rFonts w:hint="eastAsia"/>
          <w:b/>
          <w:bCs/>
          <w:highlight w:val="none"/>
        </w:rPr>
      </w:pPr>
      <w:r>
        <w:rPr>
          <w:rFonts w:hint="eastAsia"/>
          <w:b/>
          <w:bCs/>
          <w:highlight w:val="none"/>
        </w:rPr>
        <w:t>九、培训要求</w:t>
      </w:r>
    </w:p>
    <w:p w14:paraId="16E8B942">
      <w:pPr>
        <w:spacing w:line="360" w:lineRule="auto"/>
        <w:ind w:firstLine="480" w:firstLineChars="200"/>
        <w:rPr>
          <w:rFonts w:hint="eastAsia"/>
          <w:highlight w:val="none"/>
        </w:rPr>
      </w:pPr>
      <w:r>
        <w:rPr>
          <w:rFonts w:hint="eastAsia"/>
          <w:highlight w:val="none"/>
        </w:rPr>
        <w:t>1、成交供应商需提供详细的培训计划和内容。</w:t>
      </w:r>
    </w:p>
    <w:p w14:paraId="7917D511">
      <w:pPr>
        <w:spacing w:line="360" w:lineRule="auto"/>
        <w:ind w:firstLine="480" w:firstLineChars="200"/>
        <w:rPr>
          <w:rFonts w:hint="eastAsia"/>
          <w:highlight w:val="none"/>
        </w:rPr>
      </w:pPr>
      <w:r>
        <w:rPr>
          <w:rFonts w:hint="eastAsia"/>
          <w:highlight w:val="none"/>
        </w:rPr>
        <w:t>2、操作培训：主要面向技术人员、管理人员等人员，使其具备独立进行系统日常维护的能力。培训人数不少于5人，培训时间不少于2天/人次。所有培训费用包含在投标总价中。</w:t>
      </w:r>
    </w:p>
    <w:p w14:paraId="2255E0F1">
      <w:pPr>
        <w:spacing w:line="360" w:lineRule="auto"/>
        <w:ind w:firstLine="482" w:firstLineChars="200"/>
        <w:rPr>
          <w:rFonts w:hint="eastAsia"/>
          <w:b/>
          <w:bCs/>
          <w:highlight w:val="none"/>
        </w:rPr>
      </w:pPr>
      <w:r>
        <w:rPr>
          <w:rFonts w:hint="eastAsia"/>
          <w:b/>
          <w:bCs/>
          <w:highlight w:val="none"/>
        </w:rPr>
        <w:t>十、开票及付款方式</w:t>
      </w:r>
    </w:p>
    <w:p w14:paraId="34AAF4EA">
      <w:pPr>
        <w:snapToGrid w:val="0"/>
        <w:spacing w:line="360" w:lineRule="auto"/>
        <w:ind w:firstLine="480" w:firstLineChars="200"/>
        <w:rPr>
          <w:rFonts w:hint="eastAsia" w:eastAsia="宋体"/>
          <w:highlight w:val="none"/>
          <w:lang w:val="en-US" w:eastAsia="zh-CN"/>
        </w:rPr>
      </w:pPr>
      <w:r>
        <w:rPr>
          <w:rFonts w:hint="eastAsia"/>
          <w:highlight w:val="none"/>
          <w:lang w:val="en-US" w:eastAsia="zh-CN"/>
        </w:rPr>
        <w:t>1、</w:t>
      </w:r>
      <w:r>
        <w:rPr>
          <w:rFonts w:hint="eastAsia"/>
          <w:highlight w:val="none"/>
        </w:rPr>
        <w:t>本项目为固定单价合同，供货人在订货前须与采购人确认，实际采购数量在中标后根据中标后深化设计情况经建设单位确认后实施，若数量调整，中标单价（综合单价）不作调整，线缆长度根据确认后的深化设计图确定。中标后，中标人须在合同额范围内进行深化设计，结算金额根据结算审核结果据实支付，但除建设单位要求调整的情况外，超出合同额部分不予支付。</w:t>
      </w:r>
      <w:r>
        <w:rPr>
          <w:highlight w:val="none"/>
        </w:rPr>
        <w:t>本合同的单价为人民币含税不变价（税指增值税等一切税种）。</w:t>
      </w:r>
      <w:r>
        <w:rPr>
          <w:rFonts w:hint="eastAsia"/>
          <w:highlight w:val="none"/>
          <w:lang w:val="en-US" w:eastAsia="zh-CN"/>
        </w:rPr>
        <w:t xml:space="preserve"> </w:t>
      </w:r>
    </w:p>
    <w:p w14:paraId="3A45C10E">
      <w:pPr>
        <w:spacing w:line="360" w:lineRule="auto"/>
        <w:ind w:firstLine="480" w:firstLineChars="200"/>
        <w:rPr>
          <w:rFonts w:hint="eastAsia"/>
          <w:highlight w:val="none"/>
        </w:rPr>
      </w:pPr>
      <w:r>
        <w:rPr>
          <w:rFonts w:hint="eastAsia"/>
          <w:highlight w:val="none"/>
        </w:rPr>
        <w:t>2</w:t>
      </w:r>
      <w:r>
        <w:rPr>
          <w:highlight w:val="none"/>
        </w:rPr>
        <w:t>、付款方式</w:t>
      </w:r>
    </w:p>
    <w:p w14:paraId="5F06CD39">
      <w:pPr>
        <w:autoSpaceDE/>
        <w:autoSpaceDN/>
        <w:adjustRightInd/>
        <w:spacing w:line="400" w:lineRule="exact"/>
        <w:ind w:firstLine="480" w:firstLineChars="200"/>
        <w:rPr>
          <w:rFonts w:hint="eastAsia" w:ascii="宋体" w:hAnsi="宋体" w:eastAsia="宋体" w:cs="宋体"/>
          <w:highlight w:val="none"/>
        </w:rPr>
      </w:pPr>
      <w:r>
        <w:rPr>
          <w:rFonts w:hint="eastAsia"/>
          <w:highlight w:val="none"/>
        </w:rPr>
        <w:t>合同签订后10个工作日内支付至合同总额的30%，但供应商需出具银行保函；硬件到货验收合格后再支付硬件部分的50%；系统上线试运行1个月、验收合格支付至合同</w:t>
      </w:r>
      <w:r>
        <w:rPr>
          <w:rFonts w:hint="eastAsia" w:ascii="宋体" w:hAnsi="宋体" w:eastAsia="宋体" w:cs="宋体"/>
          <w:highlight w:val="none"/>
        </w:rPr>
        <w:t>总额的8</w:t>
      </w:r>
      <w:r>
        <w:rPr>
          <w:rFonts w:hint="eastAsia" w:ascii="宋体" w:hAnsi="宋体" w:eastAsia="宋体" w:cs="宋体"/>
          <w:highlight w:val="none"/>
          <w:lang w:val="en-US" w:eastAsia="zh-CN"/>
        </w:rPr>
        <w:t>0</w:t>
      </w:r>
      <w:r>
        <w:rPr>
          <w:rFonts w:hint="eastAsia" w:ascii="宋体" w:hAnsi="宋体" w:eastAsia="宋体" w:cs="宋体"/>
          <w:highlight w:val="none"/>
        </w:rPr>
        <w:t>%；结算审计后14个工作日内付款至审计结算价的95%，余款（审计结算价的5%）在质保期内无发生质量问题后，一次性付清；</w:t>
      </w:r>
    </w:p>
    <w:p w14:paraId="3F96E23A">
      <w:pPr>
        <w:autoSpaceDE/>
        <w:autoSpaceDN/>
        <w:adjustRightInd/>
        <w:spacing w:line="400" w:lineRule="exact"/>
        <w:ind w:firstLine="482" w:firstLineChars="200"/>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工程款由发包人拨入代建单位帐户，由代建单位将工程款拨付给承包人，承包人申请拨款时必须开具与拨款金额一致的增值税发票给代建单位（发票单位名称绍兴市上虞海锐建设开发有限公司），代建单位开具与拨付款一致的发票给发包人。</w:t>
      </w:r>
    </w:p>
    <w:p w14:paraId="669DCAD6">
      <w:pPr>
        <w:autoSpaceDE/>
        <w:autoSpaceDN/>
        <w:adjustRightInd/>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中标人在收款之前，应向采购人提供增值税发票，采购人凭发票付款。如中标人未按约定提供增值税发票的，采购人有权拒绝付款，直至收到中标人提交的相应增值税发票为止，在此情况下，采购人不承担逾期付款违约责任。</w:t>
      </w:r>
    </w:p>
    <w:p w14:paraId="0FFF22C7">
      <w:pPr>
        <w:spacing w:line="360" w:lineRule="auto"/>
        <w:ind w:firstLine="482" w:firstLineChars="200"/>
        <w:rPr>
          <w:rFonts w:hint="eastAsia" w:eastAsia="宋体"/>
          <w:b/>
          <w:bCs/>
          <w:highlight w:val="none"/>
          <w:lang w:val="en-US" w:eastAsia="zh-CN"/>
        </w:rPr>
      </w:pPr>
      <w:r>
        <w:rPr>
          <w:rFonts w:hint="eastAsia"/>
          <w:b/>
          <w:bCs/>
          <w:highlight w:val="none"/>
        </w:rPr>
        <w:t>十一、</w:t>
      </w:r>
      <w:r>
        <w:rPr>
          <w:rFonts w:hint="eastAsia"/>
          <w:b/>
          <w:bCs/>
          <w:highlight w:val="none"/>
          <w:lang w:val="en-US" w:eastAsia="zh-CN"/>
        </w:rPr>
        <w:t>采购清单</w:t>
      </w:r>
    </w:p>
    <w:tbl>
      <w:tblPr>
        <w:tblStyle w:val="35"/>
        <w:tblW w:w="83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383"/>
        <w:gridCol w:w="4680"/>
        <w:gridCol w:w="650"/>
        <w:gridCol w:w="1083"/>
      </w:tblGrid>
      <w:tr w14:paraId="7F98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C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D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CF7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技术参数要求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8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F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0380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B33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B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C703">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300C">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743A">
            <w:pPr>
              <w:jc w:val="right"/>
              <w:rPr>
                <w:rFonts w:hint="eastAsia" w:ascii="宋体" w:hAnsi="宋体" w:eastAsia="宋体" w:cs="宋体"/>
                <w:i w:val="0"/>
                <w:iCs w:val="0"/>
                <w:color w:val="000000"/>
                <w:sz w:val="18"/>
                <w:szCs w:val="18"/>
                <w:u w:val="none"/>
              </w:rPr>
            </w:pPr>
          </w:p>
        </w:tc>
      </w:tr>
      <w:tr w14:paraId="653C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5C46">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1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工作区子系统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9170">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7440">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77B8">
            <w:pPr>
              <w:jc w:val="right"/>
              <w:rPr>
                <w:rFonts w:hint="eastAsia" w:ascii="宋体" w:hAnsi="宋体" w:eastAsia="宋体" w:cs="宋体"/>
                <w:i w:val="0"/>
                <w:iCs w:val="0"/>
                <w:color w:val="000000"/>
                <w:sz w:val="18"/>
                <w:szCs w:val="18"/>
                <w:u w:val="none"/>
              </w:rPr>
            </w:pPr>
          </w:p>
        </w:tc>
      </w:tr>
      <w:tr w14:paraId="5345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1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D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6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1.名称:单口86面板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面板采用圆角造型设计，信息插座与面板采用90度安装方式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风格统一的单口面板均带有弹簧式自动回弹防尘门，防止灰尘等异物侵入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3.底盒材质、规格:钢制86盒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38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r>
      <w:tr w14:paraId="6D99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F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0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C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1.名称:双口86面板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面板采用圆角造型设计，信息插座与面板采用90度安装方式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风格统一的双口面板均带有弹簧式自动回弹防尘门，防止灰尘等异物侵入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3.底盒材质、规格:钢制86盒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D1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DD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r>
      <w:tr w14:paraId="0CD5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E8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5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2C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1.名称:铜质弹起型地插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2.规格:1)采用黄铜精密铸造，表面特殊抛光工艺加工而成，强度高，外形精致美观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地插的功能件采用模块化设计，可根据需求选择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地插可满足VGA接口、音频接口、视频接口、话筒接口、卡农接口、音响接口、填空件，信息插座功能件，带弹簧式自动回弹防尘门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地插均采用防尘、防水设计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5）插座口数：双口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3.底盒材质、规格:钢制86盒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2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AE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38A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D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D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5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1.名称:信息插座模块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2.规格:标准：YD/T 926.3，ISO/IEC 11801:2008；ANSI/TIAL-568-C.2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IDC：磷青铜，45°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插头与插座插合次数：≥1000次，导线端接次数：≥250次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6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C0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w:t>
            </w:r>
          </w:p>
        </w:tc>
      </w:tr>
      <w:tr w14:paraId="08E6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1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E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E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1.名称：数据跳线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2.规格：标准：ISO/IEC 11801，ANSI/TIAL - 568-C.2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原厂成型，导体规格：多股绞合，软圆铜线，4×2×24AWG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长度3米，最高传输频率：250MHz，符合ETL，GHMT，REACH认证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屏蔽方式: U/UTP</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7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12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w:t>
            </w:r>
          </w:p>
        </w:tc>
      </w:tr>
      <w:tr w14:paraId="6EB8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BA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6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5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1.名称:光纤插线盒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2.规格:1、推拉取出面板结构设计；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2、具有旋转抽拉式端口保护装置；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3、可单独使用和配合86型底盒使用；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4、标准：YD/T2281；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5、端口数量：2、外部进缆口：2；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D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1F9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14:paraId="0483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2C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F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家居控制设备安装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3A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智能箱（内置强电插座）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1、规格：400*300*120mm，含二三+二三孔插座，光纤绕线盘，电源DC9V/12V模块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2、箱体表面平光，静电喷涂，抗划伤</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E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9F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r>
      <w:tr w14:paraId="7DA2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3C7F">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7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水平区子系统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CA54">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F8FE">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77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9F6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E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E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D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1.名称:六类双绞线（B1级以上）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2.规格:1.六类双绞线包括室内、室外、屏蔽、非屏蔽、低烟无卤、阻水等线缆产品。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2.中心十字骨架分线器减少断线或扭结的风险。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3.线对间低延迟失真，重量轻。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4.全面优于标准规定近端串音、传输延迟、延迟偏差以及其他性能参数指标。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3.敷设方式:管内或桥架敷设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C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ED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162240.00</w:t>
            </w:r>
          </w:p>
        </w:tc>
      </w:tr>
      <w:tr w14:paraId="2475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DFCA">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1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1BE1">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0C26">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74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B8F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B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7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E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1.名称:4芯室内单模光纤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2.规格:低烟无卤护套，光缆标称直径5.1mm；芳纶加强件，适用于水平布线，产品符合YD∕T 1258.4标准；阻燃满足YD/T31247 B1级。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拉力(长期/短期)：＞130/440N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(注：短期应变≤0.4%;长期应变≤0.2%，附加衰减无明显变化)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压扁力(长期/短期)：200/1000(N/100mm）衰减：@1310/1550nm：0.8/0.6dB/Km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3.敷设方式:管内或桥架敷设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53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0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29726.00</w:t>
            </w:r>
          </w:p>
        </w:tc>
      </w:tr>
      <w:tr w14:paraId="664E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7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5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B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1.名称:4芯室外单模光纤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2.规格:1.采用紧套光纤，便于剥离使用，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2.紧套光纤有良好的阻燃性能；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3.加强元件，使光缆有优异的抗拉性能，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4.抗扭曲性能极佳；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5.外护材料:PVC，耐腐蚀、防水、防紫外、阻燃、环保等优点；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6.全介质结构，不受电磁干扰；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7.芯数:4。                                                                                         拉力(长期/短期)：130/440N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压扁力(长期/短期)：200/1000(N/100mm）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衰减：@1310/1550nm：0.8/0.6dB/Km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3.敷设方式:管内或管内或桥架内敷设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1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7B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2248.00</w:t>
            </w:r>
          </w:p>
        </w:tc>
      </w:tr>
      <w:tr w14:paraId="453A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1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3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2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1.名称:24芯室内光纤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2.规格:1.采用紧套光纤，便于剥离使用，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2.紧套光纤有良好的阻燃性能；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3.加强元件，使光缆有优异的抗拉性能，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4.抗扭曲性能极佳；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5.外护材料:PVC，耐腐蚀、防水、防紫外、阻燃、环保等优点；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6.全介质结构，不受电磁干扰；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7.芯数:24芯。                                                                                      拉力(长期/短期)：130/440N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压扁力(长期/短期)：200/1000(N/100mm）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衰减：@1310/1550nm：0.8/0.6dB/Km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A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30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17995.00</w:t>
            </w:r>
          </w:p>
        </w:tc>
      </w:tr>
      <w:tr w14:paraId="1E7A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B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8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2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1.名称:24芯室外光纤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2.规格:1.采用紧套光纤，便于剥离使用，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2.紧套光纤有良好的阻燃性能；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3.加强元件，使光缆有优异的抗拉性能，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4.抗扭曲性能极佳；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5.外护材料:PVC，耐腐蚀、防水、防紫外、阻燃、环保等优点；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6.全介质结构，不受电磁干扰；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7.芯数:24芯。                                                                                      拉力(长期/短期)：130/440N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压扁力(长期/短期)：200/1000(N/100mm）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衰减：@1310/1550nm：0.8/0.6dB/Km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2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DDB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1757.00</w:t>
            </w:r>
          </w:p>
        </w:tc>
      </w:tr>
      <w:tr w14:paraId="7CB6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C1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C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大对数电缆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4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1.名称:1*3类100对大对数电缆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2.规格:缆芯：无氧铜，工作温度：-30~60℃，材质：阻燃护套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3.敷设方式:管内或桥架内敷设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52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81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2700.00</w:t>
            </w:r>
          </w:p>
        </w:tc>
      </w:tr>
      <w:tr w14:paraId="4389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7BB3">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8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EF6C">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26DA">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D5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6D2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C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5C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5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1.名称:48口光纤配线架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2.规格:适用于光纤系统的分线配线，可安装于19"标准机柜，内部提供光纤熔接分配功能，整体结构合理，操作方便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产品特点：1.充足的盘纤空间保证光缆的弯曲半径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2.外壳选用优质钢板制作，外形美观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3.可兼容FC、SC、ST、双芯LC等多种形式的光纤适配器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B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6C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r>
      <w:tr w14:paraId="4D46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3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37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12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1.名称:LC单模光纤适配器（双工）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2.规格:1、通过ANSI/TIA/EIA-568-C.3标准；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2、插入损耗&lt;0.2dB；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3、反射损耗&gt;55dB；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4、温度范围-40～+85摄氏度；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5、耐久性500yclds。变化小于等于0.2dB；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A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4C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r>
      <w:tr w14:paraId="4399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C0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8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布放尾纤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D0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1.名称：单模LC尾纤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2.规格：1、通过ANSI/TIA/EIA-568-C.3标准；用于光纤配线箱到有源设备的连接；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2、插入损耗 ≤0.3dB ；温度性能 ：-40℃～+80℃ ；重复性 ≤0.1dB ；互换性 ≤0.2dB ；回波损耗 ≥45dB；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3、光纤护套：PVC；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4、可能提供不同类型的接头与之交换机接口配套使用；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D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A8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4224</w:t>
            </w:r>
          </w:p>
        </w:tc>
      </w:tr>
      <w:tr w14:paraId="1180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0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D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5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1.名称：LC-LC光纤跳线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2.类别：1、通过ANSI/TIA/EIA-568-C.3标准；用于光纤配线箱到有源设备的连接；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2、插入损耗 ≤0.4dB ；温度性能 ：-40℃～+80℃ ；重复性 ≤0.2dB ；互换性 ≤0.2dB ；回波损耗 ≥45dB；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3、光纤护套：PVC；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4、可能提供不同类型的接头与之交换机接口配套使用；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1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22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r>
      <w:tr w14:paraId="2905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B5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36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7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100对110配线架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100对系统性能满足ANSI/TIA/EIA-568-C.2 和ISO/IEC 11801:2008标准的规定；机架式110配线架配：冷轧钢板背板、4对5对连接块和标识卡；额定电流：1.5Amp；拔出力:≥20N；抗张力:≥133N；卡接导体线规:22~26AWG；工作温度:-25~60℃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65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5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14:paraId="62CA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2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B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1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1.名称:24口配线架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符合ANSI/TIA/EIA-568-C.2 和ISO/IEC 11801:2008标准的要求；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2、1U高度 标准19英寸机架式传统安装；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3、可拆卸式线缆托架，保证线缆垂直进线，让理线更牢固、清晰，背面有568B和568A两种打线方式标识卡；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RJ45端口金针：50μ镀金；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6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18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r>
      <w:tr w14:paraId="1A22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7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F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线管理器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9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1.名称：金属理线器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2.规格：1)标准19”机架式安装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2)SPCC冷轧钢板表面脱脂、磷化、静电喷塑处理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3)高度：1U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4)上下各12口理线槽，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5)厚度：1.0/1.2MM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1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89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r>
      <w:tr w14:paraId="75C4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EA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54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D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1.名称：数据跳线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2.规格：标准：ISO/IEC 11801，ANSI/TIAL - 568-C.2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原厂成型，导体规格：多股绞合，软圆铜线，4×2×24AWG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长度3米，最高传输频率：250MHz，符合ETL，GHMT，REACH认证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屏蔽方式: U/UTP</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B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F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r>
      <w:tr w14:paraId="2913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EA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7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E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1.名称：RJ11-45跳线，2m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2.规格：产品规格1.产品标准：符合标准YD/T926.3、1S0/IEC 11801、TIA/EIA 568C.2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2.产品材料塑料件为PC/ABS合金，110模块簧片镀镍100U",水晶头簧片锻金50U"。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1.用于110模块与具有RJ45接口配线架之间的连接或者用于110模块与110模块之间的连接。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2.RJ45跳线端具有整体注塑护套，保证电缆与水晶头固定的可靠性。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2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4E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r>
      <w:tr w14:paraId="499E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D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2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F3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1.名称:壁挂机柜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2.规格:650*450*600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9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F9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14:paraId="2B10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BA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D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C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1.名称:落地机柜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3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C1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14:paraId="1C99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0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7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6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室外小型防水箱防护等级不应小于IP65,定制。(水泥基础上安装,基础高出地面300,做好防水处理)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具体按国家规范执行</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F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3C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2C3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D024">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B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设备间子系统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F0C1">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50CC">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C8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A4A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6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3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F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1.名称:48口光纤配线架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2.规格:适用于光纤系统的分线配线，可安装于19"标准机柜，内部提供光纤熔接分配功能，整体结构合理，操作方便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产品特点：1.充足的盘纤空间保证光缆的弯曲半径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2.外壳选用优质钢板制作，外形美观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3.可兼容FC、SC、ST、双芯LC等多种形式的光纤适配器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0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16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1732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9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4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F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1.名称:LC单模光纤适配器（双工）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2.规格:1、通过ANSI/TIA/EIA-568-C.3标准；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2、插入损耗&lt;0.2dB；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3、反射损耗&gt;55dB；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4、温度范围-40～+85摄氏度；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5、耐久性500yclds。变化小于等于0.2dB；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C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34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14:paraId="20CC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B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4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布放尾纤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C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1.名称：LC光纤尾纤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2.规格：1、通过ANSI/TIA/EIA-568-C.3标准；用于光纤配线箱到有源设备的连接；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2、插入损耗 ≤0.3dB ；温度性能 ：-40℃～+80℃ ；重复性 ≤0.1dB ；互换性 ≤0.2dB ；回波损耗 ≥45dB；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3、光纤护套：PVC；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4、可能提供不同类型的接头与之交换机接口配套使用；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4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C1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r>
      <w:tr w14:paraId="0C42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C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CB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D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1.名称：LC-LC光纤跳线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2.类别：1、通过ANSI/TIA/EIA-568-C.3标准；用于光纤配线箱到有源设备的连接；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2、插入损耗 ≤0.4dB ；温度性能 ：-40℃～+80℃ ；重复性 ≤0.2dB ；互换性 ≤0.2dB ；回波损耗 ≥45dB；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3、光纤护套：PVC；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4、可能提供不同类型的接头与之交换机接口配套使用；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D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8D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141D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52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5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100对110配线架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100对系统性能满足ANSI/TIA/EIA-568-C.2 和ISO/IEC 11801:2008标准的规定；机架式110配线架配：冷轧钢板背板、4对5对连接块和标识卡；额定电流：1.5Amp；拔出力:≥20N；抗张力:≥133N；卡接导体线规:22~26AWG；工作温度:-25~60℃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D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95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735C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C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0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双绞线缆测试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7E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双绞线缆测试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2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50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r>
      <w:tr w14:paraId="45FA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5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0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光纤连接</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FD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光纤连接熔接法单模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3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B3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5560</w:t>
            </w:r>
          </w:p>
        </w:tc>
      </w:tr>
      <w:tr w14:paraId="30A3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E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C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光纤测试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5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光纤测试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7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2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w:t>
            </w:r>
          </w:p>
        </w:tc>
      </w:tr>
      <w:tr w14:paraId="067B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1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7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双绞线缆测试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9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1.名称：大对数线缆测试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1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08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14:paraId="23CE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E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F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0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1.名称:落地机柜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B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C0C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35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68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0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1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1.名称:落地机柜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2.规格:600*1000*2000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0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A4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34BF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B139">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6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688FA">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20547">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2494">
            <w:pPr>
              <w:jc w:val="right"/>
              <w:rPr>
                <w:rFonts w:hint="eastAsia" w:ascii="宋体" w:hAnsi="宋体" w:eastAsia="宋体" w:cs="宋体"/>
                <w:i w:val="0"/>
                <w:iCs w:val="0"/>
                <w:color w:val="000000"/>
                <w:sz w:val="18"/>
                <w:szCs w:val="18"/>
                <w:u w:val="none"/>
              </w:rPr>
            </w:pPr>
          </w:p>
        </w:tc>
      </w:tr>
      <w:tr w14:paraId="7F78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06A4">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87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智能化专网</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8848">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62D3D">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6FD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E26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5B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2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万兆核心交换机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5B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1. ★交换容量≥240Tbps，包转发率≥38000Mpps，主控槽位数≥2个，业务槽位数≥2个，电源槽位数≥6个，为适应机柜并排部署，设备机箱（包括业务板卡区）采用前进后出风道设计，提供官网链接及截图证明。</w:t>
            </w:r>
            <w:r>
              <w:rPr>
                <w:rStyle w:val="87"/>
                <w:lang w:val="en-US" w:eastAsia="zh-CN" w:bidi="ar"/>
              </w:rPr>
              <w:br w:type="textWrapping"/>
            </w:r>
            <w:r>
              <w:rPr>
                <w:rStyle w:val="87"/>
                <w:lang w:val="en-US" w:eastAsia="zh-CN" w:bidi="ar"/>
              </w:rPr>
              <w:t>2.采用国产CPU和芯片，自主可控，支持主控1：1转发备份，倒换时间小于5ms，故障自动切换无丢包</w:t>
            </w:r>
            <w:r>
              <w:rPr>
                <w:rStyle w:val="87"/>
                <w:lang w:val="en-US" w:eastAsia="zh-CN" w:bidi="ar"/>
              </w:rPr>
              <w:br w:type="textWrapping"/>
            </w:r>
            <w:r>
              <w:rPr>
                <w:rStyle w:val="87"/>
                <w:lang w:val="en-US" w:eastAsia="zh-CN" w:bidi="ar"/>
              </w:rPr>
              <w:t>3.支持整机MAC地址≥384K；MAC学习速率&gt;16000/s，支持整机ARP表项≥140000，ND表项≥80000</w:t>
            </w:r>
            <w:r>
              <w:rPr>
                <w:rStyle w:val="87"/>
                <w:lang w:val="en-US" w:eastAsia="zh-CN" w:bidi="ar"/>
              </w:rPr>
              <w:br w:type="textWrapping"/>
            </w:r>
            <w:r>
              <w:rPr>
                <w:rStyle w:val="87"/>
                <w:lang w:val="en-US" w:eastAsia="zh-CN" w:bidi="ar"/>
              </w:rPr>
              <w:t>4.支持1K CPU硬件保护队列，支持CPU保护和防Dos攻击技术；</w:t>
            </w:r>
            <w:r>
              <w:rPr>
                <w:rStyle w:val="87"/>
                <w:lang w:val="en-US" w:eastAsia="zh-CN" w:bidi="ar"/>
              </w:rPr>
              <w:br w:type="textWrapping"/>
            </w:r>
            <w:r>
              <w:rPr>
                <w:rStyle w:val="87"/>
                <w:lang w:val="en-US" w:eastAsia="zh-CN" w:bidi="ar"/>
              </w:rPr>
              <w:t>5.支持RIP V1、V2, OSPF, IS-IS，BGP；支持GR for OSPF/IS-IS/BGP；</w:t>
            </w:r>
            <w:r>
              <w:rPr>
                <w:rStyle w:val="87"/>
                <w:lang w:val="en-US" w:eastAsia="zh-CN" w:bidi="ar"/>
              </w:rPr>
              <w:br w:type="textWrapping"/>
            </w:r>
            <w:r>
              <w:rPr>
                <w:rStyle w:val="87"/>
                <w:lang w:val="en-US" w:eastAsia="zh-CN" w:bidi="ar"/>
              </w:rPr>
              <w:t>6.支持IPV6，支持RIPng，OSPFv3，IS-ISv6，BGP4+等动态路由协议；</w:t>
            </w:r>
            <w:r>
              <w:rPr>
                <w:rStyle w:val="87"/>
                <w:lang w:val="en-US" w:eastAsia="zh-CN" w:bidi="ar"/>
              </w:rPr>
              <w:br w:type="textWrapping"/>
            </w:r>
            <w:r>
              <w:rPr>
                <w:rStyle w:val="121"/>
                <w:lang w:val="en-US" w:eastAsia="zh-CN" w:bidi="ar"/>
              </w:rPr>
              <w:t>7.配置双主控，双电源，千兆电口≥24个，10G/25G自适应光口≥8个，万兆光口≥64个，提供官网链接及截图证明。</w:t>
            </w:r>
            <w:r>
              <w:rPr>
                <w:rStyle w:val="121"/>
                <w:lang w:val="en-US" w:eastAsia="zh-CN" w:bidi="ar"/>
              </w:rPr>
              <w:br w:type="textWrapping"/>
            </w:r>
            <w:r>
              <w:rPr>
                <w:rStyle w:val="121"/>
                <w:lang w:val="en-US" w:eastAsia="zh-CN" w:bidi="ar"/>
              </w:rPr>
              <w:t>8、采用国产芯片，自主可控，为满足机房里机柜的空间要求，要求设备高度≤15U，采用后出风风道设计，提供官网截图和官网链接等证明材料</w:t>
            </w:r>
            <w:r>
              <w:rPr>
                <w:rStyle w:val="87"/>
                <w:lang w:val="en-US" w:eastAsia="zh-CN" w:bidi="ar"/>
              </w:rPr>
              <w:br w:type="textWrapping"/>
            </w:r>
            <w:r>
              <w:rPr>
                <w:rStyle w:val="87"/>
                <w:lang w:val="en-US" w:eastAsia="zh-CN" w:bidi="ar"/>
              </w:rPr>
              <w:t>9、支持真实业务流的实时检测技术，秒级快速故障定位</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0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DF1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C0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4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D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24口POE千兆交换机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3D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1.交换容量≥500Gbps, 包转发率≥120Mpps，配置千兆以太网POE电口≥24个，万兆光端口≥4个，可用POE功率≥400W，另外配置2个≥12G堆叠用光口，提供设备官网截图和链接证明；</w:t>
            </w:r>
            <w:r>
              <w:rPr>
                <w:rStyle w:val="87"/>
                <w:lang w:val="en-US" w:eastAsia="zh-CN" w:bidi="ar"/>
              </w:rPr>
              <w:br w:type="textWrapping"/>
            </w:r>
            <w:r>
              <w:rPr>
                <w:rStyle w:val="87"/>
                <w:lang w:val="en-US" w:eastAsia="zh-CN" w:bidi="ar"/>
              </w:rPr>
              <w:t>2.支持PIM DM/SM/SSM，支持静态路由、RIP、RIPng、OSPF、OSPFv3</w:t>
            </w:r>
            <w:r>
              <w:rPr>
                <w:rStyle w:val="87"/>
                <w:lang w:val="en-US" w:eastAsia="zh-CN" w:bidi="ar"/>
              </w:rPr>
              <w:br w:type="textWrapping"/>
            </w:r>
            <w:r>
              <w:rPr>
                <w:rStyle w:val="87"/>
                <w:lang w:val="en-US" w:eastAsia="zh-CN" w:bidi="ar"/>
              </w:rPr>
              <w:t>3.基于 Python 语言的开放可编程系统， IT 管理员可以通过 Python 脚本对交换机进行运维功能的编程，快速实现功能创新，实现智能化运维</w:t>
            </w:r>
            <w:r>
              <w:rPr>
                <w:rStyle w:val="87"/>
                <w:lang w:val="en-US" w:eastAsia="zh-CN" w:bidi="ar"/>
              </w:rPr>
              <w:br w:type="textWrapping"/>
            </w:r>
            <w:r>
              <w:rPr>
                <w:rStyle w:val="87"/>
                <w:lang w:val="en-US" w:eastAsia="zh-CN" w:bidi="ar"/>
              </w:rPr>
              <w:t>4.设备支持复位按钮（PNP），支持长按按钮使设备恢复默认配置并自动重新启动"。</w:t>
            </w:r>
            <w:r>
              <w:rPr>
                <w:rStyle w:val="87"/>
                <w:lang w:val="en-US" w:eastAsia="zh-CN" w:bidi="ar"/>
              </w:rPr>
              <w:br w:type="textWrapping"/>
            </w:r>
            <w:r>
              <w:rPr>
                <w:rStyle w:val="121"/>
                <w:lang w:val="en-US" w:eastAsia="zh-CN" w:bidi="ar"/>
              </w:rPr>
              <w:t>5. Flash支持1G及以上，可以确保存储更多的日志，便于设备的维护；提供设备官网截图证明并标出Flash大小"。</w:t>
            </w:r>
            <w:r>
              <w:rPr>
                <w:rStyle w:val="87"/>
                <w:lang w:val="en-US" w:eastAsia="zh-CN" w:bidi="ar"/>
              </w:rPr>
              <w:br w:type="textWrapping"/>
            </w:r>
            <w:r>
              <w:rPr>
                <w:rStyle w:val="87"/>
                <w:lang w:val="en-US" w:eastAsia="zh-CN" w:bidi="ar"/>
              </w:rPr>
              <w:t>6. 为保证兼容性和统一管理，要求交换机与核心交换机同一品牌。</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5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20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r>
      <w:tr w14:paraId="0935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E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BD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3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1.交换容量≥500Gbps（官网X/Y双值，以斜杠前为准）, 包转发率≥125Mpps（官网X/Y双值，以斜杠前为准），配置千兆以太网电口≥24个，万兆光端口≥4个，另外配置2个≥12G堆叠用光口，提供官网截图证明附链接；</w:t>
            </w:r>
            <w:r>
              <w:rPr>
                <w:rStyle w:val="87"/>
                <w:lang w:val="en-US" w:eastAsia="zh-CN" w:bidi="ar"/>
              </w:rPr>
              <w:br w:type="textWrapping"/>
            </w:r>
            <w:r>
              <w:rPr>
                <w:rStyle w:val="87"/>
                <w:lang w:val="en-US" w:eastAsia="zh-CN" w:bidi="ar"/>
              </w:rPr>
              <w:t>2.支持PIM DM/SM/SSM，支持静态路由、RIP、RIPng、OSPF、OSPFv3</w:t>
            </w:r>
            <w:r>
              <w:rPr>
                <w:rStyle w:val="87"/>
                <w:lang w:val="en-US" w:eastAsia="zh-CN" w:bidi="ar"/>
              </w:rPr>
              <w:br w:type="textWrapping"/>
            </w:r>
            <w:r>
              <w:rPr>
                <w:rStyle w:val="87"/>
                <w:lang w:val="en-US" w:eastAsia="zh-CN" w:bidi="ar"/>
              </w:rPr>
              <w:t>3.基于 Python 语言的开放可编程系统， IT 管理员可以通过 Python 脚本对交换机进行运维功能的编程，快速实现功能创新，实现智能化运维</w:t>
            </w:r>
            <w:r>
              <w:rPr>
                <w:rStyle w:val="87"/>
                <w:lang w:val="en-US" w:eastAsia="zh-CN" w:bidi="ar"/>
              </w:rPr>
              <w:br w:type="textWrapping"/>
            </w:r>
            <w:r>
              <w:rPr>
                <w:rStyle w:val="87"/>
                <w:lang w:val="en-US" w:eastAsia="zh-CN" w:bidi="ar"/>
              </w:rPr>
              <w:t>4.支持Guest VLAN、Voice VLAN，支持1:1和N:1 VLAN Mapping功能，支持基于MAC/协议/IP子网/策略/端口的VLAN；</w:t>
            </w:r>
            <w:r>
              <w:rPr>
                <w:rStyle w:val="87"/>
                <w:lang w:val="en-US" w:eastAsia="zh-CN" w:bidi="ar"/>
              </w:rPr>
              <w:br w:type="textWrapping"/>
            </w:r>
            <w:r>
              <w:rPr>
                <w:rStyle w:val="121"/>
                <w:b w:val="0"/>
                <w:bCs w:val="0"/>
                <w:lang w:val="en-US" w:eastAsia="zh-CN" w:bidi="ar"/>
              </w:rPr>
              <w:t>5. Flash支持1G及以上，可以确保存储更多的日志，便于设备的维护；提供设备官网截图证明并标出Flash大小"。</w:t>
            </w:r>
            <w:r>
              <w:rPr>
                <w:rStyle w:val="87"/>
                <w:lang w:val="en-US" w:eastAsia="zh-CN" w:bidi="ar"/>
              </w:rPr>
              <w:br w:type="textWrapping"/>
            </w:r>
            <w:r>
              <w:rPr>
                <w:rStyle w:val="87"/>
                <w:lang w:val="en-US" w:eastAsia="zh-CN" w:bidi="ar"/>
              </w:rPr>
              <w:t>6. 为保证兼容性和统一管理，要求交换机与核心交换机同一品牌。</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D2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301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2F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5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F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SFP-10GE-单模模块(1310nm,10km,LC)</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6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D9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r>
      <w:tr w14:paraId="5F4B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F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F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堆叠线缆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B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SFP+高速电缆-1m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9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B2D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14:paraId="69D0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A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B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系统接入</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6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具有远程监控功能，具有接入智慧城市（城区、社区）的功能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43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D1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17A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E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5AB9">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D4B1">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21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D7F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8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B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万兆核心交换机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0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▲1、交换容量≥500Tbps,包转发率≥95000Mpps，主控槽位数≥2个，交换网板槽位数≥4个，业务板卡槽位数≥8个，独立监控板槽位≥2个，提供官网截图证明附链接；</w:t>
            </w:r>
            <w:r>
              <w:rPr>
                <w:rStyle w:val="87"/>
                <w:lang w:val="en-US" w:eastAsia="zh-CN" w:bidi="ar"/>
              </w:rPr>
              <w:br w:type="textWrapping"/>
            </w:r>
            <w:r>
              <w:rPr>
                <w:rStyle w:val="121"/>
                <w:lang w:val="en-US" w:eastAsia="zh-CN" w:bidi="ar"/>
              </w:rPr>
              <w:t>2、CLOS和信元交换架构，风扇框/风扇模块槽位数≥3个，采用机箱后出风的散热架构设计，提供官网截图证明附链接；</w:t>
            </w:r>
            <w:r>
              <w:rPr>
                <w:rStyle w:val="87"/>
                <w:lang w:val="en-US" w:eastAsia="zh-CN" w:bidi="ar"/>
              </w:rPr>
              <w:br w:type="textWrapping"/>
            </w:r>
            <w:r>
              <w:rPr>
                <w:rStyle w:val="87"/>
                <w:lang w:val="en-US" w:eastAsia="zh-CN" w:bidi="ar"/>
              </w:rPr>
              <w:t>3、支持颗粒化电源，支持M+N电源冗余（AC和DC均支持）</w:t>
            </w:r>
            <w:r>
              <w:rPr>
                <w:rStyle w:val="87"/>
                <w:lang w:val="en-US" w:eastAsia="zh-CN" w:bidi="ar"/>
              </w:rPr>
              <w:br w:type="textWrapping"/>
            </w:r>
            <w:r>
              <w:rPr>
                <w:rStyle w:val="121"/>
                <w:lang w:val="en-US" w:eastAsia="zh-CN" w:bidi="ar"/>
              </w:rPr>
              <w:t>4、电源插槽个数≥6个，本次实际配置冗余电源，为保证设备电源稳定运行，要求单电源功率≥3000W，提供官网截图证明附链接；"</w:t>
            </w:r>
            <w:r>
              <w:rPr>
                <w:rStyle w:val="87"/>
                <w:lang w:val="en-US" w:eastAsia="zh-CN" w:bidi="ar"/>
              </w:rPr>
              <w:br w:type="textWrapping"/>
            </w:r>
            <w:r>
              <w:rPr>
                <w:rStyle w:val="87"/>
                <w:lang w:val="en-US" w:eastAsia="zh-CN" w:bidi="ar"/>
              </w:rPr>
              <w:t>5、要求设备CPU、NP芯片为国产化芯片。</w:t>
            </w:r>
            <w:r>
              <w:rPr>
                <w:rStyle w:val="87"/>
                <w:lang w:val="en-US" w:eastAsia="zh-CN" w:bidi="ar"/>
              </w:rPr>
              <w:br w:type="textWrapping"/>
            </w:r>
            <w:r>
              <w:rPr>
                <w:rStyle w:val="87"/>
                <w:lang w:val="en-US" w:eastAsia="zh-CN" w:bidi="ar"/>
              </w:rPr>
              <w:t>6、本次产品配置：冗余引擎模块，冗余独立交换网板，冗余3000W电源模块，三块风扇模块，一块监控板卡，前后风道机框；千兆以太网电口≥48个，万兆以太网光口≥96个；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2D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5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D3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3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9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74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1、CPU核数≥16核，支持交换容量≥320G，转发性能≥215Mpps，配置可插拔主控，双电源，业务插槽≥8个（主控和扣卡槽位不计），配置内存≥8G，flash≥2GB，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2、支持风扇模块和接口卡的热插拔，以及LAN卡上的LACP协议的负载均衡，减少停机时间，保持网络的高可用性；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3、支持RIP、OSPF、BGP、IS-IS等动态路由协议；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4、支持IPV6，支持RIPng，OSPFv3，IS-ISv6，BGP4+等动态路由协议；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5、支持IPSec VPN、GRE VPN、MPLS VPN、DSVPN、SSL VPN、L2TP VPN等VPN技术；"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6、采用国产自研的关键芯片（CPU）；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7、配置WAN万兆光口数≥14个，WAN千兆电口数≥10个，满配主控和电源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BE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105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F2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F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9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B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1、设备性能要求：防火墙吞吐量≥20Gbps，最大并发连接数≥1000万，新建连接数≥25万，小包吞吐量相比大包吞吐量下降不超过1%，防火墙转发时延≤18µs；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▲2、支持≥2路万兆光Bypass链路，配置千兆电口≥4个，千兆光口≥12个，万兆光口≥6个，配置SSLVPN并发数≥100个，配置1个USB 3.0接口，配置双电源，三个风扇模块，机箱为严格前进后出的风道设计，提供官网截图证明附链接；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3、支持一条安全策略中同时配置ipv4和ipv6地址，支持SRv6协议，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4、支持安全策略阻断时设备发送反馈报文快速断开连接，如针对TCP报文反馈reset报文，针对UDP和ICMP报文反馈ICMP不可达报文，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5、支持SafeSearch，过滤掉Google等搜索引擎返回的不健康的内容。"</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9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33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D0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00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02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路由器（带防火墙）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7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CPU核数≥2核，采用ARM架构设计，支持交换容量≥32G，转发性能≥20Mpps，本次满配主控，双电源，业务插槽≥2个（主控和扣卡槽位不计），配置内存≥4G，flash≥1GB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支持风扇模块和接口卡的热插拔，以及LAN卡上的LACP协议的负载均衡，减少停机时间，保持网络的高可用性；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支持RIP、OSPF、BGP、IS-IS等动态路由协议；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支持IPV6，支持RIPng，OSPFv3，IS-ISv6，BGP4+等动态路由协议；"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5、配置WAN千兆光口数≥4个，WAN千兆电口数≥5个；配置防火墙功能，包含URL过滤功能，可过滤指定域名的网站，防火墙包过滤功能；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F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7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BF7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9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0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无线AC控制器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A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核心交换机集成无线控制器或独立控制器方式，若采用独立控制器方式需配置不少于6个40G光口及模块用于互联。本次要求无线控制器能力最大支持4000个AP管理能力，本次配置所需授权，并实现1+1热备，说明实现方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9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0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52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0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E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3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室内吸顶放装式AP，支持胖/瘦两种AP工作模式，支持AP零配置上线，由无线控制器下发配置，支持P2P/P2MP网桥（WDS），Mesh模式零配置组网；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支持802.11be标准，支持2.4GHz/5GHz双频段同时工作，5G射频支持802.11ax 2x2 MU-MIMO, 2.4G射频支持802.11ax 2x2 MU-MIMO，总空间流数≥4；整机速率≥3.6Gbps，≥1个100M/1000M/2.5GE自适应以太电口，提供官网链接及截图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3、自主可控，使用国产化Wi-Fi芯片，支持蓝牙串口远距无线运维，支持物联网ZIGBEE、RFID等扩展"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3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75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r>
      <w:tr w14:paraId="2D69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E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2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0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室内吸顶放装式AP，支持胖/瘦两种AP工作模式，支持AP零配置上线，由无线控制器下发配置，支持P2P/P2MP网桥（WDS），Mesh模式零配置组网；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▲2、支持802.11be标准，支持2.4GHz/5GHz双频段同时工作，5G射频支持802.11ax 4x4 MU-MIMO, 2.4G射频支持802.11ax 2x2 MU-MIMO，总空间流数≥6；整机速率≥9.3Gbps，≥1个100M/1000M/2.5GE/5GE自适应以太电口，≥1个100M/1000M自适应以太电口，提供官网链接及截图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BD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3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14:paraId="631D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9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3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定向AP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C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"1、室内壁挂式AP，支持胖/瘦两种AP工作模式，支持AP零配置上线，由无线控制器下发配置，支持P2P/P2MP网桥（WDS），Mesh模式零配置组网；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2、支持802.11be标准，支持2.4GHz/5GHz双频段同时工作，5G射频支持802.11ax 4x4 MU-MIMO, 2.4G射频支持802.11ax 2x2 MU-MIMO，总空间流数≥6；整机速率≥6Gbps，≥1个100M/1000M/2.5GE自适应以太电口，≥1个100M/1000M自适应以太电口，提供官网链接及截图"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23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88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799D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4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3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24口POE千兆交换机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F1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1.交换容量≥500Gbps, 包转发率≥120Mpps，配置千兆以太网POE电口≥24个，万兆光端口≥4个，可用POE功率≥400W，另外配置2个≥12G堆叠用光口，提供设备官网截图和链接证明；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2.支持PIM DM/SM/SSM，支持静态路由、RIP、RIPng、OSPF、OSPFv3，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3.基于 Python 语言的开放可编程系统， IT 管理员可以通过 Python 脚本对交换机进行运维功能的编程，快速实现功能创新，实现智能化运维，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4.设备支持复位按钮（PNP），支持长按按钮使设备恢复默认配置并自动重新启动"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E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DA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78BA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C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2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1.交换容量≥500Gbps（官网X/Y双值，以斜杠前为准）, 包转发率≥125Mpps（官网X/Y双值，以斜杠前为准），配置千兆以太网电口≥24个，千兆光端口≥4个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2.支持PIM DM/SM/SSM，支持静态路由、RIP、RIPng、OSPF、OSPFv3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3.基于 Python 语言的开放可编程系统， IT 管理员可以通过 Python 脚本对交换机进行运维功能的编程，快速实现功能创新，实现智能化运维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4.支持Guest VLAN、Voice VLAN，支持1:1和N:1 VLAN Mapping功能，支持基于MAC/协议/IP子网/策略/端口的VLAN；</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6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84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10E0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6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2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8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SFP-10GE-单模模块(1310nm,10km,LC)</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A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9A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r>
      <w:tr w14:paraId="6C82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B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D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堆叠线缆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0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SFP+高速电缆-1m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6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E7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r>
      <w:tr w14:paraId="7114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4F46">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F0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业务专网</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CD6F">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FFB0">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10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69C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5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4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万兆核心交换机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2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240Tbps，包转发率≥38000Mpps，主控槽位数≥2个，业务槽位数≥2个，电源槽位数≥6个，≥48端口千兆以太网光接口板；≥24端口千兆以太网电接口板，≥4端口万兆光口；为适应机柜并排部署，设备机箱（包括业务板卡区）采用前进后出风道设计，提供官网截图证明附链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2.采用国产CPU和芯片，自主可控，支持主控1：1转发备份，倒换时间小于5ms，故障自动切换无丢包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3.支持整机MAC地址≥384K；MAC学习速率&gt;16000/s，支持整机ARP表项≥140000，ND表项≥80000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4.考虑可用性，要求主控槽位与业务线卡槽位宽度相同，为全宽槽位，为了维护方便，所有主控及业务板卡都是前维护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5、采用国产芯片，自主可控，为满足机房里机柜的空间要求，要求设备高度≤15U，采用后出风风道设计，提供官网截图和官网链接等证明材料"</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E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4C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D2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B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E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1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1、CPU核数≥4核，采用ARM架构设计，支持交换容量≥75G，转发性能≥40Mpps，本次满配主控，双电源，业务插槽≥4个（主控和扣卡槽位不计），配置内存≥4G，flash≥1GB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2、支持风扇模块和接口卡的热插拔，以及LAN卡上的LACP协议的负载均衡，减少停机时间，保持网络的高可用性；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3、支持RIP、OSPF、BGP、IS-IS等动态路由协议；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4、支持IPV6，支持RIPng，OSPFv3，IS-ISv6，BGP4+等动态路由协议；5、配置WAN千兆光口数≥4个，WAN千兆电口数≥5个；"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B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62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24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F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E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4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"1、设备性能要求：防火墙吞吐量≥5Gbps，最大并发连接数≥400万，新建连接数≥6万；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2、采用自研安全芯片，内置加速引擎，同时支持AI技术，实现高级威胁检测，可联动云端，支持配置240G SSD硬盘；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3、能够基于时间、用户/用户组/安全组、应用层协议、地理位置、IP地址、端口、域名组、URL分类、接入类型、终端类型、设备组、内容安全统一界面进行安全策略配置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4、支持防火墙内置流探针，对网络中的流量进行采集，上送网络安全智能分析系统进行威胁分析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5、支持防火墙与网络安全智能分析系统联动，做态势感知，全网威胁展示，并能针对威胁生成阻断策略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6、配置千兆电口≥16个， 千兆光口≥12个，万兆光口≥4个，配置SSLVPN并发数≥100个；配置交流双电源； "</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9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45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C4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0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6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E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1.交换容量≥500Gbps（官网X/Y双值，以斜杠前为准）, 包转发率≥125Mpps（官网X/Y双值，以斜杠前为准），配置千兆以太网电口≥24个，万兆光端口≥4个，另外配置2个≥12G堆叠用光口，提供官网截图证明附链接；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2.支持PIM DM/SM/SSM，支持静态路由、RIP、RIPng、OSPF、OSPFv3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3.基于 Python 语言的开放可编程系统， IT 管理员可以通过 Python 脚本对交换机进行运维功能的编程，快速实现功能创新，实现智能化运维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4.支持Guest VLAN、Voice VLAN，支持Super/MTJD VLAN等，支持1:1和N:1 VLAN Mapping功能，支持基于MAC/协议/IP子网/策略/端口的VLAN；"</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F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41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C5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7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3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A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SFP-10GE-单模模块(1310nm,10km,LC)</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C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F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2C5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63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3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计算机应用、网络系统系统联调</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E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计算机网络系统调试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6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5A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1F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7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7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计算机应用、网络系统试运行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E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计算机应用、网络系统试运行</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2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8E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A8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A12B">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A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1160">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6FD29">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60D00">
            <w:pPr>
              <w:jc w:val="right"/>
              <w:rPr>
                <w:rFonts w:hint="eastAsia" w:ascii="宋体" w:hAnsi="宋体" w:eastAsia="宋体" w:cs="宋体"/>
                <w:i w:val="0"/>
                <w:iCs w:val="0"/>
                <w:color w:val="000000"/>
                <w:sz w:val="18"/>
                <w:szCs w:val="18"/>
                <w:u w:val="none"/>
              </w:rPr>
            </w:pPr>
          </w:p>
        </w:tc>
      </w:tr>
      <w:tr w14:paraId="374E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8B39">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86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5F0F">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33A9D">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56E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A2C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0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8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F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1.名称:控制主机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2.规格:1.采用工控机箱设计，具有≥17.3英寸LED液晶显示屏，支持触摸控制屏；服务器运载windows server 2008或以上操作系统。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2.支持1路短路触发开机接口，用于实现定时驱动开机运行。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3.具有≥8×USB接口、≥6×串口接口、≥2×千兆网。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02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B9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53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0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3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1.名称：数字化IP网络广播客户端管理软件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3.管理节目库资源，为所有音频终端器提供定时播放和实时点播媒体服务，响应各终端的节目播放请求，为各音频工作站提供数据接口服务。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B8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D3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AD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4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6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C4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1.名称:CD播放器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2.规格:1.吸入式机芯；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2.自动播放控制，全数码伺服；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3.可播放：CD/VCD/MP3/DVD碟片；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8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AB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C5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1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0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7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1.名称:数字调谐器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2.规格:1.调频、调幅（AM/FM）立体声二波段接收可选，电台频率记忆存储可达99个；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2.电台频率自动搜索存储功能，且有断电记忆功能；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3.采用石英锁相环路频率合成器式调谐回路技术；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E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F0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D5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B5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3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7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1.名称:网络音频采集终端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2.规格:1.采集设备支持将模拟音频采集编码成数字音频，具有1路RJ45网络接口，支持定时采播任务、临时采播任务功能。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2.具有2组RCA音频输入接口，支持音量调节功能。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9A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AA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9E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2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E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E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1.名称:IP网络远程寻呼站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3.支持监听任意终端功能，内置2W全频扬声器，实现双向通话和网络监听。</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A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00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37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8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6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B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1.名称:单通道前置放大器一体机（120W）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2.规格:1.网络接口：标准RJ45输入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2.传输速率：≥100Mbps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3.支持协议：TCP/IP，UDP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4.音频格式：MP3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5.音频模式：≥16位CD音质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6.采样率：8KHz～48KHz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7.额定功率：120W</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A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64C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1EF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38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E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D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1.名称:120W 单通道网络功放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2.规格:1.设备采用标准≥19英寸机架设计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2.内置≥1路网络硬件音频解码模块。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3.支持≥1路线路输入和≥1路话筒输入接口，可独立调节音量。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4.支持高低音调节电位器控制。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5.具有≥1路EMC输入接口，具有最高优先级。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6.具有≥1路音频输出接口。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0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D9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14:paraId="6E2F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BC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5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0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1.机柜式设计（2U），黑色氧化铝拉丝面板；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2.设有4组独立输入、输出通道，每组通道容量70—100V，20A；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3.雷击时自动切断输出；过压保护及漏电保护；</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8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8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63E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8C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2E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D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1.名称：草地音箱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功率(100V)：15W,30W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功率(70V)：7.5W, 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3．频率响应：120Hz-15KHz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4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CD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7BA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C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E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草地音箱水泥桩</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1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具体按图纸及产品实际尺寸现场浇筑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3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EA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85E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9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4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14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称：消防联动模块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5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8E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05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B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E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D6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3.规格：WDZB1N-RYJS2*2.5  20℃时导体电阻≤7.98Ω/km，70℃时绝缘电阻≥0.009MΩ·km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2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EB6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r>
      <w:tr w14:paraId="6360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4C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3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E2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3.规格：WDZB1N-RYJS2*1.0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5C8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390.00</w:t>
            </w:r>
          </w:p>
        </w:tc>
      </w:tr>
      <w:tr w14:paraId="7D1F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9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F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公共广播系统辅材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8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音频接插件，跳线、水晶头等，包含本项目本系统完整安装、调试、运行的所有辅材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7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2B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53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2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E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6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背景音乐系统调试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E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B6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6E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FE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F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0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背景音乐系统试运行</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7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3D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3E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B38F">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1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多媒体信息发布系统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547C">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191A">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6DC1">
            <w:pPr>
              <w:jc w:val="right"/>
              <w:rPr>
                <w:rFonts w:hint="eastAsia" w:ascii="宋体" w:hAnsi="宋体" w:eastAsia="宋体" w:cs="宋体"/>
                <w:i w:val="0"/>
                <w:iCs w:val="0"/>
                <w:color w:val="000000"/>
                <w:sz w:val="18"/>
                <w:szCs w:val="18"/>
                <w:u w:val="none"/>
              </w:rPr>
            </w:pPr>
          </w:p>
        </w:tc>
      </w:tr>
      <w:tr w14:paraId="6A24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235C">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0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多媒体信息发布系统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73B14">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2285">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B4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0CA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F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A1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1#楼信息发布屏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73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LED全彩屏：3500*1200mm*2</w:t>
            </w:r>
            <w:r>
              <w:rPr>
                <w:rStyle w:val="87"/>
                <w:lang w:val="en-US" w:eastAsia="zh-CN" w:bidi="ar"/>
              </w:rPr>
              <w:br w:type="textWrapping"/>
            </w:r>
            <w:r>
              <w:rPr>
                <w:rStyle w:val="87"/>
                <w:lang w:val="en-US" w:eastAsia="zh-CN" w:bidi="ar"/>
              </w:rPr>
              <w:t>LED全彩屏：1500x2000mm*1</w:t>
            </w:r>
            <w:r>
              <w:rPr>
                <w:rStyle w:val="87"/>
                <w:lang w:val="en-US" w:eastAsia="zh-CN" w:bidi="ar"/>
              </w:rPr>
              <w:br w:type="textWrapping"/>
            </w:r>
            <w:r>
              <w:rPr>
                <w:rStyle w:val="87"/>
                <w:lang w:val="en-US" w:eastAsia="zh-CN" w:bidi="ar"/>
              </w:rPr>
              <w:t>LED全彩屏：3600*1000mm*12</w:t>
            </w:r>
            <w:r>
              <w:rPr>
                <w:rStyle w:val="87"/>
                <w:lang w:val="en-US" w:eastAsia="zh-CN" w:bidi="ar"/>
              </w:rPr>
              <w:br w:type="textWrapping"/>
            </w:r>
            <w:r>
              <w:rPr>
                <w:rStyle w:val="87"/>
                <w:lang w:val="en-US" w:eastAsia="zh-CN" w:bidi="ar"/>
              </w:rPr>
              <w:t>每套包含发送接收卡、控制软件、图像拼接控制器、边框及支架、控制箱等</w:t>
            </w:r>
            <w:r>
              <w:rPr>
                <w:rStyle w:val="87"/>
                <w:lang w:val="en-US" w:eastAsia="zh-CN" w:bidi="ar"/>
              </w:rPr>
              <w:br w:type="textWrapping"/>
            </w:r>
            <w:r>
              <w:rPr>
                <w:rStyle w:val="87"/>
                <w:lang w:val="en-US" w:eastAsia="zh-CN" w:bidi="ar"/>
              </w:rPr>
              <w:t>▲1.LED显示屏灯珠采用表贴三合一铜线封装；LED封装形式：SMD1212黑灯；LED显示屏采用≤1.57mm点间距，像素点密度≥409600点/m²；采用16:9压铸铝箱体；刷新率：≥3840Hz；</w:t>
            </w:r>
            <w:r>
              <w:rPr>
                <w:rStyle w:val="87"/>
                <w:lang w:val="en-US" w:eastAsia="zh-CN" w:bidi="ar"/>
              </w:rPr>
              <w:br w:type="textWrapping"/>
            </w:r>
            <w:r>
              <w:rPr>
                <w:rStyle w:val="87"/>
                <w:lang w:val="en-US" w:eastAsia="zh-CN" w:bidi="ar"/>
              </w:rPr>
              <w:t>2.支持模组级的LED灯防撞保护装置，符合GB/T20138-2023/ IEC 62262:2021。</w:t>
            </w:r>
            <w:r>
              <w:rPr>
                <w:rStyle w:val="87"/>
                <w:lang w:val="en-US" w:eastAsia="zh-CN" w:bidi="ar"/>
              </w:rPr>
              <w:br w:type="textWrapping"/>
            </w:r>
            <w:r>
              <w:rPr>
                <w:rStyle w:val="87"/>
                <w:lang w:val="en-US" w:eastAsia="zh-CN" w:bidi="ar"/>
              </w:rPr>
              <w:t xml:space="preserve">3、LED显示屏效能：符合标准GB21520-2023，效能一级。  </w:t>
            </w:r>
            <w:r>
              <w:rPr>
                <w:rStyle w:val="87"/>
                <w:lang w:val="en-US" w:eastAsia="zh-CN" w:bidi="ar"/>
              </w:rPr>
              <w:br w:type="textWrapping"/>
            </w:r>
            <w:r>
              <w:rPr>
                <w:rStyle w:val="87"/>
                <w:lang w:val="en-US" w:eastAsia="zh-CN" w:bidi="ar"/>
              </w:rPr>
              <w:t xml:space="preserve">4、采用数字化网络传输技术或标准化HDCP传输技术，支持TyPe-C接口或者HDCP协议的接口。          </w:t>
            </w:r>
            <w:r>
              <w:rPr>
                <w:rStyle w:val="87"/>
                <w:lang w:val="en-US" w:eastAsia="zh-CN" w:bidi="ar"/>
              </w:rPr>
              <w:br w:type="textWrapping"/>
            </w:r>
            <w:r>
              <w:rPr>
                <w:rStyle w:val="87"/>
                <w:lang w:val="en-US" w:eastAsia="zh-CN" w:bidi="ar"/>
              </w:rPr>
              <w:t>5、平均使用寿命≥100000小时；平均故障修复时间≤5分钟。</w:t>
            </w:r>
            <w:r>
              <w:rPr>
                <w:rStyle w:val="87"/>
                <w:lang w:val="en-US" w:eastAsia="zh-CN" w:bidi="ar"/>
              </w:rPr>
              <w:br w:type="textWrapping"/>
            </w:r>
            <w:r>
              <w:rPr>
                <w:rStyle w:val="87"/>
                <w:lang w:val="en-US" w:eastAsia="zh-CN" w:bidi="ar"/>
              </w:rPr>
              <w:t>6、显示屏支持纳米光学镀膜3D防护技术具备防尘、防盐雾、耐高温高湿、耐黄变、抗静电、散热均匀。</w:t>
            </w:r>
            <w:r>
              <w:rPr>
                <w:rStyle w:val="87"/>
                <w:lang w:val="en-US" w:eastAsia="zh-CN" w:bidi="ar"/>
              </w:rPr>
              <w:br w:type="textWrapping"/>
            </w:r>
            <w:r>
              <w:rPr>
                <w:rStyle w:val="121"/>
                <w:lang w:val="en-US" w:eastAsia="zh-CN" w:bidi="ar"/>
              </w:rPr>
              <w:t>7、所投屏体须通过CCC强制认证，不接受OEM产品，要求3c证书中申请人、制造商、生产企业三者名称须一致或为同一集团、法人企业，并提供证书复印件加盖原厂公章。</w:t>
            </w:r>
            <w:r>
              <w:rPr>
                <w:rStyle w:val="121"/>
                <w:lang w:val="en-US" w:eastAsia="zh-CN" w:bidi="ar"/>
              </w:rPr>
              <w:br w:type="textWrapping"/>
            </w:r>
            <w:r>
              <w:rPr>
                <w:rStyle w:val="121"/>
                <w:lang w:val="en-US" w:eastAsia="zh-CN" w:bidi="ar"/>
              </w:rPr>
              <w:t>8、摩尔纹抑制功能：显示屏支持抑制摩尔纹功能，减轻摩尔纹视觉主观效果80%。（提供包含上述内容的产品彩页并加盖投标方公章与具有CMA或CNAS标识的第三方检测机构出具的检测报告复印件加盖投标方公章)</w:t>
            </w:r>
            <w:r>
              <w:rPr>
                <w:rStyle w:val="121"/>
                <w:lang w:val="en-US" w:eastAsia="zh-CN" w:bidi="ar"/>
              </w:rPr>
              <w:br w:type="textWrapping"/>
            </w:r>
            <w:r>
              <w:rPr>
                <w:rStyle w:val="121"/>
                <w:lang w:val="en-US" w:eastAsia="zh-CN" w:bidi="ar"/>
              </w:rPr>
              <w:t>9、视觉舒适度：（VICO指数）范围在0-1级，满足CSA035.2-2017标准。（提供包含上述内容的产品彩页并加盖投标方公章与具有CMA或CNAS标识的第三方检测机构出具的检测报告复印件加盖投标方公章)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4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49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54.60</w:t>
            </w:r>
          </w:p>
        </w:tc>
      </w:tr>
      <w:tr w14:paraId="518D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9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6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2#楼信息发布屏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6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LED全彩屏：3500*1200mm*2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LED全彩屏：2500x2000mm*1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LED全彩屏：3600*1000mm*12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4、采用数字化网络传输技术或标准化HDCP传输技术，支持TyPe-C接口或者HDCP协议的接口。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9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AD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56.60</w:t>
            </w:r>
          </w:p>
        </w:tc>
      </w:tr>
      <w:tr w14:paraId="06A9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F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6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3#楼信息发布屏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C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LED全彩屏：22000x4000mm*2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4、采用数字化网络传输技术或标准化HDCP传输技术，支持TyPe-C接口或者HDCP协议的接口。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C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BA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176.00</w:t>
            </w:r>
          </w:p>
        </w:tc>
      </w:tr>
      <w:tr w14:paraId="2F30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2D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89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5#楼信息发布屏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A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6"/>
                <w:rFonts w:eastAsia="宋体"/>
                <w:lang w:val="en-US" w:eastAsia="zh-CN" w:bidi="ar"/>
              </w:rPr>
              <w:t>LED</w:t>
            </w:r>
            <w:r>
              <w:rPr>
                <w:rStyle w:val="118"/>
                <w:lang w:val="en-US" w:eastAsia="zh-CN" w:bidi="ar"/>
              </w:rPr>
              <w:t>全彩屏：</w:t>
            </w:r>
            <w:r>
              <w:rPr>
                <w:rStyle w:val="116"/>
                <w:rFonts w:eastAsia="宋体"/>
                <w:lang w:val="en-US" w:eastAsia="zh-CN" w:bidi="ar"/>
              </w:rPr>
              <w:t>1000x600mm*3</w:t>
            </w:r>
            <w:r>
              <w:rPr>
                <w:rStyle w:val="116"/>
                <w:rFonts w:eastAsia="宋体"/>
                <w:lang w:val="en-US" w:eastAsia="zh-CN" w:bidi="ar"/>
              </w:rPr>
              <w:br w:type="textWrapping"/>
            </w:r>
            <w:r>
              <w:rPr>
                <w:rStyle w:val="116"/>
                <w:rFonts w:eastAsia="宋体"/>
                <w:lang w:val="en-US" w:eastAsia="zh-CN" w:bidi="ar"/>
              </w:rPr>
              <w:t>P1.5 LED</w:t>
            </w:r>
            <w:r>
              <w:rPr>
                <w:rStyle w:val="118"/>
                <w:lang w:val="en-US" w:eastAsia="zh-CN" w:bidi="ar"/>
              </w:rPr>
              <w:t>全彩屏：</w:t>
            </w:r>
            <w:r>
              <w:rPr>
                <w:rStyle w:val="116"/>
                <w:rFonts w:eastAsia="宋体"/>
                <w:lang w:val="en-US" w:eastAsia="zh-CN" w:bidi="ar"/>
              </w:rPr>
              <w:t>1440x810mm*2</w:t>
            </w:r>
            <w:r>
              <w:rPr>
                <w:rStyle w:val="116"/>
                <w:rFonts w:eastAsia="宋体"/>
                <w:lang w:val="en-US" w:eastAsia="zh-CN" w:bidi="ar"/>
              </w:rPr>
              <w:br w:type="textWrapping"/>
            </w:r>
            <w:r>
              <w:rPr>
                <w:rStyle w:val="118"/>
                <w:lang w:val="en-US" w:eastAsia="zh-CN" w:bidi="ar"/>
              </w:rPr>
              <w:t>每套包含发送接收卡、控制软件、图像拼接控制器、边框及支架、控制箱等</w:t>
            </w:r>
            <w:r>
              <w:rPr>
                <w:rStyle w:val="116"/>
                <w:rFonts w:eastAsia="宋体"/>
                <w:lang w:val="en-US" w:eastAsia="zh-CN" w:bidi="ar"/>
              </w:rPr>
              <w:br w:type="textWrapping"/>
            </w:r>
            <w:r>
              <w:rPr>
                <w:rStyle w:val="116"/>
                <w:rFonts w:eastAsia="宋体"/>
                <w:lang w:val="en-US" w:eastAsia="zh-CN" w:bidi="ar"/>
              </w:rPr>
              <w:t>1.LED</w:t>
            </w:r>
            <w:r>
              <w:rPr>
                <w:rStyle w:val="118"/>
                <w:lang w:val="en-US" w:eastAsia="zh-CN" w:bidi="ar"/>
              </w:rPr>
              <w:t>显示屏灯珠采用表贴三合一铜线封装；</w:t>
            </w:r>
            <w:r>
              <w:rPr>
                <w:rStyle w:val="116"/>
                <w:rFonts w:eastAsia="宋体"/>
                <w:lang w:val="en-US" w:eastAsia="zh-CN" w:bidi="ar"/>
              </w:rPr>
              <w:t>LED</w:t>
            </w:r>
            <w:r>
              <w:rPr>
                <w:rStyle w:val="118"/>
                <w:lang w:val="en-US" w:eastAsia="zh-CN" w:bidi="ar"/>
              </w:rPr>
              <w:t>封装形式：</w:t>
            </w:r>
            <w:r>
              <w:rPr>
                <w:rStyle w:val="116"/>
                <w:rFonts w:eastAsia="宋体"/>
                <w:lang w:val="en-US" w:eastAsia="zh-CN" w:bidi="ar"/>
              </w:rPr>
              <w:t>SMD1212</w:t>
            </w:r>
            <w:r>
              <w:rPr>
                <w:rStyle w:val="118"/>
                <w:lang w:val="en-US" w:eastAsia="zh-CN" w:bidi="ar"/>
              </w:rPr>
              <w:t>黑灯；</w:t>
            </w:r>
            <w:r>
              <w:rPr>
                <w:rStyle w:val="116"/>
                <w:rFonts w:eastAsia="宋体"/>
                <w:lang w:val="en-US" w:eastAsia="zh-CN" w:bidi="ar"/>
              </w:rPr>
              <w:t>LED</w:t>
            </w:r>
            <w:r>
              <w:rPr>
                <w:rStyle w:val="118"/>
                <w:lang w:val="en-US" w:eastAsia="zh-CN" w:bidi="ar"/>
              </w:rPr>
              <w:t>显示屏采用</w:t>
            </w:r>
            <w:r>
              <w:rPr>
                <w:rStyle w:val="116"/>
                <w:rFonts w:eastAsia="宋体"/>
                <w:lang w:val="en-US" w:eastAsia="zh-CN" w:bidi="ar"/>
              </w:rPr>
              <w:t>≤1.57mm</w:t>
            </w:r>
            <w:r>
              <w:rPr>
                <w:rStyle w:val="118"/>
                <w:lang w:val="en-US" w:eastAsia="zh-CN" w:bidi="ar"/>
              </w:rPr>
              <w:t>点间距，像素点密度</w:t>
            </w:r>
            <w:r>
              <w:rPr>
                <w:rStyle w:val="116"/>
                <w:rFonts w:eastAsia="宋体"/>
                <w:lang w:val="en-US" w:eastAsia="zh-CN" w:bidi="ar"/>
              </w:rPr>
              <w:t>≥409600</w:t>
            </w:r>
            <w:r>
              <w:rPr>
                <w:rStyle w:val="118"/>
                <w:lang w:val="en-US" w:eastAsia="zh-CN" w:bidi="ar"/>
              </w:rPr>
              <w:t>点</w:t>
            </w:r>
            <w:r>
              <w:rPr>
                <w:rStyle w:val="116"/>
                <w:rFonts w:eastAsia="宋体"/>
                <w:lang w:val="en-US" w:eastAsia="zh-CN" w:bidi="ar"/>
              </w:rPr>
              <w:t>/m²</w:t>
            </w:r>
            <w:r>
              <w:rPr>
                <w:rStyle w:val="118"/>
                <w:lang w:val="en-US" w:eastAsia="zh-CN" w:bidi="ar"/>
              </w:rPr>
              <w:t>；采用</w:t>
            </w:r>
            <w:r>
              <w:rPr>
                <w:rStyle w:val="116"/>
                <w:rFonts w:eastAsia="宋体"/>
                <w:lang w:val="en-US" w:eastAsia="zh-CN" w:bidi="ar"/>
              </w:rPr>
              <w:t>16:9</w:t>
            </w:r>
            <w:r>
              <w:rPr>
                <w:rStyle w:val="118"/>
                <w:lang w:val="en-US" w:eastAsia="zh-CN" w:bidi="ar"/>
              </w:rPr>
              <w:t>压铸铝箱体；刷新率：</w:t>
            </w:r>
            <w:r>
              <w:rPr>
                <w:rStyle w:val="116"/>
                <w:rFonts w:eastAsia="宋体"/>
                <w:lang w:val="en-US" w:eastAsia="zh-CN" w:bidi="ar"/>
              </w:rPr>
              <w:t>≥3840Hz</w:t>
            </w:r>
            <w:r>
              <w:rPr>
                <w:rStyle w:val="118"/>
                <w:lang w:val="en-US" w:eastAsia="zh-CN" w:bidi="ar"/>
              </w:rPr>
              <w:t>；</w:t>
            </w:r>
            <w:r>
              <w:rPr>
                <w:rStyle w:val="116"/>
                <w:rFonts w:eastAsia="宋体"/>
                <w:lang w:val="en-US" w:eastAsia="zh-CN" w:bidi="ar"/>
              </w:rPr>
              <w:br w:type="textWrapping"/>
            </w:r>
            <w:r>
              <w:rPr>
                <w:rStyle w:val="116"/>
                <w:rFonts w:eastAsia="宋体"/>
                <w:lang w:val="en-US" w:eastAsia="zh-CN" w:bidi="ar"/>
              </w:rPr>
              <w:t>2.</w:t>
            </w:r>
            <w:r>
              <w:rPr>
                <w:rStyle w:val="118"/>
                <w:lang w:val="en-US" w:eastAsia="zh-CN" w:bidi="ar"/>
              </w:rPr>
              <w:t>支持模组级的</w:t>
            </w:r>
            <w:r>
              <w:rPr>
                <w:rStyle w:val="116"/>
                <w:rFonts w:eastAsia="宋体"/>
                <w:lang w:val="en-US" w:eastAsia="zh-CN" w:bidi="ar"/>
              </w:rPr>
              <w:t>LED</w:t>
            </w:r>
            <w:r>
              <w:rPr>
                <w:rStyle w:val="118"/>
                <w:lang w:val="en-US" w:eastAsia="zh-CN" w:bidi="ar"/>
              </w:rPr>
              <w:t>灯防撞保护装置，符合</w:t>
            </w:r>
            <w:r>
              <w:rPr>
                <w:rStyle w:val="116"/>
                <w:rFonts w:eastAsia="宋体"/>
                <w:lang w:val="en-US" w:eastAsia="zh-CN" w:bidi="ar"/>
              </w:rPr>
              <w:t>GB/T20138-2023/ IEC 62262:2021</w:t>
            </w:r>
            <w:r>
              <w:rPr>
                <w:rStyle w:val="118"/>
                <w:lang w:val="en-US" w:eastAsia="zh-CN" w:bidi="ar"/>
              </w:rPr>
              <w:t>。</w:t>
            </w:r>
            <w:r>
              <w:rPr>
                <w:rStyle w:val="116"/>
                <w:rFonts w:eastAsia="宋体"/>
                <w:lang w:val="en-US" w:eastAsia="zh-CN" w:bidi="ar"/>
              </w:rPr>
              <w:br w:type="textWrapping"/>
            </w:r>
            <w:r>
              <w:rPr>
                <w:rStyle w:val="116"/>
                <w:rFonts w:eastAsia="宋体"/>
                <w:lang w:val="en-US" w:eastAsia="zh-CN" w:bidi="ar"/>
              </w:rPr>
              <w:t>3</w:t>
            </w:r>
            <w:r>
              <w:rPr>
                <w:rStyle w:val="118"/>
                <w:lang w:val="en-US" w:eastAsia="zh-CN" w:bidi="ar"/>
              </w:rPr>
              <w:t>、</w:t>
            </w:r>
            <w:r>
              <w:rPr>
                <w:rStyle w:val="116"/>
                <w:rFonts w:eastAsia="宋体"/>
                <w:lang w:val="en-US" w:eastAsia="zh-CN" w:bidi="ar"/>
              </w:rPr>
              <w:t>LED</w:t>
            </w:r>
            <w:r>
              <w:rPr>
                <w:rStyle w:val="118"/>
                <w:lang w:val="en-US" w:eastAsia="zh-CN" w:bidi="ar"/>
              </w:rPr>
              <w:t>显示屏效能：符合标准</w:t>
            </w:r>
            <w:r>
              <w:rPr>
                <w:rStyle w:val="116"/>
                <w:rFonts w:eastAsia="宋体"/>
                <w:lang w:val="en-US" w:eastAsia="zh-CN" w:bidi="ar"/>
              </w:rPr>
              <w:t>GB21520-2023</w:t>
            </w:r>
            <w:r>
              <w:rPr>
                <w:rStyle w:val="118"/>
                <w:lang w:val="en-US" w:eastAsia="zh-CN" w:bidi="ar"/>
              </w:rPr>
              <w:t>，效能一级。</w:t>
            </w:r>
            <w:r>
              <w:rPr>
                <w:rStyle w:val="116"/>
                <w:rFonts w:eastAsia="宋体"/>
                <w:lang w:val="en-US" w:eastAsia="zh-CN" w:bidi="ar"/>
              </w:rPr>
              <w:t xml:space="preserve">  </w:t>
            </w:r>
            <w:r>
              <w:rPr>
                <w:rStyle w:val="116"/>
                <w:rFonts w:eastAsia="宋体"/>
                <w:lang w:val="en-US" w:eastAsia="zh-CN" w:bidi="ar"/>
              </w:rPr>
              <w:br w:type="textWrapping"/>
            </w:r>
            <w:r>
              <w:rPr>
                <w:rStyle w:val="116"/>
                <w:rFonts w:eastAsia="宋体"/>
                <w:lang w:val="en-US" w:eastAsia="zh-CN" w:bidi="ar"/>
              </w:rPr>
              <w:t>4</w:t>
            </w:r>
            <w:r>
              <w:rPr>
                <w:rStyle w:val="118"/>
                <w:lang w:val="en-US" w:eastAsia="zh-CN" w:bidi="ar"/>
              </w:rPr>
              <w:t>、采用数字化网络传输技术或标准化</w:t>
            </w:r>
            <w:r>
              <w:rPr>
                <w:rStyle w:val="116"/>
                <w:rFonts w:eastAsia="宋体"/>
                <w:lang w:val="en-US" w:eastAsia="zh-CN" w:bidi="ar"/>
              </w:rPr>
              <w:t>HDCP</w:t>
            </w:r>
            <w:r>
              <w:rPr>
                <w:rStyle w:val="118"/>
                <w:lang w:val="en-US" w:eastAsia="zh-CN" w:bidi="ar"/>
              </w:rPr>
              <w:t>传输技术，支持</w:t>
            </w:r>
            <w:r>
              <w:rPr>
                <w:rStyle w:val="116"/>
                <w:rFonts w:eastAsia="宋体"/>
                <w:lang w:val="en-US" w:eastAsia="zh-CN" w:bidi="ar"/>
              </w:rPr>
              <w:t>TyPe-C</w:t>
            </w:r>
            <w:r>
              <w:rPr>
                <w:rStyle w:val="118"/>
                <w:lang w:val="en-US" w:eastAsia="zh-CN" w:bidi="ar"/>
              </w:rPr>
              <w:t>接口或者</w:t>
            </w:r>
            <w:r>
              <w:rPr>
                <w:rStyle w:val="116"/>
                <w:rFonts w:eastAsia="宋体"/>
                <w:lang w:val="en-US" w:eastAsia="zh-CN" w:bidi="ar"/>
              </w:rPr>
              <w:t>HDCP</w:t>
            </w:r>
            <w:r>
              <w:rPr>
                <w:rStyle w:val="118"/>
                <w:lang w:val="en-US" w:eastAsia="zh-CN" w:bidi="ar"/>
              </w:rPr>
              <w:t>协议的接口。</w:t>
            </w:r>
            <w:r>
              <w:rPr>
                <w:rStyle w:val="116"/>
                <w:rFonts w:eastAsia="宋体"/>
                <w:lang w:val="en-US" w:eastAsia="zh-CN" w:bidi="ar"/>
              </w:rPr>
              <w:t xml:space="preserve">          </w:t>
            </w:r>
            <w:r>
              <w:rPr>
                <w:rStyle w:val="116"/>
                <w:rFonts w:eastAsia="宋体"/>
                <w:lang w:val="en-US" w:eastAsia="zh-CN" w:bidi="ar"/>
              </w:rPr>
              <w:br w:type="textWrapping"/>
            </w:r>
            <w:r>
              <w:rPr>
                <w:rStyle w:val="116"/>
                <w:rFonts w:eastAsia="宋体"/>
                <w:lang w:val="en-US" w:eastAsia="zh-CN" w:bidi="ar"/>
              </w:rPr>
              <w:t>5</w:t>
            </w:r>
            <w:r>
              <w:rPr>
                <w:rStyle w:val="118"/>
                <w:lang w:val="en-US" w:eastAsia="zh-CN" w:bidi="ar"/>
              </w:rPr>
              <w:t>、平均使用寿命</w:t>
            </w:r>
            <w:r>
              <w:rPr>
                <w:rStyle w:val="116"/>
                <w:rFonts w:eastAsia="宋体"/>
                <w:lang w:val="en-US" w:eastAsia="zh-CN" w:bidi="ar"/>
              </w:rPr>
              <w:t>≥100000</w:t>
            </w:r>
            <w:r>
              <w:rPr>
                <w:rStyle w:val="118"/>
                <w:lang w:val="en-US" w:eastAsia="zh-CN" w:bidi="ar"/>
              </w:rPr>
              <w:t>小时；平均故障修复时间</w:t>
            </w:r>
            <w:r>
              <w:rPr>
                <w:rStyle w:val="116"/>
                <w:rFonts w:eastAsia="宋体"/>
                <w:lang w:val="en-US" w:eastAsia="zh-CN" w:bidi="ar"/>
              </w:rPr>
              <w:t>≤5</w:t>
            </w:r>
            <w:r>
              <w:rPr>
                <w:rStyle w:val="118"/>
                <w:lang w:val="en-US" w:eastAsia="zh-CN" w:bidi="ar"/>
              </w:rPr>
              <w:t>分钟。</w:t>
            </w:r>
            <w:r>
              <w:rPr>
                <w:rStyle w:val="116"/>
                <w:rFonts w:eastAsia="宋体"/>
                <w:lang w:val="en-US" w:eastAsia="zh-CN" w:bidi="ar"/>
              </w:rPr>
              <w:br w:type="textWrapping"/>
            </w:r>
            <w:r>
              <w:rPr>
                <w:rStyle w:val="116"/>
                <w:rFonts w:eastAsia="宋体"/>
                <w:lang w:val="en-US" w:eastAsia="zh-CN" w:bidi="ar"/>
              </w:rPr>
              <w:t>6</w:t>
            </w:r>
            <w:r>
              <w:rPr>
                <w:rStyle w:val="118"/>
                <w:lang w:val="en-US" w:eastAsia="zh-CN" w:bidi="ar"/>
              </w:rPr>
              <w:t>、显示屏支持纳米光学镀膜</w:t>
            </w:r>
            <w:r>
              <w:rPr>
                <w:rStyle w:val="116"/>
                <w:rFonts w:eastAsia="宋体"/>
                <w:lang w:val="en-US" w:eastAsia="zh-CN" w:bidi="ar"/>
              </w:rPr>
              <w:t>3D</w:t>
            </w:r>
            <w:r>
              <w:rPr>
                <w:rStyle w:val="118"/>
                <w:lang w:val="en-US" w:eastAsia="zh-CN" w:bidi="ar"/>
              </w:rPr>
              <w:t>防护技术具备防尘、防盐雾、耐高温高湿、耐黄变、抗静电、散热均匀。</w:t>
            </w:r>
            <w:r>
              <w:rPr>
                <w:rStyle w:val="116"/>
                <w:rFonts w:eastAsia="宋体"/>
                <w:lang w:val="en-US" w:eastAsia="zh-CN" w:bidi="ar"/>
              </w:rPr>
              <w:br w:type="textWrapping"/>
            </w:r>
            <w:r>
              <w:rPr>
                <w:rStyle w:val="116"/>
                <w:rFonts w:eastAsia="宋体"/>
                <w:lang w:val="en-US" w:eastAsia="zh-CN" w:bidi="ar"/>
              </w:rPr>
              <w:t>7</w:t>
            </w:r>
            <w:r>
              <w:rPr>
                <w:rStyle w:val="118"/>
                <w:lang w:val="en-US" w:eastAsia="zh-CN" w:bidi="ar"/>
              </w:rPr>
              <w:t>、所投屏体须通过</w:t>
            </w:r>
            <w:r>
              <w:rPr>
                <w:rStyle w:val="116"/>
                <w:rFonts w:eastAsia="宋体"/>
                <w:lang w:val="en-US" w:eastAsia="zh-CN" w:bidi="ar"/>
              </w:rPr>
              <w:t>CCC</w:t>
            </w:r>
            <w:r>
              <w:rPr>
                <w:rStyle w:val="118"/>
                <w:lang w:val="en-US" w:eastAsia="zh-CN" w:bidi="ar"/>
              </w:rPr>
              <w:t>强制认证，不接受</w:t>
            </w:r>
            <w:r>
              <w:rPr>
                <w:rStyle w:val="116"/>
                <w:rFonts w:eastAsia="宋体"/>
                <w:lang w:val="en-US" w:eastAsia="zh-CN" w:bidi="ar"/>
              </w:rPr>
              <w:t>OEM</w:t>
            </w:r>
            <w:r>
              <w:rPr>
                <w:rStyle w:val="118"/>
                <w:lang w:val="en-US" w:eastAsia="zh-CN" w:bidi="ar"/>
              </w:rPr>
              <w:t>产品，要求</w:t>
            </w:r>
            <w:r>
              <w:rPr>
                <w:rStyle w:val="116"/>
                <w:rFonts w:eastAsia="宋体"/>
                <w:lang w:val="en-US" w:eastAsia="zh-CN" w:bidi="ar"/>
              </w:rPr>
              <w:t>3c</w:t>
            </w:r>
            <w:r>
              <w:rPr>
                <w:rStyle w:val="118"/>
                <w:lang w:val="en-US" w:eastAsia="zh-CN" w:bidi="ar"/>
              </w:rPr>
              <w:t>证书中申请人、制造商、生产企业三者名称须一致或为同一集团、法人企业，并提供证书复印件加盖原厂公章。</w:t>
            </w:r>
            <w:r>
              <w:rPr>
                <w:rStyle w:val="116"/>
                <w:rFonts w:eastAsia="宋体"/>
                <w:lang w:val="en-US" w:eastAsia="zh-CN" w:bidi="ar"/>
              </w:rPr>
              <w:br w:type="textWrapping"/>
            </w:r>
            <w:r>
              <w:rPr>
                <w:rStyle w:val="116"/>
                <w:rFonts w:eastAsia="宋体"/>
                <w:lang w:val="en-US" w:eastAsia="zh-CN" w:bidi="ar"/>
              </w:rPr>
              <w:t>8</w:t>
            </w:r>
            <w:r>
              <w:rPr>
                <w:rStyle w:val="118"/>
                <w:lang w:val="en-US" w:eastAsia="zh-CN" w:bidi="ar"/>
              </w:rPr>
              <w:t>、摩尔纹抑制功能：显示屏支持抑制摩尔纹功能，减轻摩尔纹视觉主观效果</w:t>
            </w:r>
            <w:r>
              <w:rPr>
                <w:rStyle w:val="116"/>
                <w:rFonts w:eastAsia="宋体"/>
                <w:lang w:val="en-US" w:eastAsia="zh-CN" w:bidi="ar"/>
              </w:rPr>
              <w:t>80%</w:t>
            </w:r>
            <w:r>
              <w:rPr>
                <w:rStyle w:val="118"/>
                <w:lang w:val="en-US" w:eastAsia="zh-CN" w:bidi="ar"/>
              </w:rPr>
              <w:t>。（提供包含上述内容的产品彩页并加盖投标方公章与具有</w:t>
            </w:r>
            <w:r>
              <w:rPr>
                <w:rStyle w:val="116"/>
                <w:rFonts w:eastAsia="宋体"/>
                <w:lang w:val="en-US" w:eastAsia="zh-CN" w:bidi="ar"/>
              </w:rPr>
              <w:t>CMA</w:t>
            </w:r>
            <w:r>
              <w:rPr>
                <w:rStyle w:val="118"/>
                <w:lang w:val="en-US" w:eastAsia="zh-CN" w:bidi="ar"/>
              </w:rPr>
              <w:t>或</w:t>
            </w:r>
            <w:r>
              <w:rPr>
                <w:rStyle w:val="116"/>
                <w:rFonts w:eastAsia="宋体"/>
                <w:lang w:val="en-US" w:eastAsia="zh-CN" w:bidi="ar"/>
              </w:rPr>
              <w:t>CNAS</w:t>
            </w:r>
            <w:r>
              <w:rPr>
                <w:rStyle w:val="118"/>
                <w:lang w:val="en-US" w:eastAsia="zh-CN" w:bidi="ar"/>
              </w:rPr>
              <w:t>标识的第三方检测机构出具的检测报告复印件加盖投标方公章</w:t>
            </w:r>
            <w:r>
              <w:rPr>
                <w:rStyle w:val="116"/>
                <w:rFonts w:eastAsia="宋体"/>
                <w:lang w:val="en-US" w:eastAsia="zh-CN" w:bidi="ar"/>
              </w:rPr>
              <w:t>)</w:t>
            </w:r>
            <w:r>
              <w:rPr>
                <w:rStyle w:val="116"/>
                <w:rFonts w:eastAsia="宋体"/>
                <w:lang w:val="en-US" w:eastAsia="zh-CN" w:bidi="ar"/>
              </w:rPr>
              <w:br w:type="textWrapping"/>
            </w:r>
            <w:r>
              <w:rPr>
                <w:rStyle w:val="116"/>
                <w:rFonts w:eastAsia="宋体"/>
                <w:lang w:val="en-US" w:eastAsia="zh-CN" w:bidi="ar"/>
              </w:rPr>
              <w:t>9</w:t>
            </w:r>
            <w:r>
              <w:rPr>
                <w:rStyle w:val="118"/>
                <w:lang w:val="en-US" w:eastAsia="zh-CN" w:bidi="ar"/>
              </w:rPr>
              <w:t>、视觉舒适度：（</w:t>
            </w:r>
            <w:r>
              <w:rPr>
                <w:rStyle w:val="116"/>
                <w:rFonts w:eastAsia="宋体"/>
                <w:lang w:val="en-US" w:eastAsia="zh-CN" w:bidi="ar"/>
              </w:rPr>
              <w:t>VICO</w:t>
            </w:r>
            <w:r>
              <w:rPr>
                <w:rStyle w:val="118"/>
                <w:lang w:val="en-US" w:eastAsia="zh-CN" w:bidi="ar"/>
              </w:rPr>
              <w:t>指数）范围在</w:t>
            </w:r>
            <w:r>
              <w:rPr>
                <w:rStyle w:val="116"/>
                <w:rFonts w:eastAsia="宋体"/>
                <w:lang w:val="en-US" w:eastAsia="zh-CN" w:bidi="ar"/>
              </w:rPr>
              <w:t>0-1</w:t>
            </w:r>
            <w:r>
              <w:rPr>
                <w:rStyle w:val="118"/>
                <w:lang w:val="en-US" w:eastAsia="zh-CN" w:bidi="ar"/>
              </w:rPr>
              <w:t>级，满足</w:t>
            </w:r>
            <w:r>
              <w:rPr>
                <w:rStyle w:val="116"/>
                <w:rFonts w:eastAsia="宋体"/>
                <w:lang w:val="en-US" w:eastAsia="zh-CN" w:bidi="ar"/>
              </w:rPr>
              <w:t>CSA035.2-2017</w:t>
            </w:r>
            <w:r>
              <w:rPr>
                <w:rStyle w:val="118"/>
                <w:lang w:val="en-US" w:eastAsia="zh-CN" w:bidi="ar"/>
              </w:rPr>
              <w:t>标准。（提供包含上述内容的产品彩页并加盖投标方公章与具有</w:t>
            </w:r>
            <w:r>
              <w:rPr>
                <w:rStyle w:val="116"/>
                <w:rFonts w:eastAsia="宋体"/>
                <w:lang w:val="en-US" w:eastAsia="zh-CN" w:bidi="ar"/>
              </w:rPr>
              <w:t>CMA</w:t>
            </w:r>
            <w:r>
              <w:rPr>
                <w:rStyle w:val="118"/>
                <w:lang w:val="en-US" w:eastAsia="zh-CN" w:bidi="ar"/>
              </w:rPr>
              <w:t>或</w:t>
            </w:r>
            <w:r>
              <w:rPr>
                <w:rStyle w:val="116"/>
                <w:rFonts w:eastAsia="宋体"/>
                <w:lang w:val="en-US" w:eastAsia="zh-CN" w:bidi="ar"/>
              </w:rPr>
              <w:t>CNAS</w:t>
            </w:r>
            <w:r>
              <w:rPr>
                <w:rStyle w:val="118"/>
                <w:lang w:val="en-US" w:eastAsia="zh-CN" w:bidi="ar"/>
              </w:rPr>
              <w:t>标识的第三方检测机构出具的检测报告复印件加盖投标方公章</w:t>
            </w:r>
            <w:r>
              <w:rPr>
                <w:rStyle w:val="116"/>
                <w:rFonts w:eastAsia="宋体"/>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9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3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r>
      <w:tr w14:paraId="0483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A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6#楼信息发布屏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8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LED全彩屏：11000x6000mm*1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LED全彩屏：5000x2000mm*3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LED全彩屏：12000x4000mm*1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LED全彩屏：20000x2000mm*1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4、采用数字化网络传输技术或标准化HDCP传输技术，支持TyPe-C接口或者HDCP协议的接口。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4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F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184.00</w:t>
            </w:r>
          </w:p>
        </w:tc>
      </w:tr>
      <w:tr w14:paraId="1F92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F5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A3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D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1.名称:室外信息发布屏P4 LED全彩屏:4000mm*2250mm(内置分布式接收控制器)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每套包含发送接收卡、控制软件、图像拼接控制器、屏体钢结构、控制箱等；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1、点间距≤4.0mm，像素点密度≥62500点/m²；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2、水平可视角≥160°，垂直可视角≥160°，色温：2500K-10000K可调；色温为6500K时，100%，75%，50%，25%四档电平百场调节色温误差≤200K；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3、户外最大亮度≥4500cd/㎡，亮度均匀度≥95%；色度均匀性±0.002C×Cy之内；4、模组间相对错位值≤2%，模组平整度≤0.5mm，模组间间隙≤0.5mm；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5、反光率：屏体正面为亚黑处理，反光率＜3%；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6、换帧频率支持50/60/120Hz；刷新率≥3840Hz；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7、盐雾试验：10级；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8、LED显示屏效能：符合标准GB21520-2015，效能一级。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10、动态节能：带有智能节电功能、带电黑屏节电功能，开启智能节电功能比没有开启节能45%以上。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11、视觉舒适度：（VICO指数）范围在0-1级，满足CSA035.2-2017标准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D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A93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0BB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3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9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信息发布软件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0C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1.支持主流视频格式：MPG、AVI、MP4、RMVB、MKV、MOV。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2.支持主流图片格式：JPG、PNG、GIF、BMP、JPEG。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3.支持主流文档格式：PDF、PPT、WORD、EXCEL。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4.支持需支持文本、GIF、媒体、天气、时钟、文本、温度、RSS、倒计时、炫彩文字等多种复杂媒体组合。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5.软件支持自动搜索连接终端，并进行屏体配置、节目发布、播放控制等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6.支持自动统计媒体播放次数、时长（精确到毫秒）。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7.支持多窗口自定义布局播放，可任意设定播放窗口分辨率，同时支持多种标准分辨率选择，可根据X、Y偏移和宽高任意设定窗口布局方式，窗口数量不限。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8.支持局域网内实时控制，包括重启终端、软件更新、音量调节、显示屏亮度调节、双模切换（需使用诺瓦Taurus系列多媒体播放盒）、支持开关屏。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9.支持查看媒体播放日志，并支持以日期范围、类型等条件进行查询。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10.支持远局域网设置对时，对时需支持NTP和射频设备两种对时方式。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11.软件同时支持X86、ARM架构终端一体化设备，支持现有X86同步终端的利旧使用，并支持以上终端设备的混合使用。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12.软件支持节目导入和导出，导出到U盘支持即插即播和拷贝播放两种方式。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13.支持高级节目由节目经过排期形成。 用户可新建、编辑、删除、导入、导出和发布高级节目。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14.支持播放设备字体管理，用户可以进行添加、删除操作。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1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87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F2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7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C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政务服务一体机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F8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事项申报：对接政务2.0平台，支持350+事项在线申报。</w:t>
            </w:r>
            <w:r>
              <w:rPr>
                <w:rStyle w:val="87"/>
                <w:lang w:val="en-US" w:eastAsia="zh-CN" w:bidi="ar"/>
              </w:rPr>
              <w:br w:type="textWrapping"/>
            </w:r>
            <w:r>
              <w:rPr>
                <w:rStyle w:val="87"/>
                <w:lang w:val="en-US" w:eastAsia="zh-CN" w:bidi="ar"/>
              </w:rPr>
              <w:t>▲证照打印：在线打印社保缴费证明、驾驶证信息、不动产信息等多类证明，提供厂家产品证明并加盖公章。</w:t>
            </w:r>
            <w:r>
              <w:rPr>
                <w:rStyle w:val="87"/>
                <w:lang w:val="en-US" w:eastAsia="zh-CN" w:bidi="ar"/>
              </w:rPr>
              <w:br w:type="textWrapping"/>
            </w:r>
            <w:r>
              <w:rPr>
                <w:rStyle w:val="87"/>
                <w:lang w:val="en-US" w:eastAsia="zh-CN" w:bidi="ar"/>
              </w:rPr>
              <w:t>身份认证：身份证认证+人脸识别双重认证。</w:t>
            </w:r>
            <w:r>
              <w:rPr>
                <w:rStyle w:val="87"/>
                <w:lang w:val="en-US" w:eastAsia="zh-CN" w:bidi="ar"/>
              </w:rPr>
              <w:br w:type="textWrapping"/>
            </w:r>
            <w:r>
              <w:rPr>
                <w:rStyle w:val="87"/>
                <w:lang w:val="en-US" w:eastAsia="zh-CN" w:bidi="ar"/>
              </w:rPr>
              <w:t>统一管理平台：统一管理所有智能服务设备，实现统一接入、实时监控、网点信息、数据分析等功能。</w:t>
            </w:r>
            <w:r>
              <w:rPr>
                <w:rStyle w:val="87"/>
                <w:lang w:val="en-US" w:eastAsia="zh-CN" w:bidi="ar"/>
              </w:rPr>
              <w:br w:type="textWrapping"/>
            </w:r>
            <w:r>
              <w:rPr>
                <w:rStyle w:val="87"/>
                <w:lang w:val="en-US" w:eastAsia="zh-CN" w:bidi="ar"/>
              </w:rPr>
              <w:t>在线填表：支持在线填写表单上传。</w:t>
            </w:r>
            <w:r>
              <w:rPr>
                <w:rStyle w:val="87"/>
                <w:lang w:val="en-US" w:eastAsia="zh-CN" w:bidi="ar"/>
              </w:rPr>
              <w:br w:type="textWrapping"/>
            </w:r>
            <w:r>
              <w:rPr>
                <w:rStyle w:val="87"/>
                <w:lang w:val="en-US" w:eastAsia="zh-CN" w:bidi="ar"/>
              </w:rPr>
              <w:t>触控查询：查询事项申报进度。</w:t>
            </w:r>
            <w:r>
              <w:rPr>
                <w:rStyle w:val="87"/>
                <w:lang w:val="en-US" w:eastAsia="zh-CN" w:bidi="ar"/>
              </w:rPr>
              <w:br w:type="textWrapping"/>
            </w:r>
            <w:r>
              <w:rPr>
                <w:rStyle w:val="87"/>
                <w:lang w:val="en-US" w:eastAsia="zh-CN" w:bidi="ar"/>
              </w:rPr>
              <w:t>硬件配置：</w:t>
            </w:r>
            <w:r>
              <w:rPr>
                <w:rStyle w:val="87"/>
                <w:lang w:val="en-US" w:eastAsia="zh-CN" w:bidi="ar"/>
              </w:rPr>
              <w:br w:type="textWrapping"/>
            </w:r>
            <w:r>
              <w:rPr>
                <w:rStyle w:val="87"/>
                <w:lang w:val="en-US" w:eastAsia="zh-CN" w:bidi="ar"/>
              </w:rPr>
              <w:t>一、工控主机【CPU intel I3 7100U（主频：2.4Ghz）; 内存：8G；存储：固态硬盘256G；视频接口：VGA*1/ HDMI*1；</w:t>
            </w:r>
            <w:r>
              <w:rPr>
                <w:rStyle w:val="87"/>
                <w:lang w:val="en-US" w:eastAsia="zh-CN" w:bidi="ar"/>
              </w:rPr>
              <w:br w:type="textWrapping"/>
            </w:r>
            <w:r>
              <w:rPr>
                <w:rStyle w:val="87"/>
                <w:lang w:val="en-US" w:eastAsia="zh-CN" w:bidi="ar"/>
              </w:rPr>
              <w:t>二、喇叭；</w:t>
            </w:r>
            <w:r>
              <w:rPr>
                <w:rStyle w:val="87"/>
                <w:lang w:val="en-US" w:eastAsia="zh-CN" w:bidi="ar"/>
              </w:rPr>
              <w:br w:type="textWrapping"/>
            </w:r>
            <w:r>
              <w:rPr>
                <w:rStyle w:val="121"/>
                <w:lang w:val="en-US" w:eastAsia="zh-CN" w:bidi="ar"/>
              </w:rPr>
              <w:t>三、多点式电容触摸23.6寸（屏规格:23.6寸LED；屏幕比例（Aspect Ratio）:  16:9；分辨率（Max. Resolution）: 1920 *1080；响应时间（Response Time） ≤6.5ms；点距: 0.17675×0.53025mm；提供厂家产品证明并加盖公章。</w:t>
            </w:r>
            <w:r>
              <w:rPr>
                <w:rStyle w:val="87"/>
                <w:lang w:val="en-US" w:eastAsia="zh-CN" w:bidi="ar"/>
              </w:rPr>
              <w:br w:type="textWrapping"/>
            </w:r>
            <w:r>
              <w:rPr>
                <w:rStyle w:val="87"/>
                <w:lang w:val="en-US" w:eastAsia="zh-CN" w:bidi="ar"/>
              </w:rPr>
              <w:t>四、27寸广告屏【屏幕比例（Aspect Ratio）:16:9；分辨率1920*1080；点距: 0.1×0.3mm；</w:t>
            </w:r>
            <w:r>
              <w:rPr>
                <w:rStyle w:val="87"/>
                <w:lang w:val="en-US" w:eastAsia="zh-CN" w:bidi="ar"/>
              </w:rPr>
              <w:br w:type="textWrapping"/>
            </w:r>
            <w:r>
              <w:rPr>
                <w:rStyle w:val="87"/>
                <w:lang w:val="en-US" w:eastAsia="zh-CN" w:bidi="ar"/>
              </w:rPr>
              <w:t>五、LED指示灯模块（读卡器、高拍仪、二维码扫描盒、凭条打印机、激光打印机等操作口指示灯，可指引客户操作）；</w:t>
            </w:r>
            <w:r>
              <w:rPr>
                <w:rStyle w:val="87"/>
                <w:lang w:val="en-US" w:eastAsia="zh-CN" w:bidi="ar"/>
              </w:rPr>
              <w:br w:type="textWrapping"/>
            </w:r>
            <w:r>
              <w:rPr>
                <w:rStyle w:val="87"/>
                <w:lang w:val="en-US" w:eastAsia="zh-CN" w:bidi="ar"/>
              </w:rPr>
              <w:t>六、身份证阅读器（支持读取二代居民身份证；阅读时间&lt; 1S；读卡距离 0~50mm；符合USB2.0标准。</w:t>
            </w:r>
            <w:r>
              <w:rPr>
                <w:rStyle w:val="87"/>
                <w:lang w:val="en-US" w:eastAsia="zh-CN" w:bidi="ar"/>
              </w:rPr>
              <w:br w:type="textWrapping"/>
            </w:r>
            <w:r>
              <w:rPr>
                <w:rStyle w:val="87"/>
                <w:lang w:val="en-US" w:eastAsia="zh-CN" w:bidi="ar"/>
              </w:rPr>
              <w:t>七、多合一密码键盘（接口：标准PS/2、RS232/USB。</w:t>
            </w:r>
            <w:r>
              <w:rPr>
                <w:rStyle w:val="87"/>
                <w:lang w:val="en-US" w:eastAsia="zh-CN" w:bidi="ar"/>
              </w:rPr>
              <w:br w:type="textWrapping"/>
            </w:r>
            <w:r>
              <w:rPr>
                <w:rStyle w:val="87"/>
                <w:lang w:val="en-US" w:eastAsia="zh-CN" w:bidi="ar"/>
              </w:rPr>
              <w:t>八、双目摄像头（红外摄像头+可见光摄像头；支持活体检测；支持人脸识别接入；活体检测距离：50cm-120cm。</w:t>
            </w:r>
            <w:r>
              <w:rPr>
                <w:rStyle w:val="87"/>
                <w:lang w:val="en-US" w:eastAsia="zh-CN" w:bidi="ar"/>
              </w:rPr>
              <w:br w:type="textWrapping"/>
            </w:r>
            <w:r>
              <w:rPr>
                <w:rStyle w:val="87"/>
                <w:lang w:val="en-US" w:eastAsia="zh-CN" w:bidi="ar"/>
              </w:rPr>
              <w:t>九、高拍摄像头（最高有效像素：2591(H)X1944(V)；输出图像格式：MJPEG/YUV2(YUYV)；灵敏度：600mV/Lux-sec。</w:t>
            </w:r>
            <w:r>
              <w:rPr>
                <w:rStyle w:val="87"/>
                <w:lang w:val="en-US" w:eastAsia="zh-CN" w:bidi="ar"/>
              </w:rPr>
              <w:br w:type="textWrapping"/>
            </w:r>
            <w:r>
              <w:rPr>
                <w:rStyle w:val="87"/>
                <w:lang w:val="en-US" w:eastAsia="zh-CN" w:bidi="ar"/>
              </w:rPr>
              <w:t>十、扫码盒（解码支持：一维码、二维码；受光强度：0-100.000LUX；运动容差：100毫米/秒13milUPC。</w:t>
            </w:r>
            <w:r>
              <w:rPr>
                <w:rStyle w:val="87"/>
                <w:lang w:val="en-US" w:eastAsia="zh-CN" w:bidi="ar"/>
              </w:rPr>
              <w:br w:type="textWrapping"/>
            </w:r>
            <w:r>
              <w:rPr>
                <w:rStyle w:val="87"/>
                <w:lang w:val="en-US" w:eastAsia="zh-CN" w:bidi="ar"/>
              </w:rPr>
              <w:t>十一、彩色激光打印机（最大打印幅面：A4；打印速度：A4黑彩同速：27 页/分钟（或以上）；月打印负荷： 50,000 页；纸张容量：250张。</w:t>
            </w:r>
            <w:r>
              <w:rPr>
                <w:rStyle w:val="87"/>
                <w:lang w:val="en-US" w:eastAsia="zh-CN" w:bidi="ar"/>
              </w:rPr>
              <w:br w:type="textWrapping"/>
            </w:r>
            <w:r>
              <w:rPr>
                <w:rStyle w:val="87"/>
                <w:lang w:val="en-US" w:eastAsia="zh-CN" w:bidi="ar"/>
              </w:rPr>
              <w:t>十二、热敏打印机（自动切刀；分辨率：203DPI；打印宽度：Max.80mm；打印速度：150mm/s。</w:t>
            </w:r>
            <w:r>
              <w:rPr>
                <w:rStyle w:val="87"/>
                <w:lang w:val="en-US" w:eastAsia="zh-CN" w:bidi="ar"/>
              </w:rPr>
              <w:br w:type="textWrapping"/>
            </w:r>
            <w:r>
              <w:rPr>
                <w:rStyle w:val="87"/>
                <w:lang w:val="en-US" w:eastAsia="zh-CN" w:bidi="ar"/>
              </w:rPr>
              <w:t>十三、机柜（金属烤漆，坚硬厚实；底部有四向滚轮，两侧有隐藏式提手，方便搬动；前后开门，方便维护与拆卸。）；</w:t>
            </w:r>
            <w:r>
              <w:rPr>
                <w:rStyle w:val="87"/>
                <w:lang w:val="en-US" w:eastAsia="zh-CN" w:bidi="ar"/>
              </w:rPr>
              <w:br w:type="textWrapping"/>
            </w:r>
            <w:r>
              <w:rPr>
                <w:rStyle w:val="87"/>
                <w:lang w:val="en-US" w:eastAsia="zh-CN" w:bidi="ar"/>
              </w:rPr>
              <w:t>十四、麦克风(拾音距离：2-3米；频响范围：100Hz ～16KHz；灵敏度：-47dB+/-3db。)；</w:t>
            </w:r>
            <w:r>
              <w:rPr>
                <w:rStyle w:val="87"/>
                <w:lang w:val="en-US" w:eastAsia="zh-CN" w:bidi="ar"/>
              </w:rPr>
              <w:br w:type="textWrapping"/>
            </w:r>
            <w:r>
              <w:rPr>
                <w:rStyle w:val="87"/>
                <w:lang w:val="en-US" w:eastAsia="zh-CN" w:bidi="ar"/>
              </w:rPr>
              <w:t>十五、供电模块(输入电压范围 176Vac~264Vac；频率范围47Hz--63Hz。)；</w:t>
            </w:r>
            <w:r>
              <w:rPr>
                <w:rStyle w:val="87"/>
                <w:lang w:val="en-US" w:eastAsia="zh-CN" w:bidi="ar"/>
              </w:rPr>
              <w:br w:type="textWrapping"/>
            </w:r>
            <w:r>
              <w:rPr>
                <w:rStyle w:val="87"/>
                <w:lang w:val="en-US" w:eastAsia="zh-CN" w:bidi="ar"/>
              </w:rPr>
              <w:t>十六、UPS(额定功率：360W；输出插座：2个（国标）；输出电压：220V。)；</w:t>
            </w:r>
            <w:r>
              <w:rPr>
                <w:rStyle w:val="87"/>
                <w:lang w:val="en-US" w:eastAsia="zh-CN" w:bidi="ar"/>
              </w:rPr>
              <w:br w:type="textWrapping"/>
            </w:r>
            <w:r>
              <w:rPr>
                <w:rStyle w:val="87"/>
                <w:lang w:val="en-US" w:eastAsia="zh-CN" w:bidi="ar"/>
              </w:rPr>
              <w:t>十七、金属一键呼叫按钮；</w:t>
            </w:r>
            <w:r>
              <w:rPr>
                <w:rStyle w:val="87"/>
                <w:lang w:val="en-US" w:eastAsia="zh-CN" w:bidi="ar"/>
              </w:rPr>
              <w:br w:type="textWrapping"/>
            </w:r>
            <w:r>
              <w:rPr>
                <w:rStyle w:val="87"/>
                <w:lang w:val="en-US" w:eastAsia="zh-CN" w:bidi="ar"/>
              </w:rPr>
              <w:t>十八、社保卡读卡器（支持读取二代、三代社保卡，USB接口）。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B8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1B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7E7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C814">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5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多功能会议系统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5F65">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B84A6">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C1E54">
            <w:pPr>
              <w:jc w:val="right"/>
              <w:rPr>
                <w:rFonts w:hint="eastAsia" w:ascii="宋体" w:hAnsi="宋体" w:eastAsia="宋体" w:cs="宋体"/>
                <w:i w:val="0"/>
                <w:iCs w:val="0"/>
                <w:color w:val="000000"/>
                <w:sz w:val="18"/>
                <w:szCs w:val="18"/>
                <w:u w:val="none"/>
              </w:rPr>
            </w:pPr>
          </w:p>
        </w:tc>
      </w:tr>
      <w:tr w14:paraId="5AE5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98F7">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0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6#楼1F 报告厅（共1间）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0332">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CB61">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34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E52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3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8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C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1.名称:主扩有源8单元两分频指向性可控音柱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2.规格:可控指向线性两分频线性音柱，采用科学的铝质箱体结构设计，拥有8×4"中音单元和24×0.75"高音单元；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垂直指向角度可调，垂直指向角度具有≥90°可调范围，调节精度为≤0.1⁰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垂直指向宽度可调，垂直指向宽度具有12⁰~90⁰可调范围，覆盖范围3m~30m；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具有两个独立的波束，能够分别独立控制及调整两个波束，波束中心点位置可调；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波束具有旁瓣抑制独立开关，能够根据不同会议室声场环境开启或关闭，提供会议室声音效果；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具有AES/EBU数字音频信号及模拟双信号同时输入，信号输入具有热备份功能；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内置多通道DSP引擎及高性能D类数字放大器，以可编程的方式，高精度控制每个单个阵列元件；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中音单元采用复合碳纤维振膜，高音单元采用纳米碳纤维振膜；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频率响应：≥100Hz-20kHz（±3dB）/80Hz-22kHz(-10dB)；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灵敏度：≥103dB；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额定功率：≤400W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最大声压级：≥129dB SPL,135dB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中音单元：不少于8个4〞中音单元（单元结构不大于4〞）；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高音单元：不少于24个0.75〞高音单元（单元结构不大于0.75〞）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具有RJ45接口，能够设定及监控扬声器的参数；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AD &amp; DA 转换 ：24bit-96kHz；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6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7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61C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92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8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789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1.名称:辅助无源8英寸两分频扬声器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2.规格:采用科学的木质箱体结构设计,拥有1×8"低音单元和1×2"高音压缩单元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水平指向由平面波导技术号角加载，具备水平覆盖50°～100°渐变，垂直覆盖60°，使覆盖区域内声压以及频响更加均匀一致。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渐变式指向号角，可旋转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两分频扬声器，中音单元采用复合碳纤维振膜，高音单元采用纳米碳纤维振膜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具有柱面波径向耦合技术，有效提升传输效率及传输距离，减少单体号角间的干涉，提高耦合效率，提升声音质量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频率响应：≥70Hz-20kHz（±3dB）/50Hz-25kHz(-10dB)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标称阻抗：8 Ohm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额定功率：≤200W(AES)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低音单元：不少于1个8〞低音单元（单元结构不大于8〞）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高音单元：不少于1个2〞高音单元（单元结构不大于2〞）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最大声压级：≥119dB SPL,125dB SPL peak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5F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60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DB7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F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90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C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1.名称:辅助数字功放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5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7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4E8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1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02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B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1.名称:无源12英寸同轴返送扬声器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2.规格:采用科学的木质箱体结构设计,拥有1×12"低音单元和1×3"高音压缩单元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水平指向由平面波导技术号角加载，具备水平覆盖50°～100°渐变，垂直覆盖60°，使覆盖区域内声压以及频响更加均匀一致。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渐变式指向号角，可旋转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两分频扬声器，中音单元采用复合碳纤维振膜，高音单元采用纳米碳纤维振膜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具有柱面波径向耦合技术，有效提升传输效率及传输距离，减少单体号角间的干涉，提高耦合效率，提升声音质量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 Hz-20 kHz (±3 dB） / 45 Hz-22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灵敏度：≥99dB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标称阻抗：8 Ohm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额定功率：≤400W(AES)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低音单元：不少于1个12〞低音单元（单元结构不大于12〞）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高音单元：不少于1个3〞高音单元（单元结构不大于3〞）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最大声压级：≥125dB SPL,131 dB SPL peak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B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A3E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8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5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9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1.名称:返送数字功放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kHz）：2×800 W （8 Ω/立体声）；2×1200 W （4 Ω/立体声）；1×1600 W （16 Ω/桥接）；1×2400 W （8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kHz）：80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32dB，0.775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F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89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36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2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F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A0EB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2.规格:两分频单驱动全音域音柱，采用科学的木质箱体结构设计,拥有4×4"中音单元和12×0.75"高音单元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一带三同轴结构，拥有更好的离轴响应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中音单元采用复合碳纤维振膜，高音单元采用纳米碳纤维振膜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40°固定垂直覆盖角(+15°/-25°)，100°水平指向，宽广的覆盖范围，能够优化声场均匀度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频率响应：≥80Hz-20kHz（±3dB）/60Hz-25kHz(-10dB)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额定功率：≤200W(AES)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中音单元：不少于4个4〞中音单元（单元结构不大于4〞）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高音单元：不少于12个0.75〞高音单元（单元结构不大于0.75〞）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最大声压级：≥121dB SPL，127 dB SPLpeak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43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5A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6B8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C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5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F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1.名称:返送数字功放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D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B0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7A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B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5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17DC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1.名称:中置补声无源8英寸两分频扬声器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2.规格:与全数字会议系统主机同一品牌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采用科学的木质箱体结构设计,拥有1×8"低音单元和1×2"高音压缩单元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水平指向由平面波导技术号角加载，具备水平覆盖50°～100°渐变，垂直覆盖60°，使覆盖区域内声压以及频响更加均匀一致。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渐变式指向号角，可旋转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两分频扬声器，中音单元采用复合碳纤维振膜，高音单元采用纳米碳纤维振膜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具有柱面波径向耦合技术，有效提升传输效率及传输距离，减少单体号角间的干涉，提高耦合效率，提升声音质量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频率响应：≥70Hz-20kHz（±3dB）/50Hz-25kHz(-10dB)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标称阻抗：8 Ohm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额定功率：≤200W(AES)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低音单元：不少于1个8〞低音单元（单元结构不大于8〞）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高音单元：不少于1个2〞高音单元（单元结构不大于2〞）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最大声压级：≥119dB SPL,125dB SPL peak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3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5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890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E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9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D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1.名称:中置补声数字功放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E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02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CD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30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7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6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1.名称：超低频音箱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2.规格：采用科学的木质箱体结构设计,拥有2×10"双磁体长冲程低音单元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低音单元采用复合碳纤维振膜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直射结构设计，保证了音色的高度还原以及瞬态响应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强化箱体结构，完善的风阻设计，使其具有极低的f0，同时减少其他干扰的声音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频率响应：≥40Hz-300Hz（±3dB）/ 35Hz-400Hz（-10dB）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灵敏度：≥104dB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标称阻抗：4 Ohm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额定功率：≤800W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低音单元：不少于2个10〞（单元结构不大于10〞）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最大声压级：≥133dB SPL,139dB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C8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F99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0D7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3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3E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5E9A">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1.名称:超低频数字功放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13、额定功率（THD=1%，1 kHz）：2×800 W （8 Ω/立体声）；2×1200 W （4 Ω/立体声）；1×1600 W （16 Ω/桥接）；1×2400 W （8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14、RMS输出电压（THD=1%，1 kHz）：80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15、输入灵敏度（额定输出功率，1 kHz）： 32dB，0.775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B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3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A9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6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0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0BC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1.名称:网络数字音频处理器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2.规格:前面板32个输入以及输出的静音快捷键，便于调试及紧急情况下快速静音保护系统安全性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前面板USB端口用于连接电脑，访问PC软件调试及访问工作状态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前面板提供16组输入16组输入LED电平指示灯，方便检阅系统的工作状态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后面板以太网连接控制端口可以进行设备远程网络控制和跨网段异地系统控制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后面板RS232/485端口实现中控设备的远程实时控制,还可以通过485来进行级连控制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8路Dante输入通道、8路Dante输出通道、8路内部混音通道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16路平衡输入、16路平衡输出、每路输入具有+48V DC幻象电源、话筒的输入的灵敏度可调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Dante数字网络音频卡配置为双标准网络接口、支持级联交换及热备份功能、即插即用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输入、输出通道系统可处理低切、参数均衡、增益、静音、压缩器、相位、噪声门、延时器、音量编辑处理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系统提供完善的控制代码库，全面支持第三方中控的控制及管理，包括所有音量的控制、预设场景调用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 Hz ～ 20 kHz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总谐波失真+噪声：0.015 %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串音： 70dBu，20Hz-20kHz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动态范围：110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A/D 和D/A 转换器：24bit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采样率：32 bit DSP 96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输入阻抗：12kΩ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输出阻抗：500Ω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4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6D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B1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F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1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3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1.名称:数字调音台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2.规格:不少于16路输入通道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不少于16个AUX输出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不少于8个DCA编组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不少于6个Mute Group静音编组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不少于8个立体声效果器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不少于1个立体声AES/EBU输出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不少于1对MIDI输入输出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共模抑制＞90dB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D/A动态范围≥109dB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TRS最大输出电平≥21dBu                                                                                 不少于20路全数字处理通道输入，支持噪声门、压缩器、高低通滤波器、效果插入等等功能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不少于25条混音母线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不少于数字音频网络达96输入和96输出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支持ADC/DAC采样率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不少于17个100mm电动推子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40bit浮点处理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通过无线网络，可由平板电脑进行控制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内置RTA功能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支持的个人监听系统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36个用户自定义键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通过SD / SDHC可实时录制/播放不少于32轨双向音频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通过USB线连接电脑，支持不少于32×32的录播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不少于5寸彩色显示屏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通过无线网络，可由IPhone/IPad中的应用程序进行控制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自适应的开关式电源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A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95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9BD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8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6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A7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数字调音台同步器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主备数字调音台镜像同步器，能够实现主备数字调音台之间的实时热备份；若数字调音台已经内置该功能，可不用配置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D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49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64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B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C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E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音频接口箱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32个经典话放输入通道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16个模拟平行XLR输出通道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CATS电缆的传输距离最高可达100m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2个AES3（AES/EBU）接口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2个AES50接口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支持96k/48k采样率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可控制精确计量的7格电平信号指示灯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所有的输入输出信号都能够通过耳机接口进行监听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能与个人监听系统连接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应用千多种使用模式的双ADAT输出接口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MIDI输入输出接口提供控制台与舞台MIDI设备之间的连接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C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B9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53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7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9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5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有源监听音箱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频率响应：54-30K,5寸两分频有源监听音箱，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总功率70W</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B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8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C97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2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8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2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头戴式监听耳机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3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56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8B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26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84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82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1.名称:无线双手持话筒（含配套的话筒主机及话筒2只）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2.规格:射频载波频率范围：470-937.5 MHz（视地区而定）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工作范围：100 m（实际范围取决于射频信号的吸收、反射和干扰）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射频调谐步进：25 kHz （视地区而定）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镜频抑制：＞70 dB 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射频灵敏度：-97dBm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延迟：3.2ms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音频频率响应：20 Hz-20 kHz（+1、-2dB）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音频动态范围：120 dB @1% THD A权重，典型值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话筒增益偏移范围：0至21 dB（3dB步进）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 / 储存 温度范围：-18℃ 至 +50℃ / -29℃ 至 74℃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SLXD24D/SM58 数字无线话筒系统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SLXD4D双通接收机，SLXD2/SM58 心形动圈手持式发射器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提供清晰的24位数字音频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20Hz 至 20kHz频率范围（视话筒头而定）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120dB的动态范围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数字式预开关分集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 MHz 调谐带宽（视地区而定）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每个频段32个可用通道（视地区而定）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每个6MHz电池频段多达10个兼容系统，每个8MHz频段兼容12个系统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通过红外扫描和同步轻松配对发射机和接收机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2节AA电池壳持续使用长达8小时，也可选配舒尔SB903可充电锂电池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可更换话筒头，牢固的金属构造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5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47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A6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D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D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E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1.名称:无线头戴话筒（含配套的话筒主机及话筒2只）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2.规格:输出阻抗：100Ω@ 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信噪比：59.2 dB@ 1 kHz，1kΩ负载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较大声压级：151.3dB,1kΩ负载,@1%THD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动态范围：116.5dB@1kHz, 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灵敏度：-57.8 dBV/Pa @1kHz, 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自噪音：34.8 dB SPL-A，1kΩ负载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电源要求：+5 VDC (额定) ，10V较大(直流偏压)&gt;&gt; 频响：40Hz-20kHz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指向性：心形指向性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线缆：1.1米(45英寸)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接口：TA4F</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46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75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3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12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D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无线分配器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五路射频信号输出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前置式天线安装件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架置式安装件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B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3B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78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60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4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共用天线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D8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宽频天线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对数周期偶极振子阵列，能够在面向所需的覆盖区域时提供最佳接收效果。集成式放大器具有四个增益设置，用于补偿不同级别的同轴线缆信号损失。可将天线固定在话筒支架上，也可将其悬挂在天花板上，或者使用集成式可旋转支架固定在墙壁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E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7D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B8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EB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4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6D5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1.名称：报告席鹅颈式高性能电容话筒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2.规格：鹅颈式高性能电容话筒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22mm大振膜电容音头，心形单指向性话筒，拾音距离更远，发言者可不受限于近距离使用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灵敏度：-35 dBV/Pa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 Hz ~ 20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 79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针卡侬公头接口，总长 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底座具有红色LED开启话筒指示灯，带自锁开关</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2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BCB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BC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60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4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2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全数字化会议系统主机</w:t>
            </w:r>
            <w:r>
              <w:rPr>
                <w:rStyle w:val="87"/>
                <w:lang w:val="en-US" w:eastAsia="zh-CN" w:bidi="ar"/>
              </w:rPr>
              <w:br w:type="textWrapping"/>
            </w:r>
            <w:r>
              <w:rPr>
                <w:rStyle w:val="87"/>
                <w:lang w:val="en-US" w:eastAsia="zh-CN" w:bidi="ar"/>
              </w:rPr>
              <w:t>1.符合 ISO22259 国际标准</w:t>
            </w:r>
            <w:r>
              <w:rPr>
                <w:rStyle w:val="87"/>
                <w:lang w:val="en-US" w:eastAsia="zh-CN" w:bidi="ar"/>
              </w:rPr>
              <w:br w:type="textWrapping"/>
            </w:r>
            <w:r>
              <w:rPr>
                <w:rStyle w:val="87"/>
                <w:lang w:val="en-US" w:eastAsia="zh-CN" w:bidi="ar"/>
              </w:rPr>
              <w:t>2.符合GB 50799-2012国家标准</w:t>
            </w:r>
            <w:r>
              <w:rPr>
                <w:rStyle w:val="87"/>
                <w:lang w:val="en-US" w:eastAsia="zh-CN" w:bidi="ar"/>
              </w:rPr>
              <w:br w:type="textWrapping"/>
            </w:r>
            <w:r>
              <w:rPr>
                <w:rStyle w:val="87"/>
                <w:lang w:val="en-US" w:eastAsia="zh-CN" w:bidi="ar"/>
              </w:rPr>
              <w:t>支持 48 kHz 音频采样频率， 64 通道频率响应均可达30 Hz ~ 20 kHz</w:t>
            </w:r>
            <w:r>
              <w:rPr>
                <w:rStyle w:val="87"/>
                <w:lang w:val="en-US" w:eastAsia="zh-CN" w:bidi="ar"/>
              </w:rPr>
              <w:br w:type="textWrapping"/>
            </w:r>
            <w:r>
              <w:rPr>
                <w:rStyle w:val="87"/>
                <w:lang w:val="en-US" w:eastAsia="zh-CN" w:bidi="ar"/>
              </w:rPr>
              <w:t>3.会议主机与扩展主机之间支持环形手拉手”连接技术，一台扩展主机的故障或更换不会影响到系统中其它扩展主机的工作，扩展主机间出现一处连线故障也不会影响到系统工作，从而使系统具有更高可靠性</w:t>
            </w:r>
            <w:r>
              <w:rPr>
                <w:rStyle w:val="87"/>
                <w:lang w:val="en-US" w:eastAsia="zh-CN" w:bidi="ar"/>
              </w:rPr>
              <w:br w:type="textWrapping"/>
            </w:r>
            <w:r>
              <w:rPr>
                <w:rStyle w:val="87"/>
                <w:lang w:val="en-US" w:eastAsia="zh-CN" w:bidi="ar"/>
              </w:rPr>
              <w:t>会议单元支持环形手拉手”连接技术，一台分机的故障或更换不会影响到系统中其它分机的工作，分机间出现一处连线故障也不会影响到系统工作，从而使系统具有更高可靠性</w:t>
            </w:r>
            <w:r>
              <w:rPr>
                <w:rStyle w:val="87"/>
                <w:lang w:val="en-US" w:eastAsia="zh-CN" w:bidi="ar"/>
              </w:rPr>
              <w:br w:type="textWrapping"/>
            </w:r>
            <w:r>
              <w:rPr>
                <w:rStyle w:val="121"/>
                <w:lang w:val="en-US" w:eastAsia="zh-CN" w:bidi="ar"/>
              </w:rPr>
              <w:t>4.会议主机具备25路及以上独立音频输出，提供包含上述内容的产品彩页并加盖投标方公章与具有CMA或CNAS标识的第三方检测机构出具的检测报告复印件加盖投标方公章</w:t>
            </w:r>
            <w:r>
              <w:rPr>
                <w:rStyle w:val="87"/>
                <w:lang w:val="en-US" w:eastAsia="zh-CN" w:bidi="ar"/>
              </w:rPr>
              <w:br w:type="textWrapping"/>
            </w:r>
            <w:r>
              <w:rPr>
                <w:rStyle w:val="87"/>
                <w:lang w:val="en-US" w:eastAsia="zh-CN" w:bidi="ar"/>
              </w:rPr>
              <w:t>5.具备彩色2.8'' LCD 屏显示状态和配置信息，步进式旋钮可快速选择和设置 LCD 菜单</w:t>
            </w:r>
            <w:r>
              <w:rPr>
                <w:rStyle w:val="87"/>
                <w:lang w:val="en-US" w:eastAsia="zh-CN" w:bidi="ar"/>
              </w:rPr>
              <w:br w:type="textWrapping"/>
            </w:r>
            <w:r>
              <w:rPr>
                <w:rStyle w:val="121"/>
                <w:lang w:val="en-US" w:eastAsia="zh-CN" w:bidi="ar"/>
              </w:rPr>
              <w:t>6.具备 Web 页面控制功能，可通过 Web 页面访问会议主机，支持更详尽的主机参数设置提供包含上述内容的产品彩页并加盖投标方公章与具有CMA或CNAS标识的第三方检测机构出具的检测报告复印件加盖投标方公章</w:t>
            </w:r>
            <w:r>
              <w:rPr>
                <w:rStyle w:val="87"/>
                <w:lang w:val="en-US" w:eastAsia="zh-CN" w:bidi="ar"/>
              </w:rPr>
              <w:br w:type="textWrapping"/>
            </w:r>
            <w:r>
              <w:rPr>
                <w:rStyle w:val="87"/>
                <w:lang w:val="en-US" w:eastAsia="zh-CN" w:bidi="ar"/>
              </w:rPr>
              <w:t>7.设备具有内置软件管理功能，方便互联网集成，并能通过网络方式进行主机开启和关闭</w:t>
            </w:r>
            <w:r>
              <w:rPr>
                <w:rStyle w:val="87"/>
                <w:lang w:val="en-US" w:eastAsia="zh-CN" w:bidi="ar"/>
              </w:rPr>
              <w:br w:type="textWrapping"/>
            </w:r>
            <w:r>
              <w:rPr>
                <w:rStyle w:val="87"/>
                <w:lang w:val="en-US" w:eastAsia="zh-CN" w:bidi="ar"/>
              </w:rPr>
              <w:t>▲8.具备双机热备份功能，可将一台会议控制主机设置为备份主机并连接到系统中，当会议控制主机出现意外时，备份主机会自动启用，保证会议无间断顺利进行提供包含上述内容的产品彩页并加盖投标方公章与具有CMA或CNAS标识的第三方检测机构出具的检测报告复印件加盖投标方公章</w:t>
            </w:r>
            <w:r>
              <w:rPr>
                <w:rStyle w:val="87"/>
                <w:lang w:val="en-US" w:eastAsia="zh-CN" w:bidi="ar"/>
              </w:rPr>
              <w:br w:type="textWrapping"/>
            </w:r>
            <w:r>
              <w:rPr>
                <w:rStyle w:val="87"/>
                <w:lang w:val="en-US" w:eastAsia="zh-CN" w:bidi="ar"/>
              </w:rPr>
              <w:t>信噪比≥100 dBA</w:t>
            </w:r>
            <w:r>
              <w:rPr>
                <w:rStyle w:val="87"/>
                <w:lang w:val="en-US" w:eastAsia="zh-CN" w:bidi="ar"/>
              </w:rPr>
              <w:br w:type="textWrapping"/>
            </w:r>
            <w:r>
              <w:rPr>
                <w:rStyle w:val="87"/>
                <w:lang w:val="en-US" w:eastAsia="zh-CN" w:bidi="ar"/>
              </w:rPr>
              <w:t>总谐波失真≤0.05%</w:t>
            </w:r>
            <w:r>
              <w:rPr>
                <w:rStyle w:val="87"/>
                <w:lang w:val="en-US" w:eastAsia="zh-CN" w:bidi="ar"/>
              </w:rPr>
              <w:br w:type="textWrapping"/>
            </w:r>
            <w:r>
              <w:rPr>
                <w:rStyle w:val="87"/>
                <w:lang w:val="en-US" w:eastAsia="zh-CN" w:bidi="ar"/>
              </w:rPr>
              <w:t>频率响应：30~20kHz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65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DB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87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7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4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2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主席发言单元</w:t>
            </w:r>
            <w:r>
              <w:rPr>
                <w:rStyle w:val="87"/>
                <w:lang w:val="en-US" w:eastAsia="zh-CN" w:bidi="ar"/>
              </w:rPr>
              <w:br w:type="textWrapping"/>
            </w:r>
            <w:r>
              <w:rPr>
                <w:rStyle w:val="87"/>
                <w:lang w:val="en-US" w:eastAsia="zh-CN" w:bidi="ar"/>
              </w:rPr>
              <w:t>1.会议单元支持“环形手拉手”连接技术，一台主机的故障或更换不会影响到系统中其它分机的工作，分机间出现一处连线故障也不会影响到系统工作，从而使系统具有更高可靠性。</w:t>
            </w:r>
            <w:r>
              <w:rPr>
                <w:rStyle w:val="87"/>
                <w:lang w:val="en-US" w:eastAsia="zh-CN" w:bidi="ar"/>
              </w:rPr>
              <w:br w:type="textWrapping"/>
            </w:r>
            <w:r>
              <w:rPr>
                <w:rStyle w:val="121"/>
                <w:lang w:val="en-US" w:eastAsia="zh-CN" w:bidi="ar"/>
              </w:rPr>
              <w:t>2.内置完全隔离的主麦克风及备份麦克风，主备两路音频信号同时输出，主麦克风所在系统出现故障时，不影响备份麦克风输出</w:t>
            </w:r>
            <w:r>
              <w:rPr>
                <w:rStyle w:val="121"/>
                <w:lang w:val="en-US" w:eastAsia="zh-CN" w:bidi="ar"/>
              </w:rPr>
              <w:br w:type="textWrapping"/>
            </w:r>
            <w:r>
              <w:rPr>
                <w:rStyle w:val="121"/>
                <w:lang w:val="en-US" w:eastAsia="zh-CN" w:bidi="ar"/>
              </w:rPr>
              <w:t>提供包含上述内容的产品彩页并加盖投标方公章与具有CMA或CNAS标识的第三方检测机构出具的检测报告复印件加盖投标方公章</w:t>
            </w:r>
            <w:r>
              <w:rPr>
                <w:rStyle w:val="121"/>
                <w:lang w:val="en-US" w:eastAsia="zh-CN" w:bidi="ar"/>
              </w:rPr>
              <w:br w:type="textWrapping"/>
            </w:r>
            <w:r>
              <w:rPr>
                <w:rStyle w:val="121"/>
                <w:lang w:val="en-US" w:eastAsia="zh-CN" w:bidi="ar"/>
              </w:rPr>
              <w:t>3.会议单元具备大于等于4”屏幕，提供包含上述内容的产品彩页并加盖投标方公章与具有CMA或CNAS标识的第三方检测机构出具的检测报告复印件加盖投标方公章</w:t>
            </w:r>
            <w:r>
              <w:rPr>
                <w:rStyle w:val="87"/>
                <w:lang w:val="en-US" w:eastAsia="zh-CN" w:bidi="ar"/>
              </w:rPr>
              <w:br w:type="textWrapping"/>
            </w:r>
            <w:r>
              <w:rPr>
                <w:rStyle w:val="87"/>
                <w:lang w:val="en-US" w:eastAsia="zh-CN" w:bidi="ar"/>
              </w:rPr>
              <w:t xml:space="preserve">4.支持 48 kHz 音频采样频率，频率响应均可达 30 Hz~20 kHz </w:t>
            </w:r>
            <w:r>
              <w:rPr>
                <w:rStyle w:val="87"/>
                <w:lang w:val="en-US" w:eastAsia="zh-CN" w:bidi="ar"/>
              </w:rPr>
              <w:br w:type="textWrapping"/>
            </w:r>
            <w:r>
              <w:rPr>
                <w:rStyle w:val="87"/>
                <w:lang w:val="en-US" w:eastAsia="zh-CN" w:bidi="ar"/>
              </w:rPr>
              <w:t>5.可以独立调节增益和均衡（5 段），可针对不同的发言者声音特点调节不同的音量和频响</w:t>
            </w:r>
            <w:r>
              <w:rPr>
                <w:rStyle w:val="87"/>
                <w:lang w:val="en-US" w:eastAsia="zh-CN" w:bidi="ar"/>
              </w:rPr>
              <w:br w:type="textWrapping"/>
            </w:r>
            <w:r>
              <w:rPr>
                <w:rStyle w:val="87"/>
                <w:lang w:val="en-US" w:eastAsia="zh-CN" w:bidi="ar"/>
              </w:rPr>
              <w:t>6.内置高通滤波器（低切开关），方便在需要时切去声音中的低频成分</w:t>
            </w:r>
            <w:r>
              <w:rPr>
                <w:rStyle w:val="87"/>
                <w:lang w:val="en-US" w:eastAsia="zh-CN" w:bidi="ar"/>
              </w:rPr>
              <w:br w:type="textWrapping"/>
            </w:r>
            <w:r>
              <w:rPr>
                <w:rStyle w:val="87"/>
                <w:lang w:val="en-US" w:eastAsia="zh-CN" w:bidi="ar"/>
              </w:rPr>
              <w:t>7.支持线路带电“热插拔”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7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9F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8C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4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87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D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代表发言单元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1.会议单元支持“环形手拉手”连接技术，一台分机的故障或更换不会影响到系统中其它分机的工作，分机间出现一处连线故障也不会影响到系统工作，从而使系统具有更高可靠性。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2.内置完全隔离的主麦克风及备份麦克风，主备两路音频信号同时输出，主麦克风所在系统出现故障时，不影响备份麦克风输出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3.会议单元具备大于等于4”屏幕，提供包含上述内容的产品彩页并加盖投标方公章与具有CMA或CNAS标识的第三方检测机构出具的检测报告复印件加盖投标方公章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4.支持 48 kHz 音频采样频率，频率响应均可达 30 Hz~20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5.可以独立调节增益和均衡（5 段），可针对不同的发言者声音特点调节不同的音量和频响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6.内置高通滤波器（低切开关），方便在需要时切去声音中的低频成分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支持线路带电“热插拔”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D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B9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4AE5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B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3F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数字会议延长线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D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8芯20米延长电缆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5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71B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DCF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B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C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8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2.规格：LED全彩屏 尺寸暂定：15000*8000mm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2.LED显示屏采用≤1.57mm点间距，像素点密度≥409600点/m²；采用压铸铝箱体模组无线接插件连接；刷新率：≥3840Hz；模组长宽均≥250mm；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3.支持模组级的LED灯防撞保护装置，箱体底部带有精准四点双重定位及防磕碰设计，可实现快速安装并防止撞灯。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4、LED显示屏效能：，要求产品功率（最大/平均）:≤360/120（W/㎡），效能一级。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5、显示屏生产管理具有质量信用品质保障或采用数字化网络传输技术或标准化HDCP传输技术。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6、平均使用寿命≥120000小时；平均故障恢复时间≤1分钟。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7、显示屏支持辐射骚扰技术具备防尘、防盐雾、耐高温高湿、抗漏电、静音自然散热。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1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833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14:paraId="4F27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2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1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E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反显电视机55寸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支持格式（高清）2160p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色域值100%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色域标准BT.709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亮度200-300尼特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对比度800：1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超高清4K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HDR显示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响应时间6.5ms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PU架构四核A53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存储内存16GB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GPUG52*2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7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4A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E42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4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1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9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移动电视机支架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32-70英寸90度翻转舞台主席台会议返显投屏斜面架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A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B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CC2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2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5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E0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控制室显示器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23.8英寸 FHD全高清 75Hz 微边框广视角 低蓝光爱眼 可壁挂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7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52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0B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47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4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B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24寸显示器壁挂架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电脑显示器支架壁挂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3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0F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40D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FA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F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C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内装 500 万像素 1/2.8 英寸 HD CMOS 传感器，20 倍光学变焦， 12 倍数字变焦，内置视音频编码能力，支持 H.265/H.264 视频编码和 G7.11/G7.26 音频编码，可实现 1080P 全高清超低带宽传输，采用新型的步进电机马达，云台运行安静平稳，定位精确迅速， 水平最高速度可达 200 度/秒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视频输出接口 1路HD-SDI接口（高清）、1路HDMI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多路视频输出 支持2路高清视频同时输出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 10M/100M自适应以太网口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0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6D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8DE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5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4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C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高清摄像机控制键盘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Console接口:1个RJ45接口（Console/RS485复用）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USB接口:2个USB接口（预留）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网络接口:1个RJ45接口，支持10M/100M/1000M Base-T自适应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复位按键:1个RST按键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1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AFB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C1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B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7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D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≥32进32出4K高清数字混合矩阵, 采用全铝型材机箱  ，模块化结构，插卡式设计，单卡单路配置，支持4KX2K分辨率，双电源备份，配中控模块。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内置7寸智能触摸显示屏，即可作为系统人机交互控制，又可作为对信号现场监测监视器使用。可在触摸屏上进行矩阵的切换，状态的查询及信号分辨率的设置和预案的保存及调用等操作。                               采用触摸屏、RS232及TCP/IP多种控制管理。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5F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0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9B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2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6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6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B0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D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66AD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2D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4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318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A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5FC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7B5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B3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7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9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3G-SDI变换输出卡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单路3G-SDI变换输出卡（支持SDI/HD-SDI/3G-SDI信号），带均衡，带音频解嵌功能，最高可达1920X1080P60分辨率，支持分辨率任意变换。视频BNC接口，音频3.5mm接口。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2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EB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35D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6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5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F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3D蓝光DVD播放机影碟机 2K至4K倍线技术 内置WIFI 屏幕镜像 手机投屏 网络电视 U盘读取</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9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B1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8D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3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71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25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3C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F5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E0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A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5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12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4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67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32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E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9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台式控制电脑</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2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"(酷睿14代i5-14400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≥16GB DDR4 3200MHz内存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显卡：英特尔®超核芯显卡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≥1T机械硬盘+512G固态硬盘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≥23英寸显示器，分辨率:≥1920*1080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配置键鼠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4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3F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E4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7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0E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7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9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597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46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5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B4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2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C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0FE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A7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5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53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E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1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371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CB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D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E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7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会议录播主机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具备4路SDI输入接口，5路DVI输入接口，根据需要可选择其中的不少于5路信号进行同步录制；（提供产品接口图片）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具备两路HDMI输出接口，可输出直播预览或点播回放画面，并可同步输出音频；输出分辨率支持1080P@50@60、720P@60。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具备6路RS232控制接口，其中4路作为摄像机控制，1路对接中控,1路带供电支持与厂家自有控制面板对接实现控制；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具备USB2.0*1，USB3.0*1，具备line in*2、MIC in*2、line out*2；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1000M RJ45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具备硬件恢复出厂设置按键，一键恢复到出厂状态；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标配2T存储，支持最大8T硬盘；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具备前面板按键操作，如录制，暂停，停止，以及U盘下载文件时的文件选择按键；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视频编码H.264HP；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网络支持DHCP和静态IP两种选择；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音频编码：AAC，支持多路音频输入混音。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支持1路RTSP网络流输入进行同步录制；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其中四路视频输入可SDI、DVI二选一,支持自适应输入的信号状态；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6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FF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A2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7B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7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F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高清远程主机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水平分辨率 1280x720P 50/60，1920x720P 50/60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视像分辨率 1080P，720P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变焦倍数 12倍光学变焦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视频输入接口 1个HDCI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1个3G/HD-SDI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视频输出接口 2个HDMI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1个3G/HD-SDI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音频输入接口 1个麦克风阵列（支持2个）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1个3.5mm立体声线路输入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1个RCA立体声线路输入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音频输出接口 1个HDMI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1个3.5mm立体声线路输出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 1个10/100/1000M以太网接口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3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0BD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AF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1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5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D7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LED嵌入式翻转平板灯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电气特性：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电压AC100～240V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光源功率：LED200W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光源使用寿命：50000小时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支持16bit调光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调光：0-100%线性调光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频闪：1-25/秒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四种调光曲线设计，适合各种使用场合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支持DMX512 /手动控制模式/主、从机模式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智能温控检测功能，实时保护光源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灯珠：512颗*0.5W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发光角度: 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翻转角度：90°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光学特性：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色温:3200K/5600K/3200K-5600K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显色指数：Ra≥90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对流冷却方式，无噪音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防护等级IP20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2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28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691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C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B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C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LED嵌入式平板灯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电气特性：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电压AC100～240V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光源功率：LED200W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光源使用寿命：50000小时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支持16bit调光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调光：0-100%线性调光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频闪：1-25/秒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四种调光曲线设计，适合各种使用场合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支持DMX512 /手动控制模式/主、从机模式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智能温控检测功能，实时保护光源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灯珠：432颗*0.5W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发光角度: 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光学特性：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色温:3200K/5600K/3200K-5600K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显色指数：Ra≥90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对流冷却方式，无噪音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防护等级IP20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7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22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71AF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0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D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B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灯光控台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DMX512 通道数 1024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电脑灯的配接数量 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电脑灯重新配接地址码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灯具水平垂直交换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灯具通道反倒输出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灯具通道滑步模式切换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每台电脑灯最多可用控制通道 40主通道+40微调通道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灯库 支持珍珠R20灯库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可保存的场景数量 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可同时运行的场景数量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多步场景的总步数 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每个场景可存储图形数量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U盘读取 支持FAT32格式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4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1A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446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2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E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F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8路独立放大驱动输出。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信号放大整形功能，延长信号传输距离。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增强数据总线接入设备数量的能力。保护灯光控制台DMX512输出接口，故障现场隔离，提高数字式灯光控制系统的安全运行可靠性。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供电电源：AC90V-240V 50HZ/60HZ   19”1U</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A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338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85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6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7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电源直通箱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E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供电：三相五线制AC380±10%，频率50Hz/60Hz±5%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输入电流：150A犀牛插/压线端子式；两者可选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显示：具备三相A.B.C直读式独立电压表显示;，无需切换     即可实时监测各项数据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输出：12路32A胶木插；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机身：采用国际标准3U机柜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控制：每路独立分空开C20A，具备过载，短路双重保护</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8D6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50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C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D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7F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1.名称:落地机柜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9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86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5F4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D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0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9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2英寸彩色液晶智能显示屏，实时显示当前电压、日期时间，通道开关状态；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定时开关机功能，内置时钟芯片，可根据日期时间设定，无需人为操作，让设备管理更简单；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8路通道输出，每路延时开启和关闭时间可自由设置（范围0~999S）；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2路辅助输出电源插座；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具有启动开关键，可一键控制设备通道开关状态；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10组设备开关场景数据保存/调用，场景管理应用简单便捷；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特设欠压、超压检测及报警功能，为您的设备提供了可靠的保障，总功率6000W，单路最大功率2000W；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具有4PIN级联接线端子，支持多台设备级联控制，级联状态可自动检测及设置；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配置RS232接口，支持外部中央控制设备控制；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配置RG45接口，支持互联网网络控制设备控制；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可实现远程集中控制，每台设备自带设备编码ID检测和设置；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B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A4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285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2A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6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8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5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80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2D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2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2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C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F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34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01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B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9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8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1.名称:多媒体地插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2.规格:国产，其中两个含数字话筒接口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1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97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25C3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B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6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C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9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34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58E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0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F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B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两位卡农插座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F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3D4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269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8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F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会议系统辅材-6#楼1F报告厅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B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8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E19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AED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0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8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01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AD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03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FB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A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2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E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1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48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14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E564">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52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6#楼2F 多功能厅（共1间）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F1E9">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5829D">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2C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010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D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E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F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1.名称:二分频双8"线阵音箱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2.规格:"额定功率：400W / 1600W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频率响应：65 Hz - 18.5kHz (-10dB)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阻抗：8 OHMS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灵敏度(1W/1m)：98dB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最大声压级(1m)：130dB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高频驱动器 3″(75mm 音圈)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低频驱动器 8″(50mm 音圈)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覆盖角度（H× V）：90°×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系统安全： CAPD II高频过载保护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分频模式：内置分频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扬声器输入：Neutrik Speakon NL4×2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8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34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BC3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B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0B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1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1.名称:线阵功放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2.规格:1.功率：2x600 W 8 Ω；2 x 900 W 4 Ω；2 x 1350 W 2 Ω；桥接：1 x 1800 W 8 Ω；1 x 2700 W 4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功放放大类型：H 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最小负载阻抗：2Ω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信噪比：&gt;-106dB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输入阻抗：平衡15kΩ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频率响应：20Hz - 20kHz, +0/-1dB 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输入灵敏度：0.775V，1.0V、1.44V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阻尼系数：&gt;150：1@20Hz-1kHz，8Ω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总谐波失真：2 x 2 Ω&lt;0.2% @每声道700W，从20Hz 至 20kHz；2 x 4Ω&lt;0.2% @每声道600W，从20Hz 至 20kHz；2 x 8 Ω&lt;0.1% @每声道425W，从20Hz 至 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冷却：后面板上两个随温度可变速度80mm直流风扇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保护：过热保护、直流输出保护、开机脉冲保护、听域外频率保护、不正确负载或短路保护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每通道带有TFC4主动功率因数校正技术处理平台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0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1E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BE5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9F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F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3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1.名称:单15"次低音，线阵列配套田子型支架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2.规格:额定功率：700W / 2800W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频率响应：35Hz - 250Hz (-10dB)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阻抗：8 OHMS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灵敏度(1W/1m)：96dB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最大声压级(1m)：130dB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低频驱动器 15″×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吊装方式:四点吊装，配置自动锁扣装置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覆盖角度（H× V）：360°× 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扬声器输入：Neutrik Speakon NL4×2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83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E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9A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7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3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DD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1.名称:线阵低音功放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功率：2 x 1200 W 8 Ω；2 x 1800 W 4 Ω；2 x 2700 W 2 Ω；桥接：1 x 3600 W 8 Ω；1 x 5400 W 4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功放放大类型：H 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最小负载阻抗：2Ω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信噪比：&gt;-106dB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输入阻抗：平衡15kΩ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频率响应：20Hz - 20kHz, +0/-1dB 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输入灵敏度：0.775V，1.0V、1.44V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阻尼系数：&gt;150：1@20Hz-1kHz，8Ω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总谐波失真：2 x 2 Ω&lt;0.2% @每声道1400W，从20Hz 至 20kHz；2 x 4Ω&lt;0.2% @每声道1200W，从20Hz 至 20kHz；2 x 8 Ω&lt;0.1% @每声道590W，从20Hz 至 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冷却：后面板上两个随温度可变速度80mm直流风扇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保护：过热保护、直流输出保护、开机脉冲保护、听域外频率保护、不正确负载或短路保护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每通道带有TFC4主动功率因数校正技术处理平台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2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2C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4F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4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B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D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1.名称:10英寸全频辅助音箱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额定功率：300W / 1200W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频率响应：52 Hz - 23 kHz (-10dB)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阻抗：8 OHMS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灵敏度(1W/1m)：96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最大声压级(1m)：127dB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高频驱动器 1.4″(36mm 音圈）×1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低频驱动器 10″(65mm 音圈)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系统安全： CAPD II高频过载保护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覆盖角度（H× V）：90°× 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4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0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DBE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D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8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E7B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1.名称:辅助功放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功率：2 x 480 W 8 Ω；2 x 750 W 4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功放放大类型：Class D 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信噪比：&gt; 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输入阻抗：平衡20k, 非平衡10k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频率响应:10Hz -20kHz (1W，+/-1dB)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阻尼系数：&gt;300:1（8Ω@10Hz to 400Hz）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通道隔离度 ：&gt;70dB（4Ω@1kHz）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双速度需求敏感风扇和涡轮冷却散热器设计，保证长时间运行稳定、自动唤醒模式，过热、短路、削波限幅、故障负载和直流电路保护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每通道带有TFC4主动功率因数校正技术处理平台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连接器：XLR公母输入/输出插座, Neutrik Speakon及接线柱扬声器输出插座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3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FC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B2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9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3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F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1.名称:8英寸全频返听音箱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额定功率：200W / 800W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频率响应：58 Hz - 20 kHz (-10dB)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阻抗：8 OHMS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灵敏度(1W/1m)：94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最大声压级(1m)：123dB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高频驱动器 1.3″(34mm 音圈）×1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低频驱动器 8″(50mm 音圈)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系统安全： CAPD II高频过载保护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覆盖角度（H× V）：60°× 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D9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1F3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2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ED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9EA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1.名称:返听功放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3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4D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AF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A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0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D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1.名称：8英寸全频中置补声音箱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额定功率：200W / 800W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频率响应：58 Hz - 20 kHz (-10dB)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阻抗：8 OHMS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灵敏度(1W/1m)：94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最大声压级(1m)：123dB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高频驱动器 1.3″(34mm 音圈）×1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低频驱动器 8″(50mm 音圈)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系统安全： CAPD II高频过载保护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覆盖角度（H× V）：60°× 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40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36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ED1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6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9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2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1.名称:补声功放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6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593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89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C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F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C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1.名称：18"低频音箱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额定功率：800W / 3200W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频率响应：33Hz - 300Hz (-10dB)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阻抗：8 OHMS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灵敏度(1W/1m)：103dB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最大声压级(1m)：137dB (Peck)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低频驱动器 18″(100mm 音圈)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覆盖角度（H× V）：360°× 360°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0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D3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86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E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A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E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1.名称:低音音箱功放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功率：2 x 1200 W 8 Ω；2 x 1800 W 4 Ω；2 x 2700 W 2 Ω；桥接：1 x 3600 W 8 Ω；1 x 5400 W 4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功放放大类型：H 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最小负载阻抗：2Ω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信噪比：&gt;-106dB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输入阻抗：平衡15kΩ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频率响应：20Hz - 20kHz, +0/-1dB 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输入灵敏度：0.775V，1.0V、1.44V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阻尼系数：&gt;150：1@20Hz-1kHz，8Ω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总谐波失真：2 x 2 Ω&lt;0.2% @每声道1400W，从20Hz 至 20kHz；2 x 4Ω&lt;0.2% @每声道1200W，从20Hz 至 20kHz；2 x 8 Ω&lt;0.1% @每声道590W，从20Hz 至 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冷却：后面板上两个随温度可变速度80mm直流风扇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保护：过热保护、直流输出保护、开机脉冲保护、听域外频率保护、不正确负载或短路保护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每通道带有TFC4主动功率因数校正技术处理平台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C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CC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D3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5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7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2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1.名称:网络数字音频处理器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音频输入：4路，卡农接口,平衡输入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音频输出：8路，卡农接口,平衡输出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输入通道包含高切，低切，8个参量均衡，31段图示均5、噪声门，增益，静音，相位，延时，连动调节等处理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输出通道包含分频，9个参量均衡，增益，静音，压缩器，限幅器，相位，延时，连动调节等处理单元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整机处理能力PEQ增益、带宽、频率连续可调，可自由选择参量均衡、低架滤波、高架滤波、低切滤波、高架滤波、移相1阶、移相2阶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支持跨网段控制和232RS &amp;RS485控制端口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频率响应：20 Hz ～ 20 kHz (+0/-1dB)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总谐波失真+噪声：0.015 %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通道隔离度 ( 串扰）： 100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动态范围：109 dB ( 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A/D 和D/A 转换器：24 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采样率：32 bit DSP 96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最大输出延时：170 毫秒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最大输入电平：+20 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最大输出电平：+20 dBu</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6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E6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A83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B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4C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B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1.名称:数字调音台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2.规格:不少于16路输入通道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不少于16个AUX输出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不少于8个DCA编组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不少于6个Mute Group静音编组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不少于8个立体声效果器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不少于1个立体声AES/EBU输出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不少于1对MIDI输入输出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共模抑制＞90dB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D/A动态范围≥109dB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TRS最大输出电平≥21dBu                                                                                 不少于20路全数字处理通道输入，支持噪声门、压缩器、高低通滤波器、效果插入等等功能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不少于25条混音母线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不少于数字音频网络达96输入和96输出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支持ADC/DAC采样率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不少于17个100mm电动推子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40bit浮点处理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通过无线网络，可由平板电脑进行控制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内置RTA功能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支持的个人监听系统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36个用户自定义键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通过SD / SDHC可实时录制/播放不少于32轨双向音频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2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8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515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9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F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4D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数字调音台同步器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主备数字调音台镜像同步器，能够实现主备数字调音台之间的实时热备份；若数字调音台已经内置该功能，可不用配置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2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97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AB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9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18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92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音频接口箱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32个经典话放输入通道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16个模拟平行XLR输出通道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CATS电缆的传输距离最高可达100m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2个AES3（AES/EBU）接口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2个AES50接口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支持96k/48k采样率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可控制精确计量的7格电平信号指示灯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所有的输入输出信号都能够通过耳机接口进行监听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能与个人监听系统连接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E8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BE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92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D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AC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5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有源监听音箱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频率响应：54-30K,5寸两分频有源监听音箱，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总功率70W</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C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CE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CF7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5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0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3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头戴式监听耳机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B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5D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BD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7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F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BA8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1.名称:无线双手持话筒（含配套的话筒主机及话筒2只）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2.规格:射频载波频率范围：470-937.5 MHz（视地区而定）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工作范围：100 m（实际范围取决于射频信号的吸收、反射和干扰）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射频调谐步进：25 kHz （视地区而定）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镜频抑制：＞70 dB 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射频灵敏度：-97dBm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延迟：3.2ms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音频频率响应：20 Hz-20 kHz（+1、-2dB）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音频动态范围：120 dB @1% THD A权重，典型值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话筒增益偏移范围：0至21 dB（3dB步进）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 / 储存 温度范围：-18℃ 至 +50℃ / -29℃ 至 74℃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SLXD24D/SM58 数字无线话筒系统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SLXD4D双通接收机，SLXD2/SM58 心形动圈手持式发射器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提供清晰的24位数字音频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20Hz 至 20kHz频率范围（视话筒头而定）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120dB的动态范围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数字式预开关分集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 MHz 调谐带宽（视地区而定）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每个频段32个可用通道（视地区而定）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每个6MHz电池频段多达10个兼容系统，每个8MHz频段兼容12个系统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通过红外扫描和同步轻松配对发射机和接收机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2节AA电池壳持续使用长达8小时，也可选配舒尔SB903可充电锂电池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可更换话筒头，牢固的金属构造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4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B6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FE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2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1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B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1.名称:一拖二无线头戴话筒（含配套的话筒主机及话筒2只）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2.规格:输出阻抗：100Ω@ 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信噪比：59.2 dB@ 1 kHz，1kΩ负载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较大声压级：151.3dB,1kΩ负载,@1%THD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动态范围：116.5dB@1kHz, 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灵敏度：-57.8 dBV/Pa @1kHz, 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自噪音：34.8 dB SPL-A，1kΩ负载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电源要求：+5 VDC (额定) ，10V较大(直流偏压)&gt;&gt; 频响：40Hz-20kHz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89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E4A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45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F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6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3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1.名称:一拖二领夹式全指向（含配套的话筒主机及话筒2只）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谐波辐射 &lt;-50 dBC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音频响应 50Hz~18k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电池型式 5号(AA)碱性电池 x 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2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7A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23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F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7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0F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无线分配器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五路射频信号输出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前置式天线安装件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架置式安装件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E8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E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36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B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F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共用天线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B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宽频天线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对数周期偶极振子阵列，能够在面向所需的覆盖区域时提供最佳接收效果。集成式放大器具有四个增益设置，用于补偿不同级别的同轴线缆信号损失。可将天线固定在话筒支架上，也可将其悬挂在天花板上，或者使用集成式可旋转支架固定在墙壁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7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D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AB4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F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5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0EE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1.名称：专业舞台演唱麦克风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2.规格：音头型态 动圈式音头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50~16,500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 心型指向性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感度(1kHz) -77dB*(0.14mV)*0dB=1V/μbar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输出阻抗 250Ω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电压相位 正压于震动膜在pin 2产生相对于pin 3的正电压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输出接头量 3P XLR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本体结构 金属烤漆压铸与坚固雾面钢网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3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5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35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7D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6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F8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1.名称：专业乐器有线麦克风组合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2.规格：内含：1支鼓乐器麦克风、4支专业乐器收音麦克风、2支专业乐器收音麦克风</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E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0F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34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8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0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0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全数字化会议系统主机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 ISO22259 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48 kHz 音频采样频率， 64 通道频率响应均可达30 Hz ~ 20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3.会议主机与扩展主机之间支持环形手拉手”连接技术，一台扩展主机的故障或更换不会影响到系统中其它扩展主机的工作，扩展主机间出现一处连线故障也不会影响到系统工作，从而使系统具有更高可靠性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会议单元支持环形手拉手”连接技术，一台分机的故障或更换不会影响到系统中其它分机的工作，分机间出现一处连线故障也不会影响到系统工作，从而使系统具有更高可靠性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4.会议主机具备25路及以上独立音频输出，提供包含上述内容的产品彩页并加盖投标方公章与具有CMA或CNAS标识的第三方检测机构出具的检测报告复印件加盖投标方公章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5.具备彩色2.8''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 Web 页面控制功能，可通过 Web 页面访问会议主机，支持更详尽的主机参数设置提供包含上述内容的产品彩页并加盖投标方公章与具有CMA或CNAS标识的第三方检测机构出具的检测报告复印件加盖投标方公章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7.设备具有内置软件管理功能，方便互联网集成，并能通过网络方式进行主机开启和关闭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双机热备份功能，可将一台会议控制主机设置为备份主机并连接到系统中，当会议控制主机出现意外时，备份主机会自动启用，保证会议无间断顺利进行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信噪比≥100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频率响应：30~20kHz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7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35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C6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3E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7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1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主席发言单元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1.会议单元支持“环形手拉手”连接技术，一台主机的故障或更换不会影响到系统中其它分机的工作，分机间出现一处连线故障也不会影响到系统工作，从而使系统具有更高可靠性。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2.内置完全隔离的主麦克风及备份麦克风，主备两路音频信号同时输出，主麦克风所在系统出现故障时，不影响备份麦克风输出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3.会议单元具备大于等于4”屏幕，提供包含上述内容的产品彩页并加盖投标方公章与具有CMA或CNAS标识的第三方检测机构出具的检测报告复印件加盖投标方公章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4.支持 48 kHz 音频采样频率，频率响应均可达 30 Hz~20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5.可以独立调节增益和均衡（5 段），可针对不同的发言者声音特点调节不同的音量和频响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6.内置高通滤波器（低切开关），方便在需要时切去声音中的低频成分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7.支持线路带电“热插拔”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7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DC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4B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8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F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C1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代表发言单元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1.会议单元支持“环形手拉手”连接技术，一台分机的故障或更换不会影响到系统中其它分机的工作，分机间出现一处连线故障也不会影响到系统工作，从而使系统具有更高可靠性。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2.内置完全隔离的主麦克风及备份麦克风，主备两路音频信号同时输出，主麦克风所在系统出现故障时，不影响备份麦克风输出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3.会议单元具备大于等于4”屏幕，提供包含上述内容的产品彩页并加盖投标方公章与具有CMA或CNAS标识的第三方检测机构出具的检测报告复印件加盖投标方公章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4.支持 48 kHz 音频采样频率，频率响应均可达 30 Hz~20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5.可以独立调节增益和均衡（5 段），可针对不同的发言者声音特点调节不同的音量和频响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6.内置高通滤波器（低切开关），方便在需要时切去声音中的低频成分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支持线路带电“热插拔”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7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121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20DB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A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6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数字会议延长线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1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8芯20米延长电缆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42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56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9B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1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2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6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D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AF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129.00</w:t>
            </w:r>
          </w:p>
        </w:tc>
      </w:tr>
      <w:tr w14:paraId="5FE8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6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3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D7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控制室显示器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23.8英寸 FHD全高清 75Hz 微边框广视角 低蓝光爱眼 可壁挂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07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A78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1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0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24寸显示器壁挂架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电脑显示器支架壁挂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E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16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4BF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00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8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0E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支持大于16进16出的4K高清数字混合矩阵,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24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3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7A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0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2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1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A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D8B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646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A8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D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1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4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6C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676E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C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E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B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3D蓝光DVD播放机影碟机 2K至4K倍线技术 内置WIFI 屏幕镜像 手机投屏 网络电视 U盘读取</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C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8B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16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D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6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1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E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8E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B0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D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4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2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0B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01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2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0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网管小型机、网管工作站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3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"(酷睿14代i5-14400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≥16GB DDR4 3200MHz内存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显卡：英特尔®超核芯显卡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≥1T机械硬盘+512G固态硬盘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≥23英寸显示器，分辨率:≥1920*1080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配置键鼠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4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7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3D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DE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C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5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F4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5E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5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9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0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B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5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6E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4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7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E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1.名称:落地机柜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D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221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B19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A4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B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F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2英寸彩色液晶智能显示屏，实时显示当前电压、日期时间，通道开关状态；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定时开关机功能，内置时钟芯片，可根据日期时间设定，无需人为操作，让设备管理更简单；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8路通道输出，每路延时开启和关闭时间可自由设置（范围0~999S）；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2路辅助输出电源插座；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具有启动开关键，可一键控制设备通道开关状态；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10组设备开关场景数据保存/调用，场景管理应用简单便捷；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特设欠压、超压检测及报警功能，为您的设备提供了可靠的保障，总功率6000W，单路最大功率2000W；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具有4PIN级联接线端子，支持多台设备级联控制，级联状态可自动检测及设置；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配置RS232接口，支持外部中央控制设备控制；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配置RG45接口，支持互联网网络控制设备控制；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可实现远程集中控制，每台设备自带设备编码ID检测和设置；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8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AE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22A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C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9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3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0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0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E8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8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6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7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0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F4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95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5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06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E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4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A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3E0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4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1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7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四位卡农插座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1B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99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B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2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96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两位卡农插座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7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56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423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9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0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E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数字话筒接口插座，含数字话筒接口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8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6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B3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4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4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3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流动摄像机用地插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4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07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D4D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7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F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会议系统辅材-6#楼2F多功能厅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8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音频接插件，跳线、管线、桥架等，满足系统完整安装、调试、运行的所有辅材桥架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1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0F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D4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7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44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673B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4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6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D1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D5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8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36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7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17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55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60BA">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9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6#楼2F 会议室（共1间）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5254">
            <w:pPr>
              <w:jc w:val="left"/>
              <w:rPr>
                <w:rFonts w:hint="default" w:ascii="宋体" w:hAnsi="宋体" w:eastAsia="宋体" w:cs="宋体"/>
                <w:i w:val="0"/>
                <w:iCs w:val="0"/>
                <w:color w:val="000000"/>
                <w:sz w:val="18"/>
                <w:szCs w:val="18"/>
                <w:u w:val="none"/>
                <w:lang w:val="en-US"/>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D9F44">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1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F19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3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7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2.规格：与全数字会议系统主机同一品牌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两分频单驱动全音域音柱，采用科学的木质箱体结构设计,拥有4×4"中音单元和12×0.75"高音单元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一带三同轴结构，拥有更好的离轴响应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中音单元采用复合碳纤维振膜，高音单元采用纳米碳纤维振膜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40°固定垂直覆盖角(+15°/-25°)，100°水平指向，宽广的覆盖范围，能够优化声场均匀度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频率响应：≥80Hz-20kHz（±3dB）/60Hz-25kHz(-10dB)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额定功率：≤200W(AES)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中音单元：不少于4个4〞中音单元（单元结构不大于4〞）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高音单元：不少于12个0.75〞高音单元（单元结构不大于0.75〞）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最大声压级：≥121dB SPL，127 dB SPLpeak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C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DF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0E1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9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8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0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F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67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BE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4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66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C4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1.名称:6寸吸顶扬声器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2.规格:吸顶扬声器均匀布置有利于提高声场均匀度，传声增益等扩声指标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采用同轴设计，有更好的离轴响应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频率响应：≥90Hz-18kHz（±3dB）/80-20kHz(-10dB)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额定功率：≤150W(AES)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低音单元：不少于1个6.5〞低音单元（单元结构不大于6.5〞）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高音单元：不少于1个1.4〞高音单元（单元结构不大于1.4〞）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标称覆盖角：≥110°(H)×110°(V)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最大声压级：≥116 dB SPL，122 dB SPL peak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5D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59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060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F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4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7375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1.名称:吸顶音箱数字功放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E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A2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7E6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4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5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A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1.名称:网络数字音频处理器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 音频输入：4路，卡农接口,平衡输入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音频输出：8路，卡农接口,平衡输出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输入通道包含高切，低切，8个参量均衡，31段图示均5、噪声门，增益，静音，相位，延时，连动调节等处理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输出通道包含分频，9个参量均衡，增益，静音，压缩器，限幅器，相位，延时，连动调节等处理单元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整机处理能力PEQ增益、带宽、频率连续可调，可自由选择参量均衡、低架滤波、高架滤波、低切滤波、高架滤波、移相1阶、移相2阶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支持跨网段控制和232RS &amp;RS485控制端口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频率响应：20 Hz ～ 20 kHz (+0/-1dB)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总谐波失真+噪声：0.015 %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通道隔离度 ( 串扰）： 100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动态范围：109 dB ( 典型值)</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1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38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FD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D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7A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0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1.名称:12路模拟调音台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2.规格:12通道调音台: 6个话筒/12 个线路输入(4 个单声道+4 立体声)/2 编组母线+1 立体声母线/2 AUX(包括FX。6个话筒 /12个线路输入 (4个单声道 + 4个立体声)。2编组母线 + 1立体声母线2 AUX (包括FX).。“D-PRE”话放，带有倒向晶体管电路。 单旋钮压缩器单声道输入通道上的PAD开关.。+48V幻象供电XLR平衡输出.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F0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72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8D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0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6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C3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1.名称:无线双手持话筒（含配套的话筒主机及话筒2只）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2.规格:射频载波频率范围：470-937.5 MHz（视地区而定）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工作范围：100 m（实际范围取决于射频信号的吸收、反射和干扰）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射频调谐步进：25 kHz （视地区而定）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镜频抑制：＞70 dB 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射频灵敏度：-97dBm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延迟：3.2ms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音频频率响应：20 Hz-20 kHz（+1、-2dB）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音频动态范围：120 dB @1% THD A权重，典型值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话筒增益偏移范围：0至21 dB（3dB步进）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 / 储存 温度范围：-18℃ 至 +50℃ / -29℃ 至 74℃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SLXD24D/SM58 数字无线话筒系统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SLXD4D双通接收机，SLXD2/SM58 心形动圈手持式发射器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提供清晰的24位数字音频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20Hz 至 20kHz频率范围（视话筒头而定）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120dB的动态范围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数字式预开关分集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 MHz 调谐带宽（视地区而定）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每个频段32个可用通道（视地区而定）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每个6MHz电池频段多达10个兼容系统，每个8MHz频段兼容12个系统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通过红外扫描和同步轻松配对发射机和接收机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2节AA电池壳持续使用长达8小时，也可选配舒尔SB903可充电锂电池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可更换话筒头，牢固的金属构造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8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66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D8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1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9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A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全数字化会议系统主机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 ISO22259 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48 kHz 音频采样频率， 64 通道频率响应均可达30 Hz ~ 20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3.会议主机与扩展主机之间支持环形手拉手”连接技术，一台扩展主机的故障或更换不会影响到系统中其它扩展主机的工作，扩展主机间出现一处连线故障也不会影响到系统工作，从而使系统具有更高可靠性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会议单元支持环形手拉手”连接技术，一台分机的故障或更换不会影响到系统中其它分机的工作，分机间出现一处连线故障也不会影响到系统工作，从而使系统具有更高可靠性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4.会议主机具备25路及以上独立音频输出，提供包含上述内容的产品彩页并加盖投标方公章与具有CMA或CNAS标识的第三方检测机构出具的检测报告复印件加盖投标方公章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5.具备彩色2.8''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 Web 页面控制功能，可通过 Web 页面访问会议主机，支持更详尽的主机参数设置提供包含上述内容的产品彩页并加盖投标方公章与具有CMA或CNAS标识的第三方检测机构出具的检测报告复印件加盖投标方公章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7.设备具有内置软件管理功能，方便互联网集成，并能通过网络方式进行主机开启和关闭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双机热备份功能，可将一台会议控制主机设置为备份主机并连接到系统中，当会议控制主机出现意外时，备份主机会自动启用，保证会议无间断顺利进行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信噪比≥100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频率响应：30~20kHz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A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E8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EE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7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D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E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主席发言单元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1.会议单元支持“环形手拉手”连接技术，一台主机的故障或更换不会影响到系统中其它分机的工作，分机间出现一处连线故障也不会影响到系统工作，从而使系统具有更高可靠性。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2.内置完全隔离的主麦克风及备份麦克风，主备两路音频信号同时输出，主麦克风所在系统出现故障时，不影响备份麦克风输出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3.会议单元具备大于等于4”屏幕，提供包含上述内容的产品彩页并加盖投标方公章与具有CMA或CNAS标识的第三方检测机构出具的检测报告复印件加盖投标方公章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4.支持 48 kHz 音频采样频率，频率响应均可达 30 Hz~20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5.可以独立调节增益和均衡（5 段），可针对不同的发言者声音特点调节不同的音量和频响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6.内置高通滤波器（低切开关），方便在需要时切去声音中的低频成分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7.支持线路带电“热插拔”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C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F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F3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5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7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EE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代表发言单元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1.会议单元支持“环形手拉手”连接技术，一台分机的故障或更换不会影响到系统中其它分机的工作，分机间出现一处连线故障也不会影响到系统工作，从而使系统具有更高可靠性。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2.内置完全隔离的主麦克风及备份麦克风，主备两路音频信号同时输出，主麦克风所在系统出现故障时，不影响备份麦克风输出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3.会议单元具备大于等于4”屏幕，提供包含上述内容的产品彩页并加盖投标方公章与具有CMA或CNAS标识的第三方检测机构出具的检测报告复印件加盖投标方公章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4.支持 48 kHz 音频采样频率，频率响应均可达 30 Hz~20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5.可以独立调节增益和均衡（5 段），可针对不同的发言者声音特点调节不同的音量和频响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6.内置高通滤波器（低切开关），方便在需要时切去声音中的低频成分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支持线路带电“热插拔”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E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77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ED1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74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B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A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F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86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225C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0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4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数字会议延长线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6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8芯20米延长电缆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D3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557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AF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5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1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5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A8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2D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2277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E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E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2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内装 500 万像素 1/2.8 英寸 HD CMOS 传感器，20 倍光学变焦， 12 倍数字变焦，内置视音频编码能力，支持 H.265/H.264 视频编码和 G7.11/G7.26 音频编码，可实现 1080P 全高清超低带宽传输，采用新型的步进电机马达，云台运行安静平稳，定位精确迅速， 水平最高速度可达 200 度/秒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视频输出接口 1路HD-SDI接口（高清）、1路HDMI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多路视频输出 支持2路高清视频同时输出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 10M/100M自适应以太网口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5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C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43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1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6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C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支持CVBS\YPbPr\VGA\HDMI\DVI\3G-SDI\HDBaseT\光纤信号任意转换切换。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8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7BE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782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5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3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0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9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5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BC5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F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7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1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B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9D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BD9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5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D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9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8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DD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3E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2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3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E4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F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37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F5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38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D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D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0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8E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68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7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E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0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9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FC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CA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2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5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BD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3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0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85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A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0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D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2英寸彩色液晶智能显示屏，实时显示当前电压、日期时间，通道开关状态；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定时开关机功能，内置时钟芯片，可根据日期时间设定，无需人为操作，让设备管理更简单；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8路通道输出，每路延时开启和关闭时间可自由设置（范围0~999S）；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2路辅助输出电源插座；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具有启动开关键，可一键控制设备通道开关状态；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10组设备开关场景数据保存/调用，场景管理应用简单便捷；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特设欠压、超压检测及报警功能，为您的设备提供了可靠的保障，总功率6000W，单路最大功率2000W；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具有4PIN级联接线端子，支持多台设备级联控制，级联状态可自动检测及设置；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配置RS232接口，支持外部中央控制设备控制；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配置RG45接口，支持互联网网络控制设备控制；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可实现远程集中控制，每台设备自带设备编码ID检测和设置；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7B1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D8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1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8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5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B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386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2D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B9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CA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6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4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CB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8C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F5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8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会议系统辅材-6#楼2F会议室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A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线材、管材、接头、含各类音频插件插座等辅材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D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C5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4B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1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BF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FE5FF">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B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95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89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2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1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12E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E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1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89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3B0F">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4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6#楼2F 人才加速学院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（共6间）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75F3">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3848">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09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6C2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7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1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C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1.名称:8寸吸顶扬声器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2.规格:吸顶扬声器均匀布置有利于提高声场均匀度，传声增益等扩声指标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采用同轴设计，有更好的离轴响应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频率响应：≥90Hz-18kHz（±3dB）/80-20kHz(-10dB)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额定功率：≤150W(AES)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低音单元：不少于1个6.5〞低音单元（单元结构不大于6.5〞）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高音单元：不少于1个1.4〞高音单元（单元结构不大于1.4〞）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标称覆盖角：≥110°(H)×110°(V)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最大声压级：≥116 dB SPL，122 dB SPL peak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1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85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5E9C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E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C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E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1.名称:吸顶音箱数字功放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kHz）：2×450 W （8 Ω/立体声）；2×675 W （4 Ω/立体声）；2×1010 W （2 Ω/立体声）；1×900 W （16 Ω/桥接）；1×1350 W （8 Ω/桥接）；1×2020 W （4 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0.775 Vrms,32dB可选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IMD-SMPTE（10%额定输出功率，典型值）：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DIM30（10%额定输出功率，典型值）： 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1串扰抑制（低于额定功率，20 Hz - 1 kHz）： ≥75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 ±0.2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 Ω，20 Hz - 200 Hz）： ≥1000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 Hz – 20 kHz）： ≥105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9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CC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384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9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4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7AFE">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1.名称:网络数字音频处理器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2.规格:前面板32个输入以及输出的静音快捷键，便于调试及紧急情况下快速静音保护系统安全性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前面板USB端口用于连接电脑，访问PC软件调试及访问工作状态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前面板提供16组输入16组输入LED电平指示灯，方便检阅系统的工作状态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后面板以太网连接控制端口可以进行设备远程网络控制和跨网段异地系统控制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后面板RS232/485端口实现中控设备的远程实时控制,还可以通过485来进行级连控制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8路Dante输入通道、8路Dante输出通道、8路内部混音通道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16路平衡输入、16路平衡输出、每路输入具有+48V DC幻象电源、话筒的输入的灵敏度可调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Dante数字网络音频卡配置为双标准网络接口、支持级联交换及热备份功能、即插即用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输入、输出通道系统可处理低切、参数均衡、增益、静音、压缩器、相位、噪声门、延时器、音量编辑处理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系统提供完善的控制代码库，全面支持第三方中控的控制及管理，包括所有音量的控制、预设场景调用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 Hz ～ 20 kHz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总谐波失真+噪声：0.015 %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串音： 70dBu，20Hz-20kHz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动态范围：110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A/D 和D/A 转换器：24bit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采样率：32 bit DSP 96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输入阻抗：12kΩ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输出阻抗：500Ω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电源要求：AC220V/AC240V ~ 50Hz至60Hz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C51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E8D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8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5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3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音量控制面板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安装底盒 标准单个86电工底盒（明装或暗装）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触摸屏:4.0寸；分辨率：480x480；颜色：65K色，16位RGB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串口通讯:通讯协议：RS-485；通讯距离：最大1000米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支持通道音频、用户模式、编组通道的名称自定义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对主机进行通道音频、用户模式、编组通道等进行控制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最多可支持4个控制面板同时对一台主机进行控制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具备6个主机预设调取按键、总音量静音及调节、单路音量静音及调节功能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8B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D1A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6D8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9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A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9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1.名称:无线双手持话筒（含配套的话筒主机及话筒2只）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2.规格:射频载波频率范围：470-937.5 MHz（视地区而定）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工作范围：100 m（实际范围取决于射频信号的吸收、反射和干扰）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射频调谐步进：25 kHz （视地区而定）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镜频抑制：＞70 dB 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射频灵敏度：-97dBm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延迟：3.2ms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音频频率响应：20 Hz-20 kHz（+1、-2dB）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音频动态范围：120 dB @1% THD A权重，典型值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话筒增益偏移范围：0至21 dB（3dB步进）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 / 储存 温度范围：-18℃ 至 +50℃ / -29℃ 至 74℃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SLXD24D/SM58 数字无线话筒系统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SLXD4D双通接收机，SLXD2/SM58 心形动圈手持式发射器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提供清晰的24位数字音频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20Hz 至 20kHz频率范围（视话筒头而定）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120dB的动态范围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数字式预开关分集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 MHz 调谐带宽（视地区而定）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每个频段32个可用通道（视地区而定）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每个6MHz电池频段多达10个兼容系统，每个8MHz频段兼容12个系统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通过红外扫描和同步轻松配对发射机和接收机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2节AA电池壳持续使用长达8小时，也可选配舒尔SB903可充电锂电池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可更换话筒头，牢固的金属构造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D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75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241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D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77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F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1.名称:一拖二无线头戴话筒（含配套的话筒主机及话筒2只）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2.规格:输出阻抗：100Ω@ 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信噪比：59.2 dB@ 1 kHz，1kΩ负载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较大声压级：151.3dB,1kΩ负载,@1%THD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动态范围：116.5dB@1kHz, 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灵敏度：-57.8 dBV/Pa @1kHz, 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自噪音：34.8 dB SPL-A，1kΩ负载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电源要求：+5 VDC (额定) ，10V较大(直流偏压)&gt;&gt; 频响：40Hz-20kHz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指向性：心形指向性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线缆：1.1米(45英寸)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接口：TA4F</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8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1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B5D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4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E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3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全数字化会议系统主机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 ISO22259 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48 kHz 音频采样频率， 64 通道频率响应均可达30 Hz ~ 20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会议主机与扩展主机之间支持环形手拉手”连接技术，一台扩展主机的故障或更换不会影响到系统中其它扩展主机的工作，扩展主机间出现一处连线故障也不会影响到系统工作，从而使系统具有更高可靠性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会议单元支持环形手拉手”连接技术，一台分机的故障或更换不会影响到系统中其它分机的工作，分机间出现一处连线故障也不会影响到系统工作，从而使系统具有更高可靠性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会议主机具备25路及以上独立音频输出，提供包含上述内容的产品彩页并加盖投标方公章与具有CMA或CNAS标识的第三方检测机构出具的检测报告复印件加盖投标方公章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具备彩色2.8''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设备具有内置软件管理功能，方便互联网集成，并能通过网络方式进行主机开启和关闭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具备双机热备份功能，可将一台会议控制主机设置为备份主机并连接到系统中，当会议控制主机出现意外时，备份主机会自动启用，保证会议无间断顺利进行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设备具有内置软件管理功能，方便互联网集成，并能通过网络方式进行主机开启和关闭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信噪比≥100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频率响应：30~20kHz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B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5A6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411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6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8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D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代表发言单元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会议单元支持“环形手拉手”连接技术，一台分机的故障或更换不会影响到系统中其它分机的工作，分机间出现一处连线故障也不会影响到系统工作，从而使系统具有更高可靠性。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会议单元具备大于等于4”屏幕，提供包含上述内容的产品彩页并加盖投标方公章与具有CMA或CNAS标识的第三方检测机构出具的检测报告复印件加盖投标方公章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 48 kHz 音频采样频率，频率响应均可达 30 Hz~20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可以独立调节增益和均衡（5 段），可针对不同的发言者声音特点调节不同的音量和频响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内置高通滤波器（低切开关），方便在需要时切去声音中的低频成分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支持线路带电“热插拔”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5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829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3E94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7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5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5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4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DF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757A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4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9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2D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数字会议延长线，8芯10米延长电缆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5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BF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D9C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0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4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0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数字会议延长线，8芯30米延长电缆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5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FD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EC7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A8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2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D2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98寸一体机，含PC模块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1.屏幕：4K分辨率光学防蓝光屏幕；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2.系统：≥win10，i5-8+128G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3.喇叭配置：15*2w，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4.摄像能力：1200W拍照像素，4K超高清录像，106°广角镜头；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5.拾音能力：6阵列拾音麦，8米拾音距离，具有NR、AEC等降噪算法；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6.触控系统：红外触控（支持20点），相应时间≤10ms，触控寿命≥6000万次；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7.投屏系统：支持网页投屏/群组投屏/4分屏，全功能Type-C；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8.PC模块：≥I5 10代，8G+256G，win10正版</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B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93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659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B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F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C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1.Windows系统下无需安装任何驱动即可实现无线传屏应用；电脑无需连接网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络，无需安装程序，插入Type-c即可传屏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无需路由器，无需设置网络，即插即用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单Type-c接口设计，无需额外供电线及其他端口；可兼容市面上具备通用型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Type-c接口的各类电脑。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为满足需求的易用性，设备全面兼容Windows 7/8/10及苹果Mac系统；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设备在使用过程中不占用电脑Wi-Fi，电脑仍可以上网；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支持外部电脑音视频高清信号实时传输到交互平板上，并可支持触摸回传。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一键抢占式传屏，多个发送端轻松切换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支持同时不小于8个传屏发射端对应一台交互平板，可通过按键切换传输不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同外部电脑的画面及声音。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无线传屏最远传输距离达到15米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无线传屏平均延时≤120ms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4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54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263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6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D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7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9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6B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280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F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5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C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E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70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7DB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51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76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1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6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1C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CE9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A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3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8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4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10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445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1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78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1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1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44E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D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0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C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2英寸彩色液晶智能显示屏，实时显示当前电压、日期时间，通道开关状态；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定时开关机功能，内置时钟芯片，可根据日期时间设定，无需人为操作，让设备管理更简单；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8路通道输出，每路延时开启和关闭时间可自由设置（范围0~999S）；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2路辅助输出电源插座；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具有启动开关键，可一键控制设备通道开关状态；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10组设备开关场景数据保存/调用，场景管理应用简单便捷；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特设欠压、超压检测及报警功能，为您的设备提供了可靠的保障，总功率6000W，单路最大功率2000W；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具有4PIN级联接线端子，支持多台设备级联控制，级联状态可自动检测及设置；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配置RS232接口，支持外部中央控制设备控制；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配置RG45接口，支持互联网网络控制设备控制；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可实现远程集中控制，每台设备自带设备编码ID检测和设置；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8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59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F35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8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C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7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8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71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C83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3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D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47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E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BC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E5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C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B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会议系统辅材-6#楼2F人才加速学院</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A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线材、管材、接头、含各类音频插件插座等辅材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3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86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9C3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F8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6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C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17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9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099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34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1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A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2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E9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820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4402">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1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6#楼三、四层90m²会议室（共2间）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6DE3">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26690">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D8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629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3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7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6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提供相关彩页，提供省级及以上检测机构出具的质量检验报告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2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A6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C2B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E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185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A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3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02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160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5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1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0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3B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47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95E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8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6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8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“D-PRE”话放，带有倒向晶体管电路。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1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F9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857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F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B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2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6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7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2F0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B0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D0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D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话筒增益器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1、采用智能动态反馈滤波器，通过最新一代高速浮点运算技术的反馈滤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2、可兼容多种应用方式，如电容麦+混音器、手拉手会议话筒、电容麦+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3、同等距离声压提升9~12dB;(传声增益)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声反馈处理器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4、同等声压拾音距离提升2~3倍;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 即插即用，免调试。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采样率:48K 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通道噪声:&lt;-90dBu 动态范围:99dBU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输入\输出接口类型:免焊接插拔式接线端口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输入接口:2路平衡输入(In Put) 输出接口:2路平衡输出(Out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Put)</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B9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2F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A87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0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D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0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数字红外音频处理及传输技术，配合广播级麦克风，可实现 80Hz～20KHz 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数字红外无线会议单元不受高频驱动光源干扰，并具有超强抗手机干扰能力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系统主机具备彩色 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 A 型 USB 接口，用于系统升级和系统设置参数备份，系统设置参数可用 U 盘拷贝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系统主机具有微型 USB 接口，支持与主流软件视频会议联通，可以通过 USB 线连接到电脑实现数字信号的无损录音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系统主机具有软开关按键和机械开关按键，软开关按键关机需多重确认且可通过网络 UDP 的方式控制主机关机提供包含上述内容的产品彩页并加盖投标方公章与具有CMA或CNAS标识的第三方检测机构出具的检测报告复印件加盖投标方公章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 1000 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数字红外无线会议系统主机具有发言功能，可接有线全数字会议单元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系统主机可对数字红外无线会议单元麦克风灵敏度、 EQ独立调节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会议单元具备LCD显示屏，可查看电池电量、音量大小、话筒接收信号强弱以及同传通道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C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66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3EF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A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8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1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数字红外无线会议代表单元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数字红外无线音频传输及控制技术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系统可控制多达1000个会议单元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数字红外音频处理及传输技术，可实现20 Hz ~ 20 KHz低失真的完美音质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驻极体心形指向性麦克风，并带有双色开启指示灯圈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内置高保真扬声器，打开话筒后自动静音，不易产生啸叫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麦克风灵敏度、EQ独立可调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Ø 3.5 mm的立体声耳机插口可连接耳机，且音量可调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可充电锂电池，持续发言时电池使用时间为14.4小时，收听但不发言时电池使用时间为48小时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配合视频切换台和摄像机，使用电脑预设后，可实现摄像机自动跟踪功能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带背光的LCD显示屏，可显示信号图标、电池电量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具备话筒开关按键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提供具有CNAS标识的第三方检测机构出具的功能检验报告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F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77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1AA0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F5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C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14E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吸顶式、挂墙式或支架式，适合会场高度 6 米以下，标配不含支架，炭灰色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C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E0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43B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7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62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1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可充电电池组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标称电压：11.1 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标称容量：4400 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8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3E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3C27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9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D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9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电源：9 VDC, 6 A适配器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充电时间：约4小时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充电单元容量：可容纳6个HCS-5380、HCS-5381C/D系列会议单元同时充电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9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3A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E28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C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1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0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9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0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1985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C4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0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AE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20米收发器专用电缆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0B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E9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7EF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E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16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5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02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64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14:paraId="334C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3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E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C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支持CVBS\YPbPr\VGA\HDMI\DVI\3G-SDI\HDBaseT\光纤信号任意转换切换。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5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CE4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B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39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B8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7D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4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003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F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F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6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5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EA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DC4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FA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C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4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7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E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A6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B5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4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C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5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ED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BFB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6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5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99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9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092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744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E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7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E7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DF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97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188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9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E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B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EE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90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EFD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0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40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A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6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65C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896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07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5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E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F7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28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7E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D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1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B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D0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54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1E7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4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B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6F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2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F5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FD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F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F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1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内含电源、HDMI、电脑音频、网络模块等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A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F1E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908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39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会议系统辅材-6#楼三、四层90m²会议室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65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3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E2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819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F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B4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A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A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14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D15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B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C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61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C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E5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25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AF98">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8C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6#楼三层、四层57m²会议室（共2间）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81C8">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2C43">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B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609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5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68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D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提供相关彩页，提供省级及以上检测机构出具的质量检验报告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E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94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A96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2F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C7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8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▲短路保护机制，提供不间断声音输出，提供官网截图证明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E5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58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DF6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2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E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B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AD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9A3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ABA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94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C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29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“D-PRE”话放，带有倒向晶体管电路。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1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FB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110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46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4F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0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61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35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AA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D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0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D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话筒增益器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1、采用智能动态反馈滤波器，通过最新一代高速浮点运算技术的反馈滤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2、可兼容多种应用方式，如电容麦+混音器、手拉手会议话筒、电容麦+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3、同等距离声压提升9~12dB;(传声增益)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声反馈处理器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4、同等声压拾音距离提升2~3倍;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5、即插即用，免调试。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采样率:48K 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通道噪声:&lt;-90dBu 动态范围:99dBU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输入\输出接口类型:免焊接插拔式接线端口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输入接口:2路平衡输入(In Put) 输出接口:2路平衡输出(Out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Put)</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2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AA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4C4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A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8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2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符合ISO 22259国际标准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数字红外音频处理及传输技术，配合广播级麦克风，可实现 80Hz～20KHz 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数字红外无线会议单元不受高频驱动光源干扰，并具有超强抗手机干扰能力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系统主机具备彩色 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 A 型 USB 接口，用于系统升级和系统设置参数备份，系统设置参数可用 U 盘拷贝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系统主机具有微型 USB 接口，支持与主流软件视频会议联通，可以通过 USB 线连接到电脑实现数字信号的无损录音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系统主机具有软开关按键和机械开关按键，软开关按键关机需多重确认且可通过网络 UDP 的方式控制主机关机提供包含上述内容的产品彩页并加盖投标方公章与具有CMA或CNAS标识的第三方检测机构出具的检测报告复印件加盖投标方公章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 1000 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数字红外无线会议系统主机具有发言功能，可接有线全数字会议单元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系统主机可对数字红外无线会议单元麦克风灵敏度、 EQ独立调节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会议单元具备LCD显示屏，可查看电池电量、音量大小、话筒接收信号强弱以及同传通道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0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6A5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337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8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F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6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数字红外无线会议代表单元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数字红外无线音频传输及控制技术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系统可控制多达1000个会议单元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数字红外音频处理及传输技术，可实现20 Hz ~ 20 KHz低失真的完美音质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驻极体心形指向性麦克风，并带有双色开启指示灯圈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内置高保真扬声器，打开话筒后自动静音，不易产生啸叫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麦克风灵敏度、EQ独立可调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Ø 3.5 mm的立体声耳机插口可连接耳机，且音量可调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可充电锂电池，持续发言时电池使用时间为14.4小时，收听但不发言时电池使用时间为48小时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配合视频切换台和摄像机，使用电脑预设后，可实现摄像机自动跟踪功能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带背光的LCD显示屏，可显示信号图标、电池电量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具备话筒开关按键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提供具有CNAS标识的第三方检测机构出具的功能检验报告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E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47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336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B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3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60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吸顶式、挂墙式或支架式，适合会场高度 6 米以下，标配不含支架，炭灰色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1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75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AD1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C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75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2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可充电电池组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标称电压：11.1 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标称容量：4400 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7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F2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9AA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8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D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B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电源：9 VDC, 6 A适配器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充电时间：约4小时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充电单元容量：可容纳6个HCS-5380、HCS-5381C/D系列会议单元同时充电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C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1E8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236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1F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5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2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B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72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E83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A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9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23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20米收发器专用电缆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77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0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D12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F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A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9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2.规格：LED全彩屏 尺寸暂定：3000*1600mm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9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3F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14:paraId="1B86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3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7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4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5E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E4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553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4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C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4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47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5C7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2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D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44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62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E1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D3B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6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3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E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D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13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3F9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4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8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3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A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DE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73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49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4E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B0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03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B94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C4D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3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09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5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E6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47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558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0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8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B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399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64D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7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2D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9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31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3F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61D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E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4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F4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4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072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1E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0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4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7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5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EB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43B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4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60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8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C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67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DB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1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8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2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内含电源、HDMI、电脑音频、网络模块等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2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DC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817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E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A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会议系统辅材-6#楼三层、四层57m²会议室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0C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0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C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AAD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1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6E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3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B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1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EFC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9A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16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5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5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013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5CE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9882">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D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6#楼三层、四层42m²会议室1（共2间）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00D3">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FB75">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8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C3A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E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2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8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提供相关彩页，提供省级及以上同时具有CMA、CNAS、ilac标识的检测机构出具的质量检验报告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A3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F1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949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5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5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A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2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4F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7BE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7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E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A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F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5A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A9B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2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D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2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“D-PRE”话放，带有倒向晶体管电路。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8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DA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B8D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8F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9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B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A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6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0BB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2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5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1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话筒增益器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1、采用智能动态反馈滤波器，通过最新一代高速浮点运算技术的反馈滤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2、可兼容多种应用方式，如电容麦+混音器、手拉手会议话筒、电容麦+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3、同等距离声压提升9~12dB;(传声增益)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声反馈处理器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4、同等声压拾音距离提升2~3倍;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5、即插即用，免调试。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采样率:48K 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通道噪声:&lt;-90dBu 动态范围:99dBU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输入\输出接口类型:免焊接插拔式接线端口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输入接口:2路平衡输入(In Put) 输出接口:2路平衡输出(Out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Put)</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3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0FE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4D7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3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CB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71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符合ISO 22259国际标准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数字红外音频处理及传输技术，配合广播级麦克风，可实现 80Hz～20KHz 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数字红外无线会议单元不受高频驱动光源干扰，并具有超强抗手机干扰能力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系统主机具备彩色 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 A 型 USB 接口，用于系统升级和系统设置参数备份，系统设置参数可用 U 盘拷贝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系统主机具有微型 USB 接口，支持与主流软件视频会议联通，可以通过 USB 线连接到电脑实现数字信号的无损录音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系统主机具有软开关按键和机械开关按键，软开关按键关机需多重确认且可通过网络 UDP 的方式控制主机关机提供包含上述内容的产品彩页并加盖投标方公章与具有CMA或CNAS标识的第三方检测机构出具的检测报告复印件加盖投标方公章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 1000 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数字红外无线会议系统主机具有发言功能，可接有线全数字会议单元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系统主机可对数字红外无线会议单元麦克风灵敏度、 EQ独立调节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会议单元具备LCD显示屏，可查看电池电量、音量大小、话筒接收信号强弱以及同传通道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C5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58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79A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34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4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E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数字红外无线会议代表单元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数字红外无线音频传输及控制技术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系统可控制多达1000个会议单元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数字红外音频处理及传输技术，可实现20 Hz ~ 20 KHz低失真的完美音质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驻极体心形指向性麦克风，并带有双色开启指示灯圈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内置高保真扬声器，打开话筒后自动静音，不易产生啸叫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麦克风灵敏度、EQ独立可调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Ø 3.5 mm的立体声耳机插口可连接耳机，且音量可调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可充电锂电池，持续发言时电池使用时间为14.4小时，收听但不发言时电池使用时间为48小时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配合视频切换台和摄像机，使用电脑预设后，可实现摄像机自动跟踪功能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带背光的LCD显示屏，可显示信号图标、电池电量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具备话筒开关按键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提供具有CNAS标识的第三方检测机构出具的功能检验报告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C9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0C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7EA9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0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264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A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吸顶式、挂墙式或支架式，适合会场高度 6 米以下，标配不含支架，炭灰色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A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BE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1A0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7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9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5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可充电电池组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标称电压：11.1 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标称容量：4400 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A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7EA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A33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2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38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2D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电源：9 VDC, 6 A适配器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充电时间：约4小时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充电单元容量：可容纳6个HCS-5380、HCS-5381C/D系列会议单元同时充电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D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20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7A5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5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F3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C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3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62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2B66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9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B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A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20米收发器专用电缆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3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D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558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4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1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8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2.规格：LED全彩屏 尺寸暂定：3000*1600mm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1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B0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14:paraId="0575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2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5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6E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A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2A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59A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D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5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441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4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8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C76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0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8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7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8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AE8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59A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D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3F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2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7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C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DFB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F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F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2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7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E4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FE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6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E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A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3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AD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F1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3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5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0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2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71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CFE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6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2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E1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B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3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4A2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6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8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B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A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5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C65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4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6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D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A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42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FBC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1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1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0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D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9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6FB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0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B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0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7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F6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57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5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C3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F2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内含电源、HDMI、电脑音频、网络模块等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E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DE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DAA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A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A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会议系统辅材-6#楼三层、四层42m²会议室1</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E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5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B0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A2A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2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A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1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7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89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CD6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B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4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7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3D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2E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216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FAA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7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6#楼三层、四层42m²会议室2（共2间）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5CC14">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60D6C">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42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40B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2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D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D9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98寸一体机，含PC模块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1.屏幕：4K分辨率光学防蓝光屏幕；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2.系统：≥win10，i5-8+128G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3.喇叭配置：15*2w，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4.摄像能力：1200W拍照像素，4K超高清录像，106°广角镜头；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5.拾音能力：6阵列拾音麦，8米拾音距离，具有NR、AEC等降噪算法；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6.触控系统：红外触控（支持20点），相应时间≤10ms，触控寿命≥6000万次；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7.投屏系统：支持网页投屏/群组投屏/4分屏，全功能Type-C；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8.PC模块：≥I5 10代，8G+256G，win10正版</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3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E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D0A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6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0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5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1.Windows系统下无需安装任何驱动即可实现无线传屏应用；电脑无需连接网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络，无需安装程序，插入Type-c即可传屏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无需路由器，无需设置网络，即插即用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单Type-c接口设计，无需额外供电线及其他端口；可兼容市面上具备通用型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Type-c接口的各类电脑。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为满足需求的易用性，设备全面兼容Windows 7/8/10及苹果Mac系统；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设备在使用过程中不占用电脑Wi-Fi，电脑仍可以上网；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支持外部电脑音视频高清信号实时传输到交互平板上，并可支持触摸回传。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一键抢占式传屏，多个发送端轻松切换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支持同时不小于8个传屏发射端对应一台交互平板，可通过按键切换传输不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同外部电脑的画面及声音。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无线传屏最远传输距离达到15米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无线传屏平均延时≤120ms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9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EEA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1BF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C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F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D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6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06F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892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6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0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会议系统辅材-6#楼三层、四层42m²会议室2</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B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D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A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FFC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F967">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6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6#楼三层、四层小会议室（共6间）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A293">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4D2A2">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B1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105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8E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9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D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98寸一体机，含PC模块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1.屏幕：4K分辨率光学防蓝光屏幕；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2.系统：≥win10，i5-8+128G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3.喇叭配置：15*2w，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4.摄像能力：1200W拍照像素，4K超高清录像，106°广角镜头；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5.拾音能力：6阵列拾音麦，8米拾音距离，具有NR、AEC等降噪算法；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6.触控系统：红外触控（支持20点），相应时间≤10ms，触控寿命≥6000万次；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7.投屏系统：支持网页投屏/群组投屏/4分屏，全功能Type-C；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8.PC模块：≥I5 10代，8G+256G，win10正版</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6F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1B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F12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3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9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1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1.Windows系统下无需安装任何驱动即可实现无线传屏应用；电脑无需连接网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络，无需安装程序，插入Type-c即可传屏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无需路由器，无需设置网络，即插即用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单Type-c接口设计，无需额外供电线及其他端口；可兼容市面上具备通用型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Type-c接口的各类电脑。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为满足需求的易用性，设备全面兼容Windows 7/8/10及苹果Mac系统；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设备在使用过程中不占用电脑Wi-Fi，电脑仍可以上网；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支持外部电脑音视频高清信号实时传输到交互平板上，并可支持触摸回传。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一键抢占式传屏，多个发送端轻松切换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支持同时不小于8个传屏发射端对应一台交互平板，可通过按键切换传输不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同外部电脑的画面及声音。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无线传屏最远传输距离达到15米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无线传屏平均延时≤120ms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F2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8E6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004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6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6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2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7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72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E7F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E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93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会议系统辅材-6#楼三层、四层小会议室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E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2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CD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A55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B0D15">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0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6#楼三层、四层28m²会议室(共4间)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5104">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4BE7">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54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44A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48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3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6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98寸一体机，含PC模块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1.屏幕：4K分辨率光学防蓝光屏幕；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2.系统：≥win10，i5-8+128G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3.喇叭配置：15*2w，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4.摄像能力：1200W拍照像素，4K超高清录像，106°广角镜头；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5.拾音能力：6阵列拾音麦，8米拾音距离，具有NR、AEC等降噪算法；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6.触控系统：红外触控（支持20点），相应时间≤10ms，触控寿命≥6000万次；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7.投屏系统：支持网页投屏/群组投屏/4分屏，全功能Type-C；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8.PC模块：≥I5 10代，8G+256G，win10正版</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D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5B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335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B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C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F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1.Windows系统下无需安装任何驱动即可实现无线传屏应用；电脑无需连接网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络，无需安装程序，插入Type-c即可传屏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无需路由器，无需设置网络，即插即用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单Type-c接口设计，无需额外供电线及其他端口；可兼容市面上具备通用型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Type-c接口的各类电脑。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为满足需求的易用性，设备全面兼容Windows 7/8/10及苹果Mac系统；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设备在使用过程中不占用电脑Wi-Fi，电脑仍可以上网；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支持外部电脑音视频高清信号实时传输到交互平板上，并可支持触摸回传。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一键抢占式传屏，多个发送端轻松切换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支持同时不小于8个传屏发射端对应一台交互平板，可通过按键切换传输不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同外部电脑的画面及声音。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无线传屏最远传输距离达到15米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无线传屏平均延时≤120ms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5C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5C7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5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67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42D9">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多媒体插座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0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F6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F36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2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D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会议系统辅材-6#楼三层、四层28m²会议室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8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7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D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4BF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6B723">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3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6#楼5F 90m²会议室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9D9C">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75E0">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C9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C5C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6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7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提供相关彩页，提供省级及以上同时具有CMA、CNAS、ilac标识的检测机构出具的质量检验报告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7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E9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CBF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81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2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D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3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31D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FB6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5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1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B0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1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5C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63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2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A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CF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83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73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94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1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D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7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989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94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D4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F0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49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话筒增益器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1、采用智能动态反馈滤波器，通过最新一代高速浮点运算技术的反馈滤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2、可兼容多种应用方式，如电容麦+混音器、手拉手会议话筒、电容麦+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3、同等距离声压提升9~12dB;(传声增益)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声反馈处理器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4、同等声压拾音距离提升2~3倍;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5、即插即用，免调试。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采样率:48K 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通道噪声:&lt;-90dBu 动态范围:99dBU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输入\输出接口类型:免焊接插拔式接线端口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输入接口:2路平衡输入(In Put) 输出接口:2路平衡输出(Out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Put)</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3F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0D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09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C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66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35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符合ISO 22259国际标准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数字红外音频处理及传输技术，配合广播级麦克风，可实现 80Hz～20KHz 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数字红外无线会议单元不受高频驱动光源干扰，并具有超强抗手机干扰能力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系统主机具备彩色 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 A 型 USB 接口，用于系统升级和系统设置参数备份，系统设置参数可用 U 盘拷贝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系统主机具有微型 USB 接口，支持与主流软件视频会议联通，可以通过 USB 线连接到电脑实现数字信号的无损录音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系统主机具有软开关按键和机械开关按键，软开关按键关机需多重确认且可通过网络 UDP 的方式控制主机关机提供包含上述内容的产品彩页并加盖投标方公章与具有CMA或CNAS标识的第三方检测机构出具的检测报告复印件加盖投标方公章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 1000 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数字红外无线会议系统主机具有发言功能，可接有线全数字会议单元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系统主机可对数字红外无线会议单元麦克风灵敏度、 EQ独立调节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会议单元具备LCD显示屏，可查看电池电量、音量大小、话筒接收信号强弱以及同传通道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A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2F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E5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4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0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F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数字红外无线会议代表单元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数字红外无线音频传输及控制技术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系统可控制多达1000个会议单元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数字红外音频处理及传输技术，可实现20 Hz ~ 20 KHz低失真的完美音质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驻极体心形指向性麦克风，并带有双色开启指示灯圈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内置高保真扬声器，打开话筒后自动静音，不易产生啸叫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麦克风灵敏度、EQ独立可调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Ø 3.5 mm的立体声耳机插口可连接耳机，且音量可调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可充电锂电池，持续发言时电池使用时间为14.4小时，收听但不发言时电池使用时间为48小时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配合视频切换台和摄像机，使用电脑预设后，可实现摄像机自动跟踪功能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带背光的LCD显示屏，可显示信号图标、电池电量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具备话筒开关按键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提供具有CNAS标识的第三方检测机构出具的功能检验报告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B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CF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31A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9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F0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C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吸顶式、挂墙式或支架式，适合会场高度 6 米以下，标配不含支架，炭灰色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D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77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BE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1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A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1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可充电电池组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标称电压：11.1 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标称容量：4400 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F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32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2DC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A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8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E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电源：9 VDC, 6 A适配器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充电时间：约4小时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充电单元容量：可容纳6个HCS-5380、HCS-5381C/D系列会议单元同时充电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0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60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EB5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B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3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2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C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B6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BC1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A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1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CA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20米收发器专用电缆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F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21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117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0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9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A0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2.规格：LED全彩屏 尺寸暂定：3000*1600mm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9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C0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2947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E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6A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B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C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26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7C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0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B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2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D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49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612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8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5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9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F1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C3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5E2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6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4C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2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D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AD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93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1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C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6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3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1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7B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FB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9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7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6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58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9F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6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6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6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1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7AA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09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C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25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5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0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DF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59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5B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1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9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1.名称:落地机柜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C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4C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AD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0D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7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D3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3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57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61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7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4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5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D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7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A3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4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3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2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2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DD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A9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2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3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2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内含电源、HDMI、电脑音频、网络模块等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D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8F1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08A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B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3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会议系统辅材-6#楼5F 90m²会议室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E12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4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0A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FE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6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7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4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0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B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15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5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8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8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D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75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1A79">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1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6#楼5F 57m²会议室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D15F">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7370">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01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74B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3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74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78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提供相关彩页，提供省级及以上同时具有CMA、CNAS、ilac标识的检测机构出具的质量检验报告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E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D5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6A1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1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C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9E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A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C2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99D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63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E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1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1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0F4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4E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4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F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C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A7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2B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C4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D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A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6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C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24D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70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1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9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2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话筒增益器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1、采用智能动态反馈滤波器，通过最新一代高速浮点运算技术的反馈滤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2、可兼容多种应用方式，如电容麦+混音器、手拉手会议话筒、电容麦+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3、同等距离声压提升9~12dB;(传声增益)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声反馈处理器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4、同等声压拾音距离提升2~3倍;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 即插即用，免调试。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采样率:48K 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通道噪声:&lt;-90dBu 动态范围:99dBU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输入\输出接口类型:免焊接插拔式接线端口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输入接口:2路平衡输入(In Put) 输出接口:2路平衡输出(Out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Put)</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1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87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33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1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F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6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数字红外音频处理及传输技术，配合广播级麦克风，可实现 80Hz～20KHz 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数字红外无线会议单元不受高频驱动光源干扰，并具有超强抗手机干扰能力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系统主机具备彩色 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 A 型 USB 接口，用于系统升级和系统设置参数备份，系统设置参数可用 U 盘拷贝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系统主机具有微型 USB 接口，支持与主流软件视频会议联通，可以通过 USB 线连接到电脑实现数字信号的无损录音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系统主机具有软开关按键和机械开关按键，软开关按键关机需多重确认且可通过网络 UDP 的方式控制主机关机提供包含上述内容的产品彩页并加盖投标方公章与具有CMA或CNAS标识的第三方检测机构出具的检测报告复印件加盖投标方公章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 1000 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数字红外无线会议系统主机具有发言功能，可接有线全数字会议单元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系统主机可对数字红外无线会议单元麦克风灵敏度、 EQ独立调节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会议单元具备LCD显示屏，可查看电池电量、音量大小、话筒接收信号强弱以及同传通道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1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76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81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8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F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4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数字红外无线会议代表单元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数字红外无线音频传输及控制技术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系统可控制多达1000个会议单元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数字红外音频处理及传输技术，可实现20 Hz ~ 20 KHz低失真的完美音质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驻极体心形指向性麦克风，并带有双色开启指示灯圈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内置高保真扬声器，打开话筒后自动静音，不易产生啸叫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麦克风灵敏度、EQ独立可调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Ø 3.5 mm的立体声耳机插口可连接耳机，且音量可调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可充电锂电池，持续发言时电池使用时间为14.4小时，收听但不发言时电池使用时间为48小时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配合视频切换台和摄像机，使用电脑预设后，可实现摄像机自动跟踪功能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带背光的LCD显示屏，可显示信号图标、电池电量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具备话筒开关按键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提供具有CNAS标识的第三方检测机构出具的功能检验报告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4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69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FF0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2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D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B1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吸顶式、挂墙式或支架式，适合会场高度 6 米以下，标配不含支架，炭灰色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7C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DBA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F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F7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C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可充电电池组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标称电压：11.1 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标称容量：4400 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E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A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6D5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A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9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7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电源：9 VDC, 6 A适配器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充电时间：约4小时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充电单元容量：可容纳6个HCS-5380、HCS-5381C/D系列会议单元同时充电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0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3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E2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7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4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B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45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4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C3F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E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2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3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20米收发器专用电缆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8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CF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8EC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FC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A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E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2.规格：LED全彩屏 尺寸暂定：3000*1600mm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7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9D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199D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E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A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E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E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F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7F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6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9A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4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D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C2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3B1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C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D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E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6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11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B66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F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3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3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1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C35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C8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3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3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AE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7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0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7F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0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D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C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7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CE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75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7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E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95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5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8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E2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3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C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9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5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C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51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5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2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DA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9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B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59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1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6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7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C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8B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3D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9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0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0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F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F3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BA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1C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D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5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5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4C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63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8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A7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48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内含电源、HDMI、电脑音频、网络模块等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D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76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BEE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F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4C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会议系统辅材-6#楼5F 57m²会议室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7DCE">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D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82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02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B4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F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F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8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47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7D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3D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0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E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A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9C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AC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C5D5">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D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6#楼172m²大会议室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711A">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53ED">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B3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F78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B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D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1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1.名称：主扩音柱扬声器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提供相关彩页，提供省级及以上检测机构出具的质量检验报告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3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A4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286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A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0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B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1.名称：辅助吸顶扬声器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2.规格：1×6.5"低音单元+1×0.75"高音单元，同轴扬声器，16 Ω，60 W，白色，灵敏度：≥88dB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6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51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BF7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B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F4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9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5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2D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249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7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A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3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0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60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1E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35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6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8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E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71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4F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C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4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4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7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FC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8E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8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2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A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符合ISO 22259国际标准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数字红外音频处理及传输技术，配合广播级麦克风，可实现 80Hz～20KHz 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数字红外无线会议单元不受高频驱动光源干扰，并具有超强抗手机干扰能力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系统主机具备彩色 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 A 型 USB 接口，用于系统升级和系统设置参数备份，系统设置参数可用 U 盘拷贝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系统主机具有微型 USB 接口，支持与主流软件视频会议联通，可以通过 USB 线连接到电脑实现数字信号的无损录音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系统主机具有软开关按键和机械开关按键，软开关按键关机需多重确认且可通过网络 UDP 的方式控制主机关机提供包含上述内容的产品彩页并加盖投标方公章与具有CMA或CNAS标识的第三方检测机构出具的检测报告复印件加盖投标方公章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 1000 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数字红外无线会议系统主机具有发言功能，可接有线全数字会议单元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系统主机可对数字红外无线会议单元麦克风灵敏度、 EQ独立调节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会议单元具备LCD显示屏，可查看电池电量、音量大小、话筒接收信号强弱以及同传通道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04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D53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46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5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8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A0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数字红外无线会议代表单元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数字红外无线音频传输及控制技术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系统可控制多达1000个会议单元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数字红外音频处理及传输技术，可实现20 Hz ~ 20 KHz低失真的完美音质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驻极体心形指向性麦克风，并带有双色开启指示灯圈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内置高保真扬声器，打开话筒后自动静音，不易产生啸叫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麦克风灵敏度、EQ独立可调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Ø 3.5 mm的立体声耳机插口可连接耳机，且音量可调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可充电锂电池，持续发言时电池使用时间为14.4小时，收听但不发言时电池使用时间为48小时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配合视频切换台和摄像机，使用电脑预设后，可实现摄像机自动跟踪功能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带背光的LCD显示屏，可显示信号图标、电池电量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具备话筒开关按键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提供具有CNAS标识的第三方检测机构出具的功能检验报告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6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49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7AB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C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DA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8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吸顶式、挂墙式或支架式，适合会场高度 6 米以下，标配不含支架，炭灰色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1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F7B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D4F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A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3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B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可充电电池组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标称电压：11.1 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标称容量：4400 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7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F0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361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5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CC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7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电源：9 VDC, 6 A适配器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充电时间：约4小时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充电单元容量：可容纳6个HCS-5380、HCS-5381C/D系列会议单元同时充电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5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B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8F8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3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3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6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1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8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C52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0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4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2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20米收发器专用电缆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66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77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C7B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5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3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F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8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E5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r>
      <w:tr w14:paraId="47A3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6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F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9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9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8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08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D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9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15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AB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9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7CE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8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C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6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4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86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E2B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B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0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2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3C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C5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C0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2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E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A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A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29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F0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2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9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B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D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CA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16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F2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F2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F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32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D9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F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1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7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B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73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BA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D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0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0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3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F5F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F8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E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C4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3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0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E7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DC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C0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E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3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A0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BB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56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B5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5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B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41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7B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49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1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33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C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内含电源、HDMI、电脑音频、网络模块等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8E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E18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ED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4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会议系统辅材-6楼172m²大会议室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0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4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E6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30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7E387">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4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6#楼六层知行讲堂</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B76D">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9C99">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F3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857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A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F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E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D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13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E36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A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6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8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A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F2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7E9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D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3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69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2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0D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AB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5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6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D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6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67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2E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2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A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3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98寸一体机，含PC模块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1.屏幕：4K分辨率光学防蓝光屏幕；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2.系统：≥win10，i5-8+128G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3.喇叭配置：15*2w，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4.摄像能力：1200W拍照像素，4K超高清录像，106°广角镜头；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5.拾音能力：6阵列拾音麦，8米拾音距离，具有NR、AEC等降噪算法；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6.触控系统：红外触控（支持20点），相应时间≤10ms，触控寿命≥6000万次；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7.投屏系统：支持网页投屏/群组投屏/4分屏，全功能Type-C；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8.PC模块：≥I5 10代，8G+256G，win10正版</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0A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31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D9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8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3E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2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1.Windows系统下无需安装任何驱动即可实现无线传屏应用；电脑无需连接网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络，无需安装程序，插入Type-c即可传屏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无需路由器，无需设置网络，即插即用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单Type-c接口设计，无需额外供电线及其他端口；可兼容市面上具备通用型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Type-c接口的各类电脑。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为满足需求的易用性，设备全面兼容Windows 7/8/10及苹果Mac系统；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设备在使用过程中不占用电脑Wi-Fi，电脑仍可以上网；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支持外部电脑音视频高清信号实时传输到交互平板上，并可支持触摸回传。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一键抢占式传屏，多个发送端轻松切换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支持同时不小于8个传屏发射端对应一台交互平板，可通过按键切换传输不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同外部电脑的画面及声音。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无线传屏最远传输距离达到15米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无线传屏平均延时≤120ms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B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3D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3D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E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8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B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BA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80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EB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7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9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3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A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96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F6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2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A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C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1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981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A4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3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A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4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91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03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F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E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63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B3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DC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56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A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0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C8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D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71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97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B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9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F93C">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A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59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87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8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6AF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4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E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FE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10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0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8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会议系统辅材-6#楼六层知行讲堂</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4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线材、管材、接头、含各类音频插件插座等辅材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2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C5C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4B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B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4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C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0C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EE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50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B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0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1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D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8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9C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7A6C4">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9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5#楼三层会议室（共2间）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393A">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C36B">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E3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2C3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6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4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E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1.名称：主扩音柱扬声器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4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A4B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B34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7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E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7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1.名称:主扩音柱扬声器功放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9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1E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B7A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5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18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D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2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81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3EC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E1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4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C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2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F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EC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4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8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74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1.名称:一拖二无线手持话筒（含配套的话筒主机及话筒2只）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讯号噪声比 &gt; 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总失真率 &lt;0.6%@1KHz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 / 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功能显示内容 群组、频道、频率、天线A/B、静音、AF显示、RF显示、电量显示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电源开关、群组、频道、频率、(上/下) 、频率扫描、按键锁定、输出衰减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音频输出准位 -12dB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音频输出阻抗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静音方式 静音及音码锁定回路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频率震荡模式 锁相环回路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载波频率范围 470-960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RF输出 低 / 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稳定度 &lt;±10KHz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频率漂移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 群组、频道、频率、电池电量、感度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 电源开/关、 模式设定、声频、群组、频道、 频率（上/下）、功能锁定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E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6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0C3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7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6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8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话筒增益器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1、采用智能动态反馈滤波器，通过最新一代高速浮点运算技术的反馈滤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2、可兼容多种应用方式，如电容麦+混音器、手拉手会议话筒、电容麦+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3、同等距离声压提升9~12dB;(传声增益)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声反馈处理器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4、同等声压拾音距离提升2~3倍;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5、即插即用，免调试。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采样率:48K 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通道噪声:&lt;-90dBu 动态范围:99dBU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输入\输出接口类型:免焊接插拔式接线端口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输入接口:2路平衡输入(In Put) 输出接口:2路平衡输出(Out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Put)</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6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B2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9BC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8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C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D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数字红外无线会议系统主机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符合ISO 22259国际标准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 50799-2012国家标准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数字红外音频处理及传输技术，配合广播级麦克风，可实现 80Hz～20KHz 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数字红外无线会议单元不受高频驱动光源干扰，并具有超强抗手机干扰能力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系统主机具备彩色 2.8″ LCD 屏显示状态和配置信息，步进式旋钮可快速选择和设置 LCD 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系统主机具备 Web 页面控制功能，可通过 Web 页面访问会议主机，支持更详尽的主机参数设置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 A 型 USB 接口，用于系统升级和系统设置参数备份，系统设置参数可用 U 盘拷贝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系统主机具有微型 USB 接口，支持与主流软件视频会议联通，可以通过 USB 线连接到电脑实现数字信号的无损录音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系统主机具有软开关按键和机械开关按键，软开关按键关机需多重确认且可通过网络 UDP 的方式控制主机关机提供包含上述内容的产品彩页并加盖投标方公章与具有CMA或CNAS标识的第三方检测机构出具的检测报告复印件加盖投标方公章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 1000 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数字红外无线会议系统主机具有发言功能，可接有线全数字会议单元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系统主机可对数字红外无线会议单元麦克风灵敏度、 EQ独立调节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 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频率响应：80~20kHz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会议单元具备LCD显示屏，可查看电池电量、音量大小、话筒接收信号强弱以及同传通道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9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F7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FBE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F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F9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9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数字红外无线会议代表单元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数字红外无线音频传输及控制技术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红外传输副载波符合IEC 61603-7数字红外国际标准，DQPSK数字调制/解调技术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系统可控制多达1000个会议单元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数字红外音频处理及传输技术，可实现20 Hz ~ 20 KHz低失真的完美音质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红外传输技术，确保会议的私密性，避免窃听和无线电干扰，无电磁辐射，不受无线电频率使用限制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不受高频驱动光源干扰，并具有超强抗手机干扰能力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驻极体心形指向性麦克风，并带有双色开启指示灯圈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内置高保真扬声器，打开话筒后自动静音，不易产生啸叫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麦克风灵敏度、EQ独立可调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Ø 3.5 mm的立体声耳机插口可连接耳机，且音量可调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可充电锂电池，持续发言时电池使用时间为14.4小时，收听但不发言时电池使用时间为48小时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配合视频切换台和摄像机，使用电脑预设后，可实现摄像机自动跟踪功能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带背光的LCD显示屏，可显示信号图标、电池电量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具备话筒开关按键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提供具有CNAS标识的第三方检测机构出具的功能检验报告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8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91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3117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3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F1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6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数字红外收发器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吸顶式、挂墙式或支架式，适合会场高度 6 米以下，标配不含支架，炭灰色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6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1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CE8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2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9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3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可充电电池组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可充电锂电池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标称电压：11.1 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标称容量：4400 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7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F0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2A9F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6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0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3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电源：9 VDC, 6 A适配器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充电时间：约4小时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充电单元容量：可容纳6个HCS-5380、HCS-5381C/D系列会议单元同时充电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5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90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94F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2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2E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2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≥41cm，黑色，单节软管广播级麦克风，红绿双色灯内置防风罩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58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E6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5D0E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B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94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D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20米收发器专用电缆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F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C4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5E7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8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B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3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1.名称：LED大屏（每套包含发送接收卡、控制软件、图像拼接控制器、边框及支架、控制箱等）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2.规格：LED全彩屏 尺寸暂定：2600*1500mm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A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E1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14:paraId="2485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E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E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61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60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68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173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2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7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0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3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0B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1AC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6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9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F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B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6A2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09C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D2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9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3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9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3D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574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3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F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C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7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0F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EC9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6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4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F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C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87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A12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2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1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4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F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8A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C2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D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9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D3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E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08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F0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6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C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1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3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470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03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3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B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C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F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28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58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5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A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3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2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78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CC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D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4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6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AB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5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772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E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5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会议系统辅材-5#楼三层会议室（共2间）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1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0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CB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2E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6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E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4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1F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FF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65A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FB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3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1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B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5F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382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3410">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0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5#楼3楼149m²报告厅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BBCB">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1A9B">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8C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3E5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5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5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C1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2.规格：无源4单元两分频音柱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频率响应：不劣于80 Hz-20 kHz (±3 dB) / 60 Hz-25 kHz (-10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标称阻抗：8 Ohm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额定功率：≥200 W (AES)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中低音单元：≥4×4" 复合碳纤维振膜中低音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高音单元：≥12×0.75" 纳米碳纤维振膜高音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标称覆盖角：100°(H)×40°(V)(+15°/-25°)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最大声压级：≥121 dB SPL， 127 dB SPL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可与其它音柱组合式使用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B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FD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637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8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1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7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1.名称:主扩/辅助扬声器数字功放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2.规格:采用高能效的D类功放技术和开关电源技术，常规使用下的效率超过80%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通过背面板开关切换工作模式，具有多种工作模式：立体声、单声道、桥接模式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放大器增益可选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配有卡侬头音频输入接口和Speakon音频输出接口，输入信号通过卡农公座可环出到下一台功放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削波限幅器：放置功放输出削波损坏喇叭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功放输出直流保护：放置输出端输出次声信号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短路保护机制，提供不间断声音输出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温度功率控制，过温保护，电源欠压保护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额定功率（THD=1%，1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2×450 W （8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 W （4 Ω/ 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1×900 W （16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1×1200 W （8 Ω/ 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RMS输出电压（THD=1%，1 kHz）：60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输入灵敏度（额定输出功率，1 kHz）： 1 Vrms，0.775 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频率响应：（10%额定输出功率，8 Ω，20 Hz - 20 kHz）：±0.2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 kΩ（平衡）；10 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阻尼系数（8Ω，20Hz - 200Hz）：≥1000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信噪比（A计权，20Hz - 20kHz）：≥105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E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B8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21E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8B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7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0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1.名称:有线模拟话筒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2.规格:全金属方柱型话筒，超心形指向性，3针带2米连接线的卡农工头输出端，带自锁开关</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52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0B2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82E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2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27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1.名称:无线双手持话筒（含配套的话筒主机及话筒2只）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2.规格:搭配单支无线发射器使用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搭配锁相环迴合成调皆器(PLL)与193个可选频道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自动选讯功能（True Diversity）使接收断讯降到最低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装配"表面声频波器(S.A.W.Filter)" 可有效避免其它讯号及杂音干扰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内建式静音（Noise Mute）及音码锁定回路(Tone Key Squelch)可抑制干扰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“功能锁定模式”可避免使用过程中无意间改变频率，感度或电源开关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为达到最稳定收讯，天线都经调校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平衡式XLR输出和非平衡6.3mm(1/4”)输出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精简地金属外壳、半U机柜设计的接收机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手握发射器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UHF锁相环迴路手握发射麦克风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先进的电路设计确保稳定讯号输出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平稳及宽广的频率响应的发射讯号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先进线路及音码锁定迴路抑制杂讯干扰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可更换式的音头模组便利替换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内建式天线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电容式或动圈式音头皆可使用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193个可选频道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"功能锁定"可防突然地断讯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8F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CF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E6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3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C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C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1.名称:无线头戴话筒（含配套的话筒主机及话筒2只）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2.规格:锁相环回路的频率震荡模式， 470-960 MHz载波频率范围，稳定度 &lt;±10KHz，频率漂移 ±48KHz，液晶显示群组、频道、频率、电池电量、感度，音频响应 50Hz~18k Hz，电池型式 5号(AA)碱性电池 x 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42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0A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743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66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0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4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全频道的UHF天线分配器,它可以在多频道系统中引导天线信号从一对天线到数个接收机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放大射频信号弥补在分配过程中的衰减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提供4组12V直流电给主机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单一台可支持最多4台无线接收机,多台串联使用可支持更多接收机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一个额外BNC座可提供多台天线分配器串接使用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4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D5D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84D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E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共用天线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671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主动式指向天线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UHF主动式指向性天线，有效角度100度， 天线增益10dB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1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67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82A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DA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4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7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2.规格:4路平衡输入8路平衡输出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分频、EQ、压限、延时、信号发生器、矩阵混音等功能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输入输出每通道提供7段PEQ和高低通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输入输出每通道提供长达1000ms的延时设置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提供网口、RS-485、RS-232和GPIO端口实现完善的连接管理功能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设备提供信号发生器：正弦、粉噪、白噪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DSP芯片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信号处理 32-bit fixed/floating-point DSP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音频系统延迟 &lt; 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数模转换 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 8路平衡输出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+18dBu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输出通道延时 0 ～1000ms 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20~20k Hz ±0.3dB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＜0.003% THD+N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本底噪声 ＜-93dB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 ＜-100dB @1kHz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0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E4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99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8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C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F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1.名称:模拟调音台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2.规格:6个话筒 / 12 个线路输入 (4 个单声道 + 4 个立体声) / 2 编组母线 + 1 立体声母线 / 2 AUX (包括 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6个话筒 / 12个线路输入 (4个单声道 + 4个立体声)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2编组母线 + 1立体声母线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AUX (包括FX)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单旋钮压缩器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单声道输入通道上的PAD开关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XLR平衡输出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E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2A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4F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A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4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1.名称：LED大屏（包含发送接收卡、控制软件、图像拼接控制器、边框及支架、控制箱等）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2.规格：LED全彩屏 尺寸暂定：3600*2000mm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1.LED显示屏灯珠采用表贴三合一铜线封装；LED封装形式：SMD1212黑灯；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2.LED显示屏采用≤1.57mm点间距，像素点密度≥409600点/m²；采用16:9压铸铝箱体；刷新率：≥3840Hz；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3.支持模组级的LED灯防撞保护装置，符合GB/T20138-2023/ IEC 62262:2021。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4、LED显示屏效能：符合标准GB21520-2023，效能一级。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5、采用数字化网络传输技术或标准化HDCP传输技术，支持TyPe-C接口或者HDCP协议的接口。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6、平均使用寿命≥100000小时；平均故障修复时间≤5分钟。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7、显示屏支持纳米光学镀膜3D防护技术具备防尘、防盐雾、耐高温高湿、耐黄变、抗静电、散热均匀。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8、所投屏体须通过CCC强制认证，不接受OEM产品，要求3c证书中申请人、制造商、生产企业三者名称须一致或为同一集团、法人企业，并提供证书复印件加盖原厂公章。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9、摩尔纹抑制功能：显示屏支持抑制摩尔纹功能，减轻摩尔纹视觉主观效果80%。（提供包含上述内容的产品彩页并加盖投标方公章与具有CMA或CNAS标识的第三方检测机构出具的检测报告复印件加盖投标方公章)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2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C1A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5DED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D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0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B1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高清混合矩阵主机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支持大于8进8出的4K高清数字混合矩阵, 可支持4K分辨率。                                             支持CVBS\YPbPr\VGA\HDMI\DVI\3G-SDI\HDBaseT\光纤信号任意转换切换。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采用面板按键、RS232及TCP/IP多种控制管理。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D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3A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5A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7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F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E4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4K变换输入卡，支持HDMI2.0标准，支持HDCP协议，支持4:4:4采样格式，支持视音频同步，带音频解嵌功能，最高可达4KX2KP60分辨率，支持分辨率任意变换。视频HDMI接口，音频3.5mm接口。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8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08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BF3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04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8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0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 4K变换输出卡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单路HDMI 4K变换输出卡，支持HDMI2.0标准，支持HDCP协议，支持4:4:4采样格式，支持视音频同步，带音频解嵌功能，最高可达4KX2KP60分辨率，支持分辨率任意变换。视频 HDMI接口，音频3.5mm接口。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4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D5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A0D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7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6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FF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1.名称:智慧主机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带边缘计算功能的智慧主机，采用边缘计算云计算架构，可接入智慧物联网SAAS云平台；内置边缘智慧物联网管理系统，包含空间管理、设备资产管理、远程控制及运维、智能场景、计划任务、权限管理等模块；具备独立运行能力，与总控平台断网不影响本地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智能场景：支持配置式场景编程，支持API第三方调用；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设备报警功能：对音视频设备进行双向监测，发现并提示设备的在线状况；根据设备自身的报警进行监测和提取，并在界面上进行实时显示和提示。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具备视频推流功能；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具备边缘计算和云端透传能力。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高强度铝合金机身、防震抗压、坚固耐用；支持桌面/壁挂/导轨安装；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四核64位处理芯片，≥4G内存、支持最大32GB，最高3200MHz频率内存；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≥2个10/100/1000Base-T以太网接口，支持以太网监视和控制。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128GB SSD硬盘；M.2接口支持自使用SATA/NVMe SSD协议；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≥4个双向串口（RS232/422/485可调）；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支持多种标准通信协议，不少于HTTP 、HTTPS、SSH、SFTP、SMTP、NTP、Discovery Service、DHCP、DNS、ICMP、802.1X 和 IPv4等，通过扩展可支持Wifi、Lora、Zigbee等无线协议。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57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63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6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E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会议室调试服务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BC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会议室系统编程服务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D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AF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0A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7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0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19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电口无线协议，支持IPv6键，无线速率：3000M，供电方式：POE/DC供电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5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F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D9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9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A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3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≥6G+128G WIFI 10.4英寸 2K</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8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BC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BA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9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21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EB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wifi6/智能分频/支持APP控制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6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7DA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C4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53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2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3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1.名称:22U机柜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D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16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FC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8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586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C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768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DE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7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5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24口千兆交换机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F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24口千兆网络交换机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2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46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75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9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2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0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消控控制模块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4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A4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B7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6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D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12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0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414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2C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6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8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会议系统辅材-5#楼3楼149m²报告厅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A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D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E8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7B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D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C4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F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6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5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78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FE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A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5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3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D5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44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0E97">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3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5#楼4楼38m²会议室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8D8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46C1">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12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743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8A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D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8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98寸一体机，含PC模块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1.屏幕：4K分辨率光学防蓝光屏幕；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2.系统：≥win10，i5-8+128G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3.喇叭配置：15*2w，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4.摄像能力：1200W拍照像素，4K超高清录像，106°广角镜头；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5.拾音能力：6阵列拾音麦，8米拾音距离，具有NR、AEC等降噪算法；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6.触控系统：红外触控（支持20点），相应时间≤10ms，触控寿命≥6000万次；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7.投屏系统：支持网页投屏/群组投屏/4分屏，全功能Type-C；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8.PC模块：≥I5 10代，8G+256G，win10正版</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2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BA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B7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A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8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5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1.Windows系统下无需安装任何驱动即可实现无线传屏应用；电脑无需连接网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络，无需安装程序，插入Type-c即可传屏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无需路由器，无需设置网络，即插即用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单Type-c接口设计，无需额外供电线及其他端口；可兼容市面上具备通用型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Type-c接口的各类电脑。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为满足需求的易用性，设备全面兼容Windows 7/8/10及苹果Mac系统；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设备在使用过程中不占用电脑Wi-Fi，电脑仍可以上网；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支持外部电脑音视频高清信号实时传输到交互平板上，并可支持触摸回传。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一键抢占式传屏，多个发送端轻松切换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支持同时不小于8个传屏发射端对应一台交互平板，可通过按键切换传输不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同外部电脑的画面及声音。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无线传屏最远传输距离达到15米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无线传屏平均延时≤120ms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B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DC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E0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8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36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6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内含电源、HDMI、电脑音频、网络模块等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2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F5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E22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5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会议系统辅材-5#楼4楼38m²会议室</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E3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音频接插件，跳线、管线等，满足系统完整安装、调试、运行的所有辅材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5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5B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8F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F96BC">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5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多媒体会议管理系统系统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76BC">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8DB7">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7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2C0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4A573">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C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多媒体会议管理系统系统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AC46">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D373">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87AD">
            <w:pPr>
              <w:jc w:val="right"/>
              <w:rPr>
                <w:rFonts w:hint="eastAsia" w:ascii="宋体" w:hAnsi="宋体" w:eastAsia="宋体" w:cs="宋体"/>
                <w:i w:val="0"/>
                <w:iCs w:val="0"/>
                <w:color w:val="000000"/>
                <w:sz w:val="18"/>
                <w:szCs w:val="18"/>
                <w:u w:val="none"/>
              </w:rPr>
            </w:pPr>
          </w:p>
        </w:tc>
      </w:tr>
      <w:tr w14:paraId="2D81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F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E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7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CPU：至强处理器E2224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硬盘：1T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显卡：专业图像处理显示卡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接口：USB×6、串口、VGA视频接口、音频输入/输出接口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网口：10/100/1000M自适应×2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操作系统：Windows/Linux</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4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EE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33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5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DC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D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15.6寸会议触控引导屏，含支架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CPU:四核,Cortex A17,1.6G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闪存：16GB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WiFi：802.11b/g/n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网口：100M/1000M网口(带POE功能)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含人脸识别摄像头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分辨率：≥1280*800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屏体：IPS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可视角度：178°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亮度：280cd/m2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A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AE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68C7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6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4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会议预定软件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36F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基础管理：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能设置会议室名称、座位数、会议室类型信息；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能设置会议室设备信息；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能设置用户信息及用户角色；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会议室状况查询：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会议室使用情况查询；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支持提交会议预定申请，填写会议时间、主题、与会人员、相关设备需求，并自动通过邮件或短信形式通知相关审核人员；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审核人员可确认审核结果，并自动以邮件或短信形式通知申请人；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支持电子签到及会议自动取消，支持现场临时预订，支持第三方系统接口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会议引导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申请通过的会议在会议开始前自动显示会议主题、会议时间、与会人员等信息；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如有重大会议时也可发送图片或视频形式进行会议引导；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与OA、钉钉、微信等系统对接，实现会议引导，可支持各种对接方式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3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6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BE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0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D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统一多媒体显控平台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C4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可支持在Windows/Linux系统上安装，支持X86或ARM架构的服务器，系统基于B/S结构，采用HTML5技术，系统基于网络,通过IP地址来管理各个显示终端的显示内容，显示参数、系统设置等；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系统首页:首页可以查看服务器运行状态、终端状态、任务发布状态等内容，并可进行就常用功能进行快捷导航。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模板管理:可以将节目保存成模板，可以对模板进行导入/导出操作。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节目编辑器模块:编辑器为所见即所得，后台编辑画面与前端显示画面完全一致；编辑器提供按像素点对点的节目画板，可生成辅助线用于排版，控件可以复制粘贴、可以多选可以组合；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数据图表编辑:可编辑柱形图、条形图、折线图、表格等各类数据图表，系统自带10多种图表样式。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多媒体编辑:可编辑视频、流媒体、图片、文字、天气、时间、PM2.5、装饰框、播放特效等多媒体素材。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数据绑定:系统支持静态文本、表格文件等数据绑定的方式，并转化成图表在屏幕上显示。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终端管理模块:管理终端、查看终端名、IP、软件版本、等信息；编辑终端名称、分组；可设置终端网络、开关机时段，并可升级终端软件；可远程查看终端截屏；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用户管理模块：管理系统用户、角色，并为用户、角色分配各种系统权限并可以指导用户能管理的终端；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统计报表管理模块：查看个终端报表、包括播放报告及触摸点击统计等；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系统帮助模块：可查看系统快速入门、常见问题、完整使用说明及软件版本；</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9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99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50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B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0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会议门禁</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6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通过人脸识别签到，打开会议室门禁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F5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30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3F9D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45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7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客户端授权</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8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分布式数据可视化客户端授权</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B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39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6C9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1C518">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0A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安保集成平台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C9E0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F238">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F9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E16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CD36">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47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安保集成平台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DF7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4C05">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7373">
            <w:pPr>
              <w:jc w:val="right"/>
              <w:rPr>
                <w:rFonts w:hint="eastAsia" w:ascii="宋体" w:hAnsi="宋体" w:eastAsia="宋体" w:cs="宋体"/>
                <w:i w:val="0"/>
                <w:iCs w:val="0"/>
                <w:color w:val="000000"/>
                <w:sz w:val="18"/>
                <w:szCs w:val="18"/>
                <w:u w:val="none"/>
              </w:rPr>
            </w:pPr>
          </w:p>
        </w:tc>
      </w:tr>
      <w:tr w14:paraId="1A57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7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F3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7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可管理摄像机总数:10000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最大用户数:300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同时在线用户数:在线用户最大100，并发控制最大20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最大可管理的MS数量:16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最大可管理的DM数量:16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最大可管理的TS数量:16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最大可管理的IPSAN数量:64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最大可管理报警设备数:800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最大支持上级域数量:2个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单个电视墙资源最大可管理监视器数目:256个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最大支持下级域数量:126个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最大支持门口机数量:128个（包含人脸终端数量）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最大支持室内机数量:1500个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最大支持管理机数量:4个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操作系统:CentOS7.3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内存:32G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硬盘:4T SATA *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网口:GE*2（业务口）+GE*1(管理网口)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3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3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BA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810C">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4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212D">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9460">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D9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8FE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D309">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4A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C05E">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13F5">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1B10">
            <w:pPr>
              <w:jc w:val="right"/>
              <w:rPr>
                <w:rFonts w:hint="eastAsia" w:ascii="宋体" w:hAnsi="宋体" w:eastAsia="宋体" w:cs="宋体"/>
                <w:i w:val="0"/>
                <w:iCs w:val="0"/>
                <w:color w:val="000000"/>
                <w:sz w:val="18"/>
                <w:szCs w:val="18"/>
                <w:u w:val="none"/>
              </w:rPr>
            </w:pPr>
          </w:p>
        </w:tc>
      </w:tr>
      <w:tr w14:paraId="055A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1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70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A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1.名称：彩转黑固定摄像机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最高分辨率:2560*1440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传感器靶面:1/3.0"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光圈:F2.0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变焦方式:定焦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补光模式:红外补光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降噪:2D降噪|3D降噪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场景设置:通用|室内|客观|道路强光抑制|自定义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视频编码格式:超级265|H.265|H.264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视频流:三码流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OSD数量:最大8行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隐私遮盖区域数目:4个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区域增强区域数目:8个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最大实况流路数:6路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音频编码格式:G.711A、G.711U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运动检测:支持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兼容接入 :ONVIF|API|GB/T 28181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国标:支持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最大功耗:功耗：≤8.0W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电源接口:5.5mm圆孔接口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防水防尘:IP67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外壳材质:石墨烯+塑胶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8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DC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r>
      <w:tr w14:paraId="686C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E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3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8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1.名称：彩色半球摄像机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最高分辨率:2560*1440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传感器靶面:1/3.0"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光圈:F2.0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变焦方式:定焦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补光模式:红外补光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降噪:2D降噪|3D降噪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视频编码格式:超级265|H.265|H.264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视频流:三码流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OSD数量:最大8行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隐私遮盖:支持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隐私遮盖区域数目:4个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区域增强区域数目:8个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最大实况流路数:6路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音频编码格式:G.711A、G.711U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国标:支持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电源:DC12V±25%|POE(IEEE802.3af)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最大功耗:功耗：≤6.0W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电源接口:5.5mm圆孔接口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防水防尘:IP67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外壳材质:铸铝+塑胶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9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29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r>
      <w:tr w14:paraId="62B0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C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B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FAC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1.名称：一体化快球摄像机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传感器靶面:1/1.8"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焦距:6.0~150.0mm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倍率:25X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补光模式:红外补光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补光距离:150米红外补光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人脸检测:最多可同时检测40个人脸目标；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支持效果优先、速度优先、周期优选三种人脸抓拍优选模式，支持人脸角度过滤；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支持人脸、人体抓拍，支持人脸属性提取；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人脸属性：性别、年龄段、戴眼镜、戴口罩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周界布防:支持越界检测、区域入侵、进入区域、离开区域；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支持机动车、非机动车、行人目标分类检测抓拍及布防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人数统计:人流量统计：支持总人数、进入人数、离开人数统计，支持滞留人数三级报警，支持人数统计清零；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4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16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72ED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3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C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2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7"/>
                <w:lang w:val="en-US" w:eastAsia="zh-CN" w:bidi="ar"/>
              </w:rPr>
              <w:t>1.名称：人脸识别摄像机</w:t>
            </w:r>
            <w:r>
              <w:rPr>
                <w:rStyle w:val="87"/>
                <w:lang w:val="en-US" w:eastAsia="zh-CN" w:bidi="ar"/>
              </w:rPr>
              <w:br w:type="textWrapping"/>
            </w:r>
            <w:r>
              <w:rPr>
                <w:rStyle w:val="87"/>
                <w:lang w:val="en-US" w:eastAsia="zh-CN" w:bidi="ar"/>
              </w:rPr>
              <w:t>（400万像素红外）</w:t>
            </w:r>
            <w:r>
              <w:rPr>
                <w:rStyle w:val="87"/>
                <w:lang w:val="en-US" w:eastAsia="zh-CN" w:bidi="ar"/>
              </w:rPr>
              <w:br w:type="textWrapping"/>
            </w:r>
            <w:r>
              <w:rPr>
                <w:rStyle w:val="87"/>
                <w:lang w:val="en-US" w:eastAsia="zh-CN" w:bidi="ar"/>
              </w:rPr>
              <w:t>2.规格：像素:400万</w:t>
            </w:r>
            <w:r>
              <w:rPr>
                <w:rStyle w:val="87"/>
                <w:lang w:val="en-US" w:eastAsia="zh-CN" w:bidi="ar"/>
              </w:rPr>
              <w:br w:type="textWrapping"/>
            </w:r>
            <w:r>
              <w:rPr>
                <w:rStyle w:val="87"/>
                <w:lang w:val="en-US" w:eastAsia="zh-CN" w:bidi="ar"/>
              </w:rPr>
              <w:t>最高分辨率:2688*1520</w:t>
            </w:r>
            <w:r>
              <w:rPr>
                <w:rStyle w:val="87"/>
                <w:lang w:val="en-US" w:eastAsia="zh-CN" w:bidi="ar"/>
              </w:rPr>
              <w:br w:type="textWrapping"/>
            </w:r>
            <w:r>
              <w:rPr>
                <w:rStyle w:val="87"/>
                <w:lang w:val="en-US" w:eastAsia="zh-CN" w:bidi="ar"/>
              </w:rPr>
              <w:t>传感器靶面:1/3.0"</w:t>
            </w:r>
            <w:r>
              <w:rPr>
                <w:rStyle w:val="87"/>
                <w:lang w:val="en-US" w:eastAsia="zh-CN" w:bidi="ar"/>
              </w:rPr>
              <w:br w:type="textWrapping"/>
            </w:r>
            <w:r>
              <w:rPr>
                <w:rStyle w:val="87"/>
                <w:lang w:val="en-US" w:eastAsia="zh-CN" w:bidi="ar"/>
              </w:rPr>
              <w:t>光圈:F1.6</w:t>
            </w:r>
            <w:r>
              <w:rPr>
                <w:rStyle w:val="87"/>
                <w:lang w:val="en-US" w:eastAsia="zh-CN" w:bidi="ar"/>
              </w:rPr>
              <w:br w:type="textWrapping"/>
            </w:r>
            <w:r>
              <w:rPr>
                <w:rStyle w:val="87"/>
                <w:lang w:val="en-US" w:eastAsia="zh-CN" w:bidi="ar"/>
              </w:rPr>
              <w:t>变焦方式:定焦</w:t>
            </w:r>
            <w:r>
              <w:rPr>
                <w:rStyle w:val="87"/>
                <w:lang w:val="en-US" w:eastAsia="zh-CN" w:bidi="ar"/>
              </w:rPr>
              <w:br w:type="textWrapping"/>
            </w:r>
            <w:r>
              <w:rPr>
                <w:rStyle w:val="87"/>
                <w:lang w:val="en-US" w:eastAsia="zh-CN" w:bidi="ar"/>
              </w:rPr>
              <w:t>补光模式:红外补光</w:t>
            </w:r>
            <w:r>
              <w:rPr>
                <w:rStyle w:val="87"/>
                <w:lang w:val="en-US" w:eastAsia="zh-CN" w:bidi="ar"/>
              </w:rPr>
              <w:br w:type="textWrapping"/>
            </w:r>
            <w:r>
              <w:rPr>
                <w:rStyle w:val="87"/>
                <w:lang w:val="en-US" w:eastAsia="zh-CN" w:bidi="ar"/>
              </w:rPr>
              <w:t>补光距离:80m</w:t>
            </w:r>
            <w:r>
              <w:rPr>
                <w:rStyle w:val="87"/>
                <w:lang w:val="en-US" w:eastAsia="zh-CN" w:bidi="ar"/>
              </w:rPr>
              <w:br w:type="textWrapping"/>
            </w:r>
            <w:r>
              <w:rPr>
                <w:rStyle w:val="87"/>
                <w:lang w:val="en-US" w:eastAsia="zh-CN" w:bidi="ar"/>
              </w:rPr>
              <w:t>强光抑制:支持</w:t>
            </w:r>
            <w:r>
              <w:rPr>
                <w:rStyle w:val="87"/>
                <w:lang w:val="en-US" w:eastAsia="zh-CN" w:bidi="ar"/>
              </w:rPr>
              <w:br w:type="textWrapping"/>
            </w:r>
            <w:r>
              <w:rPr>
                <w:rStyle w:val="87"/>
                <w:lang w:val="en-US" w:eastAsia="zh-CN" w:bidi="ar"/>
              </w:rPr>
              <w:t>场景设置:通用，室内，客观，道路强光抑制，宽动态，星光，人脸，自定义，周界</w:t>
            </w:r>
            <w:r>
              <w:rPr>
                <w:rStyle w:val="87"/>
                <w:lang w:val="en-US" w:eastAsia="zh-CN" w:bidi="ar"/>
              </w:rPr>
              <w:br w:type="textWrapping"/>
            </w:r>
            <w:r>
              <w:rPr>
                <w:rStyle w:val="87"/>
                <w:lang w:val="en-US" w:eastAsia="zh-CN" w:bidi="ar"/>
              </w:rPr>
              <w:t>视频编码格式:超级265|H.265|H.264|MJPEG</w:t>
            </w:r>
            <w:r>
              <w:rPr>
                <w:rStyle w:val="87"/>
                <w:lang w:val="en-US" w:eastAsia="zh-CN" w:bidi="ar"/>
              </w:rPr>
              <w:br w:type="textWrapping"/>
            </w:r>
            <w:r>
              <w:rPr>
                <w:rStyle w:val="87"/>
                <w:lang w:val="en-US" w:eastAsia="zh-CN" w:bidi="ar"/>
              </w:rPr>
              <w:t>视频流:三码流</w:t>
            </w:r>
            <w:r>
              <w:rPr>
                <w:rStyle w:val="87"/>
                <w:lang w:val="en-US" w:eastAsia="zh-CN" w:bidi="ar"/>
              </w:rPr>
              <w:br w:type="textWrapping"/>
            </w:r>
            <w:r>
              <w:rPr>
                <w:rStyle w:val="87"/>
                <w:lang w:val="en-US" w:eastAsia="zh-CN" w:bidi="ar"/>
              </w:rPr>
              <w:t>OSD数量:最大8行</w:t>
            </w:r>
            <w:r>
              <w:rPr>
                <w:rStyle w:val="87"/>
                <w:lang w:val="en-US" w:eastAsia="zh-CN" w:bidi="ar"/>
              </w:rPr>
              <w:br w:type="textWrapping"/>
            </w:r>
            <w:r>
              <w:rPr>
                <w:rStyle w:val="87"/>
                <w:lang w:val="en-US" w:eastAsia="zh-CN" w:bidi="ar"/>
              </w:rPr>
              <w:t>隐私遮盖区域数目:4个</w:t>
            </w:r>
            <w:r>
              <w:rPr>
                <w:rStyle w:val="87"/>
                <w:lang w:val="en-US" w:eastAsia="zh-CN" w:bidi="ar"/>
              </w:rPr>
              <w:br w:type="textWrapping"/>
            </w:r>
            <w:r>
              <w:rPr>
                <w:rStyle w:val="87"/>
                <w:lang w:val="en-US" w:eastAsia="zh-CN" w:bidi="ar"/>
              </w:rPr>
              <w:t>区域增强区域数目:8个</w:t>
            </w:r>
            <w:r>
              <w:rPr>
                <w:rStyle w:val="87"/>
                <w:lang w:val="en-US" w:eastAsia="zh-CN" w:bidi="ar"/>
              </w:rPr>
              <w:br w:type="textWrapping"/>
            </w:r>
            <w:r>
              <w:rPr>
                <w:rStyle w:val="87"/>
                <w:lang w:val="en-US" w:eastAsia="zh-CN" w:bidi="ar"/>
              </w:rPr>
              <w:t>最大实况流路数:35路</w:t>
            </w:r>
            <w:r>
              <w:rPr>
                <w:rStyle w:val="87"/>
                <w:lang w:val="en-US" w:eastAsia="zh-CN" w:bidi="ar"/>
              </w:rPr>
              <w:br w:type="textWrapping"/>
            </w:r>
            <w:r>
              <w:rPr>
                <w:rStyle w:val="87"/>
                <w:lang w:val="en-US" w:eastAsia="zh-CN" w:bidi="ar"/>
              </w:rPr>
              <w:t>测光模式:中央权重、区域测光、点测光、人脸测光</w:t>
            </w:r>
            <w:r>
              <w:rPr>
                <w:rStyle w:val="87"/>
                <w:lang w:val="en-US" w:eastAsia="zh-CN" w:bidi="ar"/>
              </w:rPr>
              <w:br w:type="textWrapping"/>
            </w:r>
            <w:r>
              <w:rPr>
                <w:rStyle w:val="87"/>
                <w:lang w:val="en-US" w:eastAsia="zh-CN" w:bidi="ar"/>
              </w:rPr>
              <w:t>音频编码格式:G.711A、G.711U、AAC</w:t>
            </w:r>
            <w:r>
              <w:rPr>
                <w:rStyle w:val="87"/>
                <w:lang w:val="en-US" w:eastAsia="zh-CN" w:bidi="ar"/>
              </w:rPr>
              <w:br w:type="textWrapping"/>
            </w:r>
            <w:r>
              <w:rPr>
                <w:rStyle w:val="87"/>
                <w:lang w:val="en-US" w:eastAsia="zh-CN" w:bidi="ar"/>
              </w:rPr>
              <w:t>Mic:1个</w:t>
            </w:r>
            <w:r>
              <w:rPr>
                <w:rStyle w:val="87"/>
                <w:lang w:val="en-US" w:eastAsia="zh-CN" w:bidi="ar"/>
              </w:rPr>
              <w:br w:type="textWrapping"/>
            </w:r>
            <w:r>
              <w:rPr>
                <w:rStyle w:val="87"/>
                <w:lang w:val="en-US" w:eastAsia="zh-CN" w:bidi="ar"/>
              </w:rPr>
              <w:t>运动检测:支持</w:t>
            </w:r>
            <w:r>
              <w:rPr>
                <w:rStyle w:val="87"/>
                <w:lang w:val="en-US" w:eastAsia="zh-CN" w:bidi="ar"/>
              </w:rPr>
              <w:br w:type="textWrapping"/>
            </w:r>
            <w:r>
              <w:rPr>
                <w:rStyle w:val="87"/>
                <w:lang w:val="en-US" w:eastAsia="zh-CN" w:bidi="ar"/>
              </w:rPr>
              <w:t>周界布防:越界检测、区域入侵、进入区域、离开区域（机非人）</w:t>
            </w:r>
            <w:r>
              <w:rPr>
                <w:rStyle w:val="87"/>
                <w:lang w:val="en-US" w:eastAsia="zh-CN" w:bidi="ar"/>
              </w:rPr>
              <w:br w:type="textWrapping"/>
            </w:r>
            <w:r>
              <w:rPr>
                <w:rStyle w:val="87"/>
                <w:lang w:val="en-US" w:eastAsia="zh-CN" w:bidi="ar"/>
              </w:rPr>
              <w:t>人脸检测:支持</w:t>
            </w:r>
            <w:r>
              <w:rPr>
                <w:rStyle w:val="87"/>
                <w:lang w:val="en-US" w:eastAsia="zh-CN" w:bidi="ar"/>
              </w:rPr>
              <w:br w:type="textWrapping"/>
            </w:r>
            <w:r>
              <w:rPr>
                <w:rStyle w:val="87"/>
                <w:lang w:val="en-US" w:eastAsia="zh-CN" w:bidi="ar"/>
              </w:rPr>
              <w:t>人数统计:人流量统计，人员密度检测</w:t>
            </w:r>
            <w:r>
              <w:rPr>
                <w:rStyle w:val="87"/>
                <w:lang w:val="en-US" w:eastAsia="zh-CN" w:bidi="ar"/>
              </w:rPr>
              <w:br w:type="textWrapping"/>
            </w:r>
            <w:r>
              <w:rPr>
                <w:rStyle w:val="87"/>
                <w:lang w:val="en-US" w:eastAsia="zh-CN" w:bidi="ar"/>
              </w:rPr>
              <w:t>国标:支持</w:t>
            </w:r>
            <w:r>
              <w:rPr>
                <w:rStyle w:val="87"/>
                <w:lang w:val="en-US" w:eastAsia="zh-CN" w:bidi="ar"/>
              </w:rPr>
              <w:br w:type="textWrapping"/>
            </w:r>
            <w:r>
              <w:rPr>
                <w:rStyle w:val="121"/>
                <w:lang w:val="en-US" w:eastAsia="zh-CN" w:bidi="ar"/>
              </w:rPr>
              <w:t>人脸识别优先抓拍功能检验:可通过IE浏览器开启/关闭人脸识别优先抓拍功能,开启该功能后,当人脸识别结果超过相似度阈值时,可自动进行人脸抓拍，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09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33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1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C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1.名称：防水防雾摄像机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2.规格：400W智能防水、防雾、防油污摄像机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一体化平面防水、防雾、防油污设计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传感器类型：1/2.7"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最大图像尺寸：2688 × 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最低照度：彩色：0.005 Lux @（F1.2，AGC 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黑白：0.001 Lux @（F1.2，AGC ON），0 Lux with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宽动态：120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焦距&amp;视场角：2.8 mm，水平视场角：103.6°，垂直视场角：57.2°，对角视场角：121.6°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补光灯类型：2颗灯珠，1颗红外、1颗白光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补光距离：最远可达30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防护：IP67</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A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2DF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36FB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82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2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C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1.名称：电梯专用摄像机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最高分辨率:2560*1440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传感器靶面:1/3.0"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光圈:F2.0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变焦方式:定焦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补光模式:红外补光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降噪:2D降噪|3D降噪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视频编码格式:超级265|H.265|H.264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视频流:三码流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OSD数量:最大8行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隐私遮盖:支持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隐私遮盖区域数目:4个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区域增强区域数目:8个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最大实况流路数:6路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音频编码格式:G.711A、G.711U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Mic:1个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3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75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347F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7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E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网络系统及设备联调</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B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称：无线网桥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 号：无线传输距离：≥500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工作温度：-30℃~70℃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安全：智能识别终端，终端准入管控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可靠：智能频谱管理，无线抗干扰，故障可自愈</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F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9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780C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9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0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5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1.名称：AR全景摄像机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2.规格：≥2400万球型鹰眼，全景采用≥6个F1.0大光圈全彩镜头拼接而成，可输出大场景拼接画面；≥40倍光学变倍，16倍数字变倍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水平360°连续旋转，垂直-15°~90°（自动翻转）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采用高效红外阵列，低功耗，照射距离最远可达250m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支持区域入侵、越界、进入区域、离开区域事件侦测功能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支持点击联动功能，通过在客户端点击或者框选全景摄像机画面任意位置，细节跟踪摄像机可自动通过云台调整与变焦，将该区域置于画面中心。</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5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50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D6D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1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0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82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1.名称：AR云景业务系统（含2路授权及模块）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以高点视频为基础、增强现实技术（AR）为核心、实景地图引擎为支柱，结合前端物联感知设备和业务系统数据，将高点视频范围内的物、事等细节信息以点、线、面的标签形式叠加到实时视频中联动，为用户掌握宏观态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1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BE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9B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A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43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枪机支架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2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使用环境:室内、室外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使用范围:筒机壁装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调节范围:水平：360°，垂直：90°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2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8EC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r>
      <w:tr w14:paraId="1860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6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8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球机支架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C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使用环境:室内、室外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使用范围:适用于4寸、6寸球，与球机角装、柱装支架均能组合应用，支持侧出线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D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04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6191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9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E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A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4m监控立杆，含基础。立杆材质为国际保准低硅碳高强度Q235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D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7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4AC7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3A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C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0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1.名称：72盘位磁盘阵列8U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2.规格：处理器:Intel 64位多核处理器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内存:4GB，最大可定制16GB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网络接口:3个千兆以太网接口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PCI-E插槽:1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串口:1个RS232 RJ45接口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VGA接口:1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磁盘类型:SATA/SSD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磁盘通道数:72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RAID功能:支持JBOD、RAID 0、1、5、6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支持自动空白盘全局热备、专有热备等多种热备方式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协议支持:iSCSI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有多个系统镜像，当主用系统出现故障时，备用系统可接替主用系统工作，且支持通过任一备用系统对原主用系统进行修复；设备支持版本回退功能，在当前版本出现故障或操作失误后，可进行回退到历史版本，回退后录像正常回放，且历史录像完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B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6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7F6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F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56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61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监控硬盘6T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接口类型:SATA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硬盘类型:监控级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盘位数:48盘位（单控、双盘）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转速:5400RPM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缓存:不低于64MB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2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9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3656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8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B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2F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1.名称：49寸液晶显示屏，含支架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2.规格：面板尺寸（inches）:49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拼缝（mm）:3.5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色彩数:16.7M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亮度（cd/m²）:500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对比度:4000:1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响应时间（ms）:8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视角（H/V）:178°/178°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视频输入:1个DVI、2个HDMI、1个VGA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视频环出:1个HDMI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其它接口:1个USB、1个输入RS-232、1个输出RS-232、1个红外接口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28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2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75F1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2A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0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49寸液晶显示屏底座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E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尺寸规格根据现场情况定制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5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DD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52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3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9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6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49寸液晶显示屏支架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3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4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2F5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6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94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7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1.名称：人脸识别服务器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2.规格：视频解码格式:支持超级265（高级模式、基础模式）、H.265、H.264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本地人机解码能力:2 x 12MP@30, 4 x 4K@30, 8 x 4MP@30, 9 x 4MP@25, 16 x 1080P@30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接入带宽:384Mbps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转发带宽:384Mbps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RCA音频输入:1路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输出口说明:支持2个HDMI、1个VGA，HDMI1、HDMI2、VGA异源输出，HDMI1、HDMI2支持4K显示输出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RCA音频输出:1路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端智能:人脸检测;人脸比对;车辆检测;深度周界（区域入侵、越界检测、进入区域、离开区域）;入梯检测;高空抛物;双目拼接;枪球联动;热成像（烟火检测、火点检测、温度检测、吸烟检测）;人数统计（人流量统计、人员密度统计）;智能运动检测;混行检测;道路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后端智能:人脸比对;深度周界;（后端智能为互斥关系，不可共存）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前端智能路数:总共16路（人脸检测、人脸比对、车辆检测、深度周界、热成像、智能运动检测、混行检测、道路监控）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图片流人脸比对:16路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视频流人脸比对:8路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人脸库、库容:128个人脸库，30万张人脸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以图搜图:支持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车牌库、库容:5个车牌库,25000张车牌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后端深度周界:8路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盘位:8盘位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硬盘容量:每个接口均支持500GB/1TB/2TB/3TB/4TB/5TB/6TB/8TB/10TB/12TB等容量硬盘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阵列模式:RAID 0, 1, 5, 6,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USB:2个USB2.0;1个USB3.0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报警输入:16路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eSATA:1个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N+1热备:支持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前端鱼眼矫正接入:支持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后端鱼眼矫正（人机）:支持（4*4MP或2*5MP或2*4K鱼眼）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下行ONVIF:支持（仅Profile 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上行ONVIF:不支持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国标接入:支持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视图库接入（上行）:支持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E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28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48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0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BB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5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2.规格：屏幕尺寸:4英寸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摇杆:四维摇杆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串口:1个RS232串口（DB9，预留）、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2个RS485串口（半双工，预留）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Console接口:1个RJ45接口（Console/RS485复用）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USB接口:2个USB接口（预留）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网络接口:1个RJ45接口，支持10M/100M/1000M Base-T自适应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复位按键:1个RST按键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整机功耗（W）:＜5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C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BA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81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1B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9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HDMI视频线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8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HDMI电缆,单通道,24AWG,15m,黑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5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65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7465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18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0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视频传输设备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98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1.名称：12路高清解码器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2.规格：输入路数:4路HDMI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入分辨率:4K接口：3840*2160（4K）@30Hz、1920*1080（1080P）@60Hz、1920*1080（1080P）@50Hz、1920*1080（1080P）@30Hz、1600*1200（UXGA）@60Hz、1440*900（WXGA）@60Hz、1280*1024（SXGA）@60Hz、1280*720（720P）@60Hz、1280*720（720P）@50Hz、1024*768（XGA）@60Hz（4K输入口：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1080P接口：1920*1080（1080P）@60Hz、1920*1080（1080P）@50Hz、1920*1080（1080P）@30Hz、1600*1200（UXGA）@60Hz、1440*900（WXGA）@60Hz、1280*1024（SXGA）@60Hz、1280*720（720P）@60Hz、1280*720（720P）@50Hz、1024*768（XGA）@60Hz（1080P输入口：3、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输出路数:12路HDMI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出分辨率:4K接口：3840*2160（4K）@30Hz、1920*1200（WUXGA）@60Hz、1920*1080（1080P）@60Hz、1600*1200（UXGA）@60Hz、1440*900（WXGA+）@60Hz、1280*1024（SXGA）@60Hz、1280*720（720P）@60Hz、1024*768（XGA）@60Hz（4K输出口：1、2、4、5、7、8、10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1080P接口：1920*1200（WUXGA）@60Hz、1920*1080（1080P）@60Hz、1600*1200（UXGA）@60Hz、1440*900（WXGA+）@60Hz、1280*1024（SXGA）@60Hz、1280*720（720P）@60Hz、1024*768（XGA）@60Hz（1080P输出口：3、6、9、12）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解码能力:16*1200W@20Hz、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16*4K@30Hz、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64*1080P@30Hz、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144*720P@30Hz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音频输入:1路凤凰端子音频输入（预留）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1路3.5mm音频输入（预留）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音频输出:1路凤凰端子音频输出（预留）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1路3.5mm音频输出，左右双声道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告警输入:4路凤凰端子告警输入（预留）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告警输出:4路凤凰端子告警输出（预留）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串口:2个（1个RJ45 RS232，另一个RJ45 RS232 Console和RS485合用）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网络接口:2个GE网口，RJ45接口，半双工/全双工以太网，支持10M/100M/1000M Base-T自适应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USB接口:2个USB3.0接口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整机功耗（W）:50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D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AB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8C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0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17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0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1.名称：视频管理平台服务器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2.规格：本域摄像机数:3000（自带1500路授权）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可管理摄像机总数:10000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最大用户数:300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同时在线用户数:在线用户最大100，并发控制最大20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最大可管理的MS数量:16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最大可管理的DM数量:16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最大可管理的TS数量:16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最大可管理的IPSAN数量:64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最大可管理报警设备数:800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最大支持上级域数量:2个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单个电视墙资源最大可管理监视器数目:256个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最大支持下级域数量:126个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最大支持门口机数量:128个（包含人脸终端数量）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最大支持室内机数量:1500个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最大支持管理机数量:4个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操作系统:CentOS7.3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内存:32G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硬盘:4T SATA *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网口:GE*2（业务口）+GE*1(管理网口)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建议客户端浏览器:支持Chrome，推荐使用Chrome 100版本及以后版本</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F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45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42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73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C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1.名称：流媒体服务器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2.规格：4208×1/16GB DDR4/1T SATA×2(RAID_1)/SAS_HBA/1GbE×2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2U双路标准机架式服务器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CPU：≥1颗intel至强系列处理器，核数≥8核，主频≥2.1GHz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内存：≥16G*1 DDR4，16根内存插槽，最大支持扩展至2TB内存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硬盘：≥2块1T 7.2K 3.5寸 SATA硬盘</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1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DD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54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6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6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管理电脑</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6F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"(酷睿14代i5-14400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≥16GB DDR4 3200MHz内存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显卡：英特尔®超核芯显卡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≥1T机械硬盘+512G固态硬盘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≥23英寸显示器，分辨率:≥1920*1080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配置键鼠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6B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D9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519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F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2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01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称：UPS插座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1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67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r w14:paraId="5B01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9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F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0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称：防雷器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E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82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E43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BC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A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D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3.规格：WDZB1-RYY2*1.5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5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EB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1078.00</w:t>
            </w:r>
          </w:p>
        </w:tc>
      </w:tr>
      <w:tr w14:paraId="7AA4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9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A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监控安装辅材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4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含水晶头、接线端子、电源变压器等安装附件，包含本项目本系统完整安装、调试、运行的所有辅材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7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AF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F3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E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8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0F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F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3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81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5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2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安全防范全系统调试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F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安全防范全系统调试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1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D1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18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8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F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安全防范系统工程试运行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5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安全防范系统工程试运行</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4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BB1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4C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30C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44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CE24">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B8EAB">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6F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301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E31B">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9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A02F">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1DCB">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D51B">
            <w:pPr>
              <w:jc w:val="right"/>
              <w:rPr>
                <w:rFonts w:hint="eastAsia" w:ascii="宋体" w:hAnsi="宋体" w:eastAsia="宋体" w:cs="宋体"/>
                <w:i w:val="0"/>
                <w:iCs w:val="0"/>
                <w:color w:val="000000"/>
                <w:sz w:val="18"/>
                <w:szCs w:val="18"/>
                <w:u w:val="none"/>
              </w:rPr>
            </w:pPr>
          </w:p>
        </w:tc>
      </w:tr>
      <w:tr w14:paraId="5306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5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5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A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紧急报警按钮:支持常开/常闭的触点模式，一键紧急报警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支持86盒安装方式，螺丝固定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支持电压≤250VDC，电流≤300mA的环境下工作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设备无需供电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自带配套复位钥匙，出警确认警情，通过钥匙复位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性能稳定，经久耐用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9C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5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CB3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0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D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入侵探测设备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2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吸顶双鉴探测器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微波探测器。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进口高精低噪传感器。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温度补偿功能，减少温度影响。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灵敏度可调，适应不同环境。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报警输出常开/常闭可调。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防拆功能。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4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6D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14:paraId="7FFA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8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6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入侵探测设备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4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壁挂双鉴探测器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微波探测器。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进口高精低噪传感器。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温度补偿功能，减少温度影响。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灵敏度可调，适应不同环境。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报警输出常开/常闭可调。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防拆功能。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B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25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0E6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1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8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F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声光报警器:声光报警一体式报警；ABS材质；报警联动配件；额定电压：12VDC；工作电压范围：9~15VDC；额定电流：≤140mA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安装环境：室内安装；闪动次数/分钟：300±30次；声压：108±3dB（30cm处）</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1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3F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68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6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40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F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双防区模块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总线网络报警主机双防区扩展模块/2个扩展防区数/124最大级联数/1.0mA静态电流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A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E4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71E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C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2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E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四防区模块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总线网络报警主机四防区扩展模块/4个扩展防区数/31最大级联数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F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EF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F7C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58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0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8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八防区模块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总线网络报警主机八防区扩展模块/8个扩展防区数/31最大级联数/2.7mA</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C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5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84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3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E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2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报警主机：8个分区子系统;每个分区子系统2个自动布撤防工作表，共32个自动布撤防时间工作表，自动布撤防时间可以设置工作时间最大优化自动布撤防时间功能。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128个时间驱动表,每组时间驱动表可最多设置执行多个事件(防区布防/撤防，防区旁路/恢复),可以做到无人值守。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15组密码，15级密码限制，可以实现按系统、子系统、设备、防区独立控制，满足各种控制要求。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多种可编程智能联动，实现电子地图，DVR报警输入,本地报警等功能,每个防区最多支持9个联动输出，支持报警联动，布撤防联动，异常联动等。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E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9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87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6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1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D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报警总线驱动器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分线式主机八防区拓展模块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通过RS485协议与分线报警主机通信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扩展8个有线防区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防区支持防拆报警和防区报警的功能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1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76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4E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0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77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报警软件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3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6C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84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2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A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0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格：WDZB1-RYY2*1.0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8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A6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247.00</w:t>
            </w:r>
          </w:p>
        </w:tc>
      </w:tr>
      <w:tr w14:paraId="539D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80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EB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4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格：WDZB1-RYY4*1.0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1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52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1245.00</w:t>
            </w:r>
          </w:p>
        </w:tc>
      </w:tr>
      <w:tr w14:paraId="1FB7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30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9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7B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格：WDZB1-RYYP4*1.5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E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5C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695.00</w:t>
            </w:r>
          </w:p>
        </w:tc>
      </w:tr>
      <w:tr w14:paraId="092B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1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7C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入侵报警系统安装辅材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6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接线端子、电源变压器等包含本项目本系统完整安装、调试、运行的所有辅材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5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EA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82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85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9E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CA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入侵报警系统调试，点数详见图纸</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A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EB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FA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F2832">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70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无线对讲系统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22B6E">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7574">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A8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40E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77A0">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6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无线对讲系统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3386">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A4C3">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83D2">
            <w:pPr>
              <w:jc w:val="right"/>
              <w:rPr>
                <w:rFonts w:hint="eastAsia" w:ascii="宋体" w:hAnsi="宋体" w:eastAsia="宋体" w:cs="宋体"/>
                <w:i w:val="0"/>
                <w:iCs w:val="0"/>
                <w:color w:val="000000"/>
                <w:sz w:val="18"/>
                <w:szCs w:val="18"/>
                <w:u w:val="none"/>
              </w:rPr>
            </w:pPr>
          </w:p>
        </w:tc>
      </w:tr>
      <w:tr w14:paraId="284C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9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69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无线对讲机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98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支持语音+定位集群对讲终端；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网络：4G全网通，配置4G卡及相关费用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系统：安卓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无线通讯：蓝牙、WLAN、GPS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电池：≥5200mAh电池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具体功能满足物业公司要求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7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CE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A78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B9F0">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C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电子巡更系统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97369">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BE1D">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B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7CD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1E5A">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2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电子巡更系统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C583">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A787">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56CB">
            <w:pPr>
              <w:jc w:val="right"/>
              <w:rPr>
                <w:rFonts w:hint="eastAsia" w:ascii="宋体" w:hAnsi="宋体" w:eastAsia="宋体" w:cs="宋体"/>
                <w:i w:val="0"/>
                <w:iCs w:val="0"/>
                <w:color w:val="000000"/>
                <w:sz w:val="18"/>
                <w:szCs w:val="18"/>
                <w:u w:val="none"/>
              </w:rPr>
            </w:pPr>
          </w:p>
        </w:tc>
      </w:tr>
      <w:tr w14:paraId="00AB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8F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A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巡更手机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9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硬盘容量≥64G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屏幕显示≥5寸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电池容量≥2000mAh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9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CE7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10C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4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E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巡更码</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0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自行打印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4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7A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r>
      <w:tr w14:paraId="1B17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C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E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2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1.名称：巡更软件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实时上传巡逻记录，及时准确；事件记录：拍照/录像/文字描述实时上传；实时查看巡检进度和日程巡检的同时可查看自己漏巡的内容，支持重新巡检，避免漏掉某些重要位置；巡检日历，巡逻人员可查询自己的巡查记录，确保考核准确性；实时显示合格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9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85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67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A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6C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C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云服务器：windows service 2008r2以上操作系统 8核CPU 16G内存 512G以上硬盘空间。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57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9C6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F2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A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7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B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称：打印机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C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55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25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3BDB">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86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1D4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E749F">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BD69">
            <w:pPr>
              <w:jc w:val="right"/>
              <w:rPr>
                <w:rFonts w:hint="eastAsia" w:ascii="宋体" w:hAnsi="宋体" w:eastAsia="宋体" w:cs="宋体"/>
                <w:i w:val="0"/>
                <w:iCs w:val="0"/>
                <w:color w:val="000000"/>
                <w:sz w:val="18"/>
                <w:szCs w:val="18"/>
                <w:u w:val="none"/>
              </w:rPr>
            </w:pPr>
          </w:p>
        </w:tc>
      </w:tr>
      <w:tr w14:paraId="7D16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D69E">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6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停车管理系统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84CB">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1C61">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AE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BC9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C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9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6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1.名称:自动档车器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2.规格:直流变频功能：抬杆和落杆速度可以独立调节，可以实现高速抬杆，快速通行；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全向道闸：不区分左右向，场景适应性强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行星齿轮：传动效率高，性能稳定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快速开闸，最快可达0.6/0.9/1.5S（2/3/4米）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支持遇阻反弹，开优先保护功能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免学习、按键微调限位位置，调试简单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事件日志记录、方便操作追踪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支持红外，地感，雷达等多种防砸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手动开闸功能：停电情况下可使用辅助工具使道闸保持打开状态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开/关到位输出接口：各1组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485控制接口：1组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开/关/停控制信号接口：各1组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红外/地感防砸信号接口：1组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保护接口（外接压力电波等保护设备）：1组</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3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F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B53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5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84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2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1.名称:触发雷达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2.规格:成像器件:1/2.9 inch 200万像素CMOS图像传感器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镜头类型:定焦镜头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焦距:0.98mm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光圈大小:F2.1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EMMC:16GB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纵向宽度:默认2.6m，1-6m内可配置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人车区分:支持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大小车兼容检测:支持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开关量输出:1路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横向宽度:默认±1m，横向±1.5m可配置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RS485:1路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音频接口:支持MIC，采集随路音频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在线调试、升级:蓝牙、网口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雷达日志:默认开启：记录雷达检测状态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工作频率:79GHz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B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31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31E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3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A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0D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1.名称:出入口补光抓拍一体机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2.规格:成像器件:1/1.8 inch 400万像素CMOS图像传感器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镜头类型:F1.6光圈，电动变焦镜头，焦距范围：2.8mm~12mm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屏尺寸:304mm×304mm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屏显颜色:红绿双色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显示字数:四行四字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音频:支持万能语音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补光控制:光敏自动开启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智能:车牌识别、车型识别、车标识别、车款识别、车身颜色、车牌颜色识别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车辆检测方式:默认视频触发，支持地感线圈、雷达触发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扩展存储:支持microSD卡，最大支持128GB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网口:双网口，支持手拉手串联</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B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43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899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E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5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A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1.名称:出入口补光抓拍一体机立杆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2.规格:立柱高度：1.3米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立柱直径：60mm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1.3米处可安装一体机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0.5米处可安装“四行LED显示屏”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80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FB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C94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0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A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B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1.名称:出入口LED显示屏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2.规格:双基色显示，可以显示红色、绿色、黄色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分辨率64*64，支持最小16点阵显示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支持自定义语音报备，比如车牌信息、广告宣传信息、余位信息等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可显示数字、字符、图形（BMP格式）、汉字，支持GB2312字符集，支持16x16点阵、32x32点阵常用汉字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室外使用，防护等级IP54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内置语音模块，可通过网线控制语音输出支持自定义语音播报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显示分辨率：64*64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显示亮度：1200cd/m2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屏幕类型：LED</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D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B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7B9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24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8C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8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1.名称:出入口控制终端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2.规格:双千兆网卡，支持网络容错以及双网络IP设定、双网隔离等应用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5个千兆自适应RJ45网口具备交换机功能，可接入多路网络设备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2个标准全功能RS232接口，可直接接入标准RS232接口设备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标配128G SSD，应对恶略运行环境，适应性更强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支持大容量图片存储，可选配一块3.5寸机械硬盘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3.5mm标准音频孔设计，便于接入标准接口音频设备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HDMI显示器输出支持，较好的兼容外部显示设备接入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存储功能：128G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操作系统：WIN0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音频输出：3.5MM标准输出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报警输出：4路报警输出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报警输入：4路报警输入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音频输入：3.5MM标准输入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0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8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ACD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7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2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4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称：软硬件一体化平台软件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格：管理平台（软硬一体化）；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4110(8核2.1GHz)×1/16GB DDR4/1TB SATA×2/SAS_HBA/1GbE×2/Win Svr 2016 简中标版/550W(1+1)/2U/16DIMM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6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41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A4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FB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安全岛</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E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1.水泥岛 高15 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5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6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DB7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B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7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3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称：防雷器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9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C2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2BC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BC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A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停车管理系统安装辅材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D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满足系统完整安装、调试、运行的所有管线及辅材等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D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C8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AF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E353">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B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车位引导系统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DB25">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EA7C">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1D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718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A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A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5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1.名称：三车位车位相机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2.规格：高清300万像素相机,相机适用于地下停车场等低照度场景；自带7色LED状态指示灯。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0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D1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r>
      <w:tr w14:paraId="0834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AC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D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4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1.名称：单、双车位车位相机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2.规格：高清130万像素相机,相机适用于地下停车场等低照度场景；自带7色LED状态指示灯。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8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5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r>
      <w:tr w14:paraId="155A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F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0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9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1.名称：室内LED双向引导屏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2.规格：室内双向引导屏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功耗：最大60W，平均40W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屏体尺寸（含边框）：1132×322×65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显示屏边框：黑色铝合金边框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字符显示：支持数字箭头，可变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显示颜色：红色箭头、绿色数字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通讯方式：RS485/RJ45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显示数字：可显示2个箭头和6个数字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使用环境：温度-20℃～50℃、湿度&lt;95%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功能描述：双向，带灯箱，吊装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9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368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14:paraId="1C93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D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4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4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1.名称：室外引导屏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2.规格：二模组】【停车入口信息屏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工作电源：220VAC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下行通讯方式：RS485、RS232、RJ45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可带模块数：视灯箱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通讯速率：57600波特率/网络通信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最大通讯距离：（串口1200米）/（网络120m，延长需使用辅助设备）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模组像素组成：1R1G双色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1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78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1F4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C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B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A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1.名称：车位诱导管理器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2.规格：前端识别相机：最多支持接入24路双镜头摄像机或48路单镜头摄像机（带蓝牙信标）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报警输入：3路报警输入(1个开关量，2个电平量)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报警输出：3路报警输出(1个开关量，2个电平量)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RS485接口：2个RS485接口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USB接口：1个USB2.0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网络接口：16个内部100M以太网接口，其中8个支持手拉手POE口，4个外部10/100/1000M自适应以太网接口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光口：1个外接光口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数据存储：支持存储车位相机的抓拍图片及录像，最大支持6个硬盘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数据上传：支持数据上传到中心平台，支持视频流转发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电源：AC220V，标准市电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功率：&lt;500瓦(含POE电源)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A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5F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70AA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82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8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1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1.名称:车位引导系统软件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2.规格:以电子地图为载体，融合各系统能力实现丰富的智能应用。该平台适用于全行业通用综合安防业务，对各系统资源进行了整合和集中管理，实现统一部署、统一配置、统一管理和统一调度。</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C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CE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D4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B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B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21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2.规格：处理器：八核16线程 2.2GHz 及以上内存：32GB DDR4 及以上硬盘：600G以上，推荐SAS或SSD硬盘网卡：Intel或RealTek的1000Mbps及以上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操作系统 CentOS-7.6-hik-r5 CentOS-7.4-hik-r4CentOS-7-x86_64-1810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客户端 硬件配置（推荐） 处理器：i3-7100及以上内存：8GB DDR4 及以上硬盘：500G以上可用空间显卡：Intel HD Graphics 630 及以上网卡：Intel或RealTek的100Mbps及以上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操作系统 Windows 7 SP1 家庭/专业版（32/64位）Windows 10 专业版（32/64位）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浏览器 IE 11 及以上版本Chrome 63.0.3239.108 及以上版本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手机 操作系统 Android 5.0 及以上iOS 10 及以上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E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68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F4C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6C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F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小电器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3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1.电器名称：24V10A电源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1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ED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65EB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9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D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C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2.规格：WDZB1-RYY2x1.5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9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A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7359.00</w:t>
            </w:r>
          </w:p>
        </w:tc>
      </w:tr>
      <w:tr w14:paraId="03BD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18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267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2.规格：WDZB1-RYY3x1.5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6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31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1537.00</w:t>
            </w:r>
          </w:p>
        </w:tc>
      </w:tr>
      <w:tr w14:paraId="6AC9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6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1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车位引导系统辅材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5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包含本项目本系统完整安装、调试、运行的所有辅材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0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C7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B7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76A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24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坡道提醒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3CA8">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1C5F">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D64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DB2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B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4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1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1.名称：主控制器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2.规格：1）从设备集中管理：要求支持超声波检测终、室内外引导屏等。满足同一软件系统下的不断改造升级。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2）多用记集中管理：管理人员、保安队长、各楼层管理员、运维人员等多种解色均可在同一软件上配置不同权限账号，区分管理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3）统一监控：超声波、室内\户外引导屏、剩余车位显示屏等设备的连接状态、运行状态、事件记录、操作日志等均可在系统上进行监控、查询；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4）远程运维：可在系统端对设备进行添加、修改、区域属性关联，参数设置、时钟设置、升级、重启、数据库清理、数据备份等操作。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8D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72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B23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F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1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7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1.名称：报警灯控制器(含电源)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2.规格：通讯距离：安全通讯距离50米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电源：220V，通信接口：TCP/IP</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C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ED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AE3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2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3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4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1.名称：超声波车位探测器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2.规格：一体化超声波车位检测器，安装更方便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平均无故障时间 5000小时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指示灯跳变延时 3s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车位指示灯：三基色，支持软件进行配色，状态显示灯：支持红、绿、闪烁、灭灯四种状态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检测距离：0.2m~3.5m 检测误差 0.3m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 电源接口：12~24V   通信接口：1路RS485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5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7D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91F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1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67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B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1.名称：灯控器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2.规格：通讯距离：安全通讯距离50米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电源：220V，通信接口：TCP/IP</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7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4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5B3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8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B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9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1.名称：LED车辆进出提醒灯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2.规格：4代外接指示灯，支持7种颜色。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7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B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3CA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0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5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A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1.名称：双基色屏（内置分布式接收控制器）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2.规格：双基色屏，水平视角±70°，使用寿命≥10万小时，支持异步控制、同步控制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7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2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F69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4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3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B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坡道提醒客户端软件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8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B2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23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12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5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4C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称：网络扩展器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A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57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EC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C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2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E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3.规格：WDZB1-RYYP2*1.0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D3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9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1850.00</w:t>
            </w:r>
          </w:p>
        </w:tc>
      </w:tr>
      <w:tr w14:paraId="21CE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D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3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0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3.规格：WDZB1-RYYP4*1.0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9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2D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14:paraId="1FC2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88E4">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4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智能一卡通系统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8EE7">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96F8">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0BFC">
            <w:pPr>
              <w:jc w:val="right"/>
              <w:rPr>
                <w:rFonts w:hint="eastAsia" w:ascii="宋体" w:hAnsi="宋体" w:eastAsia="宋体" w:cs="宋体"/>
                <w:i w:val="0"/>
                <w:iCs w:val="0"/>
                <w:color w:val="000000"/>
                <w:sz w:val="18"/>
                <w:szCs w:val="18"/>
                <w:u w:val="none"/>
              </w:rPr>
            </w:pPr>
          </w:p>
        </w:tc>
      </w:tr>
      <w:tr w14:paraId="18F3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B33B">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8C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门禁管理系统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86B0">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0EAE">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48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95C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2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E0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网络四门门禁控制器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5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处理器：32位处理器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管控门数：4门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通讯方式：上行TCP/IP、RS485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读卡器接口：RS485和Wiegand双通讯接口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存储容量：10万张卡和30万记录存储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工作电压：自带机箱和供电电源（AC220V输入），工作电压DC 12V，功耗≤4W（不带负载）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B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8A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254C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9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A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出门按钮</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D5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结构：塑料面板；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性能：最大耐电流1.25A，电压250V；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输出：常开；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类型：适合埋入式电器盒使用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0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D3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r>
      <w:tr w14:paraId="1A37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B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2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单门磁力锁(含支架）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B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最大静态直线拉力：280kg(600Lbs) ± 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断电开锁，满足消防要求；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具有电锁状态指示灯（红灯为开锁状态， 绿灯为上锁状态）；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支持锁状态侦测信号(门磁)输出：NO/NC/COM接点；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工作电压：12V/420mA 或 24V/210mA；</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5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07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224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1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C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双门磁力锁(含支架）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2D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最大静态直线拉力：280kg(600Lbs) ± 15%*2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断电开锁，满足消防要求；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具有电锁状态指示灯（红灯为开锁状态， 绿灯为上锁状态）；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支持锁状态侦测信号(门磁)输出：NO/NC/COM接点；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工作电压：12V/420mA 或 24V/210mA；</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A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E8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r>
      <w:tr w14:paraId="786C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59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7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人脸识别门禁读卡器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3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7英寸LCD触摸显示屏，200万像素双目摄像头，面部识别距离0.2-3m，支持照片视频防假；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支持50000张人脸白名单，1：N人脸比对时间＜0.2S/人，支持50000张卡片，100000条记录；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认证方式：支持人脸、刷卡、密码（超级密码）及其组合的认证方式；可读取Mifare卡（IC卡）、CPU卡序列号/内容、身份证序列号；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通讯方式：上行通讯为TCP/IP；支持外接RS485，Wiegand副读卡器（不支持外接指纹读卡器）；基线支持标准韦根34/26；</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B8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13F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r>
      <w:tr w14:paraId="0A4B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C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C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人脸一体机嵌入式安装底盒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2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专为人脸识别一体机定制的嵌入式安装底盒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使用环境：室内室外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安装方式：嵌墙安装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材质：钣金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5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D6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r>
      <w:tr w14:paraId="12F8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A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9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人脸录入设备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5C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200万USB摄像机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内置麦克风，拾音清晰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支持自动电子增益功能，亮度自适应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支持标准USB 2.0接口，免驱设计，即插即用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支持Type-A接口，标准USB2.0协议，免驱设计，即插即用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可实现人脸抓拍等智能功能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 2 MP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 1920 (水平) × 1080 (垂直)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视频帧率:MJPG：1920 × 1080 @ 30 fps/25 fps； YUV：1920 × 1080 @ 5 fps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E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8F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18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D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A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B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支持发卡类型：ID卡、Mifare卡、身份证物料卡号（序列号）、普通CPU卡、国密CPU卡；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USB2.0接口；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具有2个Sim卡尺寸的PSAM卡座；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 5V；</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D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1C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D1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8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63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IC卡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77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卡片类型：IC卡(国产芯片)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符合标准：ISO14443 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卡片容量：1K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工作频率：13.56MHz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67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D4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2078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D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C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门禁管理软件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4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门禁管理，消费管理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F6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5C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4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4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06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2.规格：WDZB1-RYY2*1.0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3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D0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13996.00</w:t>
            </w:r>
          </w:p>
        </w:tc>
      </w:tr>
      <w:tr w14:paraId="5BC3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C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A1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2.规格：WDZB1-RYY-4x1.0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B3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72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14171.00</w:t>
            </w:r>
          </w:p>
        </w:tc>
      </w:tr>
      <w:tr w14:paraId="77DA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5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EB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3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2.规格：WDZB1-RYYP-6*0.75 20℃时导体电阻≤26.0Ω/km，70℃时绝缘电阻≥0.011MΩ·km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B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3E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14014.00</w:t>
            </w:r>
          </w:p>
        </w:tc>
      </w:tr>
      <w:tr w14:paraId="7843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1F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76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D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出入口控制系统调试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D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D0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A8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DDE5">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47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访客管理及速通门系统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8B2B4">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102E5">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C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32F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B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05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人员通道（单机芯左边道）</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7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1.设备采用直流无刷伺服电机，通过自研算法有效保障设备稳定可靠运行，最少支持600万次无故障通行；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2.设备可联网运行，支持远程控制管理功能，也可单机离线运行；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3.设备支持人数统计功能，可针对进出方向分别进行统计；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4.设备集成语音模块，可根据用户需求自定义语音播报内容；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5.设备集成门禁主控板，可扩展人脸识别组件、读卡器、二维码、指纹（二维码与指纹二选一）等多种认证方式；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1.经授权人员才能通过，未经授权人员无法通行；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3.设备支持进出方向通行状态（受控、自由通行、禁止通行）的灵活配置；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4.设备支持记忆模式，可实现连续快速通行；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5.设备支持跨主机反潜回功能，有效防止未授权人员尾随进入；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89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4A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5562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A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E8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人员通道（双机芯中间道）</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8C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1.设备采用直流无刷伺服电机，通过自研算法有效保障设备稳定可靠运行，最少支持600万次无故障通行；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2.设备可联网运行，支持远程控制管理功能，也可单机离线运行；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3.设备支持人数统计功能，可针对进出方向分别进行统计；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4.设备集成语音模块，可根据用户需求自定义语音播报内容；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5.设备集成门禁主控板，可扩展人脸识别组件、读卡器、二维码、指纹（二维码与指纹二选一）等多种认证方式；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1.经授权人员才能通过，未经授权人员无法通行；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3.设备支持进出方向通行状态（受控、自由通行、禁止通行）的灵活配置；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4.设备支持记忆模式，可实现连续快速通行；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5.设备支持跨主机反潜回功能，有效防止未授权人员尾随进入；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6.设备支持分时间段（最多支持8个时间段）常开、常闭模式灵活选择；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2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389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1A84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2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D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人员通道（单机芯右边道）</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B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1.设备采用直流无刷伺服电机，通过自研算法有效保障设备稳定可靠运行，最少支持600万次无故障通行；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2.设备可联网运行，支持远程控制管理功能，也可单机离线运行；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3.设备支持人数统计功能，可针对进出方向分别进行统计；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4.设备集成语音模块，可根据用户需求自定义语音播报内容；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5.设备集成门禁主控板，可扩展人脸识别组件、读卡器、二维码、指纹（二维码与指纹二选一）等多种认证方式；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1.经授权人员才能通过，未经授权人员无法通行；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3.设备支持进出方向通行状态（受控、自由通行、禁止通行）的灵活配置；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4.设备支持记忆模式，可实现连续快速通行；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5.设备支持跨主机反潜回功能，有效防止未授权人员尾随进入；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6.设备支持分时间段（最多支持8个时间段）常开、常闭模式灵活选择；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7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3D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4DBD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15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E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人脸识别模块/组件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7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屏幕参数：≥10.1英寸LCD触摸显示屏，屏幕比例9:16，屏幕分辨率≥600*1024；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摄像头参数：采用宽动态200万双目摄像头；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认证方式：支持人脸、密码、二维码（通过摄像头识别）认证方式，可通过 485 接口外接读卡器，也通过 USB 接口外接身份证，实现人证比对功能；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存储容量：本地支持50000张人脸、50000张卡（外接读卡器），100000条事件记录；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硬件接口：LAN*1、RS485*1、韦根*1（双向 26/34）、USB*1、电锁*1、门磁*1、报警输入*2、报警输出*1、开门按钮*1；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通信方式及网络协议：有线网络、WiFi；网络SDK/协议/ISAPI/Ehome4.0/ISUP5.0；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使用环境：IP65，室内外环境（室外使用必须搭配遮阳罩）；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安装方式：配合人员通道安装；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F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73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r>
      <w:tr w14:paraId="1BD0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A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0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读卡器套件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4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支持身份证卡序号和Mifare卡;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支持485、Wiegand协议;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闸机内安装;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读卡频率 13.56MHz;</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0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29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r>
      <w:tr w14:paraId="5FE6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6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9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访客管理软件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5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一、提供访客预约管理应用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1、支持管理员在平台端进行访客预约操作；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2、支持访客自助预约，通过扫描二维码或者通过被访人提供的手机H5网页链接进行预约操作；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3、支持访客邀约，被访人通过手机浏览器进入H5网页发起访客邀约，填写访客基本信息；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4、支持被访人访客预约审核，访客通过H5自助预约的信息，需要经过被访人审核，审核后短信通知访客审核结果；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5、支持访客黑名单识别，黑名单中的访客无法进行预约；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二、提供访客登记管理应用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1、支持人工访客机已预约登记，已预约访客通过二维码、身份证、验证码在人工访客机进行登记；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2、支持人工访客机未预约登记，未预约访客通过刷身份证或手动输入在人工访客机上进行未预约登记；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3、支持自助访客机已预约登记，已预约访客通过二维码、身份证、验证码在自助访客机进行登记；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4、支持自助访客机未预约登记，未预约的访客，由内部员工刷员工卡，授权访客进行自助登记；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5、支持访客登记时进行人证比对；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6、支持访客黑名单识别，黑名单中的访客无法进行登记；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5、支持离线登记，访客客户端断网或者连接服务器失败时，启用离线登记模式进行本地登记，客户端在线后将登记数据回传到平台；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6、支持预约免登记，设置预约免登记后，已预约的访客，预约完成后自动完成登记，无需现场通过访客机再次登记，直接进入拜访；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4C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6B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44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A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4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访客机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0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操作系统：Android；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屏幕参数： ≥15.6寸电容触摸屏；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摄像头参数：采用宽动态≥200万双目摄像头；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存储容量：≥2G内存，≥16G存储；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通信方式：TCP/IP、 Wifi;</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A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58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6BA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51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B1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57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格：NH-RYY2*1.5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F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27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w:t>
            </w:r>
          </w:p>
        </w:tc>
      </w:tr>
      <w:tr w14:paraId="7E81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9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A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A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格：WDZB1-RYY3*2.5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8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6D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w:t>
            </w:r>
          </w:p>
        </w:tc>
      </w:tr>
      <w:tr w14:paraId="35C1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6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18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6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称：WDZB1-RYY3*1.0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4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C9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w:t>
            </w:r>
          </w:p>
        </w:tc>
      </w:tr>
      <w:tr w14:paraId="42EB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8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A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0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称：WDZB1-RYY6*0.5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0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62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w:t>
            </w:r>
          </w:p>
        </w:tc>
      </w:tr>
      <w:tr w14:paraId="6673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79C5">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1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电梯控制系统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33F6B">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3566">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6A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8F0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1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6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F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称：电梯主控制器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格：支持web界面操作，最多控制128层电梯；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支持接入2个Wiegand读卡器或RS485读卡器；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支持2万张卡片管理，5万条事件存储；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具有消防输入接口；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带机箱和供电电源；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工作电压：DC12V，50W（自带电源，AC220V输入）；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E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7E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29CD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0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A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E7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称：梯控联动模块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格：具有16个继电器输出；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需要搭配DS-K2210主机使用，通过RS485与主机通讯；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带机箱和供电电源；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工作电压：DC12V，50W（自带电源，AC220V供电）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9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B6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4458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5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F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出入口控制设备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C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称：梯控联动模块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格：具有 32 个继电器输出；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带机箱和供电电源；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工作电压：DC12V，50W（自带电源， AC220V 供电）；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6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2C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4865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2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A5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出入口目标识别设备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6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称：读卡机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格：读卡频率：13.56MHz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按键方式：无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可识别卡：Mifare卡号、Mifare卡内容、CPU卡号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通讯方式：RS485+Wiegand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 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安装方式：86盒嵌入式安装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9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46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5324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B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7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出入口目标识别设备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79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称：人脸设备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格：1、设备外观：采用7英寸LCD触摸显示屏，200万像素双目摄像头，面部识别距离0.2-3m，支持照片视频防假；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2、设备容量：支持6000张人脸白名单，1：N人脸比对时间≤0.2S/人，1:1人证比对时间≤1S/人，支持6000张卡片，50000条记录；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3、认证方式：支持人证、人脸、刷卡、密码（超级密码）等认证方式；可读取Mifare 卡（IC 卡）卡号、CPU 卡序列号、二三代身份证序列号及内容；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4、通讯方式：上行通讯为TCP/IP；支持外接RS485，Wiegand副读卡器；基线支持标准韦根34/26；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5、视频对讲：支持与云眸、4200客户端、主副室内分机、管理机的视频对讲功能；支持远程视频预览功能，可以通过RTSP协议输出视频码流，编码格式H.264；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6、输入接口：LAN*1、RS485*1、wiegand * 1、USB*1、门磁*1、报警输入*2、防拆*1、开门按钮*1；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D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0F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557B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1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6D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F9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 称：梯控管理软件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 格：旗舰版：512个门禁点，50000人/脸 ，10万卡，50万指纹，支持门禁，考勤，对讲，梯控，访客等。BS 架构可进行分布式管理，局域网多客户端应用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梯控管理，权限分配，参数设定。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7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F2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C5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C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6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小电器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24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1.电器名称：AC220V电源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0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FB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18E3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1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7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0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3.规格：WDZB1-RYY2*1.0 20℃时导体电阻≤7.98Ω/km，70℃时绝缘电阻≥0.009MΩ·km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54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1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w:t>
            </w:r>
          </w:p>
        </w:tc>
      </w:tr>
      <w:tr w14:paraId="199E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0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8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9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3.规格：WDZB1-RYYP2*1.0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2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72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w:t>
            </w:r>
          </w:p>
        </w:tc>
      </w:tr>
      <w:tr w14:paraId="7A4F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DA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BA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4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3.规格：WDZB1-RYYSP4x1.0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3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1F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880.00</w:t>
            </w:r>
          </w:p>
        </w:tc>
      </w:tr>
      <w:tr w14:paraId="4292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0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5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2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1.名称:六类双绞线（B1级以上）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2.规格:1.六类双绞线包括室内、室外、屏蔽、非屏蔽、低烟无卤、阻水等线缆产品。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2.中心十字骨架分线器减少断线或扭结的风险。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3.线对间低延迟失真，重量轻。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4.全面优于标准规定近端串音、传输延迟、延迟偏差以及其他性能参数指标。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3.敷设方式:管内桥架敷设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F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F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r>
      <w:tr w14:paraId="2E48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14C4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7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楼宇自控系统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1CDA">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2D0FB">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A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BC1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82C7">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8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楼宇自控系统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B41E">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58D8">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7B94">
            <w:pPr>
              <w:jc w:val="right"/>
              <w:rPr>
                <w:rFonts w:hint="eastAsia" w:ascii="宋体" w:hAnsi="宋体" w:eastAsia="宋体" w:cs="宋体"/>
                <w:i w:val="0"/>
                <w:iCs w:val="0"/>
                <w:color w:val="000000"/>
                <w:sz w:val="18"/>
                <w:szCs w:val="18"/>
                <w:u w:val="none"/>
              </w:rPr>
            </w:pPr>
          </w:p>
        </w:tc>
      </w:tr>
      <w:tr w14:paraId="230D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8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BE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4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1.名称：节能管理软件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2.规格：1、基于Windows 10操作系统，内置空气质量监控系统组态软件。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2、组态软件采用C/S架构。由操作层、业务层和设备层组成。操作层负责提供用户操作界面；业务层负责系统内部的处理层，包括实时库、历史库、执行脚本、事件告警等等；设备层负责与监控设备之间的通讯。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3、包括所有常用的组态软件功能，如画面组态，动画效果，通讯、设备、变量组态，实时报警，控制，实时曲线，历史曲线、事件查询、数据报表等功能。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大数据分析技术，分析并优化设备的运行状态和能耗。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5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E9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E6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5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1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1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1.名称：管理器箱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2.安装方式：壁挂明装箱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尺寸：≥500mm*400mm*120mm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含箱内元器件、电源及其他辅材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7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4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14:paraId="464D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2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3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D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1.名称：BA网络控制器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2.规格：处理器：≥4核1.4GMHZ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内存：≥512M 高性能内存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系统：LINUX系统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接口：≥1个高性能100M/10M以太网接口,支持AUTO MDI/MDIX，1个RS485接口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供电电压：DC24V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3.安装方式：导轨式安装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B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DE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4109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9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13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2B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DDC控制器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1、控制器需基于BACnet IP通讯协议，须采用双以太网菊花链拓扑结构联网。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2、控制器内置独立以CPU为核心，可扩展液晶显示、按键输入、RS485通讯、电参量采集、AI、DI、DO、AO等输入采样和输出控制电路。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3、控制器I/O数量：6个DI，3个UI,3个DO，1个UO，可通过插针和软件设定支持多种输入、输出形式转换，并可以通过扩展模块对对主模块的IO口进行扩展。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4、控制器具有3路RS-485的输入接口，分别可作为本地操作屏接口、IO口扩展功能、总线型智能传感器的接入等。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器内置不同种类与数量的软件功能模块，具有下述基本功能：比例、比例+积分、比例+积分+微分、开/关、时间加权、顺序、算术、逻辑比较、计数器等，对于复杂控制要求的应用场所，还应提供高级控制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6、控制器内置基于物联网嵌入式操作系统。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7、工作电压：DC24V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8、通讯协议：BACnet IP协议,MODBUS协议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9、通讯形式：2个RJ45接口,3路RS-485接口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3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AA3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14:paraId="45B8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A7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94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1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1.名称：DDC控制箱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2.安装方式：壁挂明装箱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尺寸：≥500mm*400mm*120mm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含箱内元器件、电源及其他辅材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3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4B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14:paraId="2723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5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F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第三方通信设备接口</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2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电梯系统集成接口，配套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0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A6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84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B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3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第三方通信设备接口</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F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变配电系统接口，配套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8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17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1B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4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4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第三方通信设备接口</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2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VRV系统网关预留，配套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2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70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6A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3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F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第三方通信设备接口</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F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泛光集成系统接口，配套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0A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1C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19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9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A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第三方通信设备接口</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3A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板换接口，配套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28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8B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43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0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9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2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液位开关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电缆长度：≥5m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输出信号：开关量触点，提供常开常闭触点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接点负载：24VAC(3A)或220VAC(1A)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适用介质：清水、污水、油类以及中等浓度以下的酸碱液体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0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04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444C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D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2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液位计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2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投入式液位计：量程：3m；24V供电；4-20mA输出；防水导线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7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78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4EA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B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8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9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1.名称：一体化探测器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2.规格：包含PMio、PM2.5、CO2、VOC浓度等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检测量程：-40-60℃，0-100%RH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检测精度：±0.3℃，±3%RH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工作电压：DC24V无极性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信号输出：无极两总线/RS-485/4～20mA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安装方式：86型底盒安装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8C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715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2991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C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F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B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1.名称：CO传感器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2.规格：检测量程：0-100ppm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分辨率：1ppm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工作电压：DC24V无极性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信号输出：无极两总线/4-20ma输出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安装方式：86型底盒安装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A0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1E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340C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7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99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水质监测探测器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3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工作电压：DC24V无极性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信号输出：无极两总线/RS-485/4～20mA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安装方式：86型底盒安装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3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E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1C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6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D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17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3.规格：WDZB1-RYY2*1.0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D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35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36972.00</w:t>
            </w:r>
          </w:p>
        </w:tc>
      </w:tr>
      <w:tr w14:paraId="7222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0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CB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2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3.规格：WDZB1-RYYP2*1.0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8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17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9723.00</w:t>
            </w:r>
          </w:p>
        </w:tc>
      </w:tr>
      <w:tr w14:paraId="0575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F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8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F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3.规格：WDZB1-RYYSP2*1.0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A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5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3537.20</w:t>
            </w:r>
          </w:p>
        </w:tc>
      </w:tr>
      <w:tr w14:paraId="2E0E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4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54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建筑设备监控系统辅材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C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包含本项目本系统完整安装、调试、运行的所有辅材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5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A1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3E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9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6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建筑设备自控化系统调试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45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楼控系统调试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B5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F2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7838">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B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能源管理系统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B317">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C03B">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0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72F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A814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2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能源管理系统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019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392E">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A425">
            <w:pPr>
              <w:jc w:val="right"/>
              <w:rPr>
                <w:rFonts w:hint="eastAsia" w:ascii="宋体" w:hAnsi="宋体" w:eastAsia="宋体" w:cs="宋体"/>
                <w:i w:val="0"/>
                <w:iCs w:val="0"/>
                <w:color w:val="000000"/>
                <w:sz w:val="18"/>
                <w:szCs w:val="18"/>
                <w:u w:val="none"/>
              </w:rPr>
            </w:pPr>
          </w:p>
        </w:tc>
      </w:tr>
      <w:tr w14:paraId="0D1A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58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2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能耗数据管理机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65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内核≥4，主频≥240MHz；32MByte 高性能内存，板载≥128MByte SLC Nand Flash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处理器：≥4核1.4GMHZ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内存：≥512M 高性能内存</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E3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54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8A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5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C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节能管理软件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4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1、软件基于 Windows操作系统，纯中文的HMI界面。系统支持C/S或B/S模式的应用技术架构；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2、采集各分类分项能耗数据，能实时显示在软件平台界面上，并自动存储于数据库。采用图形化显示方式，在监测、统计、分析时可选择饼形图、柱状图以及折线图等方式直观显示结果；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3、历史存储：各类参数可作为历史存储在数据库中，数据库可选择内置自有数据库、MYSQL数据库，SQL SERVER 数据库等，数据以供后期查询、分析、统计。存储的时间及参数可根据用户需要设置；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F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C9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35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3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2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F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1.名称：管理器箱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2.安装方式：壁挂明装箱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尺寸：≥500mm×400mm×120mm （高×宽*×深）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含电源及其他辅材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9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CD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319F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6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5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抄表采系统安装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4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1.名称：能耗数据采集器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2.规格：Ethernet网口：RJ45接口10/100M（内嵌2KV电磁隔离，浪涌10/700us共模:2000V/差模1000V）自适应MDI/MDI-X；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网络协议：IP、ICMP、UDP、TCP、HTTP、TELNET、DNS、 DHCP 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网络功能:接收命令、上报故障、数据加密、断点续传等；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配置方式：Web browser，VCOM Utility，Telnet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接口数量：4路RS-485接口，每路接口可接入15台设备；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处理器：高性能32 位嵌入式CPU, 150MHz，32M 字节的 RAM；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远传周期：实时远传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工作电压：DC24V（DC12-60V）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工作环境：-40°C ~+85°C，5% ~ 95%RH，无凝露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8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22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C7C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1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B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抄表采集系统安装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B5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预留能耗计量数据对接接口</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7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4F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A1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1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5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抄表采集系统安装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8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远程监测监控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07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BD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42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7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56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B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3.规格：WDZB1-RYY4*1.0 20℃时导体电阻≤19.5Ω/km，70℃时绝缘电阻≥0.010MΩ·km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C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3A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8141.00</w:t>
            </w:r>
          </w:p>
        </w:tc>
      </w:tr>
      <w:tr w14:paraId="18F4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1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E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建筑能效管理系统辅材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2C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包含本项目本系统完整安装、调试、运行的所有辅材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4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68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07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07F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3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电梯五方通话系统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992F9">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E13A">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C7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191D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7C1F7">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A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电梯五方通话系统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1B8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F5B3">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0FEA">
            <w:pPr>
              <w:jc w:val="right"/>
              <w:rPr>
                <w:rFonts w:hint="eastAsia" w:ascii="宋体" w:hAnsi="宋体" w:eastAsia="宋体" w:cs="宋体"/>
                <w:i w:val="0"/>
                <w:iCs w:val="0"/>
                <w:color w:val="000000"/>
                <w:sz w:val="18"/>
                <w:szCs w:val="18"/>
                <w:u w:val="none"/>
              </w:rPr>
            </w:pPr>
          </w:p>
        </w:tc>
      </w:tr>
      <w:tr w14:paraId="7662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3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27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5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2.配线形式：管内或桥架穿线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 格：WDZB1-RYYP4*1.5 20℃时导体电阻≤13.3Ω/km，70℃时绝缘电阻≥0.010MΩ·km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C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E9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5322.00</w:t>
            </w:r>
          </w:p>
        </w:tc>
      </w:tr>
      <w:tr w14:paraId="38F9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208DA">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E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机房工程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A757">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DD0D">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70B8">
            <w:pPr>
              <w:jc w:val="right"/>
              <w:rPr>
                <w:rFonts w:hint="eastAsia" w:ascii="宋体" w:hAnsi="宋体" w:eastAsia="宋体" w:cs="宋体"/>
                <w:i w:val="0"/>
                <w:iCs w:val="0"/>
                <w:color w:val="000000"/>
                <w:sz w:val="18"/>
                <w:szCs w:val="18"/>
                <w:u w:val="none"/>
              </w:rPr>
            </w:pPr>
          </w:p>
        </w:tc>
      </w:tr>
      <w:tr w14:paraId="7586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5ABF">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C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消控室-装饰工程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49F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89A9">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B7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A22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B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AB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防静电活动地板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5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1、面层：600*600*35mm高效防静电贴面，电阻抗达到106～1010欧姆，底面：0.6mm厚镀锌钢板，承载强度：集中荷载3550N/m2、平均荷载16500N/m2；防火性能：国家A级 不燃。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2、标准支架，与主材配套，4#角钢制作沿边支架，并刷防锈漆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7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B2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r>
      <w:tr w14:paraId="1014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2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7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D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1、1mm厚拉丝不锈钢，9mm厚中密度板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2、其他详参对应图纸及相关设计说明</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2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2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r>
      <w:tr w14:paraId="3908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96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C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7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1、10#螺杆、吊杆连接件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2、U50配套轻钢龙骨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3、600*600*0.8铝合金方形微孔板，光泽度好，平整度：小于2mm/平米，抗震性能好，防火性能达到A级，防潮，耐用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5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0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r>
      <w:tr w14:paraId="78B8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EE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A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6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1、环氧防静电涂料，二遍成活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2、环氧防尘防潮涂料，二遍成活</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E0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14:paraId="5B27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8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0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78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1、环氧防静电涂料，二遍成活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2、环氧防尘防潮涂料，二遍成活</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1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B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r>
      <w:tr w14:paraId="31F5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5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1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地面刷涂料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5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1、环氧防静电涂料，二遍成活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2、环氧防尘防潮涂料，二遍成活</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AC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20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r>
      <w:tr w14:paraId="5D9A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2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04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金属装饰线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2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1、铝合金吊顶边缘采用L型压边条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3B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73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r>
      <w:tr w14:paraId="4F5E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D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4A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挡水门槛</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A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1、成品挡水门槛，具体详见设计要求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5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84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0C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16FC">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EF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消控室-机房供配电系统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AFC3">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B5DF">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EF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5D1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E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2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7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1.名称：UPS配电柜1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2.规格：根据图纸自行考虑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4.其他：定制，含断路器、隔离开关、防雷、接地、端子板外部接线等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A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CD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53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2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6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36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1.名称：UPS配电柜2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2.规格：根据图纸自行考虑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4.其他：定制，含断路器、隔离开关、防雷、接地、端子板外部接线等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9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08F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5C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6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D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9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2.规格：WDZB1-YJY-4x16+1x16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3.敷设方式、部位：管内、桥架敷设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D0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0943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62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9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1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2.规格：WDZB1-YJY-3x4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3.敷设方式、部位：管内、桥架敷设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C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B4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r>
      <w:tr w14:paraId="0C81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0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76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A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2.规格：WDZB1-BYJ-4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2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1E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18900.00</w:t>
            </w:r>
          </w:p>
        </w:tc>
      </w:tr>
      <w:tr w14:paraId="640BA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8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2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4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2.规格：WDZB1-BYJ-2.5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29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2F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3358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40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E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E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1.名称：户内干包式电力电缆头制作、安装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2.规格：干包终端头（1kV以下截面mm2以下）25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3.芯数：3芯及以上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68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73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95A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D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7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6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1.名称：户内干包式电力电缆头制作、安装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2.规格：干包终端头（1kV以下截面mm2以下）10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3.芯数：3芯及以上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B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B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5DC2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0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D5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D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1、名称：二三插座(10A)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FC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71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7F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A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27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3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1、名称：32A空调电源插座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63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50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73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BE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AA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1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1、名称：10A电源插座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2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F8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CF9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C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A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1、名称：20A电源插座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2、规格：250V,20A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F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7C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64F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9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0B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5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1.名称：开关插座盒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8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F8F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40A7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7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5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2F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机房基站专用5p柜式空调24H连续运转，带来电自启功能。配套相应辅材，包含设备本体、冷媒管、保温及保护层材料、电线、套管、支架及刷油等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6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1F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FC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2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0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9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操作台三工位</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1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4B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77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5EA1">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1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消控室-机房防雷接地系统工程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3675">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D7E1">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0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C84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A2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B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1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3*30铜排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2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3C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09BB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85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9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 测试板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A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300*200*150mmLEB等电位联结箱，内置等电位联结排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F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B6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D2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2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1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E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 Iimp=12.5KA (10/350us) Up≤1.5KV 二级浪涌保护器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0A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C2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D5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B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1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8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 CPM-R100T(S) 经当地防雷办备案产品-Ⅰ级试验型 limp=25KA（10/350US） Up＜=2000v</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F7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D7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D6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3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1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防雷接地系统辅材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7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绝缘子，铜编织带、接地跨接线、膨胀螺栓、铜导线、空开等辅材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9EA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CE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1BAC2">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E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消控室-UPS配电系统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6FDC">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CC86B">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F85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0EF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61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FAA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Ups不间断电源及其附属设备安装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2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1.名称：UPS主机(6KVA）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2.规格：6KVA/4.8KW,DC192V,RS232,LCD,不含SNMP卡,不含电池，单进单出，不能并机,塔式长效机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3.其他：含主机支架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9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BB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4E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40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F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Ups不间断电源及其附属设备安装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D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1.名称：UPS主机(20KVA）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2.规格：20KVA/16KW,DC192V,RS232/USB,LCD,不含SNMP卡,不含电池，三进单出,可并机,塔式长效机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3.其他：含主机支架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CE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15F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5F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E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5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其他电源设备安装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8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1.名称：蓄电池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2.规格：阀控式密封铅酸蓄电池，12V-100ah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B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83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r>
      <w:tr w14:paraId="2917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6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1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蓄电池屏（柜）</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4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定制（32节）含电池开关，含基础槽钢支架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F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26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7C8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F3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D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电池连接线、辅材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C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UPS至蓄电池、蓄电池间连接线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5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DA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10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2294">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C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弱电机房-装饰工程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E580">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2664">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AA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51D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C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7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防静电活动地板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B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1、面层：600*600*35mm高效防静电贴面，电阻抗达到106～1010欧姆，底面：0.6mm厚镀锌钢板，承载强度：集中荷载3550N/m2、平均荷载16500N/m2；防火性能：国家A级 不燃。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2、标准支架，与主材配套，4#角钢制作沿边支架，并刷防锈漆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3、环氧防静电涂料，二遍成活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4、环氧防尘防潮涂料，二遍成活</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F2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16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r>
      <w:tr w14:paraId="2936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2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A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6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1、1mm厚拉丝不锈钢，9mm厚中密度板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2、其他详参对应图纸及相关设计说明</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B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A7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r>
      <w:tr w14:paraId="4BFD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F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A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4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1、10#螺杆、吊杆连接件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2、U50配套轻钢龙骨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3、600*600*0.8铝合金方形微孔板，光泽度好，平整度：小于2mm/平米，抗震性能好，防火性能达到A级，防潮，耐用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1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22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r>
      <w:tr w14:paraId="45C6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E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7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B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1、环氧防静电涂料，二遍成活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2、环氧防尘防潮涂料，二遍成活</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8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C1D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14:paraId="0572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0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0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D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1、环氧防静电涂料，二遍成活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2、环氧防尘防潮涂料，二遍成活</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E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9E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r>
      <w:tr w14:paraId="0272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8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D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地面刷涂料</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C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1、环氧防静电涂料，二遍成活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2、环氧防尘防潮涂料，二遍成活</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A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44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r>
      <w:tr w14:paraId="47E5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B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5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金属装饰线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32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1、铝合金吊顶边缘采用L型压边条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5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37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14:paraId="08BF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A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7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挡水门槛</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2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1、成品挡水门槛，具体详见设计要求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8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844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4E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E97C">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F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弱电机房-机房供配电系统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EA84">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12E2">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93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8D1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1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C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9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2.规格：根据图纸自行考虑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4.其他：定制，含断路器、隔离开关、防雷、接地、端子板外部接线等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E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10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DF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4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C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C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2.规格：WDZB1-YJY-4x16+1x16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3.敷设方式、部位：管内、桥架敷设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3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DD5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7A17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D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D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6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2.规格：WDZB1-BYJ-4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3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622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r>
      <w:tr w14:paraId="6B12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9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4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B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2.规格：WDZB1-BYJ-2.5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3.敷设方式、部位：管内敷设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FA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C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5D95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D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7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2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1.名称：户内干包式电力电缆头制作、安装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2.规格：干包终端头（1kV以下截面mm2以下）25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3.芯数：3芯及以上</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C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A6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00A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5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1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6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1、名称：二三插座(10A)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7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D3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EF1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C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F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B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1、名称：32A空调电源插座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9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67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9C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F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F1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E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1、名称：20A电源插座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2、规格：250V,20A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B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02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5053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2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5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C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1.名称：开关插座盒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8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B5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016B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5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D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A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机房基站专用5p柜式空调24H连续运转，★带来电自启功能。配套相应辅材设备。包含设备本体、冷媒管、保温及保护层材料、电线、套管、支架及刷油等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D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6D3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B0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0B96">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E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弱电机房-机房防雷接地系统工程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03B6">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1FB5">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9EF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F04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4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5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2E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3*30铜排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9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5F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r>
      <w:tr w14:paraId="1117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D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 测试板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7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300*200*150mmLEB等电位联结箱，内置等电位联结排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0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23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A1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6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B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C3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 iC65N/3P  40A</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1F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34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FB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9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DA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3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 CPM-R100T(S) 经当地防雷办备案产品-Ⅰ级试验型 limp=25KA（10/350US） Up＜=2000v</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6B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73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69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4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0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防雷接地系统辅材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1F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绝缘子，铜编织带、接地跨接线、膨胀螺栓、铜导线、空开等辅材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4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88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ED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8019D">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6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弱电机房-UPS配电系统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89AF">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FA61">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40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C70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E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B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Ups不间断电源及其附属设备安装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5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1.名称：UPS主机(20KVA）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2.规格：20KVA/16KW,DC192V,RS232/USB,LCD,不含SNMP卡,不含电池，三进单出,可并机,塔式长效机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3.其他：含主机支架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3C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23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F2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1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5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其他电源设备安装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F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1.名称：蓄电池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2.规格：阀控式密封铅酸蓄电池，12V-100ah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D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5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r>
      <w:tr w14:paraId="07C5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7C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9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蓄电池屏（柜）</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0A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定制（32节）含电池开关，含基础槽钢支架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D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A9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B8E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A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3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电池连接线、辅材</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5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UPS至蓄电池、蓄电池间连接线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A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61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B5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071A">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D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综合管路系统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BB92">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1024">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23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198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8E06E">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2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综合管路系统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99CE5">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69FD">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4549">
            <w:pPr>
              <w:jc w:val="right"/>
              <w:rPr>
                <w:rFonts w:hint="eastAsia" w:ascii="宋体" w:hAnsi="宋体" w:eastAsia="宋体" w:cs="宋体"/>
                <w:i w:val="0"/>
                <w:iCs w:val="0"/>
                <w:color w:val="000000"/>
                <w:sz w:val="18"/>
                <w:szCs w:val="18"/>
                <w:u w:val="none"/>
              </w:rPr>
            </w:pPr>
          </w:p>
        </w:tc>
      </w:tr>
      <w:tr w14:paraId="63A8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2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E0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0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3.材质：热镀锌，壁厚1.2mm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4.其他：包括桥架盖板、三通、弯头等配件，接地跨接、防火封堵等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8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F6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3297.50</w:t>
            </w:r>
          </w:p>
        </w:tc>
      </w:tr>
      <w:tr w14:paraId="15A1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F7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5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4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3.材质：热镀锌，壁厚1.2mm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4.其他：包括桥架盖板、三通、弯头等配件，接地跨接、防火封堵等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0A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35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1082.00</w:t>
            </w:r>
          </w:p>
        </w:tc>
      </w:tr>
      <w:tr w14:paraId="004A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8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98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33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3.材质：热镀锌，壁厚1.2mm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4.其他：包括桥架盖板、三通、弯头等配件，接地跨接、防火封堵等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4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E4B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397.00</w:t>
            </w:r>
          </w:p>
        </w:tc>
      </w:tr>
      <w:tr w14:paraId="4786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6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1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3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2.规格：150*75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3.材质：热镀锌，壁厚1.2mm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4.其他：包括桥架盖板、三通、弯头等配件，接地跨接、防火封堵等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E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B1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r>
      <w:tr w14:paraId="1586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0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9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3.材质：热镀锌，壁厚1.2mm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4.其他：包括桥架盖板、三通、弯头等配件，接地跨接、防火封堵等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1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7F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6797.00</w:t>
            </w:r>
          </w:p>
        </w:tc>
      </w:tr>
      <w:tr w14:paraId="72DE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D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F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69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3.材质：热镀锌，壁厚2mm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4.其他：包括桥架盖板、三通、弯头等配件，接地跨接、防火封堵等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7C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57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6A8B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C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6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C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2.规格：400*200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3.材质：热镀锌，壁厚2mm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4.其他：包括桥架盖板、三通、弯头等配件，接地跨接、防火封堵等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7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7E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766.00</w:t>
            </w:r>
          </w:p>
        </w:tc>
      </w:tr>
      <w:tr w14:paraId="6F3A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3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A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铁构件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F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1.名称：桥架、明配管支吊架制作安装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2.材质：型钢</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2B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B0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10541.70</w:t>
            </w:r>
          </w:p>
        </w:tc>
      </w:tr>
      <w:tr w14:paraId="29A5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A0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D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6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1.名称：支吊架除锈刷漆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2.除锈级别：除轻锈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3.油漆品种：刷红丹漆两道，调和漆两道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5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73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10541.70</w:t>
            </w:r>
          </w:p>
        </w:tc>
      </w:tr>
      <w:tr w14:paraId="5EC2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B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8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5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1.材质：套接紧定式钢导管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2.规格：JDG20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3.配置形式：砖、混凝土结构明暗配综合考虑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D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2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25505.00</w:t>
            </w:r>
          </w:p>
        </w:tc>
      </w:tr>
      <w:tr w14:paraId="3930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04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D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51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1.材质：套接紧定式钢导管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2.规格：JDG25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3.配置形式：砖、混凝土结构明暗配综合考虑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C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58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11953.00</w:t>
            </w:r>
          </w:p>
        </w:tc>
      </w:tr>
      <w:tr w14:paraId="7A37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1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1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E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1.材质：热镀锌金属钢管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3.配置形式：砖、混凝土结构明暗配综合考虑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5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29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9888.90</w:t>
            </w:r>
          </w:p>
        </w:tc>
      </w:tr>
      <w:tr w14:paraId="16B9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9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1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78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1.材质：热镀锌金属钢管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2.规格：SC25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3.配置形式：砖、混凝土结构明暗配综合考虑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D7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F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5157.60</w:t>
            </w:r>
          </w:p>
        </w:tc>
      </w:tr>
      <w:tr w14:paraId="47B4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0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3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D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1.材质：热镀锌金属钢管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3.配置形式：砖、混凝土结构明暗配综合考虑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4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90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186.00</w:t>
            </w:r>
          </w:p>
        </w:tc>
      </w:tr>
      <w:tr w14:paraId="436E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C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8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A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1.材质：热镀锌焊接钢管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2.规格：SC50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3.配置形式：埋地敷设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1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D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r>
      <w:tr w14:paraId="25C2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1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1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B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1.材质：热镀锌焊接钢管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2.规格：SC80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3.配置形式：埋地敷设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F1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49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138.00</w:t>
            </w:r>
          </w:p>
        </w:tc>
      </w:tr>
      <w:tr w14:paraId="0333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5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2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B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1.规格：PE32管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2.配置形式：埋地敷设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4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23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r>
      <w:tr w14:paraId="2577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B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8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1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1.规格：PE50管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2.配置形式：埋地敷设</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3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B2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r>
      <w:tr w14:paraId="23BA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D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D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6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1.材质：金属软管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8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3C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74B6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F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A0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E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1.材质：金属软管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C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1C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r>
      <w:tr w14:paraId="7830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2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9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6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1.名称：过路盒、接线盒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B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5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0782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2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8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A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1.名称：接线面板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7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41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2B11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9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B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6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一般穿墙套管制作安装 SC25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7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F1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F52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8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A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3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人防套管制作安装 SC50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7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3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BB7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7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8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D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一般穿墙套管制作安装 SC50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C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D5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C96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C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4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1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防水套管制作安装 SC80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6F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9E7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DD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人（手）孔井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3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1#弱电井(长*宽*深:800*600*1000)，含复合井盖</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E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4B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865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EF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95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人（手）孔井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7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2#弱电井(长*宽*深:600*600*900)，含复合井盖</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4A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97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565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8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4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E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1.挖沟槽土方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2.土壤类别:综合考虑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3.借、弃土运距:投标人应对施工场地及其周边环境充分考察后自行考虑、弃土场地自行考虑；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4.工作内容:土方开挖、边坡修整、土方外运、土方消纳、地下障碍物处理等相关费用；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2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09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3150.00</w:t>
            </w:r>
          </w:p>
        </w:tc>
      </w:tr>
      <w:tr w14:paraId="32E1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C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3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3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1.部位:土方回填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3.填方材料品种:满足设计要求，并符合相关工程的质量规范要求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4.填方来源、运距:根据现场实际情况自行确定</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D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FD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878.00</w:t>
            </w:r>
          </w:p>
        </w:tc>
      </w:tr>
      <w:tr w14:paraId="34DC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B7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6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B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1.废弃料品种:开挖余土外运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2.运距:施工单位自行考虑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E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A04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2273.00</w:t>
            </w:r>
          </w:p>
        </w:tc>
      </w:tr>
      <w:tr w14:paraId="53E0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14C2">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54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智慧消安</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4FDD">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84A4C">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66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D86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8BEB">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C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火灾自动报警系统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7A3E">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3C58">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FC89">
            <w:pPr>
              <w:jc w:val="right"/>
              <w:rPr>
                <w:rFonts w:hint="eastAsia" w:ascii="宋体" w:hAnsi="宋体" w:eastAsia="宋体" w:cs="宋体"/>
                <w:i w:val="0"/>
                <w:iCs w:val="0"/>
                <w:color w:val="000000"/>
                <w:sz w:val="18"/>
                <w:szCs w:val="18"/>
                <w:u w:val="none"/>
              </w:rPr>
            </w:pPr>
          </w:p>
        </w:tc>
      </w:tr>
      <w:tr w14:paraId="5CF0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3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FE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火灾报警控制器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物联网消防报警网关</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0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"工作电压：DC12V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上行通讯：无线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下行频率：470MHz~510MHz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外设接入数量：≥128个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无线通讯性能：空旷场景1.5KM-2.0KM，普通墙体3~5面，承重墙1~2面，地下室1面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报警声压：75dB（A）@1m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备电：≥2500mAH 7.2V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输出接口：≥1路RS232和RS485，≥2路继电器输出，≥1路RJ45网络接口，12V辅电输出口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工作环境：工作温度：-10~55℃；工作湿度：≤95%RH（无凝露）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网关安装点位具体根据现场实际情况调整，满足无线传输需求"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1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4F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66DD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F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E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独立式感烟火灾探测报警器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6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"工作原理：光电式、热敏元件感温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工作电压：DC3.0V（锂电池）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工作电流：静态电流≤13μA，报警电流≤50mA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感温报警：定温57℃，差温约8℃/min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报警方式：声光报警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报警音量：≥85dB@3m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报警分类：火灾报警、低压报警、故障报警、防拆报警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其他功能：自检按键、本地/远程消音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电池设计寿命：平均寿命≥5年"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AE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79F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2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6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独立式感温火灾探测报警器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9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"工作原理：热敏元件感温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工作电压：DC3.0V（锂电池）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工作电流：静态电流≤10μA，报警电流≤50mA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感温报警：定温57℃，差温约8℃/min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报警方式：声光报警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报警音量：45~75dB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报警分类：火灾报警、低压报警、故障报警、防拆报警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其他功能：自检按键、本地/远程消音、信号查询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电池寿命：平均寿命≥5年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使用环境：温度：-10℃～55℃， 相对湿度：≤95% （无凝露）"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A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4E5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390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48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F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手动火灾报警按钮</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A7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"电源：锂电池≥2400mAh，DC 3V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电池使用寿命：平均寿命5年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工作电流：待机状态≤5μA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工作原理：手动触发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报警指示灯：≥1个，红色：报警， 黄色：故障，绿色：状态（通讯、信号、对码）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支持钥匙复位、信号查询、防拆报警、欠压报警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通讯性能：空旷场景1.5~2km ，普通墙体3~5堵，  沉重墙 1~2堵 ，地下室 1堵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报警输出：≥1路，继电器容量（24VDC /1A）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工作电流：待机状态≤5μA；报警状态≤60mA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工作湿度：≤95%"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D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90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5441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5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3A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C6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"电源：锂电池≥2400mAh，DC 3V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电池使用寿命：平均寿命≥5年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工作电流：待机状态≤5μA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工作原理：手动触发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报警指示灯：≥1个，红色：报警， 黄色：故障，绿色：状态（通讯、信号、对码）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支持钥匙复位、信号查询、防拆报警、欠压报警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通讯性能：空旷场景1.5~2km ，普通墙体3~5堵，  沉重墙 1~2堵 ，地下室 1堵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报警输出：≥1路，继电器容量（24VDC /1A）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工作电流：待机状态≤5μA；报警状态≤60mA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工作湿度：≤95%"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4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6C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C32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7F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C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火灾显示盘</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78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"内置微处理器，工作电压DC19-28V,监视状态绿灯闪亮，报警时，红灯常亮；按下消音键后，红灯常亮。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显示首次报警地址时“首警”灯亮，设置手报地址并接到报警后“手报”灯亮。"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9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D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2398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F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6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声光警报器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6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"供电：主电DC 12V 1A （已含）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备电：≥2400mAh，DC 3V""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电池使用寿命：报警：可持续60分钟（一次性锂电池，可更换）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工作电流：待机状态≤5μA，报警状态≤100mA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报警音量：≥85dB@3m（A计权）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报警指示灯：1个，红色：报警， 黄色：故障，绿色：状态（通讯、信号、对码）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闪光频率：1Hz～2Hz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变调周期：3 s ~ 5 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通讯性能：空旷场景1.5~2km，普通墙体3~5堵，沉重墙 1~2堵。地下室1堵。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功能：信号查询、远程消警、防拆报警、欠压报警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安装方式：壁装、表面安装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 ~ 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工作湿度：≤95%"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5C4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0CAC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3D29">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6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火灾预警系统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C746B">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4037">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DAEE">
            <w:pPr>
              <w:jc w:val="right"/>
              <w:rPr>
                <w:rFonts w:hint="eastAsia" w:ascii="宋体" w:hAnsi="宋体" w:eastAsia="宋体" w:cs="宋体"/>
                <w:i w:val="0"/>
                <w:iCs w:val="0"/>
                <w:color w:val="000000"/>
                <w:sz w:val="18"/>
                <w:szCs w:val="18"/>
                <w:u w:val="none"/>
              </w:rPr>
            </w:pPr>
          </w:p>
        </w:tc>
      </w:tr>
      <w:tr w14:paraId="347E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2F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9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安消智能摄像机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D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"新型融合型智能摄像机，可感知高温、差温进行报警，并可通过视频复核;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支持AI智能检测：呼救识别，烟火识别，吸烟检测，值岗状态检测，灭火器识别，室内通道占用，电瓶车煤气罐检测;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采用高亮三色指示灯，运行、故障、报警状态一目了然;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最高分辨率可达2688 × 1520@25 fps，并可输出实时图像;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支持30m红外补光;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支持3D数字降噪，支持数字宽动态;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支持背光补偿，自动电子快门功能，适应不同使用环境;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最远补光距离：30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配件类型：壁装支架、吊装支架、斜底座支架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安装高度：壁装2.4 m~2.8 m，吊顶3.3 m~6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感温方式：热敏电阻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高温报警：支持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报警指示灯：红色：报警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黄色：故障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烟火检测：支持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温度异常检测：支持高温/差温报警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测温精度：±3℃（在无风恒温环境，上电1小时）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屏蔽区域：可自定义配置4个矩形区域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远程消音：支持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报警接口：2路报警输入，2路报警输出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含电源管线辅材等设备"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E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C8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E37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6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6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可视化红外火焰探测器摄像机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C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"新型融合型智能摄像机，支持火焰检测，可感知火焰周围红外信号变化，并可通过视频复核;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内置红外热释电火焰探测器，进一步提升火焰报警准确率;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灵敏度高、安全可靠，功能强大，使用方便，外形美观;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支持AI智能检测：呼救识别，烟火识别，吸烟检测，值岗状态检测，灭火器识别，室内通道占用，电瓶车煤气罐检测;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安装高度：壁装2.4 m~2.8 m，吊顶3.3 m~6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传感器类型：红外热释电：4.3 um + 3.8 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报警指示灯：红色：报警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黄色：故障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探测范围：50米以内（0.1平方米火盘）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烟火检测：支持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屏蔽区域：可自定义配置4个矩形区域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远程消音：支持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报警接口：2路报警输入，2路报警输出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音频接口：1个内置麦克风，1个内置扬声器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支持语音对讲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含电源管线辅材等设备"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3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3D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2C6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5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6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可视化烟雾探测器摄像机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B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"新型融合型智能探测器，烟雾和视频二合一，可探测烟雾进行报警，并通过视频复核。;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具备灵敏度高、安全可靠，功能强大，使用方便，外形美观。;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最高分辨率可达200万像素(1920 × 1080@25 fps)，并可输出实时图像。;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实时视频弹窗，报警信息叠加，支持报警实时推送手机APP；支持萤石云平台接入。;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支持报警事件和设备状态信息上报。;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支持外部DC 12 V供电，停电时切换到电池供电，烟雾探测报警器仍可正常工作。;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内置蜂鸣器，高分贝报警。;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支持LTE-TDD/LTE-FDD 4G Cat1无线传输。;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支持烟感远程消音。;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支持烟雾报警时联动报警图片和报警录像。;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支持日夜两套参数独立配置。;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通讯接口：≥1个 RJ45 10M/100M 自适应以太网口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工作原理：光电式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供电电压：主电电压：AC 220 V 转 12 V；备电电压：3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静态电流　：≤6 μA（使用备电时）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报警电流：≤150 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报警音量：≥85 dB@3 m (A计权)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电源接口类型：圆头电源接口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本地报警方式：声、光报警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含电源管线辅材等设备"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95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84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5A88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B059">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C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电气火灾监测系统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07BF">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1D055">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474B">
            <w:pPr>
              <w:jc w:val="right"/>
              <w:rPr>
                <w:rFonts w:hint="eastAsia" w:ascii="宋体" w:hAnsi="宋体" w:eastAsia="宋体" w:cs="宋体"/>
                <w:i w:val="0"/>
                <w:iCs w:val="0"/>
                <w:color w:val="000000"/>
                <w:sz w:val="18"/>
                <w:szCs w:val="18"/>
                <w:u w:val="none"/>
              </w:rPr>
            </w:pPr>
          </w:p>
        </w:tc>
      </w:tr>
      <w:tr w14:paraId="01B9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9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C7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组合式电气火灾探测器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0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"输入电压：AC220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状态指示灯：报警、故障、消音、网络、运行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状态监测量：电压、电流、温度、剩余电流、功率、电量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报警类型：过压报警/欠压报警、过流报警、过温报警、剩余电流报警；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接口数量：≥3路相电压、3路相电流、3路温度、1路剩余电流2路485接口、1路输出接口，无线通讯接口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通讯方式：无线"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A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86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51D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4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D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过线电流互感器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8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"额定频率 50/60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 -20℃~70℃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相对湿度 ≤90%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额定一次电流 0-200A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额定二次电流 0-40mA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额定负荷b R 20Ω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准确级 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交流耐压"</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B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96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2FA8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7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F2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D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"探测器种类：NTC热敏电阻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测量范围：-40℃～150℃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工作温度：-50℃～260℃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传感器线长：1m"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A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3A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315B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7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D8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剩余电流互感器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3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"过线孔径：φ65mm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检测对象：剩余电流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额定输入：0-1A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额定输出：0-0.5mA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精度等级：0.5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工作温度：-25℃～+75℃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工作湿度：≤85%RH"</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6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1F7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7B86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2D9D">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FB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消防用水监测系统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3353B">
            <w:pPr>
              <w:jc w:val="left"/>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5D69">
            <w:pPr>
              <w:jc w:val="center"/>
              <w:rPr>
                <w:rFonts w:hint="eastAsia" w:ascii="宋体" w:hAnsi="宋体" w:eastAsia="宋体" w:cs="宋体"/>
                <w:i w:val="0"/>
                <w:iCs w:val="0"/>
                <w:color w:val="000000"/>
                <w:sz w:val="18"/>
                <w:szCs w:val="18"/>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411E3">
            <w:pPr>
              <w:jc w:val="right"/>
              <w:rPr>
                <w:rFonts w:hint="eastAsia" w:ascii="宋体" w:hAnsi="宋体" w:eastAsia="宋体" w:cs="宋体"/>
                <w:i w:val="0"/>
                <w:iCs w:val="0"/>
                <w:color w:val="000000"/>
                <w:sz w:val="18"/>
                <w:szCs w:val="18"/>
                <w:u w:val="none"/>
              </w:rPr>
            </w:pPr>
          </w:p>
        </w:tc>
      </w:tr>
      <w:tr w14:paraId="6853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9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A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喷淋末端探测器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60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"通讯方式：无线通讯方式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电池供电：3.0V/7.2AH，可正常工作3年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测量范围：0~2.5MPa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响应时间：≤6mS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功耗：≤1.2mA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测量精度：±0.5%FS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过载压力：200%FS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爆破压力：500%FS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温度漂移：0.3%FS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零点漂移：0.2%/年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工作湿度：5%~95%RH（无凝露）"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6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3B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C7C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EC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02A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消火栓探测器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BD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"压力监测：通过压力开关监测消火栓管道内的水压，确保水压在正常范围内，一旦水压低于设定值，即触发报警。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流量监测：利用水流指示器监测消火栓管道内的水流情况，一旦有水流动，即表明有消火栓被使用，触发报警信号。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能够适应各种恶劣环境，如高温、潮湿、尘土等。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当监测到异常情况时，设备应能发出声光报警信号，提醒人员注意。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 0 ~ 2.50 MPa 精度 ±0.5% 过载压力 200% FS 爆破压力 500% FS 一般规范数据发送周期 4 h(默认)，周期可配置电池容量 锂电池，正常工作三年执行标准 Q/HKD 002-2020 通讯方式 无线 功耗 待机＜75uA"</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E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110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r>
      <w:tr w14:paraId="1FC1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4225">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B7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可燃气体泄漏报警系统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A507">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77FB">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5B4C">
            <w:pPr>
              <w:jc w:val="right"/>
              <w:rPr>
                <w:rFonts w:hint="eastAsia" w:ascii="宋体" w:hAnsi="宋体" w:eastAsia="宋体" w:cs="宋体"/>
                <w:i w:val="0"/>
                <w:iCs w:val="0"/>
                <w:color w:val="000000"/>
                <w:kern w:val="0"/>
                <w:sz w:val="18"/>
                <w:szCs w:val="18"/>
                <w:u w:val="none"/>
                <w:lang w:val="en-US" w:eastAsia="zh-CN" w:bidi="ar"/>
              </w:rPr>
            </w:pPr>
          </w:p>
        </w:tc>
      </w:tr>
      <w:tr w14:paraId="6E1E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8D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F0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甲烷探测器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8D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"执行标准：GB 15322.2-2019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探测气体：甲烷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工作电压：AC220V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报警输出：1组12V脉冲常开输出（电磁阀控制）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检测原理：平面半导体式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传感器寿命：正常环境下5年，实际使用寿命与工作环境有直接关系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测量范围：（0-20）%LEL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报警设定值：8%LEL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测量误差：±3% LEL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通信方式：4G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使用环境：室内使用型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工作环境：温度：-10℃～55℃；湿度：≤95% RH无结霜"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4A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66C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r>
      <w:tr w14:paraId="3291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5C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A1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一氧化碳探测器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84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"探测气体种类：一氧化碳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报警阈值：200*10-6(体积分数)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输出信号：1路排风扇输出接口，1路485接口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工作原理：电化学式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供电电压：AC 220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 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通讯方式：无线"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1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43EC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r>
      <w:tr w14:paraId="3601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2E5E">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7A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管理中心（智慧消安软件）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5984">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3082">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0498">
            <w:pPr>
              <w:jc w:val="right"/>
              <w:rPr>
                <w:rFonts w:hint="eastAsia" w:ascii="宋体" w:hAnsi="宋体" w:eastAsia="宋体" w:cs="宋体"/>
                <w:i w:val="0"/>
                <w:iCs w:val="0"/>
                <w:color w:val="000000"/>
                <w:kern w:val="0"/>
                <w:sz w:val="18"/>
                <w:szCs w:val="18"/>
                <w:u w:val="none"/>
                <w:lang w:val="en-US" w:eastAsia="zh-CN" w:bidi="ar"/>
              </w:rPr>
            </w:pPr>
          </w:p>
        </w:tc>
      </w:tr>
      <w:tr w14:paraId="093E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3F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0DA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系统管理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9C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智慧消防综合管理平台的基础应用，包含人员及组织管理、用户管理、安保区域管理、设备管理、图上监控、事件联动等功能。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1、支持消防设备管理的增删改查、导入导出移动。包括如下几个系统的设备：火灾报警、视频图像预警、电气火灾、可燃气体、消防用水、充电桩、灭火器、数据网关等系统的设备管理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图上监控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1、支持在线、离线的GIS地图；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2、支持png、jpg格式的静态地图；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3、支持添加资源上图，资源类型包括：监控点、门禁点、传感器、消防设备、传感器等；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4、支持单击消防设备资源，查看资资源状态和历史报警；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5、支持展示实时报警事件。事件发生时，地图上资源点会改变颜色并闪烁；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6、支持查看实时事件详情，详情信息包括事件级别、状态、发生时间、处理意见、所属区域/位置、事件源、事件类型；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事件联动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1、支持事件规则配置：支持指定事件发生的类型：视频事件、门禁事件、消防事件等；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2、支持联动在CS客户端自动弹出事件关联的预览画面、回放画面、事件图片、弹视频画面叠加事件信息，控制语音对讲，播放提示音，语音播报（内容可自定义编辑）；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3、支持联动推送事件关联通道的实时画面在电视墙上显示；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4、支持联动上墙画面与普通上墙画面可通过标记区分；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5、支持用户自行选择联动监控点上墙持续时间；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6、支持联动保存事件对应通道的录像片段、抓拍图片；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指定时间段和指定时间间隔内，多个指定区域同时发生指定事件类型规则配置。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2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3F6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4E1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7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89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消控工作台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D3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控工作台，为消控室工作人员提供一站式报警事件接收处理的工作台。实时接收系统的报警事件，通过语音进行报警信息的播报，支持查看报警类型、报警等级、报警次数、所属设备等信息，并根据资源在平面图的位置、联动视频预览和回放、抓图画面等方式，进行报警的核实。支持处理报警，输入处理意见，选择该报警为真实火警、误报、核实中及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1、查看真是火警数、今日报警数、未处理报警数、今日隐患数、未处理隐患数和屏蔽传感器的数量。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2、支持白色系和黑色系的切换。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3、支持接受报警时，通过电脑语音进行报警内容的播报，查看报警点的位置信息、联动预览回放、联动抓图等功能。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4、支持在工作台对报警等级、报警类型、报警时间、处理状态进行筛选，支持报警的批量处理。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5、支持对疑似火警的判断。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6、支持查看报警的操作记录、查看联系人及联系方式、设备操作、输入处理意见，并将报警处理为核实中、误报、测试、火警等。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7、支持接收隐患、查看隐患详情及处理隐患，查看隐患信息、位置信息、隐患日历及隐患图片；隐患类型包含巡查隐患、一键上报隐患、防火检查隐患、岗位自查隐患、设备故障及误报隐患。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8、支持在工作台对隐患类型、隐患时间、处理状态进行筛选，支持隐患的批量处理。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9、支持隐患处理时，查看操作记录、联系人、设备操作、输入处理意见，并将隐患处理未处理中、转工单和已处理。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10、支持查看真实火警记录，并对真实火警的记录进行处理。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9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7B6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2BD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6A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565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火灾报警监测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F1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1、支持接入火灾报警控制器、用户信息传输装置、NB类独立式烟温感、无线网关、气体灭火控制器等设备，实现设备报警、故障和监测值的接收。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2、支持对独立式烟温感设备、无线主机等设备，进行远程消音、复位的操作。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3、支持接入气体灭火控制器后，在消控工作台接收报警时对设备进行启动、强制启动及停止的操作。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1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0B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718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30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FD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可燃气体监测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33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支持独立式可燃气体报警器、可燃气体控制器等设备接入，上报燃气浓度、超阈值报警。</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19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FE2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744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9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87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电气火灾监测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96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1、设备接入：支持接入组合式电气火灾探测器、智能微型断路器、 智能塑壳断路器、消防物联中控主机等智慧用电系列设备。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2、设备管理：支持对设备进行阈值的下发，包含电压、电流、电气温度、功率等阈值进行配置。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3、数据监测：支持监测剩余电流、总电量、视在功率、今日电量、电气温度、电流、无功功率、电压、有功功率、功率因数等数据，并支持远程开闸合闸的操作控制。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4、分组管理：支持对用电设备进行分组管理，将多个智慧空开等设备按场景进行分组管理。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5、远程控制：支持按分组及按空开设备，进行开闸、合闸的远程控制。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6、预警管理：支持按工作日和节假日的时间模板配置预警模板，对分组配置电流和功率的预警阈值。</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0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029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81F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E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4E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消防水系统监测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18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1、设备接入：支持接入用水主机、室外消火栓、一体式无线压力液位表等消防用水监测设备。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2、设备管理：支持下发水压、液位、温度、湿度等阈值；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监测：支持监测消防水系统的水压、液位、温湿度等状态；支持通过用水主机对消防水泵控制柜的启动/停止、正常/故障等状态进行监测；支持对室外消火栓的水压进行监测，并接入碰撞报警、偷盗报警、开盖报警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A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C7A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BA5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8E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4A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视频图像火灾报警监测</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5B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1、设备接入：支持接入智能分析仪、安消智能相机、安消联动相机、可视化烟雾探测器、热成像感温探测器，按海康设备网络SDK协议、ISUP协议进行接入。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2、支持配置智能分析仪的轮询模式，在平台上按算法对监控点进行分组，从平台取视频流在分析仪上进行轮询分析。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5E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C2B5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97D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6F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93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消防单位信息管理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CF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单位信息管理，主要包含单位基本信息管理、建筑物管理、消防人员管理、消控室管理、扑救力量管理、制度职责、维保合同管理几个模块，实现对单位基本信息进行管理和归档。并提供单位档案，以单位为入口，查看各个单位的基础信息、报警信息、隐患信息、安全评分信息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4D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9131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26E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33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FD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报警可视化软件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B1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通过可视化数据看板的形式，进行数据的呈现。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以GIS地图或平面图为背景，查看消防设备在地图上的分布，并可查看设备的监测值，设备发生报警时，点位进行红色闪烁提醒；视频监控的监控点上图，并在图上进行视频预览。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支持查看单位/设备总览，查看单位接入数、设备接入数；设备在离线分析，查看在线、离线和未注册的设备数量，并以饼状图的方式呈现；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支持查看报警数据的统计分析，警和真实火警的数量，查看今日报警、今日处理率、近一年报警、报警处理率；支持查看动态数据趋势，按照近一月、近半年、近1年的报警趋势图；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支持查看消防设施统计数据，查看火灾报警、视频图像预警、电气火灾、可燃气体、消防用水各类设备的设备总数。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支持查看隐患分析，查看隐患处理率、今日隐患；按照近一月、近半年、近1年的报警趋势图；支持消防设备/传感器的上图，并在图上查看该设备/传感器的监测值；</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D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A52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DBD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4B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62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消防网管软件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987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消防网管，通过对接入平台的消防设备进行在线巡检，并通过设备画像进行分析，快速定位设备故障原因。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一、统计分析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1、支持各区域对消防设备和传感器设备运维结果统计；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2、支持呈现异常区域，并对异常原因TOP10进行排名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3、支持对设备画像进行分析，例如频繁误报、频繁故障、频繁离线、频繁信号弱、低电量、临期/过期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二、设备状态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1、支持呈现消防设备、传感器详细数据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2、支持查看消防设备状态结果，可导出结果（CSV格式）；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3、支持设备的远程升级（目前仅支持用电主机）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三、异常分析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1、支持对设备中有如下几种画像类型的进行分类：频繁误报、频繁故障、频繁离线、频繁信号弱、低电量、临期/过期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2、支持自定义画像规则。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无线通信接入费用，无线流量卡，5年流量费用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F10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C2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2E0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C99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5D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D8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2U单路标准机架式服务器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CPU：配置1颗 C86架构处理器，核数≥16核，主频≥2.5GHz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内存：配置≥64G DDR4，≥16根内存插槽，最大支持扩展至1TB内存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硬盘：配置≥2块1.2T 10K SAS硬盘；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阵列卡：配置SAS+HBA卡（支持RAID 0/1/10）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PCIE扩展：最大可选支持6个PCIe扩展插槽；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网口：板载2个千兆电口，支持选配10GbE、25GbE SFP+等多种网络接口；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电源：配置550W（1+1）电源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6C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7D7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AC6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47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9F0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智慧消安系统平台对接</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00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数字化平台可以实现消防数据的全面共享和汇聚，打破数据孤岛，提高信息透明度，有助于消防部门及时掌握火灾风险和应急情况。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数据接口对接：消防平台与数字化平台建立数据接口，实现数据的实时传输和共享。这包括消防设备的状态数据、火灾报警信息、消防人员的位置信息等。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系统集成：将消防平台与数字化平台进行系统集成，使两者能够协同工作。例如，通过低代码开发平台，可以快速构建消防巡查系统，并与数字化平台对接，实现消防巡查工作的智能化管理。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功能扩展：根据实际需求，可以在数字化平台上扩展消防相关的功能应用，如火灾风险评估、应急预案制定、消防演练模拟等。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F7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7C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A2C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2F8E">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A6E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智慧景观</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28E9">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3990">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2514">
            <w:pPr>
              <w:jc w:val="right"/>
              <w:rPr>
                <w:rFonts w:hint="eastAsia" w:ascii="宋体" w:hAnsi="宋体" w:eastAsia="宋体" w:cs="宋体"/>
                <w:i w:val="0"/>
                <w:iCs w:val="0"/>
                <w:color w:val="000000"/>
                <w:kern w:val="0"/>
                <w:sz w:val="18"/>
                <w:szCs w:val="18"/>
                <w:u w:val="none"/>
                <w:lang w:val="en-US" w:eastAsia="zh-CN" w:bidi="ar"/>
              </w:rPr>
            </w:pPr>
          </w:p>
        </w:tc>
      </w:tr>
      <w:tr w14:paraId="225B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6CA5">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1B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前端设备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FB6A6">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67BB7">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F73A">
            <w:pPr>
              <w:jc w:val="right"/>
              <w:rPr>
                <w:rFonts w:hint="eastAsia" w:ascii="宋体" w:hAnsi="宋体" w:eastAsia="宋体" w:cs="宋体"/>
                <w:i w:val="0"/>
                <w:iCs w:val="0"/>
                <w:color w:val="000000"/>
                <w:kern w:val="0"/>
                <w:sz w:val="18"/>
                <w:szCs w:val="18"/>
                <w:u w:val="none"/>
                <w:lang w:val="en-US" w:eastAsia="zh-CN" w:bidi="ar"/>
              </w:rPr>
            </w:pPr>
          </w:p>
        </w:tc>
      </w:tr>
      <w:tr w14:paraId="39A7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80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37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3F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智慧景观软件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C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6CA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AE5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A70A">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30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智慧灯杆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5E170">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9C139">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9DD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14:paraId="01FB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6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8A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4米智慧灯杆</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89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4米智慧灯杆，含LED灯具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LED灯具：工作电压：AC100-277V；电源效率：91%；色温： 3500K；功率因数：0.95；结温：＜80℃；显色指数：＞Ra70；浪涌电压：10KV；工作环境：-40℃～+50℃，10%～90%RH； LED 寿命：＞50000 小时；防护等级：整灯 IP65；智能恒流驱动技术，突破电源寿命瓶颈；人类工效学配光，均匀道路照明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4m智慧灯杆，符合行业标注《灯杆照明设施技术条件》CJ/T 3076—1998的规定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灯杆设计与制造符合国家标准GBI35—90《高耸结构设计规范》</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F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72A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74BE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A0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2D2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灯控制器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CE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电流、电压、电量等参数计量芯片独立采集，1路继电器输出控制（开关）；1路独立调光接口（0-10V）；ZigBee通讯协议控制；异常自动监控，死机自我恢复功能；程序自恢复功能以及失联后自动运行开关策略功能；防护等级IP65，浪涌冲击抗扰度符合GB/T 17626.5-2008要求；电源端子传导骚扰电压符合GB 17743-2007要求；额定负载功率：0-500W/路。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3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16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02EC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27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1A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WIFI-AP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09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室外型双频无线接入设备，可外接外接全向或定向室外天线，支持802.11a/b/g/n/ac、数据加密、黑/白名单功能等功能,内置定向天线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E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9E39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744B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487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B9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广播</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3C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一体化壁挂式设计，内置功率放大器，30W扬声器，高档铝制外壳，标准RJ45网络接口，网络通讯协议：TCP/IP、UDP,ARP、ICMP、IGMP，频率响应:50Hz-15KHz，信噪比≥90±3dB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2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7C73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16FA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E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EF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信息发布模块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E9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像素点组成:标贴三合一；像素间距：3.81mm；亮度：≥5500cd/m²；刷新频率：≥900Hz；可视角度水平/垂直：120°/120°；工作电压：AC220V；平均功率：650W/㎡；单元板尺寸 ≥244mmx122mm；驱动方式 1/16扫描；最佳视角 120°；异步控制；整屏尺寸≥1.1*0.58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B4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953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6F80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61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88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环境感知模块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27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PMio+PM2.5+CO2+VOC浓度+风速+风向+噪音+光照等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7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8A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62D9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2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434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一键报警模块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98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电源：DC12V ；以太网，2 个 10M/100M 自适应网口；音频输出：内置 3W 扬声器 ；音频输入：内置 1 路高灵敏度全指向麦克风，拾音距离 5 米；分辨率:1280*720@25fps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AF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EDB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4058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6393">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EA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智慧座椅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420C">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86CA">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04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14:paraId="6F81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56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17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智慧座椅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A7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样式配套景观专业，定制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B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610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0524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B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D8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灯控制器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1E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电流、电压、电量等参数计量芯片独立采集，1路继电器输出控制（开关）；1路独立调光接口（0-10V）；ZigBee通讯协议控制；异常自动监控，死机自我恢复功能；程序自恢复功能以及失联后自动运行开关策略功能；防护等级IP65，浪涌冲击抗扰度符合GB/T 17626.5-2008要求；电源端子传导骚扰电压符合GB 17743-2007要求；额定负载功率：0-500W/路。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E5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C9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6319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D0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10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WIFI-AP</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A2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室外型双频无线接入设备，可外接外接全向或定向室外天线，支持802.11a/b/g/n/ac、数据加密、黑/白名单功能等功能,内置定向天线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58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825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6693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E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E7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广播</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90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一体化壁挂式设计，内置功率放大器，30W扬声器，高档铝制外壳，标准RJ45网络接口，网络通讯协议：TCP/IP、UDP,ARP、ICMP、IGMP，频率响应:50Hz-15KHz，信噪比≥90±3dB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D7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971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255F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A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AA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信息发布模块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F7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像素点组成:标贴三合一；像素间距：3.81mm；亮度：≥5500cd/m²；刷新频率：≥900Hz；可视角度水平/垂直：120°/120°；工作电压：AC220V；平均功率：650W/㎡；单元板尺寸 ≥244mmx122mm；驱动方式 1/16扫描；最佳视角 120°；异步控制；整屏尺寸≥1.1*0.58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624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F3F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58C9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47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9D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DA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USB充电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D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4E0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2BB7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AB731">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868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智慧园区管理平台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29EA">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FA9A">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5090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14:paraId="4146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5F18">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01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智慧园区管理平台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A143">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23D0">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2D93">
            <w:pPr>
              <w:jc w:val="right"/>
              <w:rPr>
                <w:rFonts w:hint="eastAsia" w:ascii="宋体" w:hAnsi="宋体" w:eastAsia="宋体" w:cs="宋体"/>
                <w:i w:val="0"/>
                <w:iCs w:val="0"/>
                <w:color w:val="000000"/>
                <w:kern w:val="0"/>
                <w:sz w:val="18"/>
                <w:szCs w:val="18"/>
                <w:u w:val="none"/>
                <w:lang w:val="en-US" w:eastAsia="zh-CN" w:bidi="ar"/>
              </w:rPr>
            </w:pPr>
          </w:p>
        </w:tc>
      </w:tr>
      <w:tr w14:paraId="54A5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9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C1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业务软件门户一体机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BDB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提供平台功能统一门户，用户可定制客户端功能选项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支持第三方BS或CS客户端插件化导入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支持按照系统预设模板更换门户界面主题风格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支持配置名称、LOGO、登录页背景的展示效果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为防止视频图像外泄，支持在实况、回放、轮巡、轮切、组显示、图片展示以及录像文件播放时在窗格全屏幕显示水印信息（用户名、IP、系统时间）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用户可按照实际需求，对水印效果进行设置，如水印密度和透明度等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将业务以功能卡的形式进行展示，每个卡片代表一个业务功能，支持将个功能卡按照类别进行自定义分组（一级菜单）。卡片组支持新增，修改标题，隐藏和调整位置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支持对设备图标进行自定义修改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摄像机点位聚合功能检查：支持摄像机点位聚合功能，当地图显示级数变小时，距离相近的摄像机便聚合为一点显示，在该点标识聚合的摄像机数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支持以某一摄像机为中心，根据直线距离由近到远依次查找其周边的摄像机，直到填满播放窗口为止</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50E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A6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891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0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82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物联数据服务系统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C9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汇聚各类系统数据，综合管理各类设备档案资产信息，集成数据上行、反控能力，便于各类场景联动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1、可以按照产品参数创建、配置系统产品分类目录。可以对每个产品创建设备子目录。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2、支持管理每类实体物理设备（如电表、路灯等）的属性、事件、及服务。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3、支持综合管理、预览各个接入网关服务运行状态。可以启停服务。可以管理服务授权。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4、支持可预览网关设备下挂载的设备列表，进行编辑管理。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5、可支持API、中间件等多种类型协议接入及解析。可根据接口类型，验证设备注册、接口入参、出参数据校验，支持管理和载入历史接入厂家。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52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079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CFF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9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C8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联动报警事件子系统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E1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1、计划预案定制：定制计划工作流预案、手动工作流预案、报警联动工作流预案，预案定制通过图形化界面拖动各预案步骤图标及将预案步骤连线完成；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2、手动预案定制：定制手动工作流预案动作，在工作流预案列表中点击该预案执行按钮实现；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报警工作流预案定制：定制报警工作流，报警联动动作由视频系统、报警系统、门禁系统、对讲系统及车辆管理系统等多种子系统上报的报警信号触发，根据用户确定结果触发（已核实、误报、超时未核实），报警联动动作设置为立即执行、延时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4、视频监控管理平台支持第三方告警设备的接入和联动功能；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5、支持对报警分发规则、报警联动规则、报警处置预案等的设置；</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305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AD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3E7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8D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7F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门禁管理子系统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86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1、支持添加持卡人员并将人员信息和门禁卡号进行绑定；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2、支持人员信息包括姓名、性别、证件号、单位、部门、关联卡号和照片；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3、支持新增、修改、删除、导入和查询人员；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4、在地图上查看门禁设备点位，手动操作门禁设备；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5、支持手动开门/关门、查看实况、查看出入记录；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1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D0E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8BC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7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2F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智慧消防子系统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81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地图展示视频监控系统、消防设备（火灾报警系统、消防水系统、电气火灾监测、烟雾监测、可燃气器检测、手动报警装置）等消防点位、以及消防保障设备（消防栓、消防）分布，消防主机、烟感设备、防火门、灭火器、摄像机、门禁、道闸、应急电源、紧急疏散门、疏散指示牌等。对其进行图层显隐控制与状态及资产信息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2、地图展示消防通道路线（预先绘制），可进行动线播放与查看，用于消防推宣与演练。编辑消防动线时，可以配置附近的相机、动线展示时，可以联动播放附近相机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3、消防设备到期提醒业务。状态分正常、即将到期、已经到期。即将到期的时间可配置。可设置即将到期和已经到期进行主动预警弹窗。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4、网格化管理，能够创建区域分组，并在区域下创建子区域分组，可将设备划分到对应区域中；支持按地图查找设备的方式，也支持按区域管理下进行设备操作的方式；区域可在地图上配置不同的颜色；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4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83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644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BC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C0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决策支撑子系统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85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1、支持事件库管理，将重要事件（如紧急报警等）录入事件库统一管理。支持新增、修改、导出和删除。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2、支持事件库查询，支持查看事件名称、时间记录事件、发生时间、发生地点、事件状态（处理中、已处理、已作废）、事件描、事件备注、事件媒体资源（视频、图片、附件）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3、支持安全等级评估，根据事件风险等级（包括伤亡情况、环境影响、财产损失、运营影响），进行危害识别及风险评估，形成评估情况汇总并记录入库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4、支持将事件关联对应预案业务，便于流程化管理工作。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60B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7F2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E59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E7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4A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应急预案子系统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90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1、支持创建、修改、删除预案任务，一个预案任务包括预案名称、预案描述、预案执行任务。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对预案按先后顺序设置执行步骤，执行步骤包括文字描述及联动指令两种。其中文字描述，可人为输入文本描述预案步骤，也可上传附件文档；联动支持，支持联动摄像机、门禁等各类安防子系统相应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3、发生事件时，支持执行相应预案。可根据预案步骤，依次处理或查看步骤执行状态。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053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26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75E4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C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B0D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勤务管理子系统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BE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1、支持对人员分配不同所属部门，支持按部门查看对应人员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2、支持管理考勤班次，班次包括考勤人员、班次考勤有效时间、考勤周期。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3、支持对班次增、删、改等操作。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4、支持根据日期、排班班次、人员、考勤状态（正常/缺勤/迟到/早退/异常）等信息查看考勤记录。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5、支持对单个记录查看人员基本信息及考勤详情，包括考勤人员姓名、性别、部门、证件号，以及考勤周期、考勤状态、签到时间、签到设备、签退时间、签退设备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2C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AFF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32E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0F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FA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巡更管理子系统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2F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1、支持配置视频巡更任务，指定工作人员按计划以组轮巡的方式对摄像机实况进行巡逻检查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2、支持查看视频巡更状态及实况画面，支持查询巡更记录，对于每一条巡更记录，可查看已巡更的相机；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3、支持配置电子巡更任务，指定工作人员按计划已巡更终端进行巡逻检查；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4、支持查看电子巡更记录，以及对应的巡更时间、巡更路线与巡更状态；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2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79F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74F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713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88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信息发布子系统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51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基于地图做全局的信息发布管控。实现文字、图片等信息的发布控制、设备状态展示；解决传统发布系统管理效率低、单点调试的人力成本高的问题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通过接入的第三方信息发布系统，结合视频监控数据与地图应用，实现场景内的信息发布设备可视管理，提供信息发布与数据管理解决方案，助力智慧治安管理。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80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55A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0A6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28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9F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车辆管理子系统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E3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1.统计展示车辆类型、园区车辆数量、停车场余位数、车辆停留时长、车辆进出频率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2.车辆余位管理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3.白名单车辆、vip车辆管理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展示油车占位、充电枪归位、消防器材遗失、非机动车占位告警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5.展示充电车位数量及占用情况</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7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3E8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D9F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47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BE6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广播子系统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92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播系统通过对接第三方广播系统，基于第三方系统的协议要求和接口标准，实现第三方业务系统功能在集成平台的统一实现，实现对广播设备的统一远程管理，应对园区复杂场景下，利用应急广播系统快速播报事件和通知信息，帮助人员迅速掌握园区各项推送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通过接入的第三方IP广播系统，结合视频监控数据与地图应用，实现场景内的IP广播可视管理，助力智慧治安管理。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支持地图展示各类广播设备分布及设备状态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支持广播设备在地图快速定位，支持查看并处理报警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支持在地图上可视化的查看广播设备播报的内容信息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支持对广播设备进行发布、暂停等远程控制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C7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911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76E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73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812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实景指挥管理软件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13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自带1路高点授权，纯软件配合VM使用，支持AR实景业务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1、支持在高点实况画面中叠加其它高点摄像机、低点摄像机、建筑物、道路、区域等多类标签，本项目要求≥2个高点摄像机授权；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2、支持列表高高联动，在列表中切换至其它高点摄像机；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3、支持结合地图的高高联动，在二维地图上支持打开其它高点摄像机，也可以在AR全景界面中，点击跳转至其它高点全景摄像机；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4、支持高低联动，全景界面中，点击低点相机打开实况画面，以画中画形式呈现，点击卡口可以查看视频和抓拍图片；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E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EB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74AF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45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26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移动视频及事件处理子系统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3C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视频查看 支持摄像机实况、回放查看，支持相机列表的展示和组织树展示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支持摄像机加入收藏/取消收藏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支持视频的抓拍、云台控制、声音控制、实况的开启/关闭，支持查看最近观看历史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告警处理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支持告警的实时推送，包括实时弹窗、声音提醒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支持历史告警的查询，支持按照告警类型、告警级别、时间、处理状态等进行检索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支持查看报警详情，包括报警时间、报警点位、报警类型、处理结果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支持报警的处理，支持录像回放、详情查看、支持填写处理意见，支持核实/误报操作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3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8F4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79FD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E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D6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移动工单处理（PC+移动）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78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1、支持移动端告警转工单、隐患转工单，派送工单至相应负责人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2、可根据派单时间、工单类型、处理状态筛选查询工单列表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3、支持对工单进行处理，并填写处理意见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4、支持人工填写并派送工单，填写工单类型工单内容并指定责任人处理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5、支持根据派发人、处理人、处理周期、任务量，以图表形式统计展示（仅支持在PC端查看）。</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BE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3EF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D27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F7D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C8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移动巡检业务（PC+移动）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6F7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1、支持通过移动端列表查看本人的任务记录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2、支持查看某一巡检任务的详细执行情况，包括每一个巡检点的处理状态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3、支持调用手机摄像头扫描二维码，获取该巡更点信息进行扫码上报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4、支持对设备隐患信息逐项检查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5、支持对异常巡更点位，上报故障记录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6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17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F5D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BD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B9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移动访客</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A6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1、支持通过访客二维码、h5链接进行访客预约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2、支持关联车辆数据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3、支持历史预约记录查询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4、支持审核通过后访客通过刷脸通行/扫码通行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5、通行时效限制：根据提交的时间段限制通行有效期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6、支持被访者单个/批量添加访客，并统一生成二维码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4A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9E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EDE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6D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5C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地图数据服务一体机</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95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采用B/S架构，支持基于浏览器(chrome内核)的轻量级访问，无需安装任何客户端插件；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支持轻量级的终端上获得高质量的3D渲染，不依赖于客户端电脑的硬件性能，满足普通工作电脑的运行支持；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支持云端渲染技术及并发集群管理服务；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支持108P-4K级高清画面的输出，并且保证流畅运行；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支持自动适配各终端分辨率；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支持30FPS帧率，支持用户自行调整帧率和码率，确保极限网络下正常使用；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支持多种类的数据融合与发布，包含影像数据、三维模型数据、BIM数据、倾斜摄影数据、矢量图层数据及业务图层数据的融合与发布；</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B4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345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6DF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62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68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3D地图定制软件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8D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1、精细模型及与其相关的主要附属设施模型，丰富的反映房屋屋顶、外轮廓及屋顶设施等主要附属设施的基本特征。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2、建筑物主体结构与附属设施等立面凹凸结构大于50cm的要用模型表现，地下出入口、立柱、围墙等可主体建模表现，栅栏、指示牌等可采用纹理贴图表现。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合理控制模型三角面数，单个模型面数不应超过5000面，复杂建筑或古建可适当放宽，但不应超过9000面。模型具有较高精细度，最大程度的接近真实，纹理材质应与建模物体外观保持一致，反映出纹理的实际图像、颜色、透明度等，区别出砖、木头、玻璃等不同质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4、建筑物模型要求反映建模物体长、宽、高等任意维度变化大于0.5米的细节。例如建筑的外观转角变化、阳台、门窗框架样式、屋檐造型等。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5、地表模型以1:500比例尺地形图、遥感影像和实地采集的数据为基础，以人工建模方式制作三维地形模型，包括绿地、植被、铺地、广场、人行道、地块内部道路等模型。</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21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379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0938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1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F7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业务数据可视化服务平台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05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驾驶舱底座，运行驾驶舱软件。1、支持对创建的可视化项目顺序、发布状态、封面自定义调整，支持自定义界面logo等个性化配置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2、支持柱形图、折线图、饼图等常规类型组件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3、支持文字、辅助图形、指标控件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4、支持二三维地图展示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5、支持交互类型组件，支持地图的交互事件驱动场景切换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6、内置1920*1080、1366*768、1024*768等常用分辨率，可直接选择使用，同时支持使用者根据实际展示场景自定义分辨率大小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7、常用组件提供多套自定义主题皮肤，同时支持多种风格一键切换，支持用户自主选择配色方案，满足不同实际应用场景。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F5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E59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30D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BB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9E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通用可视化模板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E0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支持统计园区进出车辆；支持实时报警统计，并支持查看报警详情；支持统计进出园区人员数量；支持统计运维设备运行状态。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5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601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72D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E21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95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安消管理系统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FB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安消一体化三维可视化展示及告警联动管理。1、支持重点监控视频画面展示，可根据客户需要进行设定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2、支持监控总数、在线情况统计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3、支持消防设备总数、设备正常/故障状态统计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4、支持告警历史总数、今日告警总数、已处理、未处理、误报的数据统计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5、支持消防告警信息列表实时滚动播放展示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6、支持告警详情查询，查询界面支持回放、图片、告警描述及处置情况等信息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7、支持告警趋势统计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B82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EF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315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2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F0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人车通行系统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22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人车通行三维可视化展示及告警联动管理。1、支持车辆道闸及门禁的地图分布展示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2、支持车辆道闸及门禁设备点击查看设备状态及抓拍记录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3、支持园区车辆统计，包括目前在园车辆数量统计及园区内车辆平均停留时长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4、支持园区车辆进出趋势分析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5、支持车辆类型统计（货车、轿车、工程车等）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6、支持车辆异常报警列表实时滚动播放展示</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08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24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6FD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39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C4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能效管理系统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74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能耗及无线情况管理分析。1、支持展示水表、电表等能耗设备的地图分布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2、支持区分异常和正常设备，可根据图例控制显示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3、支持点击地图设备点位，查看设备状态及实时数据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4、支持展示能耗设备总数及实时在线率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5、支持各个楼宇/楼层的用水、用电量排名，可以按照月度、季度、年度筛选</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4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634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4C5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99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13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移动端/驾驶舱硬件服务器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D1C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 Intel Xeon 4208 (8核16线程,2.1GHz)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 32GB DDR4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 【3.5寸 7.2K SATA】 4TB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硬盘背板: 12盘位硬盘背板</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BC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A7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4229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0D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A4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业软多维数据接入服务器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7F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一体机：支持对接门禁、消防、报警、对讲、动环、巡更、安检、能耗等物联网设备或平台的对接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1、基于WEB的可视化服务管理平台，可查看系统当前所有服务信息，服务运行日志相关信息；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2、采用插件化设计，各种子系统的接入可以快速通过插件实现；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3、内置消息总线结构，可以快速处理各种报警信息；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4、支持异型架构，可以兼容SDK、协议多种报警接入方式；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4E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7A2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3CC9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88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47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智能管理服务器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6A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业务规格:设备管理和资产管理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支持全网设备管理并可自定义添加属性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支持全网设备状态巡检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支持全网设备运行状况的实时更新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支持SNMP标准网管协议（需搭配IAVD）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支持资产同步 全网资产统计 支持对服务器CPU、内存、硬盘、关键进程、数据库服务器关键进程等的检查和阀值告警（需搭配IAVD）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录像状态检测管理（需搭配IAVD）</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17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30A5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E76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7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E8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智能诊断服务器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5C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支持视频亮度异常检测、偏色检测、视频信号丢失检测、遮挡检测、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对比度异常检测、画面冻结检测、场景变换检测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图像噪声检测，横纹检测、滚屏检测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先进高效的视频诊断算法、准确率高、速度快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支持实况用时检测、丢包率检测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录像状态侦测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支持前端的录像状态检测</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A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E7C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954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FE2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0D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园区资产管理、运营、财务管理模块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15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园区信息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平台消息通知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企业管理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园企协同管理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企业培育服务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园区形象展示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党建服务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资源租赁管理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热门活动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企业服务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企业数据上报园区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数据上报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EA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7E8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2B9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C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36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智慧园区管理平台（园管家小程序）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9E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园管家小程序面向管理运营人员打造的管理软件，提供了招商工作、企业服务、物业管理等功能，提升了管理效率，减轻了物业压力。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1、数据看板：帮您找到业务重点，制定运营策略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2、运营管理工作协同：让园区运营工作智能便捷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3、消息推送：待办事项随时知晓</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57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DE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A61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A3BF">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65E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全息展厅系统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C5B14">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3FD7">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A800">
            <w:pPr>
              <w:jc w:val="right"/>
              <w:rPr>
                <w:rFonts w:hint="eastAsia" w:ascii="宋体" w:hAnsi="宋体" w:eastAsia="宋体" w:cs="宋体"/>
                <w:i w:val="0"/>
                <w:iCs w:val="0"/>
                <w:color w:val="000000"/>
                <w:kern w:val="0"/>
                <w:sz w:val="18"/>
                <w:szCs w:val="18"/>
                <w:u w:val="none"/>
                <w:lang w:val="en-US" w:eastAsia="zh-CN" w:bidi="ar"/>
              </w:rPr>
            </w:pPr>
          </w:p>
        </w:tc>
      </w:tr>
      <w:tr w14:paraId="4475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E33C">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1F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C64A">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9BF4">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63007">
            <w:pPr>
              <w:jc w:val="right"/>
              <w:rPr>
                <w:rFonts w:hint="eastAsia" w:ascii="宋体" w:hAnsi="宋体" w:eastAsia="宋体" w:cs="宋体"/>
                <w:i w:val="0"/>
                <w:iCs w:val="0"/>
                <w:color w:val="000000"/>
                <w:kern w:val="0"/>
                <w:sz w:val="18"/>
                <w:szCs w:val="18"/>
                <w:u w:val="none"/>
                <w:lang w:val="en-US" w:eastAsia="zh-CN" w:bidi="ar"/>
              </w:rPr>
            </w:pPr>
          </w:p>
        </w:tc>
      </w:tr>
      <w:tr w14:paraId="380E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A7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733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沉浸式墙面屏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8D1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Style w:val="87"/>
                <w:lang w:val="en-US" w:eastAsia="zh-CN" w:bidi="ar"/>
              </w:rPr>
              <w:t>包含发送接收卡、控制软件、图像拼接控制器等</w:t>
            </w:r>
            <w:r>
              <w:rPr>
                <w:rStyle w:val="87"/>
                <w:lang w:val="en-US" w:eastAsia="zh-CN" w:bidi="ar"/>
              </w:rPr>
              <w:br w:type="textWrapping"/>
            </w:r>
            <w:r>
              <w:rPr>
                <w:rStyle w:val="87"/>
                <w:lang w:val="en-US" w:eastAsia="zh-CN" w:bidi="ar"/>
              </w:rPr>
              <w:t>投标人需考虑在保修期内根据业主要求提供三次视频制作服务，视频时长不低于五分钟。此部分费用在投标时综合考虑，不另行计取费用。</w:t>
            </w:r>
            <w:r>
              <w:rPr>
                <w:rStyle w:val="87"/>
                <w:lang w:val="en-US" w:eastAsia="zh-CN" w:bidi="ar"/>
              </w:rPr>
              <w:br w:type="textWrapping"/>
            </w:r>
            <w:r>
              <w:rPr>
                <w:rStyle w:val="87"/>
                <w:lang w:val="en-US" w:eastAsia="zh-CN" w:bidi="ar"/>
              </w:rPr>
              <w:t>▲1、点间距 ≤1.875mm，点密度：≥284444点/㎡</w:t>
            </w:r>
            <w:r>
              <w:rPr>
                <w:rStyle w:val="87"/>
                <w:lang w:val="en-US" w:eastAsia="zh-CN" w:bidi="ar"/>
              </w:rPr>
              <w:br w:type="textWrapping"/>
            </w:r>
            <w:r>
              <w:rPr>
                <w:rStyle w:val="87"/>
                <w:lang w:val="en-US" w:eastAsia="zh-CN" w:bidi="ar"/>
              </w:rPr>
              <w:t>2、箱体尺寸：≥600mm*337.5mm;箱体材质：压铸铝材质；</w:t>
            </w:r>
            <w:r>
              <w:rPr>
                <w:rStyle w:val="87"/>
                <w:lang w:val="en-US" w:eastAsia="zh-CN" w:bidi="ar"/>
              </w:rPr>
              <w:br w:type="textWrapping"/>
            </w:r>
            <w:r>
              <w:rPr>
                <w:rStyle w:val="87"/>
                <w:lang w:val="en-US" w:eastAsia="zh-CN" w:bidi="ar"/>
              </w:rPr>
              <w:t>3、封装：采用SMD表贴三合一封装；≥刷新率：3840Hz；</w:t>
            </w:r>
            <w:r>
              <w:rPr>
                <w:rStyle w:val="87"/>
                <w:lang w:val="en-US" w:eastAsia="zh-CN" w:bidi="ar"/>
              </w:rPr>
              <w:br w:type="textWrapping"/>
            </w:r>
            <w:r>
              <w:rPr>
                <w:rStyle w:val="87"/>
                <w:lang w:val="en-US" w:eastAsia="zh-CN" w:bidi="ar"/>
              </w:rPr>
              <w:t>▲4、产品亮度需满足≥600cd/㎡，支持通过配套软件0-100%无级调节，支持亮度定时调节，支持通过亮度传感器自动调节，支持具有智能白平衡补偿和修正功能；亮度均匀性＞98.5%，色度均匀性±0.002Cx,Cy之内，ΔX、ΔY值≤0.001；产品水平可视角＞165°，垂直可视角＞165°； 提供官网截图彩页，厂家或投标单位盖章。</w:t>
            </w:r>
            <w:r>
              <w:rPr>
                <w:rStyle w:val="87"/>
                <w:lang w:val="en-US" w:eastAsia="zh-CN" w:bidi="ar"/>
              </w:rPr>
              <w:br w:type="textWrapping"/>
            </w:r>
            <w:r>
              <w:rPr>
                <w:rStyle w:val="87"/>
                <w:lang w:val="en-US" w:eastAsia="zh-CN" w:bidi="ar"/>
              </w:rPr>
              <w:t>5、箱体平整度≤0.1mm，支持屏体拼缝亮线、暗线校正；模组平整度≤0.1mm；箱体间/模组间相对错位值小于1.2%；发光点中心距偏差＜0.3%；</w:t>
            </w:r>
            <w:r>
              <w:rPr>
                <w:rStyle w:val="87"/>
                <w:lang w:val="en-US" w:eastAsia="zh-CN" w:bidi="ar"/>
              </w:rPr>
              <w:br w:type="textWrapping"/>
            </w:r>
            <w:r>
              <w:rPr>
                <w:rStyle w:val="87"/>
                <w:lang w:val="en-US" w:eastAsia="zh-CN" w:bidi="ar"/>
              </w:rPr>
              <w:t>6、产品应符合GB4943.1-2011音视频、信息技术设备和通信技术设备第1部分：安全要求，阻燃等级需≥HB级；</w:t>
            </w:r>
            <w:r>
              <w:rPr>
                <w:rStyle w:val="87"/>
                <w:lang w:val="en-US" w:eastAsia="zh-CN" w:bidi="ar"/>
              </w:rPr>
              <w:br w:type="textWrapping"/>
            </w:r>
            <w:r>
              <w:rPr>
                <w:rStyle w:val="121"/>
                <w:lang w:val="en-US" w:eastAsia="zh-CN" w:bidi="ar"/>
              </w:rPr>
              <w:t>7、箱体单元烟气毒性测试应符合BS6853标准，R（max）≤1；（提供包含上述内容的产品彩页并加盖投标方公章与具有CMA或CNAS标识的第三方检测机构出具的检测报告复印件加盖投标方公章)</w:t>
            </w:r>
            <w:r>
              <w:rPr>
                <w:rStyle w:val="87"/>
                <w:lang w:val="en-US" w:eastAsia="zh-CN" w:bidi="ar"/>
              </w:rPr>
              <w:br w:type="textWrapping"/>
            </w:r>
            <w:r>
              <w:rPr>
                <w:rStyle w:val="87"/>
                <w:lang w:val="en-US" w:eastAsia="zh-CN" w:bidi="ar"/>
              </w:rPr>
              <w:t>8、内部电源采用注塑一体IEC连接，接触端子具有保护盖板，支持模组级DC供电方式；电源AC端采用隐藏式设计，有效杜绝误触电风险；</w:t>
            </w:r>
            <w:r>
              <w:rPr>
                <w:rStyle w:val="87"/>
                <w:lang w:val="en-US" w:eastAsia="zh-CN" w:bidi="ar"/>
              </w:rPr>
              <w:br w:type="textWrapping"/>
            </w:r>
            <w:r>
              <w:rPr>
                <w:rStyle w:val="87"/>
                <w:lang w:val="en-US" w:eastAsia="zh-CN" w:bidi="ar"/>
              </w:rPr>
              <w:t>9、具有flashIC存储功能，支持模组自动校正，支持掉电存储功能，具备故障自诊断及排查功能，支持工作累积时间检测，温度检测，电源检测，温度监控；</w:t>
            </w:r>
            <w:r>
              <w:rPr>
                <w:rStyle w:val="87"/>
                <w:lang w:val="en-US" w:eastAsia="zh-CN" w:bidi="ar"/>
              </w:rPr>
              <w:br w:type="textWrapping"/>
            </w:r>
            <w:r>
              <w:rPr>
                <w:rStyle w:val="87"/>
                <w:lang w:val="en-US" w:eastAsia="zh-CN" w:bidi="ar"/>
              </w:rPr>
              <w:t>10、箱体为压铸铝合金材质；箱体间支持XYZ轴六个方向调节；箱体背面采用增加散热面积的设计方式，散热速率高效提升；</w:t>
            </w:r>
            <w:r>
              <w:rPr>
                <w:rStyle w:val="87"/>
                <w:lang w:val="en-US" w:eastAsia="zh-CN" w:bidi="ar"/>
              </w:rPr>
              <w:br w:type="textWrapping"/>
            </w:r>
            <w:r>
              <w:rPr>
                <w:rStyle w:val="87"/>
                <w:lang w:val="en-US" w:eastAsia="zh-CN" w:bidi="ar"/>
              </w:rPr>
              <w:t>11、LED显示屏应具有防摩尔纹膜技术，用摄像机对显示装置进行拍摄时，能避免摩尔纹的产生；</w:t>
            </w:r>
            <w:r>
              <w:rPr>
                <w:rStyle w:val="87"/>
                <w:lang w:val="en-US" w:eastAsia="zh-CN" w:bidi="ar"/>
              </w:rPr>
              <w:br w:type="textWrapping"/>
            </w:r>
            <w:r>
              <w:rPr>
                <w:rStyle w:val="121"/>
                <w:lang w:val="en-US" w:eastAsia="zh-CN" w:bidi="ar"/>
              </w:rPr>
              <w:t>12、本项目所投LED屏体须通过CCC强制认证，提供CCC证书复印件加盖原厂公章</w:t>
            </w:r>
            <w:r>
              <w:rPr>
                <w:rStyle w:val="121"/>
                <w:lang w:val="en-US" w:eastAsia="zh-CN" w:bidi="ar"/>
              </w:rPr>
              <w:br w:type="textWrapping"/>
            </w:r>
            <w:r>
              <w:rPr>
                <w:rStyle w:val="121"/>
                <w:lang w:val="en-US" w:eastAsia="zh-CN" w:bidi="ar"/>
              </w:rPr>
              <w:t>13、内部电源采用注塑一体IEC连接，接触端子具有保护盖板，支持模组级DC供电方式；电源AC端采用隐藏式设计，有效杜绝误触电风险；（提供包含上述内容的产品彩页并加盖投标方公章与具有CMA或CNAS标识的第三方检测机构出具的检测报告复印件加盖投标方公章)</w:t>
            </w:r>
            <w:r>
              <w:rPr>
                <w:rStyle w:val="121"/>
                <w:lang w:val="en-US" w:eastAsia="zh-CN" w:bidi="ar"/>
              </w:rPr>
              <w:br w:type="textWrapping"/>
            </w:r>
            <w:r>
              <w:rPr>
                <w:rStyle w:val="121"/>
                <w:lang w:val="en-US" w:eastAsia="zh-CN" w:bidi="ar"/>
              </w:rPr>
              <w:t>14、当模组电流过大或短路时，支持模组电源自动切断，可以有效防止模组损伤或过热，电流恢复正常后，模组工作状态自恢复；（提供包含上述内容的产品彩页并加盖投标方公章与具有CMA或CNAS标识的第三方检测机构出具的检测报告复印件加盖投标方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A1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3261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233.69</w:t>
            </w:r>
          </w:p>
        </w:tc>
      </w:tr>
      <w:tr w14:paraId="28B3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7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55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沉浸式地砖屏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2D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包含发送接收卡、控制软件、图像拼接控制器等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投标人需考虑在保修期内根据业主要求提供三次视频制作服务，视频时长不低于五分钟。此部分费用在投标时综合考虑，不另行计取费用。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 核心参数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1、点间距≤2.5mm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★2、功能实现：LED地砖屏装载有压力传感器或电容式传感器或红外传感器等设备，当人在地砖屏上移动时，传感器能感应到人的位置并讲出发信息反应给主控，然后主控逻辑判别后输出响应的显示效果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3、软件控制：软件支持TUOI、FLASH、UDP点对点格式多种互动素材的制作和播放。软件支持带智能屏蔽感应物体功能。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1、水平视角≥120°，垂直视角≥120°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2、最大亮度≥800cd㎡；刷新率：≥3840Hz；色温：1000K-10000K可调； 对比度：≥8000：1； 提供官网截图彩页，厂家或投标单位盖章。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PCB电路设计：PCB采用FR-4材质，灯驱合一，电路电路采用多层设计，符合CQC13一471301一20183.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4、色温误差：色温为6500K时，100%，75%，50%，25%四档电平白场调节色温误差≤200K。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5、供电方式：双电压DC2.8VDC3.8V。（提供包含上述内容的产品彩页并加盖投标方公章与具有CMA或CNAS标识的第三方检测机构出具的检测报告复印件加盖投标方公章)；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6、运行能耗：采用合法授权专利节能驱动技术设计，单模组纯功耗低于12W。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7、休眠模式功耗：显示屏黑屏不点亮时，功耗≤58W㎡。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8、动态节能：带有智能节电功能，带电黑屏节电功能，开启智能节电功能比没有开启节能45%以上。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9、低亮度高灰度：支持EPWM 灰阶控制技术提升低灰视觉效果，0-100%亮度时，8-16bits任意灰度设置。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10、视觉舒适度：（VICO指数）范围在0-1级，满足CSA035.2-2017标准。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11、光生物安全：光生物安全及蓝光危害评估符合无危害类要求，属于无危害类产品；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12、阻燃测试：依据标准GB/T 2408-2021，GBT5169.16-2017,GB 4943.1-2022测试，阻燃等级符合V-0级；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13、本项目所投LED屏体须通过CCC强制认证，提供CCC证书复印件加盖原厂公章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14、漏电流测试：不大于5mA（AC峰值）</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EE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AD4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141.50</w:t>
            </w:r>
          </w:p>
        </w:tc>
      </w:tr>
      <w:tr w14:paraId="74C4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6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C6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悬浮屏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41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包含发送接收卡、控制软件、图像拼接控制器等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投标人需考虑在保修期内根据业主要求提供三次视频制作服务，视频时长不低于五分钟。此部分费用在投标时综合考虑，不另行计取费用。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1.点间距：≤2.0mm；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2.维护方式：产品支持前后双向维护，模组支持磁吸固定方式；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3.显示屏亮度：≥600cd/m2；对比度：≥9000:1；色温：2500K-10000K可调； 提供官网截图彩页，厂家或投标单位盖章。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4.可视角度：水平视角≥160°，垂直视角≥160°；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5.换帧频率：支持50/60Hz，3D显示；刷新率：≥1920Hz；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6.功耗：最大功耗≤750W/㎡，平均功耗≤250W/㎡；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7.动态节能：带有智能节电功能，带电黑屏节电功能，开启智能节电功能比没有开启节能45%以上；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8.低亮度高灰度：支持软件实现不同亮度情况下，灰度10-16bit 任意设置；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9.远程监控：可实现远程监督控制，对可能发生的潜在故障记录日志，并向操作员发出警报信号；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10.摩尔纹抑制功能：显示屏支持抑制摩尔纹功能，减轻摩尔纹视觉主观效果80%；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11.视觉舒适度：（VICO指数）范围在0-1级，满足CSA035.2-2017标准；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12.本项目所投LED屏体须通过CCC强制认证，提供CCC证书复印件加盖原厂公章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65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58E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61.08</w:t>
            </w:r>
          </w:p>
        </w:tc>
      </w:tr>
      <w:tr w14:paraId="4F4D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AC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DE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侧面辅屏</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B5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包含发送接收卡、控制软件、图像拼接控制器等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投标人需考虑在保修期内根据业主要求提供三次视频制作服务，视频时长不低于五分钟。此部分费用在投标时综合考虑，不另行计取费用。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一.基础参数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1、点间距 ≤4.0mm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1、模组尺寸：≥320mm*160mm；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2、水平可视角≥168°，垂直可视角≥168°，色温：2500K-12000K可调，色温为6500K时，100%，75%，50%，25%四档电平百场调节色温误差≤100K；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3、户内最大亮度≥500cd/㎡，亮度均匀度≥99%；亮度鉴别等级为C级，色度均匀性±0.0015C×Cy之内； 提供官网截图彩页，厂家或投标单位盖章。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4、模组间相对错位值≤1%，模组平整度≤0.1mm，模组间间隙≤0.1mm；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5、反光率：屏体正面为亚黑处理，反光率≤2%；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6、换帧频率：换帧频率支持50/60/120Hz；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7、刷新频率：支持通过配套软件调节刷新率的设置选项，刷新率720Hz-3840Hz，摄取画面稳定无波纹不闪烁；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8、盐雾试验：10级，整机样机无缺陷面积，外观评级为A级，整机样机外观无变化；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9、自动 GAMMA 矫正技术设计：支持自动GAMMA校正技术，通过构造非线性校正曲线和色坐标变换系数矩阵实现了显示效果的不断改善，各项重要指标如色彩还原性、色温调节范围、亮度均匀性、色度均匀性、刷新率、换帧频率等，均符合广电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10、摩尔纹抑制功能：显示屏支持抑制摩尔纹功能，减轻摩尔纹视觉主观效果80%；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11、动态节能：带有智能节电功能、带电黑屏节电功能，开启智能节电功能比没有开启节能60%以上。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12、视觉舒适度：（VICO指数）范围在0-1级，满足CSA035.2-2017标准；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13、本项目所投LED屏体须通过CCC强制认证，提供CCC证书复印件加盖原厂公章</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70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AA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66.88</w:t>
            </w:r>
          </w:p>
        </w:tc>
      </w:tr>
      <w:tr w14:paraId="6E37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B7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64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安装支架及装饰包边</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D2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根据现场实际情况搭建钢结构，满足现场安全需求。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1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EDE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503.15</w:t>
            </w:r>
          </w:p>
        </w:tc>
      </w:tr>
      <w:tr w14:paraId="2F1E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49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CA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视频管理平台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A6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1、具有16路HDMI2.0，8路HDMI1.3信号输入，240路网口输出。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2、设备正常工作时，噪声不大于45dB(A)（距离设备1m处）。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3、设备前面板液晶为IPS液晶屏，采用LED背光设计，无需连接额外的电脑和软件，在设备端即可实时脱机查看监控设备运行参数与状态，方便快捷。</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9B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85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1B8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9E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0F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媒体服务器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C2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单机最高支持 16Kx8K@60hz 输出带载(16路4Kx2K@60Hz)，  无限图层、无限节目，  四显卡帧同步播放，多机级联播控、级联备份、移动端控制、专业服务器机箱，内置企业版windows系统，内置播控软件、Hynamic MD3等配套授权锁。</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1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EDF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C14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B26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B2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机柜、机架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C9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1.名称:落地机柜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2、国际流行的烟灰色钢化玻璃前门；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3、主体颜色可选： 国际流行电脑灰。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4、方便的挂墙安装设计，也可安装脚轮或支撑脚后放置地面上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3.安装方式:落地安装，含机柜底座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C4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D64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1641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61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01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54A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配电容量及设备选型满足系统使用要求以及图纸要求；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智能配电柜（含元件）功能满足以下要求：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1、对LED显示屏的远程控制上电，实现多时段智能定时开关屏电源；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2、智能配电柜送电采用“分步延时分上电”的上电方式，避免了大负载对电网瞬间的冲击，可有效地保护显示屏体的电子元件，延长显示屏使用寿命；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3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F3A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2F1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7A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206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升降机械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2E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定制固定加强升降结构套件：包括顶部钢结构，及吊杆；主要部件：1KW伺服电机-×1、高压伺服驱动器×1、精密行星减速箱×1、感应器等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辅助附件：电机连接板、联轴器、滑块x4、限位器x2、坦克拖链、线材、螺丝、固定件、电子辅料等。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动力系统：采用静音电机及配套的减速器驱动，扭矩大，声音小、运动平稳。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高精度：通过控制器精确控制电机转动，并实时获取位置信息，位置精度0.1mm级别，更新速度小于20ms。</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4D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039B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2F72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C1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2A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强弱电缆及配套设备-全息展厅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76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强弱电线缆、配管、桥架、交换机、设备间静电地板等配套设备，满足系统使用要求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5A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158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771D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05E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6AF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附件-全息展厅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79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LED支架、配电附件、支架附件、管线附件等配套相关设备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0D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0E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3D76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B013">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D7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658C">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7E14">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066D">
            <w:pPr>
              <w:jc w:val="right"/>
              <w:rPr>
                <w:rFonts w:hint="eastAsia" w:ascii="宋体" w:hAnsi="宋体" w:eastAsia="宋体" w:cs="宋体"/>
                <w:i w:val="0"/>
                <w:iCs w:val="0"/>
                <w:color w:val="000000"/>
                <w:kern w:val="0"/>
                <w:sz w:val="18"/>
                <w:szCs w:val="18"/>
                <w:u w:val="none"/>
                <w:lang w:val="en-US" w:eastAsia="zh-CN" w:bidi="ar"/>
              </w:rPr>
            </w:pPr>
          </w:p>
        </w:tc>
      </w:tr>
      <w:tr w14:paraId="2539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06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F4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9F6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1.名称:电子可导向柱状扬声器,配套安装支架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2.规格:音箱结构：不少于16x4”全频单元，自带DSP功放，每路功率不小于90W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频率响应：60-17KHz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最大声压级：不小于130db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水平覆盖角度：110°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垂直覆盖角度：0°to +90°，0.1°步进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倾斜角度：-40°to +40°，0.1°步进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发声点：0-100%移动（音箱底部至顶部）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波束控制：可分2波束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具有旁瓣抑制技术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可储存≥100种用户预设程序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9DE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7B2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314E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9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46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C67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1.名称:主扩柱状超低频扬声器,配套安装支架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2.规格:单元结构：不少于4x4”低频单元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箱体结构特点：4个集成Fohhn低频扩展装置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频率下限：45Hz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阻抗：2*4Ω或1*8Ω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最大声压级：不少于112db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7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AB6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1E69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80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F0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27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1.名称:LED展示区柱状全频扬声器,配套安装支架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2.规格:单元结构：不少于8x4”低音单元/1x1”高音单元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覆盖角度（HxV）：120°x +10°/-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功率：≥480W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最大声压级：不少于123db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19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09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7B01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6B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23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3D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1.名称:LED展示区柱状超低频扬声器,配套安装支架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2.规格:单元结构：不少于4x4”低频单元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箱体结构特点：4个集成Fohhn低频扩展装置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频率下限：45Hz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阻抗：2*4Ω或1*8Ω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最大声压级：不少于112db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5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45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2D8D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5A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AC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F4E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1.名称:后场辅助柱状全频扬声器,配套安装支架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2.规格:单元结构：不少于8x4”低音单元/1x1”高音单元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覆盖角度（HxV）：120°x +10°/-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功率：≥480W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最大声压级：不少于123db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C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C8F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46B7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36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9A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2F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1.名称:两通道DSP功率放大器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2.规格:自带4×2矩阵DSP功放，不小于2*600W/8欧/2*1200W/4欧/100V/70V，4路线路/话筒输入，USB-C控制接口，自带100个音箱预设参数和100个用户参数设置，模拟输入</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C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D2D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512E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1F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70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AA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2.规格:16路平衡输入、16路平衡输出、每路输入具有+48V DC幻象电源、话筒的输入的灵敏度可调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输入、输出通道系统可处理低切、参数均衡、增益、静音、压缩器、相位、噪声门、延时器、音量编辑处理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系统提供完善的控制代码库，全面支持第三方中控的控制及管理，包括所有音量的控制、预设场景调用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99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B87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9A7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1F926">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7BA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控制系统</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B414">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20ED">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7854">
            <w:pPr>
              <w:jc w:val="right"/>
              <w:rPr>
                <w:rFonts w:hint="eastAsia" w:ascii="宋体" w:hAnsi="宋体" w:eastAsia="宋体" w:cs="宋体"/>
                <w:i w:val="0"/>
                <w:iCs w:val="0"/>
                <w:color w:val="000000"/>
                <w:kern w:val="0"/>
                <w:sz w:val="18"/>
                <w:szCs w:val="18"/>
                <w:u w:val="none"/>
                <w:lang w:val="en-US" w:eastAsia="zh-CN" w:bidi="ar"/>
              </w:rPr>
            </w:pPr>
          </w:p>
        </w:tc>
      </w:tr>
      <w:tr w14:paraId="3149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2A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CD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47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1.名称：网络中控主机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2.规格:全面支持网络控制，支持网络级联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WiFi/有线以太网控制，支持多台终端同时控制同一台主机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路 RJ45 接口，作为以太网接口，连接 PC 控制软件或有线控制面板，用于实现远程控制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开放式的可编程控制平台，人性化的操作界面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可动态配置的 RS-232C/485 控制接口，全面支持各种控制连接协议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内嵌式红外遥控学习功能，无需配置专业学习器，简便可靠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带音量控制功能的混音器（≥2 路可独立调节音量的立体声输入，1 路立体声输出）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路红外发射口可实现对 VCR, DVD, CD, MD 播放器和投影机等的遥控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路数字 I/O 控制口和 8 路弱继电器控制口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路 RS-232C 控制端口，可控制视频矩阵或等离子显示等设备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前面板具有 LCD 显示屏及 LED 状态指示灯，主机菜单及工作状态一目了然，并可显示实时时钟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提供中/英文系统设置操作及编程软件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结构紧凑，可安装于 19 英寸标准机柜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2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F1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CF9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FB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D6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41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 路独立电源开关控制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可通过前面板按键控制电源开关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载入容量：单路电流 AC: 10 A/250 V，DC: 10 A/28 V</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7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587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853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83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5C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系统软件</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89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系统专用编程软件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EF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4F4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5CC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4D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679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67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采用ARM核32位处理器控制，使时间更精确性能更稳定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≥8路通道总承受功率为8.8KW电源，拥有高性能RFI/EMI电源滤波器，为用户的设备提供干净而稳定的电源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每通道设立独立的硬件紧急关闭开关，可以通过开关紧急关闭某一路的电源输出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可设置密码功能，更好的保护系统用电安全管理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设备内置中控代码生成器，方便第三方设备进行代码编辑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本设备可通过红外学习IR功能及IO控制功能对第三方设备进行控制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AA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A1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FD9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3E9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247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无线路由器</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4AD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双频双千兆智能路由器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D3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47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B94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C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01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中控控制平板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EF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1.屏幕尺寸：不小于10英寸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2.分辨率：2560*1600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4.不小于6GB内存容量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5.存储空间不小于128GB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48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A5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319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B1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24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BF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混合插卡矩阵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高性能的音视频信号专业切换设备，支持无缝切换，切换输入源，几毫秒即可输出视频，画质高保真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应用于广播电视工程、多媒体会议厅、大屏幕显示工程、电视教学、指挥控制中心等场合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可插入搭配的信号卡：4KHDMI、VGA、SDI 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可以与混合插卡矩阵输入、输出系列卡板任意搭配，结合不同信号卡功能可以解决综合视听的问题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最多可配置 4 个输入板卡、4 个输出板卡，每个板卡支持 2 路视频信号和音频信号，多达 8 路音视频输入/输出信号。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兼容不同信号类型的输入/输出卡，用于不同类型信号的输入/输出交叉切换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支持最高分辨率：3840x2160 444@60Hz（4K 系列卡）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 1 路 RS-232 控制接口，支持 RS-232 控制协议，可连接中央控制系统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 1 路 RJ45 接口，连接 TCP/IP，可实现视频跟踪功能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 1 路 RS422 接口，用于连接云台摄像机，并内置了多种专业摄像机的控制协议，可控制 HUAWEI, SONY, PELCO, Panasonic 等多种专业摄像机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具有掉电记忆工作状态功能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 LCD 显示屏，实时显示操作状态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具有前面板按键控制，方便手动切换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双电源冗余设计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9B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9D6D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4D62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0E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8D0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A8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双通道4K HDMI输入卡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4K 无缝输入信号卡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 2 路 HDMI 输入接口和 2 路 Ø 3.5mm 立体声音频输入端口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HDMI 信号，兼容 DVI；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 输入支持 HDMI2.0 和 DVI1.0 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输入信号具有自动倍线功能；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自动识别输入分辨率（包括但不仅限于）：HDMI 2.0 4K 444@60Hz 并向下兼容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支持立体声音频加嵌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可手动设置模拟音频输入开启/关闭</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F4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EFE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1E3A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8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F4A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36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双通道4K HDMI输出卡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无缝输出信号卡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HDMI 信号，兼容 DVI；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HDMI2.0 和 DVI1.0；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支持立体声音频解嵌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输出分辨率可设置为（包括但不仅限于）：HDMI 2.0 444@60Hz并向下兼容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 输出时：可手动设置内嵌音频输出开启/关闭；</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A5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04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CEB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9B92">
            <w:pPr>
              <w:jc w:val="center"/>
              <w:rPr>
                <w:rFonts w:hint="eastAsia" w:ascii="宋体" w:hAnsi="宋体" w:eastAsia="宋体" w:cs="宋体"/>
                <w:i w:val="0"/>
                <w:iCs w:val="0"/>
                <w:color w:val="000000"/>
                <w:kern w:val="0"/>
                <w:sz w:val="18"/>
                <w:szCs w:val="18"/>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0C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9240">
            <w:pPr>
              <w:jc w:val="left"/>
              <w:rPr>
                <w:rFonts w:hint="eastAsia" w:ascii="宋体" w:hAnsi="宋体" w:eastAsia="宋体" w:cs="宋体"/>
                <w:i w:val="0"/>
                <w:iCs w:val="0"/>
                <w:color w:val="000000"/>
                <w:kern w:val="0"/>
                <w:sz w:val="18"/>
                <w:szCs w:val="18"/>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B1FA">
            <w:pPr>
              <w:jc w:val="center"/>
              <w:rPr>
                <w:rFonts w:hint="eastAsia" w:ascii="宋体" w:hAnsi="宋体" w:eastAsia="宋体" w:cs="宋体"/>
                <w:i w:val="0"/>
                <w:iCs w:val="0"/>
                <w:color w:val="000000"/>
                <w:kern w:val="0"/>
                <w:sz w:val="18"/>
                <w:szCs w:val="18"/>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5F89">
            <w:pPr>
              <w:jc w:val="right"/>
              <w:rPr>
                <w:rFonts w:hint="eastAsia" w:ascii="宋体" w:hAnsi="宋体" w:eastAsia="宋体" w:cs="宋体"/>
                <w:i w:val="0"/>
                <w:iCs w:val="0"/>
                <w:color w:val="000000"/>
                <w:kern w:val="0"/>
                <w:sz w:val="18"/>
                <w:szCs w:val="18"/>
                <w:u w:val="none"/>
                <w:lang w:val="en-US" w:eastAsia="zh-CN" w:bidi="ar"/>
              </w:rPr>
            </w:pPr>
          </w:p>
        </w:tc>
      </w:tr>
      <w:tr w14:paraId="14AB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71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83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EB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1.名称:无线双手持话筒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2.规格:1、频率响应：20 Hz-20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2、可更换话筒头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3、超过120 dB的动态范围 – 无需进行发射机增益调整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4、1/10mW可选射频输出功率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5、安装2节AA碱性电池时，可连续使用长达9小时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6、100米（330英尺）视线工作范围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E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66D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1B98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AE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C7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B2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1.名称:无线接收机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2.规格:1、单通道无线话筒接收机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2、高达82 MHz调谐带宽（视地区而定）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3、单一频段有最高可达77个预设兼容通道（视地区而定）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4、数字式预开关分集确保可靠的射频连接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5、自动通道扫描可快速找到最为清晰的频率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6、可与发射机进行红外同步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7、最高60 dB可调音频增益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8、具有锁定功能的高对比度LCD菜单和控件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38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03D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0B0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93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F0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扩声系统设备</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22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无线分配器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1、载波频率范围 ：470-960兆赫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2、天线A和B输入过载LED指示灯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3、五路射频信号输出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4、内部电源供应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5、4个用于接收机的直流馈电端（15V，最大2.5A）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6、用于天线偏置的直流输出端（12V，最大300mA）</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B8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1C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633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55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4D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无线天线</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B9C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1、接头类型: BNC, 插孔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2、阻抗: 50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3、接收模式(3 dB 波束宽度): 70 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4、天线增益 (在轴): 7.5 dBi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5、信号增益 ±1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6、可切换Active: +12 dB, +6 dB  Passive: 0 dB, -6 dB</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2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533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69E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76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B11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会议系统辅材-全息展厅</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BD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扩声、矩阵、音频管线、配电柜等配套相关设备等，满足系统完整安装、调试、运行的所有辅材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8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225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5F3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05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7D2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扩声系统调试</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69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扩声系统调试:1.系统调试语言系统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2.系统调试多功能系统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87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C2C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59F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45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C2E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扩声系统试运行</w:t>
            </w:r>
          </w:p>
        </w:tc>
        <w:tc>
          <w:tcPr>
            <w:tcW w:w="4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42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扩声系统试运行;1.试运行语言系统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2.试运行多功能系统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3C2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C28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14:paraId="09274AC3">
      <w:pPr>
        <w:spacing w:line="360" w:lineRule="auto"/>
        <w:ind w:right="-2" w:rightChars="-1" w:firstLine="482" w:firstLineChars="200"/>
        <w:rPr>
          <w:rFonts w:hint="eastAsia"/>
          <w:b/>
          <w:bCs/>
          <w:highlight w:val="none"/>
        </w:rPr>
      </w:pPr>
    </w:p>
    <w:p w14:paraId="0FCC432D">
      <w:pPr>
        <w:pStyle w:val="94"/>
        <w:ind w:firstLine="0"/>
        <w:rPr>
          <w:rFonts w:hint="eastAsia" w:cs="宋体"/>
          <w:b/>
          <w:bCs/>
          <w:kern w:val="0"/>
          <w:sz w:val="24"/>
          <w:szCs w:val="68"/>
          <w:highlight w:val="none"/>
        </w:rPr>
      </w:pPr>
      <w:r>
        <w:rPr>
          <w:rFonts w:hint="eastAsia" w:cs="宋体"/>
          <w:b/>
          <w:bCs/>
          <w:kern w:val="0"/>
          <w:sz w:val="24"/>
          <w:szCs w:val="68"/>
          <w:highlight w:val="none"/>
        </w:rPr>
        <w:t>注：</w:t>
      </w:r>
    </w:p>
    <w:p w14:paraId="2A39D603">
      <w:pPr>
        <w:spacing w:line="360" w:lineRule="auto"/>
        <w:ind w:firstLine="482" w:firstLineChars="200"/>
        <w:rPr>
          <w:rFonts w:hint="eastAsia"/>
          <w:b/>
          <w:highlight w:val="none"/>
        </w:rPr>
      </w:pPr>
      <w:r>
        <w:rPr>
          <w:rFonts w:hint="eastAsia"/>
          <w:b/>
          <w:highlight w:val="none"/>
        </w:rPr>
        <w:t>★1、投标人（或联合体牵头人）须承诺投入本项目所有的产品设备、材料的技术参数完全响应或优于招标文件技术参数及图纸要求。需提供参数完全响应承诺函（格式见附件）并加盖投标人（或联合体牵头人）公章；招标文件▲重要性指标及技术参数和“▲”以外的其他非关键性技术参数，在招标清单中同类设备均需满足标注要求，并在技术响应及建议表中的货物名称里逐一列明。</w:t>
      </w:r>
    </w:p>
    <w:p w14:paraId="07D40191">
      <w:pPr>
        <w:spacing w:line="360" w:lineRule="auto"/>
        <w:ind w:firstLine="482" w:firstLineChars="200"/>
        <w:rPr>
          <w:rFonts w:hint="eastAsia"/>
          <w:b/>
          <w:highlight w:val="none"/>
        </w:rPr>
      </w:pPr>
      <w:r>
        <w:rPr>
          <w:rFonts w:hint="eastAsia"/>
          <w:b/>
          <w:highlight w:val="none"/>
        </w:rPr>
        <w:t>2、在本章中，为了方便起见，可能会采取按某种品牌货物的规格和型号予以表述，但并不因此限制或者拒绝供应商以其他能满足本项目需求且性能与所明确品牌相当的货物参加投标。</w:t>
      </w:r>
    </w:p>
    <w:p w14:paraId="6B4CCE4C">
      <w:pPr>
        <w:spacing w:line="360" w:lineRule="auto"/>
        <w:ind w:firstLine="482" w:firstLineChars="200"/>
        <w:rPr>
          <w:rFonts w:hint="eastAsia"/>
          <w:b/>
          <w:highlight w:val="none"/>
        </w:rPr>
      </w:pPr>
      <w:r>
        <w:rPr>
          <w:rFonts w:hint="eastAsia"/>
          <w:b/>
          <w:highlight w:val="none"/>
        </w:rPr>
        <w:t>以上是采购人提出的基本要求（不是全部要求），投标人应在此基础上根据自己公司的经验、优势、特点进行科学、合理的设计，并提供满足或优于本项目技术参数及要求的货物参加投标。</w:t>
      </w:r>
    </w:p>
    <w:p w14:paraId="7C932368">
      <w:pPr>
        <w:spacing w:line="360" w:lineRule="auto"/>
        <w:ind w:firstLine="482" w:firstLineChars="200"/>
        <w:rPr>
          <w:rFonts w:hint="eastAsia"/>
          <w:b/>
          <w:highlight w:val="none"/>
        </w:rPr>
      </w:pPr>
      <w:r>
        <w:rPr>
          <w:b/>
          <w:highlight w:val="none"/>
        </w:rPr>
        <w:t>3</w:t>
      </w:r>
      <w:r>
        <w:rPr>
          <w:rFonts w:hint="eastAsia"/>
          <w:b/>
          <w:highlight w:val="none"/>
        </w:rPr>
        <w:t>、若在采购活动过程中发现串标、提供虚假材料谋取中标、采取不正当手段诋毁排挤其他供应商、其它违反法律、法规和政府采购管理有关规定的行为，采购人有权提请相关职能将其列入“黑名单”、依法作出处罚并在相关网站上进行公示。</w:t>
      </w:r>
    </w:p>
    <w:p w14:paraId="33C238E7">
      <w:pPr>
        <w:spacing w:line="360" w:lineRule="auto"/>
        <w:ind w:firstLine="482" w:firstLineChars="200"/>
        <w:rPr>
          <w:rFonts w:hint="eastAsia"/>
          <w:b/>
          <w:highlight w:val="none"/>
        </w:rPr>
      </w:pPr>
      <w:r>
        <w:rPr>
          <w:b/>
          <w:highlight w:val="none"/>
        </w:rPr>
        <w:t>4</w:t>
      </w:r>
      <w:r>
        <w:rPr>
          <w:rFonts w:hint="eastAsia"/>
          <w:b/>
          <w:highlight w:val="none"/>
        </w:rPr>
        <w:t>、其他要求</w:t>
      </w:r>
    </w:p>
    <w:p w14:paraId="3D0DD3F4">
      <w:pPr>
        <w:spacing w:line="360" w:lineRule="auto"/>
        <w:ind w:firstLine="482" w:firstLineChars="200"/>
        <w:rPr>
          <w:rFonts w:hint="eastAsia"/>
          <w:b/>
          <w:highlight w:val="none"/>
        </w:rPr>
      </w:pPr>
      <w:r>
        <w:rPr>
          <w:rFonts w:hint="eastAsia"/>
          <w:b/>
          <w:highlight w:val="none"/>
        </w:rPr>
        <w:t>（</w:t>
      </w:r>
      <w:r>
        <w:rPr>
          <w:b/>
          <w:highlight w:val="none"/>
        </w:rPr>
        <w:t>1</w:t>
      </w:r>
      <w:r>
        <w:rPr>
          <w:rFonts w:hint="eastAsia"/>
          <w:b/>
          <w:highlight w:val="none"/>
        </w:rPr>
        <w:t>）各供应商必须按照要求提供真实有效的材料，为了防止虚假应标，采购人保留在中标公告结束后对投标标的硬件设备或送样设备或投标材料进行核实的权利，如果测试发现与招标文件要求的或投标提供的资料不一致的，则被视为欺诈行为，招标人有权取消其中标资格，并由投标人承担全部责任。</w:t>
      </w:r>
    </w:p>
    <w:p w14:paraId="56890FE8">
      <w:pPr>
        <w:spacing w:line="360" w:lineRule="auto"/>
        <w:ind w:firstLine="482" w:firstLineChars="200"/>
        <w:rPr>
          <w:rFonts w:hint="eastAsia"/>
          <w:b/>
          <w:highlight w:val="none"/>
        </w:rPr>
      </w:pPr>
      <w:r>
        <w:rPr>
          <w:rFonts w:hint="eastAsia"/>
          <w:b/>
          <w:highlight w:val="none"/>
        </w:rPr>
        <w:t>（</w:t>
      </w:r>
      <w:r>
        <w:rPr>
          <w:b/>
          <w:highlight w:val="none"/>
        </w:rPr>
        <w:t>2</w:t>
      </w:r>
      <w:r>
        <w:rPr>
          <w:rFonts w:hint="eastAsia"/>
          <w:b/>
          <w:highlight w:val="none"/>
        </w:rPr>
        <w:t>）为保证本项目提供的产品质量及技术参数性能完全满足招标文件的要求，且均为原厂正品，售后服务有保障，防止投标材料以及产品技术性能虚假响应标，招标人在中标公告结束后对投标产品资料和投标送样产品，保留核实、测试、或交由第三方权威机构检测测试的权力，并要求原厂商提供针对本项目的授权书和售后服务承诺函，若发现无法验证或投标提供的资料不符合招标文件或应标要求的，招标人保留取消该中标人资格的权力。</w:t>
      </w:r>
    </w:p>
    <w:p w14:paraId="63341012">
      <w:pPr>
        <w:spacing w:line="360" w:lineRule="auto"/>
        <w:ind w:firstLine="482" w:firstLineChars="200"/>
        <w:rPr>
          <w:rFonts w:hint="eastAsia"/>
          <w:b/>
          <w:bCs/>
          <w:highlight w:val="none"/>
        </w:rPr>
      </w:pPr>
      <w:r>
        <w:rPr>
          <w:b/>
          <w:bCs/>
          <w:highlight w:val="none"/>
        </w:rPr>
        <w:t>5</w:t>
      </w:r>
      <w:r>
        <w:rPr>
          <w:rFonts w:hint="eastAsia"/>
          <w:b/>
          <w:bCs/>
          <w:highlight w:val="none"/>
        </w:rPr>
        <w:t>、投标人在投标深化设计时不得增减招标人提供的采购清单项目，各系统功能及相关设备的技术参数不得低于采购要求。</w:t>
      </w:r>
    </w:p>
    <w:p w14:paraId="5F5965BE">
      <w:pPr>
        <w:spacing w:line="360" w:lineRule="auto"/>
        <w:ind w:firstLine="482" w:firstLineChars="200"/>
        <w:rPr>
          <w:rFonts w:hint="eastAsia"/>
          <w:b/>
          <w:bCs/>
          <w:highlight w:val="none"/>
        </w:rPr>
      </w:pPr>
      <w:r>
        <w:rPr>
          <w:b/>
          <w:bCs/>
          <w:highlight w:val="none"/>
        </w:rPr>
        <w:t>6</w:t>
      </w:r>
      <w:r>
        <w:rPr>
          <w:rFonts w:hint="eastAsia"/>
          <w:b/>
          <w:bCs/>
          <w:highlight w:val="none"/>
        </w:rPr>
        <w:t>、实际采购数量在中标后根据中标后深化设计情况经建设单位确认后实施，若数量调整，中标单价（综合单价）不作调整，线缆长度根据确认后的深化设计图确定。</w:t>
      </w:r>
    </w:p>
    <w:p w14:paraId="03A116C0">
      <w:pPr>
        <w:spacing w:line="360" w:lineRule="auto"/>
        <w:ind w:firstLine="482" w:firstLineChars="200"/>
        <w:rPr>
          <w:rFonts w:hint="eastAsia"/>
          <w:b/>
          <w:bCs/>
          <w:highlight w:val="none"/>
        </w:rPr>
      </w:pPr>
      <w:r>
        <w:rPr>
          <w:b/>
          <w:bCs/>
          <w:highlight w:val="none"/>
        </w:rPr>
        <w:t>7</w:t>
      </w:r>
      <w:r>
        <w:rPr>
          <w:rFonts w:hint="eastAsia"/>
          <w:b/>
          <w:bCs/>
          <w:highlight w:val="none"/>
        </w:rPr>
        <w:t>、</w:t>
      </w:r>
      <w:r>
        <w:rPr>
          <w:rFonts w:hint="eastAsia"/>
          <w:highlight w:val="none"/>
        </w:rPr>
        <w:t>中标后，中标人须在合同额范围内进行深化设计，结算金额根据结算审核结果据实支付，但除建设单位要求调整的情况外，超出合同额部分不予支付。</w:t>
      </w:r>
    </w:p>
    <w:p w14:paraId="55F2665E">
      <w:pPr>
        <w:keepNext/>
        <w:keepLines/>
        <w:tabs>
          <w:tab w:val="left" w:pos="720"/>
          <w:tab w:val="left" w:pos="1275"/>
        </w:tabs>
        <w:spacing w:line="360" w:lineRule="auto"/>
        <w:ind w:left="480" w:leftChars="200"/>
        <w:outlineLvl w:val="2"/>
        <w:rPr>
          <w:rFonts w:hint="eastAsia"/>
          <w:b/>
          <w:highlight w:val="none"/>
        </w:rPr>
      </w:pPr>
      <w:bookmarkStart w:id="468" w:name="_Toc151026260"/>
      <w:r>
        <w:rPr>
          <w:rFonts w:hint="eastAsia"/>
          <w:b/>
          <w:highlight w:val="none"/>
        </w:rPr>
        <w:t>十二、特别提示及说明</w:t>
      </w:r>
      <w:bookmarkEnd w:id="468"/>
    </w:p>
    <w:p w14:paraId="4F4DFAD7">
      <w:pPr>
        <w:autoSpaceDE w:val="0"/>
        <w:spacing w:line="360" w:lineRule="auto"/>
        <w:ind w:firstLine="480" w:firstLineChars="200"/>
        <w:rPr>
          <w:rFonts w:hint="eastAsia"/>
          <w:snapToGrid w:val="0"/>
          <w:highlight w:val="none"/>
        </w:rPr>
      </w:pPr>
      <w:r>
        <w:rPr>
          <w:snapToGrid w:val="0"/>
          <w:highlight w:val="none"/>
        </w:rPr>
        <w:t>1</w:t>
      </w:r>
      <w:r>
        <w:rPr>
          <w:rFonts w:hint="eastAsia"/>
          <w:snapToGrid w:val="0"/>
          <w:highlight w:val="none"/>
        </w:rPr>
        <w:t>、按合同要求，工期延迟在1天至15天（含）的，每延迟一天处罚合同价万分之五/天，15天以上的，按合同价千分之一/天予以处罚；若违约金总额超过履约保证金，证实供应商不能按期完成设计或制作安装任务，也无能力采取补救措施者，采购人有权另择其他单位进行项目设计方案和图纸设计或制作安装，其发生的费用由中标人承担，并承担违约责任。</w:t>
      </w:r>
    </w:p>
    <w:p w14:paraId="7D9CEA03">
      <w:pPr>
        <w:spacing w:line="360" w:lineRule="auto"/>
        <w:ind w:firstLine="480" w:firstLineChars="200"/>
        <w:rPr>
          <w:rFonts w:hint="eastAsia" w:cs="Courier New"/>
          <w:szCs w:val="21"/>
          <w:highlight w:val="none"/>
        </w:rPr>
      </w:pPr>
      <w:r>
        <w:rPr>
          <w:rFonts w:hint="eastAsia" w:cs="Courier New"/>
          <w:highlight w:val="none"/>
        </w:rPr>
        <w:t>2、</w:t>
      </w:r>
      <w:r>
        <w:rPr>
          <w:rFonts w:hint="eastAsia" w:cs="Courier New"/>
          <w:szCs w:val="21"/>
          <w:highlight w:val="none"/>
        </w:rPr>
        <w:t xml:space="preserve">中标人有义务保证采购人系统的完整性，如项目实施过程中因缺少设备、软件（含第三方软件）、配件或服务导致采购人系统无法正常运行，中标人须免费提供。 </w:t>
      </w:r>
    </w:p>
    <w:p w14:paraId="07CA621D">
      <w:pPr>
        <w:spacing w:line="360" w:lineRule="auto"/>
        <w:ind w:firstLine="480" w:firstLineChars="200"/>
        <w:rPr>
          <w:rFonts w:hint="eastAsia" w:cs="Courier New"/>
          <w:szCs w:val="21"/>
          <w:highlight w:val="none"/>
        </w:rPr>
      </w:pPr>
      <w:r>
        <w:rPr>
          <w:rFonts w:hint="eastAsia" w:cs="Courier New"/>
          <w:szCs w:val="21"/>
          <w:highlight w:val="none"/>
        </w:rPr>
        <w:t>3、中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中标人应承担相应后果，并负责赔偿。中标人为执行本项目合同而提供的技术资料等归采购人所有。</w:t>
      </w:r>
    </w:p>
    <w:p w14:paraId="7A22B119">
      <w:pPr>
        <w:spacing w:line="360" w:lineRule="auto"/>
        <w:ind w:firstLine="480" w:firstLineChars="200"/>
        <w:rPr>
          <w:rFonts w:hint="eastAsia" w:cs="Courier New"/>
          <w:szCs w:val="21"/>
          <w:highlight w:val="none"/>
        </w:rPr>
      </w:pPr>
      <w:r>
        <w:rPr>
          <w:rFonts w:hint="eastAsia" w:cs="Courier New"/>
          <w:szCs w:val="21"/>
          <w:highlight w:val="none"/>
        </w:rPr>
        <w:t>4、采购人需求在开发期和试运行期内，仍有可能不断完善，投标人须承诺在采购需求或政策法规范围内，随着采购人需求的变动随时作出响应，修改应用及软件。正式验收通过后，在采购范围内若有需求变动，在免费维护期内，仍应免费按采购人需求对整个系统做出相应修改，以满足采购人的需求。</w:t>
      </w:r>
    </w:p>
    <w:p w14:paraId="1FF0FFA0">
      <w:pPr>
        <w:spacing w:line="360" w:lineRule="auto"/>
        <w:ind w:firstLine="480" w:firstLineChars="200"/>
        <w:rPr>
          <w:rFonts w:hint="eastAsia"/>
          <w:highlight w:val="none"/>
        </w:rPr>
      </w:pPr>
      <w:r>
        <w:rPr>
          <w:rFonts w:hint="eastAsia"/>
          <w:highlight w:val="none"/>
        </w:rPr>
        <w:t>5、在项目实施及质保期内应提供驻点服务。</w:t>
      </w:r>
    </w:p>
    <w:p w14:paraId="7B8B5432">
      <w:pPr>
        <w:spacing w:line="360" w:lineRule="auto"/>
        <w:ind w:firstLine="480" w:firstLineChars="200"/>
        <w:rPr>
          <w:rFonts w:hint="eastAsia" w:cs="Courier New"/>
          <w:szCs w:val="21"/>
          <w:highlight w:val="none"/>
        </w:rPr>
      </w:pPr>
      <w:r>
        <w:rPr>
          <w:rFonts w:hint="eastAsia" w:cs="Courier New"/>
          <w:szCs w:val="21"/>
          <w:highlight w:val="none"/>
        </w:rPr>
        <w:t xml:space="preserve">6、本项目招标采购文件、中标的投标文件、评标过程中有关澄清文件、中标人承诺书及中标通知书等均作为本项目合同不可分割的一部分，与本项目合同具有同等法律效力。 </w:t>
      </w:r>
    </w:p>
    <w:p w14:paraId="2B29EF69">
      <w:pPr>
        <w:spacing w:line="360" w:lineRule="auto"/>
        <w:ind w:firstLine="480" w:firstLineChars="200"/>
        <w:rPr>
          <w:rFonts w:hint="eastAsia" w:cs="Courier New"/>
          <w:szCs w:val="21"/>
          <w:highlight w:val="none"/>
        </w:rPr>
      </w:pPr>
      <w:r>
        <w:rPr>
          <w:rFonts w:hint="eastAsia" w:cs="Courier New"/>
          <w:szCs w:val="21"/>
          <w:highlight w:val="none"/>
        </w:rPr>
        <w:t>7、</w:t>
      </w:r>
      <w:r>
        <w:rPr>
          <w:rFonts w:cs="Courier New"/>
          <w:szCs w:val="21"/>
          <w:highlight w:val="none"/>
        </w:rPr>
        <w:t>在合同履行中，采购人需要追加与合同标的相同的货物、工程或者服务的，</w:t>
      </w:r>
      <w:r>
        <w:rPr>
          <w:rFonts w:hint="eastAsia" w:cs="Courier New"/>
          <w:szCs w:val="21"/>
          <w:highlight w:val="none"/>
        </w:rPr>
        <w:t>在满足法律法规的情形下，</w:t>
      </w:r>
      <w:r>
        <w:rPr>
          <w:rFonts w:cs="Courier New"/>
          <w:szCs w:val="21"/>
          <w:highlight w:val="none"/>
        </w:rPr>
        <w:t xml:space="preserve">中标人应按原合同采购价提供，不得拒绝。 </w:t>
      </w:r>
    </w:p>
    <w:p w14:paraId="02D262B2">
      <w:pPr>
        <w:pStyle w:val="4"/>
        <w:spacing w:line="360" w:lineRule="auto"/>
        <w:ind w:firstLine="480" w:firstLineChars="200"/>
        <w:rPr>
          <w:rFonts w:hint="eastAsia"/>
          <w:snapToGrid w:val="0"/>
          <w:szCs w:val="24"/>
          <w:highlight w:val="none"/>
        </w:rPr>
      </w:pPr>
      <w:r>
        <w:rPr>
          <w:rFonts w:hint="eastAsia"/>
          <w:snapToGrid w:val="0"/>
          <w:szCs w:val="24"/>
          <w:highlight w:val="none"/>
        </w:rPr>
        <w:t>8、中标人所交付服务（货物）的质量、品种、型号、规格、数量不符合合同规定标准的，采购方有权拒绝接收，不予退还履约保证金，并有要求中标人赔偿的权利。中标人未能及时交付服务（货物）或其它非采购方原因引起验收延迟的，采购方有权视实际情况要求中标人支付误期赔偿费，如中标人未能及时交付服务的，采购方可根据实际情况有权取消合同。</w:t>
      </w:r>
    </w:p>
    <w:p w14:paraId="5C20E815">
      <w:pPr>
        <w:pStyle w:val="13"/>
        <w:spacing w:line="360" w:lineRule="auto"/>
        <w:ind w:left="0" w:leftChars="0" w:firstLine="480"/>
        <w:rPr>
          <w:rFonts w:hint="eastAsia"/>
          <w:snapToGrid w:val="0"/>
          <w:highlight w:val="none"/>
        </w:rPr>
      </w:pPr>
      <w:r>
        <w:rPr>
          <w:rFonts w:hint="eastAsia"/>
          <w:snapToGrid w:val="0"/>
          <w:highlight w:val="none"/>
        </w:rPr>
        <w:t>9、中标人对采购人的业务资料、技术资料及数据信息资料须严格保密，做好安全性及保密性，并在中标后提供保密协议。</w:t>
      </w:r>
    </w:p>
    <w:p w14:paraId="757447EB">
      <w:pPr>
        <w:spacing w:line="360" w:lineRule="auto"/>
        <w:ind w:firstLine="480" w:firstLineChars="200"/>
        <w:rPr>
          <w:rFonts w:hint="eastAsia"/>
          <w:snapToGrid w:val="0"/>
          <w:highlight w:val="none"/>
        </w:rPr>
      </w:pPr>
      <w:r>
        <w:rPr>
          <w:rFonts w:hint="eastAsia"/>
          <w:snapToGrid w:val="0"/>
          <w:highlight w:val="none"/>
        </w:rPr>
        <w:t>10、本项目实际链路实施运营商需要与投标人应标运营商一致，否则视为虚假应标，采购人有权指定或要求进行更换，并将投标人列入不良信用名单，如投标人不肯更换，采购人有权解除合同。</w:t>
      </w:r>
    </w:p>
    <w:p w14:paraId="08F7EE7F">
      <w:pPr>
        <w:spacing w:line="360" w:lineRule="auto"/>
        <w:ind w:firstLine="480" w:firstLineChars="200"/>
        <w:rPr>
          <w:rFonts w:hint="eastAsia"/>
          <w:snapToGrid w:val="0"/>
          <w:highlight w:val="none"/>
        </w:rPr>
      </w:pPr>
      <w:r>
        <w:rPr>
          <w:rFonts w:hint="eastAsia"/>
          <w:snapToGrid w:val="0"/>
          <w:highlight w:val="none"/>
        </w:rPr>
        <w:t>11、本项目实际实施人员需要与投标文件所投入人员一致，否则视为虚假应标。如有不一致采购人有权要求进行更换，并将投标人列入不良信用名单，如投标人不肯更换，采购人有权解除合同。</w:t>
      </w:r>
    </w:p>
    <w:p w14:paraId="39DEE2CD">
      <w:pPr>
        <w:rPr>
          <w:rFonts w:hint="eastAsia"/>
          <w:b/>
          <w:sz w:val="36"/>
          <w:szCs w:val="36"/>
          <w:highlight w:val="none"/>
        </w:rPr>
      </w:pPr>
      <w:bookmarkStart w:id="469" w:name="_Toc151026261"/>
      <w:bookmarkStart w:id="470" w:name="_Toc92799815"/>
      <w:r>
        <w:rPr>
          <w:rFonts w:hint="eastAsia"/>
          <w:b/>
          <w:sz w:val="36"/>
          <w:szCs w:val="36"/>
          <w:highlight w:val="none"/>
        </w:rPr>
        <w:br w:type="page"/>
      </w:r>
    </w:p>
    <w:p w14:paraId="32A26706">
      <w:pPr>
        <w:jc w:val="center"/>
        <w:rPr>
          <w:rFonts w:hint="eastAsia"/>
          <w:b/>
          <w:sz w:val="36"/>
          <w:szCs w:val="36"/>
          <w:highlight w:val="none"/>
        </w:rPr>
      </w:pPr>
      <w:r>
        <w:rPr>
          <w:rFonts w:hint="eastAsia"/>
          <w:b/>
          <w:sz w:val="36"/>
          <w:szCs w:val="36"/>
          <w:highlight w:val="none"/>
        </w:rPr>
        <w:t>第五部分</w:t>
      </w:r>
      <w:bookmarkEnd w:id="425"/>
      <w:r>
        <w:rPr>
          <w:rFonts w:hint="eastAsia"/>
          <w:b/>
          <w:sz w:val="36"/>
          <w:szCs w:val="36"/>
          <w:highlight w:val="none"/>
        </w:rPr>
        <w:t xml:space="preserve">  采购合同的一般和特殊条款</w:t>
      </w:r>
      <w:bookmarkEnd w:id="469"/>
      <w:bookmarkEnd w:id="470"/>
    </w:p>
    <w:p w14:paraId="1B57178A">
      <w:pPr>
        <w:spacing w:line="360" w:lineRule="auto"/>
        <w:jc w:val="center"/>
        <w:rPr>
          <w:rFonts w:hint="eastAsia"/>
          <w:b/>
          <w:bCs/>
          <w:sz w:val="36"/>
          <w:szCs w:val="40"/>
          <w:highlight w:val="none"/>
        </w:rPr>
      </w:pPr>
      <w:bookmarkStart w:id="471" w:name="第五部分"/>
      <w:bookmarkStart w:id="472" w:name="_Toc86217003"/>
    </w:p>
    <w:p w14:paraId="772ED21C">
      <w:pPr>
        <w:spacing w:line="360" w:lineRule="auto"/>
        <w:jc w:val="center"/>
        <w:rPr>
          <w:rFonts w:hint="eastAsia"/>
          <w:b/>
          <w:bCs/>
          <w:sz w:val="36"/>
          <w:szCs w:val="40"/>
          <w:highlight w:val="none"/>
        </w:rPr>
      </w:pPr>
      <w:r>
        <w:rPr>
          <w:rFonts w:hint="eastAsia"/>
          <w:b/>
          <w:bCs/>
          <w:sz w:val="36"/>
          <w:szCs w:val="40"/>
          <w:highlight w:val="none"/>
        </w:rPr>
        <w:t>杭州湾上虞高层次人才创业园智能化系统采购及安装项目</w:t>
      </w:r>
    </w:p>
    <w:p w14:paraId="5A3F793A">
      <w:pPr>
        <w:spacing w:line="360" w:lineRule="auto"/>
        <w:rPr>
          <w:rFonts w:hint="eastAsia"/>
          <w:highlight w:val="none"/>
        </w:rPr>
      </w:pPr>
    </w:p>
    <w:p w14:paraId="501A860E">
      <w:pPr>
        <w:spacing w:line="360" w:lineRule="auto"/>
        <w:rPr>
          <w:rFonts w:hint="eastAsia"/>
          <w:sz w:val="32"/>
          <w:szCs w:val="40"/>
          <w:highlight w:val="none"/>
        </w:rPr>
      </w:pPr>
      <w:bookmarkStart w:id="473" w:name="_Toc7748"/>
      <w:bookmarkStart w:id="474" w:name="_Toc19584"/>
    </w:p>
    <w:p w14:paraId="249594B7">
      <w:pPr>
        <w:spacing w:line="360" w:lineRule="auto"/>
        <w:rPr>
          <w:rFonts w:hint="eastAsia"/>
          <w:sz w:val="30"/>
          <w:szCs w:val="30"/>
          <w:highlight w:val="none"/>
          <w:u w:val="single"/>
        </w:rPr>
      </w:pPr>
      <w:r>
        <w:rPr>
          <w:rFonts w:hint="eastAsia"/>
          <w:sz w:val="30"/>
          <w:szCs w:val="30"/>
          <w:highlight w:val="none"/>
          <w:u w:val="single"/>
        </w:rPr>
        <w:t>合同编号：</w:t>
      </w:r>
      <w:bookmarkEnd w:id="473"/>
      <w:bookmarkEnd w:id="474"/>
    </w:p>
    <w:p w14:paraId="1976EADA">
      <w:pPr>
        <w:spacing w:line="360" w:lineRule="auto"/>
        <w:rPr>
          <w:rFonts w:hint="eastAsia"/>
          <w:sz w:val="30"/>
          <w:szCs w:val="30"/>
          <w:highlight w:val="none"/>
          <w:u w:val="single"/>
        </w:rPr>
      </w:pPr>
    </w:p>
    <w:p w14:paraId="021C73C8">
      <w:pPr>
        <w:spacing w:line="360" w:lineRule="auto"/>
        <w:rPr>
          <w:rFonts w:hint="eastAsia"/>
          <w:sz w:val="30"/>
          <w:szCs w:val="30"/>
          <w:highlight w:val="none"/>
          <w:u w:val="single"/>
        </w:rPr>
      </w:pPr>
      <w:bookmarkStart w:id="475" w:name="_Toc29999"/>
      <w:bookmarkStart w:id="476" w:name="_Toc3411"/>
      <w:r>
        <w:rPr>
          <w:rFonts w:hint="eastAsia"/>
          <w:sz w:val="30"/>
          <w:szCs w:val="30"/>
          <w:highlight w:val="none"/>
          <w:u w:val="single"/>
        </w:rPr>
        <w:t>项目名称：</w:t>
      </w:r>
      <w:bookmarkEnd w:id="475"/>
      <w:bookmarkEnd w:id="476"/>
      <w:r>
        <w:rPr>
          <w:rFonts w:hint="eastAsia"/>
          <w:sz w:val="30"/>
          <w:szCs w:val="30"/>
          <w:highlight w:val="none"/>
          <w:u w:val="single"/>
          <w:lang w:val="zh-TW"/>
        </w:rPr>
        <w:t>杭州湾上虞高层次人才创业园智能化系统采购及安装项目</w:t>
      </w:r>
    </w:p>
    <w:p w14:paraId="1892772E">
      <w:pPr>
        <w:spacing w:line="360" w:lineRule="auto"/>
        <w:rPr>
          <w:rFonts w:hint="eastAsia"/>
          <w:sz w:val="30"/>
          <w:szCs w:val="30"/>
          <w:highlight w:val="none"/>
          <w:u w:val="single"/>
        </w:rPr>
      </w:pPr>
      <w:bookmarkStart w:id="477" w:name="_Toc16168"/>
      <w:bookmarkStart w:id="478" w:name="_Toc23522"/>
    </w:p>
    <w:p w14:paraId="45F2EA0B">
      <w:pPr>
        <w:spacing w:line="360" w:lineRule="auto"/>
        <w:rPr>
          <w:rFonts w:hint="eastAsia"/>
          <w:sz w:val="30"/>
          <w:szCs w:val="30"/>
          <w:highlight w:val="none"/>
          <w:u w:val="single"/>
        </w:rPr>
      </w:pPr>
      <w:r>
        <w:rPr>
          <w:rFonts w:hint="eastAsia"/>
          <w:sz w:val="30"/>
          <w:szCs w:val="30"/>
          <w:highlight w:val="none"/>
          <w:u w:val="single"/>
        </w:rPr>
        <w:t>项目地点：</w:t>
      </w:r>
      <w:bookmarkEnd w:id="477"/>
      <w:bookmarkEnd w:id="478"/>
      <w:r>
        <w:rPr>
          <w:rFonts w:hint="eastAsia"/>
          <w:sz w:val="30"/>
          <w:szCs w:val="30"/>
          <w:highlight w:val="none"/>
          <w:u w:val="single"/>
        </w:rPr>
        <w:t>绍兴市上虞区</w:t>
      </w:r>
    </w:p>
    <w:p w14:paraId="130979AC">
      <w:pPr>
        <w:spacing w:line="360" w:lineRule="auto"/>
        <w:rPr>
          <w:rFonts w:hint="eastAsia"/>
          <w:sz w:val="30"/>
          <w:szCs w:val="30"/>
          <w:highlight w:val="none"/>
          <w:u w:val="single"/>
        </w:rPr>
      </w:pPr>
    </w:p>
    <w:p w14:paraId="6D8D6E82">
      <w:pPr>
        <w:spacing w:line="360" w:lineRule="auto"/>
        <w:rPr>
          <w:rFonts w:hint="eastAsia"/>
          <w:sz w:val="30"/>
          <w:szCs w:val="30"/>
          <w:highlight w:val="none"/>
          <w:u w:val="single"/>
        </w:rPr>
      </w:pPr>
      <w:bookmarkStart w:id="479" w:name="_Toc29197"/>
      <w:bookmarkStart w:id="480" w:name="_Toc8391"/>
      <w:r>
        <w:rPr>
          <w:rFonts w:hint="eastAsia"/>
          <w:sz w:val="30"/>
          <w:szCs w:val="30"/>
          <w:highlight w:val="none"/>
          <w:u w:val="single"/>
        </w:rPr>
        <w:t>采 购 人：</w:t>
      </w:r>
      <w:bookmarkEnd w:id="479"/>
      <w:bookmarkEnd w:id="480"/>
      <w:r>
        <w:rPr>
          <w:rFonts w:hint="eastAsia"/>
          <w:sz w:val="30"/>
          <w:szCs w:val="30"/>
          <w:highlight w:val="none"/>
          <w:u w:val="single"/>
        </w:rPr>
        <w:t xml:space="preserve">绍兴市上虞区高新技术产业发展有限公司 </w:t>
      </w:r>
      <w:r>
        <w:rPr>
          <w:sz w:val="30"/>
          <w:szCs w:val="30"/>
          <w:highlight w:val="none"/>
          <w:u w:val="single"/>
        </w:rPr>
        <w:t xml:space="preserve">  </w:t>
      </w:r>
      <w:r>
        <w:rPr>
          <w:rFonts w:hint="eastAsia"/>
          <w:sz w:val="30"/>
          <w:szCs w:val="30"/>
          <w:highlight w:val="none"/>
          <w:u w:val="single"/>
        </w:rPr>
        <w:t xml:space="preserve"> </w:t>
      </w:r>
    </w:p>
    <w:p w14:paraId="65D565D0">
      <w:pPr>
        <w:spacing w:line="360" w:lineRule="auto"/>
        <w:rPr>
          <w:rFonts w:hint="eastAsia"/>
          <w:sz w:val="30"/>
          <w:szCs w:val="30"/>
          <w:highlight w:val="none"/>
          <w:u w:val="single"/>
        </w:rPr>
      </w:pPr>
    </w:p>
    <w:p w14:paraId="46AFCEAE">
      <w:pPr>
        <w:spacing w:line="360" w:lineRule="auto"/>
        <w:rPr>
          <w:rFonts w:hint="eastAsia"/>
          <w:sz w:val="30"/>
          <w:szCs w:val="30"/>
          <w:highlight w:val="none"/>
          <w:u w:val="single"/>
        </w:rPr>
      </w:pPr>
      <w:bookmarkStart w:id="481" w:name="_Toc31289"/>
      <w:bookmarkStart w:id="482" w:name="_Toc19257"/>
      <w:r>
        <w:rPr>
          <w:rFonts w:hint="eastAsia"/>
          <w:sz w:val="30"/>
          <w:szCs w:val="30"/>
          <w:highlight w:val="none"/>
          <w:u w:val="single"/>
        </w:rPr>
        <w:t>供 货 人：</w:t>
      </w:r>
      <w:bookmarkEnd w:id="481"/>
      <w:bookmarkEnd w:id="482"/>
      <w:r>
        <w:rPr>
          <w:rFonts w:hint="eastAsia"/>
          <w:sz w:val="30"/>
          <w:szCs w:val="30"/>
          <w:highlight w:val="none"/>
          <w:u w:val="single"/>
        </w:rPr>
        <w:t xml:space="preserve">                                  </w:t>
      </w:r>
    </w:p>
    <w:p w14:paraId="6198B530">
      <w:pPr>
        <w:rPr>
          <w:rFonts w:hint="eastAsia"/>
          <w:sz w:val="30"/>
          <w:szCs w:val="30"/>
          <w:highlight w:val="none"/>
        </w:rPr>
      </w:pPr>
    </w:p>
    <w:p w14:paraId="3A6BD352">
      <w:pPr>
        <w:pStyle w:val="4"/>
        <w:rPr>
          <w:rFonts w:hint="eastAsia"/>
          <w:sz w:val="30"/>
          <w:szCs w:val="30"/>
          <w:highlight w:val="none"/>
        </w:rPr>
      </w:pPr>
    </w:p>
    <w:p w14:paraId="5596C54F">
      <w:pPr>
        <w:spacing w:line="360" w:lineRule="auto"/>
        <w:rPr>
          <w:rFonts w:hint="eastAsia"/>
          <w:sz w:val="36"/>
          <w:szCs w:val="40"/>
          <w:highlight w:val="none"/>
          <w:u w:val="single"/>
        </w:rPr>
      </w:pPr>
      <w:bookmarkStart w:id="483" w:name="_Toc31777"/>
      <w:bookmarkStart w:id="484" w:name="_Toc18720"/>
      <w:r>
        <w:rPr>
          <w:rFonts w:hint="eastAsia"/>
          <w:sz w:val="30"/>
          <w:szCs w:val="30"/>
          <w:highlight w:val="none"/>
          <w:u w:val="single"/>
        </w:rPr>
        <w:t>签订日期：</w:t>
      </w:r>
      <w:bookmarkEnd w:id="483"/>
      <w:bookmarkEnd w:id="484"/>
      <w:r>
        <w:rPr>
          <w:rFonts w:hint="eastAsia"/>
          <w:sz w:val="30"/>
          <w:szCs w:val="30"/>
          <w:highlight w:val="none"/>
          <w:u w:val="single"/>
        </w:rPr>
        <w:t xml:space="preserve">       202</w:t>
      </w:r>
      <w:r>
        <w:rPr>
          <w:sz w:val="30"/>
          <w:szCs w:val="30"/>
          <w:highlight w:val="none"/>
          <w:u w:val="single"/>
        </w:rPr>
        <w:t>4</w:t>
      </w:r>
      <w:r>
        <w:rPr>
          <w:rFonts w:hint="eastAsia"/>
          <w:sz w:val="30"/>
          <w:szCs w:val="30"/>
          <w:highlight w:val="none"/>
          <w:u w:val="single"/>
        </w:rPr>
        <w:t xml:space="preserve">年  </w:t>
      </w:r>
      <w:r>
        <w:rPr>
          <w:sz w:val="30"/>
          <w:szCs w:val="30"/>
          <w:highlight w:val="none"/>
          <w:u w:val="single"/>
        </w:rPr>
        <w:t xml:space="preserve">  </w:t>
      </w:r>
      <w:r>
        <w:rPr>
          <w:rFonts w:hint="eastAsia"/>
          <w:sz w:val="30"/>
          <w:szCs w:val="30"/>
          <w:highlight w:val="none"/>
          <w:u w:val="single"/>
        </w:rPr>
        <w:t xml:space="preserve">月 </w:t>
      </w:r>
      <w:r>
        <w:rPr>
          <w:sz w:val="30"/>
          <w:szCs w:val="30"/>
          <w:highlight w:val="none"/>
          <w:u w:val="single"/>
        </w:rPr>
        <w:t xml:space="preserve"> </w:t>
      </w:r>
      <w:r>
        <w:rPr>
          <w:rFonts w:hint="eastAsia"/>
          <w:sz w:val="30"/>
          <w:szCs w:val="30"/>
          <w:highlight w:val="none"/>
          <w:u w:val="single"/>
        </w:rPr>
        <w:t xml:space="preserve">  日</w:t>
      </w:r>
    </w:p>
    <w:p w14:paraId="141C3D58">
      <w:pPr>
        <w:shd w:val="solid" w:color="FFFFFF" w:fill="auto"/>
        <w:autoSpaceDN w:val="0"/>
        <w:spacing w:before="210" w:after="210" w:line="360" w:lineRule="auto"/>
        <w:ind w:firstLine="420"/>
        <w:rPr>
          <w:rFonts w:hint="eastAsia"/>
          <w:szCs w:val="20"/>
          <w:highlight w:val="none"/>
          <w:shd w:val="clear" w:color="auto" w:fill="FFFFFF"/>
        </w:rPr>
      </w:pPr>
    </w:p>
    <w:p w14:paraId="7D94C5A7">
      <w:pPr>
        <w:spacing w:line="360" w:lineRule="auto"/>
        <w:jc w:val="center"/>
        <w:rPr>
          <w:rFonts w:hint="eastAsia"/>
          <w:highlight w:val="none"/>
        </w:rPr>
        <w:sectPr>
          <w:footerReference r:id="rId8" w:type="first"/>
          <w:footerReference r:id="rId7" w:type="default"/>
          <w:pgSz w:w="11906" w:h="16838"/>
          <w:pgMar w:top="1247" w:right="1418" w:bottom="1701" w:left="1418" w:header="851" w:footer="992" w:gutter="0"/>
          <w:pgNumType w:fmt="numberInDash"/>
          <w:cols w:space="720" w:num="1"/>
          <w:titlePg/>
          <w:docGrid w:linePitch="312" w:charSpace="0"/>
        </w:sectPr>
      </w:pPr>
    </w:p>
    <w:p w14:paraId="74F5BA58">
      <w:pPr>
        <w:spacing w:line="360" w:lineRule="auto"/>
        <w:rPr>
          <w:rFonts w:hint="eastAsia"/>
          <w:szCs w:val="28"/>
          <w:highlight w:val="none"/>
          <w:u w:val="single"/>
        </w:rPr>
      </w:pPr>
      <w:r>
        <w:rPr>
          <w:rFonts w:hint="eastAsia"/>
          <w:szCs w:val="28"/>
          <w:highlight w:val="none"/>
          <w:u w:val="single"/>
        </w:rPr>
        <w:t>采购人： 绍兴市上虞区高新技术产业发展有限公司</w:t>
      </w:r>
      <w:r>
        <w:rPr>
          <w:rFonts w:hint="eastAsia"/>
          <w:szCs w:val="28"/>
          <w:highlight w:val="none"/>
        </w:rPr>
        <w:t xml:space="preserve"> （甲方）  </w:t>
      </w:r>
    </w:p>
    <w:p w14:paraId="11FAC7F2">
      <w:pPr>
        <w:spacing w:line="360" w:lineRule="auto"/>
        <w:rPr>
          <w:rFonts w:hint="eastAsia"/>
          <w:szCs w:val="28"/>
          <w:highlight w:val="none"/>
          <w:u w:val="single"/>
        </w:rPr>
      </w:pPr>
      <w:r>
        <w:rPr>
          <w:rFonts w:hint="eastAsia"/>
          <w:szCs w:val="28"/>
          <w:highlight w:val="none"/>
          <w:u w:val="single"/>
        </w:rPr>
        <w:t xml:space="preserve">供货人：                                </w:t>
      </w:r>
      <w:r>
        <w:rPr>
          <w:rFonts w:hint="eastAsia"/>
          <w:szCs w:val="28"/>
          <w:highlight w:val="none"/>
        </w:rPr>
        <w:t xml:space="preserve">（乙方）  </w:t>
      </w:r>
    </w:p>
    <w:p w14:paraId="5CD539B2">
      <w:pPr>
        <w:spacing w:line="360" w:lineRule="auto"/>
        <w:ind w:firstLine="480" w:firstLineChars="200"/>
        <w:rPr>
          <w:rFonts w:hint="eastAsia"/>
          <w:kern w:val="2"/>
          <w:highlight w:val="none"/>
          <w:u w:val="single"/>
        </w:rPr>
      </w:pPr>
      <w:r>
        <w:rPr>
          <w:rFonts w:hint="eastAsia"/>
          <w:highlight w:val="none"/>
          <w:u w:val="single"/>
        </w:rPr>
        <w:t>绍兴市上虞区高新技术产业发展有限公司</w:t>
      </w:r>
      <w:r>
        <w:rPr>
          <w:rFonts w:hint="eastAsia"/>
          <w:highlight w:val="none"/>
        </w:rPr>
        <w:t>（采购人、甲方）</w:t>
      </w:r>
      <w:r>
        <w:rPr>
          <w:rFonts w:hint="eastAsia"/>
          <w:kern w:val="2"/>
          <w:highlight w:val="none"/>
          <w:u w:val="single"/>
        </w:rPr>
        <w:t>杭州湾上虞高层次人才创业园</w:t>
      </w:r>
      <w:r>
        <w:rPr>
          <w:rFonts w:hint="eastAsia"/>
          <w:kern w:val="2"/>
          <w:highlight w:val="none"/>
          <w:lang w:val="zh-TW"/>
        </w:rPr>
        <w:t>（</w:t>
      </w:r>
      <w:r>
        <w:rPr>
          <w:rFonts w:hint="eastAsia"/>
          <w:kern w:val="2"/>
          <w:highlight w:val="none"/>
        </w:rPr>
        <w:t>项目名称</w:t>
      </w:r>
      <w:r>
        <w:rPr>
          <w:rFonts w:hint="eastAsia"/>
          <w:kern w:val="2"/>
          <w:highlight w:val="none"/>
          <w:lang w:val="zh-TW"/>
        </w:rPr>
        <w:t>）</w:t>
      </w:r>
      <w:r>
        <w:rPr>
          <w:rFonts w:hint="eastAsia"/>
          <w:kern w:val="2"/>
          <w:highlight w:val="none"/>
        </w:rPr>
        <w:t>中所需</w:t>
      </w:r>
      <w:r>
        <w:rPr>
          <w:rFonts w:hint="eastAsia"/>
          <w:kern w:val="2"/>
          <w:highlight w:val="none"/>
          <w:u w:val="single"/>
        </w:rPr>
        <w:t xml:space="preserve">智能化系统采购及安装项目 </w:t>
      </w:r>
      <w:r>
        <w:rPr>
          <w:rFonts w:hint="eastAsia"/>
          <w:kern w:val="2"/>
          <w:highlight w:val="none"/>
        </w:rPr>
        <w:t>，经</w:t>
      </w:r>
      <w:r>
        <w:rPr>
          <w:rFonts w:hint="eastAsia"/>
          <w:highlight w:val="none"/>
          <w:u w:val="single"/>
        </w:rPr>
        <w:t xml:space="preserve">绍兴市上虞区高新技术产业发展有限公司 </w:t>
      </w:r>
      <w:r>
        <w:rPr>
          <w:rFonts w:hint="eastAsia"/>
          <w:highlight w:val="none"/>
        </w:rPr>
        <w:t>（采购人、甲方）以招标文件（项目招标编号      ）</w:t>
      </w:r>
      <w:r>
        <w:rPr>
          <w:rFonts w:hint="eastAsia"/>
          <w:kern w:val="2"/>
          <w:highlight w:val="none"/>
          <w:u w:val="single"/>
        </w:rPr>
        <w:t xml:space="preserve"> 杭州湾上虞高层次人才创业园智能化系统采购及安装项目 </w:t>
      </w:r>
      <w:r>
        <w:rPr>
          <w:rFonts w:hint="eastAsia"/>
          <w:kern w:val="2"/>
          <w:highlight w:val="none"/>
        </w:rPr>
        <w:t>进行公开招标。经评标委员会评定</w:t>
      </w:r>
      <w:r>
        <w:rPr>
          <w:rFonts w:hint="eastAsia"/>
          <w:kern w:val="2"/>
          <w:highlight w:val="none"/>
          <w:u w:val="single"/>
        </w:rPr>
        <w:t xml:space="preserve">      </w:t>
      </w:r>
      <w:r>
        <w:rPr>
          <w:rFonts w:hint="eastAsia"/>
          <w:kern w:val="2"/>
          <w:highlight w:val="none"/>
        </w:rPr>
        <w:t>（供货人、乙方）为中标人，甲、乙双方根据</w:t>
      </w:r>
      <w:r>
        <w:rPr>
          <w:rFonts w:hint="eastAsia"/>
          <w:highlight w:val="none"/>
        </w:rPr>
        <w:t>《上虞区区属国有企业货物和服务采购管理办法》</w:t>
      </w:r>
      <w:r>
        <w:rPr>
          <w:rFonts w:hint="eastAsia"/>
          <w:kern w:val="2"/>
          <w:highlight w:val="none"/>
        </w:rPr>
        <w:t>、《中华人民共和国民法典》，在平等自愿的基础上，同意按照下面条款和条件约定内容签署本合同。</w:t>
      </w:r>
    </w:p>
    <w:p w14:paraId="7B135700">
      <w:pPr>
        <w:tabs>
          <w:tab w:val="left" w:pos="425"/>
        </w:tabs>
        <w:spacing w:line="360" w:lineRule="auto"/>
        <w:ind w:firstLine="482" w:firstLineChars="200"/>
        <w:rPr>
          <w:rFonts w:hint="eastAsia"/>
          <w:b/>
          <w:bCs/>
          <w:highlight w:val="none"/>
        </w:rPr>
      </w:pPr>
      <w:r>
        <w:rPr>
          <w:rFonts w:hint="eastAsia"/>
          <w:b/>
          <w:bCs/>
          <w:highlight w:val="none"/>
        </w:rPr>
        <w:t>一、供货范围及价款</w:t>
      </w:r>
    </w:p>
    <w:p w14:paraId="2FFD8613">
      <w:pPr>
        <w:spacing w:line="360" w:lineRule="auto"/>
        <w:ind w:firstLine="480" w:firstLineChars="200"/>
        <w:rPr>
          <w:rFonts w:hint="eastAsia"/>
          <w:highlight w:val="none"/>
        </w:rPr>
      </w:pPr>
      <w:r>
        <w:rPr>
          <w:highlight w:val="none"/>
        </w:rPr>
        <w:t>1</w:t>
      </w:r>
      <w:r>
        <w:rPr>
          <w:rFonts w:hint="eastAsia"/>
          <w:highlight w:val="none"/>
        </w:rPr>
        <w:t>、供货范围</w:t>
      </w:r>
    </w:p>
    <w:p w14:paraId="2C0D501C">
      <w:pPr>
        <w:spacing w:line="360" w:lineRule="auto"/>
        <w:ind w:firstLine="480" w:firstLineChars="200"/>
        <w:rPr>
          <w:rFonts w:hint="eastAsia"/>
          <w:highlight w:val="none"/>
        </w:rPr>
      </w:pPr>
      <w:r>
        <w:rPr>
          <w:rFonts w:hint="eastAsia"/>
          <w:color w:val="000000"/>
          <w:highlight w:val="none"/>
        </w:rPr>
        <w:t>杭州湾上虞高层次人才创业园智能化项目图纸范围内所有系统工程，包括但不限于施工图审查范围内的综合布线系统、计算机网络系统、语音通信系统（弱电施工单位负责管管路及配合工作）、室内5G信号覆盖系统（弱电预留管路桥架）、有线电视系统（弱电施工单位负责管管路及配合工作）、背景音乐系统、多媒体信息发布系统、多功能会议系统、多媒体会议管理系统、安保集成平台、视频监控系统、入侵报警系统、无线对讲系统、电子巡更系统、停车场管理系统、智能一卡通系统、楼宇自控系统、能源管理系统、电梯五方通话系统、机房工程、综合管路系统、智慧消防、智慧景观、智能展厅系统、智慧园区管理平台等系统设备的供货、安装和调试，以及所有其他为系统正常运行所需必要的项目。</w:t>
      </w:r>
    </w:p>
    <w:p w14:paraId="15C70769">
      <w:pPr>
        <w:spacing w:line="360" w:lineRule="auto"/>
        <w:ind w:firstLine="480" w:firstLineChars="200"/>
        <w:rPr>
          <w:rFonts w:hint="eastAsia"/>
          <w:highlight w:val="none"/>
        </w:rPr>
      </w:pPr>
      <w:r>
        <w:rPr>
          <w:rFonts w:hint="eastAsia"/>
          <w:highlight w:val="none"/>
        </w:rPr>
        <w:t>以上内容具体以提供的施工图、设备采购清单及采购文件中明确的内容为准。</w:t>
      </w:r>
    </w:p>
    <w:p w14:paraId="0F73F454">
      <w:pPr>
        <w:tabs>
          <w:tab w:val="left" w:pos="425"/>
        </w:tabs>
        <w:spacing w:line="360" w:lineRule="auto"/>
        <w:ind w:firstLine="480" w:firstLineChars="200"/>
        <w:rPr>
          <w:rFonts w:hint="eastAsia"/>
          <w:highlight w:val="none"/>
        </w:rPr>
      </w:pPr>
      <w:r>
        <w:rPr>
          <w:rFonts w:hint="eastAsia"/>
          <w:highlight w:val="none"/>
        </w:rPr>
        <w:t>2、产品规格、数量及价格</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44"/>
        <w:gridCol w:w="1985"/>
        <w:gridCol w:w="1983"/>
        <w:gridCol w:w="737"/>
        <w:gridCol w:w="923"/>
        <w:gridCol w:w="923"/>
        <w:gridCol w:w="917"/>
      </w:tblGrid>
      <w:tr w14:paraId="2BB2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3" w:type="pct"/>
            <w:vAlign w:val="center"/>
          </w:tcPr>
          <w:p w14:paraId="6E71024B">
            <w:pPr>
              <w:jc w:val="center"/>
              <w:rPr>
                <w:rFonts w:hint="eastAsia"/>
                <w:sz w:val="21"/>
                <w:szCs w:val="21"/>
                <w:highlight w:val="none"/>
              </w:rPr>
            </w:pPr>
            <w:r>
              <w:rPr>
                <w:rFonts w:hint="eastAsia"/>
                <w:sz w:val="21"/>
                <w:szCs w:val="21"/>
                <w:highlight w:val="none"/>
              </w:rPr>
              <w:t>序号</w:t>
            </w:r>
          </w:p>
        </w:tc>
        <w:tc>
          <w:tcPr>
            <w:tcW w:w="616" w:type="pct"/>
            <w:vAlign w:val="center"/>
          </w:tcPr>
          <w:p w14:paraId="0071F7E7">
            <w:pPr>
              <w:jc w:val="center"/>
              <w:rPr>
                <w:rFonts w:hint="eastAsia"/>
                <w:sz w:val="21"/>
                <w:szCs w:val="21"/>
                <w:highlight w:val="none"/>
              </w:rPr>
            </w:pPr>
            <w:r>
              <w:rPr>
                <w:rFonts w:hint="eastAsia"/>
                <w:sz w:val="21"/>
                <w:szCs w:val="21"/>
                <w:highlight w:val="none"/>
              </w:rPr>
              <w:t>货物名称</w:t>
            </w:r>
          </w:p>
        </w:tc>
        <w:tc>
          <w:tcPr>
            <w:tcW w:w="1069" w:type="pct"/>
            <w:vAlign w:val="center"/>
          </w:tcPr>
          <w:p w14:paraId="2F4007C0">
            <w:pPr>
              <w:jc w:val="center"/>
              <w:rPr>
                <w:rFonts w:hint="eastAsia"/>
                <w:sz w:val="21"/>
                <w:szCs w:val="21"/>
                <w:highlight w:val="none"/>
              </w:rPr>
            </w:pPr>
            <w:r>
              <w:rPr>
                <w:rFonts w:hint="eastAsia"/>
                <w:sz w:val="21"/>
                <w:szCs w:val="21"/>
                <w:highlight w:val="none"/>
              </w:rPr>
              <w:t>品牌、规格、型号</w:t>
            </w:r>
          </w:p>
        </w:tc>
        <w:tc>
          <w:tcPr>
            <w:tcW w:w="1068" w:type="pct"/>
            <w:vAlign w:val="center"/>
          </w:tcPr>
          <w:p w14:paraId="46761862">
            <w:pPr>
              <w:jc w:val="center"/>
              <w:rPr>
                <w:rFonts w:hint="eastAsia"/>
                <w:sz w:val="21"/>
                <w:szCs w:val="21"/>
                <w:highlight w:val="none"/>
              </w:rPr>
            </w:pPr>
            <w:r>
              <w:rPr>
                <w:rFonts w:hint="eastAsia"/>
                <w:sz w:val="21"/>
                <w:szCs w:val="21"/>
                <w:highlight w:val="none"/>
              </w:rPr>
              <w:t>制造商名称及产地</w:t>
            </w:r>
          </w:p>
        </w:tc>
        <w:tc>
          <w:tcPr>
            <w:tcW w:w="397" w:type="pct"/>
            <w:vAlign w:val="center"/>
          </w:tcPr>
          <w:p w14:paraId="3B923F75">
            <w:pPr>
              <w:jc w:val="center"/>
              <w:rPr>
                <w:rFonts w:hint="eastAsia"/>
                <w:sz w:val="21"/>
                <w:szCs w:val="21"/>
                <w:highlight w:val="none"/>
              </w:rPr>
            </w:pPr>
            <w:r>
              <w:rPr>
                <w:rFonts w:hint="eastAsia"/>
                <w:sz w:val="21"/>
                <w:szCs w:val="21"/>
                <w:highlight w:val="none"/>
              </w:rPr>
              <w:t>单位</w:t>
            </w:r>
          </w:p>
        </w:tc>
        <w:tc>
          <w:tcPr>
            <w:tcW w:w="497" w:type="pct"/>
            <w:vAlign w:val="center"/>
          </w:tcPr>
          <w:p w14:paraId="7499312F">
            <w:pPr>
              <w:jc w:val="center"/>
              <w:rPr>
                <w:rFonts w:hint="eastAsia"/>
                <w:sz w:val="21"/>
                <w:szCs w:val="21"/>
                <w:highlight w:val="none"/>
              </w:rPr>
            </w:pPr>
            <w:r>
              <w:rPr>
                <w:rFonts w:hint="eastAsia"/>
                <w:sz w:val="21"/>
                <w:szCs w:val="21"/>
                <w:highlight w:val="none"/>
              </w:rPr>
              <w:t>数量</w:t>
            </w:r>
          </w:p>
        </w:tc>
        <w:tc>
          <w:tcPr>
            <w:tcW w:w="497" w:type="pct"/>
            <w:vAlign w:val="center"/>
          </w:tcPr>
          <w:p w14:paraId="3400D56E">
            <w:pPr>
              <w:jc w:val="center"/>
              <w:rPr>
                <w:rFonts w:hint="eastAsia"/>
                <w:sz w:val="21"/>
                <w:szCs w:val="21"/>
                <w:highlight w:val="none"/>
              </w:rPr>
            </w:pPr>
            <w:r>
              <w:rPr>
                <w:rFonts w:hint="eastAsia"/>
                <w:sz w:val="21"/>
                <w:szCs w:val="21"/>
                <w:highlight w:val="none"/>
              </w:rPr>
              <w:t>单价</w:t>
            </w:r>
          </w:p>
        </w:tc>
        <w:tc>
          <w:tcPr>
            <w:tcW w:w="493" w:type="pct"/>
            <w:vAlign w:val="center"/>
          </w:tcPr>
          <w:p w14:paraId="1F08B275">
            <w:pPr>
              <w:jc w:val="center"/>
              <w:rPr>
                <w:rFonts w:hint="eastAsia"/>
                <w:caps/>
                <w:sz w:val="21"/>
                <w:szCs w:val="21"/>
                <w:highlight w:val="none"/>
              </w:rPr>
            </w:pPr>
            <w:r>
              <w:rPr>
                <w:rFonts w:hint="eastAsia"/>
                <w:sz w:val="21"/>
                <w:szCs w:val="21"/>
                <w:highlight w:val="none"/>
              </w:rPr>
              <w:t>小计</w:t>
            </w:r>
          </w:p>
        </w:tc>
      </w:tr>
      <w:tr w14:paraId="0FD0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3" w:type="pct"/>
            <w:vAlign w:val="center"/>
          </w:tcPr>
          <w:p w14:paraId="0AA06F2D">
            <w:pPr>
              <w:jc w:val="center"/>
              <w:rPr>
                <w:rFonts w:hint="eastAsia"/>
                <w:sz w:val="21"/>
                <w:szCs w:val="21"/>
                <w:highlight w:val="none"/>
              </w:rPr>
            </w:pPr>
          </w:p>
        </w:tc>
        <w:tc>
          <w:tcPr>
            <w:tcW w:w="616" w:type="pct"/>
            <w:vAlign w:val="center"/>
          </w:tcPr>
          <w:p w14:paraId="47D5C9D8">
            <w:pPr>
              <w:jc w:val="center"/>
              <w:rPr>
                <w:rFonts w:hint="eastAsia"/>
                <w:sz w:val="21"/>
                <w:szCs w:val="21"/>
                <w:highlight w:val="none"/>
              </w:rPr>
            </w:pPr>
          </w:p>
        </w:tc>
        <w:tc>
          <w:tcPr>
            <w:tcW w:w="1069" w:type="pct"/>
            <w:vAlign w:val="center"/>
          </w:tcPr>
          <w:p w14:paraId="6FAD3BA8">
            <w:pPr>
              <w:jc w:val="center"/>
              <w:rPr>
                <w:rFonts w:hint="eastAsia"/>
                <w:sz w:val="21"/>
                <w:szCs w:val="21"/>
                <w:highlight w:val="none"/>
              </w:rPr>
            </w:pPr>
          </w:p>
        </w:tc>
        <w:tc>
          <w:tcPr>
            <w:tcW w:w="1068" w:type="pct"/>
            <w:vAlign w:val="center"/>
          </w:tcPr>
          <w:p w14:paraId="63D69437">
            <w:pPr>
              <w:jc w:val="center"/>
              <w:rPr>
                <w:rFonts w:hint="eastAsia"/>
                <w:sz w:val="21"/>
                <w:szCs w:val="21"/>
                <w:highlight w:val="none"/>
              </w:rPr>
            </w:pPr>
          </w:p>
        </w:tc>
        <w:tc>
          <w:tcPr>
            <w:tcW w:w="397" w:type="pct"/>
            <w:vAlign w:val="center"/>
          </w:tcPr>
          <w:p w14:paraId="3A00E94F">
            <w:pPr>
              <w:jc w:val="center"/>
              <w:rPr>
                <w:rFonts w:hint="eastAsia"/>
                <w:sz w:val="21"/>
                <w:szCs w:val="21"/>
                <w:highlight w:val="none"/>
              </w:rPr>
            </w:pPr>
          </w:p>
        </w:tc>
        <w:tc>
          <w:tcPr>
            <w:tcW w:w="497" w:type="pct"/>
            <w:vAlign w:val="center"/>
          </w:tcPr>
          <w:p w14:paraId="500341AE">
            <w:pPr>
              <w:jc w:val="center"/>
              <w:rPr>
                <w:rFonts w:hint="eastAsia"/>
                <w:sz w:val="21"/>
                <w:szCs w:val="21"/>
                <w:highlight w:val="none"/>
              </w:rPr>
            </w:pPr>
          </w:p>
        </w:tc>
        <w:tc>
          <w:tcPr>
            <w:tcW w:w="497" w:type="pct"/>
            <w:vAlign w:val="center"/>
          </w:tcPr>
          <w:p w14:paraId="27FBA314">
            <w:pPr>
              <w:jc w:val="center"/>
              <w:rPr>
                <w:rFonts w:hint="eastAsia"/>
                <w:sz w:val="21"/>
                <w:szCs w:val="21"/>
                <w:highlight w:val="none"/>
              </w:rPr>
            </w:pPr>
          </w:p>
        </w:tc>
        <w:tc>
          <w:tcPr>
            <w:tcW w:w="493" w:type="pct"/>
            <w:vAlign w:val="center"/>
          </w:tcPr>
          <w:p w14:paraId="7BABFB32">
            <w:pPr>
              <w:jc w:val="center"/>
              <w:rPr>
                <w:rFonts w:hint="eastAsia"/>
                <w:caps/>
                <w:sz w:val="21"/>
                <w:szCs w:val="21"/>
                <w:highlight w:val="none"/>
              </w:rPr>
            </w:pPr>
          </w:p>
        </w:tc>
      </w:tr>
      <w:tr w14:paraId="25F1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3" w:type="pct"/>
            <w:vAlign w:val="center"/>
          </w:tcPr>
          <w:p w14:paraId="5438B9A7">
            <w:pPr>
              <w:jc w:val="center"/>
              <w:rPr>
                <w:rFonts w:hint="eastAsia"/>
                <w:sz w:val="21"/>
                <w:szCs w:val="21"/>
                <w:highlight w:val="none"/>
              </w:rPr>
            </w:pPr>
          </w:p>
        </w:tc>
        <w:tc>
          <w:tcPr>
            <w:tcW w:w="616" w:type="pct"/>
            <w:vAlign w:val="center"/>
          </w:tcPr>
          <w:p w14:paraId="1F371B6E">
            <w:pPr>
              <w:jc w:val="center"/>
              <w:rPr>
                <w:rFonts w:hint="eastAsia"/>
                <w:sz w:val="21"/>
                <w:szCs w:val="21"/>
                <w:highlight w:val="none"/>
              </w:rPr>
            </w:pPr>
          </w:p>
        </w:tc>
        <w:tc>
          <w:tcPr>
            <w:tcW w:w="1069" w:type="pct"/>
            <w:vAlign w:val="center"/>
          </w:tcPr>
          <w:p w14:paraId="202403AF">
            <w:pPr>
              <w:jc w:val="center"/>
              <w:rPr>
                <w:rFonts w:hint="eastAsia"/>
                <w:sz w:val="21"/>
                <w:szCs w:val="21"/>
                <w:highlight w:val="none"/>
              </w:rPr>
            </w:pPr>
          </w:p>
        </w:tc>
        <w:tc>
          <w:tcPr>
            <w:tcW w:w="1068" w:type="pct"/>
            <w:vAlign w:val="center"/>
          </w:tcPr>
          <w:p w14:paraId="20AE174F">
            <w:pPr>
              <w:jc w:val="center"/>
              <w:rPr>
                <w:rFonts w:hint="eastAsia"/>
                <w:sz w:val="21"/>
                <w:szCs w:val="21"/>
                <w:highlight w:val="none"/>
              </w:rPr>
            </w:pPr>
          </w:p>
        </w:tc>
        <w:tc>
          <w:tcPr>
            <w:tcW w:w="397" w:type="pct"/>
            <w:vAlign w:val="center"/>
          </w:tcPr>
          <w:p w14:paraId="51C0F728">
            <w:pPr>
              <w:jc w:val="center"/>
              <w:rPr>
                <w:rFonts w:hint="eastAsia"/>
                <w:sz w:val="21"/>
                <w:szCs w:val="21"/>
                <w:highlight w:val="none"/>
              </w:rPr>
            </w:pPr>
          </w:p>
        </w:tc>
        <w:tc>
          <w:tcPr>
            <w:tcW w:w="497" w:type="pct"/>
            <w:vAlign w:val="center"/>
          </w:tcPr>
          <w:p w14:paraId="72D6A1FA">
            <w:pPr>
              <w:jc w:val="center"/>
              <w:rPr>
                <w:rFonts w:hint="eastAsia"/>
                <w:sz w:val="21"/>
                <w:szCs w:val="21"/>
                <w:highlight w:val="none"/>
              </w:rPr>
            </w:pPr>
          </w:p>
        </w:tc>
        <w:tc>
          <w:tcPr>
            <w:tcW w:w="497" w:type="pct"/>
            <w:vAlign w:val="center"/>
          </w:tcPr>
          <w:p w14:paraId="2F10FBF7">
            <w:pPr>
              <w:jc w:val="center"/>
              <w:rPr>
                <w:rFonts w:hint="eastAsia"/>
                <w:sz w:val="21"/>
                <w:szCs w:val="21"/>
                <w:highlight w:val="none"/>
              </w:rPr>
            </w:pPr>
          </w:p>
        </w:tc>
        <w:tc>
          <w:tcPr>
            <w:tcW w:w="493" w:type="pct"/>
            <w:vAlign w:val="center"/>
          </w:tcPr>
          <w:p w14:paraId="399F0E38">
            <w:pPr>
              <w:jc w:val="center"/>
              <w:rPr>
                <w:rFonts w:hint="eastAsia"/>
                <w:caps/>
                <w:sz w:val="21"/>
                <w:szCs w:val="21"/>
                <w:highlight w:val="none"/>
              </w:rPr>
            </w:pPr>
          </w:p>
        </w:tc>
      </w:tr>
      <w:tr w14:paraId="0774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3" w:type="pct"/>
            <w:vAlign w:val="center"/>
          </w:tcPr>
          <w:p w14:paraId="34F84F1A">
            <w:pPr>
              <w:jc w:val="center"/>
              <w:rPr>
                <w:rFonts w:hint="eastAsia"/>
                <w:sz w:val="21"/>
                <w:szCs w:val="21"/>
                <w:highlight w:val="none"/>
              </w:rPr>
            </w:pPr>
          </w:p>
        </w:tc>
        <w:tc>
          <w:tcPr>
            <w:tcW w:w="616" w:type="pct"/>
            <w:vAlign w:val="center"/>
          </w:tcPr>
          <w:p w14:paraId="34FF6EEA">
            <w:pPr>
              <w:jc w:val="center"/>
              <w:rPr>
                <w:rFonts w:hint="eastAsia"/>
                <w:sz w:val="21"/>
                <w:szCs w:val="21"/>
                <w:highlight w:val="none"/>
              </w:rPr>
            </w:pPr>
          </w:p>
        </w:tc>
        <w:tc>
          <w:tcPr>
            <w:tcW w:w="1069" w:type="pct"/>
            <w:vAlign w:val="center"/>
          </w:tcPr>
          <w:p w14:paraId="464ED203">
            <w:pPr>
              <w:jc w:val="center"/>
              <w:rPr>
                <w:rFonts w:hint="eastAsia"/>
                <w:sz w:val="21"/>
                <w:szCs w:val="21"/>
                <w:highlight w:val="none"/>
              </w:rPr>
            </w:pPr>
          </w:p>
        </w:tc>
        <w:tc>
          <w:tcPr>
            <w:tcW w:w="1068" w:type="pct"/>
            <w:vAlign w:val="center"/>
          </w:tcPr>
          <w:p w14:paraId="58DB901C">
            <w:pPr>
              <w:jc w:val="center"/>
              <w:rPr>
                <w:rFonts w:hint="eastAsia"/>
                <w:sz w:val="21"/>
                <w:szCs w:val="21"/>
                <w:highlight w:val="none"/>
              </w:rPr>
            </w:pPr>
          </w:p>
        </w:tc>
        <w:tc>
          <w:tcPr>
            <w:tcW w:w="397" w:type="pct"/>
            <w:vAlign w:val="center"/>
          </w:tcPr>
          <w:p w14:paraId="7A3465E6">
            <w:pPr>
              <w:jc w:val="center"/>
              <w:rPr>
                <w:rFonts w:hint="eastAsia"/>
                <w:sz w:val="21"/>
                <w:szCs w:val="21"/>
                <w:highlight w:val="none"/>
              </w:rPr>
            </w:pPr>
          </w:p>
        </w:tc>
        <w:tc>
          <w:tcPr>
            <w:tcW w:w="497" w:type="pct"/>
            <w:vAlign w:val="center"/>
          </w:tcPr>
          <w:p w14:paraId="47361FB1">
            <w:pPr>
              <w:jc w:val="center"/>
              <w:rPr>
                <w:rFonts w:hint="eastAsia"/>
                <w:sz w:val="21"/>
                <w:szCs w:val="21"/>
                <w:highlight w:val="none"/>
              </w:rPr>
            </w:pPr>
          </w:p>
        </w:tc>
        <w:tc>
          <w:tcPr>
            <w:tcW w:w="497" w:type="pct"/>
            <w:vAlign w:val="center"/>
          </w:tcPr>
          <w:p w14:paraId="026A9BF3">
            <w:pPr>
              <w:jc w:val="center"/>
              <w:rPr>
                <w:rFonts w:hint="eastAsia"/>
                <w:sz w:val="21"/>
                <w:szCs w:val="21"/>
                <w:highlight w:val="none"/>
              </w:rPr>
            </w:pPr>
          </w:p>
        </w:tc>
        <w:tc>
          <w:tcPr>
            <w:tcW w:w="493" w:type="pct"/>
            <w:vAlign w:val="center"/>
          </w:tcPr>
          <w:p w14:paraId="4EED7A2A">
            <w:pPr>
              <w:jc w:val="center"/>
              <w:rPr>
                <w:rFonts w:hint="eastAsia"/>
                <w:caps/>
                <w:sz w:val="21"/>
                <w:szCs w:val="21"/>
                <w:highlight w:val="none"/>
              </w:rPr>
            </w:pPr>
          </w:p>
        </w:tc>
      </w:tr>
      <w:tr w14:paraId="4426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3" w:type="pct"/>
            <w:vAlign w:val="center"/>
          </w:tcPr>
          <w:p w14:paraId="1BC48ED8">
            <w:pPr>
              <w:jc w:val="center"/>
              <w:rPr>
                <w:rFonts w:hint="eastAsia"/>
                <w:sz w:val="21"/>
                <w:szCs w:val="21"/>
                <w:highlight w:val="none"/>
              </w:rPr>
            </w:pPr>
          </w:p>
        </w:tc>
        <w:tc>
          <w:tcPr>
            <w:tcW w:w="616" w:type="pct"/>
            <w:vAlign w:val="center"/>
          </w:tcPr>
          <w:p w14:paraId="5EA8AFF6">
            <w:pPr>
              <w:jc w:val="center"/>
              <w:rPr>
                <w:rFonts w:hint="eastAsia"/>
                <w:sz w:val="21"/>
                <w:szCs w:val="21"/>
                <w:highlight w:val="none"/>
              </w:rPr>
            </w:pPr>
          </w:p>
        </w:tc>
        <w:tc>
          <w:tcPr>
            <w:tcW w:w="1069" w:type="pct"/>
            <w:vAlign w:val="center"/>
          </w:tcPr>
          <w:p w14:paraId="087352C0">
            <w:pPr>
              <w:jc w:val="center"/>
              <w:rPr>
                <w:rFonts w:hint="eastAsia"/>
                <w:sz w:val="21"/>
                <w:szCs w:val="21"/>
                <w:highlight w:val="none"/>
              </w:rPr>
            </w:pPr>
          </w:p>
        </w:tc>
        <w:tc>
          <w:tcPr>
            <w:tcW w:w="1068" w:type="pct"/>
            <w:vAlign w:val="center"/>
          </w:tcPr>
          <w:p w14:paraId="4B3A562F">
            <w:pPr>
              <w:jc w:val="center"/>
              <w:rPr>
                <w:rFonts w:hint="eastAsia"/>
                <w:sz w:val="21"/>
                <w:szCs w:val="21"/>
                <w:highlight w:val="none"/>
              </w:rPr>
            </w:pPr>
          </w:p>
        </w:tc>
        <w:tc>
          <w:tcPr>
            <w:tcW w:w="397" w:type="pct"/>
            <w:vAlign w:val="center"/>
          </w:tcPr>
          <w:p w14:paraId="18091907">
            <w:pPr>
              <w:jc w:val="center"/>
              <w:rPr>
                <w:rFonts w:hint="eastAsia"/>
                <w:sz w:val="21"/>
                <w:szCs w:val="21"/>
                <w:highlight w:val="none"/>
              </w:rPr>
            </w:pPr>
          </w:p>
        </w:tc>
        <w:tc>
          <w:tcPr>
            <w:tcW w:w="497" w:type="pct"/>
            <w:vAlign w:val="center"/>
          </w:tcPr>
          <w:p w14:paraId="3011CDC1">
            <w:pPr>
              <w:jc w:val="center"/>
              <w:rPr>
                <w:rFonts w:hint="eastAsia"/>
                <w:sz w:val="21"/>
                <w:szCs w:val="21"/>
                <w:highlight w:val="none"/>
              </w:rPr>
            </w:pPr>
          </w:p>
        </w:tc>
        <w:tc>
          <w:tcPr>
            <w:tcW w:w="497" w:type="pct"/>
            <w:vAlign w:val="center"/>
          </w:tcPr>
          <w:p w14:paraId="360F1F09">
            <w:pPr>
              <w:jc w:val="center"/>
              <w:rPr>
                <w:rFonts w:hint="eastAsia"/>
                <w:sz w:val="21"/>
                <w:szCs w:val="21"/>
                <w:highlight w:val="none"/>
              </w:rPr>
            </w:pPr>
          </w:p>
        </w:tc>
        <w:tc>
          <w:tcPr>
            <w:tcW w:w="493" w:type="pct"/>
            <w:vAlign w:val="center"/>
          </w:tcPr>
          <w:p w14:paraId="7D265F67">
            <w:pPr>
              <w:jc w:val="center"/>
              <w:rPr>
                <w:rFonts w:hint="eastAsia"/>
                <w:sz w:val="21"/>
                <w:szCs w:val="21"/>
                <w:highlight w:val="none"/>
              </w:rPr>
            </w:pPr>
          </w:p>
        </w:tc>
      </w:tr>
      <w:tr w14:paraId="4DA7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9" w:type="pct"/>
            <w:gridSpan w:val="2"/>
            <w:vAlign w:val="center"/>
          </w:tcPr>
          <w:p w14:paraId="23C6A010">
            <w:pPr>
              <w:jc w:val="center"/>
              <w:rPr>
                <w:rFonts w:hint="eastAsia"/>
                <w:sz w:val="21"/>
                <w:szCs w:val="21"/>
                <w:highlight w:val="none"/>
              </w:rPr>
            </w:pPr>
            <w:r>
              <w:rPr>
                <w:rFonts w:hint="eastAsia"/>
                <w:sz w:val="21"/>
                <w:szCs w:val="21"/>
                <w:highlight w:val="none"/>
              </w:rPr>
              <w:t>总价</w:t>
            </w:r>
          </w:p>
        </w:tc>
        <w:tc>
          <w:tcPr>
            <w:tcW w:w="4021" w:type="pct"/>
            <w:gridSpan w:val="6"/>
            <w:vAlign w:val="center"/>
          </w:tcPr>
          <w:p w14:paraId="15F75C95">
            <w:pPr>
              <w:spacing w:line="276" w:lineRule="auto"/>
              <w:rPr>
                <w:rFonts w:hint="eastAsia"/>
                <w:sz w:val="21"/>
                <w:szCs w:val="21"/>
                <w:highlight w:val="none"/>
              </w:rPr>
            </w:pPr>
            <w:r>
              <w:rPr>
                <w:rFonts w:hint="eastAsia"/>
                <w:sz w:val="21"/>
                <w:szCs w:val="21"/>
                <w:highlight w:val="none"/>
              </w:rPr>
              <w:t>大写：_</w:t>
            </w:r>
            <w:r>
              <w:rPr>
                <w:sz w:val="21"/>
                <w:szCs w:val="21"/>
                <w:highlight w:val="none"/>
              </w:rPr>
              <w:t>_______________________</w:t>
            </w:r>
            <w:r>
              <w:rPr>
                <w:rFonts w:hint="eastAsia"/>
                <w:sz w:val="21"/>
                <w:szCs w:val="21"/>
                <w:highlight w:val="none"/>
              </w:rPr>
              <w:t>元（小写：_</w:t>
            </w:r>
            <w:r>
              <w:rPr>
                <w:sz w:val="21"/>
                <w:szCs w:val="21"/>
                <w:highlight w:val="none"/>
              </w:rPr>
              <w:t>____________</w:t>
            </w:r>
            <w:r>
              <w:rPr>
                <w:rFonts w:hint="eastAsia"/>
                <w:sz w:val="21"/>
                <w:szCs w:val="21"/>
                <w:highlight w:val="none"/>
              </w:rPr>
              <w:t>）。</w:t>
            </w:r>
          </w:p>
        </w:tc>
      </w:tr>
    </w:tbl>
    <w:p w14:paraId="2DFEFC7B">
      <w:pPr>
        <w:spacing w:line="360" w:lineRule="auto"/>
        <w:rPr>
          <w:rFonts w:hint="eastAsia"/>
          <w:highlight w:val="none"/>
        </w:rPr>
      </w:pPr>
      <w:r>
        <w:rPr>
          <w:rFonts w:hint="eastAsia"/>
          <w:highlight w:val="none"/>
        </w:rPr>
        <w:t>注：</w:t>
      </w:r>
    </w:p>
    <w:p w14:paraId="3270EFEF">
      <w:pPr>
        <w:snapToGrid w:val="0"/>
        <w:spacing w:line="360" w:lineRule="auto"/>
        <w:ind w:firstLine="480" w:firstLineChars="200"/>
        <w:rPr>
          <w:rFonts w:hint="eastAsia"/>
          <w:kern w:val="2"/>
          <w:highlight w:val="none"/>
          <w:lang w:eastAsia="zh-CN"/>
        </w:rPr>
      </w:pPr>
      <w:r>
        <w:rPr>
          <w:rFonts w:hint="eastAsia"/>
          <w:kern w:val="2"/>
          <w:highlight w:val="none"/>
          <w:lang w:eastAsia="zh-CN"/>
        </w:rPr>
        <w:t>投标报价采用人民币计，合同采用固定综合单价形式，综合单价包括但不限于主材费、包装费、运输费、运输损耗、装卸费、安装费、安装所用水电费、辅料、配件、工具、深化设计费、保管费、调试费、检测费、保修费、管理费、相关配合费、单机调试及联动调试费、第三方检验费（包括针对网络系统的福禄克（FLUKE）检测、针对所有网络交换机型号的进网检验报告等）、现场可能发生的二次搬运费、临时设施费、检验试验费、成品保护费、利润、保险、税金、其他不可预见费等为完成本合同项下所有工作直至竣工验收合格后交付招标人使用所产生的一切费用以及售后服务费用。</w:t>
      </w:r>
      <w:r>
        <w:rPr>
          <w:rFonts w:hint="eastAsia"/>
          <w:highlight w:val="none"/>
        </w:rPr>
        <w:t>供货</w:t>
      </w:r>
      <w:r>
        <w:rPr>
          <w:highlight w:val="none"/>
        </w:rPr>
        <w:t>人</w:t>
      </w:r>
      <w:r>
        <w:rPr>
          <w:rFonts w:hint="eastAsia"/>
          <w:b/>
          <w:bCs/>
          <w:kern w:val="2"/>
          <w:highlight w:val="none"/>
        </w:rPr>
        <w:t>在编制投标报价时已充分考虑各种风险因素，凡</w:t>
      </w:r>
      <w:r>
        <w:rPr>
          <w:b/>
          <w:bCs/>
          <w:highlight w:val="none"/>
        </w:rPr>
        <w:t>投标</w:t>
      </w:r>
      <w:r>
        <w:rPr>
          <w:rFonts w:hint="eastAsia"/>
          <w:b/>
          <w:bCs/>
          <w:kern w:val="2"/>
          <w:highlight w:val="none"/>
        </w:rPr>
        <w:t>人漏项、漏报均认为已包含在报价中，结算时不再增加。</w:t>
      </w:r>
    </w:p>
    <w:p w14:paraId="776318E8">
      <w:pPr>
        <w:numPr>
          <w:ilvl w:val="0"/>
          <w:numId w:val="36"/>
        </w:numPr>
        <w:spacing w:line="360" w:lineRule="auto"/>
        <w:ind w:firstLine="480" w:firstLineChars="200"/>
        <w:rPr>
          <w:rFonts w:hint="eastAsia"/>
          <w:highlight w:val="none"/>
        </w:rPr>
      </w:pPr>
      <w:r>
        <w:rPr>
          <w:rFonts w:hint="eastAsia"/>
          <w:highlight w:val="none"/>
        </w:rPr>
        <w:t>供货</w:t>
      </w:r>
      <w:r>
        <w:rPr>
          <w:highlight w:val="none"/>
        </w:rPr>
        <w:t>人</w:t>
      </w:r>
      <w:r>
        <w:rPr>
          <w:rFonts w:hint="eastAsia"/>
          <w:highlight w:val="none"/>
        </w:rPr>
        <w:t>在投标</w:t>
      </w:r>
      <w:r>
        <w:rPr>
          <w:highlight w:val="none"/>
        </w:rPr>
        <w:t>深化设计时不得增减招标人的</w:t>
      </w:r>
      <w:r>
        <w:rPr>
          <w:rFonts w:hint="eastAsia"/>
          <w:highlight w:val="none"/>
        </w:rPr>
        <w:t>采购</w:t>
      </w:r>
      <w:r>
        <w:rPr>
          <w:highlight w:val="none"/>
        </w:rPr>
        <w:t>清单项目</w:t>
      </w:r>
      <w:r>
        <w:rPr>
          <w:rFonts w:hint="eastAsia"/>
          <w:highlight w:val="none"/>
        </w:rPr>
        <w:t>，</w:t>
      </w:r>
      <w:r>
        <w:rPr>
          <w:highlight w:val="none"/>
        </w:rPr>
        <w:t>各系统功能及相关设备的技术参数不得低于</w:t>
      </w:r>
      <w:r>
        <w:rPr>
          <w:rFonts w:hint="eastAsia"/>
          <w:highlight w:val="none"/>
        </w:rPr>
        <w:t>采购</w:t>
      </w:r>
      <w:r>
        <w:rPr>
          <w:highlight w:val="none"/>
        </w:rPr>
        <w:t>要求。</w:t>
      </w:r>
    </w:p>
    <w:p w14:paraId="2FBF6F73">
      <w:pPr>
        <w:spacing w:line="360" w:lineRule="auto"/>
        <w:ind w:firstLine="480" w:firstLineChars="200"/>
        <w:rPr>
          <w:rFonts w:hint="eastAsia"/>
          <w:highlight w:val="none"/>
        </w:rPr>
      </w:pPr>
      <w:r>
        <w:rPr>
          <w:rFonts w:hint="eastAsia"/>
          <w:highlight w:val="none"/>
        </w:rPr>
        <w:t>（2）供货人在订货前须与采购人确认，实际采购数量在中标后根据中标后深化设计情况经建设单位确认后实施，若数量调整，中标单价（综合单价）不作调整，线缆长度根据确认后的深化设计图确定。中标后，中标人须在合同额范围内进行深化设计，结算金额根据结算审核结果据实支付，但除建设单位要求调整的情况外，超出合同额部分不予支付。</w:t>
      </w:r>
    </w:p>
    <w:p w14:paraId="5E23494B">
      <w:pPr>
        <w:spacing w:line="360" w:lineRule="auto"/>
        <w:ind w:firstLine="480" w:firstLineChars="200"/>
        <w:rPr>
          <w:rStyle w:val="59"/>
          <w:rFonts w:hint="eastAsia"/>
          <w:highlight w:val="none"/>
        </w:rPr>
      </w:pPr>
      <w:r>
        <w:rPr>
          <w:rFonts w:hint="eastAsia"/>
          <w:highlight w:val="none"/>
        </w:rPr>
        <w:t>3、每个设备均应有制造厂家的铭牌，并装在显著的地方，铭牌上至少应包括制造厂名称、型号、制造年份及其他性能资料等可完全识别此项设备所必需的资料。带有</w:t>
      </w:r>
      <w:r>
        <w:rPr>
          <w:rFonts w:hint="eastAsia"/>
          <w:highlight w:val="none"/>
          <w:u w:val="single"/>
        </w:rPr>
        <w:t>使用说明书、合格证、质保书等</w:t>
      </w:r>
      <w:r>
        <w:rPr>
          <w:rFonts w:hint="eastAsia"/>
          <w:highlight w:val="none"/>
        </w:rPr>
        <w:t>相关技术资料。如发现不合格的设备材料，由供货人承担全部的经济损失和责任。</w:t>
      </w:r>
    </w:p>
    <w:p w14:paraId="0ABFBD22">
      <w:pPr>
        <w:tabs>
          <w:tab w:val="left" w:pos="425"/>
        </w:tabs>
        <w:spacing w:line="360" w:lineRule="auto"/>
        <w:ind w:firstLine="482" w:firstLineChars="200"/>
        <w:rPr>
          <w:rFonts w:hint="eastAsia"/>
          <w:b/>
          <w:bCs/>
          <w:highlight w:val="none"/>
        </w:rPr>
      </w:pPr>
      <w:r>
        <w:rPr>
          <w:rFonts w:hint="eastAsia"/>
          <w:b/>
          <w:bCs/>
          <w:highlight w:val="none"/>
        </w:rPr>
        <w:t>二、设备的质量、技术标准</w:t>
      </w:r>
    </w:p>
    <w:p w14:paraId="78C770A1">
      <w:pPr>
        <w:spacing w:line="360" w:lineRule="auto"/>
        <w:ind w:firstLine="480" w:firstLineChars="200"/>
        <w:rPr>
          <w:rFonts w:hint="eastAsia"/>
          <w:highlight w:val="none"/>
        </w:rPr>
      </w:pPr>
      <w:r>
        <w:rPr>
          <w:rFonts w:hint="eastAsia"/>
          <w:highlight w:val="none"/>
        </w:rPr>
        <w:t>合同设备的质量、技术标准应当符合该商品的国家标准，且应满足本项目招标文件《技术标准和要求》。</w:t>
      </w:r>
    </w:p>
    <w:p w14:paraId="1638C1EF">
      <w:pPr>
        <w:tabs>
          <w:tab w:val="left" w:pos="425"/>
        </w:tabs>
        <w:spacing w:line="360" w:lineRule="auto"/>
        <w:ind w:firstLine="482" w:firstLineChars="200"/>
        <w:rPr>
          <w:rFonts w:hint="eastAsia"/>
          <w:b/>
          <w:bCs/>
          <w:highlight w:val="none"/>
        </w:rPr>
      </w:pPr>
      <w:r>
        <w:rPr>
          <w:rFonts w:hint="eastAsia"/>
          <w:b/>
          <w:bCs/>
          <w:highlight w:val="none"/>
        </w:rPr>
        <w:t>三、知识产权</w:t>
      </w:r>
    </w:p>
    <w:p w14:paraId="1A74A19A">
      <w:pPr>
        <w:spacing w:line="360" w:lineRule="auto"/>
        <w:ind w:firstLine="480" w:firstLineChars="200"/>
        <w:rPr>
          <w:rFonts w:hint="eastAsia"/>
          <w:highlight w:val="none"/>
        </w:rPr>
      </w:pPr>
      <w:r>
        <w:rPr>
          <w:rFonts w:hint="eastAsia"/>
          <w:highlight w:val="none"/>
        </w:rPr>
        <w:t>供货人对一切可能的侵权指控负责。</w:t>
      </w:r>
    </w:p>
    <w:p w14:paraId="07685822">
      <w:pPr>
        <w:tabs>
          <w:tab w:val="left" w:pos="425"/>
        </w:tabs>
        <w:spacing w:line="360" w:lineRule="auto"/>
        <w:ind w:firstLine="482" w:firstLineChars="200"/>
        <w:rPr>
          <w:rFonts w:hint="eastAsia"/>
          <w:b/>
          <w:bCs/>
          <w:highlight w:val="none"/>
        </w:rPr>
      </w:pPr>
      <w:r>
        <w:rPr>
          <w:rFonts w:hint="eastAsia"/>
          <w:b/>
          <w:bCs/>
          <w:highlight w:val="none"/>
        </w:rPr>
        <w:t>四、设备包装、运输、装卸和保险</w:t>
      </w:r>
    </w:p>
    <w:p w14:paraId="4909B2E5">
      <w:pPr>
        <w:spacing w:line="360" w:lineRule="auto"/>
        <w:ind w:firstLine="480" w:firstLineChars="200"/>
        <w:rPr>
          <w:rFonts w:hint="eastAsia"/>
          <w:highlight w:val="none"/>
        </w:rPr>
      </w:pPr>
      <w:r>
        <w:rPr>
          <w:rFonts w:hint="eastAsia"/>
          <w:highlight w:val="none"/>
        </w:rPr>
        <w:t>1、为了保证设备在长途运输和装卸过程中的安全，设备包装应符合国家或专业（部）标准规定。由于包装不善导致设备锈蚀、失缺或损坏，由供货人承担一切责任。</w:t>
      </w:r>
    </w:p>
    <w:p w14:paraId="1420CAEB">
      <w:pPr>
        <w:spacing w:line="360" w:lineRule="auto"/>
        <w:ind w:firstLine="480" w:firstLineChars="200"/>
        <w:rPr>
          <w:rFonts w:hint="eastAsia"/>
          <w:highlight w:val="none"/>
        </w:rPr>
      </w:pPr>
      <w:r>
        <w:rPr>
          <w:rFonts w:hint="eastAsia"/>
          <w:highlight w:val="none"/>
        </w:rPr>
        <w:t>2、每一包装箱内必须附有装箱清单。</w:t>
      </w:r>
    </w:p>
    <w:p w14:paraId="49155709">
      <w:pPr>
        <w:spacing w:line="360" w:lineRule="auto"/>
        <w:ind w:firstLine="480" w:firstLineChars="200"/>
        <w:rPr>
          <w:rFonts w:hint="eastAsia"/>
          <w:highlight w:val="none"/>
        </w:rPr>
      </w:pPr>
      <w:r>
        <w:rPr>
          <w:rFonts w:hint="eastAsia"/>
          <w:highlight w:val="none"/>
        </w:rPr>
        <w:t>3、货物在装运前由供货人方投保，一旦货物在装车、运输过程中发生损坏或短缺，由卖方负责索赔。</w:t>
      </w:r>
    </w:p>
    <w:p w14:paraId="52B8E0EA">
      <w:pPr>
        <w:spacing w:line="360" w:lineRule="auto"/>
        <w:ind w:firstLine="480" w:firstLineChars="200"/>
        <w:rPr>
          <w:rFonts w:hint="eastAsia"/>
          <w:highlight w:val="none"/>
        </w:rPr>
      </w:pPr>
      <w:r>
        <w:rPr>
          <w:rFonts w:hint="eastAsia"/>
          <w:highlight w:val="none"/>
        </w:rPr>
        <w:t>4、供货人保证在确认货物因装车、运输中发生损坏或短缺后，尽快给予调换、修复和补齐缺件，不管其造成的原因如何，也不能以办理索赔为由而拖延。</w:t>
      </w:r>
    </w:p>
    <w:p w14:paraId="19995963">
      <w:pPr>
        <w:spacing w:line="360" w:lineRule="auto"/>
        <w:ind w:firstLine="480" w:firstLineChars="200"/>
        <w:rPr>
          <w:rFonts w:hint="eastAsia"/>
          <w:highlight w:val="none"/>
        </w:rPr>
      </w:pPr>
      <w:r>
        <w:rPr>
          <w:rFonts w:hint="eastAsia"/>
          <w:highlight w:val="none"/>
        </w:rPr>
        <w:t>5、供货人在设备发运前15天将准备发运的设备名称、规格、数量、包装箱件数、每件包装箱的尺码、毛重及对货物贮存的特殊要求以传真的形式通知买方，以便接货。</w:t>
      </w:r>
    </w:p>
    <w:p w14:paraId="2B06DF6B">
      <w:pPr>
        <w:spacing w:line="360" w:lineRule="auto"/>
        <w:ind w:firstLine="482" w:firstLineChars="200"/>
        <w:rPr>
          <w:rFonts w:hint="eastAsia"/>
          <w:b/>
          <w:bCs/>
          <w:highlight w:val="none"/>
        </w:rPr>
      </w:pPr>
      <w:r>
        <w:rPr>
          <w:rFonts w:hint="eastAsia"/>
          <w:b/>
          <w:bCs/>
          <w:highlight w:val="none"/>
        </w:rPr>
        <w:t>五、交货要求</w:t>
      </w:r>
    </w:p>
    <w:p w14:paraId="41B5C50B">
      <w:pPr>
        <w:spacing w:line="360" w:lineRule="auto"/>
        <w:ind w:firstLine="480" w:firstLineChars="200"/>
        <w:rPr>
          <w:rFonts w:hint="eastAsia"/>
          <w:highlight w:val="none"/>
        </w:rPr>
      </w:pPr>
      <w:r>
        <w:rPr>
          <w:highlight w:val="none"/>
        </w:rPr>
        <w:t>1</w:t>
      </w:r>
      <w:r>
        <w:rPr>
          <w:rFonts w:hint="eastAsia"/>
          <w:highlight w:val="none"/>
        </w:rPr>
        <w:t>、工期：</w:t>
      </w:r>
    </w:p>
    <w:p w14:paraId="7555012C">
      <w:pPr>
        <w:spacing w:line="360" w:lineRule="auto"/>
        <w:ind w:firstLine="480" w:firstLineChars="200"/>
        <w:rPr>
          <w:rFonts w:hint="eastAsia"/>
          <w:highlight w:val="none"/>
        </w:rPr>
      </w:pPr>
      <w:r>
        <w:rPr>
          <w:rFonts w:hint="eastAsia"/>
          <w:highlight w:val="none"/>
        </w:rPr>
        <w:t>200日历天（开工时间以采购人通知为准）。</w:t>
      </w:r>
    </w:p>
    <w:p w14:paraId="591AEE71">
      <w:pPr>
        <w:spacing w:line="360" w:lineRule="auto"/>
        <w:ind w:firstLine="480" w:firstLineChars="200"/>
        <w:rPr>
          <w:rFonts w:hint="eastAsia"/>
          <w:highlight w:val="none"/>
        </w:rPr>
      </w:pPr>
      <w:r>
        <w:rPr>
          <w:rFonts w:hint="eastAsia"/>
          <w:highlight w:val="none"/>
        </w:rPr>
        <w:t>一旦中标，中标人须根据采购人的进度要求随时进场，并在满足采购人网络计划中节点目标的条件下组织施工，并配合总承包单位完成竣工验收。</w:t>
      </w:r>
    </w:p>
    <w:p w14:paraId="793A4FD2">
      <w:pPr>
        <w:spacing w:line="360" w:lineRule="auto"/>
        <w:ind w:firstLine="480" w:firstLineChars="200"/>
        <w:rPr>
          <w:rFonts w:hint="eastAsia"/>
          <w:highlight w:val="none"/>
        </w:rPr>
      </w:pPr>
      <w:r>
        <w:rPr>
          <w:highlight w:val="none"/>
        </w:rPr>
        <w:t>2</w:t>
      </w:r>
      <w:r>
        <w:rPr>
          <w:rFonts w:hint="eastAsia"/>
          <w:highlight w:val="none"/>
        </w:rPr>
        <w:t>、</w:t>
      </w:r>
      <w:r>
        <w:rPr>
          <w:highlight w:val="none"/>
        </w:rPr>
        <w:t>交货地点：</w:t>
      </w:r>
      <w:r>
        <w:rPr>
          <w:rFonts w:hint="eastAsia"/>
          <w:highlight w:val="none"/>
        </w:rPr>
        <w:t>采购人指定的地点。</w:t>
      </w:r>
    </w:p>
    <w:p w14:paraId="4D152546">
      <w:pPr>
        <w:spacing w:line="360" w:lineRule="auto"/>
        <w:ind w:firstLine="480" w:firstLineChars="200"/>
        <w:rPr>
          <w:rFonts w:hint="eastAsia"/>
          <w:highlight w:val="none"/>
        </w:rPr>
      </w:pPr>
      <w:r>
        <w:rPr>
          <w:highlight w:val="none"/>
        </w:rPr>
        <w:t>3</w:t>
      </w:r>
      <w:r>
        <w:rPr>
          <w:rFonts w:hint="eastAsia"/>
          <w:highlight w:val="none"/>
        </w:rPr>
        <w:t>、供货人须按采购人的要求并在采购人、设计单位确定后制定深化设计图，竣工后提供6份竣工图及必要的后期维护等。供货人将所提供的设备产品按采购人的要求安装，调试完毕，保证采购人能够正常使用。</w:t>
      </w:r>
    </w:p>
    <w:p w14:paraId="3F43BD2E">
      <w:pPr>
        <w:spacing w:line="360" w:lineRule="auto"/>
        <w:ind w:firstLine="480" w:firstLineChars="200"/>
        <w:rPr>
          <w:rFonts w:hint="eastAsia"/>
          <w:highlight w:val="none"/>
        </w:rPr>
      </w:pPr>
      <w:r>
        <w:rPr>
          <w:highlight w:val="none"/>
        </w:rPr>
        <w:t>4</w:t>
      </w:r>
      <w:r>
        <w:rPr>
          <w:rFonts w:hint="eastAsia"/>
          <w:highlight w:val="none"/>
        </w:rPr>
        <w:t>、供货人在供货时提供的所有设备、部件必须符合招投标文件及合同的要求原装部件，原包原盒，非OEM的产品，不得以拆封件、拆机件交货，所有材料到现场需采购人签收。</w:t>
      </w:r>
    </w:p>
    <w:p w14:paraId="24BD63E1">
      <w:pPr>
        <w:spacing w:line="360" w:lineRule="auto"/>
        <w:ind w:firstLine="480" w:firstLineChars="200"/>
        <w:rPr>
          <w:rFonts w:hint="eastAsia"/>
          <w:highlight w:val="none"/>
        </w:rPr>
      </w:pPr>
      <w:r>
        <w:rPr>
          <w:highlight w:val="none"/>
        </w:rPr>
        <w:t>5</w:t>
      </w:r>
      <w:r>
        <w:rPr>
          <w:rFonts w:hint="eastAsia"/>
          <w:highlight w:val="none"/>
        </w:rPr>
        <w:t>、供货人在供货时应将产品品牌、名称、型号等信息逐一进行登记，制成清单加盖中标人公章。采购人（可委派监理单位）根据清单现场核对确认，如果发现数量不足或有质量、技术等问题，供货人应负责根据项目要求补足或更换，并承担由此发生的一切损失和费用。验收合格后，采购人（可委派监理单位）在验收单上签字。未经采购人（可委派监理单位）现场核对确认就擅自投入使用的货物，采购人有权不予认可、不支付费用。</w:t>
      </w:r>
    </w:p>
    <w:p w14:paraId="10AD843C">
      <w:pPr>
        <w:spacing w:line="360" w:lineRule="auto"/>
        <w:ind w:firstLine="480" w:firstLineChars="200"/>
        <w:rPr>
          <w:rFonts w:hint="eastAsia"/>
          <w:highlight w:val="none"/>
        </w:rPr>
      </w:pPr>
      <w:r>
        <w:rPr>
          <w:highlight w:val="none"/>
        </w:rPr>
        <w:t>6</w:t>
      </w:r>
      <w:r>
        <w:rPr>
          <w:rFonts w:hint="eastAsia"/>
          <w:highlight w:val="none"/>
        </w:rPr>
        <w:t>、供货人将所供货物的产品序列号、保修卡、合格证、测验报告、产品说明书等信息逐一进行登记，经核对无误后加盖供货人公章，随交货时移交采购人保管备查。</w:t>
      </w:r>
    </w:p>
    <w:p w14:paraId="6BB6AEF0">
      <w:pPr>
        <w:spacing w:line="360" w:lineRule="auto"/>
        <w:ind w:firstLine="480" w:firstLineChars="200"/>
        <w:rPr>
          <w:rFonts w:hint="eastAsia"/>
          <w:highlight w:val="none"/>
        </w:rPr>
      </w:pPr>
      <w:r>
        <w:rPr>
          <w:highlight w:val="none"/>
        </w:rPr>
        <w:t>7</w:t>
      </w:r>
      <w:r>
        <w:rPr>
          <w:rFonts w:hint="eastAsia"/>
          <w:highlight w:val="none"/>
        </w:rPr>
        <w:t>、供货人方应在货物发运前对其进行满足运输距离、防潮、防震、防锈和防破损装卸等要求包装，以保证货物安全运达采购人指定地点，对提供的设备必须按招标文件要求。</w:t>
      </w:r>
    </w:p>
    <w:p w14:paraId="5A620F6B">
      <w:pPr>
        <w:spacing w:line="360" w:lineRule="auto"/>
        <w:ind w:firstLine="480" w:firstLineChars="200"/>
        <w:rPr>
          <w:rFonts w:hint="eastAsia"/>
          <w:highlight w:val="none"/>
        </w:rPr>
      </w:pPr>
      <w:r>
        <w:rPr>
          <w:highlight w:val="none"/>
        </w:rPr>
        <w:t>8</w:t>
      </w:r>
      <w:r>
        <w:rPr>
          <w:rFonts w:hint="eastAsia"/>
          <w:highlight w:val="none"/>
        </w:rPr>
        <w:t>、采购人保留在合同签订后对中标的软件和货物进行试用、测试的权利，如果测试发现与标书要求或投标文件不一致、软件缺失或供货人有意拖延测试，则被视为欺诈行为，采购人有权罚没履约保证金并解除合同，相关情况上报有关部门，供货人需承担一切后果与责任。</w:t>
      </w:r>
    </w:p>
    <w:p w14:paraId="7EF65ACD">
      <w:pPr>
        <w:spacing w:line="360" w:lineRule="auto"/>
        <w:ind w:firstLine="480" w:firstLineChars="200"/>
        <w:rPr>
          <w:rFonts w:hint="eastAsia"/>
          <w:highlight w:val="none"/>
        </w:rPr>
      </w:pPr>
      <w:bookmarkStart w:id="485" w:name="_Toc71626234"/>
      <w:bookmarkStart w:id="486" w:name="_Toc68189542"/>
      <w:r>
        <w:rPr>
          <w:highlight w:val="none"/>
        </w:rPr>
        <w:t>9</w:t>
      </w:r>
      <w:r>
        <w:rPr>
          <w:rFonts w:hint="eastAsia"/>
          <w:highlight w:val="none"/>
        </w:rPr>
        <w:t>、软件安全</w:t>
      </w:r>
      <w:bookmarkEnd w:id="485"/>
      <w:bookmarkEnd w:id="486"/>
      <w:r>
        <w:rPr>
          <w:rFonts w:hint="eastAsia"/>
          <w:highlight w:val="none"/>
        </w:rPr>
        <w:t>要求</w:t>
      </w:r>
    </w:p>
    <w:p w14:paraId="4C066FFF">
      <w:pPr>
        <w:spacing w:line="360" w:lineRule="auto"/>
        <w:ind w:firstLine="480" w:firstLineChars="200"/>
        <w:rPr>
          <w:rFonts w:hint="eastAsia"/>
          <w:highlight w:val="none"/>
        </w:rPr>
      </w:pPr>
      <w:r>
        <w:rPr>
          <w:highlight w:val="none"/>
        </w:rPr>
        <w:t>具备</w:t>
      </w:r>
      <w:r>
        <w:rPr>
          <w:rFonts w:hint="eastAsia"/>
          <w:highlight w:val="none"/>
        </w:rPr>
        <w:t>开放性</w:t>
      </w:r>
      <w:r>
        <w:rPr>
          <w:highlight w:val="none"/>
        </w:rPr>
        <w:t>功能，实现对数据资源的自主授权和访问控制的功能。</w:t>
      </w:r>
    </w:p>
    <w:p w14:paraId="2E03577D">
      <w:pPr>
        <w:spacing w:line="360" w:lineRule="auto"/>
        <w:ind w:firstLine="480" w:firstLineChars="200"/>
        <w:rPr>
          <w:rFonts w:hint="eastAsia"/>
          <w:highlight w:val="none"/>
        </w:rPr>
      </w:pPr>
      <w:r>
        <w:rPr>
          <w:rFonts w:hint="eastAsia"/>
          <w:highlight w:val="none"/>
        </w:rPr>
        <w:t>1</w:t>
      </w:r>
      <w:r>
        <w:rPr>
          <w:highlight w:val="none"/>
        </w:rPr>
        <w:t>0</w:t>
      </w:r>
      <w:r>
        <w:rPr>
          <w:rFonts w:hint="eastAsia"/>
          <w:highlight w:val="none"/>
        </w:rPr>
        <w:t>、检测要求</w:t>
      </w:r>
    </w:p>
    <w:p w14:paraId="514025AF">
      <w:pPr>
        <w:spacing w:line="360" w:lineRule="auto"/>
        <w:ind w:firstLine="480" w:firstLineChars="200"/>
        <w:rPr>
          <w:rFonts w:hint="eastAsia"/>
          <w:highlight w:val="none"/>
        </w:rPr>
      </w:pPr>
      <w:r>
        <w:rPr>
          <w:rFonts w:hint="eastAsia"/>
          <w:highlight w:val="none"/>
        </w:rPr>
        <w:t>项目完工后，供货人须提供以下检测报告作为验收依据：</w:t>
      </w:r>
    </w:p>
    <w:p w14:paraId="24F28B29">
      <w:pPr>
        <w:spacing w:line="360" w:lineRule="auto"/>
        <w:ind w:firstLine="480" w:firstLineChars="200"/>
        <w:rPr>
          <w:rFonts w:hint="eastAsia"/>
          <w:highlight w:val="none"/>
        </w:rPr>
      </w:pPr>
      <w:r>
        <w:rPr>
          <w:rFonts w:hint="eastAsia"/>
          <w:highlight w:val="none"/>
        </w:rPr>
        <w:t>（1）针对网</w:t>
      </w:r>
      <w:r>
        <w:rPr>
          <w:highlight w:val="none"/>
        </w:rPr>
        <w:t>络系统提供福禄克（FLUKE）检测通过报告</w:t>
      </w:r>
      <w:r>
        <w:rPr>
          <w:rFonts w:hint="eastAsia"/>
          <w:highlight w:val="none"/>
        </w:rPr>
        <w:t>；</w:t>
      </w:r>
    </w:p>
    <w:p w14:paraId="07D15C8B">
      <w:pPr>
        <w:spacing w:line="360" w:lineRule="auto"/>
        <w:ind w:firstLine="480" w:firstLineChars="200"/>
        <w:rPr>
          <w:rFonts w:hint="eastAsia"/>
          <w:highlight w:val="none"/>
        </w:rPr>
      </w:pPr>
      <w:r>
        <w:rPr>
          <w:rFonts w:hint="eastAsia"/>
          <w:highlight w:val="none"/>
        </w:rPr>
        <w:t>（2）针对</w:t>
      </w:r>
      <w:r>
        <w:rPr>
          <w:highlight w:val="none"/>
        </w:rPr>
        <w:t>所有网络交换机型号提供进网检验报告</w:t>
      </w:r>
      <w:r>
        <w:rPr>
          <w:rFonts w:hint="eastAsia"/>
          <w:highlight w:val="none"/>
        </w:rPr>
        <w:t>。</w:t>
      </w:r>
    </w:p>
    <w:p w14:paraId="05D80044">
      <w:pPr>
        <w:spacing w:line="360" w:lineRule="auto"/>
        <w:ind w:firstLine="482" w:firstLineChars="200"/>
        <w:rPr>
          <w:rFonts w:hint="eastAsia"/>
          <w:b/>
          <w:bCs/>
          <w:highlight w:val="none"/>
        </w:rPr>
      </w:pPr>
      <w:r>
        <w:rPr>
          <w:rFonts w:hint="eastAsia"/>
          <w:b/>
          <w:bCs/>
          <w:highlight w:val="none"/>
        </w:rPr>
        <w:t>六、安装服务要求</w:t>
      </w:r>
    </w:p>
    <w:p w14:paraId="4A8ED3EB">
      <w:pPr>
        <w:spacing w:line="360" w:lineRule="auto"/>
        <w:ind w:firstLine="480" w:firstLineChars="200"/>
        <w:rPr>
          <w:rFonts w:hint="eastAsia"/>
          <w:highlight w:val="none"/>
        </w:rPr>
      </w:pPr>
      <w:r>
        <w:rPr>
          <w:highlight w:val="none"/>
        </w:rPr>
        <w:t>1、供货人保证所提供的设备是全新的、未使用过的。</w:t>
      </w:r>
    </w:p>
    <w:p w14:paraId="6464C672">
      <w:pPr>
        <w:spacing w:line="360" w:lineRule="auto"/>
        <w:ind w:firstLine="480" w:firstLineChars="200"/>
        <w:rPr>
          <w:rFonts w:hint="eastAsia"/>
          <w:highlight w:val="none"/>
        </w:rPr>
      </w:pPr>
      <w:r>
        <w:rPr>
          <w:highlight w:val="none"/>
        </w:rPr>
        <w:t>2、供货人保证采用先进的技术、优质的材料和零部件、一流的工艺、严格的质量管理为采购人提供技术先进、质量上乘、外表美观并完全符合合同规定的质量、规格、性能要求的设备。</w:t>
      </w:r>
    </w:p>
    <w:p w14:paraId="091DE8B9">
      <w:pPr>
        <w:spacing w:line="360" w:lineRule="auto"/>
        <w:ind w:firstLine="480" w:firstLineChars="200"/>
        <w:rPr>
          <w:rFonts w:hint="eastAsia"/>
          <w:highlight w:val="none"/>
        </w:rPr>
      </w:pPr>
      <w:r>
        <w:rPr>
          <w:highlight w:val="none"/>
        </w:rPr>
        <w:t>3、供货人应对外购的零部件的质量和技术性能负全部责任。</w:t>
      </w:r>
    </w:p>
    <w:p w14:paraId="5B75A47F">
      <w:pPr>
        <w:spacing w:line="360" w:lineRule="auto"/>
        <w:ind w:firstLine="480" w:firstLineChars="200"/>
        <w:rPr>
          <w:rFonts w:hint="eastAsia"/>
          <w:highlight w:val="none"/>
        </w:rPr>
      </w:pPr>
      <w:r>
        <w:rPr>
          <w:highlight w:val="none"/>
        </w:rPr>
        <w:t>4、供货人保证所提供的设备在正确安装、正常使用和维护保养的情况下，具有使买方满意的使用性能和使用寿命。</w:t>
      </w:r>
    </w:p>
    <w:p w14:paraId="4B348B2E">
      <w:pPr>
        <w:spacing w:line="360" w:lineRule="auto"/>
        <w:ind w:firstLine="480" w:firstLineChars="200"/>
        <w:rPr>
          <w:rFonts w:hint="eastAsia"/>
          <w:highlight w:val="none"/>
        </w:rPr>
      </w:pPr>
      <w:r>
        <w:rPr>
          <w:highlight w:val="none"/>
        </w:rPr>
        <w:t>5</w:t>
      </w:r>
      <w:r>
        <w:rPr>
          <w:rFonts w:hint="eastAsia"/>
          <w:highlight w:val="none"/>
        </w:rPr>
        <w:t>、</w:t>
      </w:r>
      <w:r>
        <w:rPr>
          <w:highlight w:val="none"/>
        </w:rPr>
        <w:t>货物安装、调试应符合国家的相关规定，供货人应服从采购人的管理和检查，供货人应指派具有丰富工作经验且有相似规模项目管理经验的工作人员作为负责人，负责安装、调试工作，供货人指派的其他现场人员和货物应按计划进场。若驻场人员无故缺席，采购人享有要求供货人及时更换人员的权利，若多次无故缺席或拒不提供驻场服务的，在验收完成后采购人有权扣除履约保证金。</w:t>
      </w:r>
    </w:p>
    <w:p w14:paraId="39CC44E5">
      <w:pPr>
        <w:spacing w:line="360" w:lineRule="auto"/>
        <w:ind w:firstLine="480" w:firstLineChars="200"/>
        <w:rPr>
          <w:rFonts w:hint="eastAsia"/>
          <w:highlight w:val="none"/>
        </w:rPr>
      </w:pPr>
      <w:r>
        <w:rPr>
          <w:highlight w:val="none"/>
        </w:rPr>
        <w:t>6</w:t>
      </w:r>
      <w:r>
        <w:rPr>
          <w:rFonts w:hint="eastAsia"/>
          <w:highlight w:val="none"/>
        </w:rPr>
        <w:t>、</w:t>
      </w:r>
      <w:r>
        <w:rPr>
          <w:highlight w:val="none"/>
        </w:rPr>
        <w:t>供货人应做到文明施工，保持现场清洁，强化安全责任，服从采购人管理，供货人须严格执行安全生产有关规定，对施工人员开展安全教育，购买有关保险，施工中发生的任何事故均由供货人负责。</w:t>
      </w:r>
    </w:p>
    <w:p w14:paraId="6C7BCF38">
      <w:pPr>
        <w:spacing w:line="360" w:lineRule="auto"/>
        <w:ind w:firstLine="480" w:firstLineChars="200"/>
        <w:rPr>
          <w:rFonts w:hint="eastAsia"/>
          <w:highlight w:val="none"/>
        </w:rPr>
      </w:pPr>
      <w:r>
        <w:rPr>
          <w:highlight w:val="none"/>
        </w:rPr>
        <w:t>7</w:t>
      </w:r>
      <w:r>
        <w:rPr>
          <w:rFonts w:hint="eastAsia"/>
          <w:highlight w:val="none"/>
        </w:rPr>
        <w:t>、</w:t>
      </w:r>
      <w:r>
        <w:rPr>
          <w:highlight w:val="none"/>
        </w:rPr>
        <w:t>供货人施工中应做好场所</w:t>
      </w:r>
      <w:r>
        <w:rPr>
          <w:rFonts w:hint="eastAsia"/>
          <w:highlight w:val="none"/>
        </w:rPr>
        <w:t>防护</w:t>
      </w:r>
      <w:r>
        <w:rPr>
          <w:highlight w:val="none"/>
        </w:rPr>
        <w:t>，不得损坏采购人电梯、地面、吊顶等</w:t>
      </w:r>
      <w:r>
        <w:rPr>
          <w:rFonts w:hint="eastAsia"/>
          <w:highlight w:val="none"/>
        </w:rPr>
        <w:t>各种</w:t>
      </w:r>
      <w:r>
        <w:rPr>
          <w:highlight w:val="none"/>
        </w:rPr>
        <w:t>设施；供货人不得野蛮施工，如开展对</w:t>
      </w:r>
      <w:r>
        <w:rPr>
          <w:rFonts w:hint="eastAsia"/>
          <w:highlight w:val="none"/>
        </w:rPr>
        <w:t>现有建筑</w:t>
      </w:r>
      <w:r>
        <w:rPr>
          <w:highlight w:val="none"/>
        </w:rPr>
        <w:t>有影响事项，应提前与采购人沟通，提前做好预案。</w:t>
      </w:r>
    </w:p>
    <w:p w14:paraId="64C982DD">
      <w:pPr>
        <w:pStyle w:val="34"/>
        <w:ind w:firstLine="240"/>
        <w:rPr>
          <w:rFonts w:hint="eastAsia"/>
          <w:highlight w:val="none"/>
          <w:lang w:val="en-US"/>
        </w:rPr>
      </w:pPr>
      <w:r>
        <w:rPr>
          <w:rFonts w:hint="eastAsia"/>
          <w:highlight w:val="none"/>
          <w:lang w:val="en-US"/>
        </w:rPr>
        <w:t xml:space="preserve">  8、供货人充分考虑本项目的施工安装难度及复杂程度，安装过程中因现场场地制约等原因产生的安装问题由供货人自行解决。</w:t>
      </w:r>
    </w:p>
    <w:p w14:paraId="091DB4E5">
      <w:pPr>
        <w:pStyle w:val="34"/>
        <w:ind w:firstLine="480" w:firstLineChars="200"/>
        <w:rPr>
          <w:rFonts w:hint="eastAsia"/>
          <w:highlight w:val="none"/>
          <w:lang w:val="en-US"/>
        </w:rPr>
      </w:pPr>
      <w:r>
        <w:rPr>
          <w:rFonts w:hint="eastAsia"/>
          <w:highlight w:val="none"/>
          <w:lang w:val="en-US" w:eastAsia="zh-CN"/>
        </w:rPr>
        <w:t>9、本项目需创建省级标化工地，</w:t>
      </w:r>
      <w:r>
        <w:rPr>
          <w:rFonts w:hint="eastAsia"/>
          <w:highlight w:val="none"/>
          <w:lang w:val="en-US"/>
        </w:rPr>
        <w:t>供货人</w:t>
      </w:r>
      <w:r>
        <w:rPr>
          <w:rFonts w:hint="eastAsia"/>
          <w:highlight w:val="none"/>
          <w:lang w:val="en-US" w:eastAsia="zh-CN"/>
        </w:rPr>
        <w:t>须积极</w:t>
      </w:r>
      <w:r>
        <w:rPr>
          <w:rFonts w:hint="default"/>
          <w:highlight w:val="none"/>
          <w:lang w:val="en-US" w:eastAsia="zh-CN"/>
        </w:rPr>
        <w:t>配合总包单位确保“钱江杯”，争创“鲁班奖</w:t>
      </w:r>
      <w:r>
        <w:rPr>
          <w:rFonts w:hint="eastAsia"/>
          <w:highlight w:val="none"/>
          <w:lang w:val="en-US" w:eastAsia="zh-CN"/>
        </w:rPr>
        <w:t>”。如因乙方原因导致本项目创建标化工地不成功的，甲方有权要求乙方进行整改，并扣除标化工地增加费【扣除的标化工地增加费=招标控制价中的标化工地增加费*（中标价/招标控制价）】。</w:t>
      </w:r>
    </w:p>
    <w:p w14:paraId="5B70BB90">
      <w:pPr>
        <w:pStyle w:val="27"/>
        <w:rPr>
          <w:highlight w:val="none"/>
          <w:lang w:val="en-US"/>
        </w:rPr>
      </w:pPr>
    </w:p>
    <w:p w14:paraId="21AE4B4D">
      <w:pPr>
        <w:spacing w:line="360" w:lineRule="auto"/>
        <w:ind w:firstLine="482" w:firstLineChars="200"/>
        <w:rPr>
          <w:rFonts w:hint="eastAsia"/>
          <w:b/>
          <w:bCs/>
          <w:highlight w:val="none"/>
        </w:rPr>
      </w:pPr>
      <w:r>
        <w:rPr>
          <w:rFonts w:hint="eastAsia"/>
          <w:b/>
          <w:bCs/>
          <w:highlight w:val="none"/>
        </w:rPr>
        <w:t>七、验收要求</w:t>
      </w:r>
    </w:p>
    <w:p w14:paraId="368B9BD8">
      <w:pPr>
        <w:spacing w:line="360" w:lineRule="auto"/>
        <w:ind w:firstLine="480" w:firstLineChars="200"/>
        <w:rPr>
          <w:rFonts w:hint="eastAsia"/>
          <w:highlight w:val="none"/>
        </w:rPr>
      </w:pPr>
      <w:r>
        <w:rPr>
          <w:rFonts w:hint="eastAsia"/>
          <w:highlight w:val="none"/>
        </w:rPr>
        <w:t>1、采购人对供货人提交的货物依据国家标准/规范、招标文件、投标文件进行现场验收。</w:t>
      </w:r>
    </w:p>
    <w:p w14:paraId="24E68343">
      <w:pPr>
        <w:spacing w:line="360" w:lineRule="auto"/>
        <w:ind w:firstLine="480" w:firstLineChars="200"/>
        <w:rPr>
          <w:rFonts w:hint="eastAsia"/>
          <w:highlight w:val="none"/>
        </w:rPr>
      </w:pPr>
      <w:r>
        <w:rPr>
          <w:highlight w:val="none"/>
        </w:rPr>
        <w:t>2</w:t>
      </w:r>
      <w:r>
        <w:rPr>
          <w:rFonts w:hint="eastAsia"/>
          <w:highlight w:val="none"/>
        </w:rPr>
        <w:t>、供货人交货前应对产品作出全面检查和对验收文件进行整理，并列出清单，作为采购人收货验收和使用的技术条件依据，检验的结果应随货物交采购人。</w:t>
      </w:r>
    </w:p>
    <w:p w14:paraId="3A467A5B">
      <w:pPr>
        <w:spacing w:line="360" w:lineRule="auto"/>
        <w:ind w:firstLine="480" w:firstLineChars="200"/>
        <w:rPr>
          <w:rFonts w:hint="eastAsia"/>
          <w:highlight w:val="none"/>
        </w:rPr>
      </w:pPr>
      <w:r>
        <w:rPr>
          <w:highlight w:val="none"/>
        </w:rPr>
        <w:t>3</w:t>
      </w:r>
      <w:r>
        <w:rPr>
          <w:rFonts w:hint="eastAsia"/>
          <w:highlight w:val="none"/>
        </w:rPr>
        <w:t>、采购人对中标人提供的货物在使用前进行调试时，供货人需负责安装并培训采购人的使用操作人员和维修人员，并协助采购人一起调试（免费提供所需的耗材、备件），直到符合技术要求，采购人才做最终验收。</w:t>
      </w:r>
    </w:p>
    <w:p w14:paraId="3CD0C6CE">
      <w:pPr>
        <w:spacing w:line="360" w:lineRule="auto"/>
        <w:ind w:firstLine="480" w:firstLineChars="200"/>
        <w:rPr>
          <w:rFonts w:hint="eastAsia"/>
          <w:highlight w:val="none"/>
        </w:rPr>
      </w:pPr>
      <w:r>
        <w:rPr>
          <w:highlight w:val="none"/>
        </w:rPr>
        <w:t>4</w:t>
      </w:r>
      <w:r>
        <w:rPr>
          <w:rFonts w:hint="eastAsia"/>
          <w:highlight w:val="none"/>
        </w:rPr>
        <w:t>、验收时供货人需在现场，验收完毕后作出验收结果报告。</w:t>
      </w:r>
    </w:p>
    <w:p w14:paraId="146C2145">
      <w:pPr>
        <w:spacing w:line="360" w:lineRule="auto"/>
        <w:ind w:firstLine="482" w:firstLineChars="200"/>
        <w:rPr>
          <w:rFonts w:hint="eastAsia"/>
          <w:b/>
          <w:bCs/>
          <w:highlight w:val="none"/>
        </w:rPr>
      </w:pPr>
      <w:r>
        <w:rPr>
          <w:rFonts w:hint="eastAsia"/>
          <w:b/>
          <w:bCs/>
          <w:highlight w:val="none"/>
        </w:rPr>
        <w:t>八、售后服务要求与质保期</w:t>
      </w:r>
    </w:p>
    <w:p w14:paraId="13452032">
      <w:pPr>
        <w:spacing w:line="360" w:lineRule="auto"/>
        <w:ind w:firstLine="480" w:firstLineChars="200"/>
        <w:rPr>
          <w:rFonts w:hint="eastAsia"/>
          <w:highlight w:val="none"/>
        </w:rPr>
      </w:pPr>
      <w:r>
        <w:rPr>
          <w:rFonts w:hint="eastAsia"/>
          <w:highlight w:val="none"/>
        </w:rPr>
        <w:t>1、</w:t>
      </w:r>
      <w:r>
        <w:rPr>
          <w:b/>
          <w:bCs/>
          <w:highlight w:val="none"/>
        </w:rPr>
        <w:t>供货人</w:t>
      </w:r>
      <w:r>
        <w:rPr>
          <w:rFonts w:hint="eastAsia"/>
          <w:b/>
          <w:bCs/>
          <w:highlight w:val="none"/>
        </w:rPr>
        <w:t>提供</w:t>
      </w:r>
      <w:r>
        <w:rPr>
          <w:b/>
          <w:bCs/>
          <w:highlight w:val="none"/>
        </w:rPr>
        <w:t>验收合格之日起</w:t>
      </w:r>
      <w:r>
        <w:rPr>
          <w:rFonts w:hint="eastAsia"/>
          <w:b/>
          <w:bCs/>
          <w:highlight w:val="none"/>
        </w:rPr>
        <w:t>至少24</w:t>
      </w:r>
      <w:r>
        <w:rPr>
          <w:b/>
          <w:bCs/>
          <w:highlight w:val="none"/>
        </w:rPr>
        <w:t>个月的质保期</w:t>
      </w:r>
      <w:r>
        <w:rPr>
          <w:rFonts w:hint="eastAsia"/>
          <w:b/>
          <w:bCs/>
          <w:highlight w:val="none"/>
        </w:rPr>
        <w:t>（需提供承诺函），具体以投标文件承诺为准</w:t>
      </w:r>
      <w:r>
        <w:rPr>
          <w:highlight w:val="none"/>
        </w:rPr>
        <w:t>。质保期内因设备自身质量问题发生故障，供货人应负责及时修复、妥善处理或更换设备，发生的费用由供货人负责。无论在质保期内还是质保期满后，供货人负责对其实施的项目提供现场服务。</w:t>
      </w:r>
    </w:p>
    <w:p w14:paraId="5DF0E69E">
      <w:pPr>
        <w:spacing w:line="360" w:lineRule="auto"/>
        <w:ind w:firstLine="480" w:firstLineChars="200"/>
        <w:rPr>
          <w:rFonts w:hint="eastAsia"/>
          <w:highlight w:val="none"/>
        </w:rPr>
      </w:pPr>
      <w:r>
        <w:rPr>
          <w:highlight w:val="none"/>
        </w:rPr>
        <w:t>2</w:t>
      </w:r>
      <w:r>
        <w:rPr>
          <w:rFonts w:hint="eastAsia"/>
          <w:highlight w:val="none"/>
        </w:rPr>
        <w:t>、本项目为后授权，供货人应按采购人要求提供货物制造商授权或质保证明，供货人在合同签订前提供针对本项目产品的原厂质保函。</w:t>
      </w:r>
    </w:p>
    <w:p w14:paraId="7DCC2E09">
      <w:pPr>
        <w:spacing w:line="360" w:lineRule="auto"/>
        <w:ind w:firstLine="480" w:firstLineChars="200"/>
        <w:rPr>
          <w:rFonts w:hint="eastAsia"/>
          <w:highlight w:val="none"/>
        </w:rPr>
      </w:pPr>
      <w:r>
        <w:rPr>
          <w:highlight w:val="none"/>
        </w:rPr>
        <w:t>3</w:t>
      </w:r>
      <w:r>
        <w:rPr>
          <w:rFonts w:hint="eastAsia"/>
          <w:highlight w:val="none"/>
        </w:rPr>
        <w:t>、</w:t>
      </w:r>
      <w:r>
        <w:rPr>
          <w:highlight w:val="none"/>
        </w:rPr>
        <w:t>要求供货人</w:t>
      </w:r>
      <w:r>
        <w:rPr>
          <w:rFonts w:hint="eastAsia"/>
          <w:szCs w:val="20"/>
          <w:highlight w:val="none"/>
        </w:rPr>
        <w:t>在接到采购人的故障通知后，中标人须在</w:t>
      </w:r>
      <w:r>
        <w:rPr>
          <w:szCs w:val="20"/>
          <w:highlight w:val="none"/>
        </w:rPr>
        <w:t>2</w:t>
      </w:r>
      <w:r>
        <w:rPr>
          <w:rFonts w:hint="eastAsia"/>
          <w:szCs w:val="20"/>
          <w:highlight w:val="none"/>
        </w:rPr>
        <w:t>小时内作出响应，并在12小时内提出解决方案，直至修复货物。</w:t>
      </w:r>
    </w:p>
    <w:p w14:paraId="1D0F0C07">
      <w:pPr>
        <w:spacing w:line="360" w:lineRule="auto"/>
        <w:ind w:firstLine="480" w:firstLineChars="200"/>
        <w:rPr>
          <w:rFonts w:hint="eastAsia"/>
          <w:szCs w:val="20"/>
          <w:highlight w:val="none"/>
        </w:rPr>
      </w:pPr>
      <w:r>
        <w:rPr>
          <w:szCs w:val="20"/>
          <w:highlight w:val="none"/>
        </w:rPr>
        <w:t>4</w:t>
      </w:r>
      <w:r>
        <w:rPr>
          <w:rFonts w:hint="eastAsia"/>
          <w:szCs w:val="20"/>
          <w:highlight w:val="none"/>
        </w:rPr>
        <w:t>、供货人须按下列规定的要求，为采购人提供维修服务：</w:t>
      </w:r>
    </w:p>
    <w:p w14:paraId="654D2CA7">
      <w:pPr>
        <w:spacing w:line="360" w:lineRule="auto"/>
        <w:ind w:firstLine="480" w:firstLineChars="200"/>
        <w:rPr>
          <w:rFonts w:hint="eastAsia"/>
          <w:szCs w:val="20"/>
          <w:highlight w:val="none"/>
        </w:rPr>
      </w:pPr>
      <w:r>
        <w:rPr>
          <w:rFonts w:hint="eastAsia"/>
          <w:szCs w:val="20"/>
          <w:highlight w:val="none"/>
        </w:rPr>
        <w:t>（1）在采购人附近设置维修服务网点。</w:t>
      </w:r>
    </w:p>
    <w:p w14:paraId="5CB6E0C7">
      <w:pPr>
        <w:spacing w:line="360" w:lineRule="auto"/>
        <w:ind w:firstLine="480" w:firstLineChars="200"/>
        <w:rPr>
          <w:rFonts w:hint="eastAsia"/>
          <w:szCs w:val="20"/>
          <w:highlight w:val="none"/>
        </w:rPr>
      </w:pPr>
      <w:r>
        <w:rPr>
          <w:rFonts w:hint="eastAsia"/>
          <w:szCs w:val="20"/>
          <w:highlight w:val="none"/>
        </w:rPr>
        <w:t>（2）在3小时期限内为采购人提供上门维修服务。</w:t>
      </w:r>
    </w:p>
    <w:p w14:paraId="6EDA1186">
      <w:pPr>
        <w:spacing w:line="360" w:lineRule="auto"/>
        <w:ind w:firstLine="480" w:firstLineChars="200"/>
        <w:rPr>
          <w:rFonts w:hint="eastAsia"/>
          <w:szCs w:val="20"/>
          <w:highlight w:val="none"/>
        </w:rPr>
      </w:pPr>
      <w:r>
        <w:rPr>
          <w:rFonts w:hint="eastAsia"/>
          <w:szCs w:val="20"/>
          <w:highlight w:val="none"/>
        </w:rPr>
        <w:t>（3）在12小时内未能修复货物的情况下，要求为采购人免费提供备用货物。</w:t>
      </w:r>
    </w:p>
    <w:p w14:paraId="3EDF3CB6">
      <w:pPr>
        <w:spacing w:line="360" w:lineRule="auto"/>
        <w:ind w:firstLine="480" w:firstLineChars="200"/>
        <w:rPr>
          <w:rFonts w:hint="eastAsia"/>
          <w:szCs w:val="20"/>
          <w:highlight w:val="none"/>
        </w:rPr>
      </w:pPr>
      <w:r>
        <w:rPr>
          <w:szCs w:val="20"/>
          <w:highlight w:val="none"/>
        </w:rPr>
        <w:t>5</w:t>
      </w:r>
      <w:r>
        <w:rPr>
          <w:rFonts w:hint="eastAsia"/>
          <w:szCs w:val="20"/>
          <w:highlight w:val="none"/>
        </w:rPr>
        <w:t>、技术服务要求</w:t>
      </w:r>
    </w:p>
    <w:p w14:paraId="1528F5DA">
      <w:pPr>
        <w:spacing w:line="360" w:lineRule="auto"/>
        <w:ind w:firstLine="480" w:firstLineChars="200"/>
        <w:rPr>
          <w:rFonts w:hint="eastAsia"/>
          <w:szCs w:val="20"/>
          <w:highlight w:val="none"/>
        </w:rPr>
      </w:pPr>
      <w:r>
        <w:rPr>
          <w:rFonts w:hint="eastAsia"/>
          <w:szCs w:val="20"/>
          <w:highlight w:val="none"/>
        </w:rPr>
        <w:t>供货人须派合格的现场服务人员，为采购人提供上门技术服务，确保所供货物安全、正常投运。供货人对其现场服务人员的一切行为负全部责任。</w:t>
      </w:r>
    </w:p>
    <w:p w14:paraId="5F6C569A">
      <w:pPr>
        <w:spacing w:line="360" w:lineRule="auto"/>
        <w:ind w:firstLine="482" w:firstLineChars="200"/>
        <w:rPr>
          <w:rFonts w:hint="eastAsia"/>
          <w:b/>
          <w:bCs/>
          <w:highlight w:val="none"/>
        </w:rPr>
      </w:pPr>
      <w:r>
        <w:rPr>
          <w:rFonts w:hint="eastAsia"/>
          <w:b/>
          <w:bCs/>
          <w:highlight w:val="none"/>
        </w:rPr>
        <w:t>九、培训要求</w:t>
      </w:r>
    </w:p>
    <w:p w14:paraId="5A434ACE">
      <w:pPr>
        <w:spacing w:line="360" w:lineRule="auto"/>
        <w:ind w:firstLine="480" w:firstLineChars="200"/>
        <w:rPr>
          <w:rFonts w:hint="eastAsia"/>
          <w:highlight w:val="none"/>
        </w:rPr>
      </w:pPr>
      <w:r>
        <w:rPr>
          <w:rFonts w:hint="eastAsia"/>
          <w:highlight w:val="none"/>
        </w:rPr>
        <w:t>1、供货人需提供详细的培训计划和内容。</w:t>
      </w:r>
    </w:p>
    <w:p w14:paraId="62999A26">
      <w:pPr>
        <w:spacing w:line="360" w:lineRule="auto"/>
        <w:ind w:firstLine="480" w:firstLineChars="200"/>
        <w:rPr>
          <w:rFonts w:hint="eastAsia"/>
          <w:highlight w:val="none"/>
        </w:rPr>
      </w:pPr>
      <w:r>
        <w:rPr>
          <w:rFonts w:hint="eastAsia"/>
          <w:highlight w:val="none"/>
        </w:rPr>
        <w:t>2、操作培训：主要面向技术人员、管理人员等人员，使其具备独立进行系统日常维护的能力。培训人数不少于5人，培训时间不少于2天/人次。所有培训费用包含在投标总价中。</w:t>
      </w:r>
    </w:p>
    <w:p w14:paraId="39BB916D">
      <w:pPr>
        <w:spacing w:line="360" w:lineRule="auto"/>
        <w:ind w:firstLine="482" w:firstLineChars="200"/>
        <w:rPr>
          <w:rFonts w:hint="eastAsia"/>
          <w:b/>
          <w:bCs/>
          <w:highlight w:val="none"/>
        </w:rPr>
      </w:pPr>
      <w:r>
        <w:rPr>
          <w:rFonts w:hint="eastAsia"/>
          <w:b/>
          <w:bCs/>
          <w:highlight w:val="none"/>
        </w:rPr>
        <w:t>十、开票及付款方式</w:t>
      </w:r>
    </w:p>
    <w:p w14:paraId="6BC6D278">
      <w:pPr>
        <w:spacing w:line="360" w:lineRule="auto"/>
        <w:ind w:firstLine="480" w:firstLineChars="200"/>
        <w:rPr>
          <w:rFonts w:hint="eastAsia"/>
          <w:highlight w:val="none"/>
        </w:rPr>
      </w:pPr>
      <w:r>
        <w:rPr>
          <w:rFonts w:hint="eastAsia"/>
          <w:highlight w:val="none"/>
        </w:rPr>
        <w:t xml:space="preserve"> 1</w:t>
      </w:r>
      <w:r>
        <w:rPr>
          <w:highlight w:val="none"/>
        </w:rPr>
        <w:t>、</w:t>
      </w:r>
      <w:r>
        <w:rPr>
          <w:rFonts w:hint="eastAsia"/>
          <w:highlight w:val="none"/>
        </w:rPr>
        <w:t>本项目为固定单价合同，供货人在订货前须与采购人确认，实际采购数量在中标后根据中标后深化设计情况经建设单位确认后实施，若数量调整，中标单价（综合单价）不作调整，线缆长度根据确认后的深化设计图确定。中标后，中标人须在合同额范围内进行深化设计，结算金额根据结算审核结果据实支付，但除建设单位要求调整的情况外，超出合同额部分不予支付。</w:t>
      </w:r>
      <w:r>
        <w:rPr>
          <w:highlight w:val="none"/>
        </w:rPr>
        <w:t>本合同的单价为人民币含税不变价（税指增值税等一切税种）。</w:t>
      </w:r>
    </w:p>
    <w:p w14:paraId="4585378F">
      <w:pPr>
        <w:ind w:firstLine="480" w:firstLineChars="200"/>
        <w:rPr>
          <w:rFonts w:hint="eastAsia"/>
          <w:highlight w:val="none"/>
        </w:rPr>
      </w:pPr>
      <w:r>
        <w:rPr>
          <w:rFonts w:hint="eastAsia"/>
          <w:highlight w:val="none"/>
        </w:rPr>
        <w:t>2</w:t>
      </w:r>
      <w:r>
        <w:rPr>
          <w:highlight w:val="none"/>
        </w:rPr>
        <w:t>、付款方式</w:t>
      </w:r>
    </w:p>
    <w:p w14:paraId="099CE25C">
      <w:pPr>
        <w:tabs>
          <w:tab w:val="left" w:pos="42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合同签订后10个工作日内支付至合同总额的30%，但供应商需出具银行保函；硬件到货验收合格后再支付硬件部分的50%；系统上线试运行1个月、验收合格支付至合同总额的8</w:t>
      </w:r>
      <w:r>
        <w:rPr>
          <w:rFonts w:hint="eastAsia" w:ascii="宋体" w:hAnsi="宋体" w:eastAsia="宋体" w:cs="宋体"/>
          <w:highlight w:val="none"/>
          <w:lang w:val="en-US" w:eastAsia="zh-CN"/>
        </w:rPr>
        <w:t>0</w:t>
      </w:r>
      <w:r>
        <w:rPr>
          <w:rFonts w:hint="eastAsia" w:ascii="宋体" w:hAnsi="宋体" w:eastAsia="宋体" w:cs="宋体"/>
          <w:highlight w:val="none"/>
        </w:rPr>
        <w:t>%；结算审计后14个工作日内付款至审计结算价的95%，余款（审计结算价的5%）在质保期内无发生质量问题后，一次性付清；</w:t>
      </w:r>
    </w:p>
    <w:p w14:paraId="06F43EB2">
      <w:pPr>
        <w:tabs>
          <w:tab w:val="left" w:pos="42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工程款由发包人拨入代建单位帐户，由代建单位将工程款拨付给承包人，承包人申请拨款时必须开具与拨款金额一致的增值税发票给代建单位（发票单位名称绍兴市上虞海锐建设开发有限公司），代建单位开具与拨付款一致的发票给发包人。</w:t>
      </w:r>
    </w:p>
    <w:p w14:paraId="6315DBF3">
      <w:pPr>
        <w:pStyle w:val="34"/>
        <w:numPr>
          <w:ilvl w:val="0"/>
          <w:numId w:val="37"/>
        </w:numPr>
        <w:ind w:firstLine="241"/>
        <w:rPr>
          <w:b/>
          <w:bCs/>
          <w:highlight w:val="none"/>
        </w:rPr>
      </w:pPr>
      <w:r>
        <w:rPr>
          <w:rFonts w:hint="eastAsia"/>
          <w:b/>
          <w:bCs/>
          <w:highlight w:val="none"/>
        </w:rPr>
        <w:t>人员考勤</w:t>
      </w:r>
    </w:p>
    <w:p w14:paraId="58A3D656">
      <w:pPr>
        <w:tabs>
          <w:tab w:val="left" w:pos="425"/>
        </w:tabs>
        <w:spacing w:line="360" w:lineRule="auto"/>
        <w:ind w:firstLine="480" w:firstLineChars="200"/>
        <w:rPr>
          <w:rFonts w:hint="eastAsia"/>
          <w:highlight w:val="none"/>
        </w:rPr>
      </w:pPr>
      <w:r>
        <w:rPr>
          <w:rFonts w:hint="eastAsia"/>
          <w:highlight w:val="none"/>
        </w:rPr>
        <w:t>本项目拟派项目团队人员现场考核按照项目负责人每月考勤出勤率低于当月实际施工天数的80%，以缺勤天数每天2000元标准扣除。项目技术负责人每月考勤出勤率低于当月实际施工天数的80%，以缺勤天数每天1000元标准扣除。其他拟派团队人员每月考勤出勤率低于当月实际施工天数的80%，以缺勤天数</w:t>
      </w:r>
      <w:r>
        <w:rPr>
          <w:rFonts w:hint="eastAsia"/>
          <w:highlight w:val="none"/>
          <w:lang w:val="en-US" w:eastAsia="zh-CN"/>
        </w:rPr>
        <w:t>每人</w:t>
      </w:r>
      <w:r>
        <w:rPr>
          <w:rFonts w:hint="eastAsia"/>
          <w:highlight w:val="none"/>
        </w:rPr>
        <w:t>每天500元标准扣除。在合同实施期间，项目负责人原则上不得变更（死亡或者不具有完全民事行为能力除外）。如其他原因确需要变更的，要经建设单位书面同意，更换后的项目负责人其资格和业绩不得低于投标文件中承诺的要求。</w:t>
      </w:r>
    </w:p>
    <w:p w14:paraId="20629203">
      <w:pPr>
        <w:tabs>
          <w:tab w:val="left" w:pos="425"/>
        </w:tabs>
        <w:spacing w:line="360" w:lineRule="auto"/>
        <w:ind w:firstLine="482" w:firstLineChars="200"/>
        <w:rPr>
          <w:rFonts w:hint="eastAsia"/>
          <w:b/>
          <w:bCs/>
          <w:highlight w:val="none"/>
        </w:rPr>
      </w:pPr>
      <w:r>
        <w:rPr>
          <w:rFonts w:hint="eastAsia"/>
          <w:b/>
          <w:bCs/>
          <w:highlight w:val="none"/>
        </w:rPr>
        <w:t>十二、履约保证金</w:t>
      </w:r>
    </w:p>
    <w:p w14:paraId="00883EBB">
      <w:pPr>
        <w:tabs>
          <w:tab w:val="left" w:pos="425"/>
        </w:tabs>
        <w:spacing w:line="360" w:lineRule="auto"/>
        <w:ind w:firstLine="480" w:firstLineChars="200"/>
        <w:rPr>
          <w:rFonts w:hint="eastAsia"/>
          <w:highlight w:val="none"/>
        </w:rPr>
      </w:pPr>
      <w:r>
        <w:rPr>
          <w:rFonts w:hint="eastAsia"/>
          <w:highlight w:val="none"/>
        </w:rPr>
        <w:t>供货人在收到中标通知书后、签订合同前，已向采购人提供合同总价1%的履约保证金。在安装、调试完毕并经验收合格且履行完毕所有合同义务，采购人行使履约保证金处分权后15个工作日内一次性无息退还剩余部分。</w:t>
      </w:r>
    </w:p>
    <w:p w14:paraId="05DB43E9">
      <w:pPr>
        <w:tabs>
          <w:tab w:val="left" w:pos="425"/>
        </w:tabs>
        <w:spacing w:line="360" w:lineRule="auto"/>
        <w:ind w:firstLine="482" w:firstLineChars="200"/>
        <w:rPr>
          <w:rFonts w:hint="eastAsia"/>
          <w:b/>
          <w:bCs/>
          <w:highlight w:val="none"/>
        </w:rPr>
      </w:pPr>
      <w:r>
        <w:rPr>
          <w:rFonts w:hint="eastAsia"/>
          <w:b/>
          <w:bCs/>
          <w:highlight w:val="none"/>
        </w:rPr>
        <w:t>十三、合同修改</w:t>
      </w:r>
    </w:p>
    <w:p w14:paraId="47C8E90F">
      <w:pPr>
        <w:spacing w:line="360" w:lineRule="auto"/>
        <w:ind w:firstLine="480" w:firstLineChars="200"/>
        <w:rPr>
          <w:rFonts w:hint="eastAsia"/>
          <w:highlight w:val="none"/>
        </w:rPr>
      </w:pPr>
      <w:r>
        <w:rPr>
          <w:rFonts w:hint="eastAsia"/>
          <w:highlight w:val="none"/>
        </w:rPr>
        <w:t>1、买卖双方的任何一方对合同内容提出修改，均应以书面形式通知对方，并达成由双方签署的合同修改书。</w:t>
      </w:r>
    </w:p>
    <w:p w14:paraId="01A1B842">
      <w:pPr>
        <w:spacing w:line="360" w:lineRule="auto"/>
        <w:ind w:firstLine="480" w:firstLineChars="200"/>
        <w:rPr>
          <w:rFonts w:hint="eastAsia"/>
          <w:highlight w:val="none"/>
        </w:rPr>
      </w:pPr>
      <w:r>
        <w:rPr>
          <w:rFonts w:hint="eastAsia"/>
          <w:highlight w:val="none"/>
        </w:rPr>
        <w:t>2、除采购人对设备的型号、规格和涉及价格因素的技术参数和配套件提出修改外，供货人不得对合同价格提出修改要求。</w:t>
      </w:r>
    </w:p>
    <w:p w14:paraId="34265AFF">
      <w:pPr>
        <w:spacing w:line="360" w:lineRule="auto"/>
        <w:ind w:firstLine="480" w:firstLineChars="200"/>
        <w:rPr>
          <w:rFonts w:hint="eastAsia"/>
          <w:highlight w:val="none"/>
        </w:rPr>
      </w:pPr>
      <w:r>
        <w:rPr>
          <w:rFonts w:hint="eastAsia"/>
          <w:highlight w:val="none"/>
        </w:rPr>
        <w:t>3、采购人因设计施工变更设备的型号、规格和数量，供货人应承诺多退少补，并及时供货保证施工进度需要。</w:t>
      </w:r>
    </w:p>
    <w:p w14:paraId="3E7DCA1F">
      <w:pPr>
        <w:tabs>
          <w:tab w:val="left" w:pos="425"/>
        </w:tabs>
        <w:spacing w:line="360" w:lineRule="auto"/>
        <w:ind w:firstLine="482" w:firstLineChars="200"/>
        <w:rPr>
          <w:rFonts w:hint="eastAsia"/>
          <w:b/>
          <w:bCs/>
          <w:highlight w:val="none"/>
        </w:rPr>
      </w:pPr>
      <w:r>
        <w:rPr>
          <w:rFonts w:hint="eastAsia"/>
          <w:b/>
          <w:bCs/>
          <w:highlight w:val="none"/>
        </w:rPr>
        <w:t>十四、违约责任</w:t>
      </w:r>
    </w:p>
    <w:p w14:paraId="7ABFD24D">
      <w:pPr>
        <w:spacing w:line="360" w:lineRule="auto"/>
        <w:ind w:firstLine="480" w:firstLineChars="200"/>
        <w:rPr>
          <w:rFonts w:hint="eastAsia"/>
          <w:highlight w:val="none"/>
        </w:rPr>
      </w:pPr>
      <w:r>
        <w:rPr>
          <w:rFonts w:hint="eastAsia"/>
          <w:highlight w:val="none"/>
        </w:rPr>
        <w:t>1、设备质量责任</w:t>
      </w:r>
    </w:p>
    <w:p w14:paraId="2BF3BDA0">
      <w:pPr>
        <w:spacing w:line="360" w:lineRule="auto"/>
        <w:ind w:firstLine="480" w:firstLineChars="200"/>
        <w:rPr>
          <w:rFonts w:hint="eastAsia"/>
          <w:highlight w:val="none"/>
        </w:rPr>
      </w:pPr>
      <w:r>
        <w:rPr>
          <w:rFonts w:hint="eastAsia"/>
          <w:highlight w:val="none"/>
        </w:rPr>
        <w:t>（1）在设备质量保证期内，凡设备在开箱检验、安装调试、设备试运转过程中发现的设备质量问题，由供货人负责处理，实行包修、包换、包退，直至设备符合质量要求，供货人同时承担修理、调换、退货发生的一切费用及其他由此引起的经济损失。</w:t>
      </w:r>
    </w:p>
    <w:p w14:paraId="40BE5B19">
      <w:pPr>
        <w:spacing w:line="360" w:lineRule="auto"/>
        <w:ind w:firstLine="480" w:firstLineChars="200"/>
        <w:rPr>
          <w:rFonts w:hint="eastAsia"/>
          <w:highlight w:val="none"/>
        </w:rPr>
      </w:pPr>
      <w:r>
        <w:rPr>
          <w:rFonts w:hint="eastAsia"/>
          <w:highlight w:val="none"/>
        </w:rPr>
        <w:t>（2）由于采购人保管不善或使用不当造成设备短缺、故障或损坏，由采购人负责，但供货人保证及时给予补齐或修复。</w:t>
      </w:r>
    </w:p>
    <w:p w14:paraId="61B99BDB">
      <w:pPr>
        <w:spacing w:line="360" w:lineRule="auto"/>
        <w:ind w:firstLine="480" w:firstLineChars="200"/>
        <w:rPr>
          <w:rFonts w:hint="eastAsia"/>
          <w:highlight w:val="none"/>
        </w:rPr>
      </w:pPr>
      <w:r>
        <w:rPr>
          <w:rFonts w:hint="eastAsia"/>
          <w:highlight w:val="none"/>
        </w:rPr>
        <w:t>2、违约赔偿</w:t>
      </w:r>
    </w:p>
    <w:p w14:paraId="289D0F3B">
      <w:pPr>
        <w:spacing w:line="360" w:lineRule="auto"/>
        <w:ind w:firstLine="480" w:firstLineChars="200"/>
        <w:rPr>
          <w:rFonts w:hint="eastAsia"/>
          <w:highlight w:val="none"/>
        </w:rPr>
      </w:pPr>
      <w:r>
        <w:rPr>
          <w:rFonts w:hint="eastAsia"/>
          <w:highlight w:val="none"/>
        </w:rPr>
        <w:t>（1）除不可抗力外，</w:t>
      </w:r>
      <w:r>
        <w:rPr>
          <w:rFonts w:hint="eastAsia"/>
          <w:snapToGrid w:val="0"/>
          <w:highlight w:val="none"/>
        </w:rPr>
        <w:t>工期延迟在1天至15天（含）的，每延迟一天处罚合同价万分之五/天，15天以上的，按合同价千分之一/天予以处罚；若违约金总额超过履约保证金，证实供应商不能按期完成设计或制作安装任务，也无能力采取补救措施，采购人有权另择其他单位进行项目设计方案和图纸设计或制作安装，其发生的费用由中标人承担。</w:t>
      </w:r>
    </w:p>
    <w:p w14:paraId="2C5E08C7">
      <w:pPr>
        <w:spacing w:line="360" w:lineRule="auto"/>
        <w:ind w:firstLine="480" w:firstLineChars="200"/>
        <w:rPr>
          <w:rFonts w:hint="eastAsia"/>
          <w:highlight w:val="none"/>
        </w:rPr>
      </w:pPr>
      <w:r>
        <w:rPr>
          <w:rFonts w:hint="eastAsia"/>
          <w:highlight w:val="none"/>
        </w:rPr>
        <w:t>（2）因供货人违约造成终止合同，则供货人应按合同总价的</w:t>
      </w:r>
      <w:r>
        <w:rPr>
          <w:highlight w:val="none"/>
        </w:rPr>
        <w:t>20%</w:t>
      </w:r>
      <w:r>
        <w:rPr>
          <w:rFonts w:hint="eastAsia"/>
          <w:highlight w:val="none"/>
        </w:rPr>
        <w:t>向采购人赔付违约金；若因供货人违约造成终止合同，对采购人造成的损失超过违约金数额的，供货人应按实际产生的损失赔付违约金。</w:t>
      </w:r>
    </w:p>
    <w:p w14:paraId="2E837291">
      <w:pPr>
        <w:spacing w:line="360" w:lineRule="auto"/>
        <w:ind w:firstLine="480" w:firstLineChars="200"/>
        <w:rPr>
          <w:rFonts w:hint="eastAsia"/>
          <w:highlight w:val="none"/>
        </w:rPr>
      </w:pPr>
      <w:r>
        <w:rPr>
          <w:rFonts w:hint="eastAsia"/>
          <w:highlight w:val="none"/>
        </w:rPr>
        <w:t>（3）经双方协商同意延期交货和经双方友好协商同意退货且无需罚款者不在此例。</w:t>
      </w:r>
    </w:p>
    <w:p w14:paraId="03CEE7F7">
      <w:pPr>
        <w:tabs>
          <w:tab w:val="left" w:pos="425"/>
        </w:tabs>
        <w:spacing w:line="360" w:lineRule="auto"/>
        <w:ind w:firstLine="482" w:firstLineChars="200"/>
        <w:rPr>
          <w:rFonts w:hint="eastAsia"/>
          <w:b/>
          <w:bCs/>
          <w:highlight w:val="none"/>
        </w:rPr>
      </w:pPr>
      <w:r>
        <w:rPr>
          <w:rFonts w:hint="eastAsia"/>
          <w:b/>
          <w:bCs/>
          <w:highlight w:val="none"/>
        </w:rPr>
        <w:t>十五、违约终止合同</w:t>
      </w:r>
    </w:p>
    <w:p w14:paraId="33A5A68E">
      <w:pPr>
        <w:spacing w:line="360" w:lineRule="auto"/>
        <w:ind w:firstLine="480" w:firstLineChars="200"/>
        <w:rPr>
          <w:rFonts w:hint="eastAsia"/>
          <w:highlight w:val="none"/>
        </w:rPr>
      </w:pPr>
      <w:r>
        <w:rPr>
          <w:rFonts w:hint="eastAsia"/>
          <w:highlight w:val="none"/>
        </w:rPr>
        <w:t xml:space="preserve">1、供货人存在如下违约情况且在收到采购人的违约通知后30天内未能纠正其过失的，采购人有权终止全部或部分合同。 </w:t>
      </w:r>
    </w:p>
    <w:p w14:paraId="74F3556C">
      <w:pPr>
        <w:spacing w:line="360" w:lineRule="auto"/>
        <w:ind w:firstLine="480" w:firstLineChars="200"/>
        <w:rPr>
          <w:rFonts w:hint="eastAsia"/>
          <w:highlight w:val="none"/>
        </w:rPr>
      </w:pPr>
      <w:r>
        <w:rPr>
          <w:rFonts w:hint="eastAsia"/>
          <w:highlight w:val="none"/>
        </w:rPr>
        <w:t>（1）供货人未能在合同规定期限或采购人同意延长的期限内交付全部或部分设备。</w:t>
      </w:r>
    </w:p>
    <w:p w14:paraId="36210726">
      <w:pPr>
        <w:spacing w:line="360" w:lineRule="auto"/>
        <w:ind w:firstLine="480" w:firstLineChars="200"/>
        <w:rPr>
          <w:rFonts w:hint="eastAsia"/>
          <w:highlight w:val="none"/>
        </w:rPr>
      </w:pPr>
      <w:r>
        <w:rPr>
          <w:rFonts w:hint="eastAsia"/>
          <w:highlight w:val="none"/>
        </w:rPr>
        <w:t>（2）供货人未能履行合同规定的其他义务。</w:t>
      </w:r>
    </w:p>
    <w:p w14:paraId="2C1BFA79">
      <w:pPr>
        <w:spacing w:line="360" w:lineRule="auto"/>
        <w:ind w:firstLine="480" w:firstLineChars="200"/>
        <w:rPr>
          <w:rFonts w:hint="eastAsia"/>
          <w:highlight w:val="none"/>
        </w:rPr>
      </w:pPr>
      <w:r>
        <w:rPr>
          <w:rFonts w:hint="eastAsia"/>
          <w:highlight w:val="none"/>
        </w:rPr>
        <w:t>2、供货人应继续履行合同中未终止部分。</w:t>
      </w:r>
    </w:p>
    <w:p w14:paraId="4864BA3D">
      <w:pPr>
        <w:spacing w:line="360" w:lineRule="auto"/>
        <w:ind w:firstLine="480" w:firstLineChars="200"/>
        <w:rPr>
          <w:rFonts w:hint="eastAsia"/>
          <w:highlight w:val="none"/>
        </w:rPr>
      </w:pPr>
      <w:r>
        <w:rPr>
          <w:rFonts w:hint="eastAsia"/>
          <w:highlight w:val="none"/>
        </w:rPr>
        <w:t>3、在采购人提出终止部分合同的情况下，不免除供货人对已交货部分设备应负的设备质量责任。</w:t>
      </w:r>
    </w:p>
    <w:p w14:paraId="5B499E89">
      <w:pPr>
        <w:spacing w:line="360" w:lineRule="auto"/>
        <w:ind w:firstLine="720" w:firstLineChars="300"/>
        <w:rPr>
          <w:rFonts w:hint="eastAsia"/>
          <w:highlight w:val="none"/>
        </w:rPr>
      </w:pPr>
    </w:p>
    <w:p w14:paraId="3253C895">
      <w:pPr>
        <w:tabs>
          <w:tab w:val="left" w:pos="425"/>
        </w:tabs>
        <w:spacing w:line="360" w:lineRule="auto"/>
        <w:ind w:firstLine="482" w:firstLineChars="200"/>
        <w:rPr>
          <w:rFonts w:hint="eastAsia"/>
          <w:b/>
          <w:bCs/>
          <w:highlight w:val="none"/>
        </w:rPr>
      </w:pPr>
      <w:r>
        <w:rPr>
          <w:rFonts w:hint="eastAsia"/>
          <w:b/>
          <w:bCs/>
          <w:highlight w:val="none"/>
        </w:rPr>
        <w:t>十六、安全责任</w:t>
      </w:r>
    </w:p>
    <w:p w14:paraId="5342DBA9">
      <w:pPr>
        <w:spacing w:line="360" w:lineRule="auto"/>
        <w:ind w:firstLine="480" w:firstLineChars="200"/>
        <w:rPr>
          <w:rFonts w:hint="eastAsia"/>
          <w:highlight w:val="none"/>
        </w:rPr>
      </w:pPr>
      <w:r>
        <w:rPr>
          <w:rFonts w:hint="eastAsia"/>
          <w:highlight w:val="none"/>
        </w:rPr>
        <w:t>供货人自行承担货物运输、安装、调试、质保期内等全过程中因货物质量问题或安装施工质量问题所引起的一切安全责任。</w:t>
      </w:r>
    </w:p>
    <w:p w14:paraId="46F1D2F0">
      <w:pPr>
        <w:tabs>
          <w:tab w:val="left" w:pos="425"/>
        </w:tabs>
        <w:spacing w:line="360" w:lineRule="auto"/>
        <w:ind w:firstLine="482" w:firstLineChars="200"/>
        <w:rPr>
          <w:rFonts w:hint="eastAsia"/>
          <w:b/>
          <w:bCs/>
          <w:highlight w:val="none"/>
        </w:rPr>
      </w:pPr>
      <w:r>
        <w:rPr>
          <w:rFonts w:hint="eastAsia"/>
          <w:b/>
          <w:bCs/>
          <w:highlight w:val="none"/>
        </w:rPr>
        <w:t>十七、合同纠纷解决方式</w:t>
      </w:r>
      <w:r>
        <w:rPr>
          <w:b/>
          <w:bCs/>
          <w:highlight w:val="none"/>
        </w:rPr>
        <w:t xml:space="preserve">  </w:t>
      </w:r>
    </w:p>
    <w:p w14:paraId="46361448">
      <w:pPr>
        <w:spacing w:line="360" w:lineRule="auto"/>
        <w:ind w:firstLine="480" w:firstLineChars="200"/>
        <w:rPr>
          <w:rFonts w:hint="eastAsia"/>
          <w:highlight w:val="none"/>
        </w:rPr>
      </w:pPr>
      <w:r>
        <w:rPr>
          <w:rFonts w:hint="eastAsia"/>
          <w:highlight w:val="none"/>
        </w:rPr>
        <w:t>凡有关本合同或履行本合同中发生的争端，买卖双方应通过友好协商，妥善解决。如协商不成的，则由采购人住所地法院处理。</w:t>
      </w:r>
    </w:p>
    <w:p w14:paraId="23B4F8DB">
      <w:pPr>
        <w:tabs>
          <w:tab w:val="left" w:pos="425"/>
        </w:tabs>
        <w:spacing w:line="360" w:lineRule="auto"/>
        <w:ind w:firstLine="482" w:firstLineChars="200"/>
        <w:rPr>
          <w:rFonts w:hint="eastAsia"/>
          <w:b/>
          <w:bCs/>
          <w:highlight w:val="none"/>
        </w:rPr>
      </w:pPr>
      <w:r>
        <w:rPr>
          <w:rFonts w:hint="eastAsia"/>
          <w:b/>
          <w:bCs/>
          <w:highlight w:val="none"/>
        </w:rPr>
        <w:t>十八、适用法律</w:t>
      </w:r>
    </w:p>
    <w:p w14:paraId="70BBB635">
      <w:pPr>
        <w:spacing w:line="360" w:lineRule="auto"/>
        <w:ind w:firstLine="480" w:firstLineChars="200"/>
        <w:rPr>
          <w:rFonts w:hint="eastAsia"/>
          <w:highlight w:val="none"/>
        </w:rPr>
      </w:pPr>
      <w:r>
        <w:rPr>
          <w:rFonts w:hint="eastAsia"/>
          <w:highlight w:val="none"/>
        </w:rPr>
        <w:t>按照中华人民共和国、浙江省及项目所在地现行有关法律、法规及规定等进行解释。</w:t>
      </w:r>
    </w:p>
    <w:p w14:paraId="6C4A087C">
      <w:pPr>
        <w:tabs>
          <w:tab w:val="left" w:pos="425"/>
        </w:tabs>
        <w:spacing w:line="360" w:lineRule="auto"/>
        <w:ind w:firstLine="482" w:firstLineChars="200"/>
        <w:rPr>
          <w:rFonts w:hint="eastAsia"/>
          <w:b/>
          <w:bCs/>
          <w:highlight w:val="none"/>
        </w:rPr>
      </w:pPr>
      <w:r>
        <w:rPr>
          <w:rFonts w:hint="eastAsia"/>
          <w:b/>
          <w:bCs/>
          <w:highlight w:val="none"/>
        </w:rPr>
        <w:t>十九、合同有效期及其他</w:t>
      </w:r>
    </w:p>
    <w:p w14:paraId="6F34795A">
      <w:pPr>
        <w:spacing w:line="360" w:lineRule="auto"/>
        <w:ind w:firstLine="480" w:firstLineChars="200"/>
        <w:rPr>
          <w:rFonts w:hint="eastAsia"/>
          <w:highlight w:val="none"/>
        </w:rPr>
      </w:pPr>
      <w:r>
        <w:rPr>
          <w:rFonts w:hint="eastAsia"/>
          <w:highlight w:val="none"/>
        </w:rPr>
        <w:t>1、合同有效期为合同生效之日起至质保期满之日。合同在双方法定代表人或经办人签字并加盖单位公章或合同章后生效。招标文件、投标文件、招标补充文件、招标答疑纪要及设计联络会会议纪要等作为本合同的组成部分，与本合同具有同等法律效力；解释顺序为合同（补充合同）、招标答疑纪要、招标补充文件、招标文件、投标文件、设计联络会会议纪要等。</w:t>
      </w:r>
    </w:p>
    <w:p w14:paraId="4B2058B9">
      <w:pPr>
        <w:spacing w:line="360" w:lineRule="auto"/>
        <w:ind w:firstLine="480" w:firstLineChars="200"/>
        <w:rPr>
          <w:rFonts w:hint="eastAsia"/>
          <w:highlight w:val="none"/>
        </w:rPr>
      </w:pPr>
      <w:r>
        <w:rPr>
          <w:rFonts w:hint="eastAsia"/>
          <w:highlight w:val="none"/>
        </w:rPr>
        <w:t>2、本合同还需签订工程质量保修书、廉洁协议、文明作业责任书、安全生产责任书、关于民工工资清欠协议。</w:t>
      </w:r>
    </w:p>
    <w:p w14:paraId="32F881C2">
      <w:pPr>
        <w:spacing w:line="360" w:lineRule="auto"/>
        <w:ind w:firstLine="480" w:firstLineChars="200"/>
        <w:rPr>
          <w:rFonts w:hint="eastAsia"/>
          <w:highlight w:val="none"/>
        </w:rPr>
      </w:pPr>
      <w:r>
        <w:rPr>
          <w:rFonts w:hint="eastAsia"/>
          <w:highlight w:val="none"/>
        </w:rPr>
        <w:t>3、本合同一式八份，采购人执四份，供货人执四份。</w:t>
      </w:r>
    </w:p>
    <w:p w14:paraId="0296AD12">
      <w:pPr>
        <w:spacing w:line="360" w:lineRule="auto"/>
        <w:ind w:firstLine="480" w:firstLineChars="200"/>
        <w:rPr>
          <w:rStyle w:val="59"/>
          <w:rFonts w:hint="eastAsia"/>
          <w:sz w:val="20"/>
          <w:highlight w:val="none"/>
        </w:rPr>
      </w:pPr>
      <w:r>
        <w:rPr>
          <w:rFonts w:hint="eastAsia"/>
          <w:highlight w:val="none"/>
        </w:rPr>
        <w:t>4、未尽事宜，由双方协商解决。</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0"/>
        <w:gridCol w:w="2610"/>
        <w:gridCol w:w="1870"/>
        <w:gridCol w:w="2670"/>
      </w:tblGrid>
      <w:tr w14:paraId="04B2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1063" w:type="pct"/>
            <w:vAlign w:val="center"/>
          </w:tcPr>
          <w:p w14:paraId="697A4ADA">
            <w:pPr>
              <w:jc w:val="center"/>
              <w:rPr>
                <w:rStyle w:val="59"/>
                <w:rFonts w:hint="eastAsia"/>
                <w:sz w:val="21"/>
                <w:szCs w:val="22"/>
                <w:highlight w:val="none"/>
              </w:rPr>
            </w:pPr>
            <w:r>
              <w:rPr>
                <w:rStyle w:val="59"/>
                <w:rFonts w:hint="eastAsia"/>
                <w:sz w:val="21"/>
                <w:szCs w:val="22"/>
                <w:highlight w:val="none"/>
              </w:rPr>
              <w:t>采购人</w:t>
            </w:r>
          </w:p>
        </w:tc>
        <w:tc>
          <w:tcPr>
            <w:tcW w:w="1437" w:type="pct"/>
            <w:vAlign w:val="center"/>
          </w:tcPr>
          <w:p w14:paraId="139679B2">
            <w:pPr>
              <w:jc w:val="center"/>
              <w:rPr>
                <w:rStyle w:val="59"/>
                <w:rFonts w:hint="eastAsia"/>
                <w:sz w:val="21"/>
                <w:szCs w:val="22"/>
                <w:highlight w:val="none"/>
              </w:rPr>
            </w:pPr>
            <w:r>
              <w:rPr>
                <w:rStyle w:val="59"/>
                <w:sz w:val="21"/>
                <w:szCs w:val="22"/>
                <w:highlight w:val="none"/>
              </w:rPr>
              <w:t>（盖章）</w:t>
            </w:r>
          </w:p>
        </w:tc>
        <w:tc>
          <w:tcPr>
            <w:tcW w:w="1030" w:type="pct"/>
            <w:vAlign w:val="center"/>
          </w:tcPr>
          <w:p w14:paraId="0EC76CBF">
            <w:pPr>
              <w:jc w:val="center"/>
              <w:rPr>
                <w:rStyle w:val="59"/>
                <w:rFonts w:hint="eastAsia"/>
                <w:sz w:val="21"/>
                <w:szCs w:val="22"/>
                <w:highlight w:val="none"/>
              </w:rPr>
            </w:pPr>
            <w:r>
              <w:rPr>
                <w:rStyle w:val="59"/>
                <w:rFonts w:hint="eastAsia"/>
                <w:sz w:val="21"/>
                <w:szCs w:val="22"/>
                <w:highlight w:val="none"/>
              </w:rPr>
              <w:t>供货人</w:t>
            </w:r>
          </w:p>
        </w:tc>
        <w:tc>
          <w:tcPr>
            <w:tcW w:w="1470" w:type="pct"/>
            <w:vAlign w:val="center"/>
          </w:tcPr>
          <w:p w14:paraId="13A38F04">
            <w:pPr>
              <w:jc w:val="center"/>
              <w:rPr>
                <w:rStyle w:val="59"/>
                <w:rFonts w:hint="eastAsia"/>
                <w:sz w:val="21"/>
                <w:szCs w:val="22"/>
                <w:highlight w:val="none"/>
              </w:rPr>
            </w:pPr>
            <w:r>
              <w:rPr>
                <w:rStyle w:val="59"/>
                <w:sz w:val="21"/>
                <w:szCs w:val="22"/>
                <w:highlight w:val="none"/>
              </w:rPr>
              <w:t>（盖章）</w:t>
            </w:r>
          </w:p>
        </w:tc>
      </w:tr>
      <w:tr w14:paraId="45DA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1063" w:type="pct"/>
            <w:vAlign w:val="center"/>
          </w:tcPr>
          <w:p w14:paraId="4628B52D">
            <w:pPr>
              <w:jc w:val="center"/>
              <w:rPr>
                <w:rStyle w:val="59"/>
                <w:rFonts w:hint="eastAsia"/>
                <w:sz w:val="21"/>
                <w:szCs w:val="22"/>
                <w:highlight w:val="none"/>
              </w:rPr>
            </w:pPr>
            <w:r>
              <w:rPr>
                <w:rStyle w:val="59"/>
                <w:sz w:val="21"/>
                <w:szCs w:val="22"/>
                <w:highlight w:val="none"/>
              </w:rPr>
              <w:t>代表签名</w:t>
            </w:r>
          </w:p>
        </w:tc>
        <w:tc>
          <w:tcPr>
            <w:tcW w:w="1437" w:type="pct"/>
            <w:vAlign w:val="center"/>
          </w:tcPr>
          <w:p w14:paraId="22BB4E53">
            <w:pPr>
              <w:jc w:val="center"/>
              <w:rPr>
                <w:rStyle w:val="59"/>
                <w:rFonts w:hint="eastAsia"/>
                <w:sz w:val="21"/>
                <w:szCs w:val="22"/>
                <w:highlight w:val="none"/>
              </w:rPr>
            </w:pPr>
          </w:p>
        </w:tc>
        <w:tc>
          <w:tcPr>
            <w:tcW w:w="1030" w:type="pct"/>
            <w:vAlign w:val="center"/>
          </w:tcPr>
          <w:p w14:paraId="06B88ADE">
            <w:pPr>
              <w:jc w:val="center"/>
              <w:rPr>
                <w:rStyle w:val="59"/>
                <w:rFonts w:hint="eastAsia"/>
                <w:sz w:val="21"/>
                <w:szCs w:val="22"/>
                <w:highlight w:val="none"/>
              </w:rPr>
            </w:pPr>
            <w:r>
              <w:rPr>
                <w:rStyle w:val="59"/>
                <w:sz w:val="21"/>
                <w:szCs w:val="22"/>
                <w:highlight w:val="none"/>
              </w:rPr>
              <w:t>代表签名</w:t>
            </w:r>
          </w:p>
        </w:tc>
        <w:tc>
          <w:tcPr>
            <w:tcW w:w="1470" w:type="pct"/>
            <w:vAlign w:val="center"/>
          </w:tcPr>
          <w:p w14:paraId="70B4096A">
            <w:pPr>
              <w:jc w:val="center"/>
              <w:rPr>
                <w:rStyle w:val="59"/>
                <w:rFonts w:hint="eastAsia"/>
                <w:sz w:val="21"/>
                <w:szCs w:val="22"/>
                <w:highlight w:val="none"/>
              </w:rPr>
            </w:pPr>
          </w:p>
        </w:tc>
      </w:tr>
      <w:tr w14:paraId="64D1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1063" w:type="pct"/>
            <w:vAlign w:val="center"/>
          </w:tcPr>
          <w:p w14:paraId="59107274">
            <w:pPr>
              <w:jc w:val="center"/>
              <w:rPr>
                <w:rStyle w:val="59"/>
                <w:rFonts w:hint="eastAsia"/>
                <w:sz w:val="21"/>
                <w:szCs w:val="22"/>
                <w:highlight w:val="none"/>
              </w:rPr>
            </w:pPr>
            <w:r>
              <w:rPr>
                <w:rStyle w:val="59"/>
                <w:sz w:val="21"/>
                <w:szCs w:val="22"/>
                <w:highlight w:val="none"/>
              </w:rPr>
              <w:t>地址</w:t>
            </w:r>
          </w:p>
        </w:tc>
        <w:tc>
          <w:tcPr>
            <w:tcW w:w="1437" w:type="pct"/>
            <w:vAlign w:val="center"/>
          </w:tcPr>
          <w:p w14:paraId="6703C0E0">
            <w:pPr>
              <w:jc w:val="center"/>
              <w:rPr>
                <w:rStyle w:val="59"/>
                <w:rFonts w:hint="eastAsia"/>
                <w:sz w:val="21"/>
                <w:szCs w:val="22"/>
                <w:highlight w:val="none"/>
              </w:rPr>
            </w:pPr>
          </w:p>
        </w:tc>
        <w:tc>
          <w:tcPr>
            <w:tcW w:w="1030" w:type="pct"/>
            <w:vAlign w:val="center"/>
          </w:tcPr>
          <w:p w14:paraId="160B516E">
            <w:pPr>
              <w:jc w:val="center"/>
              <w:rPr>
                <w:rStyle w:val="59"/>
                <w:rFonts w:hint="eastAsia"/>
                <w:sz w:val="21"/>
                <w:szCs w:val="22"/>
                <w:highlight w:val="none"/>
              </w:rPr>
            </w:pPr>
            <w:r>
              <w:rPr>
                <w:rStyle w:val="59"/>
                <w:sz w:val="21"/>
                <w:szCs w:val="22"/>
                <w:highlight w:val="none"/>
              </w:rPr>
              <w:t>地址</w:t>
            </w:r>
          </w:p>
        </w:tc>
        <w:tc>
          <w:tcPr>
            <w:tcW w:w="1470" w:type="pct"/>
            <w:vAlign w:val="center"/>
          </w:tcPr>
          <w:p w14:paraId="4B3FACB2">
            <w:pPr>
              <w:jc w:val="center"/>
              <w:rPr>
                <w:rStyle w:val="59"/>
                <w:rFonts w:hint="eastAsia"/>
                <w:sz w:val="21"/>
                <w:szCs w:val="22"/>
                <w:highlight w:val="none"/>
              </w:rPr>
            </w:pPr>
          </w:p>
        </w:tc>
      </w:tr>
      <w:tr w14:paraId="0EE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1063" w:type="pct"/>
            <w:vAlign w:val="center"/>
          </w:tcPr>
          <w:p w14:paraId="4284D316">
            <w:pPr>
              <w:jc w:val="center"/>
              <w:rPr>
                <w:rStyle w:val="59"/>
                <w:rFonts w:hint="eastAsia"/>
                <w:sz w:val="21"/>
                <w:szCs w:val="22"/>
                <w:highlight w:val="none"/>
              </w:rPr>
            </w:pPr>
            <w:r>
              <w:rPr>
                <w:rStyle w:val="59"/>
                <w:sz w:val="21"/>
                <w:szCs w:val="22"/>
                <w:highlight w:val="none"/>
              </w:rPr>
              <w:t>电话</w:t>
            </w:r>
          </w:p>
        </w:tc>
        <w:tc>
          <w:tcPr>
            <w:tcW w:w="1437" w:type="pct"/>
            <w:vAlign w:val="center"/>
          </w:tcPr>
          <w:p w14:paraId="7CA2C5C9">
            <w:pPr>
              <w:jc w:val="center"/>
              <w:rPr>
                <w:rStyle w:val="59"/>
                <w:rFonts w:hint="eastAsia"/>
                <w:sz w:val="21"/>
                <w:szCs w:val="22"/>
                <w:highlight w:val="none"/>
              </w:rPr>
            </w:pPr>
          </w:p>
        </w:tc>
        <w:tc>
          <w:tcPr>
            <w:tcW w:w="1030" w:type="pct"/>
            <w:vAlign w:val="center"/>
          </w:tcPr>
          <w:p w14:paraId="0B8AA536">
            <w:pPr>
              <w:jc w:val="center"/>
              <w:rPr>
                <w:rStyle w:val="59"/>
                <w:rFonts w:hint="eastAsia"/>
                <w:sz w:val="21"/>
                <w:szCs w:val="22"/>
                <w:highlight w:val="none"/>
              </w:rPr>
            </w:pPr>
            <w:r>
              <w:rPr>
                <w:rStyle w:val="59"/>
                <w:sz w:val="21"/>
                <w:szCs w:val="22"/>
                <w:highlight w:val="none"/>
              </w:rPr>
              <w:t>电话</w:t>
            </w:r>
          </w:p>
        </w:tc>
        <w:tc>
          <w:tcPr>
            <w:tcW w:w="1470" w:type="pct"/>
            <w:vAlign w:val="center"/>
          </w:tcPr>
          <w:p w14:paraId="60F0BF63">
            <w:pPr>
              <w:jc w:val="center"/>
              <w:rPr>
                <w:rStyle w:val="59"/>
                <w:rFonts w:hint="eastAsia"/>
                <w:sz w:val="21"/>
                <w:szCs w:val="22"/>
                <w:highlight w:val="none"/>
              </w:rPr>
            </w:pPr>
          </w:p>
        </w:tc>
      </w:tr>
      <w:tr w14:paraId="3C31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1063" w:type="pct"/>
            <w:vAlign w:val="center"/>
          </w:tcPr>
          <w:p w14:paraId="6FB826E7">
            <w:pPr>
              <w:jc w:val="center"/>
              <w:rPr>
                <w:rStyle w:val="59"/>
                <w:rFonts w:hint="eastAsia"/>
                <w:sz w:val="21"/>
                <w:szCs w:val="22"/>
                <w:highlight w:val="none"/>
              </w:rPr>
            </w:pPr>
            <w:r>
              <w:rPr>
                <w:rStyle w:val="59"/>
                <w:sz w:val="21"/>
                <w:szCs w:val="22"/>
                <w:highlight w:val="none"/>
              </w:rPr>
              <w:t>开户银行</w:t>
            </w:r>
          </w:p>
        </w:tc>
        <w:tc>
          <w:tcPr>
            <w:tcW w:w="1437" w:type="pct"/>
            <w:vAlign w:val="center"/>
          </w:tcPr>
          <w:p w14:paraId="06B970FF">
            <w:pPr>
              <w:jc w:val="center"/>
              <w:rPr>
                <w:rStyle w:val="59"/>
                <w:rFonts w:hint="eastAsia"/>
                <w:sz w:val="21"/>
                <w:szCs w:val="22"/>
                <w:highlight w:val="none"/>
              </w:rPr>
            </w:pPr>
          </w:p>
        </w:tc>
        <w:tc>
          <w:tcPr>
            <w:tcW w:w="1030" w:type="pct"/>
            <w:vAlign w:val="center"/>
          </w:tcPr>
          <w:p w14:paraId="13308A88">
            <w:pPr>
              <w:jc w:val="center"/>
              <w:rPr>
                <w:rStyle w:val="59"/>
                <w:rFonts w:hint="eastAsia"/>
                <w:sz w:val="21"/>
                <w:szCs w:val="22"/>
                <w:highlight w:val="none"/>
              </w:rPr>
            </w:pPr>
            <w:r>
              <w:rPr>
                <w:rStyle w:val="59"/>
                <w:sz w:val="21"/>
                <w:szCs w:val="22"/>
                <w:highlight w:val="none"/>
              </w:rPr>
              <w:t>开户银行</w:t>
            </w:r>
          </w:p>
        </w:tc>
        <w:tc>
          <w:tcPr>
            <w:tcW w:w="1470" w:type="pct"/>
            <w:vAlign w:val="center"/>
          </w:tcPr>
          <w:p w14:paraId="483F371B">
            <w:pPr>
              <w:jc w:val="center"/>
              <w:rPr>
                <w:rStyle w:val="59"/>
                <w:rFonts w:hint="eastAsia"/>
                <w:sz w:val="21"/>
                <w:szCs w:val="22"/>
                <w:highlight w:val="none"/>
              </w:rPr>
            </w:pPr>
          </w:p>
        </w:tc>
      </w:tr>
      <w:tr w14:paraId="233F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1063" w:type="pct"/>
            <w:vAlign w:val="center"/>
          </w:tcPr>
          <w:p w14:paraId="626CBBFD">
            <w:pPr>
              <w:jc w:val="center"/>
              <w:rPr>
                <w:rStyle w:val="59"/>
                <w:rFonts w:hint="eastAsia"/>
                <w:sz w:val="21"/>
                <w:szCs w:val="22"/>
                <w:highlight w:val="none"/>
              </w:rPr>
            </w:pPr>
            <w:r>
              <w:rPr>
                <w:rStyle w:val="59"/>
                <w:rFonts w:hint="eastAsia"/>
                <w:sz w:val="21"/>
                <w:szCs w:val="22"/>
                <w:highlight w:val="none"/>
              </w:rPr>
              <w:t>账号</w:t>
            </w:r>
          </w:p>
        </w:tc>
        <w:tc>
          <w:tcPr>
            <w:tcW w:w="1437" w:type="pct"/>
            <w:vAlign w:val="center"/>
          </w:tcPr>
          <w:p w14:paraId="0074CEA0">
            <w:pPr>
              <w:jc w:val="center"/>
              <w:rPr>
                <w:rStyle w:val="59"/>
                <w:rFonts w:hint="eastAsia"/>
                <w:sz w:val="21"/>
                <w:szCs w:val="22"/>
                <w:highlight w:val="none"/>
              </w:rPr>
            </w:pPr>
          </w:p>
        </w:tc>
        <w:tc>
          <w:tcPr>
            <w:tcW w:w="1030" w:type="pct"/>
            <w:vAlign w:val="center"/>
          </w:tcPr>
          <w:p w14:paraId="1C279151">
            <w:pPr>
              <w:jc w:val="center"/>
              <w:rPr>
                <w:rStyle w:val="59"/>
                <w:rFonts w:hint="eastAsia"/>
                <w:sz w:val="21"/>
                <w:szCs w:val="22"/>
                <w:highlight w:val="none"/>
              </w:rPr>
            </w:pPr>
            <w:r>
              <w:rPr>
                <w:rStyle w:val="59"/>
                <w:rFonts w:hint="eastAsia"/>
                <w:sz w:val="21"/>
                <w:szCs w:val="22"/>
                <w:highlight w:val="none"/>
              </w:rPr>
              <w:t>账号</w:t>
            </w:r>
          </w:p>
        </w:tc>
        <w:tc>
          <w:tcPr>
            <w:tcW w:w="1470" w:type="pct"/>
            <w:vAlign w:val="center"/>
          </w:tcPr>
          <w:p w14:paraId="34FE84F4">
            <w:pPr>
              <w:jc w:val="center"/>
              <w:rPr>
                <w:rStyle w:val="59"/>
                <w:rFonts w:hint="eastAsia"/>
                <w:sz w:val="21"/>
                <w:szCs w:val="22"/>
                <w:highlight w:val="none"/>
              </w:rPr>
            </w:pPr>
          </w:p>
        </w:tc>
      </w:tr>
    </w:tbl>
    <w:p w14:paraId="4EF7AEDD">
      <w:pPr>
        <w:spacing w:line="360" w:lineRule="auto"/>
        <w:ind w:firstLine="480" w:firstLineChars="200"/>
        <w:rPr>
          <w:rFonts w:hint="eastAsia"/>
          <w:highlight w:val="none"/>
        </w:rPr>
      </w:pPr>
    </w:p>
    <w:p w14:paraId="668B0441">
      <w:pPr>
        <w:pStyle w:val="3"/>
        <w:rPr>
          <w:rFonts w:hint="eastAsia"/>
          <w:highlight w:val="none"/>
        </w:rPr>
        <w:sectPr>
          <w:headerReference r:id="rId9" w:type="default"/>
          <w:footerReference r:id="rId10" w:type="default"/>
          <w:pgSz w:w="11906" w:h="16838"/>
          <w:pgMar w:top="1247" w:right="1418" w:bottom="1701" w:left="1418" w:header="851" w:footer="992" w:gutter="0"/>
          <w:pgNumType w:fmt="numberInDash"/>
          <w:cols w:space="720" w:num="1"/>
          <w:titlePg/>
          <w:docGrid w:linePitch="312" w:charSpace="0"/>
        </w:sectPr>
      </w:pPr>
    </w:p>
    <w:p w14:paraId="7A9DCD8A">
      <w:pPr>
        <w:spacing w:line="360" w:lineRule="auto"/>
        <w:jc w:val="center"/>
        <w:outlineLvl w:val="0"/>
        <w:rPr>
          <w:rFonts w:hint="eastAsia"/>
          <w:b/>
          <w:sz w:val="36"/>
          <w:szCs w:val="36"/>
          <w:highlight w:val="none"/>
        </w:rPr>
      </w:pPr>
      <w:bookmarkStart w:id="487" w:name="_Toc92799816"/>
      <w:bookmarkStart w:id="488" w:name="_Toc151026262"/>
      <w:r>
        <w:rPr>
          <w:rFonts w:hint="eastAsia"/>
          <w:b/>
          <w:sz w:val="36"/>
          <w:szCs w:val="36"/>
          <w:highlight w:val="none"/>
        </w:rPr>
        <w:t>第六部分</w:t>
      </w:r>
      <w:bookmarkEnd w:id="471"/>
      <w:r>
        <w:rPr>
          <w:rFonts w:hint="eastAsia"/>
          <w:b/>
          <w:sz w:val="36"/>
          <w:szCs w:val="36"/>
          <w:highlight w:val="none"/>
        </w:rPr>
        <w:t xml:space="preserve"> </w:t>
      </w:r>
      <w:bookmarkEnd w:id="472"/>
      <w:r>
        <w:rPr>
          <w:rFonts w:hint="eastAsia"/>
          <w:b/>
          <w:sz w:val="36"/>
          <w:szCs w:val="36"/>
          <w:highlight w:val="none"/>
        </w:rPr>
        <w:t xml:space="preserve"> 应提交的有关格式范例</w:t>
      </w:r>
      <w:bookmarkEnd w:id="487"/>
      <w:bookmarkEnd w:id="488"/>
    </w:p>
    <w:p w14:paraId="12E311C2">
      <w:pPr>
        <w:spacing w:line="360" w:lineRule="auto"/>
        <w:ind w:firstLine="480" w:firstLineChars="200"/>
        <w:rPr>
          <w:rFonts w:hint="eastAsia"/>
          <w:highlight w:val="none"/>
        </w:rPr>
      </w:pPr>
    </w:p>
    <w:p w14:paraId="2C2D053D">
      <w:pPr>
        <w:spacing w:line="360" w:lineRule="auto"/>
        <w:ind w:firstLine="480" w:firstLineChars="200"/>
        <w:rPr>
          <w:rFonts w:hint="eastAsia"/>
          <w:highlight w:val="none"/>
        </w:rPr>
      </w:pPr>
      <w:r>
        <w:rPr>
          <w:rFonts w:hint="eastAsia"/>
          <w:highlight w:val="none"/>
        </w:rPr>
        <w:t>投标人按照以下格式编制投标文件，并将资格文件、商务文件、技术文件、报价文件分别上传，并与招标文件的评分要点准确设置关联点。</w:t>
      </w:r>
    </w:p>
    <w:p w14:paraId="562EACC2">
      <w:pPr>
        <w:spacing w:line="360" w:lineRule="auto"/>
        <w:ind w:firstLine="482" w:firstLineChars="200"/>
        <w:rPr>
          <w:rFonts w:hint="eastAsia"/>
          <w:b/>
          <w:bCs/>
          <w:highlight w:val="none"/>
        </w:rPr>
      </w:pPr>
      <w:r>
        <w:rPr>
          <w:rFonts w:hint="eastAsia"/>
          <w:b/>
          <w:bCs/>
          <w:highlight w:val="none"/>
        </w:rPr>
        <w:t>除写明投标人可以根据实际情况自行调整格式外，未按以下格式编制投标文件或因格式不规范、页码不清等原因引发的无效投标等一切后果由投标人自行承担。</w:t>
      </w:r>
    </w:p>
    <w:p w14:paraId="57A65FC6">
      <w:pPr>
        <w:spacing w:line="360" w:lineRule="auto"/>
        <w:ind w:firstLine="482" w:firstLineChars="200"/>
        <w:rPr>
          <w:rFonts w:hint="eastAsia"/>
          <w:b/>
          <w:highlight w:val="none"/>
        </w:rPr>
      </w:pPr>
    </w:p>
    <w:p w14:paraId="24B50BD8">
      <w:pPr>
        <w:spacing w:line="360" w:lineRule="auto"/>
        <w:rPr>
          <w:rFonts w:hint="eastAsia"/>
          <w:b/>
          <w:highlight w:val="none"/>
        </w:rPr>
      </w:pPr>
    </w:p>
    <w:p w14:paraId="509419EF">
      <w:pPr>
        <w:pStyle w:val="3"/>
        <w:spacing w:line="360" w:lineRule="auto"/>
        <w:jc w:val="center"/>
        <w:rPr>
          <w:rFonts w:hint="eastAsia"/>
          <w:sz w:val="36"/>
          <w:szCs w:val="22"/>
          <w:highlight w:val="none"/>
        </w:rPr>
      </w:pPr>
      <w:r>
        <w:rPr>
          <w:sz w:val="36"/>
          <w:szCs w:val="22"/>
          <w:highlight w:val="none"/>
        </w:rPr>
        <w:br w:type="page"/>
      </w:r>
      <w:bookmarkStart w:id="489" w:name="_Toc151026263"/>
      <w:r>
        <w:rPr>
          <w:rFonts w:hint="eastAsia"/>
          <w:sz w:val="36"/>
          <w:szCs w:val="22"/>
          <w:highlight w:val="none"/>
        </w:rPr>
        <w:t>资格文件部分</w:t>
      </w:r>
      <w:bookmarkEnd w:id="489"/>
    </w:p>
    <w:p w14:paraId="5CB3D611">
      <w:pPr>
        <w:spacing w:line="360" w:lineRule="auto"/>
        <w:jc w:val="center"/>
        <w:rPr>
          <w:rFonts w:hint="eastAsia"/>
          <w:b/>
          <w:bCs/>
          <w:sz w:val="40"/>
          <w:szCs w:val="44"/>
          <w:highlight w:val="none"/>
        </w:rPr>
      </w:pPr>
      <w:r>
        <w:rPr>
          <w:rFonts w:hint="eastAsia"/>
          <w:b/>
          <w:bCs/>
          <w:sz w:val="40"/>
          <w:szCs w:val="44"/>
          <w:highlight w:val="none"/>
        </w:rPr>
        <w:t>目录</w:t>
      </w:r>
    </w:p>
    <w:p w14:paraId="7A2827C2">
      <w:pPr>
        <w:pStyle w:val="12"/>
        <w:numPr>
          <w:ilvl w:val="0"/>
          <w:numId w:val="38"/>
        </w:numPr>
        <w:spacing w:after="0" w:line="360" w:lineRule="auto"/>
        <w:ind w:leftChars="0" w:firstLine="480" w:firstLineChars="200"/>
        <w:rPr>
          <w:rFonts w:hint="eastAsia"/>
          <w:highlight w:val="none"/>
        </w:rPr>
      </w:pPr>
      <w:r>
        <w:rPr>
          <w:rFonts w:hint="eastAsia"/>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718A38A8">
      <w:pPr>
        <w:pStyle w:val="12"/>
        <w:numPr>
          <w:ilvl w:val="0"/>
          <w:numId w:val="38"/>
        </w:numPr>
        <w:spacing w:after="0" w:line="360" w:lineRule="auto"/>
        <w:ind w:leftChars="0" w:firstLine="480" w:firstLineChars="200"/>
        <w:rPr>
          <w:rFonts w:hint="eastAsia"/>
          <w:highlight w:val="none"/>
        </w:rPr>
      </w:pPr>
      <w:r>
        <w:rPr>
          <w:rFonts w:hint="eastAsia"/>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EAC768C">
      <w:pPr>
        <w:pStyle w:val="12"/>
        <w:spacing w:after="0" w:line="360" w:lineRule="auto"/>
        <w:ind w:left="0" w:leftChars="0" w:firstLine="480" w:firstLineChars="200"/>
        <w:rPr>
          <w:rFonts w:hint="eastAsia"/>
          <w:highlight w:val="none"/>
        </w:rPr>
      </w:pPr>
      <w:r>
        <w:rPr>
          <w:rFonts w:hint="eastAsia"/>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94CB9E5">
      <w:pPr>
        <w:pStyle w:val="12"/>
        <w:numPr>
          <w:ilvl w:val="0"/>
          <w:numId w:val="38"/>
        </w:numPr>
        <w:spacing w:after="0" w:line="360" w:lineRule="auto"/>
        <w:ind w:leftChars="0" w:firstLine="480" w:firstLineChars="200"/>
        <w:rPr>
          <w:rFonts w:hint="eastAsia"/>
          <w:highlight w:val="none"/>
        </w:rPr>
      </w:pPr>
      <w:r>
        <w:rPr>
          <w:rFonts w:hint="eastAsia"/>
          <w:highlight w:val="none"/>
        </w:rPr>
        <w:t>具有履行合同所必需的产品和专业技术能力的承诺函；</w:t>
      </w:r>
    </w:p>
    <w:p w14:paraId="2F844249">
      <w:pPr>
        <w:pStyle w:val="12"/>
        <w:numPr>
          <w:ilvl w:val="0"/>
          <w:numId w:val="38"/>
        </w:numPr>
        <w:spacing w:after="0" w:line="360" w:lineRule="auto"/>
        <w:ind w:leftChars="0" w:firstLine="480" w:firstLineChars="200"/>
        <w:rPr>
          <w:rFonts w:hint="eastAsia"/>
          <w:highlight w:val="none"/>
        </w:rPr>
      </w:pPr>
      <w:r>
        <w:rPr>
          <w:rFonts w:hint="eastAsia"/>
          <w:highlight w:val="none"/>
        </w:rPr>
        <w:t xml:space="preserve">投标人承诺函（格式见附件） </w:t>
      </w:r>
    </w:p>
    <w:p w14:paraId="7FEFB7EB">
      <w:pPr>
        <w:pStyle w:val="12"/>
        <w:numPr>
          <w:ilvl w:val="0"/>
          <w:numId w:val="38"/>
        </w:numPr>
        <w:spacing w:after="0" w:line="360" w:lineRule="auto"/>
        <w:ind w:leftChars="0" w:firstLine="480" w:firstLineChars="200"/>
        <w:rPr>
          <w:rFonts w:hint="eastAsia"/>
          <w:highlight w:val="none"/>
        </w:rPr>
      </w:pPr>
      <w:r>
        <w:rPr>
          <w:rFonts w:hint="eastAsia"/>
          <w:highlight w:val="none"/>
        </w:rPr>
        <w:t>若联合体投标的提供联合体协议。（格式见附件）</w:t>
      </w:r>
    </w:p>
    <w:p w14:paraId="2A6FA490">
      <w:pPr>
        <w:pStyle w:val="22"/>
        <w:rPr>
          <w:highlight w:val="none"/>
        </w:rPr>
      </w:pPr>
    </w:p>
    <w:p w14:paraId="1808FB43">
      <w:pPr>
        <w:pStyle w:val="13"/>
        <w:ind w:left="480" w:firstLine="480"/>
        <w:rPr>
          <w:rFonts w:hint="eastAsia"/>
          <w:highlight w:val="none"/>
        </w:rPr>
      </w:pPr>
    </w:p>
    <w:p w14:paraId="2B9BEFBD">
      <w:pPr>
        <w:pStyle w:val="69"/>
        <w:spacing w:before="0"/>
        <w:ind w:left="480" w:leftChars="200" w:firstLine="0" w:firstLineChars="0"/>
        <w:rPr>
          <w:rFonts w:hint="eastAsia" w:ascii="宋体" w:hAnsi="宋体"/>
          <w:highlight w:val="none"/>
        </w:rPr>
      </w:pPr>
    </w:p>
    <w:p w14:paraId="1848FA8F">
      <w:pPr>
        <w:pStyle w:val="69"/>
        <w:spacing w:before="0"/>
        <w:ind w:left="480" w:leftChars="200" w:firstLine="0" w:firstLineChars="0"/>
        <w:rPr>
          <w:rFonts w:hint="eastAsia" w:ascii="宋体" w:hAnsi="宋体"/>
          <w:highlight w:val="none"/>
        </w:rPr>
      </w:pPr>
    </w:p>
    <w:p w14:paraId="42C0EBB5">
      <w:pPr>
        <w:pStyle w:val="12"/>
        <w:spacing w:line="360" w:lineRule="auto"/>
        <w:ind w:left="480" w:firstLine="486"/>
        <w:rPr>
          <w:rFonts w:hint="eastAsia"/>
          <w:highlight w:val="none"/>
        </w:rPr>
      </w:pPr>
    </w:p>
    <w:p w14:paraId="7E1F5B96">
      <w:pPr>
        <w:spacing w:line="360" w:lineRule="auto"/>
        <w:ind w:firstLine="480" w:firstLineChars="200"/>
        <w:rPr>
          <w:rFonts w:hint="eastAsia"/>
          <w:highlight w:val="none"/>
        </w:rPr>
      </w:pPr>
    </w:p>
    <w:p w14:paraId="14098BB8">
      <w:pPr>
        <w:pStyle w:val="12"/>
        <w:spacing w:line="360" w:lineRule="auto"/>
        <w:ind w:left="480" w:firstLine="486"/>
        <w:rPr>
          <w:rFonts w:hint="eastAsia"/>
          <w:highlight w:val="none"/>
        </w:rPr>
      </w:pPr>
    </w:p>
    <w:p w14:paraId="4D41DFFE">
      <w:pPr>
        <w:pStyle w:val="12"/>
        <w:spacing w:line="360" w:lineRule="auto"/>
        <w:ind w:left="480" w:firstLine="486"/>
        <w:rPr>
          <w:rFonts w:hint="eastAsia"/>
          <w:highlight w:val="none"/>
        </w:rPr>
      </w:pPr>
    </w:p>
    <w:p w14:paraId="733AFE6B">
      <w:pPr>
        <w:pStyle w:val="12"/>
        <w:spacing w:line="360" w:lineRule="auto"/>
        <w:ind w:left="0" w:leftChars="0"/>
        <w:rPr>
          <w:rFonts w:hint="eastAsia"/>
          <w:highlight w:val="none"/>
        </w:rPr>
      </w:pPr>
    </w:p>
    <w:p w14:paraId="393F4555">
      <w:pPr>
        <w:pStyle w:val="5"/>
        <w:numPr>
          <w:ilvl w:val="0"/>
          <w:numId w:val="0"/>
        </w:numPr>
        <w:spacing w:line="360" w:lineRule="auto"/>
        <w:rPr>
          <w:rFonts w:hint="eastAsia"/>
          <w:highlight w:val="none"/>
        </w:rPr>
      </w:pPr>
      <w:bookmarkStart w:id="490" w:name="_Toc24699"/>
      <w:r>
        <w:rPr>
          <w:rFonts w:hint="eastAsia"/>
          <w:sz w:val="24"/>
          <w:highlight w:val="none"/>
        </w:rPr>
        <w:t xml:space="preserve"> </w:t>
      </w:r>
      <w:r>
        <w:rPr>
          <w:b w:val="0"/>
          <w:bCs w:val="0"/>
          <w:sz w:val="20"/>
          <w:szCs w:val="21"/>
          <w:highlight w:val="none"/>
        </w:rPr>
        <w:br w:type="page"/>
      </w:r>
      <w:bookmarkStart w:id="491" w:name="_Toc151026264"/>
      <w:r>
        <w:rPr>
          <w:rFonts w:hint="eastAsia"/>
          <w:highlight w:val="none"/>
        </w:rPr>
        <w:t>附件一：</w:t>
      </w:r>
      <w:bookmarkEnd w:id="491"/>
    </w:p>
    <w:p w14:paraId="4B53AE76">
      <w:pPr>
        <w:spacing w:line="360" w:lineRule="auto"/>
        <w:jc w:val="center"/>
        <w:rPr>
          <w:rFonts w:hint="eastAsia"/>
          <w:b/>
          <w:bCs/>
          <w:sz w:val="30"/>
          <w:szCs w:val="30"/>
          <w:highlight w:val="none"/>
        </w:rPr>
      </w:pPr>
      <w:r>
        <w:rPr>
          <w:rFonts w:hint="eastAsia"/>
          <w:b/>
          <w:bCs/>
          <w:sz w:val="30"/>
          <w:szCs w:val="30"/>
          <w:highlight w:val="none"/>
        </w:rPr>
        <w:t>法定代表人授权书</w:t>
      </w:r>
      <w:bookmarkEnd w:id="490"/>
    </w:p>
    <w:p w14:paraId="6458C3E0">
      <w:pPr>
        <w:spacing w:line="360" w:lineRule="auto"/>
        <w:rPr>
          <w:rFonts w:hint="eastAsia"/>
          <w:highlight w:val="none"/>
        </w:rPr>
      </w:pPr>
      <w:r>
        <w:rPr>
          <w:rFonts w:hint="eastAsia"/>
          <w:highlight w:val="none"/>
        </w:rPr>
        <w:t xml:space="preserve">绍兴市上虞区高新技术产业发展有限公司：  </w:t>
      </w:r>
    </w:p>
    <w:p w14:paraId="3C5F4E81">
      <w:pPr>
        <w:spacing w:line="360" w:lineRule="auto"/>
        <w:rPr>
          <w:rFonts w:hint="eastAsia"/>
          <w:highlight w:val="none"/>
        </w:rPr>
      </w:pPr>
      <w:r>
        <w:rPr>
          <w:rFonts w:hint="eastAsia"/>
          <w:highlight w:val="none"/>
        </w:rPr>
        <w:t>浙江江南工程管理股份有限公司：</w:t>
      </w:r>
    </w:p>
    <w:p w14:paraId="2F537472">
      <w:pPr>
        <w:spacing w:line="360" w:lineRule="auto"/>
        <w:ind w:firstLine="480" w:firstLineChars="200"/>
        <w:rPr>
          <w:rFonts w:hint="eastAsia"/>
          <w:highlight w:val="none"/>
        </w:rPr>
      </w:pPr>
      <w:r>
        <w:rPr>
          <w:rFonts w:hint="eastAsia"/>
          <w:highlight w:val="none"/>
          <w:u w:val="single"/>
        </w:rPr>
        <w:t xml:space="preserve">  （投标人全称） </w:t>
      </w:r>
      <w:r>
        <w:rPr>
          <w:rFonts w:hint="eastAsia"/>
          <w:highlight w:val="none"/>
        </w:rPr>
        <w:t>法定代表人</w:t>
      </w:r>
      <w:r>
        <w:rPr>
          <w:rFonts w:hint="eastAsia"/>
          <w:highlight w:val="none"/>
          <w:u w:val="single"/>
        </w:rPr>
        <w:t xml:space="preserve">         </w:t>
      </w:r>
      <w:r>
        <w:rPr>
          <w:rFonts w:hint="eastAsia"/>
          <w:highlight w:val="none"/>
        </w:rPr>
        <w:t>授权</w:t>
      </w:r>
      <w:r>
        <w:rPr>
          <w:rFonts w:hint="eastAsia"/>
          <w:highlight w:val="none"/>
          <w:u w:val="single"/>
        </w:rPr>
        <w:t>（授权代表名称）</w:t>
      </w:r>
      <w:r>
        <w:rPr>
          <w:rFonts w:hint="eastAsia"/>
          <w:highlight w:val="none"/>
        </w:rPr>
        <w:t>为授权代表，参加贵处组织的</w:t>
      </w:r>
      <w:r>
        <w:rPr>
          <w:rFonts w:hint="eastAsia"/>
          <w:highlight w:val="none"/>
          <w:u w:val="single"/>
        </w:rPr>
        <w:t xml:space="preserve">         </w:t>
      </w:r>
      <w:r>
        <w:rPr>
          <w:rFonts w:hint="eastAsia"/>
          <w:highlight w:val="none"/>
        </w:rPr>
        <w:t>项目</w:t>
      </w:r>
      <w:r>
        <w:rPr>
          <w:rFonts w:hint="eastAsia"/>
          <w:highlight w:val="none"/>
          <w:u w:val="single"/>
        </w:rPr>
        <w:t>（括号内填写招标编号）</w:t>
      </w:r>
      <w:r>
        <w:rPr>
          <w:rFonts w:hint="eastAsia"/>
          <w:highlight w:val="none"/>
        </w:rPr>
        <w:t>，授权处理招投标活动中的一切事宜。</w:t>
      </w:r>
    </w:p>
    <w:p w14:paraId="2FA6FB21">
      <w:pPr>
        <w:spacing w:line="360" w:lineRule="auto"/>
        <w:ind w:firstLine="480" w:firstLineChars="200"/>
        <w:rPr>
          <w:rFonts w:hint="eastAsia"/>
          <w:highlight w:val="none"/>
        </w:rPr>
      </w:pPr>
    </w:p>
    <w:p w14:paraId="33FCDFEE">
      <w:pPr>
        <w:spacing w:line="360" w:lineRule="auto"/>
        <w:ind w:firstLine="480" w:firstLineChars="200"/>
        <w:rPr>
          <w:rFonts w:hint="eastAsia"/>
          <w:highlight w:val="none"/>
        </w:rPr>
      </w:pPr>
      <w:r>
        <w:rPr>
          <w:rFonts w:hint="eastAsia"/>
          <w:highlight w:val="none"/>
        </w:rPr>
        <w:t>法定代表人签字：</w:t>
      </w:r>
    </w:p>
    <w:p w14:paraId="0727771F">
      <w:pPr>
        <w:spacing w:line="360" w:lineRule="auto"/>
        <w:ind w:firstLine="480" w:firstLineChars="200"/>
        <w:rPr>
          <w:rFonts w:hint="eastAsia"/>
          <w:highlight w:val="none"/>
        </w:rPr>
      </w:pPr>
      <w:r>
        <w:rPr>
          <w:rFonts w:hint="eastAsia"/>
          <w:highlight w:val="none"/>
        </w:rPr>
        <w:t>投标人全称：（盖章）</w:t>
      </w:r>
    </w:p>
    <w:p w14:paraId="10118295">
      <w:pPr>
        <w:spacing w:line="360" w:lineRule="auto"/>
        <w:ind w:firstLine="480" w:firstLineChars="200"/>
        <w:rPr>
          <w:rFonts w:hint="eastAsia"/>
          <w:highlight w:val="none"/>
        </w:rPr>
      </w:pPr>
      <w:r>
        <w:rPr>
          <w:rFonts w:hint="eastAsia"/>
          <w:highlight w:val="none"/>
        </w:rPr>
        <w:t>日期：</w:t>
      </w:r>
    </w:p>
    <w:p w14:paraId="0ACB48F4">
      <w:pPr>
        <w:spacing w:line="360" w:lineRule="auto"/>
        <w:ind w:firstLine="480" w:firstLineChars="200"/>
        <w:rPr>
          <w:rFonts w:hint="eastAsia"/>
          <w:highlight w:val="none"/>
        </w:rPr>
      </w:pPr>
      <w:r>
        <w:rPr>
          <w:rFonts w:hint="eastAsia"/>
          <w:highlight w:val="none"/>
        </w:rPr>
        <w:t>附：</w:t>
      </w:r>
    </w:p>
    <w:p w14:paraId="33BA5C4F">
      <w:pPr>
        <w:spacing w:line="360" w:lineRule="auto"/>
        <w:ind w:firstLine="480" w:firstLineChars="200"/>
        <w:rPr>
          <w:rFonts w:hint="eastAsia"/>
          <w:highlight w:val="none"/>
        </w:rPr>
      </w:pPr>
      <w:r>
        <w:rPr>
          <w:rFonts w:hint="eastAsia"/>
          <w:highlight w:val="none"/>
        </w:rPr>
        <w:t>授权代表姓名：</w:t>
      </w:r>
    </w:p>
    <w:p w14:paraId="0F7407DC">
      <w:pPr>
        <w:spacing w:line="360" w:lineRule="auto"/>
        <w:ind w:firstLine="480" w:firstLineChars="200"/>
        <w:rPr>
          <w:rFonts w:hint="eastAsia"/>
          <w:highlight w:val="none"/>
        </w:rPr>
      </w:pPr>
      <w:r>
        <w:rPr>
          <w:rFonts w:hint="eastAsia"/>
          <w:highlight w:val="none"/>
        </w:rPr>
        <w:t>职务：</w:t>
      </w:r>
    </w:p>
    <w:p w14:paraId="715E4F7F">
      <w:pPr>
        <w:spacing w:line="360" w:lineRule="auto"/>
        <w:ind w:firstLine="480" w:firstLineChars="200"/>
        <w:rPr>
          <w:rFonts w:hint="eastAsia"/>
          <w:highlight w:val="none"/>
        </w:rPr>
      </w:pPr>
      <w:r>
        <w:rPr>
          <w:rFonts w:hint="eastAsia"/>
          <w:highlight w:val="none"/>
        </w:rPr>
        <w:t>详细通讯地址：</w:t>
      </w:r>
    </w:p>
    <w:p w14:paraId="4A1CAD67">
      <w:pPr>
        <w:spacing w:line="360" w:lineRule="auto"/>
        <w:ind w:firstLine="480" w:firstLineChars="200"/>
        <w:rPr>
          <w:rFonts w:hint="eastAsia"/>
          <w:highlight w:val="none"/>
        </w:rPr>
      </w:pPr>
      <w:r>
        <w:rPr>
          <w:rFonts w:hint="eastAsia"/>
          <w:highlight w:val="none"/>
        </w:rPr>
        <w:t>传真：</w:t>
      </w:r>
    </w:p>
    <w:p w14:paraId="49352268">
      <w:pPr>
        <w:spacing w:line="360" w:lineRule="auto"/>
        <w:ind w:firstLine="480" w:firstLineChars="200"/>
        <w:rPr>
          <w:rFonts w:hint="eastAsia"/>
          <w:highlight w:val="none"/>
        </w:rPr>
      </w:pPr>
      <w:r>
        <w:rPr>
          <w:rFonts w:hint="eastAsia"/>
          <w:highlight w:val="none"/>
        </w:rPr>
        <w:t>电话：</w:t>
      </w:r>
    </w:p>
    <w:p w14:paraId="1675CF65">
      <w:pPr>
        <w:spacing w:line="360" w:lineRule="auto"/>
        <w:ind w:firstLine="480" w:firstLineChars="200"/>
        <w:rPr>
          <w:rFonts w:hint="eastAsia"/>
          <w:highlight w:val="none"/>
        </w:rPr>
      </w:pPr>
      <w:r>
        <w:rPr>
          <w:rFonts w:hint="eastAsia"/>
          <w:highlight w:val="none"/>
        </w:rPr>
        <w:t>邮政编码：</w:t>
      </w:r>
    </w:p>
    <w:p w14:paraId="40A2007A">
      <w:pPr>
        <w:pStyle w:val="16"/>
        <w:snapToGrid w:val="0"/>
        <w:spacing w:line="360" w:lineRule="auto"/>
        <w:rPr>
          <w:rFonts w:hint="eastAsia" w:hAnsi="宋体" w:cs="宋体"/>
          <w:highlight w:val="none"/>
        </w:rPr>
      </w:pPr>
    </w:p>
    <w:p w14:paraId="21F9174C">
      <w:pPr>
        <w:pStyle w:val="16"/>
        <w:snapToGrid w:val="0"/>
        <w:spacing w:line="360" w:lineRule="auto"/>
        <w:rPr>
          <w:rFonts w:hint="eastAsia" w:hAnsi="宋体" w:cs="宋体"/>
          <w:highlight w:val="none"/>
        </w:rPr>
      </w:pPr>
    </w:p>
    <w:p w14:paraId="6BFF8351">
      <w:pPr>
        <w:pStyle w:val="16"/>
        <w:snapToGrid w:val="0"/>
        <w:spacing w:line="360" w:lineRule="auto"/>
        <w:rPr>
          <w:rFonts w:hint="eastAsia" w:hAnsi="宋体" w:cs="宋体"/>
          <w:highlight w:val="none"/>
        </w:rPr>
      </w:pPr>
    </w:p>
    <w:p w14:paraId="445DA9EB">
      <w:pPr>
        <w:spacing w:line="360" w:lineRule="auto"/>
        <w:rPr>
          <w:rFonts w:hint="eastAsia"/>
          <w:highlight w:val="none"/>
        </w:rPr>
      </w:pPr>
      <w:r>
        <w:rPr>
          <w:rFonts w:hint="eastAsia"/>
          <w:b/>
          <w:highlight w:val="none"/>
        </w:rPr>
        <w:t>附：授权代表身份证复印件（正反面）</w:t>
      </w:r>
    </w:p>
    <w:p w14:paraId="584C8100">
      <w:pPr>
        <w:spacing w:line="360" w:lineRule="auto"/>
        <w:rPr>
          <w:rFonts w:hint="eastAsia"/>
          <w:b/>
          <w:highlight w:val="none"/>
        </w:rPr>
      </w:pPr>
      <w:r>
        <w:rPr>
          <w:rFonts w:hint="eastAsia"/>
          <w:b/>
          <w:highlight w:val="none"/>
        </w:rPr>
        <w:t>注：若为联合体投标的，提供联合体牵头人法定代表人授权书。</w:t>
      </w:r>
    </w:p>
    <w:p w14:paraId="09FDB4AB">
      <w:pPr>
        <w:spacing w:line="360" w:lineRule="auto"/>
        <w:ind w:firstLine="480" w:firstLineChars="200"/>
        <w:rPr>
          <w:rFonts w:hint="eastAsia"/>
          <w:highlight w:val="none"/>
        </w:rPr>
      </w:pPr>
    </w:p>
    <w:p w14:paraId="6508CB87">
      <w:pPr>
        <w:spacing w:line="360" w:lineRule="auto"/>
        <w:ind w:firstLine="480" w:firstLineChars="200"/>
        <w:rPr>
          <w:rFonts w:hint="eastAsia"/>
          <w:highlight w:val="none"/>
        </w:rPr>
      </w:pPr>
    </w:p>
    <w:p w14:paraId="1D74D7DB">
      <w:pPr>
        <w:spacing w:line="360" w:lineRule="auto"/>
        <w:ind w:firstLine="480" w:firstLineChars="200"/>
        <w:rPr>
          <w:rFonts w:hint="eastAsia"/>
          <w:highlight w:val="none"/>
        </w:rPr>
      </w:pPr>
    </w:p>
    <w:p w14:paraId="2689AFEC">
      <w:pPr>
        <w:spacing w:line="360" w:lineRule="auto"/>
        <w:rPr>
          <w:rFonts w:hint="eastAsia"/>
          <w:highlight w:val="none"/>
        </w:rPr>
      </w:pPr>
    </w:p>
    <w:p w14:paraId="0B2EAF87">
      <w:pPr>
        <w:snapToGrid w:val="0"/>
        <w:spacing w:before="50" w:after="120" w:afterLines="50"/>
        <w:ind w:firstLine="480" w:firstLineChars="200"/>
        <w:rPr>
          <w:rFonts w:hint="eastAsia"/>
          <w:b/>
          <w:bCs/>
          <w:highlight w:val="none"/>
          <w:lang w:val="zh-CN"/>
        </w:rPr>
      </w:pPr>
      <w:r>
        <w:rPr>
          <w:highlight w:val="none"/>
        </w:rPr>
        <w:br w:type="page"/>
      </w:r>
      <w:r>
        <w:rPr>
          <w:rFonts w:hint="eastAsia"/>
          <w:b/>
          <w:bCs/>
          <w:highlight w:val="none"/>
          <w:lang w:val="zh-CN"/>
        </w:rPr>
        <w:t>附件二：</w:t>
      </w:r>
    </w:p>
    <w:p w14:paraId="191089C3">
      <w:pPr>
        <w:spacing w:line="360" w:lineRule="auto"/>
        <w:ind w:firstLine="643" w:firstLineChars="200"/>
        <w:jc w:val="center"/>
        <w:rPr>
          <w:rFonts w:hint="eastAsia"/>
          <w:b/>
          <w:bCs/>
          <w:sz w:val="32"/>
          <w:szCs w:val="32"/>
          <w:highlight w:val="none"/>
        </w:rPr>
      </w:pPr>
      <w:r>
        <w:rPr>
          <w:rFonts w:hint="eastAsia"/>
          <w:b/>
          <w:bCs/>
          <w:sz w:val="32"/>
          <w:szCs w:val="32"/>
          <w:highlight w:val="none"/>
        </w:rPr>
        <w:t>投</w:t>
      </w:r>
      <w:r>
        <w:rPr>
          <w:b/>
          <w:bCs/>
          <w:sz w:val="32"/>
          <w:szCs w:val="32"/>
          <w:highlight w:val="none"/>
        </w:rPr>
        <w:t xml:space="preserve"> </w:t>
      </w:r>
      <w:r>
        <w:rPr>
          <w:rFonts w:hint="eastAsia"/>
          <w:b/>
          <w:bCs/>
          <w:sz w:val="32"/>
          <w:szCs w:val="32"/>
          <w:highlight w:val="none"/>
        </w:rPr>
        <w:t>标</w:t>
      </w:r>
      <w:r>
        <w:rPr>
          <w:b/>
          <w:bCs/>
          <w:sz w:val="32"/>
          <w:szCs w:val="32"/>
          <w:highlight w:val="none"/>
        </w:rPr>
        <w:t xml:space="preserve"> </w:t>
      </w:r>
      <w:r>
        <w:rPr>
          <w:rFonts w:hint="eastAsia"/>
          <w:b/>
          <w:bCs/>
          <w:sz w:val="32"/>
          <w:szCs w:val="32"/>
          <w:highlight w:val="none"/>
        </w:rPr>
        <w:t>人</w:t>
      </w:r>
      <w:r>
        <w:rPr>
          <w:b/>
          <w:bCs/>
          <w:sz w:val="32"/>
          <w:szCs w:val="32"/>
          <w:highlight w:val="none"/>
        </w:rPr>
        <w:t xml:space="preserve"> </w:t>
      </w:r>
      <w:r>
        <w:rPr>
          <w:rFonts w:hint="eastAsia"/>
          <w:b/>
          <w:bCs/>
          <w:sz w:val="32"/>
          <w:szCs w:val="32"/>
          <w:highlight w:val="none"/>
        </w:rPr>
        <w:t>承</w:t>
      </w:r>
      <w:r>
        <w:rPr>
          <w:b/>
          <w:bCs/>
          <w:sz w:val="32"/>
          <w:szCs w:val="32"/>
          <w:highlight w:val="none"/>
        </w:rPr>
        <w:t xml:space="preserve"> </w:t>
      </w:r>
      <w:r>
        <w:rPr>
          <w:rFonts w:hint="eastAsia"/>
          <w:b/>
          <w:bCs/>
          <w:sz w:val="32"/>
          <w:szCs w:val="32"/>
          <w:highlight w:val="none"/>
        </w:rPr>
        <w:t>诺</w:t>
      </w:r>
      <w:r>
        <w:rPr>
          <w:b/>
          <w:bCs/>
          <w:sz w:val="32"/>
          <w:szCs w:val="32"/>
          <w:highlight w:val="none"/>
        </w:rPr>
        <w:t xml:space="preserve"> </w:t>
      </w:r>
      <w:r>
        <w:rPr>
          <w:rFonts w:hint="eastAsia"/>
          <w:b/>
          <w:bCs/>
          <w:sz w:val="32"/>
          <w:szCs w:val="32"/>
          <w:highlight w:val="none"/>
        </w:rPr>
        <w:t>函</w:t>
      </w:r>
    </w:p>
    <w:p w14:paraId="2A81CEC4">
      <w:pPr>
        <w:spacing w:line="360" w:lineRule="auto"/>
        <w:rPr>
          <w:rFonts w:hint="eastAsia"/>
          <w:highlight w:val="none"/>
        </w:rPr>
      </w:pPr>
      <w:r>
        <w:rPr>
          <w:rFonts w:hint="eastAsia"/>
          <w:highlight w:val="none"/>
        </w:rPr>
        <w:t xml:space="preserve">绍兴市上虞区高新技术产业发展有限公司：  </w:t>
      </w:r>
    </w:p>
    <w:p w14:paraId="50E5EF46">
      <w:pPr>
        <w:spacing w:line="360" w:lineRule="auto"/>
        <w:rPr>
          <w:rFonts w:hint="eastAsia"/>
          <w:highlight w:val="none"/>
        </w:rPr>
      </w:pPr>
      <w:r>
        <w:rPr>
          <w:rFonts w:hint="eastAsia"/>
          <w:highlight w:val="none"/>
        </w:rPr>
        <w:t>浙江江南工程管理股份有限公司：</w:t>
      </w:r>
    </w:p>
    <w:p w14:paraId="20192181">
      <w:pPr>
        <w:spacing w:line="360" w:lineRule="auto"/>
        <w:ind w:firstLine="480" w:firstLineChars="200"/>
        <w:rPr>
          <w:rFonts w:hint="eastAsia"/>
          <w:highlight w:val="none"/>
        </w:rPr>
      </w:pPr>
      <w:r>
        <w:rPr>
          <w:rFonts w:hint="eastAsia"/>
          <w:highlight w:val="none"/>
          <w:u w:val="single"/>
        </w:rPr>
        <w:t>（投标人名称）</w:t>
      </w:r>
      <w:r>
        <w:rPr>
          <w:rFonts w:hint="eastAsia"/>
          <w:highlight w:val="none"/>
        </w:rPr>
        <w:t>系中华人民共和国合法企业，经营地址</w:t>
      </w:r>
      <w:r>
        <w:rPr>
          <w:rFonts w:hint="eastAsia"/>
          <w:highlight w:val="none"/>
          <w:u w:val="single"/>
        </w:rPr>
        <w:t xml:space="preserve">       </w:t>
      </w:r>
      <w:r>
        <w:rPr>
          <w:rFonts w:hint="eastAsia"/>
          <w:highlight w:val="none"/>
        </w:rPr>
        <w:t>。</w:t>
      </w:r>
    </w:p>
    <w:p w14:paraId="7F2719DE">
      <w:pPr>
        <w:spacing w:line="360" w:lineRule="auto"/>
        <w:ind w:firstLine="480" w:firstLineChars="200"/>
        <w:rPr>
          <w:rFonts w:hint="eastAsia"/>
          <w:highlight w:val="none"/>
        </w:rPr>
      </w:pPr>
      <w:r>
        <w:rPr>
          <w:rFonts w:hint="eastAsia"/>
          <w:highlight w:val="none"/>
        </w:rPr>
        <w:t>我</w:t>
      </w:r>
      <w:r>
        <w:rPr>
          <w:rFonts w:hint="eastAsia"/>
          <w:highlight w:val="none"/>
          <w:u w:val="single"/>
        </w:rPr>
        <w:t>（姓名）</w:t>
      </w:r>
      <w:r>
        <w:rPr>
          <w:rFonts w:hint="eastAsia"/>
          <w:highlight w:val="none"/>
        </w:rPr>
        <w:t>系</w:t>
      </w:r>
      <w:r>
        <w:rPr>
          <w:rFonts w:hint="eastAsia"/>
          <w:highlight w:val="none"/>
          <w:u w:val="single"/>
        </w:rPr>
        <w:t>（投标人名称）</w:t>
      </w:r>
      <w:r>
        <w:rPr>
          <w:rFonts w:hint="eastAsia"/>
          <w:highlight w:val="none"/>
        </w:rPr>
        <w:t>的法定代表人，我方愿意参加贵方组织的</w:t>
      </w:r>
      <w:r>
        <w:rPr>
          <w:rFonts w:hint="eastAsia"/>
          <w:highlight w:val="none"/>
          <w:u w:val="single"/>
        </w:rPr>
        <w:t>（招标项目名称）（编号为）</w:t>
      </w:r>
      <w:r>
        <w:rPr>
          <w:rFonts w:hint="eastAsia"/>
          <w:highlight w:val="none"/>
        </w:rPr>
        <w:t>的投标，为此，我方就本次投标有关事项郑重承诺如下：</w:t>
      </w:r>
    </w:p>
    <w:p w14:paraId="1A1848D8">
      <w:pPr>
        <w:spacing w:line="360" w:lineRule="auto"/>
        <w:ind w:firstLine="480" w:firstLineChars="200"/>
        <w:rPr>
          <w:rFonts w:hint="eastAsia"/>
          <w:highlight w:val="none"/>
        </w:rPr>
      </w:pPr>
      <w:r>
        <w:rPr>
          <w:highlight w:val="none"/>
        </w:rPr>
        <w:t>1</w:t>
      </w:r>
      <w:r>
        <w:rPr>
          <w:rFonts w:hint="eastAsia"/>
          <w:highlight w:val="none"/>
        </w:rPr>
        <w:t>、我方已详细审查全部招标文件，同意招标文件的各项要求。</w:t>
      </w:r>
    </w:p>
    <w:p w14:paraId="30AF4F3A">
      <w:pPr>
        <w:spacing w:line="360" w:lineRule="auto"/>
        <w:ind w:firstLine="480" w:firstLineChars="200"/>
        <w:rPr>
          <w:rFonts w:hint="eastAsia"/>
          <w:highlight w:val="none"/>
        </w:rPr>
      </w:pPr>
      <w:r>
        <w:rPr>
          <w:highlight w:val="none"/>
        </w:rPr>
        <w:t>2</w:t>
      </w:r>
      <w:r>
        <w:rPr>
          <w:rFonts w:hint="eastAsia"/>
          <w:highlight w:val="none"/>
        </w:rPr>
        <w:t>、我方向贵方提交的所有投标文件、资料都是准确的和真实的。</w:t>
      </w:r>
    </w:p>
    <w:p w14:paraId="507F25DB">
      <w:pPr>
        <w:spacing w:line="360" w:lineRule="auto"/>
        <w:ind w:firstLine="480" w:firstLineChars="200"/>
        <w:rPr>
          <w:rFonts w:hint="eastAsia"/>
          <w:highlight w:val="none"/>
        </w:rPr>
      </w:pPr>
      <w:r>
        <w:rPr>
          <w:highlight w:val="none"/>
        </w:rPr>
        <w:t>3</w:t>
      </w:r>
      <w:r>
        <w:rPr>
          <w:rFonts w:hint="eastAsia"/>
          <w:highlight w:val="none"/>
        </w:rPr>
        <w:t>、若中标，我方将按招标文件规定履行合同责任和义务。</w:t>
      </w:r>
    </w:p>
    <w:p w14:paraId="38DC2ED5">
      <w:pPr>
        <w:spacing w:line="360" w:lineRule="auto"/>
        <w:ind w:firstLine="480" w:firstLineChars="200"/>
        <w:rPr>
          <w:rFonts w:hint="eastAsia"/>
          <w:highlight w:val="none"/>
        </w:rPr>
      </w:pPr>
      <w:r>
        <w:rPr>
          <w:highlight w:val="none"/>
        </w:rPr>
        <w:t>4</w:t>
      </w:r>
      <w:r>
        <w:rPr>
          <w:rFonts w:hint="eastAsia"/>
          <w:highlight w:val="none"/>
        </w:rPr>
        <w:t>、我方不是采购人的附属机构；在获知本项目采购信息后，与采购人聘请的为此项目提供咨询服务的公司及其附属机构没有任何联系。</w:t>
      </w:r>
    </w:p>
    <w:p w14:paraId="71FD66E9">
      <w:pPr>
        <w:spacing w:line="360" w:lineRule="auto"/>
        <w:ind w:firstLine="480" w:firstLineChars="200"/>
        <w:rPr>
          <w:rFonts w:hint="eastAsia"/>
          <w:highlight w:val="none"/>
        </w:rPr>
      </w:pPr>
      <w:r>
        <w:rPr>
          <w:highlight w:val="none"/>
        </w:rPr>
        <w:t>5</w:t>
      </w:r>
      <w:r>
        <w:rPr>
          <w:rFonts w:hint="eastAsia"/>
          <w:highlight w:val="none"/>
        </w:rPr>
        <w:t>、投标文件自开标日起有效期为</w:t>
      </w:r>
      <w:r>
        <w:rPr>
          <w:highlight w:val="none"/>
        </w:rPr>
        <w:t>90</w:t>
      </w:r>
      <w:r>
        <w:rPr>
          <w:rFonts w:hint="eastAsia"/>
          <w:highlight w:val="none"/>
        </w:rPr>
        <w:t>天。</w:t>
      </w:r>
    </w:p>
    <w:p w14:paraId="2161E811">
      <w:pPr>
        <w:spacing w:line="360" w:lineRule="auto"/>
        <w:ind w:firstLine="480" w:firstLineChars="200"/>
        <w:rPr>
          <w:rFonts w:hint="eastAsia"/>
          <w:highlight w:val="none"/>
        </w:rPr>
      </w:pPr>
      <w:r>
        <w:rPr>
          <w:highlight w:val="none"/>
        </w:rPr>
        <w:t>6</w:t>
      </w:r>
      <w:r>
        <w:rPr>
          <w:rFonts w:hint="eastAsia"/>
          <w:highlight w:val="none"/>
        </w:rPr>
        <w:t>、我方参与本项目前</w:t>
      </w:r>
      <w:r>
        <w:rPr>
          <w:highlight w:val="none"/>
        </w:rPr>
        <w:t>3</w:t>
      </w:r>
      <w:r>
        <w:rPr>
          <w:rFonts w:hint="eastAsia"/>
          <w:highlight w:val="none"/>
        </w:rPr>
        <w:t>年内的经营活动中没有重大违法记录；</w:t>
      </w:r>
    </w:p>
    <w:p w14:paraId="44108B8C">
      <w:pPr>
        <w:spacing w:line="360" w:lineRule="auto"/>
        <w:ind w:firstLine="480" w:firstLineChars="200"/>
        <w:rPr>
          <w:rFonts w:hint="eastAsia"/>
          <w:highlight w:val="none"/>
        </w:rPr>
      </w:pPr>
      <w:r>
        <w:rPr>
          <w:highlight w:val="none"/>
        </w:rPr>
        <w:t>7</w:t>
      </w:r>
      <w:r>
        <w:rPr>
          <w:rFonts w:hint="eastAsia"/>
          <w:highlight w:val="none"/>
        </w:rPr>
        <w:t>、我方通过“信用中国”网站（</w:t>
      </w:r>
      <w:r>
        <w:rPr>
          <w:highlight w:val="none"/>
        </w:rPr>
        <w:t>www.creditchina.gov.cn</w:t>
      </w:r>
      <w:r>
        <w:rPr>
          <w:rFonts w:hint="eastAsia"/>
          <w:highlight w:val="none"/>
        </w:rPr>
        <w:t>）、中国政府采购网（</w:t>
      </w:r>
      <w:r>
        <w:rPr>
          <w:highlight w:val="none"/>
        </w:rPr>
        <w:t>www.ccgp.gov.cn</w:t>
      </w:r>
      <w:r>
        <w:rPr>
          <w:rFonts w:hint="eastAsia"/>
          <w:highlight w:val="none"/>
        </w:rPr>
        <w:t>）查询，未被列入失信被执行人、重大税收违法案件当事人名单、政府采购严重违法失信行为记录名单。</w:t>
      </w:r>
    </w:p>
    <w:p w14:paraId="49C65C9D">
      <w:pPr>
        <w:pStyle w:val="69"/>
        <w:spacing w:before="0"/>
        <w:ind w:firstLine="480"/>
        <w:rPr>
          <w:rFonts w:hint="eastAsia" w:ascii="宋体"/>
          <w:szCs w:val="24"/>
          <w:highlight w:val="none"/>
        </w:rPr>
      </w:pPr>
      <w:r>
        <w:rPr>
          <w:rFonts w:ascii="宋体" w:hAnsi="宋体"/>
          <w:highlight w:val="none"/>
        </w:rPr>
        <w:t>8</w:t>
      </w:r>
      <w:r>
        <w:rPr>
          <w:rFonts w:hint="eastAsia" w:ascii="宋体" w:hAnsi="宋体"/>
          <w:highlight w:val="none"/>
        </w:rPr>
        <w:t>、</w:t>
      </w:r>
      <w:r>
        <w:rPr>
          <w:rFonts w:hint="eastAsia" w:ascii="宋体" w:hAnsi="宋体"/>
          <w:szCs w:val="24"/>
          <w:highlight w:val="none"/>
        </w:rPr>
        <w:t>具有良好的商业信誉和健全的财务会计制度；</w:t>
      </w:r>
    </w:p>
    <w:p w14:paraId="59DBDC4F">
      <w:pPr>
        <w:spacing w:line="360" w:lineRule="auto"/>
        <w:ind w:firstLine="480" w:firstLineChars="200"/>
        <w:rPr>
          <w:rFonts w:hint="eastAsia"/>
          <w:highlight w:val="none"/>
        </w:rPr>
      </w:pPr>
      <w:r>
        <w:rPr>
          <w:highlight w:val="none"/>
        </w:rPr>
        <w:t>9</w:t>
      </w:r>
      <w:r>
        <w:rPr>
          <w:rFonts w:hint="eastAsia"/>
          <w:highlight w:val="none"/>
        </w:rPr>
        <w:t>、具有依法缴纳税收和社会保障资金的良好记录；</w:t>
      </w:r>
    </w:p>
    <w:p w14:paraId="629FA467">
      <w:pPr>
        <w:spacing w:line="360" w:lineRule="auto"/>
        <w:ind w:firstLine="480" w:firstLineChars="200"/>
        <w:rPr>
          <w:rFonts w:hint="eastAsia"/>
          <w:highlight w:val="none"/>
        </w:rPr>
      </w:pPr>
      <w:r>
        <w:rPr>
          <w:highlight w:val="none"/>
        </w:rPr>
        <w:t>10</w:t>
      </w:r>
      <w:r>
        <w:rPr>
          <w:rFonts w:hint="eastAsia"/>
          <w:highlight w:val="none"/>
        </w:rPr>
        <w:t>、以上事项如有虚假或隐瞒，我方愿意承担一切后果，并不再寻求任何旨在减轻或免除法律责任的辩解。</w:t>
      </w:r>
    </w:p>
    <w:p w14:paraId="2172FE3A">
      <w:pPr>
        <w:spacing w:line="360" w:lineRule="auto"/>
        <w:ind w:left="4320" w:leftChars="1800" w:firstLine="480" w:firstLineChars="200"/>
        <w:rPr>
          <w:rFonts w:hint="eastAsia"/>
          <w:highlight w:val="none"/>
        </w:rPr>
      </w:pPr>
      <w:r>
        <w:rPr>
          <w:rFonts w:hint="eastAsia"/>
          <w:highlight w:val="none"/>
        </w:rPr>
        <w:t>法定代表人签名（或签名章）：</w:t>
      </w:r>
      <w:r>
        <w:rPr>
          <w:highlight w:val="none"/>
        </w:rPr>
        <w:t xml:space="preserve">                       </w:t>
      </w:r>
    </w:p>
    <w:p w14:paraId="538FC5BF">
      <w:pPr>
        <w:spacing w:line="360" w:lineRule="auto"/>
        <w:ind w:left="4320" w:leftChars="1800" w:firstLine="480" w:firstLineChars="200"/>
        <w:rPr>
          <w:rFonts w:hint="eastAsia"/>
          <w:highlight w:val="none"/>
        </w:rPr>
      </w:pPr>
      <w:r>
        <w:rPr>
          <w:rFonts w:hint="eastAsia"/>
          <w:highlight w:val="none"/>
        </w:rPr>
        <w:t>日</w:t>
      </w:r>
      <w:r>
        <w:rPr>
          <w:highlight w:val="none"/>
        </w:rPr>
        <w:t xml:space="preserve"> </w:t>
      </w:r>
      <w:r>
        <w:rPr>
          <w:rFonts w:hint="eastAsia"/>
          <w:highlight w:val="none"/>
        </w:rPr>
        <w:t>期：</w:t>
      </w:r>
    </w:p>
    <w:p w14:paraId="4DA1FF96">
      <w:pPr>
        <w:spacing w:line="360" w:lineRule="auto"/>
        <w:ind w:left="4320" w:leftChars="1800" w:firstLine="480" w:firstLineChars="200"/>
        <w:rPr>
          <w:rFonts w:hint="eastAsia"/>
          <w:highlight w:val="none"/>
        </w:rPr>
      </w:pPr>
      <w:r>
        <w:rPr>
          <w:rFonts w:hint="eastAsia"/>
          <w:highlight w:val="none"/>
        </w:rPr>
        <w:t>投标人（或联合体牵头人）全称（公章）：</w:t>
      </w:r>
    </w:p>
    <w:p w14:paraId="5AD6F71B">
      <w:pPr>
        <w:spacing w:line="360" w:lineRule="auto"/>
        <w:ind w:left="4320" w:leftChars="1800" w:firstLine="480" w:firstLineChars="200"/>
        <w:rPr>
          <w:rFonts w:hint="eastAsia"/>
          <w:highlight w:val="none"/>
        </w:rPr>
      </w:pPr>
    </w:p>
    <w:p w14:paraId="03D2A9F1">
      <w:pPr>
        <w:pStyle w:val="3"/>
        <w:rPr>
          <w:rFonts w:hint="eastAsia"/>
          <w:highlight w:val="none"/>
        </w:rPr>
      </w:pPr>
    </w:p>
    <w:p w14:paraId="43CE41F1">
      <w:pPr>
        <w:pStyle w:val="4"/>
        <w:rPr>
          <w:rFonts w:hint="eastAsia"/>
          <w:highlight w:val="none"/>
        </w:rPr>
      </w:pPr>
    </w:p>
    <w:p w14:paraId="5AC487A7">
      <w:pPr>
        <w:pStyle w:val="4"/>
        <w:rPr>
          <w:rFonts w:hint="eastAsia"/>
          <w:highlight w:val="none"/>
        </w:rPr>
      </w:pPr>
    </w:p>
    <w:p w14:paraId="4094E7FC">
      <w:pPr>
        <w:pStyle w:val="4"/>
        <w:rPr>
          <w:rFonts w:hint="eastAsia"/>
          <w:highlight w:val="none"/>
        </w:rPr>
      </w:pPr>
    </w:p>
    <w:p w14:paraId="2B9491FA">
      <w:pPr>
        <w:pStyle w:val="4"/>
        <w:rPr>
          <w:rFonts w:hint="eastAsia"/>
          <w:highlight w:val="none"/>
        </w:rPr>
      </w:pPr>
    </w:p>
    <w:p w14:paraId="7DB0FF14">
      <w:pPr>
        <w:pStyle w:val="4"/>
        <w:rPr>
          <w:rFonts w:hint="eastAsia"/>
          <w:highlight w:val="none"/>
        </w:rPr>
      </w:pPr>
    </w:p>
    <w:p w14:paraId="0A36AB9D">
      <w:pPr>
        <w:pStyle w:val="3"/>
        <w:spacing w:line="360" w:lineRule="exact"/>
        <w:rPr>
          <w:rFonts w:hint="eastAsia"/>
          <w:bCs/>
          <w:sz w:val="24"/>
          <w:highlight w:val="none"/>
          <w:lang w:val="zh-CN"/>
        </w:rPr>
      </w:pPr>
      <w:bookmarkStart w:id="492" w:name="_Toc151026265"/>
      <w:r>
        <w:rPr>
          <w:rFonts w:hint="eastAsia"/>
          <w:bCs/>
          <w:sz w:val="24"/>
          <w:highlight w:val="none"/>
          <w:lang w:val="zh-CN"/>
        </w:rPr>
        <w:t>附件三：</w:t>
      </w:r>
      <w:bookmarkEnd w:id="492"/>
    </w:p>
    <w:p w14:paraId="6E62578F">
      <w:pPr>
        <w:pStyle w:val="3"/>
        <w:spacing w:line="360" w:lineRule="exact"/>
        <w:jc w:val="center"/>
        <w:rPr>
          <w:rFonts w:hint="eastAsia"/>
          <w:szCs w:val="21"/>
          <w:highlight w:val="none"/>
        </w:rPr>
      </w:pPr>
      <w:bookmarkStart w:id="493" w:name="_Toc151026266"/>
      <w:r>
        <w:rPr>
          <w:rFonts w:hint="eastAsia"/>
          <w:bCs/>
          <w:sz w:val="30"/>
          <w:szCs w:val="30"/>
          <w:highlight w:val="none"/>
        </w:rPr>
        <w:t>联合体协议书（如为联合体投标）</w:t>
      </w:r>
      <w:bookmarkEnd w:id="493"/>
    </w:p>
    <w:p w14:paraId="4DC60BA0">
      <w:pPr>
        <w:pStyle w:val="4"/>
        <w:jc w:val="center"/>
        <w:rPr>
          <w:rFonts w:hint="eastAsia"/>
          <w:szCs w:val="21"/>
          <w:highlight w:val="none"/>
        </w:rPr>
      </w:pPr>
    </w:p>
    <w:p w14:paraId="41B8CA93">
      <w:pPr>
        <w:topLinePunct/>
        <w:spacing w:line="360" w:lineRule="exact"/>
        <w:ind w:firstLine="480" w:firstLineChars="200"/>
        <w:rPr>
          <w:rFonts w:hint="eastAsia"/>
          <w:szCs w:val="21"/>
          <w:highlight w:val="none"/>
        </w:rPr>
      </w:pPr>
      <w:r>
        <w:rPr>
          <w:szCs w:val="21"/>
          <w:highlight w:val="none"/>
          <w:u w:val="single"/>
        </w:rPr>
        <w:t xml:space="preserve">          </w:t>
      </w:r>
      <w:r>
        <w:rPr>
          <w:szCs w:val="21"/>
          <w:highlight w:val="none"/>
        </w:rPr>
        <w:t>（所有成员单位名称）自愿组成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（联合体名称）</w:t>
      </w:r>
      <w:r>
        <w:rPr>
          <w:rFonts w:hint="eastAsia"/>
          <w:szCs w:val="21"/>
          <w:highlight w:val="none"/>
        </w:rPr>
        <w:t>联合体</w:t>
      </w:r>
      <w:r>
        <w:rPr>
          <w:szCs w:val="21"/>
          <w:highlight w:val="none"/>
        </w:rPr>
        <w:t>，共同参加</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（项目名称）投标。现就联合体投标事宜订立如下协议。</w:t>
      </w:r>
    </w:p>
    <w:p w14:paraId="69402DE2">
      <w:pPr>
        <w:topLinePunct/>
        <w:spacing w:line="360" w:lineRule="exact"/>
        <w:ind w:firstLine="480" w:firstLineChars="200"/>
        <w:rPr>
          <w:rFonts w:hint="eastAsia"/>
          <w:szCs w:val="21"/>
          <w:highlight w:val="none"/>
        </w:rPr>
      </w:pPr>
      <w:r>
        <w:rPr>
          <w:szCs w:val="21"/>
          <w:highlight w:val="none"/>
        </w:rPr>
        <w:t>1</w:t>
      </w:r>
      <w:r>
        <w:rPr>
          <w:rFonts w:hint="eastAsia"/>
          <w:szCs w:val="21"/>
          <w:highlight w:val="none"/>
        </w:rPr>
        <w:t>、</w:t>
      </w:r>
      <w:r>
        <w:rPr>
          <w:szCs w:val="21"/>
          <w:highlight w:val="none"/>
          <w:u w:val="single"/>
        </w:rPr>
        <w:t xml:space="preserve">       </w:t>
      </w:r>
      <w:r>
        <w:rPr>
          <w:szCs w:val="21"/>
          <w:highlight w:val="none"/>
        </w:rPr>
        <w:t>（某成员单位名称）为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（联合体名称）牵头人。</w:t>
      </w:r>
    </w:p>
    <w:p w14:paraId="5E2D380D">
      <w:pPr>
        <w:topLinePunct/>
        <w:spacing w:line="360" w:lineRule="exact"/>
        <w:ind w:firstLine="480" w:firstLineChars="200"/>
        <w:rPr>
          <w:rFonts w:hint="eastAsia"/>
          <w:szCs w:val="21"/>
          <w:highlight w:val="none"/>
        </w:rPr>
      </w:pPr>
      <w:r>
        <w:rPr>
          <w:szCs w:val="21"/>
          <w:highlight w:val="none"/>
        </w:rPr>
        <w:t>2、联合体牵头人</w:t>
      </w:r>
      <w:r>
        <w:rPr>
          <w:rFonts w:hint="eastAsia"/>
          <w:szCs w:val="21"/>
          <w:highlight w:val="none"/>
        </w:rPr>
        <w:t>合法代表联合体各成员负责本招标项目投标文件编制和合同谈判活动，并代表联合体提交和接收相关的资料、信息及指示，并处理与之有关的一切事务，</w:t>
      </w:r>
      <w:r>
        <w:rPr>
          <w:szCs w:val="21"/>
          <w:highlight w:val="none"/>
        </w:rPr>
        <w:t>负责合同实施阶段的主办、组织和协调工作。</w:t>
      </w:r>
    </w:p>
    <w:p w14:paraId="07CC3BB8">
      <w:pPr>
        <w:topLinePunct/>
        <w:spacing w:line="360" w:lineRule="exact"/>
        <w:ind w:firstLine="480" w:firstLineChars="200"/>
        <w:rPr>
          <w:rFonts w:hint="eastAsia"/>
          <w:szCs w:val="21"/>
          <w:highlight w:val="none"/>
        </w:rPr>
      </w:pPr>
      <w:r>
        <w:rPr>
          <w:szCs w:val="21"/>
          <w:highlight w:val="none"/>
        </w:rPr>
        <w:t>3、联合体将严格按照招标文件的各项要求，递交投标文件，履行合同，并对外承担连带责任。</w:t>
      </w:r>
    </w:p>
    <w:p w14:paraId="411BB206">
      <w:pPr>
        <w:topLinePunct/>
        <w:spacing w:line="360" w:lineRule="exact"/>
        <w:ind w:firstLine="480" w:firstLineChars="200"/>
        <w:rPr>
          <w:rFonts w:hint="eastAsia"/>
          <w:szCs w:val="21"/>
          <w:highlight w:val="none"/>
        </w:rPr>
      </w:pPr>
      <w:r>
        <w:rPr>
          <w:szCs w:val="21"/>
          <w:highlight w:val="none"/>
        </w:rPr>
        <w:t>4、联合体各成员单位内部的职责分工如下：</w:t>
      </w:r>
      <w:r>
        <w:rPr>
          <w:szCs w:val="21"/>
          <w:highlight w:val="none"/>
          <w:u w:val="single"/>
        </w:rPr>
        <w:t xml:space="preserve">                 </w:t>
      </w:r>
      <w:r>
        <w:rPr>
          <w:szCs w:val="21"/>
          <w:highlight w:val="none"/>
        </w:rPr>
        <w:t xml:space="preserve"> 。</w:t>
      </w:r>
    </w:p>
    <w:p w14:paraId="5E896226">
      <w:pPr>
        <w:topLinePunct/>
        <w:spacing w:line="360" w:lineRule="exact"/>
        <w:ind w:firstLine="480" w:firstLineChars="200"/>
        <w:rPr>
          <w:rFonts w:hint="eastAsia"/>
          <w:szCs w:val="21"/>
          <w:highlight w:val="none"/>
        </w:rPr>
      </w:pPr>
      <w:r>
        <w:rPr>
          <w:szCs w:val="21"/>
          <w:highlight w:val="none"/>
        </w:rPr>
        <w:t xml:space="preserve">5、本协议书自签署之日起生效，合同履行完毕后自动失效。 </w:t>
      </w:r>
    </w:p>
    <w:p w14:paraId="57874111">
      <w:pPr>
        <w:topLinePunct/>
        <w:spacing w:line="360" w:lineRule="exact"/>
        <w:ind w:firstLine="480" w:firstLineChars="200"/>
        <w:rPr>
          <w:rFonts w:hint="eastAsia"/>
          <w:szCs w:val="21"/>
          <w:highlight w:val="none"/>
        </w:rPr>
      </w:pPr>
      <w:r>
        <w:rPr>
          <w:szCs w:val="21"/>
          <w:highlight w:val="none"/>
        </w:rPr>
        <w:t>6、本协议书一式</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份，联合体成员和招标人各执一份。</w:t>
      </w:r>
    </w:p>
    <w:p w14:paraId="7AD80D47">
      <w:pPr>
        <w:topLinePunct/>
        <w:spacing w:line="360" w:lineRule="exact"/>
        <w:rPr>
          <w:rFonts w:hint="eastAsia"/>
          <w:szCs w:val="21"/>
          <w:highlight w:val="none"/>
        </w:rPr>
      </w:pPr>
    </w:p>
    <w:p w14:paraId="4D825068">
      <w:pPr>
        <w:topLinePunct/>
        <w:spacing w:line="360" w:lineRule="exact"/>
        <w:ind w:firstLine="480" w:firstLineChars="200"/>
        <w:rPr>
          <w:rFonts w:hint="eastAsia"/>
          <w:szCs w:val="21"/>
          <w:highlight w:val="none"/>
        </w:rPr>
      </w:pPr>
      <w:r>
        <w:rPr>
          <w:rFonts w:hint="eastAsia"/>
          <w:szCs w:val="21"/>
          <w:highlight w:val="none"/>
        </w:rPr>
        <w:t>注：本协议书由委托代理人签字的，应附法定代表人签字的授权委托书。</w:t>
      </w:r>
    </w:p>
    <w:p w14:paraId="1B538A1D">
      <w:pPr>
        <w:topLinePunct/>
        <w:spacing w:line="360" w:lineRule="exact"/>
        <w:rPr>
          <w:rFonts w:hint="eastAsia"/>
          <w:szCs w:val="21"/>
          <w:highlight w:val="none"/>
        </w:rPr>
      </w:pPr>
    </w:p>
    <w:p w14:paraId="6EE63653">
      <w:pPr>
        <w:topLinePunct/>
        <w:spacing w:line="360" w:lineRule="exact"/>
        <w:rPr>
          <w:rFonts w:hint="eastAsia"/>
          <w:szCs w:val="21"/>
          <w:highlight w:val="none"/>
        </w:rPr>
      </w:pPr>
      <w:r>
        <w:rPr>
          <w:szCs w:val="21"/>
          <w:highlight w:val="none"/>
        </w:rPr>
        <w:t>牵头人名称：</w:t>
      </w:r>
      <w:r>
        <w:rPr>
          <w:szCs w:val="21"/>
          <w:highlight w:val="none"/>
          <w:u w:val="single"/>
        </w:rPr>
        <w:t xml:space="preserve">                                 </w:t>
      </w:r>
      <w:r>
        <w:rPr>
          <w:szCs w:val="21"/>
          <w:highlight w:val="none"/>
        </w:rPr>
        <w:t>（盖单位章）</w:t>
      </w:r>
    </w:p>
    <w:p w14:paraId="10BF0C69">
      <w:pPr>
        <w:topLinePunct/>
        <w:spacing w:line="360" w:lineRule="exact"/>
        <w:rPr>
          <w:rFonts w:hint="eastAsia"/>
          <w:szCs w:val="21"/>
          <w:highlight w:val="none"/>
        </w:rPr>
      </w:pPr>
      <w:r>
        <w:rPr>
          <w:szCs w:val="21"/>
          <w:highlight w:val="none"/>
        </w:rPr>
        <w:t>法定代表人或其委托代理人：</w:t>
      </w:r>
      <w:r>
        <w:rPr>
          <w:szCs w:val="21"/>
          <w:highlight w:val="none"/>
          <w:u w:val="single"/>
        </w:rPr>
        <w:t xml:space="preserve">                       </w:t>
      </w:r>
      <w:r>
        <w:rPr>
          <w:szCs w:val="21"/>
          <w:highlight w:val="none"/>
        </w:rPr>
        <w:t>（签字</w:t>
      </w:r>
      <w:r>
        <w:rPr>
          <w:rFonts w:hint="eastAsia"/>
          <w:szCs w:val="21"/>
          <w:highlight w:val="none"/>
        </w:rPr>
        <w:t>或盖章</w:t>
      </w:r>
      <w:r>
        <w:rPr>
          <w:szCs w:val="21"/>
          <w:highlight w:val="none"/>
        </w:rPr>
        <w:t>）</w:t>
      </w:r>
    </w:p>
    <w:p w14:paraId="0C4BCE2C">
      <w:pPr>
        <w:topLinePunct/>
        <w:spacing w:line="360" w:lineRule="exact"/>
        <w:rPr>
          <w:rFonts w:hint="eastAsia"/>
          <w:szCs w:val="21"/>
          <w:highlight w:val="none"/>
        </w:rPr>
      </w:pPr>
    </w:p>
    <w:p w14:paraId="53312009">
      <w:pPr>
        <w:topLinePunct/>
        <w:spacing w:line="360" w:lineRule="exact"/>
        <w:rPr>
          <w:rFonts w:hint="eastAsia"/>
          <w:szCs w:val="21"/>
          <w:highlight w:val="none"/>
        </w:rPr>
      </w:pPr>
      <w:r>
        <w:rPr>
          <w:rFonts w:hint="eastAsia"/>
          <w:szCs w:val="21"/>
          <w:highlight w:val="none"/>
        </w:rPr>
        <w:t>联合体成员</w:t>
      </w:r>
      <w:r>
        <w:rPr>
          <w:szCs w:val="21"/>
          <w:highlight w:val="none"/>
        </w:rPr>
        <w:t>名称：</w:t>
      </w:r>
      <w:r>
        <w:rPr>
          <w:szCs w:val="21"/>
          <w:highlight w:val="none"/>
          <w:u w:val="single"/>
        </w:rPr>
        <w:t xml:space="preserve">                                 </w:t>
      </w:r>
      <w:r>
        <w:rPr>
          <w:szCs w:val="21"/>
          <w:highlight w:val="none"/>
        </w:rPr>
        <w:t>（盖单位章）</w:t>
      </w:r>
    </w:p>
    <w:p w14:paraId="1EA6E000">
      <w:pPr>
        <w:topLinePunct/>
        <w:spacing w:line="360" w:lineRule="exact"/>
        <w:rPr>
          <w:rFonts w:hint="eastAsia"/>
          <w:szCs w:val="21"/>
          <w:highlight w:val="none"/>
        </w:rPr>
      </w:pPr>
      <w:r>
        <w:rPr>
          <w:szCs w:val="21"/>
          <w:highlight w:val="none"/>
        </w:rPr>
        <w:t>法定代表人或其委托代理人：</w:t>
      </w:r>
      <w:r>
        <w:rPr>
          <w:szCs w:val="21"/>
          <w:highlight w:val="none"/>
          <w:u w:val="single"/>
        </w:rPr>
        <w:t xml:space="preserve">                       </w:t>
      </w:r>
      <w:r>
        <w:rPr>
          <w:szCs w:val="21"/>
          <w:highlight w:val="none"/>
        </w:rPr>
        <w:t>（签字</w:t>
      </w:r>
      <w:r>
        <w:rPr>
          <w:rFonts w:hint="eastAsia"/>
          <w:szCs w:val="21"/>
          <w:highlight w:val="none"/>
        </w:rPr>
        <w:t>或盖章</w:t>
      </w:r>
      <w:r>
        <w:rPr>
          <w:szCs w:val="21"/>
          <w:highlight w:val="none"/>
        </w:rPr>
        <w:t>）</w:t>
      </w:r>
    </w:p>
    <w:p w14:paraId="02EC149B">
      <w:pPr>
        <w:topLinePunct/>
        <w:spacing w:line="360" w:lineRule="exact"/>
        <w:rPr>
          <w:rFonts w:hint="eastAsia"/>
          <w:szCs w:val="21"/>
          <w:highlight w:val="none"/>
        </w:rPr>
      </w:pPr>
      <w:r>
        <w:rPr>
          <w:szCs w:val="21"/>
          <w:highlight w:val="none"/>
        </w:rPr>
        <w:t xml:space="preserve"> </w:t>
      </w:r>
    </w:p>
    <w:p w14:paraId="35DF1F0E">
      <w:pPr>
        <w:spacing w:line="360" w:lineRule="exact"/>
        <w:ind w:firstLine="3290" w:firstLineChars="1371"/>
        <w:rPr>
          <w:rFonts w:hint="eastAsia"/>
          <w:highlight w:val="none"/>
        </w:rPr>
      </w:pPr>
      <w:r>
        <w:rPr>
          <w:highlight w:val="none"/>
          <w:u w:val="single"/>
        </w:rPr>
        <w:t xml:space="preserve">        </w:t>
      </w:r>
      <w:r>
        <w:rPr>
          <w:highlight w:val="none"/>
        </w:rPr>
        <w:t>年</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月</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日</w:t>
      </w:r>
    </w:p>
    <w:p w14:paraId="4BB71E06">
      <w:pPr>
        <w:pStyle w:val="4"/>
        <w:rPr>
          <w:rFonts w:hint="eastAsia"/>
          <w:highlight w:val="none"/>
        </w:rPr>
      </w:pPr>
      <w:r>
        <w:rPr>
          <w:highlight w:val="none"/>
        </w:rPr>
        <w:br w:type="page"/>
      </w:r>
    </w:p>
    <w:p w14:paraId="4B07B707">
      <w:pPr>
        <w:pStyle w:val="3"/>
        <w:spacing w:line="360" w:lineRule="auto"/>
        <w:jc w:val="center"/>
        <w:rPr>
          <w:rFonts w:hint="eastAsia"/>
          <w:sz w:val="36"/>
          <w:szCs w:val="22"/>
          <w:highlight w:val="none"/>
        </w:rPr>
      </w:pPr>
      <w:bookmarkStart w:id="494" w:name="_Toc151026267"/>
      <w:r>
        <w:rPr>
          <w:rFonts w:hint="eastAsia"/>
          <w:sz w:val="36"/>
          <w:szCs w:val="22"/>
          <w:highlight w:val="none"/>
        </w:rPr>
        <w:t>技术文件</w:t>
      </w:r>
      <w:bookmarkEnd w:id="494"/>
    </w:p>
    <w:p w14:paraId="02056223">
      <w:pPr>
        <w:spacing w:line="360" w:lineRule="auto"/>
        <w:jc w:val="center"/>
        <w:rPr>
          <w:rFonts w:hint="eastAsia"/>
          <w:b/>
          <w:sz w:val="36"/>
          <w:szCs w:val="36"/>
          <w:highlight w:val="none"/>
        </w:rPr>
      </w:pPr>
    </w:p>
    <w:p w14:paraId="23927CFB">
      <w:pPr>
        <w:spacing w:line="360" w:lineRule="auto"/>
        <w:jc w:val="center"/>
        <w:rPr>
          <w:rFonts w:hint="eastAsia"/>
          <w:b/>
          <w:sz w:val="36"/>
          <w:szCs w:val="36"/>
          <w:highlight w:val="none"/>
        </w:rPr>
      </w:pPr>
      <w:r>
        <w:rPr>
          <w:rFonts w:hint="eastAsia"/>
          <w:b/>
          <w:sz w:val="36"/>
          <w:szCs w:val="36"/>
          <w:highlight w:val="none"/>
        </w:rPr>
        <w:t>目录</w:t>
      </w:r>
    </w:p>
    <w:p w14:paraId="45D17FBA">
      <w:pPr>
        <w:pStyle w:val="12"/>
        <w:spacing w:line="360" w:lineRule="auto"/>
        <w:ind w:left="480" w:firstLine="486"/>
        <w:rPr>
          <w:rFonts w:hint="eastAsia"/>
          <w:highlight w:val="none"/>
        </w:rPr>
      </w:pPr>
    </w:p>
    <w:p w14:paraId="111DEB8C">
      <w:pPr>
        <w:pStyle w:val="69"/>
        <w:numPr>
          <w:ilvl w:val="0"/>
          <w:numId w:val="39"/>
        </w:numPr>
        <w:spacing w:before="0"/>
        <w:ind w:firstLine="480"/>
        <w:rPr>
          <w:rFonts w:hint="eastAsia" w:ascii="宋体" w:hAnsi="宋体"/>
          <w:bCs/>
          <w:color w:val="FF0000"/>
          <w:highlight w:val="none"/>
        </w:rPr>
      </w:pPr>
      <w:r>
        <w:rPr>
          <w:rFonts w:hint="eastAsia" w:ascii="宋体" w:hAnsi="宋体"/>
          <w:bCs/>
          <w:color w:val="FF0000"/>
          <w:highlight w:val="none"/>
        </w:rPr>
        <w:t>评分对应表（格式见附件，主要用于评委对应评分内容）</w:t>
      </w:r>
    </w:p>
    <w:p w14:paraId="43E21FB1">
      <w:pPr>
        <w:pStyle w:val="69"/>
        <w:numPr>
          <w:ilvl w:val="0"/>
          <w:numId w:val="39"/>
        </w:numPr>
        <w:spacing w:before="0"/>
        <w:ind w:firstLine="480"/>
        <w:rPr>
          <w:rFonts w:hint="eastAsia" w:ascii="宋体" w:hAnsi="宋体"/>
          <w:bCs/>
          <w:color w:val="FF0000"/>
          <w:highlight w:val="none"/>
        </w:rPr>
      </w:pPr>
      <w:r>
        <w:rPr>
          <w:rFonts w:hint="eastAsia" w:ascii="宋体" w:hAnsi="宋体"/>
          <w:bCs/>
          <w:color w:val="FF0000"/>
          <w:highlight w:val="none"/>
          <w:lang w:val="en-US" w:eastAsia="zh-CN"/>
        </w:rPr>
        <w:t>品牌响应表</w:t>
      </w:r>
      <w:r>
        <w:rPr>
          <w:rFonts w:hint="eastAsia" w:ascii="宋体" w:hAnsi="宋体"/>
          <w:bCs/>
          <w:color w:val="FF0000"/>
          <w:highlight w:val="none"/>
        </w:rPr>
        <w:t>（格式见附件）；</w:t>
      </w:r>
    </w:p>
    <w:p w14:paraId="54E6AE3A">
      <w:pPr>
        <w:pStyle w:val="69"/>
        <w:numPr>
          <w:ilvl w:val="0"/>
          <w:numId w:val="39"/>
        </w:numPr>
        <w:spacing w:before="0"/>
        <w:ind w:firstLine="480"/>
        <w:rPr>
          <w:rFonts w:hint="eastAsia" w:ascii="宋体" w:hAnsi="宋体"/>
          <w:bCs/>
          <w:color w:val="FF0000"/>
          <w:highlight w:val="none"/>
        </w:rPr>
      </w:pPr>
      <w:r>
        <w:rPr>
          <w:rFonts w:hint="eastAsia" w:ascii="宋体" w:hAnsi="宋体"/>
          <w:bCs/>
          <w:color w:val="FF0000"/>
          <w:highlight w:val="none"/>
        </w:rPr>
        <w:t>技术响应及建议表（格式见附件）；</w:t>
      </w:r>
    </w:p>
    <w:p w14:paraId="30B6DA9C">
      <w:pPr>
        <w:pStyle w:val="69"/>
        <w:numPr>
          <w:ilvl w:val="0"/>
          <w:numId w:val="39"/>
        </w:numPr>
        <w:spacing w:before="0"/>
        <w:ind w:firstLine="480"/>
        <w:rPr>
          <w:rFonts w:hint="eastAsia" w:ascii="宋体" w:hAnsi="宋体"/>
          <w:bCs/>
          <w:color w:val="FF0000"/>
          <w:highlight w:val="none"/>
        </w:rPr>
      </w:pPr>
      <w:r>
        <w:rPr>
          <w:rFonts w:hint="eastAsia" w:ascii="宋体" w:hAnsi="宋体"/>
          <w:bCs/>
          <w:color w:val="FF0000"/>
          <w:highlight w:val="none"/>
        </w:rPr>
        <w:t>技术方案；</w:t>
      </w:r>
    </w:p>
    <w:p w14:paraId="71ED6FF4">
      <w:pPr>
        <w:pStyle w:val="69"/>
        <w:numPr>
          <w:ilvl w:val="0"/>
          <w:numId w:val="39"/>
        </w:numPr>
        <w:spacing w:before="0"/>
        <w:ind w:firstLine="480"/>
        <w:rPr>
          <w:rFonts w:hint="eastAsia" w:ascii="宋体" w:hAnsi="宋体"/>
          <w:bCs/>
          <w:color w:val="FF0000"/>
          <w:highlight w:val="none"/>
        </w:rPr>
      </w:pPr>
      <w:r>
        <w:rPr>
          <w:rFonts w:hint="eastAsia" w:ascii="宋体" w:hAnsi="宋体"/>
          <w:bCs/>
          <w:color w:val="FF0000"/>
          <w:highlight w:val="none"/>
        </w:rPr>
        <w:t>产品配置；</w:t>
      </w:r>
    </w:p>
    <w:p w14:paraId="3CECE950">
      <w:pPr>
        <w:pStyle w:val="69"/>
        <w:numPr>
          <w:ilvl w:val="0"/>
          <w:numId w:val="39"/>
        </w:numPr>
        <w:spacing w:before="0"/>
        <w:ind w:firstLine="480"/>
        <w:rPr>
          <w:rFonts w:hint="eastAsia" w:ascii="宋体" w:hAnsi="宋体"/>
          <w:bCs/>
          <w:color w:val="FF0000"/>
          <w:highlight w:val="none"/>
        </w:rPr>
      </w:pPr>
      <w:r>
        <w:rPr>
          <w:rFonts w:hint="eastAsia" w:ascii="宋体" w:hAnsi="宋体"/>
          <w:bCs/>
          <w:color w:val="FF0000"/>
          <w:highlight w:val="none"/>
        </w:rPr>
        <w:t>售后服务；</w:t>
      </w:r>
    </w:p>
    <w:p w14:paraId="67BF7DB3">
      <w:pPr>
        <w:pStyle w:val="69"/>
        <w:numPr>
          <w:ilvl w:val="0"/>
          <w:numId w:val="39"/>
        </w:numPr>
        <w:spacing w:before="0"/>
        <w:ind w:firstLine="480"/>
        <w:rPr>
          <w:rFonts w:hint="eastAsia" w:ascii="宋体" w:hAnsi="宋体"/>
          <w:color w:val="FF0000"/>
          <w:highlight w:val="none"/>
        </w:rPr>
      </w:pPr>
      <w:r>
        <w:rPr>
          <w:rFonts w:hint="eastAsia" w:ascii="宋体" w:hAnsi="宋体"/>
          <w:color w:val="FF0000"/>
          <w:highlight w:val="none"/>
        </w:rPr>
        <w:t>投标方认为需要的其他文件资料。</w:t>
      </w:r>
    </w:p>
    <w:p w14:paraId="38461B7D">
      <w:pPr>
        <w:pStyle w:val="69"/>
        <w:tabs>
          <w:tab w:val="left" w:pos="0"/>
        </w:tabs>
        <w:spacing w:before="0"/>
        <w:ind w:firstLine="480"/>
        <w:rPr>
          <w:rFonts w:hint="eastAsia" w:ascii="宋体" w:hAnsi="宋体"/>
          <w:color w:val="FF0000"/>
          <w:highlight w:val="none"/>
        </w:rPr>
      </w:pPr>
      <w:r>
        <w:rPr>
          <w:rFonts w:hint="eastAsia" w:ascii="宋体" w:hAnsi="宋体"/>
          <w:color w:val="FF0000"/>
          <w:highlight w:val="none"/>
        </w:rPr>
        <w:t>注：以上内容应与评标办法中内容具有一致性。</w:t>
      </w:r>
    </w:p>
    <w:p w14:paraId="74994D9E">
      <w:pPr>
        <w:spacing w:line="360" w:lineRule="auto"/>
        <w:rPr>
          <w:rFonts w:hint="eastAsia"/>
          <w:szCs w:val="32"/>
          <w:highlight w:val="none"/>
        </w:rPr>
      </w:pPr>
    </w:p>
    <w:p w14:paraId="3843A3FB">
      <w:pPr>
        <w:pStyle w:val="43"/>
        <w:ind w:firstLine="560"/>
        <w:rPr>
          <w:szCs w:val="32"/>
          <w:highlight w:val="none"/>
        </w:rPr>
      </w:pPr>
    </w:p>
    <w:p w14:paraId="15F69825">
      <w:pPr>
        <w:rPr>
          <w:rFonts w:hint="eastAsia"/>
          <w:szCs w:val="32"/>
          <w:highlight w:val="none"/>
        </w:rPr>
      </w:pPr>
    </w:p>
    <w:p w14:paraId="3037939E">
      <w:pPr>
        <w:pStyle w:val="34"/>
        <w:ind w:firstLine="240"/>
        <w:rPr>
          <w:highlight w:val="none"/>
          <w:lang w:val="en-US"/>
        </w:rPr>
      </w:pPr>
    </w:p>
    <w:p w14:paraId="5F26D582">
      <w:pPr>
        <w:pStyle w:val="27"/>
        <w:ind w:left="2400"/>
        <w:rPr>
          <w:rFonts w:hint="eastAsia"/>
          <w:highlight w:val="none"/>
        </w:rPr>
      </w:pPr>
    </w:p>
    <w:p w14:paraId="6FD9D682">
      <w:pPr>
        <w:rPr>
          <w:rFonts w:hint="eastAsia"/>
          <w:highlight w:val="none"/>
        </w:rPr>
      </w:pPr>
    </w:p>
    <w:p w14:paraId="130723DA">
      <w:pPr>
        <w:pStyle w:val="34"/>
        <w:ind w:firstLine="240"/>
        <w:rPr>
          <w:highlight w:val="none"/>
          <w:lang w:val="en-US"/>
        </w:rPr>
      </w:pPr>
    </w:p>
    <w:p w14:paraId="13F727F5">
      <w:pPr>
        <w:pStyle w:val="27"/>
        <w:ind w:left="2400"/>
        <w:rPr>
          <w:rFonts w:hint="eastAsia"/>
          <w:highlight w:val="none"/>
        </w:rPr>
      </w:pPr>
    </w:p>
    <w:p w14:paraId="0BC4999B">
      <w:pPr>
        <w:pStyle w:val="43"/>
        <w:ind w:firstLine="560"/>
        <w:rPr>
          <w:szCs w:val="32"/>
          <w:highlight w:val="none"/>
        </w:rPr>
      </w:pPr>
    </w:p>
    <w:p w14:paraId="10457A3F">
      <w:pPr>
        <w:rPr>
          <w:rFonts w:hint="eastAsia"/>
          <w:highlight w:val="none"/>
        </w:rPr>
      </w:pPr>
    </w:p>
    <w:p w14:paraId="546F796F">
      <w:pPr>
        <w:rPr>
          <w:rFonts w:hint="eastAsia"/>
          <w:highlight w:val="none"/>
        </w:rPr>
      </w:pPr>
      <w:bookmarkStart w:id="495" w:name="_Toc151026268"/>
      <w:bookmarkStart w:id="496" w:name="_Toc10131"/>
      <w:r>
        <w:rPr>
          <w:rFonts w:hint="eastAsia"/>
          <w:highlight w:val="none"/>
        </w:rPr>
        <w:br w:type="page"/>
      </w:r>
    </w:p>
    <w:p w14:paraId="53927A27">
      <w:pPr>
        <w:pStyle w:val="5"/>
        <w:numPr>
          <w:ilvl w:val="0"/>
          <w:numId w:val="0"/>
        </w:numPr>
        <w:spacing w:line="360" w:lineRule="auto"/>
        <w:rPr>
          <w:rFonts w:hint="eastAsia"/>
          <w:highlight w:val="none"/>
        </w:rPr>
      </w:pPr>
      <w:r>
        <w:rPr>
          <w:rFonts w:hint="eastAsia"/>
          <w:highlight w:val="none"/>
        </w:rPr>
        <w:t>附件四：</w:t>
      </w:r>
      <w:bookmarkEnd w:id="495"/>
    </w:p>
    <w:p w14:paraId="35651A69">
      <w:pPr>
        <w:spacing w:line="360" w:lineRule="auto"/>
        <w:jc w:val="center"/>
        <w:rPr>
          <w:rFonts w:hint="eastAsia"/>
          <w:b/>
          <w:bCs/>
          <w:sz w:val="30"/>
          <w:szCs w:val="30"/>
          <w:highlight w:val="none"/>
        </w:rPr>
      </w:pPr>
      <w:r>
        <w:rPr>
          <w:rFonts w:hint="eastAsia"/>
          <w:b/>
          <w:bCs/>
          <w:sz w:val="30"/>
          <w:szCs w:val="30"/>
          <w:highlight w:val="none"/>
        </w:rPr>
        <w:t>评分对应表</w:t>
      </w:r>
    </w:p>
    <w:p w14:paraId="02B30BBC">
      <w:pPr>
        <w:spacing w:line="360" w:lineRule="auto"/>
        <w:ind w:firstLine="480" w:firstLineChars="200"/>
        <w:rPr>
          <w:rFonts w:hint="eastAsia"/>
          <w:highlight w:val="none"/>
        </w:rPr>
      </w:pPr>
      <w:r>
        <w:rPr>
          <w:rFonts w:hint="eastAsia"/>
          <w:highlight w:val="none"/>
        </w:rPr>
        <w:t>项目名称：</w:t>
      </w:r>
    </w:p>
    <w:p w14:paraId="29D5D9C1">
      <w:pPr>
        <w:spacing w:line="360" w:lineRule="auto"/>
        <w:ind w:firstLine="480" w:firstLineChars="200"/>
        <w:rPr>
          <w:rFonts w:hint="eastAsia"/>
          <w:highlight w:val="none"/>
        </w:rPr>
      </w:pPr>
      <w:r>
        <w:rPr>
          <w:rFonts w:hint="eastAsia"/>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22A97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C0F8C46">
            <w:pPr>
              <w:spacing w:line="276" w:lineRule="auto"/>
              <w:jc w:val="center"/>
              <w:rPr>
                <w:rFonts w:hint="eastAsia"/>
                <w:sz w:val="21"/>
                <w:szCs w:val="21"/>
                <w:highlight w:val="none"/>
              </w:rPr>
            </w:pPr>
            <w:r>
              <w:rPr>
                <w:rFonts w:hint="eastAsia"/>
                <w:sz w:val="21"/>
                <w:szCs w:val="21"/>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B8504AA">
            <w:pPr>
              <w:spacing w:line="276" w:lineRule="auto"/>
              <w:jc w:val="center"/>
              <w:rPr>
                <w:rFonts w:hint="eastAsia"/>
                <w:sz w:val="21"/>
                <w:szCs w:val="21"/>
                <w:highlight w:val="none"/>
              </w:rPr>
            </w:pPr>
            <w:r>
              <w:rPr>
                <w:rFonts w:hint="eastAsia"/>
                <w:sz w:val="21"/>
                <w:szCs w:val="21"/>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4910C02E">
            <w:pPr>
              <w:spacing w:line="276" w:lineRule="auto"/>
              <w:jc w:val="center"/>
              <w:rPr>
                <w:rFonts w:hint="eastAsia"/>
                <w:sz w:val="21"/>
                <w:szCs w:val="21"/>
                <w:highlight w:val="none"/>
              </w:rPr>
            </w:pPr>
            <w:r>
              <w:rPr>
                <w:rFonts w:hint="eastAsia"/>
                <w:sz w:val="21"/>
                <w:szCs w:val="21"/>
                <w:highlight w:val="none"/>
              </w:rPr>
              <w:t>投标文件页码</w:t>
            </w:r>
          </w:p>
        </w:tc>
      </w:tr>
      <w:tr w14:paraId="76198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A4945D3">
            <w:pPr>
              <w:spacing w:line="276" w:lineRule="auto"/>
              <w:jc w:val="center"/>
              <w:rPr>
                <w:rFonts w:hint="eastAsia"/>
                <w:sz w:val="21"/>
                <w:szCs w:val="21"/>
                <w:highlight w:val="none"/>
              </w:rPr>
            </w:pPr>
            <w:r>
              <w:rPr>
                <w:rFonts w:hint="eastAsia"/>
                <w:sz w:val="21"/>
                <w:szCs w:val="21"/>
                <w:highlight w:val="none"/>
              </w:rPr>
              <w:t>对应评分办法及评分标准</w:t>
            </w:r>
          </w:p>
          <w:p w14:paraId="4808A584">
            <w:pPr>
              <w:spacing w:line="276" w:lineRule="auto"/>
              <w:jc w:val="center"/>
              <w:rPr>
                <w:rFonts w:hint="eastAsia"/>
                <w:sz w:val="21"/>
                <w:szCs w:val="21"/>
                <w:highlight w:val="none"/>
              </w:rPr>
            </w:pPr>
            <w:r>
              <w:rPr>
                <w:rFonts w:hint="eastAsia"/>
                <w:sz w:val="21"/>
                <w:szCs w:val="21"/>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0EC28815">
            <w:pPr>
              <w:spacing w:line="276" w:lineRule="auto"/>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7EB39E9">
            <w:pPr>
              <w:spacing w:line="276" w:lineRule="auto"/>
              <w:jc w:val="center"/>
              <w:rPr>
                <w:rFonts w:hint="eastAsia"/>
                <w:sz w:val="21"/>
                <w:szCs w:val="21"/>
                <w:highlight w:val="none"/>
              </w:rPr>
            </w:pPr>
          </w:p>
        </w:tc>
      </w:tr>
      <w:tr w14:paraId="693E6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C58E492">
            <w:pPr>
              <w:spacing w:line="276" w:lineRule="auto"/>
              <w:jc w:val="center"/>
              <w:rPr>
                <w:rFonts w:hint="eastAsia"/>
                <w:sz w:val="21"/>
                <w:szCs w:val="21"/>
                <w:highlight w:val="none"/>
              </w:rPr>
            </w:pPr>
            <w:r>
              <w:rPr>
                <w:rFonts w:hint="eastAsia"/>
                <w:sz w:val="21"/>
                <w:szCs w:val="21"/>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094585BE">
            <w:pPr>
              <w:spacing w:line="276" w:lineRule="auto"/>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B286F30">
            <w:pPr>
              <w:spacing w:line="276" w:lineRule="auto"/>
              <w:jc w:val="center"/>
              <w:rPr>
                <w:rFonts w:hint="eastAsia"/>
                <w:sz w:val="21"/>
                <w:szCs w:val="21"/>
                <w:highlight w:val="none"/>
              </w:rPr>
            </w:pPr>
          </w:p>
        </w:tc>
      </w:tr>
      <w:tr w14:paraId="76B63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93D9543">
            <w:pPr>
              <w:spacing w:line="276" w:lineRule="auto"/>
              <w:jc w:val="center"/>
              <w:rPr>
                <w:rFonts w:hint="eastAsia"/>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A93D85F">
            <w:pPr>
              <w:spacing w:line="276" w:lineRule="auto"/>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4E094B8">
            <w:pPr>
              <w:spacing w:line="276" w:lineRule="auto"/>
              <w:jc w:val="center"/>
              <w:rPr>
                <w:rFonts w:hint="eastAsia"/>
                <w:sz w:val="21"/>
                <w:szCs w:val="21"/>
                <w:highlight w:val="none"/>
              </w:rPr>
            </w:pPr>
          </w:p>
        </w:tc>
      </w:tr>
      <w:tr w14:paraId="0B76E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7C3EC3E">
            <w:pPr>
              <w:spacing w:line="276" w:lineRule="auto"/>
              <w:ind w:firstLine="420" w:firstLineChars="200"/>
              <w:jc w:val="center"/>
              <w:rPr>
                <w:rFonts w:hint="eastAsia"/>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24AF4BE">
            <w:pPr>
              <w:spacing w:line="276" w:lineRule="auto"/>
              <w:ind w:firstLine="420" w:firstLineChars="200"/>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09BFE48">
            <w:pPr>
              <w:spacing w:line="276" w:lineRule="auto"/>
              <w:ind w:firstLine="420" w:firstLineChars="200"/>
              <w:jc w:val="center"/>
              <w:rPr>
                <w:rFonts w:hint="eastAsia"/>
                <w:sz w:val="21"/>
                <w:szCs w:val="21"/>
                <w:highlight w:val="none"/>
              </w:rPr>
            </w:pPr>
          </w:p>
        </w:tc>
      </w:tr>
      <w:tr w14:paraId="6DCBA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AA87C91">
            <w:pPr>
              <w:spacing w:line="276" w:lineRule="auto"/>
              <w:ind w:firstLine="420" w:firstLineChars="200"/>
              <w:jc w:val="center"/>
              <w:rPr>
                <w:rFonts w:hint="eastAsia"/>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CBFB9FD">
            <w:pPr>
              <w:spacing w:line="276" w:lineRule="auto"/>
              <w:ind w:firstLine="420" w:firstLineChars="200"/>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24F0DA8">
            <w:pPr>
              <w:spacing w:line="276" w:lineRule="auto"/>
              <w:ind w:firstLine="420" w:firstLineChars="200"/>
              <w:jc w:val="center"/>
              <w:rPr>
                <w:rFonts w:hint="eastAsia"/>
                <w:sz w:val="21"/>
                <w:szCs w:val="21"/>
                <w:highlight w:val="none"/>
              </w:rPr>
            </w:pPr>
          </w:p>
        </w:tc>
      </w:tr>
      <w:tr w14:paraId="79182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979031F">
            <w:pPr>
              <w:spacing w:line="276" w:lineRule="auto"/>
              <w:ind w:firstLine="420" w:firstLineChars="200"/>
              <w:jc w:val="center"/>
              <w:rPr>
                <w:rFonts w:hint="eastAsia"/>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2797FEB">
            <w:pPr>
              <w:spacing w:line="276" w:lineRule="auto"/>
              <w:ind w:firstLine="420" w:firstLineChars="200"/>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A2D5B66">
            <w:pPr>
              <w:spacing w:line="276" w:lineRule="auto"/>
              <w:ind w:firstLine="420" w:firstLineChars="200"/>
              <w:jc w:val="center"/>
              <w:rPr>
                <w:rFonts w:hint="eastAsia"/>
                <w:sz w:val="21"/>
                <w:szCs w:val="21"/>
                <w:highlight w:val="none"/>
              </w:rPr>
            </w:pPr>
          </w:p>
        </w:tc>
      </w:tr>
      <w:tr w14:paraId="70FA2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F087DD5">
            <w:pPr>
              <w:spacing w:line="276" w:lineRule="auto"/>
              <w:ind w:firstLine="420" w:firstLineChars="200"/>
              <w:jc w:val="center"/>
              <w:rPr>
                <w:rFonts w:hint="eastAsia"/>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3D01EA1">
            <w:pPr>
              <w:spacing w:line="276" w:lineRule="auto"/>
              <w:ind w:firstLine="420" w:firstLineChars="200"/>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23406EB">
            <w:pPr>
              <w:spacing w:line="276" w:lineRule="auto"/>
              <w:ind w:firstLine="420" w:firstLineChars="200"/>
              <w:jc w:val="center"/>
              <w:rPr>
                <w:rFonts w:hint="eastAsia"/>
                <w:sz w:val="21"/>
                <w:szCs w:val="21"/>
                <w:highlight w:val="none"/>
              </w:rPr>
            </w:pPr>
          </w:p>
        </w:tc>
      </w:tr>
      <w:tr w14:paraId="2CBF6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7867842">
            <w:pPr>
              <w:spacing w:line="276" w:lineRule="auto"/>
              <w:ind w:firstLine="420" w:firstLineChars="200"/>
              <w:jc w:val="center"/>
              <w:rPr>
                <w:rFonts w:hint="eastAsia"/>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CC0699A">
            <w:pPr>
              <w:spacing w:line="276" w:lineRule="auto"/>
              <w:ind w:firstLine="420" w:firstLineChars="200"/>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C9FE275">
            <w:pPr>
              <w:spacing w:line="276" w:lineRule="auto"/>
              <w:ind w:firstLine="420" w:firstLineChars="200"/>
              <w:jc w:val="center"/>
              <w:rPr>
                <w:rFonts w:hint="eastAsia"/>
                <w:sz w:val="21"/>
                <w:szCs w:val="21"/>
                <w:highlight w:val="none"/>
              </w:rPr>
            </w:pPr>
          </w:p>
        </w:tc>
      </w:tr>
      <w:tr w14:paraId="3F506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6EFE636">
            <w:pPr>
              <w:spacing w:line="276" w:lineRule="auto"/>
              <w:ind w:firstLine="420" w:firstLineChars="200"/>
              <w:jc w:val="center"/>
              <w:rPr>
                <w:rFonts w:hint="eastAsia"/>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C5F8EBD">
            <w:pPr>
              <w:spacing w:line="276" w:lineRule="auto"/>
              <w:ind w:firstLine="420" w:firstLineChars="200"/>
              <w:jc w:val="center"/>
              <w:rPr>
                <w:rFonts w:hint="eastAsia"/>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8F3E2CA">
            <w:pPr>
              <w:spacing w:line="276" w:lineRule="auto"/>
              <w:ind w:firstLine="420" w:firstLineChars="200"/>
              <w:jc w:val="center"/>
              <w:rPr>
                <w:rFonts w:hint="eastAsia"/>
                <w:sz w:val="21"/>
                <w:szCs w:val="21"/>
                <w:highlight w:val="none"/>
              </w:rPr>
            </w:pPr>
          </w:p>
        </w:tc>
      </w:tr>
    </w:tbl>
    <w:p w14:paraId="09E2CA12">
      <w:pPr>
        <w:spacing w:line="360" w:lineRule="auto"/>
        <w:ind w:firstLine="480" w:firstLineChars="200"/>
        <w:rPr>
          <w:rFonts w:hint="eastAsia"/>
          <w:highlight w:val="none"/>
        </w:rPr>
      </w:pPr>
    </w:p>
    <w:p w14:paraId="5C6EC325">
      <w:pPr>
        <w:spacing w:line="360" w:lineRule="auto"/>
        <w:ind w:left="4320" w:leftChars="1800" w:firstLine="480" w:firstLineChars="200"/>
        <w:rPr>
          <w:rFonts w:hint="eastAsia"/>
          <w:highlight w:val="none"/>
        </w:rPr>
      </w:pPr>
    </w:p>
    <w:p w14:paraId="20413B89">
      <w:pPr>
        <w:spacing w:line="360" w:lineRule="auto"/>
        <w:ind w:left="4320" w:leftChars="1800" w:firstLine="480" w:firstLineChars="200"/>
        <w:rPr>
          <w:rFonts w:hint="eastAsia"/>
          <w:highlight w:val="none"/>
        </w:rPr>
      </w:pPr>
      <w:r>
        <w:rPr>
          <w:rFonts w:hint="eastAsia"/>
          <w:highlight w:val="none"/>
        </w:rPr>
        <w:t xml:space="preserve">法定代表人签名（或签名章）：                       </w:t>
      </w:r>
    </w:p>
    <w:p w14:paraId="0195A920">
      <w:pPr>
        <w:spacing w:line="360" w:lineRule="auto"/>
        <w:ind w:left="4320" w:leftChars="1800" w:firstLine="480" w:firstLineChars="200"/>
        <w:rPr>
          <w:rFonts w:hint="eastAsia"/>
          <w:highlight w:val="none"/>
        </w:rPr>
      </w:pPr>
      <w:r>
        <w:rPr>
          <w:rFonts w:hint="eastAsia"/>
          <w:highlight w:val="none"/>
        </w:rPr>
        <w:t>日 期：</w:t>
      </w:r>
    </w:p>
    <w:p w14:paraId="6585E67F">
      <w:pPr>
        <w:spacing w:line="360" w:lineRule="auto"/>
        <w:ind w:left="4320" w:leftChars="1800" w:firstLine="480" w:firstLineChars="200"/>
        <w:rPr>
          <w:rFonts w:hint="eastAsia"/>
          <w:highlight w:val="none"/>
        </w:rPr>
      </w:pPr>
      <w:r>
        <w:rPr>
          <w:rFonts w:hint="eastAsia"/>
          <w:highlight w:val="none"/>
        </w:rPr>
        <w:t>投标人（或联合体牵头人）全称（公章）：</w:t>
      </w:r>
    </w:p>
    <w:bookmarkEnd w:id="496"/>
    <w:p w14:paraId="5CE886FA">
      <w:pPr>
        <w:spacing w:line="360" w:lineRule="auto"/>
        <w:ind w:left="4320" w:leftChars="1800" w:firstLine="480" w:firstLineChars="200"/>
        <w:rPr>
          <w:rFonts w:hint="eastAsia"/>
          <w:highlight w:val="none"/>
        </w:rPr>
      </w:pPr>
    </w:p>
    <w:p w14:paraId="5F8F1F40">
      <w:pPr>
        <w:pStyle w:val="5"/>
        <w:numPr>
          <w:ilvl w:val="0"/>
          <w:numId w:val="0"/>
        </w:numPr>
        <w:spacing w:line="360" w:lineRule="auto"/>
        <w:rPr>
          <w:rFonts w:hint="eastAsia"/>
          <w:highlight w:val="none"/>
        </w:rPr>
      </w:pPr>
      <w:bookmarkStart w:id="497" w:name="_Toc151026270"/>
      <w:r>
        <w:rPr>
          <w:rFonts w:hint="eastAsia"/>
          <w:highlight w:val="none"/>
        </w:rPr>
        <w:t>附件五：</w:t>
      </w:r>
      <w:bookmarkEnd w:id="497"/>
    </w:p>
    <w:p w14:paraId="42D4B9A9">
      <w:pPr>
        <w:spacing w:line="360" w:lineRule="auto"/>
        <w:jc w:val="center"/>
        <w:rPr>
          <w:rFonts w:hint="eastAsia"/>
          <w:b/>
          <w:bCs/>
          <w:sz w:val="30"/>
          <w:szCs w:val="30"/>
          <w:highlight w:val="none"/>
        </w:rPr>
      </w:pPr>
      <w:r>
        <w:rPr>
          <w:rFonts w:hint="eastAsia"/>
          <w:b/>
          <w:bCs/>
          <w:sz w:val="30"/>
          <w:szCs w:val="30"/>
          <w:highlight w:val="none"/>
          <w:lang w:val="en-US" w:eastAsia="zh-CN"/>
        </w:rPr>
        <w:t>品牌响应</w:t>
      </w:r>
      <w:r>
        <w:rPr>
          <w:rFonts w:hint="eastAsia"/>
          <w:b/>
          <w:bCs/>
          <w:sz w:val="30"/>
          <w:szCs w:val="30"/>
          <w:highlight w:val="none"/>
        </w:rPr>
        <w:t>表</w:t>
      </w:r>
    </w:p>
    <w:p w14:paraId="1322BFC4">
      <w:pPr>
        <w:spacing w:line="360" w:lineRule="auto"/>
        <w:ind w:firstLine="480" w:firstLineChars="200"/>
        <w:rPr>
          <w:rFonts w:hint="eastAsia"/>
          <w:highlight w:val="none"/>
        </w:rPr>
      </w:pPr>
      <w:r>
        <w:rPr>
          <w:rFonts w:hint="eastAsia"/>
          <w:highlight w:val="none"/>
        </w:rPr>
        <w:t>项目名称：</w:t>
      </w:r>
    </w:p>
    <w:p w14:paraId="226B1776">
      <w:pPr>
        <w:spacing w:line="360" w:lineRule="auto"/>
        <w:ind w:firstLine="480" w:firstLineChars="200"/>
        <w:rPr>
          <w:rFonts w:hint="eastAsia"/>
          <w:highlight w:val="none"/>
        </w:rPr>
      </w:pPr>
      <w:r>
        <w:rPr>
          <w:rFonts w:hint="eastAsia"/>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13CD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ACBE85E">
            <w:pPr>
              <w:snapToGrid w:val="0"/>
              <w:spacing w:before="50" w:after="50" w:line="276" w:lineRule="auto"/>
              <w:jc w:val="center"/>
              <w:rPr>
                <w:rFonts w:hint="eastAsia"/>
                <w:sz w:val="21"/>
                <w:szCs w:val="21"/>
                <w:highlight w:val="none"/>
              </w:rPr>
            </w:pPr>
            <w:r>
              <w:rPr>
                <w:rFonts w:hint="eastAsia"/>
                <w:sz w:val="21"/>
                <w:szCs w:val="21"/>
                <w:highlight w:val="none"/>
              </w:rPr>
              <w:t>序号</w:t>
            </w:r>
          </w:p>
        </w:tc>
        <w:tc>
          <w:tcPr>
            <w:tcW w:w="1440" w:type="dxa"/>
            <w:vAlign w:val="center"/>
          </w:tcPr>
          <w:p w14:paraId="279A4166">
            <w:pPr>
              <w:snapToGrid w:val="0"/>
              <w:spacing w:before="50" w:after="50" w:line="276" w:lineRule="auto"/>
              <w:jc w:val="center"/>
              <w:rPr>
                <w:rFonts w:hint="eastAsia"/>
                <w:sz w:val="21"/>
                <w:szCs w:val="21"/>
                <w:highlight w:val="none"/>
              </w:rPr>
            </w:pPr>
            <w:r>
              <w:rPr>
                <w:rFonts w:hint="eastAsia"/>
                <w:sz w:val="21"/>
                <w:szCs w:val="21"/>
                <w:highlight w:val="none"/>
              </w:rPr>
              <w:t>货物名称</w:t>
            </w:r>
          </w:p>
        </w:tc>
        <w:tc>
          <w:tcPr>
            <w:tcW w:w="1980" w:type="dxa"/>
            <w:vAlign w:val="center"/>
          </w:tcPr>
          <w:p w14:paraId="3BC78875">
            <w:pPr>
              <w:snapToGrid w:val="0"/>
              <w:spacing w:before="50" w:after="50" w:line="276" w:lineRule="auto"/>
              <w:jc w:val="center"/>
              <w:rPr>
                <w:rFonts w:hint="eastAsia"/>
                <w:sz w:val="21"/>
                <w:szCs w:val="21"/>
                <w:highlight w:val="none"/>
              </w:rPr>
            </w:pPr>
            <w:r>
              <w:rPr>
                <w:rFonts w:hint="eastAsia"/>
                <w:sz w:val="21"/>
                <w:szCs w:val="21"/>
                <w:highlight w:val="none"/>
              </w:rPr>
              <w:t>招标文件</w:t>
            </w:r>
            <w:r>
              <w:rPr>
                <w:rFonts w:hint="eastAsia"/>
                <w:sz w:val="21"/>
                <w:szCs w:val="21"/>
                <w:highlight w:val="none"/>
                <w:lang w:val="en-US" w:eastAsia="zh-CN"/>
              </w:rPr>
              <w:t>品牌</w:t>
            </w:r>
            <w:r>
              <w:rPr>
                <w:rFonts w:hint="eastAsia"/>
                <w:sz w:val="21"/>
                <w:szCs w:val="21"/>
                <w:highlight w:val="none"/>
              </w:rPr>
              <w:t>要求</w:t>
            </w:r>
          </w:p>
        </w:tc>
        <w:tc>
          <w:tcPr>
            <w:tcW w:w="2520" w:type="dxa"/>
            <w:vAlign w:val="center"/>
          </w:tcPr>
          <w:p w14:paraId="301767C8">
            <w:pPr>
              <w:snapToGrid w:val="0"/>
              <w:spacing w:before="50" w:after="50" w:line="276" w:lineRule="auto"/>
              <w:jc w:val="center"/>
              <w:rPr>
                <w:rFonts w:hint="eastAsia"/>
                <w:sz w:val="21"/>
                <w:szCs w:val="21"/>
                <w:highlight w:val="none"/>
              </w:rPr>
            </w:pPr>
            <w:r>
              <w:rPr>
                <w:rFonts w:hint="eastAsia"/>
                <w:sz w:val="21"/>
                <w:szCs w:val="21"/>
                <w:highlight w:val="none"/>
              </w:rPr>
              <w:t>投标文件响应</w:t>
            </w:r>
          </w:p>
        </w:tc>
        <w:tc>
          <w:tcPr>
            <w:tcW w:w="1953" w:type="dxa"/>
            <w:vAlign w:val="center"/>
          </w:tcPr>
          <w:p w14:paraId="4FE8CDD2">
            <w:pPr>
              <w:snapToGrid w:val="0"/>
              <w:spacing w:before="50" w:after="50" w:line="276" w:lineRule="auto"/>
              <w:jc w:val="center"/>
              <w:rPr>
                <w:rFonts w:hint="eastAsia" w:eastAsia="宋体"/>
                <w:sz w:val="21"/>
                <w:szCs w:val="21"/>
                <w:highlight w:val="none"/>
                <w:lang w:eastAsia="zh-CN"/>
              </w:rPr>
            </w:pPr>
            <w:r>
              <w:rPr>
                <w:rFonts w:hint="eastAsia"/>
                <w:sz w:val="21"/>
                <w:szCs w:val="21"/>
                <w:highlight w:val="none"/>
                <w:lang w:val="en-US" w:eastAsia="zh-CN"/>
              </w:rPr>
              <w:t>备注</w:t>
            </w:r>
          </w:p>
        </w:tc>
      </w:tr>
      <w:tr w14:paraId="4181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8F5039B">
            <w:pPr>
              <w:snapToGrid w:val="0"/>
              <w:spacing w:before="50" w:after="50" w:line="276" w:lineRule="auto"/>
              <w:jc w:val="center"/>
              <w:rPr>
                <w:rFonts w:hint="eastAsia"/>
                <w:sz w:val="21"/>
                <w:szCs w:val="21"/>
                <w:highlight w:val="none"/>
              </w:rPr>
            </w:pPr>
          </w:p>
        </w:tc>
        <w:tc>
          <w:tcPr>
            <w:tcW w:w="1440" w:type="dxa"/>
            <w:vAlign w:val="center"/>
          </w:tcPr>
          <w:p w14:paraId="2876DD26">
            <w:pPr>
              <w:snapToGrid w:val="0"/>
              <w:spacing w:before="50" w:after="50" w:line="276" w:lineRule="auto"/>
              <w:jc w:val="center"/>
              <w:rPr>
                <w:rFonts w:hint="eastAsia"/>
                <w:sz w:val="21"/>
                <w:szCs w:val="21"/>
                <w:highlight w:val="none"/>
              </w:rPr>
            </w:pPr>
          </w:p>
        </w:tc>
        <w:tc>
          <w:tcPr>
            <w:tcW w:w="1980" w:type="dxa"/>
            <w:vAlign w:val="center"/>
          </w:tcPr>
          <w:p w14:paraId="01DB39F5">
            <w:pPr>
              <w:snapToGrid w:val="0"/>
              <w:spacing w:before="50" w:after="50" w:line="276" w:lineRule="auto"/>
              <w:jc w:val="center"/>
              <w:rPr>
                <w:rFonts w:hint="eastAsia"/>
                <w:sz w:val="21"/>
                <w:szCs w:val="21"/>
                <w:highlight w:val="none"/>
              </w:rPr>
            </w:pPr>
          </w:p>
        </w:tc>
        <w:tc>
          <w:tcPr>
            <w:tcW w:w="2520" w:type="dxa"/>
            <w:vAlign w:val="center"/>
          </w:tcPr>
          <w:p w14:paraId="707BE729">
            <w:pPr>
              <w:snapToGrid w:val="0"/>
              <w:spacing w:before="50" w:after="50" w:line="276" w:lineRule="auto"/>
              <w:jc w:val="center"/>
              <w:rPr>
                <w:rFonts w:hint="eastAsia"/>
                <w:sz w:val="21"/>
                <w:szCs w:val="21"/>
                <w:highlight w:val="none"/>
              </w:rPr>
            </w:pPr>
          </w:p>
        </w:tc>
        <w:tc>
          <w:tcPr>
            <w:tcW w:w="1953" w:type="dxa"/>
            <w:vAlign w:val="center"/>
          </w:tcPr>
          <w:p w14:paraId="43BCE788">
            <w:pPr>
              <w:snapToGrid w:val="0"/>
              <w:spacing w:before="50" w:after="50" w:line="276" w:lineRule="auto"/>
              <w:jc w:val="center"/>
              <w:rPr>
                <w:rFonts w:hint="eastAsia"/>
                <w:sz w:val="21"/>
                <w:szCs w:val="21"/>
                <w:highlight w:val="none"/>
              </w:rPr>
            </w:pPr>
          </w:p>
        </w:tc>
      </w:tr>
      <w:tr w14:paraId="45C0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BC94A8B">
            <w:pPr>
              <w:snapToGrid w:val="0"/>
              <w:spacing w:before="50" w:after="50" w:line="276" w:lineRule="auto"/>
              <w:jc w:val="center"/>
              <w:rPr>
                <w:rFonts w:hint="eastAsia"/>
                <w:sz w:val="21"/>
                <w:szCs w:val="21"/>
                <w:highlight w:val="none"/>
              </w:rPr>
            </w:pPr>
          </w:p>
        </w:tc>
        <w:tc>
          <w:tcPr>
            <w:tcW w:w="1440" w:type="dxa"/>
            <w:vAlign w:val="center"/>
          </w:tcPr>
          <w:p w14:paraId="30FAACAF">
            <w:pPr>
              <w:snapToGrid w:val="0"/>
              <w:spacing w:before="50" w:after="50" w:line="276" w:lineRule="auto"/>
              <w:jc w:val="center"/>
              <w:rPr>
                <w:rFonts w:hint="eastAsia"/>
                <w:sz w:val="21"/>
                <w:szCs w:val="21"/>
                <w:highlight w:val="none"/>
              </w:rPr>
            </w:pPr>
          </w:p>
        </w:tc>
        <w:tc>
          <w:tcPr>
            <w:tcW w:w="1980" w:type="dxa"/>
            <w:vAlign w:val="center"/>
          </w:tcPr>
          <w:p w14:paraId="00F6E69F">
            <w:pPr>
              <w:snapToGrid w:val="0"/>
              <w:spacing w:before="50" w:after="50" w:line="276" w:lineRule="auto"/>
              <w:jc w:val="center"/>
              <w:rPr>
                <w:rFonts w:hint="eastAsia"/>
                <w:sz w:val="21"/>
                <w:szCs w:val="21"/>
                <w:highlight w:val="none"/>
              </w:rPr>
            </w:pPr>
          </w:p>
        </w:tc>
        <w:tc>
          <w:tcPr>
            <w:tcW w:w="2520" w:type="dxa"/>
            <w:vAlign w:val="center"/>
          </w:tcPr>
          <w:p w14:paraId="23E73C64">
            <w:pPr>
              <w:snapToGrid w:val="0"/>
              <w:spacing w:before="50" w:after="50" w:line="276" w:lineRule="auto"/>
              <w:jc w:val="center"/>
              <w:rPr>
                <w:rFonts w:hint="eastAsia"/>
                <w:sz w:val="21"/>
                <w:szCs w:val="21"/>
                <w:highlight w:val="none"/>
              </w:rPr>
            </w:pPr>
          </w:p>
        </w:tc>
        <w:tc>
          <w:tcPr>
            <w:tcW w:w="1953" w:type="dxa"/>
            <w:vAlign w:val="center"/>
          </w:tcPr>
          <w:p w14:paraId="4B0ABF7D">
            <w:pPr>
              <w:snapToGrid w:val="0"/>
              <w:spacing w:before="50" w:after="50" w:line="276" w:lineRule="auto"/>
              <w:jc w:val="center"/>
              <w:rPr>
                <w:rFonts w:hint="eastAsia"/>
                <w:sz w:val="21"/>
                <w:szCs w:val="21"/>
                <w:highlight w:val="none"/>
              </w:rPr>
            </w:pPr>
          </w:p>
        </w:tc>
      </w:tr>
      <w:tr w14:paraId="212B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4A388A7">
            <w:pPr>
              <w:snapToGrid w:val="0"/>
              <w:spacing w:before="50" w:after="50" w:line="276" w:lineRule="auto"/>
              <w:jc w:val="center"/>
              <w:rPr>
                <w:rFonts w:hint="eastAsia"/>
                <w:sz w:val="21"/>
                <w:szCs w:val="21"/>
                <w:highlight w:val="none"/>
              </w:rPr>
            </w:pPr>
          </w:p>
        </w:tc>
        <w:tc>
          <w:tcPr>
            <w:tcW w:w="1440" w:type="dxa"/>
            <w:vAlign w:val="center"/>
          </w:tcPr>
          <w:p w14:paraId="150A7891">
            <w:pPr>
              <w:snapToGrid w:val="0"/>
              <w:spacing w:before="50" w:after="50" w:line="276" w:lineRule="auto"/>
              <w:jc w:val="center"/>
              <w:rPr>
                <w:rFonts w:hint="eastAsia"/>
                <w:sz w:val="21"/>
                <w:szCs w:val="21"/>
                <w:highlight w:val="none"/>
              </w:rPr>
            </w:pPr>
          </w:p>
        </w:tc>
        <w:tc>
          <w:tcPr>
            <w:tcW w:w="1980" w:type="dxa"/>
            <w:vAlign w:val="center"/>
          </w:tcPr>
          <w:p w14:paraId="615058CA">
            <w:pPr>
              <w:snapToGrid w:val="0"/>
              <w:spacing w:before="50" w:after="50" w:line="276" w:lineRule="auto"/>
              <w:jc w:val="center"/>
              <w:rPr>
                <w:rFonts w:hint="eastAsia"/>
                <w:sz w:val="21"/>
                <w:szCs w:val="21"/>
                <w:highlight w:val="none"/>
              </w:rPr>
            </w:pPr>
          </w:p>
        </w:tc>
        <w:tc>
          <w:tcPr>
            <w:tcW w:w="2520" w:type="dxa"/>
            <w:vAlign w:val="center"/>
          </w:tcPr>
          <w:p w14:paraId="77442B1A">
            <w:pPr>
              <w:snapToGrid w:val="0"/>
              <w:spacing w:before="50" w:after="50" w:line="276" w:lineRule="auto"/>
              <w:jc w:val="center"/>
              <w:rPr>
                <w:rFonts w:hint="eastAsia"/>
                <w:sz w:val="21"/>
                <w:szCs w:val="21"/>
                <w:highlight w:val="none"/>
              </w:rPr>
            </w:pPr>
          </w:p>
        </w:tc>
        <w:tc>
          <w:tcPr>
            <w:tcW w:w="1953" w:type="dxa"/>
            <w:vAlign w:val="center"/>
          </w:tcPr>
          <w:p w14:paraId="258F908C">
            <w:pPr>
              <w:snapToGrid w:val="0"/>
              <w:spacing w:before="50" w:after="50" w:line="276" w:lineRule="auto"/>
              <w:jc w:val="center"/>
              <w:rPr>
                <w:rFonts w:hint="eastAsia"/>
                <w:sz w:val="21"/>
                <w:szCs w:val="21"/>
                <w:highlight w:val="none"/>
              </w:rPr>
            </w:pPr>
          </w:p>
        </w:tc>
      </w:tr>
      <w:tr w14:paraId="0938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395F6DF">
            <w:pPr>
              <w:snapToGrid w:val="0"/>
              <w:spacing w:before="50" w:after="50" w:line="276" w:lineRule="auto"/>
              <w:jc w:val="center"/>
              <w:rPr>
                <w:rFonts w:hint="eastAsia"/>
                <w:sz w:val="21"/>
                <w:szCs w:val="21"/>
                <w:highlight w:val="none"/>
              </w:rPr>
            </w:pPr>
          </w:p>
        </w:tc>
        <w:tc>
          <w:tcPr>
            <w:tcW w:w="1440" w:type="dxa"/>
            <w:vAlign w:val="center"/>
          </w:tcPr>
          <w:p w14:paraId="0640E8CC">
            <w:pPr>
              <w:snapToGrid w:val="0"/>
              <w:spacing w:before="50" w:after="50" w:line="276" w:lineRule="auto"/>
              <w:jc w:val="center"/>
              <w:rPr>
                <w:rFonts w:hint="eastAsia"/>
                <w:sz w:val="21"/>
                <w:szCs w:val="21"/>
                <w:highlight w:val="none"/>
              </w:rPr>
            </w:pPr>
          </w:p>
        </w:tc>
        <w:tc>
          <w:tcPr>
            <w:tcW w:w="1980" w:type="dxa"/>
            <w:vAlign w:val="center"/>
          </w:tcPr>
          <w:p w14:paraId="0E6D9B27">
            <w:pPr>
              <w:snapToGrid w:val="0"/>
              <w:spacing w:before="50" w:after="50" w:line="276" w:lineRule="auto"/>
              <w:jc w:val="center"/>
              <w:rPr>
                <w:rFonts w:hint="eastAsia"/>
                <w:sz w:val="21"/>
                <w:szCs w:val="21"/>
                <w:highlight w:val="none"/>
              </w:rPr>
            </w:pPr>
          </w:p>
        </w:tc>
        <w:tc>
          <w:tcPr>
            <w:tcW w:w="2520" w:type="dxa"/>
            <w:vAlign w:val="center"/>
          </w:tcPr>
          <w:p w14:paraId="5DE55C54">
            <w:pPr>
              <w:snapToGrid w:val="0"/>
              <w:spacing w:before="50" w:after="50" w:line="276" w:lineRule="auto"/>
              <w:jc w:val="center"/>
              <w:rPr>
                <w:rFonts w:hint="eastAsia"/>
                <w:sz w:val="21"/>
                <w:szCs w:val="21"/>
                <w:highlight w:val="none"/>
              </w:rPr>
            </w:pPr>
          </w:p>
        </w:tc>
        <w:tc>
          <w:tcPr>
            <w:tcW w:w="1953" w:type="dxa"/>
            <w:vAlign w:val="center"/>
          </w:tcPr>
          <w:p w14:paraId="575402E6">
            <w:pPr>
              <w:snapToGrid w:val="0"/>
              <w:spacing w:before="50" w:after="50" w:line="276" w:lineRule="auto"/>
              <w:jc w:val="center"/>
              <w:rPr>
                <w:rFonts w:hint="eastAsia"/>
                <w:sz w:val="21"/>
                <w:szCs w:val="21"/>
                <w:highlight w:val="none"/>
              </w:rPr>
            </w:pPr>
          </w:p>
        </w:tc>
      </w:tr>
      <w:tr w14:paraId="1C0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48A04B6">
            <w:pPr>
              <w:snapToGrid w:val="0"/>
              <w:spacing w:before="50" w:after="50" w:line="276" w:lineRule="auto"/>
              <w:jc w:val="center"/>
              <w:rPr>
                <w:rFonts w:hint="eastAsia"/>
                <w:sz w:val="21"/>
                <w:szCs w:val="21"/>
                <w:highlight w:val="none"/>
              </w:rPr>
            </w:pPr>
          </w:p>
        </w:tc>
        <w:tc>
          <w:tcPr>
            <w:tcW w:w="1440" w:type="dxa"/>
            <w:vAlign w:val="center"/>
          </w:tcPr>
          <w:p w14:paraId="68A632FD">
            <w:pPr>
              <w:snapToGrid w:val="0"/>
              <w:spacing w:before="50" w:after="50" w:line="276" w:lineRule="auto"/>
              <w:jc w:val="center"/>
              <w:rPr>
                <w:rFonts w:hint="eastAsia"/>
                <w:sz w:val="21"/>
                <w:szCs w:val="21"/>
                <w:highlight w:val="none"/>
              </w:rPr>
            </w:pPr>
          </w:p>
        </w:tc>
        <w:tc>
          <w:tcPr>
            <w:tcW w:w="1980" w:type="dxa"/>
            <w:vAlign w:val="center"/>
          </w:tcPr>
          <w:p w14:paraId="7F0AA8AC">
            <w:pPr>
              <w:snapToGrid w:val="0"/>
              <w:spacing w:before="50" w:after="50" w:line="276" w:lineRule="auto"/>
              <w:jc w:val="center"/>
              <w:rPr>
                <w:rFonts w:hint="eastAsia"/>
                <w:sz w:val="21"/>
                <w:szCs w:val="21"/>
                <w:highlight w:val="none"/>
              </w:rPr>
            </w:pPr>
          </w:p>
        </w:tc>
        <w:tc>
          <w:tcPr>
            <w:tcW w:w="2520" w:type="dxa"/>
            <w:vAlign w:val="center"/>
          </w:tcPr>
          <w:p w14:paraId="2A9B5B53">
            <w:pPr>
              <w:snapToGrid w:val="0"/>
              <w:spacing w:before="50" w:after="50" w:line="276" w:lineRule="auto"/>
              <w:jc w:val="center"/>
              <w:rPr>
                <w:rFonts w:hint="eastAsia"/>
                <w:sz w:val="21"/>
                <w:szCs w:val="21"/>
                <w:highlight w:val="none"/>
              </w:rPr>
            </w:pPr>
          </w:p>
        </w:tc>
        <w:tc>
          <w:tcPr>
            <w:tcW w:w="1953" w:type="dxa"/>
            <w:vAlign w:val="center"/>
          </w:tcPr>
          <w:p w14:paraId="751F64B9">
            <w:pPr>
              <w:snapToGrid w:val="0"/>
              <w:spacing w:before="50" w:after="50" w:line="276" w:lineRule="auto"/>
              <w:jc w:val="center"/>
              <w:rPr>
                <w:rFonts w:hint="eastAsia"/>
                <w:sz w:val="21"/>
                <w:szCs w:val="21"/>
                <w:highlight w:val="none"/>
              </w:rPr>
            </w:pPr>
          </w:p>
        </w:tc>
      </w:tr>
      <w:tr w14:paraId="3CE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199E35E8">
            <w:pPr>
              <w:snapToGrid w:val="0"/>
              <w:spacing w:before="50" w:after="50" w:line="276" w:lineRule="auto"/>
              <w:jc w:val="center"/>
              <w:rPr>
                <w:rFonts w:hint="eastAsia"/>
                <w:sz w:val="21"/>
                <w:szCs w:val="21"/>
                <w:highlight w:val="none"/>
              </w:rPr>
            </w:pPr>
            <w:r>
              <w:rPr>
                <w:rFonts w:hint="eastAsia"/>
                <w:sz w:val="21"/>
                <w:szCs w:val="21"/>
                <w:highlight w:val="none"/>
              </w:rPr>
              <w:t>投标建议</w:t>
            </w:r>
          </w:p>
        </w:tc>
        <w:tc>
          <w:tcPr>
            <w:tcW w:w="6453" w:type="dxa"/>
            <w:gridSpan w:val="3"/>
            <w:vAlign w:val="center"/>
          </w:tcPr>
          <w:p w14:paraId="479035FB">
            <w:pPr>
              <w:spacing w:line="276" w:lineRule="auto"/>
              <w:jc w:val="center"/>
              <w:rPr>
                <w:rFonts w:hint="eastAsia"/>
                <w:sz w:val="21"/>
                <w:szCs w:val="21"/>
                <w:highlight w:val="none"/>
              </w:rPr>
            </w:pPr>
          </w:p>
        </w:tc>
      </w:tr>
    </w:tbl>
    <w:p w14:paraId="0FD65562">
      <w:pPr>
        <w:snapToGrid w:val="0"/>
        <w:spacing w:line="360" w:lineRule="auto"/>
        <w:rPr>
          <w:rFonts w:hint="eastAsia"/>
          <w:highlight w:val="none"/>
        </w:rPr>
      </w:pPr>
    </w:p>
    <w:p w14:paraId="0B8F2C4E">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注：</w:t>
      </w:r>
      <w:r>
        <w:rPr>
          <w:rFonts w:hint="eastAsia" w:ascii="宋体" w:hAnsi="宋体" w:eastAsia="宋体" w:cs="宋体"/>
          <w:highlight w:val="none"/>
        </w:rPr>
        <w:t>所有</w:t>
      </w:r>
      <w:r>
        <w:rPr>
          <w:rFonts w:hint="eastAsia" w:ascii="宋体" w:hAnsi="宋体" w:eastAsia="宋体" w:cs="宋体"/>
          <w:highlight w:val="none"/>
          <w:lang w:val="en-US" w:eastAsia="zh-CN"/>
        </w:rPr>
        <w:t>设备</w:t>
      </w:r>
      <w:r>
        <w:rPr>
          <w:rFonts w:hint="eastAsia" w:ascii="宋体" w:hAnsi="宋体" w:eastAsia="宋体" w:cs="宋体"/>
          <w:highlight w:val="none"/>
        </w:rPr>
        <w:t>材料必须符合设计及发包人要求，投标人应在投标文件中列出所投产品的品牌、档次等，投标人在投标文件中提供了招标人推荐品牌以外产品的，应同时提供相当于招标人推荐品牌的证明材料。评标时，评标专家应根据投标人的证明材料及专业水平进行谨慎评标，对推荐品牌外的产品能否满足招标人要求作出明确说明。</w:t>
      </w:r>
    </w:p>
    <w:p w14:paraId="0BE8D35F">
      <w:pPr>
        <w:pStyle w:val="16"/>
        <w:spacing w:line="360" w:lineRule="auto"/>
        <w:rPr>
          <w:rFonts w:hint="eastAsia"/>
          <w:highlight w:val="none"/>
        </w:rPr>
      </w:pPr>
    </w:p>
    <w:p w14:paraId="5EE3C54E">
      <w:pPr>
        <w:pStyle w:val="12"/>
        <w:spacing w:line="360" w:lineRule="auto"/>
        <w:ind w:left="480"/>
        <w:rPr>
          <w:rFonts w:hint="eastAsia"/>
          <w:highlight w:val="none"/>
        </w:rPr>
      </w:pPr>
    </w:p>
    <w:p w14:paraId="19F023B1">
      <w:pPr>
        <w:snapToGrid w:val="0"/>
        <w:spacing w:line="360" w:lineRule="auto"/>
        <w:rPr>
          <w:rFonts w:hint="eastAsia"/>
          <w:highlight w:val="none"/>
        </w:rPr>
      </w:pPr>
    </w:p>
    <w:p w14:paraId="0DED058E">
      <w:pPr>
        <w:spacing w:line="360" w:lineRule="auto"/>
        <w:ind w:left="4320" w:leftChars="1800" w:firstLine="480" w:firstLineChars="200"/>
        <w:rPr>
          <w:rFonts w:hint="eastAsia"/>
          <w:highlight w:val="none"/>
        </w:rPr>
      </w:pPr>
      <w:r>
        <w:rPr>
          <w:rFonts w:hint="eastAsia"/>
          <w:highlight w:val="none"/>
        </w:rPr>
        <w:t xml:space="preserve">法定代表人签名（或签名章）：                       </w:t>
      </w:r>
    </w:p>
    <w:p w14:paraId="7B04B7D0">
      <w:pPr>
        <w:spacing w:line="360" w:lineRule="auto"/>
        <w:ind w:left="4320" w:leftChars="1800" w:firstLine="480" w:firstLineChars="200"/>
        <w:rPr>
          <w:rFonts w:hint="eastAsia"/>
          <w:highlight w:val="none"/>
        </w:rPr>
      </w:pPr>
      <w:r>
        <w:rPr>
          <w:rFonts w:hint="eastAsia"/>
          <w:highlight w:val="none"/>
        </w:rPr>
        <w:t>日 期：</w:t>
      </w:r>
    </w:p>
    <w:p w14:paraId="261AE993">
      <w:pPr>
        <w:spacing w:line="360" w:lineRule="auto"/>
        <w:ind w:left="4320" w:leftChars="1800" w:firstLine="480" w:firstLineChars="200"/>
        <w:rPr>
          <w:rFonts w:hint="eastAsia"/>
          <w:highlight w:val="none"/>
        </w:rPr>
      </w:pPr>
      <w:r>
        <w:rPr>
          <w:rFonts w:hint="eastAsia"/>
          <w:highlight w:val="none"/>
        </w:rPr>
        <w:t>投标人（或联合体牵头人）全称（公章）：</w:t>
      </w:r>
    </w:p>
    <w:p w14:paraId="5E15AB06">
      <w:pPr>
        <w:snapToGrid w:val="0"/>
        <w:spacing w:before="50" w:after="50" w:line="360" w:lineRule="auto"/>
        <w:rPr>
          <w:rFonts w:hint="eastAsia"/>
          <w:spacing w:val="20"/>
          <w:highlight w:val="none"/>
        </w:rPr>
      </w:pPr>
    </w:p>
    <w:p w14:paraId="0F2DA24F">
      <w:pPr>
        <w:pStyle w:val="5"/>
        <w:numPr>
          <w:ilvl w:val="0"/>
          <w:numId w:val="0"/>
        </w:numPr>
        <w:spacing w:line="360" w:lineRule="auto"/>
        <w:rPr>
          <w:rFonts w:hint="eastAsia"/>
          <w:highlight w:val="none"/>
        </w:rPr>
      </w:pPr>
      <w:bookmarkStart w:id="498" w:name="_Toc151026271"/>
      <w:bookmarkStart w:id="499" w:name="_Toc2823"/>
      <w:r>
        <w:rPr>
          <w:rFonts w:hint="eastAsia"/>
          <w:highlight w:val="none"/>
        </w:rPr>
        <w:t>附件六：</w:t>
      </w:r>
      <w:bookmarkEnd w:id="498"/>
      <w:bookmarkEnd w:id="499"/>
    </w:p>
    <w:p w14:paraId="64B858B6">
      <w:pPr>
        <w:spacing w:line="360" w:lineRule="auto"/>
        <w:jc w:val="center"/>
        <w:rPr>
          <w:rFonts w:hint="eastAsia"/>
          <w:b/>
          <w:bCs/>
          <w:sz w:val="30"/>
          <w:szCs w:val="30"/>
          <w:highlight w:val="none"/>
        </w:rPr>
      </w:pPr>
      <w:r>
        <w:rPr>
          <w:rFonts w:hint="eastAsia"/>
          <w:b/>
          <w:bCs/>
          <w:sz w:val="30"/>
          <w:szCs w:val="30"/>
          <w:highlight w:val="none"/>
        </w:rPr>
        <w:t>技术响应及建议表</w:t>
      </w:r>
    </w:p>
    <w:p w14:paraId="0F3017CF">
      <w:pPr>
        <w:spacing w:line="360" w:lineRule="auto"/>
        <w:ind w:firstLine="480" w:firstLineChars="200"/>
        <w:rPr>
          <w:rFonts w:hint="eastAsia"/>
          <w:highlight w:val="none"/>
        </w:rPr>
      </w:pPr>
      <w:r>
        <w:rPr>
          <w:rFonts w:hint="eastAsia"/>
          <w:highlight w:val="none"/>
        </w:rPr>
        <w:t>项目名称：</w:t>
      </w:r>
    </w:p>
    <w:p w14:paraId="430E23EF">
      <w:pPr>
        <w:spacing w:line="360" w:lineRule="auto"/>
        <w:ind w:firstLine="480" w:firstLineChars="200"/>
        <w:rPr>
          <w:rFonts w:hint="eastAsia"/>
          <w:highlight w:val="none"/>
        </w:rPr>
      </w:pPr>
      <w:r>
        <w:rPr>
          <w:rFonts w:hint="eastAsia"/>
          <w:highlight w:val="none"/>
        </w:rPr>
        <w:t>采购编号：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11A7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0856976">
            <w:pPr>
              <w:snapToGrid w:val="0"/>
              <w:spacing w:before="50" w:after="50" w:line="276" w:lineRule="auto"/>
              <w:jc w:val="center"/>
              <w:rPr>
                <w:rFonts w:hint="eastAsia"/>
                <w:sz w:val="21"/>
                <w:szCs w:val="21"/>
                <w:highlight w:val="none"/>
              </w:rPr>
            </w:pPr>
            <w:r>
              <w:rPr>
                <w:rFonts w:hint="eastAsia"/>
                <w:sz w:val="21"/>
                <w:szCs w:val="21"/>
                <w:highlight w:val="none"/>
              </w:rPr>
              <w:t>序号</w:t>
            </w:r>
          </w:p>
        </w:tc>
        <w:tc>
          <w:tcPr>
            <w:tcW w:w="1440" w:type="dxa"/>
            <w:vAlign w:val="center"/>
          </w:tcPr>
          <w:p w14:paraId="692B7AFA">
            <w:pPr>
              <w:snapToGrid w:val="0"/>
              <w:spacing w:before="50" w:after="50" w:line="276" w:lineRule="auto"/>
              <w:jc w:val="center"/>
              <w:rPr>
                <w:rFonts w:hint="eastAsia"/>
                <w:sz w:val="21"/>
                <w:szCs w:val="21"/>
                <w:highlight w:val="none"/>
              </w:rPr>
            </w:pPr>
            <w:r>
              <w:rPr>
                <w:rFonts w:hint="eastAsia"/>
                <w:sz w:val="21"/>
                <w:szCs w:val="21"/>
                <w:highlight w:val="none"/>
              </w:rPr>
              <w:t>货物名称</w:t>
            </w:r>
          </w:p>
        </w:tc>
        <w:tc>
          <w:tcPr>
            <w:tcW w:w="1980" w:type="dxa"/>
            <w:vAlign w:val="center"/>
          </w:tcPr>
          <w:p w14:paraId="4419C1FB">
            <w:pPr>
              <w:snapToGrid w:val="0"/>
              <w:spacing w:before="50" w:after="50" w:line="276" w:lineRule="auto"/>
              <w:jc w:val="center"/>
              <w:rPr>
                <w:rFonts w:hint="eastAsia"/>
                <w:sz w:val="21"/>
                <w:szCs w:val="21"/>
                <w:highlight w:val="none"/>
              </w:rPr>
            </w:pPr>
            <w:r>
              <w:rPr>
                <w:rFonts w:hint="eastAsia"/>
                <w:sz w:val="21"/>
                <w:szCs w:val="21"/>
                <w:highlight w:val="none"/>
              </w:rPr>
              <w:t>招标文件要求</w:t>
            </w:r>
          </w:p>
        </w:tc>
        <w:tc>
          <w:tcPr>
            <w:tcW w:w="2520" w:type="dxa"/>
            <w:vAlign w:val="center"/>
          </w:tcPr>
          <w:p w14:paraId="2B338902">
            <w:pPr>
              <w:snapToGrid w:val="0"/>
              <w:spacing w:before="50" w:after="50" w:line="276" w:lineRule="auto"/>
              <w:jc w:val="center"/>
              <w:rPr>
                <w:rFonts w:hint="eastAsia"/>
                <w:sz w:val="21"/>
                <w:szCs w:val="21"/>
                <w:highlight w:val="none"/>
              </w:rPr>
            </w:pPr>
            <w:r>
              <w:rPr>
                <w:rFonts w:hint="eastAsia"/>
                <w:sz w:val="21"/>
                <w:szCs w:val="21"/>
                <w:highlight w:val="none"/>
              </w:rPr>
              <w:t>投标文件响应</w:t>
            </w:r>
          </w:p>
        </w:tc>
        <w:tc>
          <w:tcPr>
            <w:tcW w:w="1953" w:type="dxa"/>
            <w:vAlign w:val="center"/>
          </w:tcPr>
          <w:p w14:paraId="731BEEDC">
            <w:pPr>
              <w:snapToGrid w:val="0"/>
              <w:spacing w:before="50" w:after="50" w:line="276" w:lineRule="auto"/>
              <w:jc w:val="center"/>
              <w:rPr>
                <w:rFonts w:hint="eastAsia"/>
                <w:sz w:val="21"/>
                <w:szCs w:val="21"/>
                <w:highlight w:val="none"/>
              </w:rPr>
            </w:pPr>
            <w:r>
              <w:rPr>
                <w:rFonts w:hint="eastAsia"/>
                <w:sz w:val="21"/>
                <w:szCs w:val="21"/>
                <w:highlight w:val="none"/>
              </w:rPr>
              <w:t>偏离情况</w:t>
            </w:r>
          </w:p>
        </w:tc>
      </w:tr>
      <w:tr w14:paraId="5030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DF3C20F">
            <w:pPr>
              <w:snapToGrid w:val="0"/>
              <w:spacing w:before="50" w:after="50" w:line="276" w:lineRule="auto"/>
              <w:jc w:val="center"/>
              <w:rPr>
                <w:rFonts w:hint="eastAsia"/>
                <w:sz w:val="21"/>
                <w:szCs w:val="21"/>
                <w:highlight w:val="none"/>
              </w:rPr>
            </w:pPr>
          </w:p>
        </w:tc>
        <w:tc>
          <w:tcPr>
            <w:tcW w:w="1440" w:type="dxa"/>
            <w:vAlign w:val="center"/>
          </w:tcPr>
          <w:p w14:paraId="6B68A618">
            <w:pPr>
              <w:snapToGrid w:val="0"/>
              <w:spacing w:before="50" w:after="50" w:line="276" w:lineRule="auto"/>
              <w:jc w:val="center"/>
              <w:rPr>
                <w:rFonts w:hint="eastAsia"/>
                <w:sz w:val="21"/>
                <w:szCs w:val="21"/>
                <w:highlight w:val="none"/>
              </w:rPr>
            </w:pPr>
          </w:p>
        </w:tc>
        <w:tc>
          <w:tcPr>
            <w:tcW w:w="1980" w:type="dxa"/>
            <w:vAlign w:val="center"/>
          </w:tcPr>
          <w:p w14:paraId="28B8CF18">
            <w:pPr>
              <w:snapToGrid w:val="0"/>
              <w:spacing w:before="50" w:after="50" w:line="276" w:lineRule="auto"/>
              <w:jc w:val="center"/>
              <w:rPr>
                <w:rFonts w:hint="eastAsia"/>
                <w:sz w:val="21"/>
                <w:szCs w:val="21"/>
                <w:highlight w:val="none"/>
              </w:rPr>
            </w:pPr>
          </w:p>
        </w:tc>
        <w:tc>
          <w:tcPr>
            <w:tcW w:w="2520" w:type="dxa"/>
            <w:vAlign w:val="center"/>
          </w:tcPr>
          <w:p w14:paraId="54EDA69B">
            <w:pPr>
              <w:snapToGrid w:val="0"/>
              <w:spacing w:before="50" w:after="50" w:line="276" w:lineRule="auto"/>
              <w:jc w:val="center"/>
              <w:rPr>
                <w:rFonts w:hint="eastAsia"/>
                <w:sz w:val="21"/>
                <w:szCs w:val="21"/>
                <w:highlight w:val="none"/>
              </w:rPr>
            </w:pPr>
          </w:p>
        </w:tc>
        <w:tc>
          <w:tcPr>
            <w:tcW w:w="1953" w:type="dxa"/>
            <w:vAlign w:val="center"/>
          </w:tcPr>
          <w:p w14:paraId="3C1D6ED0">
            <w:pPr>
              <w:snapToGrid w:val="0"/>
              <w:spacing w:before="50" w:after="50" w:line="276" w:lineRule="auto"/>
              <w:jc w:val="center"/>
              <w:rPr>
                <w:rFonts w:hint="eastAsia"/>
                <w:sz w:val="21"/>
                <w:szCs w:val="21"/>
                <w:highlight w:val="none"/>
              </w:rPr>
            </w:pPr>
          </w:p>
        </w:tc>
      </w:tr>
      <w:tr w14:paraId="1348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F32923A">
            <w:pPr>
              <w:snapToGrid w:val="0"/>
              <w:spacing w:before="50" w:after="50" w:line="276" w:lineRule="auto"/>
              <w:jc w:val="center"/>
              <w:rPr>
                <w:rFonts w:hint="eastAsia"/>
                <w:sz w:val="21"/>
                <w:szCs w:val="21"/>
                <w:highlight w:val="none"/>
              </w:rPr>
            </w:pPr>
          </w:p>
        </w:tc>
        <w:tc>
          <w:tcPr>
            <w:tcW w:w="1440" w:type="dxa"/>
            <w:vAlign w:val="center"/>
          </w:tcPr>
          <w:p w14:paraId="5220C89C">
            <w:pPr>
              <w:snapToGrid w:val="0"/>
              <w:spacing w:before="50" w:after="50" w:line="276" w:lineRule="auto"/>
              <w:jc w:val="center"/>
              <w:rPr>
                <w:rFonts w:hint="eastAsia"/>
                <w:sz w:val="21"/>
                <w:szCs w:val="21"/>
                <w:highlight w:val="none"/>
              </w:rPr>
            </w:pPr>
          </w:p>
        </w:tc>
        <w:tc>
          <w:tcPr>
            <w:tcW w:w="1980" w:type="dxa"/>
            <w:vAlign w:val="center"/>
          </w:tcPr>
          <w:p w14:paraId="4EBCE728">
            <w:pPr>
              <w:snapToGrid w:val="0"/>
              <w:spacing w:before="50" w:after="50" w:line="276" w:lineRule="auto"/>
              <w:jc w:val="center"/>
              <w:rPr>
                <w:rFonts w:hint="eastAsia"/>
                <w:sz w:val="21"/>
                <w:szCs w:val="21"/>
                <w:highlight w:val="none"/>
              </w:rPr>
            </w:pPr>
          </w:p>
        </w:tc>
        <w:tc>
          <w:tcPr>
            <w:tcW w:w="2520" w:type="dxa"/>
            <w:vAlign w:val="center"/>
          </w:tcPr>
          <w:p w14:paraId="3FFCC53E">
            <w:pPr>
              <w:snapToGrid w:val="0"/>
              <w:spacing w:before="50" w:after="50" w:line="276" w:lineRule="auto"/>
              <w:jc w:val="center"/>
              <w:rPr>
                <w:rFonts w:hint="eastAsia"/>
                <w:sz w:val="21"/>
                <w:szCs w:val="21"/>
                <w:highlight w:val="none"/>
              </w:rPr>
            </w:pPr>
          </w:p>
        </w:tc>
        <w:tc>
          <w:tcPr>
            <w:tcW w:w="1953" w:type="dxa"/>
            <w:vAlign w:val="center"/>
          </w:tcPr>
          <w:p w14:paraId="5F27C1F3">
            <w:pPr>
              <w:snapToGrid w:val="0"/>
              <w:spacing w:before="50" w:after="50" w:line="276" w:lineRule="auto"/>
              <w:jc w:val="center"/>
              <w:rPr>
                <w:rFonts w:hint="eastAsia"/>
                <w:sz w:val="21"/>
                <w:szCs w:val="21"/>
                <w:highlight w:val="none"/>
              </w:rPr>
            </w:pPr>
          </w:p>
        </w:tc>
      </w:tr>
      <w:tr w14:paraId="3EF3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C801986">
            <w:pPr>
              <w:snapToGrid w:val="0"/>
              <w:spacing w:before="50" w:after="50" w:line="276" w:lineRule="auto"/>
              <w:jc w:val="center"/>
              <w:rPr>
                <w:rFonts w:hint="eastAsia"/>
                <w:sz w:val="21"/>
                <w:szCs w:val="21"/>
                <w:highlight w:val="none"/>
              </w:rPr>
            </w:pPr>
          </w:p>
        </w:tc>
        <w:tc>
          <w:tcPr>
            <w:tcW w:w="1440" w:type="dxa"/>
            <w:vAlign w:val="center"/>
          </w:tcPr>
          <w:p w14:paraId="3960107B">
            <w:pPr>
              <w:snapToGrid w:val="0"/>
              <w:spacing w:before="50" w:after="50" w:line="276" w:lineRule="auto"/>
              <w:jc w:val="center"/>
              <w:rPr>
                <w:rFonts w:hint="eastAsia"/>
                <w:sz w:val="21"/>
                <w:szCs w:val="21"/>
                <w:highlight w:val="none"/>
              </w:rPr>
            </w:pPr>
          </w:p>
        </w:tc>
        <w:tc>
          <w:tcPr>
            <w:tcW w:w="1980" w:type="dxa"/>
            <w:vAlign w:val="center"/>
          </w:tcPr>
          <w:p w14:paraId="3565209E">
            <w:pPr>
              <w:snapToGrid w:val="0"/>
              <w:spacing w:before="50" w:after="50" w:line="276" w:lineRule="auto"/>
              <w:jc w:val="center"/>
              <w:rPr>
                <w:rFonts w:hint="eastAsia"/>
                <w:sz w:val="21"/>
                <w:szCs w:val="21"/>
                <w:highlight w:val="none"/>
              </w:rPr>
            </w:pPr>
          </w:p>
        </w:tc>
        <w:tc>
          <w:tcPr>
            <w:tcW w:w="2520" w:type="dxa"/>
            <w:vAlign w:val="center"/>
          </w:tcPr>
          <w:p w14:paraId="03A11063">
            <w:pPr>
              <w:snapToGrid w:val="0"/>
              <w:spacing w:before="50" w:after="50" w:line="276" w:lineRule="auto"/>
              <w:jc w:val="center"/>
              <w:rPr>
                <w:rFonts w:hint="eastAsia"/>
                <w:sz w:val="21"/>
                <w:szCs w:val="21"/>
                <w:highlight w:val="none"/>
              </w:rPr>
            </w:pPr>
          </w:p>
        </w:tc>
        <w:tc>
          <w:tcPr>
            <w:tcW w:w="1953" w:type="dxa"/>
            <w:vAlign w:val="center"/>
          </w:tcPr>
          <w:p w14:paraId="54FE6847">
            <w:pPr>
              <w:snapToGrid w:val="0"/>
              <w:spacing w:before="50" w:after="50" w:line="276" w:lineRule="auto"/>
              <w:jc w:val="center"/>
              <w:rPr>
                <w:rFonts w:hint="eastAsia"/>
                <w:sz w:val="21"/>
                <w:szCs w:val="21"/>
                <w:highlight w:val="none"/>
              </w:rPr>
            </w:pPr>
          </w:p>
        </w:tc>
      </w:tr>
      <w:tr w14:paraId="3007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45619F3">
            <w:pPr>
              <w:snapToGrid w:val="0"/>
              <w:spacing w:before="50" w:after="50" w:line="276" w:lineRule="auto"/>
              <w:jc w:val="center"/>
              <w:rPr>
                <w:rFonts w:hint="eastAsia"/>
                <w:sz w:val="21"/>
                <w:szCs w:val="21"/>
                <w:highlight w:val="none"/>
              </w:rPr>
            </w:pPr>
          </w:p>
        </w:tc>
        <w:tc>
          <w:tcPr>
            <w:tcW w:w="1440" w:type="dxa"/>
            <w:vAlign w:val="center"/>
          </w:tcPr>
          <w:p w14:paraId="462E4AF4">
            <w:pPr>
              <w:snapToGrid w:val="0"/>
              <w:spacing w:before="50" w:after="50" w:line="276" w:lineRule="auto"/>
              <w:jc w:val="center"/>
              <w:rPr>
                <w:rFonts w:hint="eastAsia"/>
                <w:sz w:val="21"/>
                <w:szCs w:val="21"/>
                <w:highlight w:val="none"/>
              </w:rPr>
            </w:pPr>
          </w:p>
        </w:tc>
        <w:tc>
          <w:tcPr>
            <w:tcW w:w="1980" w:type="dxa"/>
            <w:vAlign w:val="center"/>
          </w:tcPr>
          <w:p w14:paraId="78FE5E02">
            <w:pPr>
              <w:snapToGrid w:val="0"/>
              <w:spacing w:before="50" w:after="50" w:line="276" w:lineRule="auto"/>
              <w:jc w:val="center"/>
              <w:rPr>
                <w:rFonts w:hint="eastAsia"/>
                <w:sz w:val="21"/>
                <w:szCs w:val="21"/>
                <w:highlight w:val="none"/>
              </w:rPr>
            </w:pPr>
          </w:p>
        </w:tc>
        <w:tc>
          <w:tcPr>
            <w:tcW w:w="2520" w:type="dxa"/>
            <w:vAlign w:val="center"/>
          </w:tcPr>
          <w:p w14:paraId="51697E18">
            <w:pPr>
              <w:snapToGrid w:val="0"/>
              <w:spacing w:before="50" w:after="50" w:line="276" w:lineRule="auto"/>
              <w:jc w:val="center"/>
              <w:rPr>
                <w:rFonts w:hint="eastAsia"/>
                <w:sz w:val="21"/>
                <w:szCs w:val="21"/>
                <w:highlight w:val="none"/>
              </w:rPr>
            </w:pPr>
          </w:p>
        </w:tc>
        <w:tc>
          <w:tcPr>
            <w:tcW w:w="1953" w:type="dxa"/>
            <w:vAlign w:val="center"/>
          </w:tcPr>
          <w:p w14:paraId="571732DD">
            <w:pPr>
              <w:snapToGrid w:val="0"/>
              <w:spacing w:before="50" w:after="50" w:line="276" w:lineRule="auto"/>
              <w:jc w:val="center"/>
              <w:rPr>
                <w:rFonts w:hint="eastAsia"/>
                <w:sz w:val="21"/>
                <w:szCs w:val="21"/>
                <w:highlight w:val="none"/>
              </w:rPr>
            </w:pPr>
          </w:p>
        </w:tc>
      </w:tr>
      <w:tr w14:paraId="0F24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C9B1877">
            <w:pPr>
              <w:snapToGrid w:val="0"/>
              <w:spacing w:before="50" w:after="50" w:line="276" w:lineRule="auto"/>
              <w:jc w:val="center"/>
              <w:rPr>
                <w:rFonts w:hint="eastAsia"/>
                <w:sz w:val="21"/>
                <w:szCs w:val="21"/>
                <w:highlight w:val="none"/>
              </w:rPr>
            </w:pPr>
          </w:p>
        </w:tc>
        <w:tc>
          <w:tcPr>
            <w:tcW w:w="1440" w:type="dxa"/>
            <w:vAlign w:val="center"/>
          </w:tcPr>
          <w:p w14:paraId="05063EFD">
            <w:pPr>
              <w:snapToGrid w:val="0"/>
              <w:spacing w:before="50" w:after="50" w:line="276" w:lineRule="auto"/>
              <w:jc w:val="center"/>
              <w:rPr>
                <w:rFonts w:hint="eastAsia"/>
                <w:sz w:val="21"/>
                <w:szCs w:val="21"/>
                <w:highlight w:val="none"/>
              </w:rPr>
            </w:pPr>
          </w:p>
        </w:tc>
        <w:tc>
          <w:tcPr>
            <w:tcW w:w="1980" w:type="dxa"/>
            <w:vAlign w:val="center"/>
          </w:tcPr>
          <w:p w14:paraId="5BAB1466">
            <w:pPr>
              <w:snapToGrid w:val="0"/>
              <w:spacing w:before="50" w:after="50" w:line="276" w:lineRule="auto"/>
              <w:jc w:val="center"/>
              <w:rPr>
                <w:rFonts w:hint="eastAsia"/>
                <w:sz w:val="21"/>
                <w:szCs w:val="21"/>
                <w:highlight w:val="none"/>
              </w:rPr>
            </w:pPr>
          </w:p>
        </w:tc>
        <w:tc>
          <w:tcPr>
            <w:tcW w:w="2520" w:type="dxa"/>
            <w:vAlign w:val="center"/>
          </w:tcPr>
          <w:p w14:paraId="4D3A7880">
            <w:pPr>
              <w:snapToGrid w:val="0"/>
              <w:spacing w:before="50" w:after="50" w:line="276" w:lineRule="auto"/>
              <w:jc w:val="center"/>
              <w:rPr>
                <w:rFonts w:hint="eastAsia"/>
                <w:sz w:val="21"/>
                <w:szCs w:val="21"/>
                <w:highlight w:val="none"/>
              </w:rPr>
            </w:pPr>
          </w:p>
        </w:tc>
        <w:tc>
          <w:tcPr>
            <w:tcW w:w="1953" w:type="dxa"/>
            <w:vAlign w:val="center"/>
          </w:tcPr>
          <w:p w14:paraId="572DB278">
            <w:pPr>
              <w:snapToGrid w:val="0"/>
              <w:spacing w:before="50" w:after="50" w:line="276" w:lineRule="auto"/>
              <w:jc w:val="center"/>
              <w:rPr>
                <w:rFonts w:hint="eastAsia"/>
                <w:sz w:val="21"/>
                <w:szCs w:val="21"/>
                <w:highlight w:val="none"/>
              </w:rPr>
            </w:pPr>
          </w:p>
        </w:tc>
      </w:tr>
      <w:tr w14:paraId="4A82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A80C5BA">
            <w:pPr>
              <w:snapToGrid w:val="0"/>
              <w:spacing w:before="50" w:after="50" w:line="276" w:lineRule="auto"/>
              <w:jc w:val="center"/>
              <w:rPr>
                <w:rFonts w:hint="eastAsia"/>
                <w:sz w:val="21"/>
                <w:szCs w:val="21"/>
                <w:highlight w:val="none"/>
              </w:rPr>
            </w:pPr>
            <w:r>
              <w:rPr>
                <w:rFonts w:hint="eastAsia"/>
                <w:sz w:val="21"/>
                <w:szCs w:val="21"/>
                <w:highlight w:val="none"/>
              </w:rPr>
              <w:t>投标建议</w:t>
            </w:r>
          </w:p>
        </w:tc>
        <w:tc>
          <w:tcPr>
            <w:tcW w:w="6453" w:type="dxa"/>
            <w:gridSpan w:val="3"/>
            <w:vAlign w:val="center"/>
          </w:tcPr>
          <w:p w14:paraId="092E265F">
            <w:pPr>
              <w:spacing w:line="276" w:lineRule="auto"/>
              <w:jc w:val="center"/>
              <w:rPr>
                <w:rFonts w:hint="eastAsia"/>
                <w:sz w:val="21"/>
                <w:szCs w:val="21"/>
                <w:highlight w:val="none"/>
              </w:rPr>
            </w:pPr>
          </w:p>
        </w:tc>
      </w:tr>
    </w:tbl>
    <w:p w14:paraId="172688E9">
      <w:pPr>
        <w:snapToGrid w:val="0"/>
        <w:spacing w:line="360" w:lineRule="auto"/>
        <w:rPr>
          <w:rFonts w:hint="eastAsia"/>
          <w:highlight w:val="none"/>
        </w:rPr>
      </w:pPr>
    </w:p>
    <w:p w14:paraId="3C5F061F">
      <w:pPr>
        <w:pStyle w:val="16"/>
        <w:spacing w:line="360" w:lineRule="auto"/>
        <w:rPr>
          <w:rFonts w:hint="eastAsia" w:hAnsi="宋体" w:cs="宋体"/>
          <w:highlight w:val="none"/>
        </w:rPr>
      </w:pPr>
    </w:p>
    <w:p w14:paraId="247AA4F0">
      <w:pPr>
        <w:spacing w:line="360" w:lineRule="auto"/>
        <w:rPr>
          <w:rFonts w:hint="eastAsia"/>
          <w:highlight w:val="none"/>
        </w:rPr>
      </w:pPr>
    </w:p>
    <w:p w14:paraId="10163E38">
      <w:pPr>
        <w:pStyle w:val="12"/>
        <w:spacing w:line="360" w:lineRule="auto"/>
        <w:ind w:left="480"/>
        <w:rPr>
          <w:rFonts w:hint="eastAsia"/>
          <w:highlight w:val="none"/>
        </w:rPr>
      </w:pPr>
    </w:p>
    <w:p w14:paraId="405D9235">
      <w:pPr>
        <w:snapToGrid w:val="0"/>
        <w:spacing w:line="360" w:lineRule="auto"/>
        <w:rPr>
          <w:rFonts w:hint="eastAsia"/>
          <w:highlight w:val="none"/>
        </w:rPr>
      </w:pPr>
    </w:p>
    <w:p w14:paraId="60BEC701">
      <w:pPr>
        <w:spacing w:line="360" w:lineRule="auto"/>
        <w:ind w:left="4320" w:leftChars="1800" w:firstLine="480" w:firstLineChars="200"/>
        <w:rPr>
          <w:rFonts w:hint="eastAsia"/>
          <w:highlight w:val="none"/>
        </w:rPr>
      </w:pPr>
      <w:r>
        <w:rPr>
          <w:rFonts w:hint="eastAsia"/>
          <w:highlight w:val="none"/>
        </w:rPr>
        <w:t xml:space="preserve">法定代表人签名（或签名章）：                       </w:t>
      </w:r>
    </w:p>
    <w:p w14:paraId="11E563B5">
      <w:pPr>
        <w:spacing w:line="360" w:lineRule="auto"/>
        <w:ind w:left="4320" w:leftChars="1800" w:firstLine="480" w:firstLineChars="200"/>
        <w:rPr>
          <w:rFonts w:hint="eastAsia"/>
          <w:highlight w:val="none"/>
        </w:rPr>
      </w:pPr>
      <w:r>
        <w:rPr>
          <w:rFonts w:hint="eastAsia"/>
          <w:highlight w:val="none"/>
        </w:rPr>
        <w:t>日 期：</w:t>
      </w:r>
    </w:p>
    <w:p w14:paraId="21D6DBD3">
      <w:pPr>
        <w:spacing w:line="360" w:lineRule="auto"/>
        <w:ind w:left="4320" w:leftChars="1800" w:firstLine="480" w:firstLineChars="200"/>
        <w:rPr>
          <w:rFonts w:hint="eastAsia"/>
          <w:highlight w:val="none"/>
        </w:rPr>
      </w:pPr>
      <w:r>
        <w:rPr>
          <w:rFonts w:hint="eastAsia"/>
          <w:highlight w:val="none"/>
        </w:rPr>
        <w:t>投标人（或联合体牵头人）全称（公章）：</w:t>
      </w:r>
    </w:p>
    <w:p w14:paraId="282ED146">
      <w:pPr>
        <w:rPr>
          <w:rFonts w:hint="eastAsia"/>
          <w:highlight w:val="none"/>
        </w:rPr>
      </w:pPr>
      <w:r>
        <w:rPr>
          <w:rFonts w:hint="eastAsia"/>
          <w:highlight w:val="none"/>
        </w:rPr>
        <w:br w:type="page"/>
      </w:r>
    </w:p>
    <w:p w14:paraId="71DCD292">
      <w:pPr>
        <w:rPr>
          <w:rFonts w:hint="eastAsia"/>
          <w:sz w:val="36"/>
          <w:szCs w:val="22"/>
          <w:highlight w:val="none"/>
        </w:rPr>
      </w:pPr>
    </w:p>
    <w:p w14:paraId="3F871A4F">
      <w:pPr>
        <w:pStyle w:val="3"/>
        <w:spacing w:line="360" w:lineRule="auto"/>
        <w:jc w:val="center"/>
        <w:rPr>
          <w:rFonts w:hint="eastAsia"/>
          <w:sz w:val="36"/>
          <w:szCs w:val="22"/>
          <w:highlight w:val="none"/>
        </w:rPr>
      </w:pPr>
      <w:r>
        <w:rPr>
          <w:rFonts w:hint="eastAsia"/>
          <w:sz w:val="36"/>
          <w:szCs w:val="22"/>
          <w:highlight w:val="none"/>
        </w:rPr>
        <w:t>商务文件</w:t>
      </w:r>
    </w:p>
    <w:p w14:paraId="3D091880">
      <w:pPr>
        <w:spacing w:line="360" w:lineRule="auto"/>
        <w:jc w:val="center"/>
        <w:rPr>
          <w:rFonts w:hint="eastAsia"/>
          <w:b/>
          <w:sz w:val="36"/>
          <w:szCs w:val="36"/>
          <w:highlight w:val="none"/>
        </w:rPr>
      </w:pPr>
    </w:p>
    <w:p w14:paraId="20FDAB23">
      <w:pPr>
        <w:spacing w:line="360" w:lineRule="auto"/>
        <w:jc w:val="center"/>
        <w:rPr>
          <w:rFonts w:hint="eastAsia"/>
          <w:b/>
          <w:sz w:val="36"/>
          <w:szCs w:val="36"/>
          <w:highlight w:val="none"/>
        </w:rPr>
      </w:pPr>
      <w:r>
        <w:rPr>
          <w:rFonts w:hint="eastAsia"/>
          <w:b/>
          <w:sz w:val="36"/>
          <w:szCs w:val="36"/>
          <w:highlight w:val="none"/>
        </w:rPr>
        <w:t>目录</w:t>
      </w:r>
    </w:p>
    <w:p w14:paraId="3E9B1FE0">
      <w:pPr>
        <w:pStyle w:val="12"/>
        <w:spacing w:line="360" w:lineRule="auto"/>
        <w:ind w:left="480" w:firstLine="486"/>
        <w:rPr>
          <w:rFonts w:hint="eastAsia"/>
          <w:highlight w:val="none"/>
        </w:rPr>
      </w:pPr>
    </w:p>
    <w:p w14:paraId="6022BD20">
      <w:pPr>
        <w:pStyle w:val="69"/>
        <w:numPr>
          <w:ilvl w:val="0"/>
          <w:numId w:val="40"/>
        </w:numPr>
        <w:tabs>
          <w:tab w:val="left" w:pos="0"/>
        </w:tabs>
        <w:spacing w:before="0"/>
        <w:ind w:firstLineChars="0"/>
        <w:rPr>
          <w:rFonts w:hint="eastAsia" w:ascii="宋体" w:hAnsi="宋体"/>
          <w:color w:val="FF0000"/>
          <w:highlight w:val="none"/>
        </w:rPr>
      </w:pPr>
      <w:r>
        <w:rPr>
          <w:rFonts w:ascii="宋体" w:hAnsi="宋体"/>
          <w:color w:val="FF0000"/>
          <w:highlight w:val="none"/>
        </w:rPr>
        <w:t xml:space="preserve"> </w:t>
      </w:r>
      <w:r>
        <w:rPr>
          <w:rFonts w:hint="eastAsia" w:ascii="宋体" w:hAnsi="宋体"/>
          <w:color w:val="FF0000"/>
          <w:highlight w:val="none"/>
        </w:rPr>
        <w:t>供应商商务文件中商务资信分自评表（格式见附件）；</w:t>
      </w:r>
    </w:p>
    <w:p w14:paraId="2FBE4BEB">
      <w:pPr>
        <w:pStyle w:val="69"/>
        <w:tabs>
          <w:tab w:val="left" w:pos="0"/>
        </w:tabs>
        <w:spacing w:before="0"/>
        <w:ind w:firstLine="480"/>
        <w:rPr>
          <w:rFonts w:hint="eastAsia" w:ascii="宋体" w:hAnsi="宋体"/>
          <w:bCs/>
          <w:color w:val="FF0000"/>
          <w:highlight w:val="none"/>
        </w:rPr>
      </w:pPr>
      <w:r>
        <w:rPr>
          <w:rFonts w:hint="eastAsia" w:ascii="宋体" w:hAnsi="宋体"/>
          <w:color w:val="FF0000"/>
          <w:highlight w:val="none"/>
        </w:rPr>
        <w:t>②</w:t>
      </w:r>
      <w:r>
        <w:rPr>
          <w:rFonts w:ascii="宋体" w:hAnsi="宋体"/>
          <w:color w:val="FF0000"/>
          <w:highlight w:val="none"/>
        </w:rPr>
        <w:t xml:space="preserve">  </w:t>
      </w:r>
      <w:r>
        <w:rPr>
          <w:rFonts w:hint="eastAsia" w:ascii="宋体" w:hAnsi="宋体"/>
          <w:bCs/>
          <w:color w:val="FF0000"/>
          <w:highlight w:val="none"/>
        </w:rPr>
        <w:t>商务响应表（格式见附件）；</w:t>
      </w:r>
    </w:p>
    <w:p w14:paraId="3273414D">
      <w:pPr>
        <w:pStyle w:val="69"/>
        <w:tabs>
          <w:tab w:val="left" w:pos="0"/>
        </w:tabs>
        <w:spacing w:before="0"/>
        <w:ind w:firstLine="480"/>
        <w:rPr>
          <w:rFonts w:hint="eastAsia" w:ascii="宋体" w:hAnsi="宋体"/>
          <w:bCs/>
          <w:color w:val="FF0000"/>
          <w:highlight w:val="none"/>
        </w:rPr>
      </w:pPr>
      <w:r>
        <w:rPr>
          <w:rFonts w:hint="eastAsia" w:ascii="宋体" w:hAnsi="宋体"/>
          <w:color w:val="FF0000"/>
          <w:szCs w:val="24"/>
          <w:highlight w:val="none"/>
        </w:rPr>
        <w:t>③</w:t>
      </w:r>
      <w:r>
        <w:rPr>
          <w:rFonts w:ascii="宋体" w:hAnsi="宋体"/>
          <w:bCs/>
          <w:color w:val="FF0000"/>
          <w:highlight w:val="none"/>
        </w:rPr>
        <w:t xml:space="preserve">  </w:t>
      </w:r>
      <w:r>
        <w:rPr>
          <w:rFonts w:hint="eastAsia" w:ascii="宋体" w:hAnsi="宋体"/>
          <w:bCs/>
          <w:color w:val="FF0000"/>
          <w:highlight w:val="none"/>
        </w:rPr>
        <w:t>投标人实力；</w:t>
      </w:r>
    </w:p>
    <w:p w14:paraId="0A9CF307">
      <w:pPr>
        <w:pStyle w:val="69"/>
        <w:tabs>
          <w:tab w:val="left" w:pos="0"/>
        </w:tabs>
        <w:spacing w:before="0"/>
        <w:ind w:firstLine="480"/>
        <w:rPr>
          <w:rFonts w:hint="eastAsia" w:ascii="宋体" w:hAnsi="宋体"/>
          <w:bCs/>
          <w:color w:val="FF0000"/>
          <w:highlight w:val="none"/>
        </w:rPr>
      </w:pPr>
      <w:r>
        <w:rPr>
          <w:rFonts w:hint="eastAsia" w:ascii="宋体" w:hAnsi="宋体"/>
          <w:color w:val="FF0000"/>
          <w:szCs w:val="24"/>
          <w:highlight w:val="none"/>
        </w:rPr>
        <w:t>④</w:t>
      </w:r>
      <w:r>
        <w:rPr>
          <w:rFonts w:ascii="宋体" w:hAnsi="宋体"/>
          <w:bCs/>
          <w:color w:val="FF0000"/>
          <w:highlight w:val="none"/>
        </w:rPr>
        <w:t xml:space="preserve">  </w:t>
      </w:r>
      <w:r>
        <w:rPr>
          <w:rFonts w:hint="eastAsia" w:ascii="宋体" w:hAnsi="宋体"/>
          <w:bCs/>
          <w:color w:val="FF0000"/>
          <w:highlight w:val="none"/>
        </w:rPr>
        <w:t>投标人业绩；</w:t>
      </w:r>
    </w:p>
    <w:p w14:paraId="42241508">
      <w:pPr>
        <w:pStyle w:val="69"/>
        <w:tabs>
          <w:tab w:val="left" w:pos="0"/>
        </w:tabs>
        <w:spacing w:before="0"/>
        <w:ind w:firstLine="480"/>
        <w:rPr>
          <w:rFonts w:hint="eastAsia" w:ascii="宋体" w:hAnsi="宋体"/>
          <w:bCs/>
          <w:color w:val="FF0000"/>
          <w:highlight w:val="none"/>
        </w:rPr>
      </w:pPr>
      <w:r>
        <w:rPr>
          <w:rFonts w:hint="eastAsia" w:ascii="宋体" w:hAnsi="宋体"/>
          <w:bCs/>
          <w:color w:val="FF0000"/>
          <w:highlight w:val="none"/>
        </w:rPr>
        <w:t>⑥</w:t>
      </w:r>
      <w:r>
        <w:rPr>
          <w:rFonts w:ascii="宋体" w:hAnsi="宋体"/>
          <w:bCs/>
          <w:color w:val="FF0000"/>
          <w:highlight w:val="none"/>
        </w:rPr>
        <w:t xml:space="preserve">  </w:t>
      </w:r>
      <w:r>
        <w:rPr>
          <w:rFonts w:hint="eastAsia" w:ascii="宋体" w:hAnsi="宋体"/>
          <w:bCs/>
          <w:color w:val="FF0000"/>
          <w:highlight w:val="none"/>
        </w:rPr>
        <w:t>管理体系；</w:t>
      </w:r>
    </w:p>
    <w:p w14:paraId="7D47A44D">
      <w:pPr>
        <w:pStyle w:val="69"/>
        <w:tabs>
          <w:tab w:val="left" w:pos="0"/>
        </w:tabs>
        <w:spacing w:before="0"/>
        <w:ind w:firstLine="480"/>
        <w:rPr>
          <w:rFonts w:hint="eastAsia" w:ascii="宋体" w:hAnsi="宋体"/>
          <w:bCs/>
          <w:color w:val="FF0000"/>
          <w:highlight w:val="none"/>
        </w:rPr>
      </w:pPr>
      <w:r>
        <w:rPr>
          <w:rFonts w:hint="eastAsia" w:ascii="宋体" w:hAnsi="宋体"/>
          <w:bCs/>
          <w:color w:val="FF0000"/>
          <w:highlight w:val="none"/>
        </w:rPr>
        <w:t>⑦</w:t>
      </w:r>
      <w:r>
        <w:rPr>
          <w:rFonts w:ascii="宋体" w:hAnsi="宋体"/>
          <w:bCs/>
          <w:color w:val="FF0000"/>
          <w:highlight w:val="none"/>
        </w:rPr>
        <w:t xml:space="preserve">  </w:t>
      </w:r>
      <w:r>
        <w:rPr>
          <w:rFonts w:hint="eastAsia" w:ascii="宋体" w:hAnsi="宋体"/>
          <w:bCs/>
          <w:color w:val="FF0000"/>
          <w:highlight w:val="none"/>
        </w:rPr>
        <w:t>项目团队；</w:t>
      </w:r>
    </w:p>
    <w:p w14:paraId="40771A5B">
      <w:pPr>
        <w:pStyle w:val="69"/>
        <w:tabs>
          <w:tab w:val="left" w:pos="0"/>
        </w:tabs>
        <w:spacing w:before="0"/>
        <w:ind w:firstLine="480"/>
        <w:rPr>
          <w:rFonts w:hint="eastAsia" w:ascii="宋体" w:hAnsi="宋体"/>
          <w:color w:val="FF0000"/>
          <w:highlight w:val="none"/>
        </w:rPr>
      </w:pPr>
      <w:r>
        <w:rPr>
          <w:rFonts w:hint="eastAsia" w:ascii="宋体" w:hAnsi="宋体"/>
          <w:color w:val="FF0000"/>
          <w:highlight w:val="none"/>
        </w:rPr>
        <w:t>⑨</w:t>
      </w:r>
      <w:r>
        <w:rPr>
          <w:rFonts w:ascii="宋体" w:hAnsi="宋体"/>
          <w:color w:val="FF0000"/>
          <w:highlight w:val="none"/>
        </w:rPr>
        <w:t xml:space="preserve">  </w:t>
      </w:r>
      <w:r>
        <w:rPr>
          <w:rFonts w:hint="eastAsia" w:ascii="宋体" w:hAnsi="宋体"/>
          <w:color w:val="FF0000"/>
          <w:highlight w:val="none"/>
        </w:rPr>
        <w:t>投标方认为需要的其他文件资料</w:t>
      </w:r>
      <w:r>
        <w:rPr>
          <w:rFonts w:hint="eastAsia" w:ascii="宋体" w:hAnsi="宋体"/>
          <w:bCs/>
          <w:color w:val="FF0000"/>
          <w:highlight w:val="none"/>
        </w:rPr>
        <w:t>；</w:t>
      </w:r>
    </w:p>
    <w:p w14:paraId="343ADC9E">
      <w:pPr>
        <w:spacing w:line="360" w:lineRule="auto"/>
        <w:rPr>
          <w:rFonts w:hint="eastAsia"/>
          <w:szCs w:val="32"/>
          <w:highlight w:val="none"/>
        </w:rPr>
      </w:pPr>
    </w:p>
    <w:p w14:paraId="512E5EC8">
      <w:pPr>
        <w:pStyle w:val="43"/>
        <w:ind w:firstLine="560"/>
        <w:rPr>
          <w:szCs w:val="32"/>
          <w:highlight w:val="none"/>
        </w:rPr>
      </w:pPr>
    </w:p>
    <w:p w14:paraId="7AF70022">
      <w:pPr>
        <w:rPr>
          <w:rFonts w:hint="eastAsia"/>
          <w:szCs w:val="32"/>
          <w:highlight w:val="none"/>
        </w:rPr>
      </w:pPr>
    </w:p>
    <w:p w14:paraId="70CD249D">
      <w:pPr>
        <w:pStyle w:val="34"/>
        <w:ind w:firstLine="240"/>
        <w:rPr>
          <w:highlight w:val="none"/>
          <w:lang w:val="en-US"/>
        </w:rPr>
      </w:pPr>
    </w:p>
    <w:p w14:paraId="09029C71">
      <w:pPr>
        <w:pStyle w:val="27"/>
        <w:ind w:left="2400"/>
        <w:rPr>
          <w:rFonts w:hint="eastAsia"/>
          <w:highlight w:val="none"/>
        </w:rPr>
      </w:pPr>
    </w:p>
    <w:p w14:paraId="443842D6">
      <w:pPr>
        <w:rPr>
          <w:rFonts w:hint="eastAsia"/>
          <w:highlight w:val="none"/>
        </w:rPr>
      </w:pPr>
    </w:p>
    <w:p w14:paraId="3D68F6E4">
      <w:pPr>
        <w:pStyle w:val="34"/>
        <w:ind w:firstLine="240"/>
        <w:rPr>
          <w:highlight w:val="none"/>
          <w:lang w:val="en-US"/>
        </w:rPr>
      </w:pPr>
    </w:p>
    <w:p w14:paraId="7ED458EC">
      <w:pPr>
        <w:pStyle w:val="27"/>
        <w:ind w:left="2400"/>
        <w:rPr>
          <w:rFonts w:hint="eastAsia"/>
          <w:highlight w:val="none"/>
        </w:rPr>
      </w:pPr>
    </w:p>
    <w:p w14:paraId="33645C9B">
      <w:pPr>
        <w:rPr>
          <w:rFonts w:hint="eastAsia"/>
          <w:highlight w:val="none"/>
        </w:rPr>
      </w:pPr>
    </w:p>
    <w:p w14:paraId="2C417E5A">
      <w:pPr>
        <w:pStyle w:val="34"/>
        <w:ind w:firstLine="240"/>
        <w:rPr>
          <w:highlight w:val="none"/>
          <w:lang w:val="en-US"/>
        </w:rPr>
      </w:pPr>
    </w:p>
    <w:p w14:paraId="67990694">
      <w:pPr>
        <w:pStyle w:val="27"/>
        <w:ind w:left="2400"/>
        <w:rPr>
          <w:rFonts w:hint="eastAsia"/>
          <w:highlight w:val="none"/>
        </w:rPr>
      </w:pPr>
    </w:p>
    <w:p w14:paraId="749E4B55">
      <w:pPr>
        <w:rPr>
          <w:rFonts w:hint="eastAsia"/>
          <w:highlight w:val="none"/>
        </w:rPr>
      </w:pPr>
    </w:p>
    <w:p w14:paraId="77BCE779">
      <w:pPr>
        <w:pStyle w:val="34"/>
        <w:ind w:firstLine="240"/>
        <w:rPr>
          <w:highlight w:val="none"/>
          <w:lang w:val="en-US"/>
        </w:rPr>
      </w:pPr>
    </w:p>
    <w:p w14:paraId="250906DE">
      <w:pPr>
        <w:pStyle w:val="27"/>
        <w:ind w:left="2400"/>
        <w:rPr>
          <w:rFonts w:hint="eastAsia"/>
          <w:highlight w:val="none"/>
        </w:rPr>
      </w:pPr>
    </w:p>
    <w:p w14:paraId="66593A81">
      <w:pPr>
        <w:rPr>
          <w:rFonts w:hint="eastAsia"/>
          <w:highlight w:val="none"/>
        </w:rPr>
      </w:pPr>
    </w:p>
    <w:p w14:paraId="08264820">
      <w:pPr>
        <w:pStyle w:val="34"/>
        <w:ind w:firstLine="240"/>
        <w:rPr>
          <w:highlight w:val="none"/>
          <w:lang w:val="en-US"/>
        </w:rPr>
      </w:pPr>
    </w:p>
    <w:p w14:paraId="3FA99E42">
      <w:pPr>
        <w:pStyle w:val="27"/>
        <w:ind w:left="2400"/>
        <w:rPr>
          <w:rFonts w:hint="eastAsia"/>
          <w:highlight w:val="none"/>
        </w:rPr>
      </w:pPr>
    </w:p>
    <w:p w14:paraId="69293160">
      <w:pPr>
        <w:rPr>
          <w:rFonts w:hint="eastAsia"/>
          <w:highlight w:val="none"/>
        </w:rPr>
      </w:pPr>
      <w:bookmarkStart w:id="500" w:name="_Toc151026269"/>
      <w:r>
        <w:rPr>
          <w:rFonts w:hint="eastAsia"/>
          <w:highlight w:val="none"/>
        </w:rPr>
        <w:br w:type="page"/>
      </w:r>
    </w:p>
    <w:p w14:paraId="6C582330">
      <w:pPr>
        <w:pStyle w:val="5"/>
        <w:numPr>
          <w:ilvl w:val="0"/>
          <w:numId w:val="0"/>
        </w:numPr>
        <w:spacing w:line="360" w:lineRule="auto"/>
        <w:rPr>
          <w:rFonts w:hint="eastAsia"/>
          <w:highlight w:val="none"/>
        </w:rPr>
      </w:pPr>
      <w:r>
        <w:rPr>
          <w:rFonts w:hint="eastAsia"/>
          <w:highlight w:val="none"/>
        </w:rPr>
        <w:t>附件八：</w:t>
      </w:r>
      <w:bookmarkEnd w:id="500"/>
    </w:p>
    <w:p w14:paraId="0C4AD72F">
      <w:pPr>
        <w:spacing w:line="360" w:lineRule="auto"/>
        <w:jc w:val="center"/>
        <w:rPr>
          <w:rFonts w:hint="eastAsia"/>
          <w:b/>
          <w:bCs/>
          <w:sz w:val="30"/>
          <w:szCs w:val="30"/>
          <w:highlight w:val="none"/>
        </w:rPr>
      </w:pPr>
      <w:r>
        <w:rPr>
          <w:rFonts w:hint="eastAsia"/>
          <w:b/>
          <w:bCs/>
          <w:sz w:val="30"/>
          <w:szCs w:val="30"/>
          <w:highlight w:val="none"/>
        </w:rPr>
        <w:t>供应商商务文件中商务资信分自评表</w:t>
      </w:r>
    </w:p>
    <w:p w14:paraId="2E2DEB89">
      <w:pPr>
        <w:spacing w:line="360" w:lineRule="auto"/>
        <w:ind w:firstLine="480" w:firstLineChars="200"/>
        <w:rPr>
          <w:rFonts w:hint="eastAsia"/>
          <w:highlight w:val="none"/>
        </w:rPr>
      </w:pPr>
      <w:r>
        <w:rPr>
          <w:rFonts w:hint="eastAsia"/>
          <w:highlight w:val="none"/>
        </w:rPr>
        <w:t>项目名称：</w:t>
      </w:r>
    </w:p>
    <w:p w14:paraId="32B1A8DC">
      <w:pPr>
        <w:spacing w:line="360" w:lineRule="auto"/>
        <w:ind w:firstLine="480" w:firstLineChars="200"/>
        <w:rPr>
          <w:rFonts w:hint="eastAsia"/>
          <w:highlight w:val="none"/>
        </w:rPr>
      </w:pPr>
      <w:r>
        <w:rPr>
          <w:rFonts w:hint="eastAsia"/>
          <w:highlight w:val="none"/>
        </w:rPr>
        <w:t>采购编号：</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0407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4A7BB57">
            <w:pPr>
              <w:spacing w:line="276" w:lineRule="auto"/>
              <w:jc w:val="center"/>
              <w:rPr>
                <w:rFonts w:hint="eastAsia"/>
                <w:highlight w:val="none"/>
              </w:rPr>
            </w:pPr>
            <w:r>
              <w:rPr>
                <w:rFonts w:hint="eastAsia"/>
                <w:highlight w:val="none"/>
              </w:rPr>
              <w:t>序号</w:t>
            </w:r>
          </w:p>
        </w:tc>
        <w:tc>
          <w:tcPr>
            <w:tcW w:w="2387" w:type="dxa"/>
            <w:vAlign w:val="center"/>
          </w:tcPr>
          <w:p w14:paraId="11CAD405">
            <w:pPr>
              <w:spacing w:line="276" w:lineRule="auto"/>
              <w:jc w:val="center"/>
              <w:rPr>
                <w:rFonts w:hint="eastAsia"/>
                <w:highlight w:val="none"/>
              </w:rPr>
            </w:pPr>
            <w:r>
              <w:rPr>
                <w:rFonts w:hint="eastAsia"/>
                <w:highlight w:val="none"/>
              </w:rPr>
              <w:t>资信分内容</w:t>
            </w:r>
          </w:p>
        </w:tc>
        <w:tc>
          <w:tcPr>
            <w:tcW w:w="1462" w:type="dxa"/>
            <w:vAlign w:val="center"/>
          </w:tcPr>
          <w:p w14:paraId="2D348E5F">
            <w:pPr>
              <w:spacing w:line="276" w:lineRule="auto"/>
              <w:jc w:val="center"/>
              <w:rPr>
                <w:rFonts w:hint="eastAsia"/>
                <w:highlight w:val="none"/>
              </w:rPr>
            </w:pPr>
            <w:r>
              <w:rPr>
                <w:rFonts w:hint="eastAsia"/>
                <w:highlight w:val="none"/>
              </w:rPr>
              <w:t>自评得分</w:t>
            </w:r>
          </w:p>
        </w:tc>
        <w:tc>
          <w:tcPr>
            <w:tcW w:w="2415" w:type="dxa"/>
            <w:tcBorders>
              <w:right w:val="single" w:color="auto" w:sz="4" w:space="0"/>
            </w:tcBorders>
            <w:vAlign w:val="center"/>
          </w:tcPr>
          <w:p w14:paraId="5446A216">
            <w:pPr>
              <w:spacing w:line="276" w:lineRule="auto"/>
              <w:jc w:val="center"/>
              <w:rPr>
                <w:rFonts w:hint="eastAsia"/>
                <w:highlight w:val="none"/>
              </w:rPr>
            </w:pPr>
            <w:r>
              <w:rPr>
                <w:rFonts w:hint="eastAsia"/>
                <w:highlight w:val="none"/>
              </w:rPr>
              <w:t>投标文件对应资料</w:t>
            </w:r>
          </w:p>
        </w:tc>
        <w:tc>
          <w:tcPr>
            <w:tcW w:w="1746" w:type="dxa"/>
            <w:tcBorders>
              <w:left w:val="single" w:color="auto" w:sz="4" w:space="0"/>
            </w:tcBorders>
            <w:vAlign w:val="center"/>
          </w:tcPr>
          <w:p w14:paraId="34C4FC16">
            <w:pPr>
              <w:spacing w:line="276" w:lineRule="auto"/>
              <w:jc w:val="center"/>
              <w:rPr>
                <w:rFonts w:hint="eastAsia"/>
                <w:highlight w:val="none"/>
              </w:rPr>
            </w:pPr>
            <w:r>
              <w:rPr>
                <w:rFonts w:hint="eastAsia"/>
                <w:highlight w:val="none"/>
              </w:rPr>
              <w:t>投标文件页码</w:t>
            </w:r>
          </w:p>
        </w:tc>
      </w:tr>
      <w:tr w14:paraId="45C2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48BFD94">
            <w:pPr>
              <w:spacing w:line="276" w:lineRule="auto"/>
              <w:jc w:val="center"/>
              <w:rPr>
                <w:rFonts w:hint="eastAsia"/>
                <w:highlight w:val="none"/>
              </w:rPr>
            </w:pPr>
            <w:r>
              <w:rPr>
                <w:rFonts w:hint="eastAsia"/>
                <w:highlight w:val="none"/>
              </w:rPr>
              <w:t>1</w:t>
            </w:r>
          </w:p>
        </w:tc>
        <w:tc>
          <w:tcPr>
            <w:tcW w:w="2387" w:type="dxa"/>
          </w:tcPr>
          <w:p w14:paraId="798BF89E">
            <w:pPr>
              <w:spacing w:line="276" w:lineRule="auto"/>
              <w:jc w:val="center"/>
              <w:rPr>
                <w:rFonts w:hint="eastAsia"/>
                <w:highlight w:val="none"/>
              </w:rPr>
            </w:pPr>
          </w:p>
        </w:tc>
        <w:tc>
          <w:tcPr>
            <w:tcW w:w="1462" w:type="dxa"/>
          </w:tcPr>
          <w:p w14:paraId="09CDCE25">
            <w:pPr>
              <w:spacing w:line="276" w:lineRule="auto"/>
              <w:jc w:val="center"/>
              <w:rPr>
                <w:rFonts w:hint="eastAsia"/>
                <w:highlight w:val="none"/>
              </w:rPr>
            </w:pPr>
          </w:p>
        </w:tc>
        <w:tc>
          <w:tcPr>
            <w:tcW w:w="2415" w:type="dxa"/>
            <w:tcBorders>
              <w:right w:val="single" w:color="auto" w:sz="4" w:space="0"/>
            </w:tcBorders>
          </w:tcPr>
          <w:p w14:paraId="376A27F3">
            <w:pPr>
              <w:spacing w:line="276" w:lineRule="auto"/>
              <w:jc w:val="center"/>
              <w:rPr>
                <w:rFonts w:hint="eastAsia"/>
                <w:highlight w:val="none"/>
              </w:rPr>
            </w:pPr>
          </w:p>
        </w:tc>
        <w:tc>
          <w:tcPr>
            <w:tcW w:w="1746" w:type="dxa"/>
            <w:tcBorders>
              <w:left w:val="single" w:color="auto" w:sz="4" w:space="0"/>
            </w:tcBorders>
          </w:tcPr>
          <w:p w14:paraId="7E8B6C31">
            <w:pPr>
              <w:spacing w:line="276" w:lineRule="auto"/>
              <w:jc w:val="center"/>
              <w:rPr>
                <w:rFonts w:hint="eastAsia"/>
                <w:highlight w:val="none"/>
              </w:rPr>
            </w:pPr>
          </w:p>
        </w:tc>
      </w:tr>
      <w:tr w14:paraId="78AD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2FFCFC4">
            <w:pPr>
              <w:spacing w:line="276" w:lineRule="auto"/>
              <w:jc w:val="center"/>
              <w:rPr>
                <w:rFonts w:hint="eastAsia"/>
                <w:highlight w:val="none"/>
              </w:rPr>
            </w:pPr>
            <w:r>
              <w:rPr>
                <w:rFonts w:hint="eastAsia"/>
                <w:highlight w:val="none"/>
              </w:rPr>
              <w:t>2</w:t>
            </w:r>
          </w:p>
        </w:tc>
        <w:tc>
          <w:tcPr>
            <w:tcW w:w="2387" w:type="dxa"/>
          </w:tcPr>
          <w:p w14:paraId="3AD27F26">
            <w:pPr>
              <w:spacing w:line="276" w:lineRule="auto"/>
              <w:jc w:val="center"/>
              <w:rPr>
                <w:rFonts w:hint="eastAsia"/>
                <w:highlight w:val="none"/>
              </w:rPr>
            </w:pPr>
          </w:p>
        </w:tc>
        <w:tc>
          <w:tcPr>
            <w:tcW w:w="1462" w:type="dxa"/>
          </w:tcPr>
          <w:p w14:paraId="3864B2B1">
            <w:pPr>
              <w:spacing w:line="276" w:lineRule="auto"/>
              <w:jc w:val="center"/>
              <w:rPr>
                <w:rFonts w:hint="eastAsia"/>
                <w:highlight w:val="none"/>
              </w:rPr>
            </w:pPr>
          </w:p>
        </w:tc>
        <w:tc>
          <w:tcPr>
            <w:tcW w:w="2415" w:type="dxa"/>
            <w:tcBorders>
              <w:right w:val="single" w:color="auto" w:sz="4" w:space="0"/>
            </w:tcBorders>
          </w:tcPr>
          <w:p w14:paraId="0A27FAA2">
            <w:pPr>
              <w:spacing w:line="276" w:lineRule="auto"/>
              <w:jc w:val="center"/>
              <w:rPr>
                <w:rFonts w:hint="eastAsia"/>
                <w:highlight w:val="none"/>
              </w:rPr>
            </w:pPr>
          </w:p>
        </w:tc>
        <w:tc>
          <w:tcPr>
            <w:tcW w:w="1746" w:type="dxa"/>
            <w:tcBorders>
              <w:left w:val="single" w:color="auto" w:sz="4" w:space="0"/>
            </w:tcBorders>
          </w:tcPr>
          <w:p w14:paraId="3AC6D385">
            <w:pPr>
              <w:spacing w:line="276" w:lineRule="auto"/>
              <w:jc w:val="center"/>
              <w:rPr>
                <w:rFonts w:hint="eastAsia"/>
                <w:highlight w:val="none"/>
              </w:rPr>
            </w:pPr>
          </w:p>
        </w:tc>
      </w:tr>
      <w:tr w14:paraId="4FCE8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1D8B455">
            <w:pPr>
              <w:spacing w:line="276" w:lineRule="auto"/>
              <w:jc w:val="center"/>
              <w:rPr>
                <w:rFonts w:hint="eastAsia"/>
                <w:highlight w:val="none"/>
              </w:rPr>
            </w:pPr>
            <w:r>
              <w:rPr>
                <w:rFonts w:hint="eastAsia"/>
                <w:highlight w:val="none"/>
              </w:rPr>
              <w:t>3</w:t>
            </w:r>
          </w:p>
        </w:tc>
        <w:tc>
          <w:tcPr>
            <w:tcW w:w="2387" w:type="dxa"/>
          </w:tcPr>
          <w:p w14:paraId="618AECC8">
            <w:pPr>
              <w:spacing w:line="276" w:lineRule="auto"/>
              <w:jc w:val="center"/>
              <w:rPr>
                <w:rFonts w:hint="eastAsia"/>
                <w:highlight w:val="none"/>
              </w:rPr>
            </w:pPr>
          </w:p>
        </w:tc>
        <w:tc>
          <w:tcPr>
            <w:tcW w:w="1462" w:type="dxa"/>
          </w:tcPr>
          <w:p w14:paraId="29AA8E92">
            <w:pPr>
              <w:spacing w:line="276" w:lineRule="auto"/>
              <w:jc w:val="center"/>
              <w:rPr>
                <w:rFonts w:hint="eastAsia"/>
                <w:highlight w:val="none"/>
              </w:rPr>
            </w:pPr>
          </w:p>
        </w:tc>
        <w:tc>
          <w:tcPr>
            <w:tcW w:w="2415" w:type="dxa"/>
            <w:tcBorders>
              <w:right w:val="single" w:color="auto" w:sz="4" w:space="0"/>
            </w:tcBorders>
          </w:tcPr>
          <w:p w14:paraId="0F2C4FAF">
            <w:pPr>
              <w:spacing w:line="276" w:lineRule="auto"/>
              <w:jc w:val="center"/>
              <w:rPr>
                <w:rFonts w:hint="eastAsia"/>
                <w:highlight w:val="none"/>
              </w:rPr>
            </w:pPr>
          </w:p>
        </w:tc>
        <w:tc>
          <w:tcPr>
            <w:tcW w:w="1746" w:type="dxa"/>
            <w:tcBorders>
              <w:left w:val="single" w:color="auto" w:sz="4" w:space="0"/>
            </w:tcBorders>
          </w:tcPr>
          <w:p w14:paraId="31F99B7B">
            <w:pPr>
              <w:spacing w:line="276" w:lineRule="auto"/>
              <w:jc w:val="center"/>
              <w:rPr>
                <w:rFonts w:hint="eastAsia"/>
                <w:highlight w:val="none"/>
              </w:rPr>
            </w:pPr>
          </w:p>
        </w:tc>
      </w:tr>
      <w:tr w14:paraId="3492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1E894C0">
            <w:pPr>
              <w:spacing w:line="276" w:lineRule="auto"/>
              <w:jc w:val="center"/>
              <w:rPr>
                <w:rFonts w:hint="eastAsia"/>
                <w:highlight w:val="none"/>
              </w:rPr>
            </w:pPr>
            <w:r>
              <w:rPr>
                <w:rFonts w:hint="eastAsia"/>
                <w:highlight w:val="none"/>
              </w:rPr>
              <w:t>4</w:t>
            </w:r>
          </w:p>
        </w:tc>
        <w:tc>
          <w:tcPr>
            <w:tcW w:w="2387" w:type="dxa"/>
          </w:tcPr>
          <w:p w14:paraId="129F677D">
            <w:pPr>
              <w:spacing w:line="276" w:lineRule="auto"/>
              <w:jc w:val="center"/>
              <w:rPr>
                <w:rFonts w:hint="eastAsia"/>
                <w:highlight w:val="none"/>
              </w:rPr>
            </w:pPr>
          </w:p>
        </w:tc>
        <w:tc>
          <w:tcPr>
            <w:tcW w:w="1462" w:type="dxa"/>
          </w:tcPr>
          <w:p w14:paraId="0851E2CE">
            <w:pPr>
              <w:spacing w:line="276" w:lineRule="auto"/>
              <w:jc w:val="center"/>
              <w:rPr>
                <w:rFonts w:hint="eastAsia"/>
                <w:highlight w:val="none"/>
              </w:rPr>
            </w:pPr>
          </w:p>
        </w:tc>
        <w:tc>
          <w:tcPr>
            <w:tcW w:w="2415" w:type="dxa"/>
            <w:tcBorders>
              <w:right w:val="single" w:color="auto" w:sz="4" w:space="0"/>
            </w:tcBorders>
          </w:tcPr>
          <w:p w14:paraId="4876BBBF">
            <w:pPr>
              <w:spacing w:line="276" w:lineRule="auto"/>
              <w:jc w:val="center"/>
              <w:rPr>
                <w:rFonts w:hint="eastAsia"/>
                <w:highlight w:val="none"/>
              </w:rPr>
            </w:pPr>
          </w:p>
        </w:tc>
        <w:tc>
          <w:tcPr>
            <w:tcW w:w="1746" w:type="dxa"/>
            <w:tcBorders>
              <w:left w:val="single" w:color="auto" w:sz="4" w:space="0"/>
            </w:tcBorders>
          </w:tcPr>
          <w:p w14:paraId="0E0D7019">
            <w:pPr>
              <w:spacing w:line="276" w:lineRule="auto"/>
              <w:jc w:val="center"/>
              <w:rPr>
                <w:rFonts w:hint="eastAsia"/>
                <w:highlight w:val="none"/>
              </w:rPr>
            </w:pPr>
          </w:p>
        </w:tc>
      </w:tr>
      <w:tr w14:paraId="54A18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475A2EE">
            <w:pPr>
              <w:spacing w:line="276" w:lineRule="auto"/>
              <w:jc w:val="center"/>
              <w:rPr>
                <w:rFonts w:hint="eastAsia"/>
                <w:highlight w:val="none"/>
              </w:rPr>
            </w:pPr>
            <w:r>
              <w:rPr>
                <w:rFonts w:hint="eastAsia"/>
                <w:highlight w:val="none"/>
              </w:rPr>
              <w:t>5</w:t>
            </w:r>
          </w:p>
        </w:tc>
        <w:tc>
          <w:tcPr>
            <w:tcW w:w="2387" w:type="dxa"/>
          </w:tcPr>
          <w:p w14:paraId="0FF87A07">
            <w:pPr>
              <w:spacing w:line="276" w:lineRule="auto"/>
              <w:jc w:val="center"/>
              <w:rPr>
                <w:rFonts w:hint="eastAsia"/>
                <w:highlight w:val="none"/>
              </w:rPr>
            </w:pPr>
          </w:p>
        </w:tc>
        <w:tc>
          <w:tcPr>
            <w:tcW w:w="1462" w:type="dxa"/>
          </w:tcPr>
          <w:p w14:paraId="4A6E11CB">
            <w:pPr>
              <w:spacing w:line="276" w:lineRule="auto"/>
              <w:jc w:val="center"/>
              <w:rPr>
                <w:rFonts w:hint="eastAsia"/>
                <w:highlight w:val="none"/>
              </w:rPr>
            </w:pPr>
          </w:p>
        </w:tc>
        <w:tc>
          <w:tcPr>
            <w:tcW w:w="2415" w:type="dxa"/>
            <w:tcBorders>
              <w:right w:val="single" w:color="auto" w:sz="4" w:space="0"/>
            </w:tcBorders>
          </w:tcPr>
          <w:p w14:paraId="7BAD7BDF">
            <w:pPr>
              <w:spacing w:line="276" w:lineRule="auto"/>
              <w:jc w:val="center"/>
              <w:rPr>
                <w:rFonts w:hint="eastAsia"/>
                <w:highlight w:val="none"/>
              </w:rPr>
            </w:pPr>
          </w:p>
        </w:tc>
        <w:tc>
          <w:tcPr>
            <w:tcW w:w="1746" w:type="dxa"/>
            <w:tcBorders>
              <w:left w:val="single" w:color="auto" w:sz="4" w:space="0"/>
            </w:tcBorders>
          </w:tcPr>
          <w:p w14:paraId="49762621">
            <w:pPr>
              <w:spacing w:line="276" w:lineRule="auto"/>
              <w:jc w:val="center"/>
              <w:rPr>
                <w:rFonts w:hint="eastAsia"/>
                <w:highlight w:val="none"/>
              </w:rPr>
            </w:pPr>
          </w:p>
        </w:tc>
      </w:tr>
      <w:tr w14:paraId="521D3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4B4416A">
            <w:pPr>
              <w:spacing w:line="276" w:lineRule="auto"/>
              <w:jc w:val="center"/>
              <w:rPr>
                <w:rFonts w:hint="eastAsia"/>
                <w:highlight w:val="none"/>
              </w:rPr>
            </w:pPr>
            <w:r>
              <w:rPr>
                <w:rFonts w:hint="eastAsia"/>
                <w:highlight w:val="none"/>
              </w:rPr>
              <w:t>6</w:t>
            </w:r>
          </w:p>
        </w:tc>
        <w:tc>
          <w:tcPr>
            <w:tcW w:w="2387" w:type="dxa"/>
          </w:tcPr>
          <w:p w14:paraId="223E5AB3">
            <w:pPr>
              <w:spacing w:line="276" w:lineRule="auto"/>
              <w:jc w:val="center"/>
              <w:rPr>
                <w:rFonts w:hint="eastAsia"/>
                <w:highlight w:val="none"/>
              </w:rPr>
            </w:pPr>
          </w:p>
        </w:tc>
        <w:tc>
          <w:tcPr>
            <w:tcW w:w="1462" w:type="dxa"/>
          </w:tcPr>
          <w:p w14:paraId="4D2A3AAD">
            <w:pPr>
              <w:spacing w:line="276" w:lineRule="auto"/>
              <w:jc w:val="center"/>
              <w:rPr>
                <w:rFonts w:hint="eastAsia"/>
                <w:highlight w:val="none"/>
              </w:rPr>
            </w:pPr>
          </w:p>
        </w:tc>
        <w:tc>
          <w:tcPr>
            <w:tcW w:w="2415" w:type="dxa"/>
            <w:tcBorders>
              <w:right w:val="single" w:color="auto" w:sz="4" w:space="0"/>
            </w:tcBorders>
          </w:tcPr>
          <w:p w14:paraId="6819DAC8">
            <w:pPr>
              <w:spacing w:line="276" w:lineRule="auto"/>
              <w:jc w:val="center"/>
              <w:rPr>
                <w:rFonts w:hint="eastAsia"/>
                <w:highlight w:val="none"/>
              </w:rPr>
            </w:pPr>
          </w:p>
        </w:tc>
        <w:tc>
          <w:tcPr>
            <w:tcW w:w="1746" w:type="dxa"/>
            <w:tcBorders>
              <w:left w:val="single" w:color="auto" w:sz="4" w:space="0"/>
            </w:tcBorders>
          </w:tcPr>
          <w:p w14:paraId="42EB25FD">
            <w:pPr>
              <w:spacing w:line="276" w:lineRule="auto"/>
              <w:jc w:val="center"/>
              <w:rPr>
                <w:rFonts w:hint="eastAsia"/>
                <w:highlight w:val="none"/>
              </w:rPr>
            </w:pPr>
          </w:p>
        </w:tc>
      </w:tr>
      <w:tr w14:paraId="0479A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560BCB7">
            <w:pPr>
              <w:spacing w:line="276" w:lineRule="auto"/>
              <w:jc w:val="center"/>
              <w:rPr>
                <w:rFonts w:hint="eastAsia"/>
                <w:highlight w:val="none"/>
              </w:rPr>
            </w:pPr>
            <w:r>
              <w:rPr>
                <w:rFonts w:hint="eastAsia"/>
                <w:highlight w:val="none"/>
              </w:rPr>
              <w:t>7</w:t>
            </w:r>
          </w:p>
        </w:tc>
        <w:tc>
          <w:tcPr>
            <w:tcW w:w="2387" w:type="dxa"/>
          </w:tcPr>
          <w:p w14:paraId="2B3494B8">
            <w:pPr>
              <w:spacing w:line="276" w:lineRule="auto"/>
              <w:jc w:val="center"/>
              <w:rPr>
                <w:rFonts w:hint="eastAsia"/>
                <w:highlight w:val="none"/>
              </w:rPr>
            </w:pPr>
          </w:p>
        </w:tc>
        <w:tc>
          <w:tcPr>
            <w:tcW w:w="1462" w:type="dxa"/>
          </w:tcPr>
          <w:p w14:paraId="1B3A2153">
            <w:pPr>
              <w:spacing w:line="276" w:lineRule="auto"/>
              <w:jc w:val="center"/>
              <w:rPr>
                <w:rFonts w:hint="eastAsia"/>
                <w:highlight w:val="none"/>
              </w:rPr>
            </w:pPr>
          </w:p>
        </w:tc>
        <w:tc>
          <w:tcPr>
            <w:tcW w:w="2415" w:type="dxa"/>
            <w:tcBorders>
              <w:right w:val="single" w:color="auto" w:sz="4" w:space="0"/>
            </w:tcBorders>
          </w:tcPr>
          <w:p w14:paraId="201D35C3">
            <w:pPr>
              <w:spacing w:line="276" w:lineRule="auto"/>
              <w:jc w:val="center"/>
              <w:rPr>
                <w:rFonts w:hint="eastAsia"/>
                <w:highlight w:val="none"/>
              </w:rPr>
            </w:pPr>
          </w:p>
        </w:tc>
        <w:tc>
          <w:tcPr>
            <w:tcW w:w="1746" w:type="dxa"/>
            <w:tcBorders>
              <w:left w:val="single" w:color="auto" w:sz="4" w:space="0"/>
            </w:tcBorders>
          </w:tcPr>
          <w:p w14:paraId="1BA42DB1">
            <w:pPr>
              <w:spacing w:line="276" w:lineRule="auto"/>
              <w:jc w:val="center"/>
              <w:rPr>
                <w:rFonts w:hint="eastAsia"/>
                <w:highlight w:val="none"/>
              </w:rPr>
            </w:pPr>
          </w:p>
        </w:tc>
      </w:tr>
      <w:tr w14:paraId="6132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AFFFFED">
            <w:pPr>
              <w:spacing w:line="276" w:lineRule="auto"/>
              <w:jc w:val="center"/>
              <w:rPr>
                <w:rFonts w:hint="eastAsia"/>
                <w:highlight w:val="none"/>
              </w:rPr>
            </w:pPr>
            <w:r>
              <w:rPr>
                <w:rFonts w:hint="eastAsia"/>
                <w:highlight w:val="none"/>
              </w:rPr>
              <w:t>8</w:t>
            </w:r>
          </w:p>
        </w:tc>
        <w:tc>
          <w:tcPr>
            <w:tcW w:w="2387" w:type="dxa"/>
          </w:tcPr>
          <w:p w14:paraId="5A09F732">
            <w:pPr>
              <w:spacing w:line="276" w:lineRule="auto"/>
              <w:jc w:val="center"/>
              <w:rPr>
                <w:rFonts w:hint="eastAsia"/>
                <w:highlight w:val="none"/>
              </w:rPr>
            </w:pPr>
          </w:p>
        </w:tc>
        <w:tc>
          <w:tcPr>
            <w:tcW w:w="1462" w:type="dxa"/>
          </w:tcPr>
          <w:p w14:paraId="4B5D19AC">
            <w:pPr>
              <w:spacing w:line="276" w:lineRule="auto"/>
              <w:jc w:val="center"/>
              <w:rPr>
                <w:rFonts w:hint="eastAsia"/>
                <w:highlight w:val="none"/>
              </w:rPr>
            </w:pPr>
          </w:p>
        </w:tc>
        <w:tc>
          <w:tcPr>
            <w:tcW w:w="2415" w:type="dxa"/>
            <w:tcBorders>
              <w:right w:val="single" w:color="auto" w:sz="4" w:space="0"/>
            </w:tcBorders>
          </w:tcPr>
          <w:p w14:paraId="4DAEB386">
            <w:pPr>
              <w:spacing w:line="276" w:lineRule="auto"/>
              <w:jc w:val="center"/>
              <w:rPr>
                <w:rFonts w:hint="eastAsia"/>
                <w:highlight w:val="none"/>
              </w:rPr>
            </w:pPr>
          </w:p>
        </w:tc>
        <w:tc>
          <w:tcPr>
            <w:tcW w:w="1746" w:type="dxa"/>
            <w:tcBorders>
              <w:left w:val="single" w:color="auto" w:sz="4" w:space="0"/>
            </w:tcBorders>
          </w:tcPr>
          <w:p w14:paraId="422A05EE">
            <w:pPr>
              <w:spacing w:line="276" w:lineRule="auto"/>
              <w:jc w:val="center"/>
              <w:rPr>
                <w:rFonts w:hint="eastAsia"/>
                <w:highlight w:val="none"/>
              </w:rPr>
            </w:pPr>
          </w:p>
        </w:tc>
      </w:tr>
      <w:tr w14:paraId="000E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081195A">
            <w:pPr>
              <w:spacing w:line="276" w:lineRule="auto"/>
              <w:jc w:val="center"/>
              <w:rPr>
                <w:rFonts w:hint="eastAsia"/>
                <w:highlight w:val="none"/>
              </w:rPr>
            </w:pPr>
            <w:r>
              <w:rPr>
                <w:rFonts w:hint="eastAsia"/>
                <w:highlight w:val="none"/>
              </w:rPr>
              <w:t>合计</w:t>
            </w:r>
          </w:p>
        </w:tc>
        <w:tc>
          <w:tcPr>
            <w:tcW w:w="2387" w:type="dxa"/>
          </w:tcPr>
          <w:p w14:paraId="53B68B9A">
            <w:pPr>
              <w:spacing w:line="276" w:lineRule="auto"/>
              <w:jc w:val="center"/>
              <w:rPr>
                <w:rFonts w:hint="eastAsia"/>
                <w:highlight w:val="none"/>
              </w:rPr>
            </w:pPr>
          </w:p>
        </w:tc>
        <w:tc>
          <w:tcPr>
            <w:tcW w:w="1462" w:type="dxa"/>
          </w:tcPr>
          <w:p w14:paraId="1D168118">
            <w:pPr>
              <w:spacing w:line="276" w:lineRule="auto"/>
              <w:jc w:val="center"/>
              <w:rPr>
                <w:rFonts w:hint="eastAsia"/>
                <w:highlight w:val="none"/>
              </w:rPr>
            </w:pPr>
          </w:p>
        </w:tc>
        <w:tc>
          <w:tcPr>
            <w:tcW w:w="2415" w:type="dxa"/>
            <w:tcBorders>
              <w:right w:val="single" w:color="auto" w:sz="4" w:space="0"/>
            </w:tcBorders>
          </w:tcPr>
          <w:p w14:paraId="036329A6">
            <w:pPr>
              <w:spacing w:line="276" w:lineRule="auto"/>
              <w:jc w:val="center"/>
              <w:rPr>
                <w:rFonts w:hint="eastAsia"/>
                <w:highlight w:val="none"/>
              </w:rPr>
            </w:pPr>
          </w:p>
        </w:tc>
        <w:tc>
          <w:tcPr>
            <w:tcW w:w="1746" w:type="dxa"/>
            <w:tcBorders>
              <w:left w:val="single" w:color="auto" w:sz="4" w:space="0"/>
            </w:tcBorders>
          </w:tcPr>
          <w:p w14:paraId="0E417410">
            <w:pPr>
              <w:spacing w:line="276" w:lineRule="auto"/>
              <w:jc w:val="center"/>
              <w:rPr>
                <w:rFonts w:hint="eastAsia"/>
                <w:highlight w:val="none"/>
              </w:rPr>
            </w:pPr>
          </w:p>
        </w:tc>
      </w:tr>
    </w:tbl>
    <w:p w14:paraId="3F4BFACB">
      <w:pPr>
        <w:spacing w:line="360" w:lineRule="auto"/>
        <w:ind w:firstLine="480" w:firstLineChars="200"/>
        <w:rPr>
          <w:rFonts w:hint="eastAsia"/>
          <w:highlight w:val="none"/>
        </w:rPr>
      </w:pPr>
    </w:p>
    <w:p w14:paraId="60E11ABB">
      <w:pPr>
        <w:spacing w:line="360" w:lineRule="auto"/>
        <w:ind w:left="4320" w:leftChars="1800" w:firstLine="480" w:firstLineChars="200"/>
        <w:rPr>
          <w:rFonts w:hint="eastAsia"/>
          <w:highlight w:val="none"/>
        </w:rPr>
      </w:pPr>
      <w:r>
        <w:rPr>
          <w:rFonts w:hint="eastAsia"/>
          <w:highlight w:val="none"/>
        </w:rPr>
        <w:t xml:space="preserve">法定代表人签名（或签名章）：                       </w:t>
      </w:r>
    </w:p>
    <w:p w14:paraId="36CB6F5F">
      <w:pPr>
        <w:spacing w:line="360" w:lineRule="auto"/>
        <w:ind w:left="4320" w:leftChars="1800" w:firstLine="480" w:firstLineChars="200"/>
        <w:rPr>
          <w:rFonts w:hint="eastAsia"/>
          <w:highlight w:val="none"/>
        </w:rPr>
      </w:pPr>
      <w:r>
        <w:rPr>
          <w:rFonts w:hint="eastAsia"/>
          <w:highlight w:val="none"/>
        </w:rPr>
        <w:t>日 期：</w:t>
      </w:r>
    </w:p>
    <w:p w14:paraId="357C5785">
      <w:pPr>
        <w:spacing w:line="360" w:lineRule="auto"/>
        <w:ind w:left="4320" w:leftChars="1800" w:firstLine="480" w:firstLineChars="200"/>
        <w:rPr>
          <w:rFonts w:hint="eastAsia"/>
          <w:highlight w:val="none"/>
        </w:rPr>
      </w:pPr>
      <w:r>
        <w:rPr>
          <w:rFonts w:hint="eastAsia"/>
          <w:highlight w:val="none"/>
        </w:rPr>
        <w:t>投标人（或联合体牵头人）全称（公章）：</w:t>
      </w:r>
    </w:p>
    <w:p w14:paraId="7E365225">
      <w:pPr>
        <w:rPr>
          <w:rFonts w:hint="eastAsia"/>
          <w:highlight w:val="none"/>
        </w:rPr>
      </w:pPr>
    </w:p>
    <w:p w14:paraId="04FA4490">
      <w:pPr>
        <w:pStyle w:val="34"/>
        <w:ind w:firstLine="240"/>
        <w:rPr>
          <w:highlight w:val="none"/>
          <w:lang w:val="en-US"/>
        </w:rPr>
      </w:pPr>
    </w:p>
    <w:p w14:paraId="10250A2D">
      <w:pPr>
        <w:pStyle w:val="5"/>
        <w:numPr>
          <w:ilvl w:val="0"/>
          <w:numId w:val="0"/>
        </w:numPr>
        <w:spacing w:line="360" w:lineRule="auto"/>
        <w:rPr>
          <w:rFonts w:hint="eastAsia"/>
          <w:highlight w:val="none"/>
        </w:rPr>
      </w:pPr>
      <w:r>
        <w:rPr>
          <w:highlight w:val="none"/>
        </w:rPr>
        <w:br w:type="page"/>
      </w:r>
      <w:bookmarkStart w:id="501" w:name="_Toc151026272"/>
      <w:r>
        <w:rPr>
          <w:rFonts w:hint="eastAsia"/>
          <w:highlight w:val="none"/>
        </w:rPr>
        <w:t>附件九：</w:t>
      </w:r>
      <w:bookmarkEnd w:id="501"/>
    </w:p>
    <w:p w14:paraId="78042D39">
      <w:pPr>
        <w:spacing w:line="360" w:lineRule="auto"/>
        <w:jc w:val="center"/>
        <w:rPr>
          <w:rFonts w:hint="eastAsia"/>
          <w:b/>
          <w:bCs/>
          <w:sz w:val="30"/>
          <w:szCs w:val="30"/>
          <w:highlight w:val="none"/>
        </w:rPr>
      </w:pPr>
      <w:r>
        <w:rPr>
          <w:rFonts w:hint="eastAsia"/>
          <w:b/>
          <w:bCs/>
          <w:sz w:val="30"/>
          <w:szCs w:val="30"/>
          <w:highlight w:val="none"/>
        </w:rPr>
        <w:t>商务响应表</w:t>
      </w:r>
    </w:p>
    <w:p w14:paraId="5347CB7B">
      <w:pPr>
        <w:spacing w:line="360" w:lineRule="auto"/>
        <w:ind w:firstLine="480" w:firstLineChars="200"/>
        <w:rPr>
          <w:rFonts w:hint="eastAsia"/>
          <w:highlight w:val="none"/>
        </w:rPr>
      </w:pPr>
      <w:r>
        <w:rPr>
          <w:rFonts w:hint="eastAsia"/>
          <w:highlight w:val="none"/>
        </w:rPr>
        <w:t>项目名称：</w:t>
      </w:r>
    </w:p>
    <w:p w14:paraId="04561D8E">
      <w:pPr>
        <w:spacing w:line="360" w:lineRule="auto"/>
        <w:ind w:firstLine="480" w:firstLineChars="200"/>
        <w:rPr>
          <w:rFonts w:hint="eastAsia"/>
          <w:highlight w:val="none"/>
        </w:rPr>
      </w:pPr>
      <w:r>
        <w:rPr>
          <w:rFonts w:hint="eastAsia"/>
          <w:highlight w:val="none"/>
        </w:rPr>
        <w:t>采购编号：</w:t>
      </w:r>
    </w:p>
    <w:tbl>
      <w:tblPr>
        <w:tblStyle w:val="35"/>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34"/>
        <w:gridCol w:w="2420"/>
        <w:gridCol w:w="1260"/>
        <w:gridCol w:w="3020"/>
      </w:tblGrid>
      <w:tr w14:paraId="45529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76B88B54">
            <w:pPr>
              <w:snapToGrid w:val="0"/>
              <w:spacing w:before="50" w:after="50" w:line="276" w:lineRule="auto"/>
              <w:jc w:val="center"/>
              <w:rPr>
                <w:rFonts w:hint="eastAsia"/>
                <w:sz w:val="21"/>
                <w:szCs w:val="21"/>
                <w:highlight w:val="none"/>
              </w:rPr>
            </w:pPr>
            <w:r>
              <w:rPr>
                <w:rFonts w:hint="eastAsia"/>
                <w:sz w:val="21"/>
                <w:szCs w:val="21"/>
                <w:highlight w:val="none"/>
              </w:rPr>
              <w:t>项目</w:t>
            </w:r>
          </w:p>
        </w:tc>
        <w:tc>
          <w:tcPr>
            <w:tcW w:w="2420" w:type="dxa"/>
            <w:tcBorders>
              <w:top w:val="single" w:color="auto" w:sz="4" w:space="0"/>
              <w:left w:val="single" w:color="auto" w:sz="4" w:space="0"/>
              <w:bottom w:val="single" w:color="auto" w:sz="4" w:space="0"/>
              <w:right w:val="single" w:color="auto" w:sz="4" w:space="0"/>
            </w:tcBorders>
            <w:vAlign w:val="center"/>
          </w:tcPr>
          <w:p w14:paraId="20C5FEF1">
            <w:pPr>
              <w:snapToGrid w:val="0"/>
              <w:spacing w:before="50" w:after="50" w:line="276" w:lineRule="auto"/>
              <w:jc w:val="center"/>
              <w:rPr>
                <w:rFonts w:hint="eastAsia"/>
                <w:sz w:val="21"/>
                <w:szCs w:val="21"/>
                <w:highlight w:val="none"/>
              </w:rPr>
            </w:pPr>
            <w:r>
              <w:rPr>
                <w:rFonts w:hint="eastAsia"/>
                <w:sz w:val="21"/>
                <w:szCs w:val="21"/>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6D22CE7">
            <w:pPr>
              <w:snapToGrid w:val="0"/>
              <w:spacing w:before="50" w:after="50" w:line="276" w:lineRule="auto"/>
              <w:jc w:val="center"/>
              <w:rPr>
                <w:rFonts w:hint="eastAsia"/>
                <w:sz w:val="21"/>
                <w:szCs w:val="21"/>
                <w:highlight w:val="none"/>
              </w:rPr>
            </w:pPr>
            <w:r>
              <w:rPr>
                <w:rFonts w:hint="eastAsia"/>
                <w:sz w:val="21"/>
                <w:szCs w:val="21"/>
                <w:highlight w:val="none"/>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28119374">
            <w:pPr>
              <w:snapToGrid w:val="0"/>
              <w:spacing w:before="50" w:after="50" w:line="276" w:lineRule="auto"/>
              <w:jc w:val="center"/>
              <w:rPr>
                <w:rFonts w:hint="eastAsia"/>
                <w:sz w:val="21"/>
                <w:szCs w:val="21"/>
                <w:highlight w:val="none"/>
              </w:rPr>
            </w:pPr>
            <w:r>
              <w:rPr>
                <w:rFonts w:hint="eastAsia"/>
                <w:sz w:val="21"/>
                <w:szCs w:val="21"/>
                <w:highlight w:val="none"/>
              </w:rPr>
              <w:t>投标人的承诺或说明</w:t>
            </w:r>
          </w:p>
        </w:tc>
      </w:tr>
      <w:tr w14:paraId="5EA87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0C15A1F3">
            <w:pPr>
              <w:snapToGrid w:val="0"/>
              <w:spacing w:before="50" w:after="50" w:line="276" w:lineRule="auto"/>
              <w:jc w:val="center"/>
              <w:rPr>
                <w:rFonts w:hint="eastAsia"/>
                <w:sz w:val="21"/>
                <w:szCs w:val="21"/>
                <w:highlight w:val="none"/>
              </w:rPr>
            </w:pPr>
            <w:r>
              <w:rPr>
                <w:rFonts w:hint="eastAsia"/>
                <w:sz w:val="21"/>
                <w:szCs w:val="21"/>
                <w:highlight w:val="none"/>
              </w:rPr>
              <w:t>交货期及地点</w:t>
            </w:r>
          </w:p>
        </w:tc>
        <w:tc>
          <w:tcPr>
            <w:tcW w:w="2420" w:type="dxa"/>
            <w:tcBorders>
              <w:top w:val="single" w:color="auto" w:sz="4" w:space="0"/>
              <w:left w:val="single" w:color="auto" w:sz="4" w:space="0"/>
              <w:bottom w:val="single" w:color="auto" w:sz="4" w:space="0"/>
              <w:right w:val="single" w:color="auto" w:sz="4" w:space="0"/>
            </w:tcBorders>
            <w:vAlign w:val="center"/>
          </w:tcPr>
          <w:p w14:paraId="34F29429">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2ABB2A">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75B2508">
            <w:pPr>
              <w:snapToGrid w:val="0"/>
              <w:spacing w:before="50" w:after="50" w:line="276" w:lineRule="auto"/>
              <w:jc w:val="center"/>
              <w:rPr>
                <w:rFonts w:hint="eastAsia"/>
                <w:sz w:val="21"/>
                <w:szCs w:val="21"/>
                <w:highlight w:val="none"/>
              </w:rPr>
            </w:pPr>
          </w:p>
        </w:tc>
      </w:tr>
      <w:tr w14:paraId="15E7C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7FFE44CA">
            <w:pPr>
              <w:snapToGrid w:val="0"/>
              <w:spacing w:before="50" w:after="50" w:line="276" w:lineRule="auto"/>
              <w:jc w:val="center"/>
              <w:rPr>
                <w:rFonts w:hint="eastAsia"/>
                <w:sz w:val="21"/>
                <w:szCs w:val="21"/>
                <w:highlight w:val="none"/>
              </w:rPr>
            </w:pPr>
            <w:r>
              <w:rPr>
                <w:rFonts w:hint="eastAsia"/>
                <w:sz w:val="21"/>
                <w:szCs w:val="21"/>
                <w:highlight w:val="none"/>
              </w:rPr>
              <w:t>付款条件</w:t>
            </w:r>
          </w:p>
        </w:tc>
        <w:tc>
          <w:tcPr>
            <w:tcW w:w="2420" w:type="dxa"/>
            <w:tcBorders>
              <w:top w:val="single" w:color="auto" w:sz="4" w:space="0"/>
              <w:left w:val="single" w:color="auto" w:sz="4" w:space="0"/>
              <w:bottom w:val="single" w:color="auto" w:sz="4" w:space="0"/>
              <w:right w:val="single" w:color="auto" w:sz="4" w:space="0"/>
            </w:tcBorders>
            <w:vAlign w:val="center"/>
          </w:tcPr>
          <w:p w14:paraId="58A1F5EA">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63E7A6">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BBABCC0">
            <w:pPr>
              <w:snapToGrid w:val="0"/>
              <w:spacing w:before="50" w:after="50" w:line="276" w:lineRule="auto"/>
              <w:jc w:val="center"/>
              <w:rPr>
                <w:rFonts w:hint="eastAsia"/>
                <w:sz w:val="21"/>
                <w:szCs w:val="21"/>
                <w:highlight w:val="none"/>
              </w:rPr>
            </w:pPr>
          </w:p>
        </w:tc>
      </w:tr>
      <w:tr w14:paraId="20431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778BD37B">
            <w:pPr>
              <w:snapToGrid w:val="0"/>
              <w:spacing w:before="50" w:after="50" w:line="276" w:lineRule="auto"/>
              <w:jc w:val="center"/>
              <w:rPr>
                <w:rFonts w:hint="eastAsia"/>
                <w:sz w:val="21"/>
                <w:szCs w:val="21"/>
                <w:highlight w:val="none"/>
              </w:rPr>
            </w:pPr>
            <w:r>
              <w:rPr>
                <w:rFonts w:hint="eastAsia"/>
                <w:sz w:val="21"/>
                <w:szCs w:val="21"/>
                <w:highlight w:val="none"/>
              </w:rPr>
              <w:t>违约责任及争议解决方式</w:t>
            </w:r>
          </w:p>
        </w:tc>
        <w:tc>
          <w:tcPr>
            <w:tcW w:w="2420" w:type="dxa"/>
            <w:tcBorders>
              <w:top w:val="single" w:color="auto" w:sz="4" w:space="0"/>
              <w:left w:val="single" w:color="auto" w:sz="4" w:space="0"/>
              <w:bottom w:val="single" w:color="auto" w:sz="4" w:space="0"/>
              <w:right w:val="single" w:color="auto" w:sz="4" w:space="0"/>
            </w:tcBorders>
            <w:vAlign w:val="center"/>
          </w:tcPr>
          <w:p w14:paraId="4A3D0D32">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300637">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46B37A9">
            <w:pPr>
              <w:snapToGrid w:val="0"/>
              <w:spacing w:before="50" w:after="50" w:line="276" w:lineRule="auto"/>
              <w:jc w:val="center"/>
              <w:rPr>
                <w:rFonts w:hint="eastAsia"/>
                <w:sz w:val="21"/>
                <w:szCs w:val="21"/>
                <w:highlight w:val="none"/>
              </w:rPr>
            </w:pPr>
          </w:p>
        </w:tc>
      </w:tr>
      <w:tr w14:paraId="02CF9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484C3B6C">
            <w:pPr>
              <w:snapToGrid w:val="0"/>
              <w:spacing w:before="50" w:after="50" w:line="276" w:lineRule="auto"/>
              <w:jc w:val="center"/>
              <w:rPr>
                <w:rFonts w:hint="eastAsia"/>
                <w:sz w:val="21"/>
                <w:szCs w:val="21"/>
                <w:highlight w:val="none"/>
              </w:rPr>
            </w:pPr>
            <w:r>
              <w:rPr>
                <w:rFonts w:hint="eastAsia"/>
                <w:sz w:val="21"/>
                <w:szCs w:val="21"/>
                <w:highlight w:val="none"/>
              </w:rPr>
              <w:t>项目维护计划</w:t>
            </w:r>
          </w:p>
        </w:tc>
        <w:tc>
          <w:tcPr>
            <w:tcW w:w="2420" w:type="dxa"/>
            <w:tcBorders>
              <w:top w:val="single" w:color="auto" w:sz="4" w:space="0"/>
              <w:left w:val="single" w:color="auto" w:sz="4" w:space="0"/>
              <w:bottom w:val="single" w:color="auto" w:sz="4" w:space="0"/>
              <w:right w:val="single" w:color="auto" w:sz="4" w:space="0"/>
            </w:tcBorders>
            <w:vAlign w:val="center"/>
          </w:tcPr>
          <w:p w14:paraId="2F907261">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0CC67">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F2E6B1B">
            <w:pPr>
              <w:snapToGrid w:val="0"/>
              <w:spacing w:before="50" w:after="50" w:line="276" w:lineRule="auto"/>
              <w:jc w:val="center"/>
              <w:rPr>
                <w:rFonts w:hint="eastAsia"/>
                <w:sz w:val="21"/>
                <w:szCs w:val="21"/>
                <w:highlight w:val="none"/>
              </w:rPr>
            </w:pPr>
          </w:p>
        </w:tc>
      </w:tr>
      <w:tr w14:paraId="39F75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71B60B2A">
            <w:pPr>
              <w:snapToGrid w:val="0"/>
              <w:spacing w:before="50" w:after="50" w:line="276" w:lineRule="auto"/>
              <w:jc w:val="center"/>
              <w:rPr>
                <w:rFonts w:hint="eastAsia"/>
                <w:sz w:val="21"/>
                <w:szCs w:val="21"/>
                <w:highlight w:val="none"/>
              </w:rPr>
            </w:pPr>
            <w:r>
              <w:rPr>
                <w:rFonts w:hint="eastAsia"/>
                <w:sz w:val="21"/>
                <w:szCs w:val="21"/>
                <w:highlight w:val="none"/>
              </w:rPr>
              <w:t>售后服务响应情况</w:t>
            </w:r>
          </w:p>
        </w:tc>
        <w:tc>
          <w:tcPr>
            <w:tcW w:w="2420" w:type="dxa"/>
            <w:tcBorders>
              <w:top w:val="single" w:color="auto" w:sz="4" w:space="0"/>
              <w:left w:val="single" w:color="auto" w:sz="4" w:space="0"/>
              <w:bottom w:val="single" w:color="auto" w:sz="4" w:space="0"/>
              <w:right w:val="single" w:color="auto" w:sz="4" w:space="0"/>
            </w:tcBorders>
            <w:vAlign w:val="center"/>
          </w:tcPr>
          <w:p w14:paraId="6FD735B4">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343D71">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525E60E">
            <w:pPr>
              <w:snapToGrid w:val="0"/>
              <w:spacing w:before="50" w:after="50" w:line="276" w:lineRule="auto"/>
              <w:jc w:val="center"/>
              <w:rPr>
                <w:rFonts w:hint="eastAsia"/>
                <w:sz w:val="21"/>
                <w:szCs w:val="21"/>
                <w:highlight w:val="none"/>
              </w:rPr>
            </w:pPr>
          </w:p>
        </w:tc>
      </w:tr>
      <w:tr w14:paraId="05B6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61DB722A">
            <w:pPr>
              <w:snapToGrid w:val="0"/>
              <w:spacing w:before="50" w:after="50" w:line="276" w:lineRule="auto"/>
              <w:jc w:val="center"/>
              <w:rPr>
                <w:rFonts w:hint="eastAsia"/>
                <w:sz w:val="21"/>
                <w:szCs w:val="21"/>
                <w:highlight w:val="none"/>
              </w:rPr>
            </w:pPr>
            <w:r>
              <w:rPr>
                <w:rFonts w:hint="eastAsia"/>
                <w:sz w:val="21"/>
                <w:szCs w:val="21"/>
                <w:highlight w:val="none"/>
              </w:rPr>
              <w:t>本地化服务</w:t>
            </w:r>
          </w:p>
        </w:tc>
        <w:tc>
          <w:tcPr>
            <w:tcW w:w="2420" w:type="dxa"/>
            <w:tcBorders>
              <w:top w:val="single" w:color="auto" w:sz="4" w:space="0"/>
              <w:left w:val="single" w:color="auto" w:sz="4" w:space="0"/>
              <w:bottom w:val="single" w:color="auto" w:sz="4" w:space="0"/>
              <w:right w:val="single" w:color="auto" w:sz="4" w:space="0"/>
            </w:tcBorders>
            <w:vAlign w:val="center"/>
          </w:tcPr>
          <w:p w14:paraId="3AB79504">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DC998A">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CFB09DE">
            <w:pPr>
              <w:snapToGrid w:val="0"/>
              <w:spacing w:before="50" w:after="50" w:line="276" w:lineRule="auto"/>
              <w:jc w:val="center"/>
              <w:rPr>
                <w:rFonts w:hint="eastAsia"/>
                <w:sz w:val="21"/>
                <w:szCs w:val="21"/>
                <w:highlight w:val="none"/>
              </w:rPr>
            </w:pPr>
          </w:p>
        </w:tc>
      </w:tr>
      <w:tr w14:paraId="0794C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3E05A742">
            <w:pPr>
              <w:snapToGrid w:val="0"/>
              <w:spacing w:before="50" w:after="50" w:line="276" w:lineRule="auto"/>
              <w:jc w:val="center"/>
              <w:rPr>
                <w:rFonts w:hint="eastAsia"/>
                <w:sz w:val="21"/>
                <w:szCs w:val="21"/>
                <w:highlight w:val="none"/>
              </w:rPr>
            </w:pPr>
            <w:r>
              <w:rPr>
                <w:rFonts w:hint="eastAsia"/>
                <w:sz w:val="21"/>
                <w:szCs w:val="21"/>
                <w:highlight w:val="none"/>
              </w:rPr>
              <w:t>技术培训</w:t>
            </w:r>
          </w:p>
        </w:tc>
        <w:tc>
          <w:tcPr>
            <w:tcW w:w="2420" w:type="dxa"/>
            <w:tcBorders>
              <w:top w:val="single" w:color="auto" w:sz="4" w:space="0"/>
              <w:left w:val="single" w:color="auto" w:sz="4" w:space="0"/>
              <w:bottom w:val="single" w:color="auto" w:sz="4" w:space="0"/>
              <w:right w:val="single" w:color="auto" w:sz="4" w:space="0"/>
            </w:tcBorders>
            <w:vAlign w:val="center"/>
          </w:tcPr>
          <w:p w14:paraId="79EE70C1">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689DE4">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77DFE63">
            <w:pPr>
              <w:snapToGrid w:val="0"/>
              <w:spacing w:before="50" w:after="50" w:line="276" w:lineRule="auto"/>
              <w:jc w:val="center"/>
              <w:rPr>
                <w:rFonts w:hint="eastAsia"/>
                <w:sz w:val="21"/>
                <w:szCs w:val="21"/>
                <w:highlight w:val="none"/>
              </w:rPr>
            </w:pPr>
          </w:p>
        </w:tc>
      </w:tr>
      <w:tr w14:paraId="1B8B2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715D2570">
            <w:pPr>
              <w:snapToGrid w:val="0"/>
              <w:spacing w:before="50" w:after="50" w:line="276" w:lineRule="auto"/>
              <w:jc w:val="center"/>
              <w:rPr>
                <w:rFonts w:hint="eastAsia"/>
                <w:sz w:val="21"/>
                <w:szCs w:val="21"/>
                <w:highlight w:val="none"/>
              </w:rPr>
            </w:pPr>
            <w:r>
              <w:rPr>
                <w:rFonts w:hint="eastAsia"/>
                <w:sz w:val="21"/>
                <w:szCs w:val="21"/>
                <w:highlight w:val="none"/>
              </w:rPr>
              <w:t>公司技术力量情况</w:t>
            </w:r>
          </w:p>
        </w:tc>
        <w:tc>
          <w:tcPr>
            <w:tcW w:w="2420" w:type="dxa"/>
            <w:tcBorders>
              <w:top w:val="single" w:color="auto" w:sz="4" w:space="0"/>
              <w:left w:val="single" w:color="auto" w:sz="4" w:space="0"/>
              <w:bottom w:val="single" w:color="auto" w:sz="4" w:space="0"/>
              <w:right w:val="single" w:color="auto" w:sz="4" w:space="0"/>
            </w:tcBorders>
            <w:vAlign w:val="center"/>
          </w:tcPr>
          <w:p w14:paraId="1D722E94">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71A507">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62D4DF66">
            <w:pPr>
              <w:snapToGrid w:val="0"/>
              <w:spacing w:before="50" w:after="50" w:line="276" w:lineRule="auto"/>
              <w:jc w:val="center"/>
              <w:rPr>
                <w:rFonts w:hint="eastAsia"/>
                <w:sz w:val="21"/>
                <w:szCs w:val="21"/>
                <w:highlight w:val="none"/>
              </w:rPr>
            </w:pPr>
          </w:p>
        </w:tc>
      </w:tr>
      <w:tr w14:paraId="31320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4581451F">
            <w:pPr>
              <w:snapToGrid w:val="0"/>
              <w:spacing w:before="50" w:after="50" w:line="276" w:lineRule="auto"/>
              <w:jc w:val="center"/>
              <w:rPr>
                <w:rFonts w:hint="eastAsia"/>
                <w:sz w:val="21"/>
                <w:szCs w:val="21"/>
                <w:highlight w:val="none"/>
              </w:rPr>
            </w:pPr>
            <w:r>
              <w:rPr>
                <w:rFonts w:hint="eastAsia"/>
                <w:sz w:val="21"/>
                <w:szCs w:val="21"/>
                <w:highlight w:val="none"/>
              </w:rPr>
              <w:t>经验或业绩要求</w:t>
            </w:r>
          </w:p>
        </w:tc>
        <w:tc>
          <w:tcPr>
            <w:tcW w:w="2420" w:type="dxa"/>
            <w:tcBorders>
              <w:top w:val="single" w:color="auto" w:sz="4" w:space="0"/>
              <w:left w:val="single" w:color="auto" w:sz="4" w:space="0"/>
              <w:bottom w:val="single" w:color="auto" w:sz="4" w:space="0"/>
              <w:right w:val="single" w:color="auto" w:sz="4" w:space="0"/>
            </w:tcBorders>
            <w:vAlign w:val="center"/>
          </w:tcPr>
          <w:p w14:paraId="0B458637">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3A9831">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3ED49B9">
            <w:pPr>
              <w:snapToGrid w:val="0"/>
              <w:spacing w:before="50" w:after="50" w:line="276" w:lineRule="auto"/>
              <w:jc w:val="center"/>
              <w:rPr>
                <w:rFonts w:hint="eastAsia"/>
                <w:sz w:val="21"/>
                <w:szCs w:val="21"/>
                <w:highlight w:val="none"/>
              </w:rPr>
            </w:pPr>
          </w:p>
        </w:tc>
      </w:tr>
      <w:tr w14:paraId="6583D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666A5D37">
            <w:pPr>
              <w:snapToGrid w:val="0"/>
              <w:spacing w:before="50" w:after="50" w:line="276" w:lineRule="auto"/>
              <w:jc w:val="center"/>
              <w:rPr>
                <w:rFonts w:hint="eastAsia"/>
                <w:sz w:val="21"/>
                <w:szCs w:val="21"/>
                <w:highlight w:val="none"/>
              </w:rPr>
            </w:pPr>
            <w:r>
              <w:rPr>
                <w:rFonts w:hint="eastAsia"/>
                <w:sz w:val="21"/>
                <w:szCs w:val="21"/>
                <w:highlight w:val="none"/>
              </w:rPr>
              <w:t>各类证书</w:t>
            </w:r>
          </w:p>
        </w:tc>
        <w:tc>
          <w:tcPr>
            <w:tcW w:w="2420" w:type="dxa"/>
            <w:tcBorders>
              <w:top w:val="single" w:color="auto" w:sz="4" w:space="0"/>
              <w:left w:val="single" w:color="auto" w:sz="4" w:space="0"/>
              <w:bottom w:val="single" w:color="auto" w:sz="4" w:space="0"/>
              <w:right w:val="single" w:color="auto" w:sz="4" w:space="0"/>
            </w:tcBorders>
            <w:vAlign w:val="center"/>
          </w:tcPr>
          <w:p w14:paraId="1986F56D">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822665">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107DBB0">
            <w:pPr>
              <w:snapToGrid w:val="0"/>
              <w:spacing w:before="50" w:after="50" w:line="276" w:lineRule="auto"/>
              <w:jc w:val="center"/>
              <w:rPr>
                <w:rFonts w:hint="eastAsia"/>
                <w:sz w:val="21"/>
                <w:szCs w:val="21"/>
                <w:highlight w:val="none"/>
              </w:rPr>
            </w:pPr>
          </w:p>
        </w:tc>
      </w:tr>
      <w:tr w14:paraId="0C5C3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4" w:type="dxa"/>
            <w:tcBorders>
              <w:top w:val="single" w:color="auto" w:sz="4" w:space="0"/>
              <w:left w:val="single" w:color="auto" w:sz="4" w:space="0"/>
              <w:bottom w:val="single" w:color="auto" w:sz="4" w:space="0"/>
              <w:right w:val="single" w:color="auto" w:sz="4" w:space="0"/>
            </w:tcBorders>
            <w:vAlign w:val="center"/>
          </w:tcPr>
          <w:p w14:paraId="0DEDB29F">
            <w:pPr>
              <w:snapToGrid w:val="0"/>
              <w:spacing w:before="50" w:after="50" w:line="276" w:lineRule="auto"/>
              <w:jc w:val="center"/>
              <w:rPr>
                <w:rFonts w:hint="eastAsia"/>
                <w:sz w:val="21"/>
                <w:szCs w:val="21"/>
                <w:highlight w:val="none"/>
              </w:rPr>
            </w:pPr>
            <w:r>
              <w:rPr>
                <w:rFonts w:hint="eastAsia"/>
                <w:sz w:val="21"/>
                <w:szCs w:val="21"/>
                <w:highlight w:val="none"/>
              </w:rPr>
              <w:t>……</w:t>
            </w:r>
          </w:p>
        </w:tc>
        <w:tc>
          <w:tcPr>
            <w:tcW w:w="2420" w:type="dxa"/>
            <w:tcBorders>
              <w:top w:val="single" w:color="auto" w:sz="4" w:space="0"/>
              <w:left w:val="single" w:color="auto" w:sz="4" w:space="0"/>
              <w:bottom w:val="single" w:color="auto" w:sz="4" w:space="0"/>
              <w:right w:val="single" w:color="auto" w:sz="4" w:space="0"/>
            </w:tcBorders>
            <w:vAlign w:val="center"/>
          </w:tcPr>
          <w:p w14:paraId="72EA2EB0">
            <w:pPr>
              <w:snapToGrid w:val="0"/>
              <w:spacing w:before="50" w:after="50" w:line="276" w:lineRule="auto"/>
              <w:jc w:val="center"/>
              <w:rPr>
                <w:rFonts w:hint="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0E073B">
            <w:pPr>
              <w:snapToGrid w:val="0"/>
              <w:spacing w:before="50" w:after="50" w:line="276" w:lineRule="auto"/>
              <w:jc w:val="center"/>
              <w:rPr>
                <w:rFonts w:hint="eastAsia"/>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E382E7C">
            <w:pPr>
              <w:snapToGrid w:val="0"/>
              <w:spacing w:before="50" w:after="50" w:line="276" w:lineRule="auto"/>
              <w:jc w:val="center"/>
              <w:rPr>
                <w:rFonts w:hint="eastAsia"/>
                <w:sz w:val="21"/>
                <w:szCs w:val="21"/>
                <w:highlight w:val="none"/>
              </w:rPr>
            </w:pPr>
          </w:p>
        </w:tc>
      </w:tr>
    </w:tbl>
    <w:p w14:paraId="481971F4">
      <w:pPr>
        <w:spacing w:line="360" w:lineRule="auto"/>
        <w:ind w:left="4320" w:leftChars="1800" w:firstLine="480" w:firstLineChars="200"/>
        <w:rPr>
          <w:rFonts w:hint="eastAsia"/>
          <w:highlight w:val="none"/>
        </w:rPr>
      </w:pPr>
    </w:p>
    <w:p w14:paraId="133573A9">
      <w:pPr>
        <w:spacing w:line="360" w:lineRule="auto"/>
        <w:ind w:left="4320" w:leftChars="1800" w:firstLine="480" w:firstLineChars="200"/>
        <w:rPr>
          <w:rFonts w:hint="eastAsia"/>
          <w:highlight w:val="none"/>
        </w:rPr>
      </w:pPr>
    </w:p>
    <w:p w14:paraId="04A2E1F4">
      <w:pPr>
        <w:spacing w:line="360" w:lineRule="auto"/>
        <w:ind w:left="4320" w:leftChars="1800" w:firstLine="480" w:firstLineChars="200"/>
        <w:rPr>
          <w:rFonts w:hint="eastAsia"/>
          <w:highlight w:val="none"/>
        </w:rPr>
      </w:pPr>
    </w:p>
    <w:p w14:paraId="77C31305">
      <w:pPr>
        <w:spacing w:line="360" w:lineRule="auto"/>
        <w:ind w:left="4320" w:leftChars="1800" w:firstLine="480" w:firstLineChars="200"/>
        <w:rPr>
          <w:rFonts w:hint="eastAsia"/>
          <w:highlight w:val="none"/>
        </w:rPr>
      </w:pPr>
      <w:r>
        <w:rPr>
          <w:rFonts w:hint="eastAsia"/>
          <w:highlight w:val="none"/>
        </w:rPr>
        <w:t xml:space="preserve">法定代表人签名（或签名章）：                       </w:t>
      </w:r>
    </w:p>
    <w:p w14:paraId="11BDAEAA">
      <w:pPr>
        <w:spacing w:line="360" w:lineRule="auto"/>
        <w:ind w:left="4320" w:leftChars="1800" w:firstLine="480" w:firstLineChars="200"/>
        <w:rPr>
          <w:rFonts w:hint="eastAsia"/>
          <w:highlight w:val="none"/>
        </w:rPr>
      </w:pPr>
      <w:r>
        <w:rPr>
          <w:rFonts w:hint="eastAsia"/>
          <w:highlight w:val="none"/>
        </w:rPr>
        <w:t>日 期：</w:t>
      </w:r>
    </w:p>
    <w:p w14:paraId="34E26F5F">
      <w:pPr>
        <w:spacing w:line="360" w:lineRule="auto"/>
        <w:ind w:left="4320" w:leftChars="1800" w:firstLine="480" w:firstLineChars="200"/>
        <w:rPr>
          <w:rFonts w:hint="eastAsia"/>
          <w:highlight w:val="none"/>
        </w:rPr>
      </w:pPr>
      <w:r>
        <w:rPr>
          <w:rFonts w:hint="eastAsia"/>
          <w:highlight w:val="none"/>
        </w:rPr>
        <w:t>投标人（或联合体牵头人）全称（公章）：</w:t>
      </w:r>
    </w:p>
    <w:p w14:paraId="6DD77184">
      <w:pPr>
        <w:spacing w:line="360" w:lineRule="auto"/>
        <w:ind w:left="4320" w:leftChars="1800" w:firstLine="480" w:firstLineChars="200"/>
        <w:rPr>
          <w:rFonts w:hint="eastAsia"/>
          <w:highlight w:val="none"/>
          <w:lang w:val="zh-CN"/>
        </w:rPr>
      </w:pPr>
    </w:p>
    <w:p w14:paraId="7D2AC544">
      <w:pPr>
        <w:pStyle w:val="5"/>
        <w:numPr>
          <w:ilvl w:val="0"/>
          <w:numId w:val="0"/>
        </w:numPr>
        <w:spacing w:line="360" w:lineRule="auto"/>
        <w:rPr>
          <w:rFonts w:hint="eastAsia"/>
          <w:highlight w:val="none"/>
        </w:rPr>
      </w:pPr>
      <w:r>
        <w:rPr>
          <w:highlight w:val="none"/>
        </w:rPr>
        <w:br w:type="page"/>
      </w:r>
      <w:bookmarkStart w:id="502" w:name="_Toc151026273"/>
      <w:r>
        <w:rPr>
          <w:rFonts w:hint="eastAsia"/>
          <w:highlight w:val="none"/>
        </w:rPr>
        <w:t>附件十：</w:t>
      </w:r>
      <w:bookmarkEnd w:id="502"/>
    </w:p>
    <w:p w14:paraId="6CDECCB1">
      <w:pPr>
        <w:spacing w:line="360" w:lineRule="auto"/>
        <w:jc w:val="center"/>
        <w:rPr>
          <w:rFonts w:hint="eastAsia"/>
          <w:b/>
          <w:bCs/>
          <w:sz w:val="30"/>
          <w:szCs w:val="30"/>
          <w:highlight w:val="none"/>
        </w:rPr>
      </w:pPr>
      <w:r>
        <w:rPr>
          <w:rFonts w:hint="eastAsia"/>
          <w:b/>
          <w:bCs/>
          <w:sz w:val="30"/>
          <w:szCs w:val="30"/>
          <w:highlight w:val="none"/>
        </w:rPr>
        <w:t>项目组人员清单</w:t>
      </w:r>
    </w:p>
    <w:p w14:paraId="3A5FA068">
      <w:pPr>
        <w:spacing w:line="360" w:lineRule="auto"/>
        <w:ind w:firstLine="480" w:firstLineChars="200"/>
        <w:rPr>
          <w:rFonts w:hint="eastAsia"/>
          <w:highlight w:val="none"/>
        </w:rPr>
      </w:pPr>
      <w:r>
        <w:rPr>
          <w:rFonts w:hint="eastAsia"/>
          <w:highlight w:val="none"/>
        </w:rPr>
        <w:t>项目名称：</w:t>
      </w:r>
    </w:p>
    <w:p w14:paraId="0199843C">
      <w:pPr>
        <w:spacing w:line="360" w:lineRule="auto"/>
        <w:ind w:firstLine="480" w:firstLineChars="200"/>
        <w:rPr>
          <w:rFonts w:hint="eastAsia"/>
          <w:highlight w:val="none"/>
        </w:rPr>
      </w:pPr>
      <w:r>
        <w:rPr>
          <w:rFonts w:hint="eastAsia"/>
          <w:highlight w:val="none"/>
        </w:rPr>
        <w:t>采购编号：</w:t>
      </w:r>
    </w:p>
    <w:tbl>
      <w:tblPr>
        <w:tblStyle w:val="3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4"/>
        <w:gridCol w:w="1094"/>
        <w:gridCol w:w="1811"/>
        <w:gridCol w:w="1215"/>
        <w:gridCol w:w="2191"/>
        <w:gridCol w:w="1881"/>
      </w:tblGrid>
      <w:tr w14:paraId="1771A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14:paraId="7972AC17">
            <w:pPr>
              <w:snapToGrid w:val="0"/>
              <w:spacing w:before="50" w:after="50" w:line="276" w:lineRule="auto"/>
              <w:jc w:val="center"/>
              <w:rPr>
                <w:rFonts w:hint="eastAsia"/>
                <w:highlight w:val="none"/>
              </w:rPr>
            </w:pPr>
            <w:r>
              <w:rPr>
                <w:rFonts w:hint="eastAsia"/>
                <w:highlight w:val="none"/>
              </w:rPr>
              <w:t>姓名</w:t>
            </w:r>
          </w:p>
        </w:tc>
        <w:tc>
          <w:tcPr>
            <w:tcW w:w="589" w:type="pct"/>
            <w:tcBorders>
              <w:top w:val="single" w:color="auto" w:sz="4" w:space="0"/>
              <w:left w:val="single" w:color="auto" w:sz="4" w:space="0"/>
              <w:bottom w:val="single" w:color="auto" w:sz="4" w:space="0"/>
              <w:right w:val="single" w:color="auto" w:sz="4" w:space="0"/>
            </w:tcBorders>
            <w:vAlign w:val="center"/>
          </w:tcPr>
          <w:p w14:paraId="3F40D456">
            <w:pPr>
              <w:snapToGrid w:val="0"/>
              <w:spacing w:before="50" w:after="50" w:line="276" w:lineRule="auto"/>
              <w:jc w:val="center"/>
              <w:rPr>
                <w:rFonts w:hint="eastAsia"/>
                <w:highlight w:val="none"/>
              </w:rPr>
            </w:pPr>
            <w:r>
              <w:rPr>
                <w:rFonts w:hint="eastAsia"/>
                <w:highlight w:val="none"/>
              </w:rPr>
              <w:t>职务</w:t>
            </w:r>
          </w:p>
        </w:tc>
        <w:tc>
          <w:tcPr>
            <w:tcW w:w="975" w:type="pct"/>
            <w:tcBorders>
              <w:top w:val="single" w:color="auto" w:sz="4" w:space="0"/>
              <w:left w:val="single" w:color="auto" w:sz="4" w:space="0"/>
              <w:bottom w:val="single" w:color="auto" w:sz="4" w:space="0"/>
              <w:right w:val="single" w:color="auto" w:sz="4" w:space="0"/>
            </w:tcBorders>
            <w:vAlign w:val="center"/>
          </w:tcPr>
          <w:p w14:paraId="351EAE80">
            <w:pPr>
              <w:snapToGrid w:val="0"/>
              <w:spacing w:before="50" w:after="50" w:line="276" w:lineRule="auto"/>
              <w:jc w:val="center"/>
              <w:rPr>
                <w:rFonts w:hint="eastAsia"/>
                <w:highlight w:val="none"/>
              </w:rPr>
            </w:pPr>
            <w:r>
              <w:rPr>
                <w:rFonts w:hint="eastAsia"/>
                <w:highlight w:val="none"/>
              </w:rPr>
              <w:t>专业技术资格</w:t>
            </w:r>
          </w:p>
        </w:tc>
        <w:tc>
          <w:tcPr>
            <w:tcW w:w="654" w:type="pct"/>
            <w:tcBorders>
              <w:top w:val="single" w:color="auto" w:sz="4" w:space="0"/>
              <w:left w:val="single" w:color="auto" w:sz="4" w:space="0"/>
              <w:bottom w:val="single" w:color="auto" w:sz="4" w:space="0"/>
              <w:right w:val="single" w:color="auto" w:sz="4" w:space="0"/>
            </w:tcBorders>
            <w:vAlign w:val="center"/>
          </w:tcPr>
          <w:p w14:paraId="7519345F">
            <w:pPr>
              <w:snapToGrid w:val="0"/>
              <w:spacing w:before="50" w:after="50" w:line="276" w:lineRule="auto"/>
              <w:jc w:val="center"/>
              <w:rPr>
                <w:rFonts w:hint="eastAsia"/>
                <w:highlight w:val="none"/>
              </w:rPr>
            </w:pPr>
            <w:r>
              <w:rPr>
                <w:rFonts w:hint="eastAsia"/>
                <w:highlight w:val="none"/>
              </w:rPr>
              <w:t>证书编号</w:t>
            </w:r>
          </w:p>
        </w:tc>
        <w:tc>
          <w:tcPr>
            <w:tcW w:w="1180" w:type="pct"/>
            <w:tcBorders>
              <w:top w:val="single" w:color="auto" w:sz="4" w:space="0"/>
              <w:left w:val="single" w:color="auto" w:sz="4" w:space="0"/>
              <w:bottom w:val="single" w:color="auto" w:sz="4" w:space="0"/>
              <w:right w:val="single" w:color="auto" w:sz="4" w:space="0"/>
            </w:tcBorders>
            <w:vAlign w:val="center"/>
          </w:tcPr>
          <w:p w14:paraId="62FB127A">
            <w:pPr>
              <w:snapToGrid w:val="0"/>
              <w:spacing w:before="50" w:after="50" w:line="276" w:lineRule="auto"/>
              <w:jc w:val="center"/>
              <w:rPr>
                <w:rFonts w:hint="eastAsia"/>
                <w:highlight w:val="none"/>
              </w:rPr>
            </w:pPr>
            <w:r>
              <w:rPr>
                <w:rFonts w:hint="eastAsia"/>
                <w:highlight w:val="none"/>
              </w:rPr>
              <w:t>参加本单位工作时间</w:t>
            </w:r>
          </w:p>
        </w:tc>
        <w:tc>
          <w:tcPr>
            <w:tcW w:w="1013" w:type="pct"/>
            <w:tcBorders>
              <w:top w:val="single" w:color="auto" w:sz="4" w:space="0"/>
              <w:left w:val="single" w:color="auto" w:sz="4" w:space="0"/>
              <w:bottom w:val="single" w:color="auto" w:sz="4" w:space="0"/>
              <w:right w:val="single" w:color="auto" w:sz="4" w:space="0"/>
            </w:tcBorders>
            <w:vAlign w:val="center"/>
          </w:tcPr>
          <w:p w14:paraId="5500B6CC">
            <w:pPr>
              <w:snapToGrid w:val="0"/>
              <w:spacing w:before="50" w:after="50" w:line="276" w:lineRule="auto"/>
              <w:jc w:val="center"/>
              <w:rPr>
                <w:rFonts w:hint="eastAsia"/>
                <w:highlight w:val="none"/>
              </w:rPr>
            </w:pPr>
            <w:r>
              <w:rPr>
                <w:rFonts w:hint="eastAsia"/>
                <w:highlight w:val="none"/>
              </w:rPr>
              <w:t>劳动合同编号</w:t>
            </w:r>
          </w:p>
        </w:tc>
      </w:tr>
      <w:tr w14:paraId="56C3C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7D1BBA89">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2BD01D32">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69FCD1B7">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23064F6B">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442191F7">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56E97F41">
            <w:pPr>
              <w:snapToGrid w:val="0"/>
              <w:spacing w:before="120" w:beforeLines="50" w:after="50" w:line="276" w:lineRule="auto"/>
              <w:rPr>
                <w:rFonts w:hint="eastAsia"/>
                <w:highlight w:val="none"/>
              </w:rPr>
            </w:pPr>
          </w:p>
        </w:tc>
      </w:tr>
      <w:tr w14:paraId="0E12F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2FE5AE05">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1951B1D6">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6E20252C">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623EFF4B">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25D4D942">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719F79DD">
            <w:pPr>
              <w:snapToGrid w:val="0"/>
              <w:spacing w:before="120" w:beforeLines="50" w:after="50" w:line="276" w:lineRule="auto"/>
              <w:rPr>
                <w:rFonts w:hint="eastAsia"/>
                <w:highlight w:val="none"/>
              </w:rPr>
            </w:pPr>
          </w:p>
        </w:tc>
      </w:tr>
      <w:tr w14:paraId="2B302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08DA6276">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3CFFEE08">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415B8658">
            <w:pPr>
              <w:pStyle w:val="17"/>
              <w:widowControl w:val="0"/>
              <w:snapToGrid w:val="0"/>
              <w:spacing w:before="120" w:beforeLines="50" w:after="50" w:line="276" w:lineRule="auto"/>
              <w:ind w:left="6000"/>
              <w:jc w:val="both"/>
              <w:rPr>
                <w:rFonts w:hint="eastAsia"/>
                <w:color w:val="auto"/>
                <w:highlight w:val="none"/>
              </w:rPr>
            </w:pPr>
          </w:p>
        </w:tc>
        <w:tc>
          <w:tcPr>
            <w:tcW w:w="654" w:type="pct"/>
            <w:tcBorders>
              <w:top w:val="single" w:color="auto" w:sz="4" w:space="0"/>
              <w:left w:val="single" w:color="auto" w:sz="4" w:space="0"/>
              <w:bottom w:val="single" w:color="auto" w:sz="4" w:space="0"/>
              <w:right w:val="single" w:color="auto" w:sz="4" w:space="0"/>
            </w:tcBorders>
          </w:tcPr>
          <w:p w14:paraId="6F3DA4D9">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2AEA1298">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70D80B23">
            <w:pPr>
              <w:snapToGrid w:val="0"/>
              <w:spacing w:before="120" w:beforeLines="50" w:after="50" w:line="276" w:lineRule="auto"/>
              <w:rPr>
                <w:rFonts w:hint="eastAsia"/>
                <w:highlight w:val="none"/>
              </w:rPr>
            </w:pPr>
          </w:p>
        </w:tc>
      </w:tr>
      <w:tr w14:paraId="1634C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715D393A">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20695484">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03DC1BE8">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2E273F7E">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32BB7EB2">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5DF835CC">
            <w:pPr>
              <w:snapToGrid w:val="0"/>
              <w:spacing w:before="120" w:beforeLines="50" w:after="50" w:line="276" w:lineRule="auto"/>
              <w:rPr>
                <w:rFonts w:hint="eastAsia"/>
                <w:highlight w:val="none"/>
              </w:rPr>
            </w:pPr>
          </w:p>
        </w:tc>
      </w:tr>
      <w:tr w14:paraId="5E28E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022B864B">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5ACB94AE">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4F13C236">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440E6AC8">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78235A56">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7F4D93B8">
            <w:pPr>
              <w:snapToGrid w:val="0"/>
              <w:spacing w:before="120" w:beforeLines="50" w:after="50" w:line="276" w:lineRule="auto"/>
              <w:rPr>
                <w:rFonts w:hint="eastAsia"/>
                <w:highlight w:val="none"/>
              </w:rPr>
            </w:pPr>
          </w:p>
        </w:tc>
      </w:tr>
      <w:tr w14:paraId="014C0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62CE89F8">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288FE209">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32DF3F2C">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398754E6">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17D0D433">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4169576F">
            <w:pPr>
              <w:snapToGrid w:val="0"/>
              <w:spacing w:before="120" w:beforeLines="50" w:after="50" w:line="276" w:lineRule="auto"/>
              <w:rPr>
                <w:rFonts w:hint="eastAsia"/>
                <w:highlight w:val="none"/>
              </w:rPr>
            </w:pPr>
          </w:p>
        </w:tc>
      </w:tr>
      <w:tr w14:paraId="16D24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5D724B54">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04C0B342">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6FA98C78">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567EB8DA">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56865457">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7A5E82F1">
            <w:pPr>
              <w:snapToGrid w:val="0"/>
              <w:spacing w:before="120" w:beforeLines="50" w:after="50" w:line="276" w:lineRule="auto"/>
              <w:rPr>
                <w:rFonts w:hint="eastAsia"/>
                <w:highlight w:val="none"/>
              </w:rPr>
            </w:pPr>
          </w:p>
        </w:tc>
      </w:tr>
      <w:tr w14:paraId="37963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1B52BD55">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50362B1D">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4920CB14">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0A1BAC6A">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62B2126E">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647A0171">
            <w:pPr>
              <w:snapToGrid w:val="0"/>
              <w:spacing w:before="120" w:beforeLines="50" w:after="50" w:line="276" w:lineRule="auto"/>
              <w:rPr>
                <w:rFonts w:hint="eastAsia"/>
                <w:highlight w:val="none"/>
              </w:rPr>
            </w:pPr>
          </w:p>
        </w:tc>
      </w:tr>
      <w:tr w14:paraId="4FB98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9" w:type="pct"/>
            <w:tcBorders>
              <w:top w:val="single" w:color="auto" w:sz="4" w:space="0"/>
              <w:left w:val="single" w:color="auto" w:sz="4" w:space="0"/>
              <w:bottom w:val="single" w:color="auto" w:sz="4" w:space="0"/>
              <w:right w:val="single" w:color="auto" w:sz="4" w:space="0"/>
            </w:tcBorders>
          </w:tcPr>
          <w:p w14:paraId="183256BE">
            <w:pPr>
              <w:snapToGrid w:val="0"/>
              <w:spacing w:before="120" w:beforeLines="50" w:after="50" w:line="276" w:lineRule="auto"/>
              <w:rPr>
                <w:rFonts w:hint="eastAsia"/>
                <w:highlight w:val="none"/>
              </w:rPr>
            </w:pPr>
          </w:p>
        </w:tc>
        <w:tc>
          <w:tcPr>
            <w:tcW w:w="589" w:type="pct"/>
            <w:tcBorders>
              <w:top w:val="single" w:color="auto" w:sz="4" w:space="0"/>
              <w:left w:val="single" w:color="auto" w:sz="4" w:space="0"/>
              <w:bottom w:val="single" w:color="auto" w:sz="4" w:space="0"/>
              <w:right w:val="single" w:color="auto" w:sz="4" w:space="0"/>
            </w:tcBorders>
          </w:tcPr>
          <w:p w14:paraId="5E366DA5">
            <w:pPr>
              <w:snapToGrid w:val="0"/>
              <w:spacing w:before="120" w:beforeLines="50" w:after="50" w:line="276" w:lineRule="auto"/>
              <w:rPr>
                <w:rFonts w:hint="eastAsia"/>
                <w:highlight w:val="none"/>
              </w:rPr>
            </w:pPr>
          </w:p>
        </w:tc>
        <w:tc>
          <w:tcPr>
            <w:tcW w:w="975" w:type="pct"/>
            <w:tcBorders>
              <w:top w:val="single" w:color="auto" w:sz="4" w:space="0"/>
              <w:left w:val="single" w:color="auto" w:sz="4" w:space="0"/>
              <w:bottom w:val="single" w:color="auto" w:sz="4" w:space="0"/>
              <w:right w:val="single" w:color="auto" w:sz="4" w:space="0"/>
            </w:tcBorders>
          </w:tcPr>
          <w:p w14:paraId="69193CBD">
            <w:pPr>
              <w:snapToGrid w:val="0"/>
              <w:spacing w:before="120" w:beforeLines="50" w:after="50" w:line="276" w:lineRule="auto"/>
              <w:rPr>
                <w:rFonts w:hint="eastAsia"/>
                <w:highlight w:val="none"/>
              </w:rPr>
            </w:pPr>
          </w:p>
        </w:tc>
        <w:tc>
          <w:tcPr>
            <w:tcW w:w="654" w:type="pct"/>
            <w:tcBorders>
              <w:top w:val="single" w:color="auto" w:sz="4" w:space="0"/>
              <w:left w:val="single" w:color="auto" w:sz="4" w:space="0"/>
              <w:bottom w:val="single" w:color="auto" w:sz="4" w:space="0"/>
              <w:right w:val="single" w:color="auto" w:sz="4" w:space="0"/>
            </w:tcBorders>
          </w:tcPr>
          <w:p w14:paraId="083C0AC9">
            <w:pPr>
              <w:snapToGrid w:val="0"/>
              <w:spacing w:before="120" w:beforeLines="50" w:after="50" w:line="276" w:lineRule="auto"/>
              <w:rPr>
                <w:rFonts w:hint="eastAsia"/>
                <w:highlight w:val="none"/>
              </w:rPr>
            </w:pPr>
          </w:p>
        </w:tc>
        <w:tc>
          <w:tcPr>
            <w:tcW w:w="1180" w:type="pct"/>
            <w:tcBorders>
              <w:top w:val="single" w:color="auto" w:sz="4" w:space="0"/>
              <w:left w:val="single" w:color="auto" w:sz="4" w:space="0"/>
              <w:bottom w:val="single" w:color="auto" w:sz="4" w:space="0"/>
              <w:right w:val="single" w:color="auto" w:sz="4" w:space="0"/>
            </w:tcBorders>
          </w:tcPr>
          <w:p w14:paraId="0276789F">
            <w:pPr>
              <w:snapToGrid w:val="0"/>
              <w:spacing w:before="120" w:beforeLines="50" w:after="50" w:line="276" w:lineRule="auto"/>
              <w:rPr>
                <w:rFonts w:hint="eastAsia"/>
                <w:highlight w:val="none"/>
              </w:rPr>
            </w:pPr>
          </w:p>
        </w:tc>
        <w:tc>
          <w:tcPr>
            <w:tcW w:w="1013" w:type="pct"/>
            <w:tcBorders>
              <w:top w:val="single" w:color="auto" w:sz="4" w:space="0"/>
              <w:left w:val="single" w:color="auto" w:sz="4" w:space="0"/>
              <w:bottom w:val="single" w:color="auto" w:sz="4" w:space="0"/>
              <w:right w:val="single" w:color="auto" w:sz="4" w:space="0"/>
            </w:tcBorders>
          </w:tcPr>
          <w:p w14:paraId="15FE16B3">
            <w:pPr>
              <w:snapToGrid w:val="0"/>
              <w:spacing w:before="120" w:beforeLines="50" w:after="50" w:line="276" w:lineRule="auto"/>
              <w:rPr>
                <w:rFonts w:hint="eastAsia"/>
                <w:highlight w:val="none"/>
              </w:rPr>
            </w:pPr>
          </w:p>
        </w:tc>
      </w:tr>
    </w:tbl>
    <w:p w14:paraId="1B930C3D">
      <w:pPr>
        <w:adjustRightInd w:val="0"/>
        <w:snapToGrid w:val="0"/>
        <w:spacing w:line="360" w:lineRule="auto"/>
        <w:rPr>
          <w:rFonts w:hint="eastAsia"/>
          <w:sz w:val="21"/>
          <w:szCs w:val="21"/>
          <w:highlight w:val="none"/>
        </w:rPr>
      </w:pPr>
      <w:r>
        <w:rPr>
          <w:rFonts w:hint="eastAsia"/>
          <w:highlight w:val="none"/>
        </w:rPr>
        <w:t>注：在填写时，如本表格不适合投标单位的实际情况，可根据本表格式自行划表填写。</w:t>
      </w:r>
      <w:r>
        <w:rPr>
          <w:rFonts w:hint="eastAsia"/>
          <w:sz w:val="21"/>
          <w:szCs w:val="21"/>
          <w:highlight w:val="none"/>
        </w:rPr>
        <w:t xml:space="preserve"> </w:t>
      </w:r>
    </w:p>
    <w:p w14:paraId="734940F8">
      <w:pPr>
        <w:snapToGrid w:val="0"/>
        <w:spacing w:before="50" w:after="120" w:afterLines="50" w:line="360" w:lineRule="auto"/>
        <w:rPr>
          <w:rFonts w:hint="eastAsia"/>
          <w:highlight w:val="none"/>
        </w:rPr>
      </w:pPr>
    </w:p>
    <w:p w14:paraId="5C4E6EDE">
      <w:pPr>
        <w:pStyle w:val="12"/>
        <w:spacing w:line="360" w:lineRule="auto"/>
        <w:ind w:left="480"/>
        <w:rPr>
          <w:rFonts w:hint="eastAsia"/>
          <w:highlight w:val="none"/>
        </w:rPr>
      </w:pPr>
    </w:p>
    <w:p w14:paraId="48000F64">
      <w:pPr>
        <w:spacing w:line="360" w:lineRule="auto"/>
        <w:ind w:left="4320" w:leftChars="1800" w:firstLine="480" w:firstLineChars="200"/>
        <w:rPr>
          <w:rFonts w:hint="eastAsia"/>
          <w:highlight w:val="none"/>
        </w:rPr>
      </w:pPr>
      <w:r>
        <w:rPr>
          <w:rFonts w:hint="eastAsia"/>
          <w:highlight w:val="none"/>
        </w:rPr>
        <w:t xml:space="preserve">法定代表人签名（或签名章）：                       </w:t>
      </w:r>
    </w:p>
    <w:p w14:paraId="455B59E0">
      <w:pPr>
        <w:spacing w:line="360" w:lineRule="auto"/>
        <w:ind w:left="4320" w:leftChars="1800" w:firstLine="480" w:firstLineChars="200"/>
        <w:rPr>
          <w:rFonts w:hint="eastAsia"/>
          <w:highlight w:val="none"/>
        </w:rPr>
      </w:pPr>
      <w:r>
        <w:rPr>
          <w:rFonts w:hint="eastAsia"/>
          <w:highlight w:val="none"/>
        </w:rPr>
        <w:t>日 期：</w:t>
      </w:r>
    </w:p>
    <w:p w14:paraId="5C93CB74">
      <w:pPr>
        <w:spacing w:line="360" w:lineRule="auto"/>
        <w:ind w:left="4320" w:leftChars="1800" w:firstLine="480" w:firstLineChars="200"/>
        <w:rPr>
          <w:rFonts w:hint="eastAsia"/>
          <w:highlight w:val="none"/>
        </w:rPr>
      </w:pPr>
      <w:r>
        <w:rPr>
          <w:rFonts w:hint="eastAsia"/>
          <w:highlight w:val="none"/>
        </w:rPr>
        <w:t>投标人（或联合体牵头人）全称（公章）：</w:t>
      </w:r>
    </w:p>
    <w:p w14:paraId="2CF0FC41">
      <w:pPr>
        <w:spacing w:line="360" w:lineRule="auto"/>
        <w:rPr>
          <w:rFonts w:hint="eastAsia"/>
          <w:sz w:val="36"/>
          <w:szCs w:val="22"/>
          <w:highlight w:val="none"/>
        </w:rPr>
      </w:pPr>
    </w:p>
    <w:p w14:paraId="340A1EA8">
      <w:pPr>
        <w:pStyle w:val="3"/>
        <w:spacing w:line="360" w:lineRule="auto"/>
        <w:jc w:val="center"/>
        <w:rPr>
          <w:rFonts w:hint="eastAsia"/>
          <w:sz w:val="36"/>
          <w:szCs w:val="22"/>
          <w:highlight w:val="none"/>
        </w:rPr>
      </w:pPr>
      <w:r>
        <w:rPr>
          <w:sz w:val="36"/>
          <w:szCs w:val="22"/>
          <w:highlight w:val="none"/>
        </w:rPr>
        <w:br w:type="page"/>
      </w:r>
      <w:bookmarkStart w:id="503" w:name="_Toc151026274"/>
      <w:r>
        <w:rPr>
          <w:rFonts w:hint="eastAsia"/>
          <w:sz w:val="36"/>
          <w:szCs w:val="22"/>
          <w:highlight w:val="none"/>
        </w:rPr>
        <w:t>报价文件</w:t>
      </w:r>
      <w:bookmarkEnd w:id="503"/>
    </w:p>
    <w:p w14:paraId="0346F318">
      <w:pPr>
        <w:spacing w:line="360" w:lineRule="auto"/>
        <w:jc w:val="center"/>
        <w:rPr>
          <w:rFonts w:hint="eastAsia"/>
          <w:b/>
          <w:sz w:val="36"/>
          <w:szCs w:val="36"/>
          <w:highlight w:val="none"/>
        </w:rPr>
      </w:pPr>
      <w:r>
        <w:rPr>
          <w:rFonts w:hint="eastAsia"/>
          <w:b/>
          <w:sz w:val="36"/>
          <w:szCs w:val="36"/>
          <w:highlight w:val="none"/>
        </w:rPr>
        <w:t>目录</w:t>
      </w:r>
    </w:p>
    <w:p w14:paraId="53E88DF3">
      <w:pPr>
        <w:pStyle w:val="12"/>
        <w:spacing w:line="360" w:lineRule="auto"/>
        <w:ind w:left="480" w:firstLine="723"/>
        <w:rPr>
          <w:rFonts w:hint="eastAsia"/>
          <w:b/>
          <w:sz w:val="36"/>
          <w:szCs w:val="36"/>
          <w:highlight w:val="none"/>
        </w:rPr>
      </w:pPr>
    </w:p>
    <w:p w14:paraId="1B9A7FE5">
      <w:pPr>
        <w:tabs>
          <w:tab w:val="left" w:pos="1440"/>
          <w:tab w:val="left" w:pos="1620"/>
          <w:tab w:val="left" w:pos="1800"/>
          <w:tab w:val="left" w:pos="1980"/>
        </w:tabs>
        <w:autoSpaceDE w:val="0"/>
        <w:autoSpaceDN w:val="0"/>
        <w:spacing w:line="360" w:lineRule="auto"/>
        <w:ind w:left="480" w:leftChars="200"/>
        <w:textAlignment w:val="bottom"/>
        <w:rPr>
          <w:rFonts w:hint="eastAsia"/>
          <w:highlight w:val="none"/>
        </w:rPr>
      </w:pPr>
      <w:r>
        <w:rPr>
          <w:rFonts w:hint="eastAsia"/>
          <w:highlight w:val="none"/>
        </w:rPr>
        <w:t>（1）投标函（格式见附件）；</w:t>
      </w:r>
    </w:p>
    <w:p w14:paraId="11292BCB">
      <w:pPr>
        <w:tabs>
          <w:tab w:val="left" w:pos="1440"/>
          <w:tab w:val="left" w:pos="1620"/>
          <w:tab w:val="left" w:pos="1800"/>
          <w:tab w:val="left" w:pos="1980"/>
        </w:tabs>
        <w:autoSpaceDE w:val="0"/>
        <w:autoSpaceDN w:val="0"/>
        <w:spacing w:line="360" w:lineRule="auto"/>
        <w:ind w:left="480" w:leftChars="200"/>
        <w:textAlignment w:val="bottom"/>
        <w:rPr>
          <w:rFonts w:hint="eastAsia"/>
          <w:highlight w:val="none"/>
        </w:rPr>
      </w:pPr>
      <w:r>
        <w:rPr>
          <w:rFonts w:hint="eastAsia"/>
          <w:highlight w:val="none"/>
        </w:rPr>
        <w:t>（2）开标一览表（格式见附件）；</w:t>
      </w:r>
    </w:p>
    <w:p w14:paraId="7381B5AD">
      <w:pPr>
        <w:tabs>
          <w:tab w:val="left" w:pos="1440"/>
          <w:tab w:val="left" w:pos="1620"/>
          <w:tab w:val="left" w:pos="1800"/>
          <w:tab w:val="left" w:pos="1980"/>
        </w:tabs>
        <w:autoSpaceDE w:val="0"/>
        <w:autoSpaceDN w:val="0"/>
        <w:spacing w:line="360" w:lineRule="auto"/>
        <w:ind w:left="480" w:leftChars="200"/>
        <w:textAlignment w:val="bottom"/>
        <w:rPr>
          <w:rFonts w:hint="eastAsia"/>
          <w:highlight w:val="none"/>
        </w:rPr>
      </w:pPr>
      <w:r>
        <w:rPr>
          <w:rFonts w:hint="eastAsia"/>
          <w:highlight w:val="none"/>
        </w:rPr>
        <w:t>（3）投标报价明细表（格式见附件）；</w:t>
      </w:r>
    </w:p>
    <w:p w14:paraId="5223B11F">
      <w:pPr>
        <w:pStyle w:val="12"/>
        <w:spacing w:line="360" w:lineRule="auto"/>
        <w:ind w:left="480" w:firstLine="560"/>
        <w:rPr>
          <w:rFonts w:hint="eastAsia"/>
          <w:sz w:val="28"/>
          <w:szCs w:val="28"/>
          <w:highlight w:val="none"/>
        </w:rPr>
      </w:pPr>
    </w:p>
    <w:p w14:paraId="3E4ED518">
      <w:pPr>
        <w:pStyle w:val="12"/>
        <w:spacing w:line="360" w:lineRule="auto"/>
        <w:ind w:left="480" w:firstLine="560"/>
        <w:rPr>
          <w:rFonts w:hint="eastAsia"/>
          <w:sz w:val="28"/>
          <w:szCs w:val="28"/>
          <w:highlight w:val="none"/>
        </w:rPr>
      </w:pPr>
    </w:p>
    <w:p w14:paraId="7151C398">
      <w:pPr>
        <w:pStyle w:val="12"/>
        <w:spacing w:line="360" w:lineRule="auto"/>
        <w:ind w:left="480" w:firstLine="560"/>
        <w:rPr>
          <w:rFonts w:hint="eastAsia"/>
          <w:sz w:val="28"/>
          <w:szCs w:val="28"/>
          <w:highlight w:val="none"/>
        </w:rPr>
      </w:pPr>
    </w:p>
    <w:p w14:paraId="68C9A22A">
      <w:pPr>
        <w:pStyle w:val="12"/>
        <w:spacing w:line="360" w:lineRule="auto"/>
        <w:ind w:left="480" w:firstLine="560"/>
        <w:rPr>
          <w:rFonts w:hint="eastAsia"/>
          <w:sz w:val="28"/>
          <w:szCs w:val="28"/>
          <w:highlight w:val="none"/>
        </w:rPr>
      </w:pPr>
    </w:p>
    <w:p w14:paraId="1A5F2084">
      <w:pPr>
        <w:pStyle w:val="12"/>
        <w:spacing w:line="360" w:lineRule="auto"/>
        <w:ind w:left="480" w:firstLine="560"/>
        <w:rPr>
          <w:rFonts w:hint="eastAsia"/>
          <w:sz w:val="28"/>
          <w:szCs w:val="28"/>
          <w:highlight w:val="none"/>
        </w:rPr>
      </w:pPr>
    </w:p>
    <w:p w14:paraId="4E6F3A13">
      <w:pPr>
        <w:pStyle w:val="12"/>
        <w:spacing w:line="360" w:lineRule="auto"/>
        <w:ind w:left="480" w:firstLine="560"/>
        <w:rPr>
          <w:rFonts w:hint="eastAsia"/>
          <w:sz w:val="28"/>
          <w:szCs w:val="28"/>
          <w:highlight w:val="none"/>
        </w:rPr>
      </w:pPr>
    </w:p>
    <w:p w14:paraId="1C13C7BE">
      <w:pPr>
        <w:pStyle w:val="12"/>
        <w:spacing w:line="360" w:lineRule="auto"/>
        <w:ind w:left="480" w:firstLine="560"/>
        <w:rPr>
          <w:rFonts w:hint="eastAsia"/>
          <w:sz w:val="28"/>
          <w:szCs w:val="28"/>
          <w:highlight w:val="none"/>
        </w:rPr>
      </w:pPr>
    </w:p>
    <w:p w14:paraId="3DE27986">
      <w:pPr>
        <w:pStyle w:val="12"/>
        <w:spacing w:line="360" w:lineRule="auto"/>
        <w:ind w:left="480" w:firstLine="560"/>
        <w:rPr>
          <w:rFonts w:hint="eastAsia"/>
          <w:sz w:val="28"/>
          <w:szCs w:val="28"/>
          <w:highlight w:val="none"/>
        </w:rPr>
      </w:pPr>
    </w:p>
    <w:p w14:paraId="345CD7AE">
      <w:pPr>
        <w:pStyle w:val="12"/>
        <w:spacing w:line="360" w:lineRule="auto"/>
        <w:ind w:left="480" w:firstLine="560"/>
        <w:rPr>
          <w:rFonts w:hint="eastAsia"/>
          <w:sz w:val="28"/>
          <w:szCs w:val="28"/>
          <w:highlight w:val="none"/>
        </w:rPr>
      </w:pPr>
    </w:p>
    <w:p w14:paraId="68CB0B6B">
      <w:pPr>
        <w:pStyle w:val="12"/>
        <w:spacing w:line="360" w:lineRule="auto"/>
        <w:ind w:left="480" w:firstLine="560"/>
        <w:rPr>
          <w:rFonts w:hint="eastAsia"/>
          <w:sz w:val="28"/>
          <w:szCs w:val="28"/>
          <w:highlight w:val="none"/>
        </w:rPr>
      </w:pPr>
    </w:p>
    <w:p w14:paraId="50820693">
      <w:pPr>
        <w:pStyle w:val="12"/>
        <w:spacing w:line="360" w:lineRule="auto"/>
        <w:ind w:left="480" w:firstLine="560"/>
        <w:rPr>
          <w:rFonts w:hint="eastAsia"/>
          <w:sz w:val="28"/>
          <w:szCs w:val="28"/>
          <w:highlight w:val="none"/>
        </w:rPr>
      </w:pPr>
    </w:p>
    <w:p w14:paraId="2743152A">
      <w:pPr>
        <w:pStyle w:val="12"/>
        <w:spacing w:line="360" w:lineRule="auto"/>
        <w:ind w:left="480" w:firstLine="560"/>
        <w:rPr>
          <w:rFonts w:hint="eastAsia"/>
          <w:sz w:val="28"/>
          <w:szCs w:val="28"/>
          <w:highlight w:val="none"/>
        </w:rPr>
      </w:pPr>
    </w:p>
    <w:p w14:paraId="538FA4FA">
      <w:pPr>
        <w:pStyle w:val="12"/>
        <w:spacing w:line="360" w:lineRule="auto"/>
        <w:ind w:left="0" w:leftChars="0"/>
        <w:rPr>
          <w:rFonts w:hint="eastAsia"/>
          <w:sz w:val="28"/>
          <w:szCs w:val="28"/>
          <w:highlight w:val="none"/>
        </w:rPr>
      </w:pPr>
    </w:p>
    <w:p w14:paraId="48B8F7EA">
      <w:pPr>
        <w:pStyle w:val="5"/>
        <w:numPr>
          <w:ilvl w:val="0"/>
          <w:numId w:val="0"/>
        </w:numPr>
        <w:spacing w:line="360" w:lineRule="auto"/>
        <w:rPr>
          <w:rFonts w:hint="eastAsia"/>
          <w:highlight w:val="none"/>
          <w:lang w:val="zh-CN"/>
        </w:rPr>
      </w:pPr>
      <w:bookmarkStart w:id="504" w:name="_Toc3094"/>
      <w:r>
        <w:rPr>
          <w:highlight w:val="none"/>
          <w:lang w:val="zh-CN"/>
        </w:rPr>
        <w:br w:type="page"/>
      </w:r>
      <w:bookmarkStart w:id="505" w:name="_Toc151026275"/>
      <w:r>
        <w:rPr>
          <w:rFonts w:hint="eastAsia"/>
          <w:highlight w:val="none"/>
          <w:lang w:val="zh-CN"/>
        </w:rPr>
        <w:t>附件</w:t>
      </w:r>
      <w:bookmarkStart w:id="506" w:name="_Toc130094924"/>
      <w:bookmarkStart w:id="507" w:name="_Toc98731770"/>
      <w:r>
        <w:rPr>
          <w:rFonts w:hint="eastAsia"/>
          <w:highlight w:val="none"/>
        </w:rPr>
        <w:t>十一：</w:t>
      </w:r>
      <w:bookmarkEnd w:id="505"/>
    </w:p>
    <w:p w14:paraId="7B0BB7D4">
      <w:pPr>
        <w:spacing w:line="360" w:lineRule="auto"/>
        <w:jc w:val="center"/>
        <w:rPr>
          <w:rFonts w:hint="eastAsia"/>
          <w:b/>
          <w:bCs/>
          <w:sz w:val="30"/>
          <w:szCs w:val="30"/>
          <w:highlight w:val="none"/>
        </w:rPr>
      </w:pPr>
      <w:r>
        <w:rPr>
          <w:rFonts w:hint="eastAsia"/>
          <w:b/>
          <w:bCs/>
          <w:sz w:val="30"/>
          <w:szCs w:val="30"/>
          <w:highlight w:val="none"/>
        </w:rPr>
        <w:t>投 标 函</w:t>
      </w:r>
      <w:bookmarkEnd w:id="504"/>
      <w:bookmarkEnd w:id="506"/>
      <w:bookmarkEnd w:id="507"/>
    </w:p>
    <w:p w14:paraId="0B982878">
      <w:pPr>
        <w:spacing w:line="360" w:lineRule="auto"/>
        <w:ind w:firstLine="480" w:firstLineChars="200"/>
        <w:rPr>
          <w:rFonts w:hint="eastAsia"/>
          <w:highlight w:val="none"/>
          <w:u w:val="single"/>
        </w:rPr>
      </w:pPr>
    </w:p>
    <w:p w14:paraId="67553F29">
      <w:pPr>
        <w:spacing w:line="360" w:lineRule="auto"/>
        <w:rPr>
          <w:rFonts w:hint="eastAsia"/>
          <w:highlight w:val="none"/>
        </w:rPr>
      </w:pPr>
      <w:r>
        <w:rPr>
          <w:rFonts w:hint="eastAsia"/>
          <w:highlight w:val="none"/>
        </w:rPr>
        <w:t xml:space="preserve">绍兴市上虞区高新技术产业发展有限公司：  </w:t>
      </w:r>
    </w:p>
    <w:p w14:paraId="4C64F13E">
      <w:pPr>
        <w:spacing w:line="360" w:lineRule="auto"/>
        <w:rPr>
          <w:rFonts w:hint="eastAsia"/>
          <w:highlight w:val="none"/>
        </w:rPr>
      </w:pPr>
      <w:r>
        <w:rPr>
          <w:rFonts w:hint="eastAsia"/>
          <w:highlight w:val="none"/>
        </w:rPr>
        <w:t>浙江江南工程管理股份有限公司：</w:t>
      </w:r>
    </w:p>
    <w:p w14:paraId="5787C032">
      <w:pPr>
        <w:spacing w:line="360" w:lineRule="auto"/>
        <w:ind w:firstLine="480"/>
        <w:rPr>
          <w:rFonts w:hint="eastAsia"/>
          <w:highlight w:val="none"/>
        </w:rPr>
      </w:pPr>
      <w:r>
        <w:rPr>
          <w:rFonts w:hint="eastAsia"/>
          <w:highlight w:val="none"/>
        </w:rPr>
        <w:t>我单位认真研究了关于</w:t>
      </w:r>
      <w:r>
        <w:rPr>
          <w:rFonts w:hint="eastAsia"/>
          <w:highlight w:val="none"/>
          <w:u w:val="single"/>
        </w:rPr>
        <w:t xml:space="preserve">                      </w:t>
      </w:r>
      <w:r>
        <w:rPr>
          <w:rFonts w:hint="eastAsia"/>
          <w:highlight w:val="none"/>
        </w:rPr>
        <w:t>的招标文件，包括修改文件（如有）以及全部参考资料和有关附件。我们完全理解并接受招标文件的各项规定和要求，对招标文件的合理性、合法性不再有异议。如招标文件前后有矛盾的，我方完全同意按贵方的理解处理。我单位承诺：</w:t>
      </w:r>
    </w:p>
    <w:p w14:paraId="0DE534DB">
      <w:pPr>
        <w:spacing w:line="360" w:lineRule="auto"/>
        <w:ind w:firstLine="576" w:firstLineChars="240"/>
        <w:rPr>
          <w:rFonts w:hint="eastAsia"/>
          <w:highlight w:val="none"/>
        </w:rPr>
      </w:pPr>
      <w:r>
        <w:rPr>
          <w:highlight w:val="none"/>
        </w:rPr>
        <mc:AlternateContent>
          <mc:Choice Requires="wps">
            <w:drawing>
              <wp:anchor distT="0" distB="0" distL="0" distR="0" simplePos="0" relativeHeight="251660288" behindDoc="0" locked="0" layoutInCell="0" allowOverlap="1">
                <wp:simplePos x="0" y="0"/>
                <wp:positionH relativeFrom="column">
                  <wp:posOffset>114300</wp:posOffset>
                </wp:positionH>
                <wp:positionV relativeFrom="paragraph">
                  <wp:posOffset>494665</wp:posOffset>
                </wp:positionV>
                <wp:extent cx="635" cy="0"/>
                <wp:effectExtent l="0" t="0" r="0" b="0"/>
                <wp:wrapNone/>
                <wp:docPr id="1026" name="直线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连接符 10" o:spid="_x0000_s1026" o:spt="20" style="position:absolute;left:0pt;margin-left:9pt;margin-top:38.95pt;height:0pt;width:0.05pt;z-index:251660288;mso-width-relative:page;mso-height-relative:page;" filled="f" stroked="t" coordsize="21600,21600" o:allowincell="f" o:gfxdata="UEsDBAoAAAAAAIdO4kAAAAAAAAAAAAAAAAAEAAAAZHJzL1BLAwQUAAAACACHTuJAn/QzkdMAAAAH&#10;AQAADwAAAGRycy9kb3ducmV2LnhtbE2Py07DMBBF90j8gzVIbCpqp0g0hDhdANmxoYDYTuMhiYjH&#10;aew+4OuZigUsj+7o3jPl6ugHtacp9oEtZHMDirgJrufWwutLfZWDignZ4RCYLHxRhFV1flZi4cKB&#10;n2m/Tq2SEo4FWuhSGgutY9ORxzgPI7FkH2HymASnVrsJD1LuB70w5kZ77FkWOhzpvqPmc73zFmL9&#10;Rtv6e9bMzPt1G2ixfXh6RGsvLzJzByrRMf0dw0lf1KESp03YsYtqEM7llWRhubwFdcrzDNTml3VV&#10;6v/+1Q9QSwMEFAAAAAgAh07iQAdOHinyAQAA4gMAAA4AAABkcnMvZTJvRG9jLnhtbK1TvY4TMRDu&#10;kXgHyz3ZJOgiWGVzxYWjQRAJeICJ7c1a8p88TjZ5CV4AiQ4qSiqae5sLj8HYySVwNCnYwjsez3wz&#10;3+fx9HprDduoiNq7ho8GQ86UE15qt2r4xw+3z15whgmcBOOdavhOIb+ePX0y7UOtxr7zRqrICMRh&#10;3YeGdymFuqpQdMoCDnxQjg5bHy0k2sZVJSP0hG5NNR4OJ1XvowzRC4VI3vnhkB8R4yWAvm21UHMv&#10;1la5dECNykAiStjpgHxWum1bJdK7tkWVmGk4MU1lpSJkL/NazaZQryKETotjC3BJC484WdCOip6g&#10;5pCAraP+B8pqET36Ng2Et9WBSFGEWIyGj7R530FQhQtJjeEkOv4/WPF2s4hMS5qE4XjCmQNLd77/&#10;/GP/8+7X3Zf7T1/337+xURGqD1hT/I1bRJIt7zAsYma9baPNf+LDtkXc3UlctU1MkHPy/Ioz8eCv&#10;zkkhYnqtvGXZaLjRLnOGGjZvMFEhCn0IyW7jWN/wl1fjDAc0gC1dPJk2EAl0q5KL3mh5q43JGRhX&#10;yxsT2QbyEJQv3zvh/hWWi8wBu0NcOTqMR/RrJ8ugdArkKydZ2gVSydH74LkZqyRnRtFzylaJTKDN&#10;JZHUhHHUy1nNbC293BWRi5+uvnR7HNM8W3/uS/b5ac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0M5HTAAAABwEAAA8AAAAAAAAAAQAgAAAAIgAAAGRycy9kb3ducmV2LnhtbFBLAQIUABQAAAAI&#10;AIdO4kAHTh4p8gEAAOIDAAAOAAAAAAAAAAEAIAAAACIBAABkcnMvZTJvRG9jLnhtbFBLBQYAAAAA&#10;BgAGAFkBAACGBQAAAAA=&#10;">
                <v:fill on="f" focussize="0,0"/>
                <v:stroke color="#000000" joinstyle="round"/>
                <v:imagedata o:title=""/>
                <o:lock v:ext="edit" aspectratio="f"/>
              </v:line>
            </w:pict>
          </mc:Fallback>
        </mc:AlternateContent>
      </w:r>
      <w:r>
        <w:rPr>
          <w:rFonts w:hint="eastAsia"/>
          <w:highlight w:val="none"/>
        </w:rPr>
        <w:t>1、一旦我单位中标，我单位愿意承接开标一览表中所列的设备供应及技术服务，交货期为：</w:t>
      </w:r>
      <w:r>
        <w:rPr>
          <w:rFonts w:hint="eastAsia"/>
          <w:highlight w:val="none"/>
          <w:u w:val="single"/>
        </w:rPr>
        <w:t xml:space="preserve">            </w:t>
      </w:r>
      <w:r>
        <w:rPr>
          <w:rFonts w:hint="eastAsia"/>
          <w:highlight w:val="none"/>
        </w:rPr>
        <w:t>。</w:t>
      </w:r>
    </w:p>
    <w:p w14:paraId="2D295E3F">
      <w:pPr>
        <w:spacing w:line="360" w:lineRule="auto"/>
        <w:ind w:firstLine="480" w:firstLineChars="200"/>
        <w:rPr>
          <w:rFonts w:hint="eastAsia"/>
          <w:highlight w:val="none"/>
        </w:rPr>
      </w:pPr>
      <w:r>
        <w:rPr>
          <w:rFonts w:hint="eastAsia"/>
          <w:highlight w:val="none"/>
        </w:rPr>
        <w:t>2、我单位同意提供按照</w:t>
      </w:r>
      <w:r>
        <w:rPr>
          <w:rFonts w:hint="eastAsia"/>
          <w:bCs/>
          <w:highlight w:val="none"/>
        </w:rPr>
        <w:t>采购人的可能要求与其投标有关的一切数据和资料，完全理解采购人不一定要接受最低价者作为中标人</w:t>
      </w:r>
      <w:r>
        <w:rPr>
          <w:rFonts w:hint="eastAsia"/>
          <w:highlight w:val="none"/>
        </w:rPr>
        <w:t>。</w:t>
      </w:r>
    </w:p>
    <w:p w14:paraId="27116291">
      <w:pPr>
        <w:spacing w:line="360" w:lineRule="auto"/>
        <w:ind w:firstLine="480" w:firstLineChars="200"/>
        <w:rPr>
          <w:rFonts w:hint="eastAsia"/>
          <w:highlight w:val="none"/>
        </w:rPr>
      </w:pPr>
      <w:r>
        <w:rPr>
          <w:rFonts w:hint="eastAsia"/>
          <w:highlight w:val="none"/>
        </w:rPr>
        <w:t>3、一旦我单位中标，我们保证按照招标文件的要求，完成设备交货、安装、验收并交付使用。</w:t>
      </w:r>
    </w:p>
    <w:p w14:paraId="60FF19AF">
      <w:pPr>
        <w:spacing w:line="360" w:lineRule="auto"/>
        <w:ind w:firstLine="480" w:firstLineChars="200"/>
        <w:rPr>
          <w:rFonts w:hint="eastAsia"/>
          <w:highlight w:val="none"/>
        </w:rPr>
      </w:pPr>
      <w:r>
        <w:rPr>
          <w:rFonts w:hint="eastAsia"/>
          <w:highlight w:val="none"/>
        </w:rPr>
        <w:t>4、如果我单位中标，我方将按照要求提交履约保证金，严格履行合同义务。</w:t>
      </w:r>
    </w:p>
    <w:p w14:paraId="35893394">
      <w:pPr>
        <w:spacing w:line="360" w:lineRule="auto"/>
        <w:ind w:firstLine="480" w:firstLineChars="200"/>
        <w:rPr>
          <w:rFonts w:hint="eastAsia"/>
          <w:highlight w:val="none"/>
        </w:rPr>
      </w:pPr>
      <w:r>
        <w:rPr>
          <w:rFonts w:hint="eastAsia"/>
          <w:highlight w:val="none"/>
        </w:rPr>
        <w:t>5、除非另行达成协议并生效，你方的中标通知书和本投标函将构成约束你我双方的合同。</w:t>
      </w:r>
    </w:p>
    <w:p w14:paraId="6B8C88E8">
      <w:pPr>
        <w:spacing w:line="360" w:lineRule="auto"/>
        <w:ind w:firstLine="480" w:firstLineChars="200"/>
        <w:rPr>
          <w:rFonts w:hint="eastAsia"/>
          <w:highlight w:val="none"/>
        </w:rPr>
      </w:pPr>
      <w:r>
        <w:rPr>
          <w:rFonts w:hint="eastAsia"/>
          <w:highlight w:val="none"/>
        </w:rPr>
        <w:t>6、我单位承诺，一旦发生招标文件第二部分第12条规定情形之一的，承担该条款约定的责任。</w:t>
      </w:r>
    </w:p>
    <w:p w14:paraId="096D2BD0">
      <w:pPr>
        <w:pStyle w:val="16"/>
        <w:snapToGrid w:val="0"/>
        <w:spacing w:line="360" w:lineRule="auto"/>
        <w:ind w:left="480"/>
        <w:rPr>
          <w:rFonts w:hint="eastAsia" w:hAnsi="宋体" w:cs="宋体"/>
          <w:highlight w:val="none"/>
        </w:rPr>
      </w:pPr>
      <w:r>
        <w:rPr>
          <w:rFonts w:hint="eastAsia" w:hAnsi="宋体" w:cs="宋体"/>
          <w:highlight w:val="none"/>
        </w:rPr>
        <w:t xml:space="preserve"> </w:t>
      </w:r>
    </w:p>
    <w:p w14:paraId="3C368408">
      <w:pPr>
        <w:spacing w:line="360" w:lineRule="auto"/>
        <w:ind w:firstLine="480" w:firstLineChars="200"/>
        <w:rPr>
          <w:rFonts w:hint="eastAsia"/>
          <w:bCs/>
          <w:highlight w:val="none"/>
        </w:rPr>
      </w:pPr>
      <w:r>
        <w:rPr>
          <w:rFonts w:hint="eastAsia"/>
          <w:bCs/>
          <w:highlight w:val="none"/>
        </w:rPr>
        <w:t>地址：</w:t>
      </w:r>
      <w:r>
        <w:rPr>
          <w:rFonts w:hint="eastAsia"/>
          <w:bCs/>
          <w:highlight w:val="none"/>
          <w:u w:val="single"/>
        </w:rPr>
        <w:t xml:space="preserve">                               </w:t>
      </w:r>
      <w:r>
        <w:rPr>
          <w:rFonts w:hint="eastAsia"/>
          <w:bCs/>
          <w:highlight w:val="none"/>
        </w:rPr>
        <w:t>邮编：</w:t>
      </w:r>
      <w:r>
        <w:rPr>
          <w:rFonts w:hint="eastAsia"/>
          <w:bCs/>
          <w:highlight w:val="none"/>
          <w:u w:val="single"/>
        </w:rPr>
        <w:t xml:space="preserve">                 </w:t>
      </w:r>
    </w:p>
    <w:p w14:paraId="12740CF6">
      <w:pPr>
        <w:spacing w:line="360" w:lineRule="auto"/>
        <w:ind w:firstLine="480" w:firstLineChars="200"/>
        <w:rPr>
          <w:rFonts w:hint="eastAsia"/>
          <w:bCs/>
          <w:highlight w:val="none"/>
          <w:u w:val="single"/>
        </w:rPr>
      </w:pPr>
      <w:r>
        <w:rPr>
          <w:rFonts w:hint="eastAsia"/>
          <w:bCs/>
          <w:highlight w:val="none"/>
        </w:rPr>
        <w:t>电话：</w:t>
      </w:r>
      <w:r>
        <w:rPr>
          <w:rFonts w:hint="eastAsia"/>
          <w:bCs/>
          <w:highlight w:val="none"/>
          <w:u w:val="single"/>
        </w:rPr>
        <w:t xml:space="preserve">                               </w:t>
      </w:r>
      <w:r>
        <w:rPr>
          <w:rFonts w:hint="eastAsia"/>
          <w:bCs/>
          <w:highlight w:val="none"/>
        </w:rPr>
        <w:t>传真：</w:t>
      </w:r>
      <w:r>
        <w:rPr>
          <w:rFonts w:hint="eastAsia"/>
          <w:bCs/>
          <w:highlight w:val="none"/>
          <w:u w:val="single"/>
        </w:rPr>
        <w:t xml:space="preserve">                 </w:t>
      </w:r>
    </w:p>
    <w:p w14:paraId="0921FBFB">
      <w:pPr>
        <w:spacing w:line="360" w:lineRule="auto"/>
        <w:ind w:firstLine="480" w:firstLineChars="200"/>
        <w:rPr>
          <w:rFonts w:hint="eastAsia"/>
          <w:bCs/>
          <w:highlight w:val="none"/>
        </w:rPr>
      </w:pPr>
      <w:r>
        <w:rPr>
          <w:rFonts w:hint="eastAsia"/>
          <w:bCs/>
          <w:highlight w:val="none"/>
        </w:rPr>
        <w:t>供应商代表姓名：</w:t>
      </w:r>
      <w:r>
        <w:rPr>
          <w:rFonts w:hint="eastAsia"/>
          <w:bCs/>
          <w:highlight w:val="none"/>
          <w:u w:val="single"/>
        </w:rPr>
        <w:t xml:space="preserve">                     </w:t>
      </w:r>
      <w:r>
        <w:rPr>
          <w:rFonts w:hint="eastAsia"/>
          <w:bCs/>
          <w:highlight w:val="none"/>
        </w:rPr>
        <w:t>职务：</w:t>
      </w:r>
      <w:r>
        <w:rPr>
          <w:rFonts w:hint="eastAsia"/>
          <w:bCs/>
          <w:highlight w:val="none"/>
          <w:u w:val="single"/>
        </w:rPr>
        <w:t xml:space="preserve">                 </w:t>
      </w:r>
    </w:p>
    <w:p w14:paraId="77CC9204">
      <w:pPr>
        <w:spacing w:line="360" w:lineRule="auto"/>
        <w:ind w:firstLine="480" w:firstLineChars="200"/>
        <w:rPr>
          <w:rFonts w:hint="eastAsia"/>
          <w:bCs/>
          <w:highlight w:val="none"/>
        </w:rPr>
      </w:pPr>
      <w:r>
        <w:rPr>
          <w:rFonts w:hint="eastAsia"/>
          <w:bCs/>
          <w:highlight w:val="none"/>
        </w:rPr>
        <w:t>供应商名称</w:t>
      </w:r>
      <w:r>
        <w:rPr>
          <w:rFonts w:hint="eastAsia"/>
          <w:bCs/>
          <w:highlight w:val="none"/>
          <w:u w:val="single"/>
        </w:rPr>
        <w:t>：                   　　　</w:t>
      </w:r>
    </w:p>
    <w:p w14:paraId="7E0A8861">
      <w:pPr>
        <w:spacing w:line="360" w:lineRule="auto"/>
        <w:ind w:firstLine="480" w:firstLineChars="200"/>
        <w:rPr>
          <w:rFonts w:hint="eastAsia"/>
          <w:highlight w:val="none"/>
        </w:rPr>
      </w:pPr>
      <w:r>
        <w:rPr>
          <w:rFonts w:hint="eastAsia"/>
          <w:bCs/>
          <w:highlight w:val="none"/>
        </w:rPr>
        <w:t xml:space="preserve">                    </w:t>
      </w:r>
      <w:r>
        <w:rPr>
          <w:bCs/>
          <w:highlight w:val="none"/>
        </w:rPr>
        <w:t xml:space="preserve">             </w:t>
      </w:r>
      <w:r>
        <w:rPr>
          <w:rFonts w:hint="eastAsia"/>
          <w:highlight w:val="none"/>
        </w:rPr>
        <w:t xml:space="preserve">法定代表人签名（或签名章）：                       </w:t>
      </w:r>
    </w:p>
    <w:p w14:paraId="751EE4DA">
      <w:pPr>
        <w:spacing w:line="360" w:lineRule="auto"/>
        <w:ind w:left="4320" w:leftChars="1800" w:firstLine="480" w:firstLineChars="200"/>
        <w:jc w:val="right"/>
        <w:rPr>
          <w:rFonts w:hint="eastAsia"/>
          <w:highlight w:val="none"/>
        </w:rPr>
      </w:pPr>
      <w:r>
        <w:rPr>
          <w:rFonts w:hint="eastAsia"/>
          <w:highlight w:val="none"/>
        </w:rPr>
        <w:t>日 期：</w:t>
      </w:r>
    </w:p>
    <w:p w14:paraId="3D3E6386">
      <w:pPr>
        <w:spacing w:line="360" w:lineRule="auto"/>
        <w:ind w:left="4320" w:leftChars="1800"/>
        <w:rPr>
          <w:rFonts w:hint="eastAsia"/>
          <w:highlight w:val="none"/>
        </w:rPr>
      </w:pPr>
      <w:bookmarkStart w:id="508" w:name="_Toc130094925"/>
      <w:bookmarkStart w:id="509" w:name="_Toc12011"/>
      <w:bookmarkStart w:id="510" w:name="_Toc98731771"/>
      <w:r>
        <w:rPr>
          <w:rFonts w:hint="eastAsia"/>
          <w:highlight w:val="none"/>
        </w:rPr>
        <w:t>投标人（或联合体牵头人）全称（公章）：</w:t>
      </w:r>
    </w:p>
    <w:p w14:paraId="1D7CEDEA">
      <w:pPr>
        <w:spacing w:line="360" w:lineRule="auto"/>
        <w:rPr>
          <w:rFonts w:hint="eastAsia"/>
          <w:highlight w:val="none"/>
          <w:lang w:val="zh-CN"/>
        </w:rPr>
      </w:pPr>
    </w:p>
    <w:bookmarkEnd w:id="508"/>
    <w:bookmarkEnd w:id="509"/>
    <w:bookmarkEnd w:id="510"/>
    <w:p w14:paraId="5CBFE281">
      <w:pPr>
        <w:pStyle w:val="5"/>
        <w:numPr>
          <w:ilvl w:val="0"/>
          <w:numId w:val="0"/>
        </w:numPr>
        <w:spacing w:line="360" w:lineRule="auto"/>
        <w:rPr>
          <w:rFonts w:hint="eastAsia"/>
          <w:highlight w:val="none"/>
        </w:rPr>
      </w:pPr>
      <w:bookmarkStart w:id="511" w:name="_Toc151026276"/>
      <w:r>
        <w:rPr>
          <w:rFonts w:hint="eastAsia"/>
          <w:highlight w:val="none"/>
          <w:lang w:val="zh-CN"/>
        </w:rPr>
        <w:t>附件</w:t>
      </w:r>
      <w:r>
        <w:rPr>
          <w:rFonts w:hint="eastAsia"/>
          <w:highlight w:val="none"/>
        </w:rPr>
        <w:t>十二：</w:t>
      </w:r>
      <w:bookmarkEnd w:id="511"/>
    </w:p>
    <w:p w14:paraId="4861470E">
      <w:pPr>
        <w:spacing w:line="360" w:lineRule="auto"/>
        <w:jc w:val="center"/>
        <w:rPr>
          <w:rFonts w:hint="eastAsia"/>
          <w:b/>
          <w:bCs/>
          <w:sz w:val="30"/>
          <w:szCs w:val="30"/>
          <w:highlight w:val="none"/>
        </w:rPr>
      </w:pPr>
      <w:r>
        <w:rPr>
          <w:rFonts w:hint="eastAsia"/>
          <w:b/>
          <w:bCs/>
          <w:sz w:val="30"/>
          <w:szCs w:val="30"/>
          <w:highlight w:val="none"/>
        </w:rPr>
        <w:t>开标一览表</w:t>
      </w:r>
    </w:p>
    <w:p w14:paraId="56EFB5E8">
      <w:pPr>
        <w:spacing w:line="360" w:lineRule="auto"/>
        <w:ind w:firstLine="480" w:firstLineChars="200"/>
        <w:rPr>
          <w:rFonts w:hint="eastAsia"/>
          <w:highlight w:val="none"/>
        </w:rPr>
      </w:pPr>
      <w:r>
        <w:rPr>
          <w:rFonts w:hint="eastAsia"/>
          <w:highlight w:val="none"/>
        </w:rPr>
        <w:t>项目名称：</w:t>
      </w:r>
    </w:p>
    <w:p w14:paraId="45226C9B">
      <w:pPr>
        <w:spacing w:line="360" w:lineRule="auto"/>
        <w:ind w:firstLine="480" w:firstLineChars="200"/>
        <w:rPr>
          <w:rFonts w:hint="eastAsia"/>
          <w:highlight w:val="none"/>
        </w:rPr>
      </w:pPr>
      <w:r>
        <w:rPr>
          <w:rFonts w:hint="eastAsia"/>
          <w:highlight w:val="none"/>
        </w:rPr>
        <w:t xml:space="preserve">采购编号：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6A20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2089" w:type="dxa"/>
            <w:vAlign w:val="center"/>
          </w:tcPr>
          <w:p w14:paraId="54AD62A7">
            <w:pPr>
              <w:pStyle w:val="16"/>
              <w:widowControl w:val="0"/>
              <w:spacing w:line="360" w:lineRule="auto"/>
              <w:jc w:val="center"/>
              <w:rPr>
                <w:rFonts w:hint="eastAsia" w:hAnsi="宋体" w:cs="宋体"/>
                <w:b/>
                <w:bCs/>
                <w:sz w:val="21"/>
                <w:szCs w:val="18"/>
                <w:highlight w:val="none"/>
              </w:rPr>
            </w:pPr>
            <w:r>
              <w:rPr>
                <w:rFonts w:hint="eastAsia" w:hAnsi="宋体" w:cs="宋体"/>
                <w:b/>
                <w:bCs/>
                <w:sz w:val="21"/>
                <w:szCs w:val="18"/>
                <w:highlight w:val="none"/>
              </w:rPr>
              <w:t>投标总价</w:t>
            </w:r>
          </w:p>
        </w:tc>
        <w:tc>
          <w:tcPr>
            <w:tcW w:w="6707" w:type="dxa"/>
            <w:vAlign w:val="center"/>
          </w:tcPr>
          <w:p w14:paraId="1AAE9389">
            <w:pPr>
              <w:spacing w:line="276" w:lineRule="auto"/>
              <w:rPr>
                <w:rFonts w:hint="eastAsia"/>
                <w:b/>
                <w:bCs/>
                <w:sz w:val="21"/>
                <w:szCs w:val="21"/>
                <w:highlight w:val="none"/>
              </w:rPr>
            </w:pPr>
            <w:r>
              <w:rPr>
                <w:rFonts w:hint="eastAsia"/>
                <w:b/>
                <w:bCs/>
                <w:sz w:val="21"/>
                <w:szCs w:val="21"/>
                <w:highlight w:val="none"/>
              </w:rPr>
              <w:t>大写：_</w:t>
            </w:r>
            <w:r>
              <w:rPr>
                <w:b/>
                <w:bCs/>
                <w:sz w:val="21"/>
                <w:szCs w:val="21"/>
                <w:highlight w:val="none"/>
              </w:rPr>
              <w:t>_______________________</w:t>
            </w:r>
            <w:r>
              <w:rPr>
                <w:rFonts w:hint="eastAsia"/>
                <w:b/>
                <w:bCs/>
                <w:sz w:val="21"/>
                <w:szCs w:val="21"/>
                <w:highlight w:val="none"/>
              </w:rPr>
              <w:t>元（小写：_</w:t>
            </w:r>
            <w:r>
              <w:rPr>
                <w:b/>
                <w:bCs/>
                <w:sz w:val="21"/>
                <w:szCs w:val="21"/>
                <w:highlight w:val="none"/>
              </w:rPr>
              <w:t>____________</w:t>
            </w:r>
            <w:r>
              <w:rPr>
                <w:rFonts w:hint="eastAsia"/>
                <w:b/>
                <w:bCs/>
                <w:sz w:val="21"/>
                <w:szCs w:val="21"/>
                <w:highlight w:val="none"/>
              </w:rPr>
              <w:t>）。</w:t>
            </w:r>
          </w:p>
          <w:p w14:paraId="365EB3B4">
            <w:pPr>
              <w:pStyle w:val="16"/>
              <w:widowControl w:val="0"/>
              <w:spacing w:line="276" w:lineRule="auto"/>
              <w:jc w:val="both"/>
              <w:rPr>
                <w:rFonts w:hint="eastAsia" w:hAnsi="宋体" w:cs="宋体"/>
                <w:b/>
                <w:bCs/>
                <w:sz w:val="21"/>
                <w:szCs w:val="18"/>
                <w:highlight w:val="none"/>
              </w:rPr>
            </w:pPr>
            <w:r>
              <w:rPr>
                <w:rFonts w:hint="eastAsia"/>
                <w:b/>
                <w:bCs/>
                <w:sz w:val="21"/>
                <w:highlight w:val="none"/>
              </w:rPr>
              <w:t xml:space="preserve"> </w:t>
            </w:r>
          </w:p>
        </w:tc>
      </w:tr>
      <w:tr w14:paraId="0329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33D3B6AB">
            <w:pPr>
              <w:snapToGrid w:val="0"/>
              <w:spacing w:line="360" w:lineRule="auto"/>
              <w:ind w:firstLine="480" w:firstLineChars="200"/>
              <w:rPr>
                <w:rFonts w:hint="eastAsia"/>
                <w:sz w:val="21"/>
                <w:szCs w:val="18"/>
                <w:highlight w:val="none"/>
              </w:rPr>
            </w:pPr>
            <w:r>
              <w:rPr>
                <w:rFonts w:hint="eastAsia"/>
                <w:kern w:val="2"/>
                <w:highlight w:val="none"/>
                <w:lang w:eastAsia="zh-CN"/>
              </w:rPr>
              <w:t>投标报价采用人民币计，合同采用固定综合单价形式，</w:t>
            </w:r>
            <w:r>
              <w:rPr>
                <w:rFonts w:hint="eastAsia"/>
                <w:kern w:val="2"/>
                <w:highlight w:val="none"/>
                <w:lang w:val="en-US" w:eastAsia="zh-CN"/>
              </w:rPr>
              <w:t>投标</w:t>
            </w:r>
            <w:r>
              <w:rPr>
                <w:rFonts w:hint="eastAsia"/>
                <w:kern w:val="2"/>
                <w:highlight w:val="none"/>
                <w:lang w:eastAsia="zh-CN"/>
              </w:rPr>
              <w:t>单价包括但不限于主材费、包装费、运输费、运输损耗、装卸费、安装费、安装所用水电费、辅料、配件、工具、深化设计费、保管费、调试费、检测费、保修费、管理费、相关配合费、单机调试及联动调试费、第三方检验费（包括针对网络系统的福禄克（FLUKE）检测、针对所有网络交换机型号的进网检验报告等）、现场可能发生的二次搬运费、临时设施费、检验试验费、成品保护费、利润、保险、税金、其他不可预见费等为完成本合同项下所有工作直至竣工验收合格后交付招标人使用所产生的一切费用以及售后服务费用。</w:t>
            </w:r>
            <w:r>
              <w:rPr>
                <w:rFonts w:hint="eastAsia" w:ascii="宋体" w:hAnsi="宋体" w:eastAsia="宋体" w:cs="宋体"/>
                <w:b/>
                <w:bCs/>
                <w:kern w:val="2"/>
                <w:highlight w:val="none"/>
                <w:lang w:val="en-US" w:eastAsia="zh-CN"/>
              </w:rPr>
              <w:t>投标</w:t>
            </w:r>
            <w:r>
              <w:rPr>
                <w:rFonts w:hint="eastAsia" w:ascii="宋体" w:hAnsi="宋体" w:eastAsia="宋体" w:cs="宋体"/>
                <w:b/>
                <w:bCs/>
                <w:kern w:val="2"/>
                <w:highlight w:val="none"/>
              </w:rPr>
              <w:t>人在</w:t>
            </w:r>
            <w:r>
              <w:rPr>
                <w:rFonts w:hint="eastAsia"/>
                <w:b/>
                <w:bCs/>
                <w:kern w:val="2"/>
                <w:highlight w:val="none"/>
              </w:rPr>
              <w:t>编制投标报价时已充分考虑各种风险因素，凡</w:t>
            </w:r>
            <w:r>
              <w:rPr>
                <w:b/>
                <w:bCs/>
                <w:highlight w:val="none"/>
              </w:rPr>
              <w:t>投标</w:t>
            </w:r>
            <w:r>
              <w:rPr>
                <w:rFonts w:hint="eastAsia"/>
                <w:b/>
                <w:bCs/>
                <w:kern w:val="2"/>
                <w:highlight w:val="none"/>
              </w:rPr>
              <w:t>人漏项、漏报均认为已包含在报价中，结算时不再增加。</w:t>
            </w:r>
          </w:p>
        </w:tc>
      </w:tr>
    </w:tbl>
    <w:p w14:paraId="6EA2221B">
      <w:pPr>
        <w:spacing w:line="360" w:lineRule="auto"/>
        <w:ind w:left="4320" w:leftChars="1800" w:firstLine="480" w:firstLineChars="200"/>
        <w:rPr>
          <w:rFonts w:hint="eastAsia"/>
          <w:highlight w:val="none"/>
        </w:rPr>
      </w:pPr>
      <w:r>
        <w:rPr>
          <w:rFonts w:hint="eastAsia"/>
          <w:highlight w:val="none"/>
        </w:rPr>
        <w:t xml:space="preserve">法定代表人签名（或签名章）：                       </w:t>
      </w:r>
    </w:p>
    <w:p w14:paraId="5D035288">
      <w:pPr>
        <w:spacing w:line="360" w:lineRule="auto"/>
        <w:ind w:left="4320" w:leftChars="1800" w:firstLine="480" w:firstLineChars="200"/>
        <w:rPr>
          <w:rFonts w:hint="eastAsia"/>
          <w:highlight w:val="none"/>
        </w:rPr>
      </w:pPr>
      <w:r>
        <w:rPr>
          <w:rFonts w:hint="eastAsia"/>
          <w:highlight w:val="none"/>
        </w:rPr>
        <w:t>日 期：</w:t>
      </w:r>
    </w:p>
    <w:p w14:paraId="63820B63">
      <w:pPr>
        <w:spacing w:line="360" w:lineRule="auto"/>
        <w:ind w:left="4320" w:leftChars="1800" w:firstLine="480" w:firstLineChars="200"/>
        <w:rPr>
          <w:rFonts w:hint="eastAsia"/>
          <w:highlight w:val="none"/>
        </w:rPr>
      </w:pPr>
      <w:r>
        <w:rPr>
          <w:rFonts w:hint="eastAsia"/>
          <w:highlight w:val="none"/>
        </w:rPr>
        <w:t>投标人（或联合体牵头人）全称（公章）：</w:t>
      </w:r>
    </w:p>
    <w:p w14:paraId="0EFBC8F5">
      <w:pPr>
        <w:pStyle w:val="5"/>
        <w:numPr>
          <w:ilvl w:val="0"/>
          <w:numId w:val="0"/>
        </w:numPr>
        <w:spacing w:line="360" w:lineRule="auto"/>
        <w:rPr>
          <w:rFonts w:hint="eastAsia"/>
          <w:highlight w:val="none"/>
        </w:rPr>
      </w:pPr>
      <w:r>
        <w:rPr>
          <w:rFonts w:hint="eastAsia"/>
          <w:highlight w:val="none"/>
        </w:rPr>
        <w:br w:type="page"/>
      </w:r>
      <w:bookmarkStart w:id="512" w:name="_Toc151026277"/>
      <w:r>
        <w:rPr>
          <w:rFonts w:hint="eastAsia"/>
          <w:highlight w:val="none"/>
          <w:lang w:val="zh-CN"/>
        </w:rPr>
        <w:t>附件</w:t>
      </w:r>
      <w:r>
        <w:rPr>
          <w:rFonts w:hint="eastAsia"/>
          <w:highlight w:val="none"/>
        </w:rPr>
        <w:t>十三：</w:t>
      </w:r>
      <w:bookmarkEnd w:id="512"/>
    </w:p>
    <w:p w14:paraId="6C59195F">
      <w:pPr>
        <w:spacing w:line="360" w:lineRule="auto"/>
        <w:jc w:val="center"/>
        <w:rPr>
          <w:rFonts w:hint="eastAsia"/>
          <w:b/>
          <w:bCs/>
          <w:sz w:val="30"/>
          <w:szCs w:val="30"/>
          <w:highlight w:val="none"/>
        </w:rPr>
      </w:pPr>
      <w:r>
        <w:rPr>
          <w:rFonts w:hint="eastAsia"/>
          <w:b/>
          <w:bCs/>
          <w:sz w:val="30"/>
          <w:szCs w:val="30"/>
          <w:highlight w:val="none"/>
        </w:rPr>
        <w:t>投标报价明细表</w:t>
      </w:r>
    </w:p>
    <w:p w14:paraId="312F3E75">
      <w:pPr>
        <w:spacing w:line="360" w:lineRule="auto"/>
        <w:ind w:firstLine="480" w:firstLineChars="200"/>
        <w:rPr>
          <w:rFonts w:hint="eastAsia"/>
          <w:highlight w:val="none"/>
        </w:rPr>
      </w:pPr>
      <w:r>
        <w:rPr>
          <w:rFonts w:hint="eastAsia"/>
          <w:highlight w:val="none"/>
        </w:rPr>
        <w:t>项目名称：</w:t>
      </w:r>
    </w:p>
    <w:p w14:paraId="7C7BEC89">
      <w:pPr>
        <w:spacing w:line="360" w:lineRule="auto"/>
        <w:ind w:firstLine="480" w:firstLineChars="200"/>
        <w:rPr>
          <w:rFonts w:hint="eastAsia"/>
          <w:highlight w:val="none"/>
        </w:rPr>
      </w:pPr>
      <w:r>
        <w:rPr>
          <w:rFonts w:hint="eastAsia"/>
          <w:highlight w:val="none"/>
        </w:rPr>
        <w:t>采购编号：</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78"/>
        <w:gridCol w:w="2764"/>
        <w:gridCol w:w="955"/>
        <w:gridCol w:w="982"/>
        <w:gridCol w:w="1452"/>
        <w:gridCol w:w="1200"/>
      </w:tblGrid>
      <w:tr w14:paraId="0062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3" w:type="pct"/>
            <w:vMerge w:val="restart"/>
            <w:vAlign w:val="center"/>
          </w:tcPr>
          <w:p w14:paraId="392E4266">
            <w:pPr>
              <w:jc w:val="center"/>
              <w:rPr>
                <w:rFonts w:hint="eastAsia"/>
                <w:highlight w:val="none"/>
              </w:rPr>
            </w:pPr>
            <w:r>
              <w:rPr>
                <w:rFonts w:hint="eastAsia"/>
                <w:highlight w:val="none"/>
              </w:rPr>
              <w:t>序号</w:t>
            </w:r>
          </w:p>
        </w:tc>
        <w:tc>
          <w:tcPr>
            <w:tcW w:w="688" w:type="pct"/>
            <w:vMerge w:val="restart"/>
            <w:vAlign w:val="center"/>
          </w:tcPr>
          <w:p w14:paraId="3EB61BFF">
            <w:pPr>
              <w:jc w:val="center"/>
              <w:rPr>
                <w:rFonts w:hint="eastAsia"/>
                <w:highlight w:val="none"/>
              </w:rPr>
            </w:pPr>
            <w:r>
              <w:rPr>
                <w:rFonts w:hint="eastAsia"/>
                <w:highlight w:val="none"/>
              </w:rPr>
              <w:t>货物名称</w:t>
            </w:r>
          </w:p>
        </w:tc>
        <w:tc>
          <w:tcPr>
            <w:tcW w:w="1488" w:type="pct"/>
            <w:vMerge w:val="restart"/>
            <w:vAlign w:val="center"/>
          </w:tcPr>
          <w:p w14:paraId="62B456FC">
            <w:pPr>
              <w:jc w:val="center"/>
              <w:rPr>
                <w:rFonts w:hint="default" w:eastAsia="宋体"/>
                <w:highlight w:val="none"/>
                <w:lang w:val="en-US" w:eastAsia="zh-CN"/>
              </w:rPr>
            </w:pPr>
            <w:r>
              <w:rPr>
                <w:rFonts w:hint="eastAsia"/>
                <w:highlight w:val="none"/>
                <w:lang w:val="en-US" w:eastAsia="zh-CN"/>
              </w:rPr>
              <w:t>技术参数要求</w:t>
            </w:r>
          </w:p>
        </w:tc>
        <w:tc>
          <w:tcPr>
            <w:tcW w:w="514" w:type="pct"/>
            <w:vMerge w:val="restart"/>
            <w:vAlign w:val="center"/>
          </w:tcPr>
          <w:p w14:paraId="3B79F1B7">
            <w:pPr>
              <w:jc w:val="center"/>
              <w:rPr>
                <w:rFonts w:hint="eastAsia"/>
                <w:highlight w:val="none"/>
              </w:rPr>
            </w:pPr>
            <w:r>
              <w:rPr>
                <w:rFonts w:hint="eastAsia"/>
                <w:highlight w:val="none"/>
              </w:rPr>
              <w:t>单位</w:t>
            </w:r>
          </w:p>
        </w:tc>
        <w:tc>
          <w:tcPr>
            <w:tcW w:w="529" w:type="pct"/>
            <w:vMerge w:val="restart"/>
            <w:vAlign w:val="center"/>
          </w:tcPr>
          <w:p w14:paraId="503AD019">
            <w:pPr>
              <w:jc w:val="center"/>
              <w:rPr>
                <w:rFonts w:hint="eastAsia"/>
                <w:highlight w:val="none"/>
              </w:rPr>
            </w:pPr>
            <w:r>
              <w:rPr>
                <w:rFonts w:hint="eastAsia"/>
                <w:highlight w:val="none"/>
              </w:rPr>
              <w:t>数量</w:t>
            </w:r>
          </w:p>
        </w:tc>
        <w:tc>
          <w:tcPr>
            <w:tcW w:w="1424" w:type="pct"/>
            <w:gridSpan w:val="2"/>
            <w:vAlign w:val="center"/>
          </w:tcPr>
          <w:p w14:paraId="7B4E2805">
            <w:pPr>
              <w:jc w:val="center"/>
              <w:rPr>
                <w:rFonts w:hint="eastAsia"/>
                <w:highlight w:val="none"/>
              </w:rPr>
            </w:pPr>
            <w:r>
              <w:rPr>
                <w:rFonts w:hint="eastAsia"/>
                <w:highlight w:val="none"/>
              </w:rPr>
              <w:t>投标报价（元）</w:t>
            </w:r>
          </w:p>
        </w:tc>
      </w:tr>
      <w:tr w14:paraId="1992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3" w:type="pct"/>
            <w:vMerge w:val="continue"/>
            <w:vAlign w:val="center"/>
          </w:tcPr>
          <w:p w14:paraId="532FF3A2">
            <w:pPr>
              <w:jc w:val="center"/>
              <w:rPr>
                <w:rFonts w:hint="eastAsia"/>
                <w:highlight w:val="none"/>
              </w:rPr>
            </w:pPr>
          </w:p>
        </w:tc>
        <w:tc>
          <w:tcPr>
            <w:tcW w:w="688" w:type="pct"/>
            <w:vMerge w:val="continue"/>
            <w:vAlign w:val="center"/>
          </w:tcPr>
          <w:p w14:paraId="71A26584">
            <w:pPr>
              <w:jc w:val="center"/>
              <w:rPr>
                <w:rFonts w:hint="eastAsia"/>
                <w:highlight w:val="none"/>
              </w:rPr>
            </w:pPr>
          </w:p>
        </w:tc>
        <w:tc>
          <w:tcPr>
            <w:tcW w:w="1488" w:type="pct"/>
            <w:vMerge w:val="continue"/>
            <w:vAlign w:val="center"/>
          </w:tcPr>
          <w:p w14:paraId="4B228C43">
            <w:pPr>
              <w:jc w:val="center"/>
              <w:rPr>
                <w:rFonts w:hint="eastAsia"/>
                <w:highlight w:val="none"/>
              </w:rPr>
            </w:pPr>
          </w:p>
        </w:tc>
        <w:tc>
          <w:tcPr>
            <w:tcW w:w="514" w:type="pct"/>
            <w:vMerge w:val="continue"/>
            <w:vAlign w:val="center"/>
          </w:tcPr>
          <w:p w14:paraId="076BBF22">
            <w:pPr>
              <w:jc w:val="center"/>
              <w:rPr>
                <w:rFonts w:hint="eastAsia"/>
                <w:highlight w:val="none"/>
              </w:rPr>
            </w:pPr>
          </w:p>
        </w:tc>
        <w:tc>
          <w:tcPr>
            <w:tcW w:w="529" w:type="pct"/>
            <w:vMerge w:val="continue"/>
            <w:vAlign w:val="center"/>
          </w:tcPr>
          <w:p w14:paraId="4B903831">
            <w:pPr>
              <w:jc w:val="center"/>
              <w:rPr>
                <w:rFonts w:hint="eastAsia"/>
                <w:highlight w:val="none"/>
              </w:rPr>
            </w:pPr>
          </w:p>
        </w:tc>
        <w:tc>
          <w:tcPr>
            <w:tcW w:w="782" w:type="pct"/>
            <w:vAlign w:val="center"/>
          </w:tcPr>
          <w:p w14:paraId="76C89C85">
            <w:pPr>
              <w:jc w:val="center"/>
              <w:rPr>
                <w:rFonts w:hint="eastAsia"/>
                <w:highlight w:val="none"/>
              </w:rPr>
            </w:pPr>
            <w:r>
              <w:rPr>
                <w:rFonts w:hint="eastAsia"/>
                <w:highlight w:val="none"/>
                <w:lang w:val="en-US" w:eastAsia="zh-CN"/>
              </w:rPr>
              <w:t>含税</w:t>
            </w:r>
            <w:r>
              <w:rPr>
                <w:rFonts w:hint="eastAsia"/>
                <w:highlight w:val="none"/>
              </w:rPr>
              <w:t>单价</w:t>
            </w:r>
          </w:p>
        </w:tc>
        <w:tc>
          <w:tcPr>
            <w:tcW w:w="642" w:type="pct"/>
            <w:vAlign w:val="center"/>
          </w:tcPr>
          <w:p w14:paraId="092989AA">
            <w:pPr>
              <w:jc w:val="center"/>
              <w:rPr>
                <w:rFonts w:hint="default" w:eastAsia="宋体"/>
                <w:highlight w:val="none"/>
                <w:lang w:val="en-US" w:eastAsia="zh-CN"/>
              </w:rPr>
            </w:pPr>
            <w:r>
              <w:rPr>
                <w:rFonts w:hint="eastAsia"/>
                <w:highlight w:val="none"/>
                <w:lang w:val="en-US" w:eastAsia="zh-CN"/>
              </w:rPr>
              <w:t>含税合价</w:t>
            </w:r>
          </w:p>
        </w:tc>
      </w:tr>
      <w:tr w14:paraId="41EE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3" w:type="pct"/>
            <w:vAlign w:val="center"/>
          </w:tcPr>
          <w:p w14:paraId="34F0BEA5">
            <w:pPr>
              <w:jc w:val="center"/>
              <w:rPr>
                <w:rFonts w:hint="eastAsia"/>
                <w:highlight w:val="none"/>
              </w:rPr>
            </w:pPr>
          </w:p>
        </w:tc>
        <w:tc>
          <w:tcPr>
            <w:tcW w:w="688" w:type="pct"/>
            <w:vAlign w:val="center"/>
          </w:tcPr>
          <w:p w14:paraId="12CE7E5C">
            <w:pPr>
              <w:jc w:val="center"/>
              <w:rPr>
                <w:rFonts w:hint="eastAsia"/>
                <w:highlight w:val="none"/>
              </w:rPr>
            </w:pPr>
          </w:p>
        </w:tc>
        <w:tc>
          <w:tcPr>
            <w:tcW w:w="1488" w:type="pct"/>
            <w:vAlign w:val="center"/>
          </w:tcPr>
          <w:p w14:paraId="1D208EED">
            <w:pPr>
              <w:jc w:val="center"/>
              <w:rPr>
                <w:rFonts w:hint="eastAsia"/>
                <w:highlight w:val="none"/>
              </w:rPr>
            </w:pPr>
          </w:p>
        </w:tc>
        <w:tc>
          <w:tcPr>
            <w:tcW w:w="514" w:type="pct"/>
            <w:vAlign w:val="center"/>
          </w:tcPr>
          <w:p w14:paraId="0517D24C">
            <w:pPr>
              <w:jc w:val="center"/>
              <w:rPr>
                <w:rFonts w:hint="eastAsia"/>
                <w:highlight w:val="none"/>
              </w:rPr>
            </w:pPr>
          </w:p>
        </w:tc>
        <w:tc>
          <w:tcPr>
            <w:tcW w:w="529" w:type="pct"/>
            <w:vAlign w:val="center"/>
          </w:tcPr>
          <w:p w14:paraId="7DEB69EC">
            <w:pPr>
              <w:jc w:val="center"/>
              <w:rPr>
                <w:rFonts w:hint="eastAsia"/>
                <w:highlight w:val="none"/>
              </w:rPr>
            </w:pPr>
          </w:p>
        </w:tc>
        <w:tc>
          <w:tcPr>
            <w:tcW w:w="782" w:type="pct"/>
            <w:vAlign w:val="center"/>
          </w:tcPr>
          <w:p w14:paraId="4B4B8B67">
            <w:pPr>
              <w:jc w:val="center"/>
              <w:rPr>
                <w:rFonts w:hint="eastAsia"/>
                <w:highlight w:val="none"/>
              </w:rPr>
            </w:pPr>
          </w:p>
        </w:tc>
        <w:tc>
          <w:tcPr>
            <w:tcW w:w="642" w:type="pct"/>
            <w:vAlign w:val="center"/>
          </w:tcPr>
          <w:p w14:paraId="2C2FD43F">
            <w:pPr>
              <w:jc w:val="center"/>
              <w:rPr>
                <w:rFonts w:hint="eastAsia"/>
                <w:caps/>
                <w:highlight w:val="none"/>
              </w:rPr>
            </w:pPr>
          </w:p>
        </w:tc>
      </w:tr>
      <w:tr w14:paraId="6FE7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3" w:type="pct"/>
            <w:vAlign w:val="center"/>
          </w:tcPr>
          <w:p w14:paraId="6D71B133">
            <w:pPr>
              <w:jc w:val="center"/>
              <w:rPr>
                <w:rFonts w:hint="eastAsia"/>
                <w:highlight w:val="none"/>
              </w:rPr>
            </w:pPr>
          </w:p>
        </w:tc>
        <w:tc>
          <w:tcPr>
            <w:tcW w:w="688" w:type="pct"/>
            <w:vAlign w:val="center"/>
          </w:tcPr>
          <w:p w14:paraId="3DA7D555">
            <w:pPr>
              <w:jc w:val="center"/>
              <w:rPr>
                <w:rFonts w:hint="eastAsia"/>
                <w:highlight w:val="none"/>
              </w:rPr>
            </w:pPr>
          </w:p>
        </w:tc>
        <w:tc>
          <w:tcPr>
            <w:tcW w:w="1488" w:type="pct"/>
            <w:vAlign w:val="center"/>
          </w:tcPr>
          <w:p w14:paraId="7B6EA322">
            <w:pPr>
              <w:jc w:val="center"/>
              <w:rPr>
                <w:rFonts w:hint="eastAsia"/>
                <w:highlight w:val="none"/>
              </w:rPr>
            </w:pPr>
          </w:p>
        </w:tc>
        <w:tc>
          <w:tcPr>
            <w:tcW w:w="514" w:type="pct"/>
            <w:vAlign w:val="center"/>
          </w:tcPr>
          <w:p w14:paraId="5E754F67">
            <w:pPr>
              <w:jc w:val="center"/>
              <w:rPr>
                <w:rFonts w:hint="eastAsia"/>
                <w:highlight w:val="none"/>
              </w:rPr>
            </w:pPr>
          </w:p>
        </w:tc>
        <w:tc>
          <w:tcPr>
            <w:tcW w:w="529" w:type="pct"/>
            <w:vAlign w:val="center"/>
          </w:tcPr>
          <w:p w14:paraId="55740C97">
            <w:pPr>
              <w:jc w:val="center"/>
              <w:rPr>
                <w:rFonts w:hint="eastAsia"/>
                <w:highlight w:val="none"/>
              </w:rPr>
            </w:pPr>
          </w:p>
        </w:tc>
        <w:tc>
          <w:tcPr>
            <w:tcW w:w="782" w:type="pct"/>
            <w:vAlign w:val="center"/>
          </w:tcPr>
          <w:p w14:paraId="6013E574">
            <w:pPr>
              <w:jc w:val="center"/>
              <w:rPr>
                <w:rFonts w:hint="eastAsia"/>
                <w:highlight w:val="none"/>
              </w:rPr>
            </w:pPr>
          </w:p>
        </w:tc>
        <w:tc>
          <w:tcPr>
            <w:tcW w:w="642" w:type="pct"/>
            <w:vAlign w:val="center"/>
          </w:tcPr>
          <w:p w14:paraId="765682DB">
            <w:pPr>
              <w:jc w:val="center"/>
              <w:rPr>
                <w:rFonts w:hint="eastAsia"/>
                <w:caps/>
                <w:highlight w:val="none"/>
              </w:rPr>
            </w:pPr>
          </w:p>
        </w:tc>
      </w:tr>
      <w:tr w14:paraId="43EB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3" w:type="pct"/>
            <w:vAlign w:val="center"/>
          </w:tcPr>
          <w:p w14:paraId="0CBB352D">
            <w:pPr>
              <w:jc w:val="center"/>
              <w:rPr>
                <w:rFonts w:hint="eastAsia"/>
                <w:highlight w:val="none"/>
              </w:rPr>
            </w:pPr>
          </w:p>
        </w:tc>
        <w:tc>
          <w:tcPr>
            <w:tcW w:w="688" w:type="pct"/>
            <w:vAlign w:val="center"/>
          </w:tcPr>
          <w:p w14:paraId="04F3AF88">
            <w:pPr>
              <w:jc w:val="center"/>
              <w:rPr>
                <w:rFonts w:hint="eastAsia"/>
                <w:highlight w:val="none"/>
              </w:rPr>
            </w:pPr>
          </w:p>
        </w:tc>
        <w:tc>
          <w:tcPr>
            <w:tcW w:w="1488" w:type="pct"/>
            <w:vAlign w:val="center"/>
          </w:tcPr>
          <w:p w14:paraId="3A84885A">
            <w:pPr>
              <w:jc w:val="center"/>
              <w:rPr>
                <w:rFonts w:hint="eastAsia"/>
                <w:highlight w:val="none"/>
              </w:rPr>
            </w:pPr>
          </w:p>
        </w:tc>
        <w:tc>
          <w:tcPr>
            <w:tcW w:w="514" w:type="pct"/>
            <w:vAlign w:val="center"/>
          </w:tcPr>
          <w:p w14:paraId="096FC8CE">
            <w:pPr>
              <w:jc w:val="center"/>
              <w:rPr>
                <w:rFonts w:hint="eastAsia"/>
                <w:highlight w:val="none"/>
              </w:rPr>
            </w:pPr>
          </w:p>
        </w:tc>
        <w:tc>
          <w:tcPr>
            <w:tcW w:w="529" w:type="pct"/>
            <w:vAlign w:val="center"/>
          </w:tcPr>
          <w:p w14:paraId="20772DBA">
            <w:pPr>
              <w:jc w:val="center"/>
              <w:rPr>
                <w:rFonts w:hint="eastAsia"/>
                <w:highlight w:val="none"/>
              </w:rPr>
            </w:pPr>
          </w:p>
        </w:tc>
        <w:tc>
          <w:tcPr>
            <w:tcW w:w="782" w:type="pct"/>
            <w:vAlign w:val="center"/>
          </w:tcPr>
          <w:p w14:paraId="1721F677">
            <w:pPr>
              <w:jc w:val="center"/>
              <w:rPr>
                <w:rFonts w:hint="eastAsia"/>
                <w:highlight w:val="none"/>
              </w:rPr>
            </w:pPr>
          </w:p>
        </w:tc>
        <w:tc>
          <w:tcPr>
            <w:tcW w:w="642" w:type="pct"/>
            <w:vAlign w:val="center"/>
          </w:tcPr>
          <w:p w14:paraId="0CF8E80F">
            <w:pPr>
              <w:jc w:val="center"/>
              <w:rPr>
                <w:rFonts w:hint="eastAsia"/>
                <w:caps/>
                <w:highlight w:val="none"/>
              </w:rPr>
            </w:pPr>
          </w:p>
        </w:tc>
      </w:tr>
      <w:tr w14:paraId="6E58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3" w:type="pct"/>
            <w:vAlign w:val="center"/>
          </w:tcPr>
          <w:p w14:paraId="3293C405">
            <w:pPr>
              <w:jc w:val="center"/>
              <w:rPr>
                <w:rFonts w:hint="eastAsia"/>
                <w:highlight w:val="none"/>
              </w:rPr>
            </w:pPr>
          </w:p>
        </w:tc>
        <w:tc>
          <w:tcPr>
            <w:tcW w:w="688" w:type="pct"/>
            <w:vAlign w:val="center"/>
          </w:tcPr>
          <w:p w14:paraId="69D3C8C8">
            <w:pPr>
              <w:jc w:val="center"/>
              <w:rPr>
                <w:rFonts w:hint="eastAsia"/>
                <w:highlight w:val="none"/>
              </w:rPr>
            </w:pPr>
          </w:p>
        </w:tc>
        <w:tc>
          <w:tcPr>
            <w:tcW w:w="1488" w:type="pct"/>
            <w:vAlign w:val="center"/>
          </w:tcPr>
          <w:p w14:paraId="046D2AE4">
            <w:pPr>
              <w:jc w:val="center"/>
              <w:rPr>
                <w:rFonts w:hint="eastAsia"/>
                <w:highlight w:val="none"/>
              </w:rPr>
            </w:pPr>
          </w:p>
        </w:tc>
        <w:tc>
          <w:tcPr>
            <w:tcW w:w="514" w:type="pct"/>
            <w:vAlign w:val="center"/>
          </w:tcPr>
          <w:p w14:paraId="6B1322B3">
            <w:pPr>
              <w:jc w:val="center"/>
              <w:rPr>
                <w:rFonts w:hint="eastAsia"/>
                <w:highlight w:val="none"/>
              </w:rPr>
            </w:pPr>
          </w:p>
        </w:tc>
        <w:tc>
          <w:tcPr>
            <w:tcW w:w="529" w:type="pct"/>
            <w:vAlign w:val="center"/>
          </w:tcPr>
          <w:p w14:paraId="58271DDE">
            <w:pPr>
              <w:jc w:val="center"/>
              <w:rPr>
                <w:rFonts w:hint="eastAsia"/>
                <w:highlight w:val="none"/>
              </w:rPr>
            </w:pPr>
          </w:p>
        </w:tc>
        <w:tc>
          <w:tcPr>
            <w:tcW w:w="782" w:type="pct"/>
            <w:vAlign w:val="center"/>
          </w:tcPr>
          <w:p w14:paraId="6FB1BCC4">
            <w:pPr>
              <w:jc w:val="center"/>
              <w:rPr>
                <w:rFonts w:hint="eastAsia"/>
                <w:highlight w:val="none"/>
              </w:rPr>
            </w:pPr>
          </w:p>
        </w:tc>
        <w:tc>
          <w:tcPr>
            <w:tcW w:w="642" w:type="pct"/>
            <w:vAlign w:val="center"/>
          </w:tcPr>
          <w:p w14:paraId="10A3935B">
            <w:pPr>
              <w:jc w:val="center"/>
              <w:rPr>
                <w:rFonts w:hint="eastAsia"/>
                <w:caps/>
                <w:highlight w:val="none"/>
              </w:rPr>
            </w:pPr>
          </w:p>
        </w:tc>
      </w:tr>
      <w:tr w14:paraId="27DA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1" w:type="pct"/>
            <w:gridSpan w:val="2"/>
            <w:vAlign w:val="center"/>
          </w:tcPr>
          <w:p w14:paraId="6034E25E">
            <w:pPr>
              <w:jc w:val="center"/>
              <w:rPr>
                <w:rFonts w:hint="eastAsia"/>
                <w:highlight w:val="none"/>
              </w:rPr>
            </w:pPr>
            <w:r>
              <w:rPr>
                <w:rFonts w:hint="eastAsia"/>
                <w:highlight w:val="none"/>
              </w:rPr>
              <w:t>投标总价</w:t>
            </w:r>
          </w:p>
        </w:tc>
        <w:tc>
          <w:tcPr>
            <w:tcW w:w="3958" w:type="pct"/>
            <w:gridSpan w:val="5"/>
            <w:vAlign w:val="center"/>
          </w:tcPr>
          <w:p w14:paraId="67DD1779">
            <w:pPr>
              <w:spacing w:line="276" w:lineRule="auto"/>
              <w:rPr>
                <w:rFonts w:hint="eastAsia"/>
                <w:highlight w:val="none"/>
              </w:rPr>
            </w:pPr>
            <w:r>
              <w:rPr>
                <w:rFonts w:hint="eastAsia"/>
                <w:highlight w:val="none"/>
              </w:rPr>
              <w:t>大写：_</w:t>
            </w:r>
            <w:r>
              <w:rPr>
                <w:highlight w:val="none"/>
              </w:rPr>
              <w:t>___________</w:t>
            </w:r>
            <w:r>
              <w:rPr>
                <w:rFonts w:hint="eastAsia"/>
                <w:highlight w:val="none"/>
              </w:rPr>
              <w:t>元（小写：_</w:t>
            </w:r>
            <w:r>
              <w:rPr>
                <w:highlight w:val="none"/>
              </w:rPr>
              <w:t>____________</w:t>
            </w:r>
            <w:r>
              <w:rPr>
                <w:rFonts w:hint="eastAsia"/>
                <w:highlight w:val="none"/>
              </w:rPr>
              <w:t>）</w:t>
            </w:r>
            <w:r>
              <w:rPr>
                <w:rFonts w:hint="eastAsia"/>
                <w:highlight w:val="none"/>
                <w:lang w:val="en-US" w:eastAsia="zh-CN"/>
              </w:rPr>
              <w:t>税率：</w:t>
            </w:r>
            <w:r>
              <w:rPr>
                <w:rFonts w:hint="eastAsia"/>
                <w:highlight w:val="none"/>
                <w:u w:val="single"/>
                <w:lang w:val="en-US" w:eastAsia="zh-CN"/>
              </w:rPr>
              <w:t xml:space="preserve">      </w:t>
            </w:r>
            <w:r>
              <w:rPr>
                <w:rFonts w:hint="eastAsia"/>
                <w:highlight w:val="none"/>
              </w:rPr>
              <w:t>。</w:t>
            </w:r>
          </w:p>
        </w:tc>
      </w:tr>
      <w:tr w14:paraId="7A05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00" w:type="pct"/>
            <w:gridSpan w:val="7"/>
            <w:vAlign w:val="center"/>
          </w:tcPr>
          <w:p w14:paraId="03C8C740">
            <w:pPr>
              <w:snapToGrid w:val="0"/>
              <w:spacing w:line="360" w:lineRule="auto"/>
              <w:ind w:firstLine="480" w:firstLineChars="200"/>
              <w:rPr>
                <w:rFonts w:hint="eastAsia"/>
                <w:kern w:val="2"/>
                <w:highlight w:val="none"/>
              </w:rPr>
            </w:pPr>
            <w:r>
              <w:rPr>
                <w:rFonts w:hint="eastAsia"/>
                <w:kern w:val="2"/>
                <w:highlight w:val="none"/>
                <w:lang w:eastAsia="zh-CN"/>
              </w:rPr>
              <w:t>投标报价采用人民币计，合同采用固定综合单价形式，综合单价包括但不限于主材费、包装费、运输费、运输损耗、装卸费、安装费、安装所用水电费、辅料、配件、工具、深化设计费、保管费、调试费、检测费、保修费、管理费、相关配合费、单机调试及联动调试费、第三方检验费（包括针对网络系统的福禄克（FLUKE）检测、针对所有网络交换机型号的进网检验报告等）、现场可能发生的二次搬运费、临时设施费、检验试验费、成品保护费、利润、保险、税金、其他不可预见费等为完成本合同项下所有工作直至竣工验收合格后交付招标人使用所产生的一切费用以及售后服务费用。</w:t>
            </w:r>
            <w:r>
              <w:rPr>
                <w:rFonts w:hint="eastAsia" w:ascii="宋体" w:hAnsi="宋体" w:eastAsia="宋体" w:cs="宋体"/>
                <w:b/>
                <w:bCs/>
                <w:kern w:val="2"/>
                <w:highlight w:val="none"/>
              </w:rPr>
              <w:t>供货人在</w:t>
            </w:r>
            <w:r>
              <w:rPr>
                <w:rFonts w:hint="eastAsia"/>
                <w:b/>
                <w:bCs/>
                <w:kern w:val="2"/>
                <w:highlight w:val="none"/>
              </w:rPr>
              <w:t>编制投标报价时已充分考虑各种风险因素，凡</w:t>
            </w:r>
            <w:r>
              <w:rPr>
                <w:b/>
                <w:bCs/>
                <w:highlight w:val="none"/>
              </w:rPr>
              <w:t>投标</w:t>
            </w:r>
            <w:r>
              <w:rPr>
                <w:rFonts w:hint="eastAsia"/>
                <w:b/>
                <w:bCs/>
                <w:kern w:val="2"/>
                <w:highlight w:val="none"/>
              </w:rPr>
              <w:t>人漏项、漏报均认为已包含在报价中，结算时不再增加。</w:t>
            </w:r>
          </w:p>
        </w:tc>
      </w:tr>
    </w:tbl>
    <w:p w14:paraId="5643EEEE">
      <w:pPr>
        <w:ind w:firstLine="4800" w:firstLineChars="2000"/>
        <w:rPr>
          <w:rFonts w:hint="eastAsia"/>
          <w:highlight w:val="none"/>
        </w:rPr>
      </w:pPr>
    </w:p>
    <w:p w14:paraId="414C39C9">
      <w:pPr>
        <w:ind w:firstLine="4800" w:firstLineChars="2000"/>
        <w:rPr>
          <w:rFonts w:hint="eastAsia"/>
          <w:highlight w:val="none"/>
        </w:rPr>
      </w:pPr>
      <w:r>
        <w:rPr>
          <w:rFonts w:hint="eastAsia"/>
          <w:highlight w:val="none"/>
        </w:rPr>
        <w:t xml:space="preserve">法定代表人签名（或签名章）： </w:t>
      </w:r>
    </w:p>
    <w:p w14:paraId="2451A53E">
      <w:pPr>
        <w:ind w:left="4320" w:leftChars="1800" w:firstLine="480" w:firstLineChars="200"/>
        <w:rPr>
          <w:rFonts w:hint="eastAsia"/>
          <w:highlight w:val="none"/>
        </w:rPr>
      </w:pPr>
      <w:r>
        <w:rPr>
          <w:rFonts w:hint="eastAsia"/>
          <w:highlight w:val="none"/>
        </w:rPr>
        <w:t>日 期：</w:t>
      </w:r>
    </w:p>
    <w:p w14:paraId="6B3D1177">
      <w:pPr>
        <w:ind w:left="4320" w:leftChars="1800" w:firstLine="480" w:firstLineChars="200"/>
        <w:rPr>
          <w:rFonts w:hint="eastAsia"/>
          <w:highlight w:val="none"/>
        </w:rPr>
      </w:pPr>
      <w:r>
        <w:rPr>
          <w:rFonts w:hint="eastAsia"/>
          <w:highlight w:val="none"/>
        </w:rPr>
        <w:t>投标人（或联合体牵头人）全称（公章）：</w:t>
      </w:r>
    </w:p>
    <w:sectPr>
      <w:pgSz w:w="11906" w:h="16838"/>
      <w:pgMar w:top="1247" w:right="1418" w:bottom="1701"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13B9">
    <w:pPr>
      <w:pStyle w:val="2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3CCE7">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- 24 -</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03CCE7">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- 24 -</w:t>
                    </w:r>
                    <w:r>
                      <w:rPr>
                        <w:rStyle w:val="3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E9E1">
    <w:pPr>
      <w:pStyle w:val="21"/>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0DCAC">
                          <w:pPr>
                            <w:pStyle w:val="2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20DCAC">
                    <w:pPr>
                      <w:pStyle w:val="2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24C9">
    <w:pPr>
      <w:pStyle w:val="2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DC76B">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- 23 -</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56DC76B">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- 23 -</w:t>
                    </w:r>
                    <w:r>
                      <w:rPr>
                        <w:rStyle w:val="3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C767">
    <w:pPr>
      <w:pStyle w:val="21"/>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56D36">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- 70 -</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3156D36">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- 70 -</w:t>
                    </w:r>
                    <w:r>
                      <w:rPr>
                        <w:rStyle w:val="3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9153C">
    <w:pPr>
      <w:pStyle w:val="21"/>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3AFE7">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- 80 -</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D3AFE7">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- 80 -</w:t>
                    </w:r>
                    <w:r>
                      <w:rPr>
                        <w:rStyle w:val="3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3FD0">
    <w:pPr>
      <w:pStyle w:val="21"/>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C305F">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- 97 -</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67C305F">
                    <w:pPr>
                      <w:pStyle w:val="21"/>
                      <w:rPr>
                        <w:rStyle w:val="38"/>
                        <w:rFonts w:hint="eastAsia"/>
                      </w:rPr>
                    </w:pPr>
                    <w:r>
                      <w:rPr>
                        <w:rStyle w:val="38"/>
                      </w:rPr>
                      <w:fldChar w:fldCharType="begin"/>
                    </w:r>
                    <w:r>
                      <w:rPr>
                        <w:rStyle w:val="38"/>
                      </w:rPr>
                      <w:instrText xml:space="preserve"> PAGE </w:instrText>
                    </w:r>
                    <w:r>
                      <w:rPr>
                        <w:rStyle w:val="38"/>
                      </w:rPr>
                      <w:fldChar w:fldCharType="separate"/>
                    </w:r>
                    <w:r>
                      <w:rPr>
                        <w:rStyle w:val="38"/>
                      </w:rPr>
                      <w:t>- 97 -</w:t>
                    </w:r>
                    <w:r>
                      <w:rPr>
                        <w:rStyle w:val="3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751E">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4C06">
    <w:pPr>
      <w:pStyle w:val="23"/>
      <w:pBdr>
        <w:bottom w:val="none" w:color="auto" w:sz="0" w:space="1"/>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44B8E"/>
    <w:multiLevelType w:val="singleLevel"/>
    <w:tmpl w:val="9E344B8E"/>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pPr>
        <w:ind w:left="0" w:firstLine="40"/>
      </w:pPr>
      <w:rPr>
        <w:rFonts w:hint="default"/>
      </w:rPr>
    </w:lvl>
  </w:abstractNum>
  <w:abstractNum w:abstractNumId="2">
    <w:nsid w:val="00000002"/>
    <w:multiLevelType w:val="singleLevel"/>
    <w:tmpl w:val="00000002"/>
    <w:lvl w:ilvl="0" w:tentative="0">
      <w:start w:val="1"/>
      <w:numFmt w:val="decimalEnclosedCircleChinese"/>
      <w:suff w:val="nothing"/>
      <w:lvlText w:val="%1　"/>
      <w:lvlJc w:val="left"/>
      <w:pPr>
        <w:ind w:left="0" w:firstLine="1134"/>
      </w:pPr>
      <w:rPr>
        <w:rFonts w:hint="eastAsia"/>
      </w:rPr>
    </w:lvl>
  </w:abstractNum>
  <w:abstractNum w:abstractNumId="3">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4">
    <w:nsid w:val="00000004"/>
    <w:multiLevelType w:val="singleLevel"/>
    <w:tmpl w:val="00000004"/>
    <w:lvl w:ilvl="0" w:tentative="0">
      <w:start w:val="1"/>
      <w:numFmt w:val="bullet"/>
      <w:lvlText w:val=""/>
      <w:lvlJc w:val="left"/>
      <w:pPr>
        <w:ind w:left="420" w:hanging="420"/>
      </w:pPr>
      <w:rPr>
        <w:rFonts w:hint="default" w:ascii="Wingdings" w:hAnsi="Wingdings"/>
      </w:rPr>
    </w:lvl>
  </w:abstractNum>
  <w:abstractNum w:abstractNumId="5">
    <w:nsid w:val="00000006"/>
    <w:multiLevelType w:val="singleLevel"/>
    <w:tmpl w:val="00000006"/>
    <w:lvl w:ilvl="0" w:tentative="0">
      <w:start w:val="2"/>
      <w:numFmt w:val="decimal"/>
      <w:suff w:val="nothing"/>
      <w:lvlText w:val="%1）"/>
      <w:lvlJc w:val="left"/>
    </w:lvl>
  </w:abstractNum>
  <w:abstractNum w:abstractNumId="6">
    <w:nsid w:val="00000007"/>
    <w:multiLevelType w:val="singleLevel"/>
    <w:tmpl w:val="00000007"/>
    <w:lvl w:ilvl="0" w:tentative="0">
      <w:start w:val="1"/>
      <w:numFmt w:val="decimalEnclosedCircleChinese"/>
      <w:suff w:val="nothing"/>
      <w:lvlText w:val="%1　"/>
      <w:lvlJc w:val="left"/>
      <w:pPr>
        <w:ind w:left="0" w:firstLine="1134"/>
      </w:pPr>
      <w:rPr>
        <w:rFonts w:hint="eastAsia"/>
      </w:rPr>
    </w:lvl>
  </w:abstractNum>
  <w:abstractNum w:abstractNumId="7">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8">
    <w:nsid w:val="00000009"/>
    <w:multiLevelType w:val="singleLevel"/>
    <w:tmpl w:val="00000009"/>
    <w:lvl w:ilvl="0" w:tentative="0">
      <w:start w:val="1"/>
      <w:numFmt w:val="bullet"/>
      <w:lvlText w:val=""/>
      <w:lvlJc w:val="left"/>
      <w:pPr>
        <w:ind w:left="420" w:hanging="420"/>
      </w:pPr>
      <w:rPr>
        <w:rFonts w:hint="default" w:ascii="Wingdings" w:hAnsi="Wingdings"/>
      </w:rPr>
    </w:lvl>
  </w:abstractNum>
  <w:abstractNum w:abstractNumId="9">
    <w:nsid w:val="0000000A"/>
    <w:multiLevelType w:val="singleLevel"/>
    <w:tmpl w:val="0000000A"/>
    <w:lvl w:ilvl="0" w:tentative="0">
      <w:start w:val="1"/>
      <w:numFmt w:val="bullet"/>
      <w:lvlText w:val=""/>
      <w:lvlJc w:val="left"/>
      <w:pPr>
        <w:ind w:left="420" w:hanging="420"/>
      </w:pPr>
      <w:rPr>
        <w:rFonts w:hint="default" w:ascii="Wingdings" w:hAnsi="Wingdings"/>
      </w:rPr>
    </w:lvl>
  </w:abstractNum>
  <w:abstractNum w:abstractNumId="10">
    <w:nsid w:val="0000000B"/>
    <w:multiLevelType w:val="singleLevel"/>
    <w:tmpl w:val="0000000B"/>
    <w:lvl w:ilvl="0" w:tentative="0">
      <w:start w:val="1"/>
      <w:numFmt w:val="decimal"/>
      <w:lvlText w:val="%1)"/>
      <w:lvlJc w:val="left"/>
      <w:pPr>
        <w:ind w:left="425" w:hanging="425"/>
      </w:pPr>
      <w:rPr>
        <w:rFonts w:hint="default"/>
      </w:rPr>
    </w:lvl>
  </w:abstractNum>
  <w:abstractNum w:abstractNumId="11">
    <w:nsid w:val="0000000C"/>
    <w:multiLevelType w:val="singleLevel"/>
    <w:tmpl w:val="0000000C"/>
    <w:lvl w:ilvl="0" w:tentative="0">
      <w:start w:val="1"/>
      <w:numFmt w:val="decimal"/>
      <w:lvlText w:val="%1."/>
      <w:lvlJc w:val="left"/>
      <w:pPr>
        <w:tabs>
          <w:tab w:val="left" w:pos="312"/>
        </w:tabs>
      </w:pPr>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0000000E"/>
    <w:multiLevelType w:val="singleLevel"/>
    <w:tmpl w:val="0000000E"/>
    <w:lvl w:ilvl="0" w:tentative="0">
      <w:start w:val="1"/>
      <w:numFmt w:val="decimalEnclosedCircleChinese"/>
      <w:suff w:val="nothing"/>
      <w:lvlText w:val="%1　"/>
      <w:lvlJc w:val="left"/>
      <w:pPr>
        <w:ind w:left="0" w:firstLine="1134"/>
      </w:pPr>
      <w:rPr>
        <w:rFonts w:hint="eastAsia"/>
      </w:rPr>
    </w:lvl>
  </w:abstractNum>
  <w:abstractNum w:abstractNumId="14">
    <w:nsid w:val="0000000F"/>
    <w:multiLevelType w:val="singleLevel"/>
    <w:tmpl w:val="0000000F"/>
    <w:lvl w:ilvl="0" w:tentative="0">
      <w:start w:val="1"/>
      <w:numFmt w:val="decimal"/>
      <w:pStyle w:val="101"/>
      <w:lvlText w:val="%1."/>
      <w:lvlJc w:val="left"/>
      <w:pPr>
        <w:tabs>
          <w:tab w:val="left" w:pos="2040"/>
        </w:tabs>
        <w:ind w:left="2040" w:hanging="360"/>
      </w:pPr>
    </w:lvl>
  </w:abstractNum>
  <w:abstractNum w:abstractNumId="15">
    <w:nsid w:val="00000010"/>
    <w:multiLevelType w:val="singleLevel"/>
    <w:tmpl w:val="00000010"/>
    <w:lvl w:ilvl="0" w:tentative="0">
      <w:start w:val="1"/>
      <w:numFmt w:val="decimalEnclosedCircleChinese"/>
      <w:suff w:val="nothing"/>
      <w:lvlText w:val="%1　"/>
      <w:lvlJc w:val="left"/>
      <w:pPr>
        <w:ind w:left="0" w:firstLine="1134"/>
      </w:pPr>
      <w:rPr>
        <w:rFonts w:hint="eastAsia"/>
      </w:rPr>
    </w:lvl>
  </w:abstractNum>
  <w:abstractNum w:abstractNumId="16">
    <w:nsid w:val="00000011"/>
    <w:multiLevelType w:val="singleLevel"/>
    <w:tmpl w:val="00000011"/>
    <w:lvl w:ilvl="0" w:tentative="0">
      <w:start w:val="3"/>
      <w:numFmt w:val="decimal"/>
      <w:suff w:val="nothing"/>
      <w:lvlText w:val="%1、"/>
      <w:lvlJc w:val="left"/>
    </w:lvl>
  </w:abstractNum>
  <w:abstractNum w:abstractNumId="17">
    <w:nsid w:val="00000012"/>
    <w:multiLevelType w:val="singleLevel"/>
    <w:tmpl w:val="00000012"/>
    <w:lvl w:ilvl="0" w:tentative="0">
      <w:start w:val="1"/>
      <w:numFmt w:val="decimalEnclosedCircleChinese"/>
      <w:suff w:val="nothing"/>
      <w:lvlText w:val="%1　"/>
      <w:lvlJc w:val="left"/>
      <w:pPr>
        <w:ind w:left="0" w:firstLine="397"/>
      </w:pPr>
      <w:rPr>
        <w:rFonts w:hint="eastAsia"/>
      </w:rPr>
    </w:lvl>
  </w:abstractNum>
  <w:abstractNum w:abstractNumId="18">
    <w:nsid w:val="00000013"/>
    <w:multiLevelType w:val="singleLevel"/>
    <w:tmpl w:val="00000013"/>
    <w:lvl w:ilvl="0" w:tentative="0">
      <w:start w:val="1"/>
      <w:numFmt w:val="decimalEnclosedCircleChinese"/>
      <w:suff w:val="nothing"/>
      <w:lvlText w:val="%1　"/>
      <w:lvlJc w:val="left"/>
      <w:pPr>
        <w:ind w:left="0" w:firstLine="1134"/>
      </w:pPr>
      <w:rPr>
        <w:rFonts w:hint="eastAsia"/>
      </w:rPr>
    </w:lvl>
  </w:abstractNum>
  <w:abstractNum w:abstractNumId="19">
    <w:nsid w:val="00000014"/>
    <w:multiLevelType w:val="multilevel"/>
    <w:tmpl w:val="00000014"/>
    <w:lvl w:ilvl="0" w:tentative="0">
      <w:start w:val="1"/>
      <w:numFmt w:val="decimal"/>
      <w:pStyle w:val="92"/>
      <w:lvlText w:val="%1）"/>
      <w:lvlJc w:val="left"/>
      <w:pPr>
        <w:tabs>
          <w:tab w:val="left" w:pos="1146"/>
        </w:tabs>
        <w:ind w:left="1146" w:hanging="720"/>
      </w:pPr>
      <w:rPr>
        <w:rFonts w:hint="eastAsia"/>
      </w:rPr>
    </w:lvl>
    <w:lvl w:ilvl="1" w:tentative="0">
      <w:start w:val="1"/>
      <w:numFmt w:val="lowerLetter"/>
      <w:lvlText w:val="%2."/>
      <w:lvlJc w:val="left"/>
      <w:pPr>
        <w:tabs>
          <w:tab w:val="left" w:pos="1645"/>
        </w:tabs>
        <w:ind w:left="1645" w:hanging="360"/>
      </w:pPr>
    </w:lvl>
    <w:lvl w:ilvl="2" w:tentative="0">
      <w:start w:val="1"/>
      <w:numFmt w:val="lowerRoman"/>
      <w:lvlText w:val="%3."/>
      <w:lvlJc w:val="right"/>
      <w:pPr>
        <w:tabs>
          <w:tab w:val="left" w:pos="2365"/>
        </w:tabs>
        <w:ind w:left="2365" w:hanging="180"/>
      </w:pPr>
    </w:lvl>
    <w:lvl w:ilvl="3" w:tentative="0">
      <w:start w:val="1"/>
      <w:numFmt w:val="decimal"/>
      <w:lvlText w:val="%4."/>
      <w:lvlJc w:val="left"/>
      <w:pPr>
        <w:tabs>
          <w:tab w:val="left" w:pos="3085"/>
        </w:tabs>
        <w:ind w:left="3085" w:hanging="360"/>
      </w:pPr>
    </w:lvl>
    <w:lvl w:ilvl="4" w:tentative="0">
      <w:start w:val="1"/>
      <w:numFmt w:val="lowerLetter"/>
      <w:lvlText w:val="%5."/>
      <w:lvlJc w:val="left"/>
      <w:pPr>
        <w:tabs>
          <w:tab w:val="left" w:pos="3805"/>
        </w:tabs>
        <w:ind w:left="3805" w:hanging="360"/>
      </w:pPr>
    </w:lvl>
    <w:lvl w:ilvl="5" w:tentative="0">
      <w:start w:val="1"/>
      <w:numFmt w:val="lowerRoman"/>
      <w:lvlText w:val="%6."/>
      <w:lvlJc w:val="right"/>
      <w:pPr>
        <w:tabs>
          <w:tab w:val="left" w:pos="4525"/>
        </w:tabs>
        <w:ind w:left="4525" w:hanging="180"/>
      </w:pPr>
    </w:lvl>
    <w:lvl w:ilvl="6" w:tentative="0">
      <w:start w:val="1"/>
      <w:numFmt w:val="decimal"/>
      <w:lvlText w:val="%7."/>
      <w:lvlJc w:val="left"/>
      <w:pPr>
        <w:tabs>
          <w:tab w:val="left" w:pos="5245"/>
        </w:tabs>
        <w:ind w:left="5245" w:hanging="360"/>
      </w:pPr>
    </w:lvl>
    <w:lvl w:ilvl="7" w:tentative="0">
      <w:start w:val="1"/>
      <w:numFmt w:val="lowerLetter"/>
      <w:lvlText w:val="%8."/>
      <w:lvlJc w:val="left"/>
      <w:pPr>
        <w:tabs>
          <w:tab w:val="left" w:pos="5965"/>
        </w:tabs>
        <w:ind w:left="5965" w:hanging="360"/>
      </w:pPr>
    </w:lvl>
    <w:lvl w:ilvl="8" w:tentative="0">
      <w:start w:val="1"/>
      <w:numFmt w:val="lowerRoman"/>
      <w:lvlText w:val="%9."/>
      <w:lvlJc w:val="right"/>
      <w:pPr>
        <w:tabs>
          <w:tab w:val="left" w:pos="6685"/>
        </w:tabs>
        <w:ind w:left="6685" w:hanging="180"/>
      </w:pPr>
    </w:lvl>
  </w:abstractNum>
  <w:abstractNum w:abstractNumId="20">
    <w:nsid w:val="00000015"/>
    <w:multiLevelType w:val="singleLevel"/>
    <w:tmpl w:val="00000015"/>
    <w:lvl w:ilvl="0" w:tentative="0">
      <w:start w:val="1"/>
      <w:numFmt w:val="bullet"/>
      <w:lvlText w:val=""/>
      <w:lvlJc w:val="left"/>
      <w:pPr>
        <w:ind w:left="420" w:hanging="420"/>
      </w:pPr>
      <w:rPr>
        <w:rFonts w:hint="default" w:ascii="Wingdings" w:hAnsi="Wingdings"/>
      </w:rPr>
    </w:lvl>
  </w:abstractNum>
  <w:abstractNum w:abstractNumId="21">
    <w:nsid w:val="00000016"/>
    <w:multiLevelType w:val="singleLevel"/>
    <w:tmpl w:val="00000016"/>
    <w:lvl w:ilvl="0" w:tentative="0">
      <w:start w:val="1"/>
      <w:numFmt w:val="decimal"/>
      <w:lvlText w:val="%1)"/>
      <w:lvlJc w:val="left"/>
      <w:pPr>
        <w:ind w:left="425" w:hanging="425"/>
      </w:pPr>
      <w:rPr>
        <w:rFonts w:hint="default"/>
      </w:rPr>
    </w:lvl>
  </w:abstractNum>
  <w:abstractNum w:abstractNumId="22">
    <w:nsid w:val="00000017"/>
    <w:multiLevelType w:val="singleLevel"/>
    <w:tmpl w:val="00000017"/>
    <w:lvl w:ilvl="0" w:tentative="0">
      <w:start w:val="1"/>
      <w:numFmt w:val="decimal"/>
      <w:suff w:val="nothing"/>
      <w:lvlText w:val="%1、"/>
      <w:lvlJc w:val="left"/>
    </w:lvl>
  </w:abstractNum>
  <w:abstractNum w:abstractNumId="23">
    <w:nsid w:val="00000018"/>
    <w:multiLevelType w:val="multilevel"/>
    <w:tmpl w:val="00000018"/>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4">
    <w:nsid w:val="00000019"/>
    <w:multiLevelType w:val="singleLevel"/>
    <w:tmpl w:val="00000019"/>
    <w:lvl w:ilvl="0" w:tentative="0">
      <w:start w:val="1"/>
      <w:numFmt w:val="decimalEnclosedCircleChinese"/>
      <w:suff w:val="nothing"/>
      <w:lvlText w:val="%1　"/>
      <w:lvlJc w:val="left"/>
      <w:pPr>
        <w:ind w:left="0" w:firstLine="400"/>
      </w:pPr>
      <w:rPr>
        <w:rFonts w:hint="eastAsia"/>
      </w:rPr>
    </w:lvl>
  </w:abstractNum>
  <w:abstractNum w:abstractNumId="25">
    <w:nsid w:val="0000001A"/>
    <w:multiLevelType w:val="singleLevel"/>
    <w:tmpl w:val="0000001A"/>
    <w:lvl w:ilvl="0" w:tentative="0">
      <w:start w:val="1"/>
      <w:numFmt w:val="bullet"/>
      <w:lvlText w:val=""/>
      <w:lvlJc w:val="left"/>
      <w:pPr>
        <w:ind w:left="420" w:hanging="420"/>
      </w:pPr>
      <w:rPr>
        <w:rFonts w:hint="default" w:ascii="Wingdings" w:hAnsi="Wingdings"/>
      </w:rPr>
    </w:lvl>
  </w:abstractNum>
  <w:abstractNum w:abstractNumId="26">
    <w:nsid w:val="0000001B"/>
    <w:multiLevelType w:val="singleLevel"/>
    <w:tmpl w:val="0000001B"/>
    <w:lvl w:ilvl="0" w:tentative="0">
      <w:start w:val="1"/>
      <w:numFmt w:val="decimal"/>
      <w:lvlText w:val="(%1)"/>
      <w:lvlJc w:val="left"/>
      <w:pPr>
        <w:ind w:left="905" w:hanging="425"/>
      </w:pPr>
      <w:rPr>
        <w:rFonts w:hint="default"/>
      </w:rPr>
    </w:lvl>
  </w:abstractNum>
  <w:abstractNum w:abstractNumId="27">
    <w:nsid w:val="0000001C"/>
    <w:multiLevelType w:val="multilevel"/>
    <w:tmpl w:val="0000001C"/>
    <w:lvl w:ilvl="0" w:tentative="0">
      <w:start w:val="1"/>
      <w:numFmt w:val="decimal"/>
      <w:lvlText w:val="%1、"/>
      <w:lvlJc w:val="left"/>
      <w:pPr>
        <w:ind w:left="301" w:hanging="375"/>
      </w:pPr>
      <w:rPr>
        <w:rFonts w:hint="default"/>
        <w:b w:val="0"/>
        <w:bCs w:val="0"/>
      </w:rPr>
    </w:lvl>
    <w:lvl w:ilvl="1" w:tentative="0">
      <w:start w:val="1"/>
      <w:numFmt w:val="lowerLetter"/>
      <w:lvlText w:val="%2)"/>
      <w:lvlJc w:val="left"/>
      <w:pPr>
        <w:ind w:left="766" w:hanging="420"/>
      </w:pPr>
    </w:lvl>
    <w:lvl w:ilvl="2" w:tentative="0">
      <w:start w:val="1"/>
      <w:numFmt w:val="lowerRoman"/>
      <w:lvlText w:val="%3."/>
      <w:lvlJc w:val="right"/>
      <w:pPr>
        <w:ind w:left="1186" w:hanging="420"/>
      </w:pPr>
    </w:lvl>
    <w:lvl w:ilvl="3" w:tentative="0">
      <w:start w:val="1"/>
      <w:numFmt w:val="decimal"/>
      <w:lvlText w:val="%4."/>
      <w:lvlJc w:val="left"/>
      <w:pPr>
        <w:ind w:left="1606" w:hanging="420"/>
      </w:pPr>
    </w:lvl>
    <w:lvl w:ilvl="4" w:tentative="0">
      <w:start w:val="1"/>
      <w:numFmt w:val="lowerLetter"/>
      <w:lvlText w:val="%5)"/>
      <w:lvlJc w:val="left"/>
      <w:pPr>
        <w:ind w:left="2026" w:hanging="420"/>
      </w:pPr>
    </w:lvl>
    <w:lvl w:ilvl="5" w:tentative="0">
      <w:start w:val="1"/>
      <w:numFmt w:val="lowerRoman"/>
      <w:lvlText w:val="%6."/>
      <w:lvlJc w:val="right"/>
      <w:pPr>
        <w:ind w:left="2446" w:hanging="420"/>
      </w:pPr>
    </w:lvl>
    <w:lvl w:ilvl="6" w:tentative="0">
      <w:start w:val="1"/>
      <w:numFmt w:val="decimal"/>
      <w:lvlText w:val="%7."/>
      <w:lvlJc w:val="left"/>
      <w:pPr>
        <w:ind w:left="2866" w:hanging="420"/>
      </w:pPr>
    </w:lvl>
    <w:lvl w:ilvl="7" w:tentative="0">
      <w:start w:val="1"/>
      <w:numFmt w:val="lowerLetter"/>
      <w:lvlText w:val="%8)"/>
      <w:lvlJc w:val="left"/>
      <w:pPr>
        <w:ind w:left="3286" w:hanging="420"/>
      </w:pPr>
    </w:lvl>
    <w:lvl w:ilvl="8" w:tentative="0">
      <w:start w:val="1"/>
      <w:numFmt w:val="lowerRoman"/>
      <w:lvlText w:val="%9."/>
      <w:lvlJc w:val="right"/>
      <w:pPr>
        <w:ind w:left="3706" w:hanging="420"/>
      </w:pPr>
    </w:lvl>
  </w:abstractNum>
  <w:abstractNum w:abstractNumId="28">
    <w:nsid w:val="0000001D"/>
    <w:multiLevelType w:val="multilevel"/>
    <w:tmpl w:val="0000001D"/>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9">
    <w:nsid w:val="0000001E"/>
    <w:multiLevelType w:val="singleLevel"/>
    <w:tmpl w:val="0000001E"/>
    <w:lvl w:ilvl="0" w:tentative="0">
      <w:start w:val="4"/>
      <w:numFmt w:val="chineseCounting"/>
      <w:suff w:val="nothing"/>
      <w:lvlText w:val="%1、"/>
      <w:lvlJc w:val="left"/>
      <w:rPr>
        <w:rFonts w:hint="eastAsia"/>
      </w:rPr>
    </w:lvl>
  </w:abstractNum>
  <w:abstractNum w:abstractNumId="30">
    <w:nsid w:val="0000001F"/>
    <w:multiLevelType w:val="multilevel"/>
    <w:tmpl w:val="0000001F"/>
    <w:lvl w:ilvl="0" w:tentative="0">
      <w:start w:val="1"/>
      <w:numFmt w:val="decimal"/>
      <w:pStyle w:val="96"/>
      <w:suff w:val="space"/>
      <w:lvlText w:val="%1)"/>
      <w:lvlJc w:val="left"/>
      <w:pPr>
        <w:ind w:left="708" w:firstLine="0"/>
      </w:pPr>
      <w:rPr>
        <w:b w:val="0"/>
        <w:bCs w:val="0"/>
        <w:i w:val="0"/>
        <w:iCs w:val="0"/>
        <w:caps w:val="0"/>
        <w:smallCaps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1">
    <w:nsid w:val="00000020"/>
    <w:multiLevelType w:val="singleLevel"/>
    <w:tmpl w:val="00000020"/>
    <w:lvl w:ilvl="0" w:tentative="0">
      <w:start w:val="1"/>
      <w:numFmt w:val="decimal"/>
      <w:suff w:val="nothing"/>
      <w:lvlText w:val="%1．"/>
      <w:lvlJc w:val="left"/>
      <w:pPr>
        <w:ind w:left="0" w:firstLine="397"/>
      </w:pPr>
      <w:rPr>
        <w:rFonts w:hint="default"/>
      </w:rPr>
    </w:lvl>
  </w:abstractNum>
  <w:abstractNum w:abstractNumId="32">
    <w:nsid w:val="00000021"/>
    <w:multiLevelType w:val="singleLevel"/>
    <w:tmpl w:val="00000021"/>
    <w:lvl w:ilvl="0" w:tentative="0">
      <w:start w:val="11"/>
      <w:numFmt w:val="chineseCounting"/>
      <w:suff w:val="nothing"/>
      <w:lvlText w:val="%1、"/>
      <w:lvlJc w:val="left"/>
      <w:pPr>
        <w:ind w:left="480" w:firstLine="0"/>
      </w:pPr>
      <w:rPr>
        <w:rFonts w:hint="eastAsia"/>
      </w:rPr>
    </w:lvl>
  </w:abstractNum>
  <w:abstractNum w:abstractNumId="33">
    <w:nsid w:val="00000022"/>
    <w:multiLevelType w:val="singleLevel"/>
    <w:tmpl w:val="00000022"/>
    <w:lvl w:ilvl="0" w:tentative="0">
      <w:start w:val="1"/>
      <w:numFmt w:val="decimalEnclosedCircleChinese"/>
      <w:suff w:val="nothing"/>
      <w:lvlText w:val="%1　"/>
      <w:lvlJc w:val="left"/>
      <w:pPr>
        <w:ind w:left="0" w:firstLine="397"/>
      </w:pPr>
      <w:rPr>
        <w:rFonts w:hint="eastAsia"/>
      </w:rPr>
    </w:lvl>
  </w:abstractNum>
  <w:abstractNum w:abstractNumId="34">
    <w:nsid w:val="00000023"/>
    <w:multiLevelType w:val="singleLevel"/>
    <w:tmpl w:val="00000023"/>
    <w:lvl w:ilvl="0" w:tentative="0">
      <w:start w:val="1"/>
      <w:numFmt w:val="upperLetter"/>
      <w:pStyle w:val="6"/>
      <w:lvlText w:val="%1、"/>
      <w:lvlJc w:val="left"/>
      <w:pPr>
        <w:tabs>
          <w:tab w:val="left" w:pos="1035"/>
        </w:tabs>
        <w:ind w:left="1035" w:hanging="420"/>
      </w:pPr>
      <w:rPr>
        <w:rFonts w:hint="eastAsia"/>
      </w:rPr>
    </w:lvl>
  </w:abstractNum>
  <w:abstractNum w:abstractNumId="35">
    <w:nsid w:val="00000024"/>
    <w:multiLevelType w:val="singleLevel"/>
    <w:tmpl w:val="00000024"/>
    <w:lvl w:ilvl="0" w:tentative="0">
      <w:start w:val="1"/>
      <w:numFmt w:val="decimal"/>
      <w:suff w:val="nothing"/>
      <w:lvlText w:val="%1）"/>
      <w:lvlJc w:val="left"/>
    </w:lvl>
  </w:abstractNum>
  <w:abstractNum w:abstractNumId="36">
    <w:nsid w:val="00000025"/>
    <w:multiLevelType w:val="singleLevel"/>
    <w:tmpl w:val="00000025"/>
    <w:lvl w:ilvl="0" w:tentative="0">
      <w:start w:val="1"/>
      <w:numFmt w:val="decimalEnclosedCircleChinese"/>
      <w:suff w:val="nothing"/>
      <w:lvlText w:val="%1　"/>
      <w:lvlJc w:val="left"/>
      <w:pPr>
        <w:ind w:left="0" w:firstLine="397"/>
      </w:pPr>
      <w:rPr>
        <w:rFonts w:hint="eastAsia"/>
      </w:rPr>
    </w:lvl>
  </w:abstractNum>
  <w:abstractNum w:abstractNumId="37">
    <w:nsid w:val="00000026"/>
    <w:multiLevelType w:val="singleLevel"/>
    <w:tmpl w:val="00000026"/>
    <w:lvl w:ilvl="0" w:tentative="0">
      <w:start w:val="1"/>
      <w:numFmt w:val="decimal"/>
      <w:suff w:val="nothing"/>
      <w:lvlText w:val="%1）"/>
      <w:lvlJc w:val="left"/>
    </w:lvl>
  </w:abstractNum>
  <w:abstractNum w:abstractNumId="38">
    <w:nsid w:val="00000027"/>
    <w:multiLevelType w:val="singleLevel"/>
    <w:tmpl w:val="00000027"/>
    <w:lvl w:ilvl="0" w:tentative="0">
      <w:start w:val="1"/>
      <w:numFmt w:val="decimal"/>
      <w:suff w:val="nothing"/>
      <w:lvlText w:val="%1．"/>
      <w:lvlJc w:val="left"/>
      <w:pPr>
        <w:ind w:left="0" w:firstLine="397"/>
      </w:pPr>
      <w:rPr>
        <w:rFonts w:hint="default"/>
      </w:rPr>
    </w:lvl>
  </w:abstractNum>
  <w:abstractNum w:abstractNumId="39">
    <w:nsid w:val="0053208E"/>
    <w:multiLevelType w:val="singleLevel"/>
    <w:tmpl w:val="0053208E"/>
    <w:lvl w:ilvl="0" w:tentative="0">
      <w:start w:val="1"/>
      <w:numFmt w:val="bullet"/>
      <w:lvlText w:val=""/>
      <w:lvlJc w:val="left"/>
      <w:pPr>
        <w:ind w:left="420" w:hanging="420"/>
      </w:pPr>
      <w:rPr>
        <w:rFonts w:hint="default" w:ascii="Wingdings" w:hAnsi="Wingdings"/>
      </w:rPr>
    </w:lvl>
  </w:abstractNum>
  <w:num w:numId="1">
    <w:abstractNumId w:val="28"/>
  </w:num>
  <w:num w:numId="2">
    <w:abstractNumId w:val="34"/>
  </w:num>
  <w:num w:numId="3">
    <w:abstractNumId w:val="19"/>
  </w:num>
  <w:num w:numId="4">
    <w:abstractNumId w:val="30"/>
  </w:num>
  <w:num w:numId="5">
    <w:abstractNumId w:val="14"/>
  </w:num>
  <w:num w:numId="6">
    <w:abstractNumId w:val="29"/>
  </w:num>
  <w:num w:numId="7">
    <w:abstractNumId w:val="26"/>
  </w:num>
  <w:num w:numId="8">
    <w:abstractNumId w:val="31"/>
  </w:num>
  <w:num w:numId="9">
    <w:abstractNumId w:val="36"/>
  </w:num>
  <w:num w:numId="10">
    <w:abstractNumId w:val="38"/>
  </w:num>
  <w:num w:numId="11">
    <w:abstractNumId w:val="17"/>
  </w:num>
  <w:num w:numId="12">
    <w:abstractNumId w:val="33"/>
  </w:num>
  <w:num w:numId="13">
    <w:abstractNumId w:val="16"/>
  </w:num>
  <w:num w:numId="14">
    <w:abstractNumId w:val="1"/>
  </w:num>
  <w:num w:numId="15">
    <w:abstractNumId w:val="6"/>
  </w:num>
  <w:num w:numId="16">
    <w:abstractNumId w:val="15"/>
  </w:num>
  <w:num w:numId="17">
    <w:abstractNumId w:val="24"/>
  </w:num>
  <w:num w:numId="18">
    <w:abstractNumId w:val="13"/>
  </w:num>
  <w:num w:numId="19">
    <w:abstractNumId w:val="18"/>
  </w:num>
  <w:num w:numId="20">
    <w:abstractNumId w:val="2"/>
  </w:num>
  <w:num w:numId="21">
    <w:abstractNumId w:val="11"/>
  </w:num>
  <w:num w:numId="22">
    <w:abstractNumId w:val="0"/>
  </w:num>
  <w:num w:numId="23">
    <w:abstractNumId w:val="22"/>
  </w:num>
  <w:num w:numId="24">
    <w:abstractNumId w:val="27"/>
  </w:num>
  <w:num w:numId="25">
    <w:abstractNumId w:val="35"/>
  </w:num>
  <w:num w:numId="26">
    <w:abstractNumId w:val="9"/>
  </w:num>
  <w:num w:numId="27">
    <w:abstractNumId w:val="37"/>
  </w:num>
  <w:num w:numId="28">
    <w:abstractNumId w:val="4"/>
  </w:num>
  <w:num w:numId="29">
    <w:abstractNumId w:val="8"/>
  </w:num>
  <w:num w:numId="30">
    <w:abstractNumId w:val="20"/>
  </w:num>
  <w:num w:numId="31">
    <w:abstractNumId w:val="39"/>
  </w:num>
  <w:num w:numId="32">
    <w:abstractNumId w:val="25"/>
  </w:num>
  <w:num w:numId="33">
    <w:abstractNumId w:val="5"/>
  </w:num>
  <w:num w:numId="34">
    <w:abstractNumId w:val="21"/>
  </w:num>
  <w:num w:numId="35">
    <w:abstractNumId w:val="10"/>
  </w:num>
  <w:num w:numId="36">
    <w:abstractNumId w:val="12"/>
  </w:num>
  <w:num w:numId="37">
    <w:abstractNumId w:val="32"/>
  </w:num>
  <w:num w:numId="38">
    <w:abstractNumId w:val="3"/>
  </w:num>
  <w:num w:numId="39">
    <w:abstractNumId w:val="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jNTk5YWI2MGYzOWU3NmRlMDUwN2YxNDJjMGUyZDgifQ=="/>
  </w:docVars>
  <w:rsids>
    <w:rsidRoot w:val="005976AD"/>
    <w:rsid w:val="00000531"/>
    <w:rsid w:val="000A5819"/>
    <w:rsid w:val="001B3636"/>
    <w:rsid w:val="001D12B3"/>
    <w:rsid w:val="0028450E"/>
    <w:rsid w:val="002B0B87"/>
    <w:rsid w:val="0040070B"/>
    <w:rsid w:val="005616D7"/>
    <w:rsid w:val="00567D1C"/>
    <w:rsid w:val="005976AD"/>
    <w:rsid w:val="005A1385"/>
    <w:rsid w:val="005B4718"/>
    <w:rsid w:val="006B39CF"/>
    <w:rsid w:val="007412EF"/>
    <w:rsid w:val="00761918"/>
    <w:rsid w:val="0077716D"/>
    <w:rsid w:val="00796586"/>
    <w:rsid w:val="007C4A61"/>
    <w:rsid w:val="00840F54"/>
    <w:rsid w:val="00892C99"/>
    <w:rsid w:val="00A60B22"/>
    <w:rsid w:val="00B11AD9"/>
    <w:rsid w:val="00BA5C05"/>
    <w:rsid w:val="00BB1456"/>
    <w:rsid w:val="00BD103C"/>
    <w:rsid w:val="00C93E5E"/>
    <w:rsid w:val="00CD671F"/>
    <w:rsid w:val="00CF18CA"/>
    <w:rsid w:val="00D320A3"/>
    <w:rsid w:val="00D47F3E"/>
    <w:rsid w:val="00D73F57"/>
    <w:rsid w:val="00E356D4"/>
    <w:rsid w:val="00F34718"/>
    <w:rsid w:val="00FF3B2C"/>
    <w:rsid w:val="01C76090"/>
    <w:rsid w:val="073B485E"/>
    <w:rsid w:val="07E65C42"/>
    <w:rsid w:val="080C55F1"/>
    <w:rsid w:val="0C6E29E1"/>
    <w:rsid w:val="0F7B5AFA"/>
    <w:rsid w:val="115018B9"/>
    <w:rsid w:val="13BC1470"/>
    <w:rsid w:val="15B43954"/>
    <w:rsid w:val="17B62D47"/>
    <w:rsid w:val="19422CD2"/>
    <w:rsid w:val="1AAB0B39"/>
    <w:rsid w:val="1D7C5736"/>
    <w:rsid w:val="20726449"/>
    <w:rsid w:val="250A64A0"/>
    <w:rsid w:val="25183606"/>
    <w:rsid w:val="256B3E80"/>
    <w:rsid w:val="257544D0"/>
    <w:rsid w:val="25AF6E12"/>
    <w:rsid w:val="2619436F"/>
    <w:rsid w:val="27C040B2"/>
    <w:rsid w:val="2ADD1598"/>
    <w:rsid w:val="2E2E5EAE"/>
    <w:rsid w:val="2EE01A94"/>
    <w:rsid w:val="31925AB1"/>
    <w:rsid w:val="323709F3"/>
    <w:rsid w:val="34341312"/>
    <w:rsid w:val="394D3DBA"/>
    <w:rsid w:val="3A4C20B7"/>
    <w:rsid w:val="3AED5CB9"/>
    <w:rsid w:val="3B11161C"/>
    <w:rsid w:val="3D9C3305"/>
    <w:rsid w:val="3E1813C1"/>
    <w:rsid w:val="4087033F"/>
    <w:rsid w:val="40A9533C"/>
    <w:rsid w:val="40D27DFE"/>
    <w:rsid w:val="449E24FB"/>
    <w:rsid w:val="4569077A"/>
    <w:rsid w:val="47123199"/>
    <w:rsid w:val="4C4874E2"/>
    <w:rsid w:val="4E30647F"/>
    <w:rsid w:val="4FB60099"/>
    <w:rsid w:val="516E5CAA"/>
    <w:rsid w:val="59BD6DE0"/>
    <w:rsid w:val="5D0F4D40"/>
    <w:rsid w:val="5F05442A"/>
    <w:rsid w:val="5F37143F"/>
    <w:rsid w:val="6037015C"/>
    <w:rsid w:val="609A4FB7"/>
    <w:rsid w:val="654E01EF"/>
    <w:rsid w:val="66144783"/>
    <w:rsid w:val="6F76771E"/>
    <w:rsid w:val="7516209C"/>
    <w:rsid w:val="755849A1"/>
    <w:rsid w:val="7B7E73D8"/>
    <w:rsid w:val="DE3E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45"/>
    <w:qFormat/>
    <w:uiPriority w:val="0"/>
    <w:pPr>
      <w:keepNext/>
      <w:spacing w:line="216" w:lineRule="auto"/>
      <w:jc w:val="center"/>
      <w:outlineLvl w:val="0"/>
    </w:pPr>
    <w:rPr>
      <w:b/>
      <w:sz w:val="30"/>
      <w:szCs w:val="20"/>
    </w:rPr>
  </w:style>
  <w:style w:type="paragraph" w:styleId="3">
    <w:name w:val="heading 2"/>
    <w:basedOn w:val="1"/>
    <w:next w:val="4"/>
    <w:link w:val="46"/>
    <w:qFormat/>
    <w:uiPriority w:val="0"/>
    <w:pPr>
      <w:keepNext/>
      <w:spacing w:line="216" w:lineRule="auto"/>
      <w:outlineLvl w:val="1"/>
    </w:pPr>
    <w:rPr>
      <w:b/>
      <w:sz w:val="28"/>
      <w:szCs w:val="20"/>
    </w:rPr>
  </w:style>
  <w:style w:type="paragraph" w:styleId="5">
    <w:name w:val="heading 3"/>
    <w:basedOn w:val="1"/>
    <w:next w:val="1"/>
    <w:link w:val="47"/>
    <w:qFormat/>
    <w:uiPriority w:val="0"/>
    <w:pPr>
      <w:keepNext/>
      <w:numPr>
        <w:ilvl w:val="0"/>
        <w:numId w:val="1"/>
      </w:numPr>
      <w:spacing w:line="216" w:lineRule="auto"/>
      <w:outlineLvl w:val="2"/>
    </w:pPr>
    <w:rPr>
      <w:b/>
      <w:bCs/>
      <w:sz w:val="28"/>
      <w:szCs w:val="20"/>
    </w:rPr>
  </w:style>
  <w:style w:type="paragraph" w:styleId="6">
    <w:name w:val="heading 4"/>
    <w:basedOn w:val="1"/>
    <w:next w:val="1"/>
    <w:link w:val="48"/>
    <w:qFormat/>
    <w:uiPriority w:val="0"/>
    <w:pPr>
      <w:keepNext/>
      <w:numPr>
        <w:ilvl w:val="0"/>
        <w:numId w:val="2"/>
      </w:numPr>
      <w:spacing w:line="216" w:lineRule="auto"/>
      <w:outlineLvl w:val="3"/>
    </w:pPr>
    <w:rPr>
      <w:rFonts w:ascii="黑体" w:eastAsia="黑体"/>
      <w:b/>
      <w:szCs w:val="20"/>
    </w:rPr>
  </w:style>
  <w:style w:type="paragraph" w:styleId="7">
    <w:name w:val="heading 5"/>
    <w:next w:val="1"/>
    <w:link w:val="49"/>
    <w:qFormat/>
    <w:uiPriority w:val="0"/>
    <w:pPr>
      <w:keepNext/>
      <w:widowControl w:val="0"/>
      <w:spacing w:before="60" w:after="60" w:line="360" w:lineRule="auto"/>
      <w:ind w:left="1008" w:hanging="1008"/>
      <w:outlineLvl w:val="4"/>
    </w:pPr>
    <w:rPr>
      <w:rFonts w:ascii="宋体" w:hAnsi="等线" w:eastAsia="宋体" w:cs="Times New Roman"/>
      <w:b/>
      <w:bCs/>
      <w:kern w:val="2"/>
      <w:sz w:val="24"/>
      <w:szCs w:val="28"/>
      <w:lang w:val="en-US" w:eastAsia="zh-CN" w:bidi="ar-SA"/>
    </w:rPr>
  </w:style>
  <w:style w:type="paragraph" w:styleId="8">
    <w:name w:val="heading 6"/>
    <w:basedOn w:val="1"/>
    <w:next w:val="1"/>
    <w:link w:val="50"/>
    <w:qFormat/>
    <w:uiPriority w:val="0"/>
    <w:pPr>
      <w:keepNext/>
      <w:keepLines/>
      <w:spacing w:before="240" w:after="64" w:line="317" w:lineRule="auto"/>
      <w:outlineLvl w:val="5"/>
    </w:pPr>
    <w:rPr>
      <w:rFonts w:ascii="Cambria" w:hAnsi="Cambria"/>
      <w:b/>
      <w:bCs/>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00"/>
    <w:qFormat/>
    <w:uiPriority w:val="0"/>
    <w:pPr>
      <w:ind w:firstLine="420"/>
    </w:pPr>
    <w:rPr>
      <w:szCs w:val="20"/>
    </w:rPr>
  </w:style>
  <w:style w:type="paragraph" w:styleId="9">
    <w:name w:val="toc 7"/>
    <w:basedOn w:val="1"/>
    <w:next w:val="1"/>
    <w:qFormat/>
    <w:uiPriority w:val="0"/>
    <w:pPr>
      <w:ind w:left="2520" w:leftChars="1200"/>
    </w:pPr>
  </w:style>
  <w:style w:type="paragraph" w:styleId="10">
    <w:name w:val="annotation text"/>
    <w:basedOn w:val="1"/>
    <w:link w:val="51"/>
    <w:qFormat/>
    <w:uiPriority w:val="99"/>
    <w:pPr>
      <w:adjustRightInd w:val="0"/>
    </w:pPr>
  </w:style>
  <w:style w:type="paragraph" w:styleId="11">
    <w:name w:val="Body Text"/>
    <w:basedOn w:val="1"/>
    <w:next w:val="1"/>
    <w:link w:val="52"/>
    <w:qFormat/>
    <w:uiPriority w:val="0"/>
    <w:pPr>
      <w:autoSpaceDE w:val="0"/>
      <w:autoSpaceDN w:val="0"/>
      <w:adjustRightInd w:val="0"/>
      <w:spacing w:line="360" w:lineRule="auto"/>
    </w:pPr>
    <w:rPr>
      <w:rFonts w:hAnsi="Arial" w:cs="Arial"/>
      <w:snapToGrid w:val="0"/>
      <w:szCs w:val="21"/>
      <w:lang w:val="zh-CN"/>
    </w:rPr>
  </w:style>
  <w:style w:type="paragraph" w:styleId="12">
    <w:name w:val="Body Text Indent"/>
    <w:basedOn w:val="1"/>
    <w:next w:val="13"/>
    <w:link w:val="53"/>
    <w:qFormat/>
    <w:uiPriority w:val="0"/>
    <w:pPr>
      <w:spacing w:after="120"/>
      <w:ind w:left="420" w:leftChars="200"/>
    </w:pPr>
  </w:style>
  <w:style w:type="paragraph" w:styleId="13">
    <w:name w:val="Body Text First Indent 2"/>
    <w:basedOn w:val="12"/>
    <w:link w:val="65"/>
    <w:qFormat/>
    <w:uiPriority w:val="0"/>
    <w:pPr>
      <w:ind w:firstLine="420" w:firstLineChars="200"/>
    </w:p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next w:val="17"/>
    <w:link w:val="54"/>
    <w:qFormat/>
    <w:uiPriority w:val="0"/>
    <w:rPr>
      <w:rFonts w:hAnsi="Courier New" w:cs="Courier New"/>
      <w:szCs w:val="21"/>
    </w:rPr>
  </w:style>
  <w:style w:type="paragraph" w:styleId="17">
    <w:name w:val="Date"/>
    <w:basedOn w:val="1"/>
    <w:next w:val="1"/>
    <w:link w:val="55"/>
    <w:qFormat/>
    <w:uiPriority w:val="0"/>
    <w:pPr>
      <w:ind w:left="100" w:leftChars="2500"/>
    </w:pPr>
    <w:rPr>
      <w:color w:val="000000"/>
    </w:rPr>
  </w:style>
  <w:style w:type="paragraph" w:styleId="18">
    <w:name w:val="toc 8"/>
    <w:basedOn w:val="1"/>
    <w:next w:val="1"/>
    <w:qFormat/>
    <w:uiPriority w:val="0"/>
    <w:pPr>
      <w:ind w:left="2940" w:leftChars="1400"/>
    </w:pPr>
  </w:style>
  <w:style w:type="paragraph" w:styleId="19">
    <w:name w:val="Body Text Indent 2"/>
    <w:basedOn w:val="1"/>
    <w:link w:val="56"/>
    <w:qFormat/>
    <w:uiPriority w:val="0"/>
    <w:pPr>
      <w:spacing w:after="120" w:line="480" w:lineRule="auto"/>
      <w:ind w:left="420" w:leftChars="200"/>
    </w:pPr>
  </w:style>
  <w:style w:type="paragraph" w:styleId="20">
    <w:name w:val="Balloon Text"/>
    <w:basedOn w:val="1"/>
    <w:link w:val="57"/>
    <w:qFormat/>
    <w:uiPriority w:val="99"/>
    <w:rPr>
      <w:sz w:val="18"/>
      <w:szCs w:val="18"/>
    </w:rPr>
  </w:style>
  <w:style w:type="paragraph" w:styleId="21">
    <w:name w:val="footer"/>
    <w:basedOn w:val="1"/>
    <w:link w:val="58"/>
    <w:qFormat/>
    <w:uiPriority w:val="99"/>
    <w:pPr>
      <w:tabs>
        <w:tab w:val="center" w:pos="4153"/>
        <w:tab w:val="right" w:pos="8306"/>
      </w:tabs>
      <w:snapToGrid w:val="0"/>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9"/>
    <w:qFormat/>
    <w:uiPriority w:val="99"/>
    <w:pPr>
      <w:pBdr>
        <w:bottom w:val="single" w:color="auto" w:sz="6" w:space="1"/>
      </w:pBdr>
      <w:tabs>
        <w:tab w:val="center" w:pos="4153"/>
        <w:tab w:val="right" w:pos="8306"/>
      </w:tabs>
      <w:adjustRightInd w:val="0"/>
      <w:snapToGrid w:val="0"/>
      <w:spacing w:line="240" w:lineRule="atLeast"/>
      <w:jc w:val="center"/>
      <w:textAlignment w:val="baseline"/>
    </w:pPr>
    <w:rPr>
      <w:sz w:val="18"/>
      <w:szCs w:val="20"/>
    </w:rPr>
  </w:style>
  <w:style w:type="paragraph" w:styleId="24">
    <w:name w:val="toc 1"/>
    <w:basedOn w:val="1"/>
    <w:next w:val="1"/>
    <w:qFormat/>
    <w:uiPriority w:val="39"/>
  </w:style>
  <w:style w:type="paragraph" w:styleId="25">
    <w:name w:val="toc 4"/>
    <w:basedOn w:val="1"/>
    <w:next w:val="1"/>
    <w:qFormat/>
    <w:uiPriority w:val="0"/>
    <w:pPr>
      <w:ind w:left="1260" w:leftChars="600"/>
    </w:pPr>
  </w:style>
  <w:style w:type="paragraph" w:styleId="26">
    <w:name w:val="Subtitle"/>
    <w:basedOn w:val="1"/>
    <w:next w:val="1"/>
    <w:link w:val="60"/>
    <w:qFormat/>
    <w:uiPriority w:val="0"/>
    <w:pPr>
      <w:spacing w:line="360" w:lineRule="auto"/>
      <w:outlineLvl w:val="2"/>
    </w:pPr>
    <w:rPr>
      <w:rFonts w:ascii="Cambria" w:hAnsi="Cambria"/>
      <w:b/>
      <w:bCs/>
      <w:kern w:val="28"/>
      <w:sz w:val="30"/>
      <w:szCs w:val="32"/>
    </w:rPr>
  </w:style>
  <w:style w:type="paragraph" w:styleId="27">
    <w:name w:val="toc 6"/>
    <w:basedOn w:val="1"/>
    <w:next w:val="1"/>
    <w:qFormat/>
    <w:uiPriority w:val="0"/>
    <w:pPr>
      <w:ind w:left="2100" w:leftChars="1000"/>
    </w:pPr>
  </w:style>
  <w:style w:type="paragraph" w:styleId="28">
    <w:name w:val="Body Text Indent 3"/>
    <w:basedOn w:val="1"/>
    <w:link w:val="61"/>
    <w:qFormat/>
    <w:uiPriority w:val="0"/>
    <w:pPr>
      <w:spacing w:after="120"/>
      <w:ind w:left="420" w:leftChars="200"/>
    </w:pPr>
    <w:rPr>
      <w:sz w:val="16"/>
      <w:szCs w:val="16"/>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Normal (Web)"/>
    <w:basedOn w:val="1"/>
    <w:qFormat/>
    <w:uiPriority w:val="99"/>
    <w:pPr>
      <w:spacing w:before="100" w:beforeAutospacing="1" w:after="100" w:afterAutospacing="1"/>
    </w:pPr>
  </w:style>
  <w:style w:type="paragraph" w:styleId="32">
    <w:name w:val="Title"/>
    <w:basedOn w:val="1"/>
    <w:next w:val="1"/>
    <w:link w:val="62"/>
    <w:qFormat/>
    <w:uiPriority w:val="0"/>
    <w:pPr>
      <w:overflowPunct w:val="0"/>
      <w:autoSpaceDE w:val="0"/>
      <w:autoSpaceDN w:val="0"/>
      <w:adjustRightInd w:val="0"/>
      <w:jc w:val="center"/>
      <w:textAlignment w:val="baseline"/>
    </w:pPr>
    <w:rPr>
      <w:b/>
      <w:szCs w:val="20"/>
      <w:lang w:val="en-GB"/>
    </w:rPr>
  </w:style>
  <w:style w:type="paragraph" w:styleId="33">
    <w:name w:val="annotation subject"/>
    <w:basedOn w:val="10"/>
    <w:next w:val="10"/>
    <w:link w:val="63"/>
    <w:qFormat/>
    <w:uiPriority w:val="0"/>
    <w:pPr>
      <w:adjustRightInd/>
    </w:pPr>
    <w:rPr>
      <w:b/>
      <w:bCs/>
    </w:rPr>
  </w:style>
  <w:style w:type="paragraph" w:styleId="34">
    <w:name w:val="Body Text First Indent"/>
    <w:basedOn w:val="11"/>
    <w:next w:val="27"/>
    <w:link w:val="64"/>
    <w:qFormat/>
    <w:uiPriority w:val="99"/>
    <w:pPr>
      <w:ind w:firstLine="420" w:firstLineChars="100"/>
    </w:p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style>
  <w:style w:type="character" w:styleId="39">
    <w:name w:val="FollowedHyperlink"/>
    <w:qFormat/>
    <w:uiPriority w:val="99"/>
    <w:rPr>
      <w:color w:val="800080"/>
      <w:u w:val="single"/>
    </w:rPr>
  </w:style>
  <w:style w:type="character" w:styleId="40">
    <w:name w:val="Emphasis"/>
    <w:qFormat/>
    <w:uiPriority w:val="0"/>
    <w:rPr>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paragraph" w:customStyle="1" w:styleId="43">
    <w:name w:val="!正文"/>
    <w:next w:val="1"/>
    <w:qFormat/>
    <w:uiPriority w:val="0"/>
    <w:pPr>
      <w:spacing w:line="36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4">
    <w:name w:val="正文文本 21"/>
    <w:basedOn w:val="1"/>
    <w:next w:val="11"/>
    <w:qFormat/>
    <w:uiPriority w:val="0"/>
    <w:pPr>
      <w:spacing w:line="480" w:lineRule="auto"/>
    </w:pPr>
  </w:style>
  <w:style w:type="character" w:customStyle="1" w:styleId="45">
    <w:name w:val="标题 1 字符"/>
    <w:basedOn w:val="37"/>
    <w:link w:val="2"/>
    <w:qFormat/>
    <w:uiPriority w:val="0"/>
    <w:rPr>
      <w:rFonts w:ascii="宋体" w:hAnsi="宋体" w:eastAsia="宋体" w:cs="宋体"/>
      <w:b/>
      <w:kern w:val="0"/>
      <w:sz w:val="30"/>
      <w:szCs w:val="20"/>
    </w:rPr>
  </w:style>
  <w:style w:type="character" w:customStyle="1" w:styleId="46">
    <w:name w:val="标题 2 字符"/>
    <w:basedOn w:val="37"/>
    <w:link w:val="3"/>
    <w:qFormat/>
    <w:uiPriority w:val="0"/>
    <w:rPr>
      <w:rFonts w:ascii="宋体" w:hAnsi="宋体" w:eastAsia="宋体" w:cs="宋体"/>
      <w:b/>
      <w:kern w:val="0"/>
      <w:sz w:val="28"/>
      <w:szCs w:val="20"/>
    </w:rPr>
  </w:style>
  <w:style w:type="character" w:customStyle="1" w:styleId="47">
    <w:name w:val="标题 3 字符"/>
    <w:basedOn w:val="37"/>
    <w:link w:val="5"/>
    <w:qFormat/>
    <w:uiPriority w:val="0"/>
    <w:rPr>
      <w:rFonts w:ascii="宋体" w:hAnsi="宋体" w:eastAsia="宋体" w:cs="宋体"/>
      <w:b/>
      <w:bCs/>
      <w:kern w:val="0"/>
      <w:sz w:val="28"/>
      <w:szCs w:val="20"/>
    </w:rPr>
  </w:style>
  <w:style w:type="character" w:customStyle="1" w:styleId="48">
    <w:name w:val="标题 4 字符"/>
    <w:basedOn w:val="37"/>
    <w:link w:val="6"/>
    <w:qFormat/>
    <w:uiPriority w:val="0"/>
    <w:rPr>
      <w:rFonts w:ascii="黑体" w:hAnsi="宋体" w:eastAsia="黑体" w:cs="宋体"/>
      <w:b/>
      <w:kern w:val="0"/>
      <w:sz w:val="24"/>
      <w:szCs w:val="20"/>
    </w:rPr>
  </w:style>
  <w:style w:type="character" w:customStyle="1" w:styleId="49">
    <w:name w:val="标题 5 字符"/>
    <w:basedOn w:val="37"/>
    <w:link w:val="7"/>
    <w:qFormat/>
    <w:uiPriority w:val="0"/>
    <w:rPr>
      <w:rFonts w:ascii="宋体" w:hAnsi="等线" w:eastAsia="宋体" w:cs="Times New Roman"/>
      <w:b/>
      <w:bCs/>
      <w:sz w:val="24"/>
      <w:szCs w:val="28"/>
    </w:rPr>
  </w:style>
  <w:style w:type="character" w:customStyle="1" w:styleId="50">
    <w:name w:val="标题 6 字符"/>
    <w:basedOn w:val="37"/>
    <w:link w:val="8"/>
    <w:qFormat/>
    <w:uiPriority w:val="0"/>
    <w:rPr>
      <w:rFonts w:ascii="Cambria" w:hAnsi="Cambria" w:eastAsia="宋体" w:cs="宋体"/>
      <w:b/>
      <w:bCs/>
      <w:kern w:val="0"/>
      <w:sz w:val="24"/>
    </w:rPr>
  </w:style>
  <w:style w:type="character" w:customStyle="1" w:styleId="51">
    <w:name w:val="批注文字 字符"/>
    <w:basedOn w:val="37"/>
    <w:link w:val="10"/>
    <w:qFormat/>
    <w:uiPriority w:val="99"/>
    <w:rPr>
      <w:rFonts w:ascii="宋体" w:hAnsi="宋体" w:eastAsia="宋体" w:cs="宋体"/>
      <w:kern w:val="0"/>
      <w:sz w:val="24"/>
    </w:rPr>
  </w:style>
  <w:style w:type="character" w:customStyle="1" w:styleId="52">
    <w:name w:val="正文文本 字符"/>
    <w:basedOn w:val="37"/>
    <w:link w:val="11"/>
    <w:qFormat/>
    <w:uiPriority w:val="0"/>
    <w:rPr>
      <w:rFonts w:ascii="宋体" w:hAnsi="Arial" w:eastAsia="宋体" w:cs="Arial"/>
      <w:snapToGrid w:val="0"/>
      <w:kern w:val="0"/>
      <w:sz w:val="24"/>
      <w:szCs w:val="21"/>
      <w:lang w:val="zh-CN"/>
    </w:rPr>
  </w:style>
  <w:style w:type="character" w:customStyle="1" w:styleId="53">
    <w:name w:val="正文文本缩进 字符"/>
    <w:basedOn w:val="37"/>
    <w:link w:val="12"/>
    <w:qFormat/>
    <w:uiPriority w:val="0"/>
    <w:rPr>
      <w:rFonts w:ascii="宋体" w:hAnsi="宋体" w:eastAsia="宋体" w:cs="宋体"/>
      <w:kern w:val="0"/>
      <w:sz w:val="24"/>
    </w:rPr>
  </w:style>
  <w:style w:type="character" w:customStyle="1" w:styleId="54">
    <w:name w:val="纯文本 字符"/>
    <w:basedOn w:val="37"/>
    <w:link w:val="16"/>
    <w:qFormat/>
    <w:uiPriority w:val="0"/>
    <w:rPr>
      <w:rFonts w:ascii="宋体" w:hAnsi="Courier New" w:eastAsia="宋体" w:cs="Courier New"/>
      <w:kern w:val="0"/>
      <w:sz w:val="24"/>
      <w:szCs w:val="21"/>
    </w:rPr>
  </w:style>
  <w:style w:type="character" w:customStyle="1" w:styleId="55">
    <w:name w:val="日期 字符"/>
    <w:basedOn w:val="37"/>
    <w:link w:val="17"/>
    <w:qFormat/>
    <w:uiPriority w:val="0"/>
    <w:rPr>
      <w:rFonts w:ascii="宋体" w:hAnsi="宋体" w:eastAsia="宋体" w:cs="宋体"/>
      <w:color w:val="000000"/>
      <w:kern w:val="0"/>
      <w:sz w:val="24"/>
    </w:rPr>
  </w:style>
  <w:style w:type="character" w:customStyle="1" w:styleId="56">
    <w:name w:val="正文文本缩进 2 字符"/>
    <w:basedOn w:val="37"/>
    <w:link w:val="19"/>
    <w:qFormat/>
    <w:uiPriority w:val="0"/>
    <w:rPr>
      <w:rFonts w:ascii="宋体" w:hAnsi="宋体" w:eastAsia="宋体" w:cs="宋体"/>
      <w:kern w:val="0"/>
      <w:sz w:val="24"/>
    </w:rPr>
  </w:style>
  <w:style w:type="character" w:customStyle="1" w:styleId="57">
    <w:name w:val="批注框文本 字符1"/>
    <w:link w:val="20"/>
    <w:qFormat/>
    <w:uiPriority w:val="99"/>
    <w:rPr>
      <w:rFonts w:ascii="宋体" w:hAnsi="宋体" w:eastAsia="宋体" w:cs="宋体"/>
      <w:kern w:val="0"/>
      <w:sz w:val="18"/>
      <w:szCs w:val="18"/>
    </w:rPr>
  </w:style>
  <w:style w:type="character" w:customStyle="1" w:styleId="58">
    <w:name w:val="页脚 字符"/>
    <w:basedOn w:val="37"/>
    <w:link w:val="21"/>
    <w:qFormat/>
    <w:uiPriority w:val="99"/>
    <w:rPr>
      <w:rFonts w:ascii="宋体" w:hAnsi="宋体" w:eastAsia="宋体" w:cs="宋体"/>
      <w:kern w:val="0"/>
      <w:sz w:val="18"/>
      <w:szCs w:val="18"/>
    </w:rPr>
  </w:style>
  <w:style w:type="character" w:customStyle="1" w:styleId="59">
    <w:name w:val="页眉 字符"/>
    <w:basedOn w:val="37"/>
    <w:link w:val="23"/>
    <w:qFormat/>
    <w:uiPriority w:val="99"/>
    <w:rPr>
      <w:rFonts w:ascii="宋体" w:hAnsi="宋体" w:eastAsia="宋体" w:cs="宋体"/>
      <w:kern w:val="0"/>
      <w:sz w:val="18"/>
      <w:szCs w:val="20"/>
    </w:rPr>
  </w:style>
  <w:style w:type="character" w:customStyle="1" w:styleId="60">
    <w:name w:val="副标题 字符"/>
    <w:basedOn w:val="37"/>
    <w:link w:val="26"/>
    <w:qFormat/>
    <w:uiPriority w:val="0"/>
    <w:rPr>
      <w:rFonts w:ascii="Cambria" w:hAnsi="Cambria" w:eastAsia="宋体" w:cs="宋体"/>
      <w:b/>
      <w:bCs/>
      <w:kern w:val="28"/>
      <w:sz w:val="30"/>
      <w:szCs w:val="32"/>
    </w:rPr>
  </w:style>
  <w:style w:type="character" w:customStyle="1" w:styleId="61">
    <w:name w:val="正文文本缩进 3 字符"/>
    <w:basedOn w:val="37"/>
    <w:link w:val="28"/>
    <w:qFormat/>
    <w:uiPriority w:val="0"/>
    <w:rPr>
      <w:rFonts w:ascii="宋体" w:hAnsi="宋体" w:eastAsia="宋体" w:cs="宋体"/>
      <w:kern w:val="0"/>
      <w:sz w:val="16"/>
      <w:szCs w:val="16"/>
    </w:rPr>
  </w:style>
  <w:style w:type="character" w:customStyle="1" w:styleId="62">
    <w:name w:val="标题 字符"/>
    <w:basedOn w:val="37"/>
    <w:link w:val="32"/>
    <w:qFormat/>
    <w:uiPriority w:val="0"/>
    <w:rPr>
      <w:rFonts w:ascii="宋体" w:hAnsi="宋体" w:eastAsia="宋体" w:cs="宋体"/>
      <w:b/>
      <w:kern w:val="0"/>
      <w:sz w:val="24"/>
      <w:szCs w:val="20"/>
      <w:lang w:val="en-GB"/>
    </w:rPr>
  </w:style>
  <w:style w:type="character" w:customStyle="1" w:styleId="63">
    <w:name w:val="批注主题 字符"/>
    <w:basedOn w:val="51"/>
    <w:link w:val="33"/>
    <w:qFormat/>
    <w:uiPriority w:val="0"/>
    <w:rPr>
      <w:rFonts w:ascii="宋体" w:hAnsi="宋体" w:eastAsia="宋体" w:cs="宋体"/>
      <w:b/>
      <w:bCs/>
      <w:kern w:val="0"/>
      <w:sz w:val="24"/>
    </w:rPr>
  </w:style>
  <w:style w:type="character" w:customStyle="1" w:styleId="64">
    <w:name w:val="正文文本首行缩进 字符"/>
    <w:basedOn w:val="52"/>
    <w:link w:val="34"/>
    <w:qFormat/>
    <w:uiPriority w:val="99"/>
    <w:rPr>
      <w:rFonts w:ascii="宋体" w:hAnsi="Arial" w:eastAsia="宋体" w:cs="Arial"/>
      <w:snapToGrid w:val="0"/>
      <w:kern w:val="0"/>
      <w:sz w:val="24"/>
      <w:szCs w:val="21"/>
      <w:lang w:val="zh-CN"/>
    </w:rPr>
  </w:style>
  <w:style w:type="character" w:customStyle="1" w:styleId="65">
    <w:name w:val="正文文本首行缩进 2 字符"/>
    <w:basedOn w:val="53"/>
    <w:link w:val="13"/>
    <w:qFormat/>
    <w:uiPriority w:val="0"/>
    <w:rPr>
      <w:rFonts w:ascii="宋体" w:hAnsi="宋体" w:eastAsia="宋体" w:cs="宋体"/>
      <w:kern w:val="0"/>
      <w:sz w:val="24"/>
    </w:rPr>
  </w:style>
  <w:style w:type="character" w:customStyle="1" w:styleId="66">
    <w:name w:val="批注框文本 字符"/>
    <w:basedOn w:val="37"/>
    <w:qFormat/>
    <w:uiPriority w:val="99"/>
    <w:rPr>
      <w:rFonts w:ascii="宋体" w:hAnsi="宋体" w:eastAsia="宋体" w:cs="宋体"/>
      <w:kern w:val="0"/>
      <w:sz w:val="18"/>
      <w:szCs w:val="18"/>
    </w:rPr>
  </w:style>
  <w:style w:type="character" w:customStyle="1" w:styleId="67">
    <w:name w:val="普通文字 Char Char Char1"/>
    <w:qFormat/>
    <w:uiPriority w:val="0"/>
    <w:rPr>
      <w:rFonts w:ascii="宋体" w:hAnsi="Courier New" w:eastAsia="宋体"/>
      <w:kern w:val="2"/>
      <w:sz w:val="21"/>
      <w:lang w:val="en-US" w:eastAsia="zh-CN" w:bidi="ar-SA"/>
    </w:rPr>
  </w:style>
  <w:style w:type="character" w:customStyle="1" w:styleId="68">
    <w:name w:val="正文2 Char Char"/>
    <w:link w:val="69"/>
    <w:qFormat/>
    <w:uiPriority w:val="0"/>
    <w:rPr>
      <w:rFonts w:eastAsia="宋体"/>
      <w:sz w:val="24"/>
    </w:rPr>
  </w:style>
  <w:style w:type="paragraph" w:customStyle="1" w:styleId="69">
    <w:name w:val="正文2"/>
    <w:basedOn w:val="70"/>
    <w:link w:val="68"/>
    <w:qFormat/>
    <w:uiPriority w:val="0"/>
    <w:pPr>
      <w:adjustRightInd w:val="0"/>
      <w:spacing w:before="156" w:line="360" w:lineRule="auto"/>
      <w:ind w:firstLine="510" w:firstLineChars="200"/>
    </w:pPr>
    <w:rPr>
      <w:rFonts w:ascii="等线" w:hAnsi="等线"/>
      <w:kern w:val="2"/>
    </w:rPr>
  </w:style>
  <w:style w:type="paragraph" w:customStyle="1" w:styleId="70">
    <w:name w:val="正文1"/>
    <w:basedOn w:val="1"/>
    <w:qFormat/>
    <w:uiPriority w:val="0"/>
    <w:rPr>
      <w:szCs w:val="21"/>
    </w:rPr>
  </w:style>
  <w:style w:type="paragraph" w:customStyle="1" w:styleId="71">
    <w:name w:val="正文111"/>
    <w:basedOn w:val="1"/>
    <w:qFormat/>
    <w:uiPriority w:val="0"/>
    <w:rPr>
      <w:szCs w:val="21"/>
    </w:rPr>
  </w:style>
  <w:style w:type="character" w:customStyle="1" w:styleId="72">
    <w:name w:val="Char Char26"/>
    <w:qFormat/>
    <w:uiPriority w:val="0"/>
    <w:rPr>
      <w:rFonts w:ascii="宋体" w:hAnsi="Courier New" w:eastAsia="宋体" w:cs="Arial"/>
      <w:snapToGrid w:val="0"/>
      <w:kern w:val="2"/>
      <w:sz w:val="21"/>
      <w:szCs w:val="21"/>
      <w:lang w:val="en-US" w:eastAsia="zh-CN" w:bidi="ar-SA"/>
    </w:rPr>
  </w:style>
  <w:style w:type="paragraph" w:customStyle="1" w:styleId="73">
    <w:name w:val="正文11"/>
    <w:basedOn w:val="1"/>
    <w:qFormat/>
    <w:uiPriority w:val="0"/>
    <w:rPr>
      <w:szCs w:val="21"/>
    </w:rPr>
  </w:style>
  <w:style w:type="paragraph" w:customStyle="1" w:styleId="74">
    <w:name w:val="Char Char Char Char1"/>
    <w:basedOn w:val="1"/>
    <w:qFormat/>
    <w:uiPriority w:val="0"/>
    <w:rPr>
      <w:rFonts w:ascii="Tahoma" w:hAnsi="Tahoma"/>
      <w:szCs w:val="20"/>
    </w:rPr>
  </w:style>
  <w:style w:type="paragraph" w:styleId="75">
    <w:name w:val="List Paragraph"/>
    <w:basedOn w:val="1"/>
    <w:qFormat/>
    <w:uiPriority w:val="34"/>
    <w:pPr>
      <w:spacing w:before="100" w:beforeAutospacing="1" w:after="100" w:afterAutospacing="1"/>
    </w:pPr>
    <w:rPr>
      <w:rFonts w:ascii="黑体" w:hAnsi="黑体" w:eastAsia="黑体"/>
      <w:color w:val="000000"/>
    </w:rPr>
  </w:style>
  <w:style w:type="character" w:customStyle="1" w:styleId="76">
    <w:name w:val="NormalCharacter"/>
    <w:qFormat/>
    <w:uiPriority w:val="0"/>
  </w:style>
  <w:style w:type="paragraph" w:customStyle="1" w:styleId="77">
    <w:name w:val="_Style 1"/>
    <w:qFormat/>
    <w:uiPriority w:val="0"/>
    <w:rPr>
      <w:rFonts w:ascii="Calibri" w:hAnsi="Calibri" w:eastAsia="宋体" w:cs="Times New Roman"/>
      <w:kern w:val="2"/>
      <w:sz w:val="28"/>
      <w:szCs w:val="22"/>
      <w:lang w:val="en-US" w:eastAsia="zh-CN" w:bidi="ar-SA"/>
    </w:rPr>
  </w:style>
  <w:style w:type="paragraph" w:customStyle="1" w:styleId="78">
    <w:name w:val="Example TEXT"/>
    <w:basedOn w:val="75"/>
    <w:link w:val="79"/>
    <w:qFormat/>
    <w:uiPriority w:val="0"/>
    <w:pPr>
      <w:spacing w:line="360" w:lineRule="auto"/>
      <w:contextualSpacing/>
      <w:jc w:val="center"/>
    </w:pPr>
    <w:rPr>
      <w:rFonts w:ascii="宋体" w:hAnsi="宋体"/>
      <w:szCs w:val="21"/>
    </w:rPr>
  </w:style>
  <w:style w:type="character" w:customStyle="1" w:styleId="79">
    <w:name w:val="Example TEXT Char"/>
    <w:link w:val="78"/>
    <w:qFormat/>
    <w:uiPriority w:val="0"/>
    <w:rPr>
      <w:rFonts w:ascii="宋体" w:hAnsi="宋体" w:eastAsia="黑体" w:cs="宋体"/>
      <w:color w:val="000000"/>
      <w:kern w:val="0"/>
      <w:sz w:val="24"/>
      <w:szCs w:val="21"/>
    </w:rPr>
  </w:style>
  <w:style w:type="paragraph" w:customStyle="1" w:styleId="80">
    <w:name w:val="A 专用1"/>
    <w:basedOn w:val="5"/>
    <w:qFormat/>
    <w:uiPriority w:val="0"/>
    <w:pPr>
      <w:spacing w:before="60" w:after="60" w:line="360" w:lineRule="auto"/>
    </w:pPr>
  </w:style>
  <w:style w:type="paragraph" w:customStyle="1" w:styleId="81">
    <w:name w:val="样式 正文（首行缩进两字） + 宋体"/>
    <w:basedOn w:val="82"/>
    <w:qFormat/>
    <w:uiPriority w:val="0"/>
    <w:pPr>
      <w:spacing w:line="460" w:lineRule="exact"/>
      <w:ind w:firstLine="200"/>
    </w:pPr>
    <w:rPr>
      <w:rFonts w:ascii="宋体" w:hAnsi="宋体" w:cs="宋体"/>
      <w:spacing w:val="6"/>
      <w:kern w:val="24"/>
      <w:sz w:val="24"/>
      <w:szCs w:val="24"/>
    </w:rPr>
  </w:style>
  <w:style w:type="paragraph" w:customStyle="1" w:styleId="82">
    <w:name w:val="正文缩进_0"/>
    <w:basedOn w:val="83"/>
    <w:qFormat/>
    <w:uiPriority w:val="0"/>
    <w:pPr>
      <w:ind w:firstLine="420" w:firstLineChars="200"/>
    </w:pPr>
    <w:rPr>
      <w:kern w:val="0"/>
      <w:sz w:val="20"/>
      <w:szCs w:val="20"/>
    </w:rPr>
  </w:style>
  <w:style w:type="paragraph" w:customStyle="1" w:styleId="83">
    <w:name w:val="正文_0"/>
    <w:basedOn w:val="84"/>
    <w:qFormat/>
    <w:uiPriority w:val="0"/>
  </w:style>
  <w:style w:type="paragraph" w:customStyle="1" w:styleId="8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1"/>
    <w:basedOn w:val="1"/>
    <w:next w:val="1"/>
    <w:qFormat/>
    <w:uiPriority w:val="0"/>
    <w:rPr>
      <w:rFonts w:ascii="Calibri" w:hAnsi="Calibri"/>
    </w:rPr>
  </w:style>
  <w:style w:type="character" w:customStyle="1" w:styleId="87">
    <w:name w:val="font11"/>
    <w:basedOn w:val="37"/>
    <w:qFormat/>
    <w:uiPriority w:val="0"/>
    <w:rPr>
      <w:rFonts w:hint="eastAsia" w:ascii="宋体" w:hAnsi="宋体" w:eastAsia="宋体" w:cs="宋体"/>
      <w:color w:val="000000"/>
      <w:sz w:val="24"/>
      <w:szCs w:val="24"/>
      <w:u w:val="none"/>
    </w:rPr>
  </w:style>
  <w:style w:type="character" w:customStyle="1" w:styleId="88">
    <w:name w:val="批注文字 字符1"/>
    <w:qFormat/>
    <w:uiPriority w:val="0"/>
    <w:rPr>
      <w:kern w:val="2"/>
      <w:sz w:val="21"/>
      <w:szCs w:val="24"/>
      <w:lang w:bidi="ar-SA"/>
    </w:rPr>
  </w:style>
  <w:style w:type="character" w:customStyle="1" w:styleId="89">
    <w:name w:val="纯文本 字符1"/>
    <w:qFormat/>
    <w:uiPriority w:val="0"/>
    <w:rPr>
      <w:rFonts w:ascii="宋体" w:hAnsi="Courier New" w:eastAsia="宋体" w:cs="Courier New"/>
      <w:kern w:val="2"/>
      <w:sz w:val="21"/>
      <w:szCs w:val="21"/>
      <w:lang w:val="en-US" w:eastAsia="zh-CN" w:bidi="ar-SA"/>
    </w:rPr>
  </w:style>
  <w:style w:type="paragraph" w:customStyle="1" w:styleId="90">
    <w:name w:val="普通(Web)1"/>
    <w:basedOn w:val="1"/>
    <w:qFormat/>
    <w:uiPriority w:val="0"/>
    <w:pPr>
      <w:spacing w:before="30" w:after="195"/>
    </w:pPr>
  </w:style>
  <w:style w:type="paragraph" w:customStyle="1" w:styleId="91">
    <w:name w:val="修订1"/>
    <w:qFormat/>
    <w:uiPriority w:val="99"/>
    <w:rPr>
      <w:rFonts w:ascii="宋体" w:hAnsi="宋体" w:eastAsia="宋体" w:cs="宋体"/>
      <w:szCs w:val="21"/>
      <w:lang w:val="en-US" w:eastAsia="zh-CN" w:bidi="ar-SA"/>
    </w:rPr>
  </w:style>
  <w:style w:type="paragraph" w:customStyle="1" w:styleId="92">
    <w:name w:val="普通文字+排序列表"/>
    <w:basedOn w:val="16"/>
    <w:link w:val="93"/>
    <w:qFormat/>
    <w:uiPriority w:val="0"/>
    <w:pPr>
      <w:numPr>
        <w:ilvl w:val="0"/>
        <w:numId w:val="3"/>
      </w:numPr>
      <w:spacing w:beforeLines="20" w:afterLines="20" w:line="300" w:lineRule="auto"/>
    </w:pPr>
    <w:rPr>
      <w:rFonts w:hAnsi="宋体" w:cs="Times New Roman"/>
      <w:sz w:val="21"/>
    </w:rPr>
  </w:style>
  <w:style w:type="character" w:customStyle="1" w:styleId="93">
    <w:name w:val="普通文字+排序列表 Char"/>
    <w:link w:val="92"/>
    <w:qFormat/>
    <w:uiPriority w:val="0"/>
    <w:rPr>
      <w:rFonts w:ascii="宋体" w:hAnsi="宋体" w:eastAsia="宋体" w:cs="Times New Roman"/>
      <w:kern w:val="0"/>
      <w:szCs w:val="21"/>
    </w:rPr>
  </w:style>
  <w:style w:type="paragraph" w:customStyle="1" w:styleId="94">
    <w:name w:val="BodyText1I2"/>
    <w:basedOn w:val="1"/>
    <w:qFormat/>
    <w:uiPriority w:val="0"/>
    <w:pPr>
      <w:spacing w:line="360" w:lineRule="auto"/>
      <w:ind w:firstLine="420"/>
    </w:pPr>
    <w:rPr>
      <w:rFonts w:cs="Times New Roman"/>
      <w:kern w:val="2"/>
      <w:sz w:val="21"/>
    </w:rPr>
  </w:style>
  <w:style w:type="paragraph" w:customStyle="1" w:styleId="95">
    <w:name w:val="Char Char11 Char Char Char Char Char Char Char Char Char Char Char Char Char Char Char"/>
    <w:basedOn w:val="1"/>
    <w:qFormat/>
    <w:uiPriority w:val="0"/>
    <w:pPr>
      <w:snapToGrid w:val="0"/>
      <w:spacing w:line="360" w:lineRule="auto"/>
    </w:pPr>
    <w:rPr>
      <w:rFonts w:ascii="Arial" w:hAnsi="Arial" w:eastAsia="黑体" w:cs="Courier New"/>
      <w:snapToGrid w:val="0"/>
      <w:color w:val="000000"/>
    </w:rPr>
  </w:style>
  <w:style w:type="paragraph" w:customStyle="1" w:styleId="96">
    <w:name w:val="编号，小四"/>
    <w:basedOn w:val="1"/>
    <w:link w:val="97"/>
    <w:qFormat/>
    <w:uiPriority w:val="0"/>
    <w:pPr>
      <w:widowControl w:val="0"/>
      <w:numPr>
        <w:ilvl w:val="0"/>
        <w:numId w:val="4"/>
      </w:numPr>
      <w:spacing w:line="360" w:lineRule="auto"/>
      <w:ind w:left="567" w:hanging="284"/>
      <w:jc w:val="both"/>
    </w:pPr>
    <w:rPr>
      <w:rFonts w:ascii="Arial" w:hAnsi="Arial"/>
      <w:kern w:val="2"/>
      <w:szCs w:val="20"/>
    </w:rPr>
  </w:style>
  <w:style w:type="character" w:customStyle="1" w:styleId="97">
    <w:name w:val="编号，小四 Char"/>
    <w:link w:val="96"/>
    <w:qFormat/>
    <w:uiPriority w:val="0"/>
    <w:rPr>
      <w:rFonts w:ascii="Arial" w:hAnsi="Arial" w:eastAsia="宋体" w:cs="宋体"/>
      <w:sz w:val="24"/>
      <w:szCs w:val="20"/>
    </w:rPr>
  </w:style>
  <w:style w:type="paragraph" w:customStyle="1" w:styleId="98">
    <w:name w:val="列表段落1"/>
    <w:basedOn w:val="1"/>
    <w:qFormat/>
    <w:uiPriority w:val="34"/>
    <w:pPr>
      <w:spacing w:after="200"/>
      <w:ind w:firstLine="420" w:firstLineChars="200"/>
    </w:pPr>
    <w:rPr>
      <w:rFonts w:ascii="等线" w:hAnsi="等线" w:eastAsia="等线" w:cs="Times New Roman"/>
      <w:lang w:eastAsia="en-US"/>
    </w:rPr>
  </w:style>
  <w:style w:type="paragraph" w:customStyle="1" w:styleId="99">
    <w:name w:val="_Style 2"/>
    <w:basedOn w:val="1"/>
    <w:qFormat/>
    <w:uiPriority w:val="34"/>
    <w:pPr>
      <w:widowControl w:val="0"/>
      <w:ind w:firstLine="420" w:firstLineChars="200"/>
      <w:jc w:val="both"/>
    </w:pPr>
    <w:rPr>
      <w:rFonts w:ascii="等线" w:hAnsi="等线" w:eastAsia="等线"/>
      <w:kern w:val="2"/>
      <w:sz w:val="21"/>
    </w:rPr>
  </w:style>
  <w:style w:type="character" w:customStyle="1" w:styleId="100">
    <w:name w:val="正文缩进 字符"/>
    <w:link w:val="4"/>
    <w:qFormat/>
    <w:uiPriority w:val="0"/>
    <w:rPr>
      <w:rFonts w:ascii="宋体" w:hAnsi="宋体" w:cs="宋体"/>
      <w:sz w:val="24"/>
    </w:rPr>
  </w:style>
  <w:style w:type="paragraph" w:customStyle="1" w:styleId="101">
    <w:name w:val="NormalIndent"/>
    <w:basedOn w:val="1"/>
    <w:qFormat/>
    <w:uiPriority w:val="0"/>
    <w:pPr>
      <w:numPr>
        <w:ilvl w:val="0"/>
        <w:numId w:val="5"/>
      </w:numPr>
    </w:pPr>
    <w:rPr>
      <w:szCs w:val="20"/>
    </w:rPr>
  </w:style>
  <w:style w:type="paragraph" w:customStyle="1" w:styleId="102">
    <w:name w:val="Heading1"/>
    <w:basedOn w:val="1"/>
    <w:next w:val="1"/>
    <w:qFormat/>
    <w:uiPriority w:val="0"/>
    <w:pPr>
      <w:keepNext/>
      <w:keepLines/>
      <w:spacing w:before="340" w:after="330" w:line="576" w:lineRule="auto"/>
      <w:textAlignment w:val="baseline"/>
    </w:pPr>
    <w:rPr>
      <w:b/>
      <w:bCs/>
      <w:kern w:val="44"/>
      <w:sz w:val="44"/>
      <w:szCs w:val="44"/>
    </w:rPr>
  </w:style>
  <w:style w:type="table" w:customStyle="1" w:styleId="103">
    <w:name w:val="Table Normal"/>
    <w:qFormat/>
    <w:uiPriority w:val="0"/>
    <w:tblPr>
      <w:tblCellMar>
        <w:top w:w="0" w:type="dxa"/>
        <w:left w:w="0" w:type="dxa"/>
        <w:bottom w:w="0" w:type="dxa"/>
        <w:right w:w="0" w:type="dxa"/>
      </w:tblCellMar>
    </w:tblPr>
  </w:style>
  <w:style w:type="paragraph" w:customStyle="1" w:styleId="104">
    <w:name w:val="Heading2"/>
    <w:basedOn w:val="1"/>
    <w:next w:val="1"/>
    <w:qFormat/>
    <w:uiPriority w:val="0"/>
    <w:pPr>
      <w:keepNext/>
      <w:keepLines/>
      <w:spacing w:before="260" w:after="260" w:line="416" w:lineRule="auto"/>
    </w:pPr>
    <w:rPr>
      <w:rFonts w:ascii="Cambria" w:hAnsi="Cambria"/>
      <w:sz w:val="32"/>
      <w:szCs w:val="32"/>
    </w:rPr>
  </w:style>
  <w:style w:type="character" w:customStyle="1" w:styleId="105">
    <w:name w:val="font121"/>
    <w:basedOn w:val="37"/>
    <w:qFormat/>
    <w:uiPriority w:val="0"/>
    <w:rPr>
      <w:rFonts w:hint="eastAsia" w:ascii="宋体" w:hAnsi="宋体" w:eastAsia="宋体" w:cs="宋体"/>
      <w:color w:val="000000"/>
      <w:sz w:val="21"/>
      <w:szCs w:val="21"/>
      <w:u w:val="none"/>
    </w:rPr>
  </w:style>
  <w:style w:type="paragraph" w:customStyle="1" w:styleId="106">
    <w:name w:val="TOC 标题1"/>
    <w:basedOn w:val="2"/>
    <w:next w:val="1"/>
    <w:qFormat/>
    <w:uiPriority w:val="39"/>
    <w:pPr>
      <w:keepLines/>
      <w:spacing w:before="240" w:line="259" w:lineRule="auto"/>
      <w:jc w:val="left"/>
      <w:outlineLvl w:val="9"/>
    </w:pPr>
    <w:rPr>
      <w:rFonts w:ascii="等线 Light" w:hAnsi="等线 Light" w:eastAsia="等线 Light"/>
      <w:b w:val="0"/>
      <w:color w:val="2F5496"/>
      <w:sz w:val="32"/>
      <w:szCs w:val="32"/>
    </w:rPr>
  </w:style>
  <w:style w:type="paragraph" w:customStyle="1" w:styleId="107">
    <w:name w:val="TOC 标题2"/>
    <w:basedOn w:val="2"/>
    <w:next w:val="1"/>
    <w:qFormat/>
    <w:uiPriority w:val="39"/>
    <w:pPr>
      <w:keepLines/>
      <w:spacing w:before="240" w:line="259" w:lineRule="auto"/>
      <w:jc w:val="left"/>
      <w:outlineLvl w:val="9"/>
    </w:pPr>
    <w:rPr>
      <w:rFonts w:ascii="等线 Light" w:hAnsi="等线 Light" w:eastAsia="等线 Light"/>
      <w:b w:val="0"/>
      <w:color w:val="2F5496"/>
      <w:sz w:val="32"/>
      <w:szCs w:val="32"/>
    </w:rPr>
  </w:style>
  <w:style w:type="character" w:customStyle="1" w:styleId="108">
    <w:name w:val="标题 5 字符1"/>
    <w:qFormat/>
    <w:uiPriority w:val="0"/>
    <w:rPr>
      <w:rFonts w:ascii="宋体" w:hAnsi="宋体"/>
      <w:b/>
      <w:bCs/>
      <w:sz w:val="28"/>
      <w:szCs w:val="28"/>
    </w:rPr>
  </w:style>
  <w:style w:type="paragraph" w:customStyle="1" w:styleId="109">
    <w:name w:val="Default"/>
    <w:next w:val="11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0">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11">
    <w:name w:val="Table Paragraph"/>
    <w:basedOn w:val="1"/>
    <w:qFormat/>
    <w:uiPriority w:val="1"/>
    <w:pPr>
      <w:ind w:firstLine="126" w:firstLineChars="60"/>
    </w:pPr>
  </w:style>
  <w:style w:type="table" w:customStyle="1" w:styleId="112">
    <w:name w:val="网格型1"/>
    <w:basedOn w:val="3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font71"/>
    <w:basedOn w:val="37"/>
    <w:qFormat/>
    <w:uiPriority w:val="0"/>
    <w:rPr>
      <w:rFonts w:hint="eastAsia" w:ascii="宋体" w:hAnsi="宋体" w:eastAsia="宋体" w:cs="宋体"/>
      <w:strike/>
      <w:color w:val="FF0000"/>
      <w:sz w:val="20"/>
      <w:szCs w:val="20"/>
    </w:rPr>
  </w:style>
  <w:style w:type="character" w:customStyle="1" w:styleId="114">
    <w:name w:val="font101"/>
    <w:basedOn w:val="37"/>
    <w:qFormat/>
    <w:uiPriority w:val="0"/>
    <w:rPr>
      <w:rFonts w:hint="default" w:ascii="Arial" w:hAnsi="Arial" w:cs="Arial"/>
      <w:strike/>
      <w:color w:val="FF0000"/>
      <w:sz w:val="20"/>
      <w:szCs w:val="20"/>
    </w:rPr>
  </w:style>
  <w:style w:type="character" w:customStyle="1" w:styleId="115">
    <w:name w:val="font12"/>
    <w:basedOn w:val="37"/>
    <w:qFormat/>
    <w:uiPriority w:val="0"/>
    <w:rPr>
      <w:rFonts w:hint="default" w:ascii="Arial" w:hAnsi="Arial" w:cs="Arial"/>
      <w:color w:val="000000"/>
      <w:sz w:val="20"/>
      <w:szCs w:val="20"/>
      <w:u w:val="none"/>
    </w:rPr>
  </w:style>
  <w:style w:type="character" w:customStyle="1" w:styleId="116">
    <w:name w:val="font01"/>
    <w:basedOn w:val="37"/>
    <w:qFormat/>
    <w:uiPriority w:val="0"/>
    <w:rPr>
      <w:rFonts w:hint="eastAsia" w:ascii="宋体" w:hAnsi="宋体" w:eastAsia="宋体" w:cs="宋体"/>
      <w:color w:val="000000"/>
      <w:sz w:val="20"/>
      <w:szCs w:val="20"/>
      <w:u w:val="none"/>
    </w:rPr>
  </w:style>
  <w:style w:type="character" w:customStyle="1" w:styleId="117">
    <w:name w:val="font91"/>
    <w:basedOn w:val="37"/>
    <w:qFormat/>
    <w:uiPriority w:val="0"/>
    <w:rPr>
      <w:rFonts w:hint="eastAsia" w:ascii="宋体" w:hAnsi="宋体" w:eastAsia="宋体" w:cs="宋体"/>
      <w:color w:val="FF0000"/>
      <w:sz w:val="20"/>
      <w:szCs w:val="20"/>
      <w:u w:val="none"/>
    </w:rPr>
  </w:style>
  <w:style w:type="character" w:customStyle="1" w:styleId="118">
    <w:name w:val="font31"/>
    <w:basedOn w:val="37"/>
    <w:qFormat/>
    <w:uiPriority w:val="0"/>
    <w:rPr>
      <w:rFonts w:hint="eastAsia" w:ascii="宋体" w:hAnsi="宋体" w:eastAsia="宋体" w:cs="宋体"/>
      <w:color w:val="00B0F0"/>
      <w:sz w:val="20"/>
      <w:szCs w:val="20"/>
      <w:u w:val="none"/>
    </w:rPr>
  </w:style>
  <w:style w:type="character" w:customStyle="1" w:styleId="119">
    <w:name w:val="font61"/>
    <w:basedOn w:val="37"/>
    <w:qFormat/>
    <w:uiPriority w:val="0"/>
    <w:rPr>
      <w:rFonts w:hint="eastAsia" w:ascii="宋体" w:hAnsi="宋体" w:eastAsia="宋体" w:cs="宋体"/>
      <w:b/>
      <w:bCs/>
      <w:color w:val="FF0000"/>
      <w:sz w:val="20"/>
      <w:szCs w:val="20"/>
      <w:u w:val="none"/>
    </w:rPr>
  </w:style>
  <w:style w:type="paragraph" w:customStyle="1" w:styleId="120">
    <w:name w:val="Revision"/>
    <w:hidden/>
    <w:unhideWhenUsed/>
    <w:qFormat/>
    <w:uiPriority w:val="99"/>
    <w:rPr>
      <w:rFonts w:ascii="宋体" w:hAnsi="宋体" w:eastAsia="宋体" w:cs="宋体"/>
      <w:sz w:val="24"/>
      <w:szCs w:val="24"/>
      <w:lang w:val="en-US" w:eastAsia="zh-CN" w:bidi="ar-SA"/>
    </w:rPr>
  </w:style>
  <w:style w:type="character" w:customStyle="1" w:styleId="121">
    <w:name w:val="font21"/>
    <w:basedOn w:val="3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236</Pages>
  <Words>2867</Words>
  <Characters>3424</Characters>
  <Lines>1247</Lines>
  <Paragraphs>351</Paragraphs>
  <TotalTime>99</TotalTime>
  <ScaleCrop>false</ScaleCrop>
  <LinksUpToDate>false</LinksUpToDate>
  <CharactersWithSpaces>3578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2024-10-10T00:16:00Z</dcterms:created>
  <dc:creator>吴 峻涛</dc:creator>
  <cp:lastModifiedBy>浙江江南工程管理股份有限公司</cp:lastModifiedBy>
  <cp:lastPrinted>2024-10-01T04:10:00Z</cp:lastPrinted>
  <dcterms:modified xsi:type="dcterms:W3CDTF">2024-10-28T06:01:52Z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1F757C042CA049FD8F00BC53140D0F18_13</vt:lpwstr>
  </property>
</Properties>
</file>