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ind w:firstLine="560"/>
        <w:rPr>
          <w:color w:val="auto"/>
          <w:highlight w:val="none"/>
        </w:rPr>
      </w:pPr>
      <w:bookmarkStart w:id="0" w:name="_Toc125344512"/>
    </w:p>
    <w:p>
      <w:pPr>
        <w:pStyle w:val="50"/>
        <w:ind w:firstLine="720"/>
        <w:jc w:val="center"/>
        <w:rPr>
          <w:rFonts w:hint="eastAsia" w:ascii="宋体" w:hAnsi="宋体" w:eastAsia="宋体"/>
          <w:b/>
          <w:bCs/>
          <w:color w:val="auto"/>
          <w:sz w:val="36"/>
          <w:szCs w:val="36"/>
          <w:highlight w:val="none"/>
        </w:rPr>
      </w:pPr>
      <w:r>
        <w:rPr>
          <w:rFonts w:hint="eastAsia" w:ascii="宋体" w:hAnsi="宋体" w:eastAsia="宋体"/>
          <w:b/>
          <w:bCs/>
          <w:color w:val="auto"/>
          <w:sz w:val="36"/>
          <w:szCs w:val="36"/>
          <w:highlight w:val="none"/>
        </w:rPr>
        <w:t>2024年政府门户网站及企业集约化网站升级改造项目采购</w:t>
      </w:r>
      <w:bookmarkEnd w:id="0"/>
      <w:r>
        <w:rPr>
          <w:rFonts w:hint="eastAsia" w:ascii="宋体" w:hAnsi="宋体" w:eastAsia="宋体"/>
          <w:b/>
          <w:bCs/>
          <w:color w:val="auto"/>
          <w:sz w:val="36"/>
          <w:szCs w:val="36"/>
          <w:highlight w:val="none"/>
        </w:rPr>
        <w:t>要素</w:t>
      </w:r>
    </w:p>
    <w:p>
      <w:pPr>
        <w:pStyle w:val="2"/>
        <w:rPr>
          <w:rFonts w:hint="eastAsia"/>
          <w:color w:val="auto"/>
          <w:highlight w:val="none"/>
        </w:rPr>
      </w:pPr>
      <w:bookmarkStart w:id="1" w:name="_Toc171178954"/>
      <w:bookmarkStart w:id="2" w:name="_Toc171915904"/>
      <w:bookmarkStart w:id="3" w:name="第四部分"/>
      <w:r>
        <w:rPr>
          <w:rFonts w:hint="eastAsia"/>
          <w:color w:val="auto"/>
          <w:highlight w:val="none"/>
        </w:rPr>
        <w:t>项目名称：</w:t>
      </w:r>
      <w:bookmarkStart w:id="4" w:name="_Hlk173486554"/>
    </w:p>
    <w:p>
      <w:pPr>
        <w:ind w:firstLine="480"/>
        <w:rPr>
          <w:rFonts w:hint="eastAsia"/>
          <w:color w:val="auto"/>
          <w:highlight w:val="none"/>
        </w:rPr>
      </w:pPr>
      <w:r>
        <w:rPr>
          <w:rFonts w:hint="eastAsia"/>
          <w:color w:val="auto"/>
          <w:highlight w:val="none"/>
        </w:rPr>
        <w:t>2024年政府门户网站及企业集约化网站升级改造项目</w:t>
      </w:r>
    </w:p>
    <w:bookmarkEnd w:id="4"/>
    <w:p>
      <w:pPr>
        <w:pStyle w:val="2"/>
        <w:rPr>
          <w:rFonts w:hint="eastAsia"/>
          <w:color w:val="auto"/>
          <w:highlight w:val="none"/>
        </w:rPr>
      </w:pPr>
      <w:r>
        <w:rPr>
          <w:rFonts w:hint="eastAsia"/>
          <w:color w:val="auto"/>
          <w:highlight w:val="none"/>
        </w:rPr>
        <w:t>项目内容及规模：</w:t>
      </w:r>
    </w:p>
    <w:p>
      <w:pPr>
        <w:autoSpaceDE/>
        <w:autoSpaceDN/>
        <w:adjustRightInd/>
        <w:ind w:firstLine="480"/>
        <w:rPr>
          <w:rFonts w:hint="eastAsia"/>
          <w:color w:val="auto"/>
          <w:szCs w:val="24"/>
          <w:highlight w:val="none"/>
        </w:rPr>
      </w:pPr>
      <w:r>
        <w:rPr>
          <w:rFonts w:hint="eastAsia"/>
          <w:color w:val="auto"/>
          <w:highlight w:val="none"/>
        </w:rPr>
        <w:t>2024年政府门户网站及企业集约化网站升级改造项目</w:t>
      </w:r>
      <w:r>
        <w:rPr>
          <w:rFonts w:hint="eastAsia"/>
          <w:bCs/>
          <w:color w:val="auto"/>
          <w:szCs w:val="20"/>
          <w:highlight w:val="none"/>
        </w:rPr>
        <w:t>，</w:t>
      </w:r>
      <w:r>
        <w:rPr>
          <w:rFonts w:hint="eastAsia"/>
          <w:color w:val="auto"/>
          <w:szCs w:val="24"/>
          <w:highlight w:val="none"/>
        </w:rPr>
        <w:t>采购预算金</w:t>
      </w:r>
      <w:r>
        <w:rPr>
          <w:rFonts w:hint="eastAsia"/>
          <w:bCs/>
          <w:color w:val="auto"/>
          <w:szCs w:val="20"/>
          <w:highlight w:val="none"/>
        </w:rPr>
        <w:t>额为人民币</w:t>
      </w:r>
      <w:r>
        <w:rPr>
          <w:rFonts w:hint="eastAsia"/>
          <w:color w:val="auto"/>
          <w:highlight w:val="none"/>
        </w:rPr>
        <w:t>69.2万元</w:t>
      </w:r>
      <w:r>
        <w:rPr>
          <w:rFonts w:hint="eastAsia"/>
          <w:color w:val="auto"/>
          <w:szCs w:val="24"/>
          <w:highlight w:val="none"/>
        </w:rPr>
        <w:t>，具体内容详见采购需求。</w:t>
      </w:r>
    </w:p>
    <w:p>
      <w:pPr>
        <w:pStyle w:val="2"/>
        <w:rPr>
          <w:rFonts w:hint="eastAsia"/>
          <w:color w:val="auto"/>
          <w:highlight w:val="none"/>
        </w:rPr>
      </w:pPr>
      <w:r>
        <w:rPr>
          <w:rFonts w:hint="eastAsia"/>
          <w:color w:val="auto"/>
          <w:highlight w:val="none"/>
        </w:rPr>
        <w:t>投标人（供应商）资格要求：</w:t>
      </w:r>
    </w:p>
    <w:p>
      <w:pPr>
        <w:ind w:firstLine="480"/>
        <w:rPr>
          <w:rFonts w:hint="eastAsia"/>
          <w:color w:val="auto"/>
          <w:szCs w:val="24"/>
          <w:highlight w:val="none"/>
        </w:rPr>
      </w:pPr>
      <w:r>
        <w:rPr>
          <w:rFonts w:hint="eastAsia"/>
          <w:color w:val="auto"/>
          <w:szCs w:val="24"/>
          <w:highlight w:val="none"/>
        </w:rPr>
        <w:t>1、符合《中华人民共和国政府采购法》第二十二条之供应商资格规定；</w:t>
      </w:r>
    </w:p>
    <w:p>
      <w:pPr>
        <w:ind w:firstLine="480"/>
        <w:rPr>
          <w:rFonts w:hint="eastAsia"/>
          <w:color w:val="auto"/>
          <w:szCs w:val="24"/>
          <w:highlight w:val="none"/>
        </w:rPr>
      </w:pPr>
      <w:r>
        <w:rPr>
          <w:rFonts w:hint="eastAsia"/>
          <w:color w:val="auto"/>
          <w:szCs w:val="24"/>
          <w:highlight w:val="none"/>
        </w:rPr>
        <w:t>2、有本项目实施能力且良好信誉的</w:t>
      </w:r>
      <w:r>
        <w:rPr>
          <w:rFonts w:hint="default"/>
          <w:color w:val="auto"/>
          <w:szCs w:val="24"/>
          <w:highlight w:val="none"/>
          <w:lang w:val="en-US"/>
        </w:rPr>
        <w:t>独立法人</w:t>
      </w:r>
      <w:r>
        <w:rPr>
          <w:rFonts w:hint="eastAsia"/>
          <w:color w:val="auto"/>
          <w:szCs w:val="24"/>
          <w:highlight w:val="none"/>
          <w:lang w:val="en-US" w:eastAsia="zh-CN"/>
        </w:rPr>
        <w:t>；</w:t>
      </w:r>
    </w:p>
    <w:p>
      <w:pPr>
        <w:ind w:firstLine="480"/>
        <w:rPr>
          <w:rFonts w:hint="eastAsia"/>
          <w:color w:val="auto"/>
          <w:szCs w:val="24"/>
          <w:highlight w:val="none"/>
        </w:rPr>
      </w:pPr>
      <w:r>
        <w:rPr>
          <w:rFonts w:hint="eastAsia"/>
          <w:color w:val="auto"/>
          <w:szCs w:val="24"/>
          <w:highlight w:val="none"/>
        </w:rPr>
        <w:t>3、未被“信用中国”（www.creditchina.gov.cn）、中国政府采购（www.ccgp.gov.cn）列入失信被执行人、重大税收违法案件当事人名单、政府采购严重违法失信行为记录名单；</w:t>
      </w:r>
    </w:p>
    <w:p>
      <w:pPr>
        <w:ind w:firstLine="480"/>
        <w:rPr>
          <w:rFonts w:hint="eastAsia"/>
          <w:color w:val="auto"/>
          <w:szCs w:val="24"/>
          <w:highlight w:val="none"/>
        </w:rPr>
      </w:pPr>
      <w:r>
        <w:rPr>
          <w:rFonts w:hint="eastAsia"/>
          <w:color w:val="auto"/>
          <w:szCs w:val="24"/>
          <w:highlight w:val="none"/>
        </w:rPr>
        <w:t>4、本项目不接受联合体投标。</w:t>
      </w:r>
    </w:p>
    <w:p>
      <w:pPr>
        <w:pStyle w:val="2"/>
        <w:rPr>
          <w:rFonts w:hint="eastAsia"/>
          <w:color w:val="auto"/>
          <w:highlight w:val="none"/>
        </w:rPr>
      </w:pPr>
      <w:r>
        <w:rPr>
          <w:rFonts w:hint="eastAsia"/>
          <w:color w:val="auto"/>
          <w:highlight w:val="none"/>
        </w:rPr>
        <w:t>评标办法：</w:t>
      </w:r>
    </w:p>
    <w:p>
      <w:pPr>
        <w:ind w:firstLine="480"/>
        <w:rPr>
          <w:rFonts w:hint="eastAsia"/>
          <w:color w:val="auto"/>
          <w:highlight w:val="none"/>
        </w:rPr>
      </w:pPr>
      <w:r>
        <w:rPr>
          <w:rFonts w:hint="eastAsia"/>
          <w:color w:val="auto"/>
          <w:highlight w:val="none"/>
        </w:rPr>
        <w:t>1、采用</w:t>
      </w:r>
      <w:r>
        <w:rPr>
          <w:rFonts w:hint="eastAsia"/>
          <w:color w:val="auto"/>
          <w:highlight w:val="none"/>
          <w:u w:val="single"/>
        </w:rPr>
        <w:t>　综合评分法　</w:t>
      </w:r>
      <w:r>
        <w:rPr>
          <w:rFonts w:hint="eastAsia"/>
          <w:color w:val="auto"/>
          <w:highlight w:val="none"/>
        </w:rPr>
        <w:t>。即在符合招标文件要求的前提下，择定最高得分者为第一中标候选人，即预中标人。</w:t>
      </w:r>
    </w:p>
    <w:p>
      <w:pPr>
        <w:ind w:firstLine="480"/>
        <w:rPr>
          <w:rFonts w:hint="eastAsia"/>
          <w:color w:val="auto"/>
          <w:highlight w:val="none"/>
        </w:rPr>
      </w:pPr>
      <w:r>
        <w:rPr>
          <w:rFonts w:hint="eastAsia"/>
          <w:color w:val="auto"/>
          <w:highlight w:val="none"/>
        </w:rPr>
        <w:t>2、合格投标人的评标得分为各项目汇总得分，中标候选资格按评标得分由高到低顺序排列，得分相同的，按投标报价由低到高顺序排列；得分且投标报价相同的，按技术得分由高到低顺序排列。</w:t>
      </w:r>
      <w:r>
        <w:rPr>
          <w:rFonts w:hint="eastAsia"/>
          <w:bCs/>
          <w:color w:val="auto"/>
          <w:highlight w:val="none"/>
        </w:rPr>
        <w:t>评分过程中采用四舍五入</w:t>
      </w:r>
      <w:r>
        <w:rPr>
          <w:rFonts w:hint="eastAsia"/>
          <w:color w:val="auto"/>
          <w:highlight w:val="none"/>
        </w:rPr>
        <w:t>法，并保留小数2位。</w:t>
      </w:r>
    </w:p>
    <w:p>
      <w:pPr>
        <w:ind w:firstLine="480"/>
        <w:rPr>
          <w:rFonts w:hint="eastAsia"/>
          <w:color w:val="auto"/>
          <w:highlight w:val="none"/>
        </w:rPr>
      </w:pPr>
      <w:r>
        <w:rPr>
          <w:rFonts w:hint="eastAsia"/>
          <w:color w:val="auto"/>
          <w:highlight w:val="none"/>
        </w:rPr>
        <w:t>3、评分办法</w:t>
      </w:r>
    </w:p>
    <w:p>
      <w:pPr>
        <w:spacing w:line="380" w:lineRule="exact"/>
        <w:ind w:firstLine="480"/>
        <w:rPr>
          <w:rFonts w:hint="eastAsia"/>
          <w:color w:val="auto"/>
          <w:highlight w:val="none"/>
        </w:rPr>
      </w:pPr>
      <w:r>
        <w:rPr>
          <w:rFonts w:hint="eastAsia"/>
          <w:color w:val="auto"/>
          <w:highlight w:val="none"/>
        </w:rPr>
        <w:t>（1）满分为100分。总得分=商务技术得分+报价得分。</w:t>
      </w:r>
    </w:p>
    <w:p>
      <w:pPr>
        <w:spacing w:line="380" w:lineRule="exact"/>
        <w:ind w:firstLine="480"/>
        <w:rPr>
          <w:rFonts w:hint="eastAsia"/>
          <w:color w:val="auto"/>
          <w:highlight w:val="none"/>
        </w:rPr>
      </w:pPr>
      <w:r>
        <w:rPr>
          <w:rFonts w:hint="eastAsia"/>
          <w:color w:val="auto"/>
          <w:highlight w:val="none"/>
        </w:rPr>
        <w:t>（2）商务技术得分=商务技术评分，商务技术评分=所有评委的有效评分的算术平均数。</w:t>
      </w:r>
    </w:p>
    <w:p>
      <w:pPr>
        <w:spacing w:line="300" w:lineRule="auto"/>
        <w:ind w:firstLine="240" w:firstLineChars="100"/>
        <w:rPr>
          <w:rFonts w:hint="eastAsia"/>
          <w:color w:val="auto"/>
          <w:highlight w:val="none"/>
        </w:rPr>
      </w:pPr>
      <w:r>
        <w:rPr>
          <w:rFonts w:hint="eastAsia"/>
          <w:color w:val="auto"/>
          <w:highlight w:val="none"/>
        </w:rPr>
        <w:t>（3）报价得分采用低价优先法计算，即满足招标文件要求且投标价格最低的投标报价为评标基准价，其报价得分为满分。其他投标人的报价得分按照下列公式计算：报价得分=（评标基准价/投标报价）×价格权值×100，价格权值=30%。</w:t>
      </w:r>
    </w:p>
    <w:p>
      <w:pPr>
        <w:spacing w:line="380" w:lineRule="exact"/>
        <w:ind w:firstLine="480"/>
        <w:rPr>
          <w:rFonts w:hint="eastAsia"/>
          <w:color w:val="auto"/>
          <w:highlight w:val="none"/>
        </w:rPr>
      </w:pPr>
      <w:r>
        <w:rPr>
          <w:rFonts w:hint="eastAsia"/>
          <w:color w:val="auto"/>
          <w:highlight w:val="none"/>
        </w:rPr>
        <w:t>（4）商务技术分评分细则（</w:t>
      </w:r>
      <w:r>
        <w:rPr>
          <w:color w:val="auto"/>
          <w:highlight w:val="none"/>
        </w:rPr>
        <w:t>70</w:t>
      </w:r>
      <w:r>
        <w:rPr>
          <w:rFonts w:hint="eastAsia"/>
          <w:color w:val="auto"/>
          <w:highlight w:val="none"/>
        </w:rPr>
        <w:t>分）</w:t>
      </w:r>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91"/>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647" w:type="dxa"/>
            <w:shd w:val="clear" w:color="auto" w:fill="D7D7D7"/>
            <w:vAlign w:val="center"/>
          </w:tcPr>
          <w:p>
            <w:pPr>
              <w:spacing w:line="360" w:lineRule="auto"/>
              <w:ind w:firstLine="0" w:firstLineChars="0"/>
              <w:jc w:val="center"/>
              <w:rPr>
                <w:rFonts w:hint="eastAsia"/>
                <w:color w:val="auto"/>
                <w:highlight w:val="none"/>
              </w:rPr>
            </w:pPr>
            <w:r>
              <w:rPr>
                <w:rFonts w:hint="eastAsia"/>
                <w:color w:val="auto"/>
                <w:highlight w:val="none"/>
              </w:rPr>
              <w:t>序号</w:t>
            </w:r>
          </w:p>
        </w:tc>
        <w:tc>
          <w:tcPr>
            <w:tcW w:w="1191" w:type="dxa"/>
            <w:shd w:val="clear" w:color="auto" w:fill="D7D7D7"/>
            <w:vAlign w:val="center"/>
          </w:tcPr>
          <w:p>
            <w:pPr>
              <w:spacing w:line="360" w:lineRule="auto"/>
              <w:ind w:firstLine="0" w:firstLineChars="0"/>
              <w:rPr>
                <w:rFonts w:hint="eastAsia"/>
                <w:color w:val="auto"/>
                <w:highlight w:val="none"/>
              </w:rPr>
            </w:pPr>
            <w:r>
              <w:rPr>
                <w:rFonts w:hint="eastAsia"/>
                <w:color w:val="auto"/>
                <w:highlight w:val="none"/>
              </w:rPr>
              <w:t>评分因素</w:t>
            </w:r>
          </w:p>
        </w:tc>
        <w:tc>
          <w:tcPr>
            <w:tcW w:w="6946" w:type="dxa"/>
            <w:shd w:val="clear" w:color="auto" w:fill="D7D7D7"/>
            <w:vAlign w:val="center"/>
          </w:tcPr>
          <w:p>
            <w:pPr>
              <w:spacing w:line="360" w:lineRule="auto"/>
              <w:ind w:firstLine="0" w:firstLineChars="0"/>
              <w:jc w:val="center"/>
              <w:rPr>
                <w:rFonts w:hint="eastAsia"/>
                <w:color w:val="auto"/>
                <w:highlight w:val="none"/>
              </w:rPr>
            </w:pPr>
            <w:r>
              <w:rPr>
                <w:rFonts w:hint="eastAsia"/>
                <w:color w:val="auto"/>
                <w:highlight w:val="none"/>
              </w:rPr>
              <w:t>评分细则</w:t>
            </w:r>
          </w:p>
        </w:tc>
        <w:tc>
          <w:tcPr>
            <w:tcW w:w="709" w:type="dxa"/>
            <w:shd w:val="clear" w:color="auto" w:fill="D7D7D7"/>
            <w:vAlign w:val="center"/>
          </w:tcPr>
          <w:p>
            <w:pPr>
              <w:spacing w:line="360" w:lineRule="auto"/>
              <w:ind w:firstLine="0" w:firstLineChars="0"/>
              <w:jc w:val="center"/>
              <w:rPr>
                <w:rFonts w:hint="eastAsia"/>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restart"/>
            <w:vAlign w:val="center"/>
          </w:tcPr>
          <w:p>
            <w:pPr>
              <w:spacing w:line="360" w:lineRule="auto"/>
              <w:ind w:firstLine="0" w:firstLineChars="0"/>
              <w:jc w:val="center"/>
              <w:rPr>
                <w:rFonts w:hint="eastAsia"/>
                <w:color w:val="auto"/>
                <w:highlight w:val="none"/>
              </w:rPr>
            </w:pPr>
            <w:r>
              <w:rPr>
                <w:rFonts w:hint="eastAsia"/>
                <w:color w:val="auto"/>
                <w:highlight w:val="none"/>
              </w:rPr>
              <w:t>1</w:t>
            </w:r>
          </w:p>
        </w:tc>
        <w:tc>
          <w:tcPr>
            <w:tcW w:w="1191" w:type="dxa"/>
            <w:vMerge w:val="restart"/>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投标人实力</w:t>
            </w: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投标人具有有效的：</w:t>
            </w:r>
          </w:p>
          <w:p>
            <w:pPr>
              <w:spacing w:line="360" w:lineRule="auto"/>
              <w:ind w:firstLine="0" w:firstLineChars="0"/>
              <w:rPr>
                <w:rFonts w:hint="eastAsia"/>
                <w:color w:val="auto"/>
                <w:highlight w:val="none"/>
              </w:rPr>
            </w:pPr>
            <w:r>
              <w:rPr>
                <w:rFonts w:hint="eastAsia"/>
                <w:color w:val="auto"/>
                <w:highlight w:val="none"/>
              </w:rPr>
              <w:t>①ISO9001质量管理体系认证证书的，得1分；</w:t>
            </w:r>
          </w:p>
          <w:p>
            <w:pPr>
              <w:spacing w:line="360" w:lineRule="auto"/>
              <w:ind w:firstLine="0" w:firstLineChars="0"/>
              <w:rPr>
                <w:rFonts w:hint="eastAsia"/>
                <w:color w:val="auto"/>
                <w:highlight w:val="none"/>
              </w:rPr>
            </w:pPr>
            <w:r>
              <w:rPr>
                <w:rFonts w:hint="eastAsia"/>
                <w:color w:val="auto"/>
                <w:highlight w:val="none"/>
              </w:rPr>
              <w:t>②ISO27001信息安全管理体系</w:t>
            </w:r>
            <w:r>
              <w:rPr>
                <w:rFonts w:hint="eastAsia"/>
                <w:color w:val="auto"/>
                <w:szCs w:val="21"/>
                <w:highlight w:val="none"/>
              </w:rPr>
              <w:t>认证证书</w:t>
            </w:r>
            <w:r>
              <w:rPr>
                <w:rFonts w:hint="eastAsia"/>
                <w:color w:val="auto"/>
                <w:highlight w:val="none"/>
              </w:rPr>
              <w:t>的，得1分；</w:t>
            </w:r>
          </w:p>
          <w:p>
            <w:pPr>
              <w:pStyle w:val="2"/>
              <w:numPr>
                <w:ilvl w:val="0"/>
                <w:numId w:val="0"/>
              </w:numPr>
              <w:spacing w:line="360" w:lineRule="auto"/>
              <w:ind w:firstLine="0" w:firstLineChars="0"/>
              <w:rPr>
                <w:rFonts w:hint="eastAsia"/>
                <w:b w:val="0"/>
                <w:bCs w:val="0"/>
                <w:color w:val="auto"/>
                <w:highlight w:val="none"/>
              </w:rPr>
            </w:pPr>
            <w:r>
              <w:rPr>
                <w:rFonts w:hint="eastAsia"/>
                <w:b w:val="0"/>
                <w:bCs w:val="0"/>
                <w:color w:val="auto"/>
                <w:highlight w:val="none"/>
              </w:rPr>
              <w:t>③ISO20000信息技术服务管理体系认证证书的，得1分；</w:t>
            </w:r>
          </w:p>
          <w:p>
            <w:pPr>
              <w:spacing w:line="360" w:lineRule="auto"/>
              <w:ind w:firstLine="0" w:firstLineChars="0"/>
              <w:rPr>
                <w:rFonts w:hint="eastAsia"/>
                <w:color w:val="auto"/>
                <w:highlight w:val="none"/>
              </w:rPr>
            </w:pPr>
            <w:r>
              <w:rPr>
                <w:rFonts w:hint="eastAsia"/>
                <w:color w:val="auto"/>
                <w:highlight w:val="none"/>
              </w:rPr>
              <w:t>④具有内容管理类、搜索服务类、政策管理类、接口管理类软件著作权登记证书（软件著作权证书应在本公告发</w:t>
            </w:r>
            <w:bookmarkStart w:id="28" w:name="_GoBack"/>
            <w:bookmarkEnd w:id="28"/>
            <w:r>
              <w:rPr>
                <w:rFonts w:hint="eastAsia"/>
                <w:color w:val="auto"/>
                <w:highlight w:val="none"/>
              </w:rPr>
              <w:t>布之日前取得）的，每提供一个得0.5分，最高得4分。</w:t>
            </w:r>
          </w:p>
          <w:p>
            <w:pPr>
              <w:spacing w:line="360" w:lineRule="auto"/>
              <w:ind w:firstLine="0" w:firstLineChars="0"/>
              <w:rPr>
                <w:rFonts w:hint="eastAsia"/>
                <w:color w:val="auto"/>
                <w:highlight w:val="none"/>
              </w:rPr>
            </w:pPr>
            <w:r>
              <w:rPr>
                <w:rFonts w:hint="eastAsia"/>
                <w:color w:val="auto"/>
                <w:szCs w:val="21"/>
                <w:highlight w:val="none"/>
              </w:rPr>
              <w:t>本项最高得7分。</w:t>
            </w:r>
          </w:p>
          <w:p>
            <w:pPr>
              <w:spacing w:line="360" w:lineRule="auto"/>
              <w:ind w:firstLine="0" w:firstLineChars="0"/>
              <w:rPr>
                <w:rFonts w:hint="eastAsia"/>
                <w:color w:val="auto"/>
                <w:highlight w:val="none"/>
              </w:rPr>
            </w:pPr>
            <w:r>
              <w:rPr>
                <w:rFonts w:hint="eastAsia"/>
                <w:b w:val="0"/>
                <w:bCs w:val="0"/>
                <w:color w:val="auto"/>
                <w:szCs w:val="21"/>
                <w:highlight w:val="none"/>
              </w:rPr>
              <w:t>（注：须提供以上证书扫描件并加盖投标人公章，不提供不得分）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continue"/>
            <w:vAlign w:val="center"/>
          </w:tcPr>
          <w:p>
            <w:pPr>
              <w:spacing w:line="360" w:lineRule="auto"/>
              <w:ind w:firstLine="480"/>
              <w:rPr>
                <w:rFonts w:hint="eastAsia"/>
                <w:color w:val="auto"/>
                <w:highlight w:val="none"/>
              </w:rPr>
            </w:pPr>
          </w:p>
        </w:tc>
        <w:tc>
          <w:tcPr>
            <w:tcW w:w="1191" w:type="dxa"/>
            <w:vMerge w:val="continue"/>
            <w:tcBorders>
              <w:left w:val="single" w:color="auto" w:sz="4" w:space="0"/>
            </w:tcBorders>
            <w:vAlign w:val="center"/>
          </w:tcPr>
          <w:p>
            <w:pPr>
              <w:spacing w:line="360" w:lineRule="auto"/>
              <w:ind w:firstLine="480"/>
              <w:rPr>
                <w:rFonts w:hint="eastAsia"/>
                <w:color w:val="auto"/>
                <w:highlight w:val="none"/>
              </w:rPr>
            </w:pPr>
          </w:p>
        </w:tc>
        <w:tc>
          <w:tcPr>
            <w:tcW w:w="6946" w:type="dxa"/>
            <w:tcBorders>
              <w:left w:val="single" w:color="auto" w:sz="4" w:space="0"/>
            </w:tcBorders>
            <w:vAlign w:val="center"/>
          </w:tcPr>
          <w:p>
            <w:pPr>
              <w:spacing w:line="360" w:lineRule="auto"/>
              <w:ind w:firstLine="0" w:firstLineChars="0"/>
              <w:rPr>
                <w:rFonts w:hint="eastAsia"/>
                <w:color w:val="auto"/>
                <w:szCs w:val="24"/>
                <w:highlight w:val="none"/>
              </w:rPr>
            </w:pPr>
            <w:r>
              <w:rPr>
                <w:rFonts w:hint="eastAsia"/>
                <w:color w:val="auto"/>
                <w:szCs w:val="24"/>
                <w:highlight w:val="none"/>
              </w:rPr>
              <w:t>投标人提供自2021年1月1日（以合同签订时间为准）以来同类项目业绩证明材料，每提供一个有效业绩得0.5分，本项最高2分；</w:t>
            </w:r>
          </w:p>
          <w:p>
            <w:pPr>
              <w:spacing w:line="360" w:lineRule="auto"/>
              <w:ind w:firstLine="0" w:firstLineChars="0"/>
              <w:rPr>
                <w:rFonts w:hint="eastAsia"/>
                <w:color w:val="auto"/>
                <w:highlight w:val="none"/>
              </w:rPr>
            </w:pPr>
            <w:r>
              <w:rPr>
                <w:rFonts w:hint="eastAsia"/>
                <w:b/>
                <w:bCs/>
                <w:color w:val="auto"/>
                <w:szCs w:val="24"/>
                <w:highlight w:val="none"/>
              </w:rPr>
              <w:t>（注：须提供合同（包含首页、合同内容描述页、合同盖章页）扫描件及该项目验收报告扫描件，不提供或提供不全的不得分）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Align w:val="center"/>
          </w:tcPr>
          <w:p>
            <w:pPr>
              <w:spacing w:line="360" w:lineRule="auto"/>
              <w:ind w:firstLine="0" w:firstLineChars="0"/>
              <w:jc w:val="center"/>
              <w:rPr>
                <w:rFonts w:hint="eastAsia"/>
                <w:color w:val="auto"/>
                <w:highlight w:val="none"/>
              </w:rPr>
            </w:pPr>
            <w:r>
              <w:rPr>
                <w:rFonts w:hint="eastAsia"/>
                <w:color w:val="auto"/>
                <w:highlight w:val="none"/>
              </w:rPr>
              <w:t>2</w:t>
            </w:r>
          </w:p>
        </w:tc>
        <w:tc>
          <w:tcPr>
            <w:tcW w:w="1191"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szCs w:val="24"/>
                <w:highlight w:val="none"/>
              </w:rPr>
              <w:t>人员力量</w:t>
            </w:r>
          </w:p>
        </w:tc>
        <w:tc>
          <w:tcPr>
            <w:tcW w:w="6946" w:type="dxa"/>
            <w:tcBorders>
              <w:left w:val="single" w:color="auto" w:sz="4" w:space="0"/>
            </w:tcBorders>
            <w:vAlign w:val="center"/>
          </w:tcPr>
          <w:p>
            <w:pPr>
              <w:spacing w:line="360" w:lineRule="auto"/>
              <w:ind w:firstLine="0" w:firstLineChars="0"/>
              <w:rPr>
                <w:rFonts w:hint="eastAsia"/>
                <w:color w:val="auto"/>
                <w:szCs w:val="24"/>
                <w:highlight w:val="none"/>
              </w:rPr>
            </w:pPr>
            <w:r>
              <w:rPr>
                <w:rFonts w:hint="eastAsia"/>
                <w:color w:val="auto"/>
                <w:szCs w:val="24"/>
                <w:highlight w:val="none"/>
              </w:rPr>
              <w:t>①项目负责人：具备信息系统项目管理师（高级）证书得1分，具有系统架构师（高级）证书得1分，本项最高得2分。</w:t>
            </w:r>
          </w:p>
          <w:p>
            <w:pPr>
              <w:spacing w:line="360" w:lineRule="auto"/>
              <w:ind w:firstLine="0" w:firstLineChars="0"/>
              <w:rPr>
                <w:rFonts w:hint="eastAsia"/>
                <w:color w:val="auto"/>
                <w:szCs w:val="24"/>
                <w:highlight w:val="none"/>
              </w:rPr>
            </w:pPr>
            <w:r>
              <w:rPr>
                <w:rFonts w:hint="eastAsia"/>
                <w:color w:val="auto"/>
                <w:szCs w:val="24"/>
                <w:highlight w:val="none"/>
              </w:rPr>
              <w:t>②项目团队人员（除项目负责人）：具有系统集成项目管理工程师证书（软考），每提供一本证书得1分，本项最高得2分。</w:t>
            </w:r>
          </w:p>
          <w:p>
            <w:pPr>
              <w:spacing w:line="360" w:lineRule="auto"/>
              <w:ind w:firstLine="0" w:firstLineChars="0"/>
              <w:rPr>
                <w:rFonts w:hint="eastAsia"/>
                <w:color w:val="auto"/>
                <w:szCs w:val="24"/>
                <w:highlight w:val="none"/>
              </w:rPr>
            </w:pPr>
            <w:r>
              <w:rPr>
                <w:rFonts w:hint="eastAsia"/>
                <w:color w:val="auto"/>
                <w:szCs w:val="24"/>
                <w:highlight w:val="none"/>
              </w:rPr>
              <w:t>③项目团队人员（除项目负责人）：具有软件设计师证书（软考），每提供一本证书得0.5分，本项最高得2分。</w:t>
            </w:r>
          </w:p>
          <w:p>
            <w:pPr>
              <w:spacing w:line="360" w:lineRule="auto"/>
              <w:ind w:firstLine="0" w:firstLineChars="0"/>
              <w:rPr>
                <w:rFonts w:hint="eastAsia"/>
                <w:color w:val="auto"/>
                <w:szCs w:val="24"/>
                <w:highlight w:val="none"/>
              </w:rPr>
            </w:pPr>
            <w:r>
              <w:rPr>
                <w:rFonts w:hint="eastAsia"/>
                <w:color w:val="auto"/>
                <w:szCs w:val="24"/>
                <w:highlight w:val="none"/>
              </w:rPr>
              <w:t>④项目团队人员（除项目负责人）：具备高级软件工程师证书或数据库系统工程师证书，每提供一本证书得1分，本项最高得2分。</w:t>
            </w:r>
          </w:p>
          <w:p>
            <w:pPr>
              <w:spacing w:line="360" w:lineRule="auto"/>
              <w:ind w:firstLine="0" w:firstLineChars="0"/>
              <w:rPr>
                <w:rFonts w:hint="eastAsia"/>
                <w:color w:val="auto"/>
                <w:szCs w:val="24"/>
                <w:highlight w:val="none"/>
              </w:rPr>
            </w:pPr>
            <w:r>
              <w:rPr>
                <w:rFonts w:hint="eastAsia"/>
                <w:color w:val="auto"/>
                <w:szCs w:val="24"/>
                <w:highlight w:val="none"/>
              </w:rPr>
              <w:t>⑤项目团队人员（除项目负责人）：</w:t>
            </w:r>
            <w:r>
              <w:rPr>
                <w:rFonts w:hint="eastAsia"/>
                <w:color w:val="auto"/>
                <w:highlight w:val="none"/>
              </w:rPr>
              <w:t>具备软件评测师或CISP证书的，</w:t>
            </w:r>
            <w:r>
              <w:rPr>
                <w:rFonts w:hint="eastAsia"/>
                <w:color w:val="auto"/>
                <w:szCs w:val="24"/>
                <w:highlight w:val="none"/>
              </w:rPr>
              <w:t>每提供一本证书得1分，本项最高得2分。</w:t>
            </w:r>
          </w:p>
          <w:p>
            <w:pPr>
              <w:spacing w:line="360" w:lineRule="auto"/>
              <w:ind w:firstLine="0" w:firstLineChars="0"/>
              <w:rPr>
                <w:rFonts w:hint="eastAsia"/>
                <w:b/>
                <w:bCs/>
                <w:color w:val="auto"/>
                <w:szCs w:val="24"/>
                <w:highlight w:val="none"/>
              </w:rPr>
            </w:pPr>
            <w:r>
              <w:rPr>
                <w:rFonts w:hint="eastAsia"/>
                <w:b/>
                <w:bCs/>
                <w:color w:val="auto"/>
                <w:szCs w:val="24"/>
                <w:highlight w:val="none"/>
              </w:rPr>
              <w:t>本项最多得10分。</w:t>
            </w:r>
          </w:p>
          <w:p>
            <w:pPr>
              <w:spacing w:line="360" w:lineRule="auto"/>
              <w:ind w:firstLine="0" w:firstLineChars="0"/>
              <w:rPr>
                <w:rFonts w:hint="eastAsia"/>
                <w:color w:val="auto"/>
                <w:highlight w:val="none"/>
              </w:rPr>
            </w:pPr>
            <w:r>
              <w:rPr>
                <w:rFonts w:hint="eastAsia"/>
                <w:b/>
                <w:bCs/>
                <w:color w:val="auto"/>
                <w:szCs w:val="24"/>
                <w:highlight w:val="none"/>
              </w:rPr>
              <w:t>（注：以上人员一人多证不得重复计分，</w:t>
            </w:r>
            <w:r>
              <w:rPr>
                <w:rFonts w:hint="eastAsia"/>
                <w:b/>
                <w:bCs/>
                <w:color w:val="auto"/>
                <w:szCs w:val="24"/>
                <w:highlight w:val="none"/>
                <w:lang w:bidi="ar"/>
              </w:rPr>
              <w:t>投标人须提供有效证书扫描件及对应人员由投标人缴纳的近三个月连续社保证明材料并加盖投标人公章）</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Align w:val="center"/>
          </w:tcPr>
          <w:p>
            <w:pPr>
              <w:spacing w:line="360" w:lineRule="auto"/>
              <w:ind w:firstLine="0" w:firstLineChars="0"/>
              <w:jc w:val="center"/>
              <w:rPr>
                <w:rFonts w:hint="eastAsia"/>
                <w:color w:val="auto"/>
                <w:highlight w:val="none"/>
              </w:rPr>
            </w:pPr>
            <w:r>
              <w:rPr>
                <w:rFonts w:hint="eastAsia"/>
                <w:color w:val="auto"/>
                <w:highlight w:val="none"/>
              </w:rPr>
              <w:t>3</w:t>
            </w:r>
          </w:p>
        </w:tc>
        <w:tc>
          <w:tcPr>
            <w:tcW w:w="1191"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szCs w:val="24"/>
                <w:highlight w:val="none"/>
              </w:rPr>
              <w:t>技术响应情况</w:t>
            </w:r>
          </w:p>
        </w:tc>
        <w:tc>
          <w:tcPr>
            <w:tcW w:w="6946" w:type="dxa"/>
            <w:tcBorders>
              <w:left w:val="single" w:color="auto" w:sz="4" w:space="0"/>
            </w:tcBorders>
            <w:vAlign w:val="center"/>
          </w:tcPr>
          <w:p>
            <w:pPr>
              <w:spacing w:line="360" w:lineRule="auto"/>
              <w:ind w:firstLine="0" w:firstLineChars="0"/>
              <w:rPr>
                <w:rFonts w:hint="eastAsia"/>
                <w:color w:val="auto"/>
                <w:szCs w:val="24"/>
                <w:highlight w:val="none"/>
              </w:rPr>
            </w:pPr>
            <w:r>
              <w:rPr>
                <w:rFonts w:hint="eastAsia"/>
                <w:color w:val="auto"/>
                <w:szCs w:val="24"/>
                <w:highlight w:val="none"/>
              </w:rPr>
              <w:t>评委根据各投标人的技术响应情况进行打分：①采购需求中打“★”的为实质性响应指标，负偏离做无效标处理；②采购需求中打“▲”号的为重要响应指标，每负偏离一项扣2分。③其他技术指标每负偏离一项扣1分，扣完为止。投标人响应全部采购需求的得满分10分。</w:t>
            </w:r>
          </w:p>
          <w:p>
            <w:pPr>
              <w:spacing w:line="360" w:lineRule="auto"/>
              <w:ind w:firstLine="0" w:firstLineChars="0"/>
              <w:rPr>
                <w:rFonts w:hint="eastAsia"/>
                <w:color w:val="auto"/>
                <w:highlight w:val="none"/>
              </w:rPr>
            </w:pPr>
            <w:r>
              <w:rPr>
                <w:rFonts w:hint="eastAsia"/>
                <w:b/>
                <w:bCs/>
                <w:color w:val="auto"/>
                <w:szCs w:val="24"/>
                <w:highlight w:val="none"/>
              </w:rPr>
              <w:t>（注：投标人应在技术偏离表中对照采购需求和自身响应情况进行逐一真实填列；招标文件要求提供证明材料的须按要求提供，未提供或所供材料无法佐证该项技术指标响应情况的按负偏离处理）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Align w:val="center"/>
          </w:tcPr>
          <w:p>
            <w:pPr>
              <w:spacing w:line="360" w:lineRule="auto"/>
              <w:ind w:firstLine="0" w:firstLineChars="0"/>
              <w:jc w:val="center"/>
              <w:rPr>
                <w:rFonts w:hint="eastAsia"/>
                <w:color w:val="auto"/>
                <w:highlight w:val="none"/>
              </w:rPr>
            </w:pPr>
            <w:r>
              <w:rPr>
                <w:rFonts w:hint="eastAsia"/>
                <w:color w:val="auto"/>
                <w:highlight w:val="none"/>
              </w:rPr>
              <w:t>4</w:t>
            </w:r>
          </w:p>
        </w:tc>
        <w:tc>
          <w:tcPr>
            <w:tcW w:w="1191"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项目理解</w:t>
            </w: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szCs w:val="24"/>
                <w:highlight w:val="none"/>
              </w:rPr>
              <w:t>评委</w:t>
            </w:r>
            <w:r>
              <w:rPr>
                <w:rFonts w:hint="eastAsia"/>
                <w:color w:val="auto"/>
                <w:highlight w:val="none"/>
              </w:rPr>
              <w:t>根据投标人对本项目集约化平台及全省政府信息资源库建设情况、项</w:t>
            </w:r>
            <w:r>
              <w:rPr>
                <w:rFonts w:hint="eastAsia"/>
                <w:color w:val="auto"/>
                <w:szCs w:val="24"/>
                <w:highlight w:val="none"/>
              </w:rPr>
              <w:t>目</w:t>
            </w:r>
            <w:r>
              <w:rPr>
                <w:rFonts w:hint="eastAsia"/>
                <w:color w:val="auto"/>
                <w:highlight w:val="none"/>
              </w:rPr>
              <w:t>背景、建设规范与建设目标等</w:t>
            </w:r>
            <w:r>
              <w:rPr>
                <w:rFonts w:hint="eastAsia"/>
                <w:color w:val="auto"/>
                <w:szCs w:val="24"/>
                <w:highlight w:val="none"/>
              </w:rPr>
              <w:t>方面的理解与分析</w:t>
            </w:r>
            <w:r>
              <w:rPr>
                <w:rFonts w:hint="eastAsia"/>
                <w:color w:val="auto"/>
                <w:highlight w:val="none"/>
              </w:rPr>
              <w:t>进行</w:t>
            </w:r>
            <w:r>
              <w:rPr>
                <w:rFonts w:hint="eastAsia"/>
                <w:color w:val="auto"/>
                <w:szCs w:val="24"/>
                <w:highlight w:val="none"/>
              </w:rPr>
              <w:t>综合对比打分：</w:t>
            </w:r>
          </w:p>
          <w:p>
            <w:pPr>
              <w:spacing w:line="360" w:lineRule="auto"/>
              <w:ind w:firstLine="0" w:firstLineChars="0"/>
              <w:rPr>
                <w:rFonts w:hint="eastAsia"/>
                <w:color w:val="auto"/>
                <w:highlight w:val="none"/>
              </w:rPr>
            </w:pPr>
            <w:r>
              <w:rPr>
                <w:rFonts w:hint="eastAsia"/>
                <w:color w:val="auto"/>
                <w:szCs w:val="24"/>
                <w:highlight w:val="none"/>
              </w:rPr>
              <w:t>（1）</w:t>
            </w:r>
            <w:r>
              <w:rPr>
                <w:rFonts w:hint="eastAsia"/>
                <w:color w:val="auto"/>
                <w:highlight w:val="none"/>
              </w:rPr>
              <w:t>内容完善合理，各项分析</w:t>
            </w:r>
            <w:r>
              <w:rPr>
                <w:rFonts w:hint="eastAsia"/>
                <w:color w:val="auto"/>
                <w:szCs w:val="24"/>
                <w:highlight w:val="none"/>
              </w:rPr>
              <w:t>贴</w:t>
            </w:r>
            <w:r>
              <w:rPr>
                <w:rFonts w:hint="eastAsia"/>
                <w:color w:val="auto"/>
                <w:highlight w:val="none"/>
              </w:rPr>
              <w:t>合项目实际情况的，得</w:t>
            </w:r>
            <w:r>
              <w:rPr>
                <w:rFonts w:hint="eastAsia"/>
                <w:color w:val="auto"/>
                <w:szCs w:val="24"/>
                <w:highlight w:val="none"/>
              </w:rPr>
              <w:t>(2-5]</w:t>
            </w:r>
            <w:r>
              <w:rPr>
                <w:rFonts w:hint="eastAsia"/>
                <w:color w:val="auto"/>
                <w:highlight w:val="none"/>
              </w:rPr>
              <w:t>分；</w:t>
            </w:r>
            <w:r>
              <w:rPr>
                <w:rFonts w:hint="eastAsia"/>
                <w:color w:val="auto"/>
                <w:highlight w:val="none"/>
              </w:rPr>
              <w:br w:type="textWrapping"/>
            </w:r>
            <w:r>
              <w:rPr>
                <w:rFonts w:hint="eastAsia"/>
                <w:color w:val="auto"/>
                <w:szCs w:val="24"/>
                <w:highlight w:val="none"/>
              </w:rPr>
              <w:t>（2）</w:t>
            </w:r>
            <w:r>
              <w:rPr>
                <w:rFonts w:hint="eastAsia"/>
                <w:color w:val="auto"/>
                <w:highlight w:val="none"/>
              </w:rPr>
              <w:t>内容缺失，</w:t>
            </w:r>
            <w:r>
              <w:rPr>
                <w:rFonts w:hint="eastAsia"/>
                <w:color w:val="auto"/>
                <w:szCs w:val="24"/>
                <w:highlight w:val="none"/>
              </w:rPr>
              <w:t>各项分析偏离</w:t>
            </w:r>
            <w:r>
              <w:rPr>
                <w:rFonts w:hint="eastAsia"/>
                <w:color w:val="auto"/>
                <w:highlight w:val="none"/>
              </w:rPr>
              <w:t>项目实际</w:t>
            </w:r>
            <w:r>
              <w:rPr>
                <w:rFonts w:hint="eastAsia"/>
                <w:color w:val="auto"/>
                <w:szCs w:val="24"/>
                <w:highlight w:val="none"/>
              </w:rPr>
              <w:t>情况</w:t>
            </w:r>
            <w:r>
              <w:rPr>
                <w:rFonts w:hint="eastAsia"/>
                <w:color w:val="auto"/>
                <w:highlight w:val="none"/>
              </w:rPr>
              <w:t>的，得</w:t>
            </w:r>
            <w:r>
              <w:rPr>
                <w:rFonts w:hint="eastAsia"/>
                <w:color w:val="auto"/>
                <w:szCs w:val="24"/>
                <w:highlight w:val="none"/>
              </w:rPr>
              <w:t>(0-2]</w:t>
            </w:r>
            <w:r>
              <w:rPr>
                <w:rFonts w:hint="eastAsia"/>
                <w:color w:val="auto"/>
                <w:highlight w:val="none"/>
              </w:rPr>
              <w:t>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restart"/>
            <w:vAlign w:val="center"/>
          </w:tcPr>
          <w:p>
            <w:pPr>
              <w:spacing w:line="360" w:lineRule="auto"/>
              <w:ind w:firstLine="0" w:firstLineChars="0"/>
              <w:jc w:val="center"/>
              <w:rPr>
                <w:rFonts w:hint="eastAsia"/>
                <w:color w:val="auto"/>
                <w:highlight w:val="none"/>
              </w:rPr>
            </w:pPr>
            <w:r>
              <w:rPr>
                <w:rFonts w:hint="eastAsia"/>
                <w:color w:val="auto"/>
                <w:highlight w:val="none"/>
              </w:rPr>
              <w:t>5</w:t>
            </w:r>
          </w:p>
        </w:tc>
        <w:tc>
          <w:tcPr>
            <w:tcW w:w="1191" w:type="dxa"/>
            <w:vMerge w:val="restart"/>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技术方案</w:t>
            </w: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①</w:t>
            </w:r>
            <w:r>
              <w:rPr>
                <w:rFonts w:hint="eastAsia"/>
                <w:color w:val="auto"/>
                <w:szCs w:val="24"/>
                <w:highlight w:val="none"/>
              </w:rPr>
              <w:t>评委</w:t>
            </w:r>
            <w:r>
              <w:rPr>
                <w:rFonts w:hint="eastAsia"/>
                <w:color w:val="auto"/>
                <w:highlight w:val="none"/>
              </w:rPr>
              <w:t>根据投标人针对本项目的技术开发路线以及整体技术架构的技术方案进行</w:t>
            </w:r>
            <w:r>
              <w:rPr>
                <w:rFonts w:hint="eastAsia"/>
                <w:color w:val="auto"/>
                <w:szCs w:val="24"/>
                <w:highlight w:val="none"/>
              </w:rPr>
              <w:t>综合对比打分：</w:t>
            </w:r>
          </w:p>
          <w:p>
            <w:pPr>
              <w:spacing w:line="360" w:lineRule="auto"/>
              <w:ind w:firstLine="0" w:firstLineChars="0"/>
              <w:rPr>
                <w:rFonts w:hint="eastAsia"/>
                <w:color w:val="auto"/>
                <w:highlight w:val="none"/>
              </w:rPr>
            </w:pPr>
            <w:r>
              <w:rPr>
                <w:rFonts w:hint="eastAsia"/>
                <w:color w:val="auto"/>
                <w:szCs w:val="24"/>
                <w:highlight w:val="none"/>
              </w:rPr>
              <w:t>（1）</w:t>
            </w:r>
            <w:r>
              <w:rPr>
                <w:rFonts w:hint="eastAsia"/>
                <w:color w:val="auto"/>
                <w:highlight w:val="none"/>
              </w:rPr>
              <w:t>方案描述详细且确实可行，针对性强，</w:t>
            </w:r>
            <w:r>
              <w:rPr>
                <w:rFonts w:hint="eastAsia"/>
                <w:color w:val="auto"/>
                <w:szCs w:val="24"/>
                <w:highlight w:val="none"/>
              </w:rPr>
              <w:t>思路清晰的，</w:t>
            </w:r>
            <w:r>
              <w:rPr>
                <w:rFonts w:hint="eastAsia"/>
                <w:color w:val="auto"/>
                <w:highlight w:val="none"/>
              </w:rPr>
              <w:t>得</w:t>
            </w:r>
            <w:r>
              <w:rPr>
                <w:rFonts w:hint="eastAsia"/>
                <w:color w:val="auto"/>
                <w:szCs w:val="24"/>
                <w:highlight w:val="none"/>
              </w:rPr>
              <w:t>(2-4]</w:t>
            </w:r>
            <w:r>
              <w:rPr>
                <w:rFonts w:hint="eastAsia"/>
                <w:color w:val="auto"/>
                <w:highlight w:val="none"/>
              </w:rPr>
              <w:t>分；</w:t>
            </w:r>
          </w:p>
          <w:p>
            <w:pPr>
              <w:spacing w:line="360" w:lineRule="auto"/>
              <w:ind w:firstLine="0" w:firstLineChars="0"/>
              <w:rPr>
                <w:rFonts w:hint="eastAsia"/>
                <w:color w:val="auto"/>
                <w:highlight w:val="none"/>
              </w:rPr>
            </w:pPr>
            <w:r>
              <w:rPr>
                <w:rFonts w:hint="eastAsia"/>
                <w:color w:val="auto"/>
                <w:szCs w:val="24"/>
                <w:highlight w:val="none"/>
              </w:rPr>
              <w:t>（2）</w:t>
            </w:r>
            <w:r>
              <w:rPr>
                <w:rFonts w:hint="eastAsia"/>
                <w:color w:val="auto"/>
                <w:highlight w:val="none"/>
              </w:rPr>
              <w:t>方案有缺失，内容简单，思路不清晰的</w:t>
            </w:r>
            <w:r>
              <w:rPr>
                <w:rFonts w:hint="eastAsia"/>
                <w:color w:val="auto"/>
                <w:szCs w:val="24"/>
                <w:highlight w:val="none"/>
              </w:rPr>
              <w:t>，得(0-2]</w:t>
            </w:r>
            <w:r>
              <w:rPr>
                <w:rFonts w:hint="eastAsia"/>
                <w:color w:val="auto"/>
                <w:highlight w:val="none"/>
              </w:rPr>
              <w:t>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continue"/>
            <w:vAlign w:val="center"/>
          </w:tcPr>
          <w:p>
            <w:pPr>
              <w:spacing w:line="360" w:lineRule="auto"/>
              <w:ind w:firstLine="480"/>
              <w:rPr>
                <w:rFonts w:hint="eastAsia"/>
                <w:color w:val="auto"/>
                <w:highlight w:val="none"/>
              </w:rPr>
            </w:pPr>
          </w:p>
        </w:tc>
        <w:tc>
          <w:tcPr>
            <w:tcW w:w="1191" w:type="dxa"/>
            <w:vMerge w:val="continue"/>
            <w:tcBorders>
              <w:left w:val="single" w:color="auto" w:sz="4" w:space="0"/>
            </w:tcBorders>
            <w:vAlign w:val="center"/>
          </w:tcPr>
          <w:p>
            <w:pPr>
              <w:spacing w:line="360" w:lineRule="auto"/>
              <w:ind w:firstLine="480"/>
              <w:rPr>
                <w:rFonts w:hint="eastAsia"/>
                <w:color w:val="auto"/>
                <w:highlight w:val="none"/>
              </w:rPr>
            </w:pP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②</w:t>
            </w:r>
            <w:r>
              <w:rPr>
                <w:rFonts w:hint="eastAsia"/>
                <w:color w:val="auto"/>
                <w:szCs w:val="24"/>
                <w:highlight w:val="none"/>
              </w:rPr>
              <w:t>评委根据</w:t>
            </w:r>
            <w:r>
              <w:rPr>
                <w:rFonts w:hint="eastAsia"/>
                <w:color w:val="auto"/>
                <w:highlight w:val="none"/>
              </w:rPr>
              <w:t>投标人对本项目政府门户网站的功能定位的技术方案进行</w:t>
            </w:r>
            <w:r>
              <w:rPr>
                <w:rFonts w:hint="eastAsia"/>
                <w:color w:val="auto"/>
                <w:szCs w:val="24"/>
                <w:highlight w:val="none"/>
              </w:rPr>
              <w:t>综合对比打分</w:t>
            </w:r>
            <w:r>
              <w:rPr>
                <w:rFonts w:hint="eastAsia"/>
                <w:color w:val="auto"/>
                <w:highlight w:val="none"/>
              </w:rPr>
              <w:t>：</w:t>
            </w:r>
          </w:p>
          <w:p>
            <w:pPr>
              <w:spacing w:line="360" w:lineRule="auto"/>
              <w:ind w:firstLine="0" w:firstLineChars="0"/>
              <w:rPr>
                <w:rFonts w:hint="eastAsia"/>
                <w:color w:val="auto"/>
                <w:highlight w:val="none"/>
              </w:rPr>
            </w:pPr>
            <w:r>
              <w:rPr>
                <w:rFonts w:hint="eastAsia"/>
                <w:color w:val="auto"/>
                <w:szCs w:val="24"/>
                <w:highlight w:val="none"/>
              </w:rPr>
              <w:t>（1）</w:t>
            </w:r>
            <w:r>
              <w:rPr>
                <w:rFonts w:hint="eastAsia"/>
                <w:color w:val="auto"/>
                <w:highlight w:val="none"/>
              </w:rPr>
              <w:t>方案详细可行，针对性强，</w:t>
            </w:r>
            <w:r>
              <w:rPr>
                <w:rFonts w:hint="eastAsia"/>
                <w:color w:val="auto"/>
                <w:szCs w:val="24"/>
                <w:highlight w:val="none"/>
              </w:rPr>
              <w:t>思路清晰的，</w:t>
            </w:r>
            <w:r>
              <w:rPr>
                <w:rFonts w:hint="eastAsia"/>
                <w:color w:val="auto"/>
                <w:highlight w:val="none"/>
              </w:rPr>
              <w:t>得</w:t>
            </w:r>
            <w:r>
              <w:rPr>
                <w:rFonts w:hint="default"/>
                <w:color w:val="auto"/>
                <w:highlight w:val="none"/>
              </w:rPr>
              <w:t>（</w:t>
            </w:r>
            <w:r>
              <w:rPr>
                <w:rFonts w:hint="eastAsia"/>
                <w:color w:val="auto"/>
                <w:szCs w:val="24"/>
                <w:highlight w:val="none"/>
              </w:rPr>
              <w:t>2-4]</w:t>
            </w:r>
            <w:r>
              <w:rPr>
                <w:rFonts w:hint="eastAsia"/>
                <w:color w:val="auto"/>
                <w:highlight w:val="none"/>
              </w:rPr>
              <w:t>分；</w:t>
            </w:r>
          </w:p>
          <w:p>
            <w:pPr>
              <w:spacing w:line="360" w:lineRule="auto"/>
              <w:ind w:firstLine="0" w:firstLineChars="0"/>
              <w:rPr>
                <w:rFonts w:hint="eastAsia"/>
                <w:color w:val="auto"/>
                <w:highlight w:val="none"/>
              </w:rPr>
            </w:pPr>
            <w:r>
              <w:rPr>
                <w:rFonts w:hint="eastAsia"/>
                <w:color w:val="auto"/>
                <w:szCs w:val="24"/>
                <w:highlight w:val="none"/>
              </w:rPr>
              <w:t>（2）</w:t>
            </w:r>
            <w:r>
              <w:rPr>
                <w:rFonts w:hint="eastAsia"/>
                <w:color w:val="auto"/>
                <w:highlight w:val="none"/>
              </w:rPr>
              <w:t>方案有缺失，内容简单，思路不清晰的</w:t>
            </w:r>
            <w:r>
              <w:rPr>
                <w:rFonts w:hint="eastAsia"/>
                <w:color w:val="auto"/>
                <w:szCs w:val="24"/>
                <w:highlight w:val="none"/>
              </w:rPr>
              <w:t>，得(0-2]</w:t>
            </w:r>
            <w:r>
              <w:rPr>
                <w:rFonts w:hint="eastAsia"/>
                <w:color w:val="auto"/>
                <w:highlight w:val="none"/>
              </w:rPr>
              <w:t>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continue"/>
            <w:vAlign w:val="center"/>
          </w:tcPr>
          <w:p>
            <w:pPr>
              <w:spacing w:line="360" w:lineRule="auto"/>
              <w:ind w:firstLine="480"/>
              <w:rPr>
                <w:rFonts w:hint="eastAsia"/>
                <w:color w:val="auto"/>
                <w:highlight w:val="none"/>
              </w:rPr>
            </w:pPr>
          </w:p>
        </w:tc>
        <w:tc>
          <w:tcPr>
            <w:tcW w:w="1191" w:type="dxa"/>
            <w:vMerge w:val="continue"/>
            <w:tcBorders>
              <w:left w:val="single" w:color="auto" w:sz="4" w:space="0"/>
            </w:tcBorders>
            <w:vAlign w:val="center"/>
          </w:tcPr>
          <w:p>
            <w:pPr>
              <w:spacing w:line="360" w:lineRule="auto"/>
              <w:ind w:firstLine="480"/>
              <w:rPr>
                <w:rFonts w:hint="eastAsia"/>
                <w:color w:val="auto"/>
                <w:highlight w:val="none"/>
              </w:rPr>
            </w:pP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③</w:t>
            </w:r>
            <w:r>
              <w:rPr>
                <w:rFonts w:hint="eastAsia"/>
                <w:color w:val="auto"/>
                <w:szCs w:val="24"/>
                <w:highlight w:val="none"/>
              </w:rPr>
              <w:t>评委根据</w:t>
            </w:r>
            <w:r>
              <w:rPr>
                <w:rFonts w:hint="eastAsia"/>
                <w:color w:val="auto"/>
                <w:highlight w:val="none"/>
              </w:rPr>
              <w:t>投标人提供基于集约化平台对网站相关栏目、平台的建设方案、政务公开平台优化方案等方面进行</w:t>
            </w:r>
            <w:r>
              <w:rPr>
                <w:rFonts w:hint="eastAsia"/>
                <w:color w:val="auto"/>
                <w:szCs w:val="24"/>
                <w:highlight w:val="none"/>
              </w:rPr>
              <w:t>综合对比打分</w:t>
            </w:r>
            <w:r>
              <w:rPr>
                <w:rFonts w:hint="eastAsia"/>
                <w:color w:val="auto"/>
                <w:highlight w:val="none"/>
              </w:rPr>
              <w:t>：</w:t>
            </w:r>
          </w:p>
          <w:p>
            <w:pPr>
              <w:spacing w:line="360" w:lineRule="auto"/>
              <w:ind w:firstLine="0" w:firstLineChars="0"/>
              <w:rPr>
                <w:rFonts w:hint="eastAsia"/>
                <w:color w:val="auto"/>
                <w:highlight w:val="none"/>
              </w:rPr>
            </w:pPr>
            <w:r>
              <w:rPr>
                <w:rFonts w:hint="eastAsia"/>
                <w:color w:val="auto"/>
                <w:szCs w:val="24"/>
                <w:highlight w:val="none"/>
              </w:rPr>
              <w:t>（1）</w:t>
            </w:r>
            <w:r>
              <w:rPr>
                <w:rFonts w:hint="eastAsia"/>
                <w:color w:val="auto"/>
                <w:highlight w:val="none"/>
              </w:rPr>
              <w:t>方案详细可行，针对性强，</w:t>
            </w:r>
            <w:r>
              <w:rPr>
                <w:rFonts w:hint="eastAsia"/>
                <w:color w:val="auto"/>
                <w:szCs w:val="24"/>
                <w:highlight w:val="none"/>
              </w:rPr>
              <w:t>思路清晰的，</w:t>
            </w:r>
            <w:r>
              <w:rPr>
                <w:rFonts w:hint="eastAsia"/>
                <w:color w:val="auto"/>
                <w:highlight w:val="none"/>
              </w:rPr>
              <w:t>得</w:t>
            </w:r>
            <w:r>
              <w:rPr>
                <w:rFonts w:hint="eastAsia"/>
                <w:color w:val="auto"/>
                <w:szCs w:val="24"/>
                <w:highlight w:val="none"/>
              </w:rPr>
              <w:t>(3-6]</w:t>
            </w:r>
            <w:r>
              <w:rPr>
                <w:rFonts w:hint="eastAsia"/>
                <w:color w:val="auto"/>
                <w:highlight w:val="none"/>
              </w:rPr>
              <w:t>分；</w:t>
            </w:r>
          </w:p>
          <w:p>
            <w:pPr>
              <w:spacing w:line="360" w:lineRule="auto"/>
              <w:ind w:firstLine="0" w:firstLineChars="0"/>
              <w:rPr>
                <w:rFonts w:hint="eastAsia"/>
                <w:color w:val="auto"/>
                <w:highlight w:val="none"/>
              </w:rPr>
            </w:pPr>
            <w:r>
              <w:rPr>
                <w:rFonts w:hint="eastAsia"/>
                <w:color w:val="auto"/>
                <w:szCs w:val="24"/>
                <w:highlight w:val="none"/>
              </w:rPr>
              <w:t>（2）</w:t>
            </w:r>
            <w:r>
              <w:rPr>
                <w:rFonts w:hint="eastAsia"/>
                <w:color w:val="auto"/>
                <w:highlight w:val="none"/>
              </w:rPr>
              <w:t>方案有缺失，内容简单，思路不清晰的</w:t>
            </w:r>
            <w:r>
              <w:rPr>
                <w:rFonts w:hint="eastAsia"/>
                <w:color w:val="auto"/>
                <w:szCs w:val="24"/>
                <w:highlight w:val="none"/>
              </w:rPr>
              <w:t>，得(0-3]</w:t>
            </w:r>
            <w:r>
              <w:rPr>
                <w:rFonts w:hint="eastAsia"/>
                <w:color w:val="auto"/>
                <w:highlight w:val="none"/>
              </w:rPr>
              <w:t>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continue"/>
            <w:vAlign w:val="center"/>
          </w:tcPr>
          <w:p>
            <w:pPr>
              <w:spacing w:line="360" w:lineRule="auto"/>
              <w:ind w:firstLine="480"/>
              <w:rPr>
                <w:rFonts w:hint="eastAsia"/>
                <w:color w:val="auto"/>
                <w:highlight w:val="none"/>
              </w:rPr>
            </w:pPr>
          </w:p>
        </w:tc>
        <w:tc>
          <w:tcPr>
            <w:tcW w:w="1191" w:type="dxa"/>
            <w:vMerge w:val="continue"/>
            <w:tcBorders>
              <w:left w:val="single" w:color="auto" w:sz="4" w:space="0"/>
            </w:tcBorders>
            <w:vAlign w:val="center"/>
          </w:tcPr>
          <w:p>
            <w:pPr>
              <w:spacing w:line="360" w:lineRule="auto"/>
              <w:ind w:firstLine="480"/>
              <w:rPr>
                <w:rFonts w:hint="eastAsia"/>
                <w:color w:val="auto"/>
                <w:highlight w:val="none"/>
              </w:rPr>
            </w:pP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④</w:t>
            </w:r>
            <w:r>
              <w:rPr>
                <w:rFonts w:hint="eastAsia"/>
                <w:color w:val="auto"/>
                <w:szCs w:val="24"/>
                <w:highlight w:val="none"/>
              </w:rPr>
              <w:t>评委根据</w:t>
            </w:r>
            <w:r>
              <w:rPr>
                <w:rFonts w:hint="eastAsia"/>
                <w:color w:val="auto"/>
                <w:highlight w:val="none"/>
              </w:rPr>
              <w:t>投标人提供接口设计方案，了解集约化平台的数据互通规范，满足数据互联互通的要求，实现数据同步等方面进行</w:t>
            </w:r>
            <w:r>
              <w:rPr>
                <w:rFonts w:hint="eastAsia"/>
                <w:color w:val="auto"/>
                <w:szCs w:val="24"/>
                <w:highlight w:val="none"/>
              </w:rPr>
              <w:t>综合对比打分</w:t>
            </w:r>
            <w:r>
              <w:rPr>
                <w:rFonts w:hint="eastAsia"/>
                <w:color w:val="auto"/>
                <w:highlight w:val="none"/>
              </w:rPr>
              <w:t>：</w:t>
            </w:r>
          </w:p>
          <w:p>
            <w:pPr>
              <w:spacing w:line="360" w:lineRule="auto"/>
              <w:ind w:firstLine="0" w:firstLineChars="0"/>
              <w:rPr>
                <w:rFonts w:hint="eastAsia"/>
                <w:color w:val="auto"/>
                <w:highlight w:val="none"/>
              </w:rPr>
            </w:pPr>
            <w:r>
              <w:rPr>
                <w:rFonts w:hint="eastAsia"/>
                <w:color w:val="auto"/>
                <w:szCs w:val="24"/>
                <w:highlight w:val="none"/>
              </w:rPr>
              <w:t>（1）</w:t>
            </w:r>
            <w:r>
              <w:rPr>
                <w:rFonts w:hint="eastAsia"/>
                <w:color w:val="auto"/>
                <w:highlight w:val="none"/>
              </w:rPr>
              <w:t>方案详细可行，针对性强，</w:t>
            </w:r>
            <w:r>
              <w:rPr>
                <w:rFonts w:hint="eastAsia"/>
                <w:color w:val="auto"/>
                <w:szCs w:val="24"/>
                <w:highlight w:val="none"/>
              </w:rPr>
              <w:t>思路清晰的，</w:t>
            </w:r>
            <w:r>
              <w:rPr>
                <w:rFonts w:hint="eastAsia"/>
                <w:color w:val="auto"/>
                <w:highlight w:val="none"/>
              </w:rPr>
              <w:t>得</w:t>
            </w:r>
            <w:r>
              <w:rPr>
                <w:rFonts w:hint="eastAsia"/>
                <w:color w:val="auto"/>
                <w:szCs w:val="24"/>
                <w:highlight w:val="none"/>
              </w:rPr>
              <w:t>(2-4]</w:t>
            </w:r>
            <w:r>
              <w:rPr>
                <w:rFonts w:hint="eastAsia"/>
                <w:color w:val="auto"/>
                <w:highlight w:val="none"/>
              </w:rPr>
              <w:t>分；</w:t>
            </w:r>
          </w:p>
          <w:p>
            <w:pPr>
              <w:spacing w:line="360" w:lineRule="auto"/>
              <w:ind w:firstLine="0" w:firstLineChars="0"/>
              <w:rPr>
                <w:rFonts w:hint="eastAsia"/>
                <w:color w:val="auto"/>
                <w:highlight w:val="none"/>
              </w:rPr>
            </w:pPr>
            <w:r>
              <w:rPr>
                <w:rFonts w:hint="eastAsia"/>
                <w:color w:val="auto"/>
                <w:szCs w:val="24"/>
                <w:highlight w:val="none"/>
              </w:rPr>
              <w:t>（2）</w:t>
            </w:r>
            <w:r>
              <w:rPr>
                <w:rFonts w:hint="eastAsia"/>
                <w:color w:val="auto"/>
                <w:highlight w:val="none"/>
              </w:rPr>
              <w:t>方案有缺失，内容简单，思路不清晰的</w:t>
            </w:r>
            <w:r>
              <w:rPr>
                <w:rFonts w:hint="eastAsia"/>
                <w:color w:val="auto"/>
                <w:szCs w:val="24"/>
                <w:highlight w:val="none"/>
              </w:rPr>
              <w:t>，得(0-2]</w:t>
            </w:r>
            <w:r>
              <w:rPr>
                <w:rFonts w:hint="eastAsia"/>
                <w:color w:val="auto"/>
                <w:highlight w:val="none"/>
              </w:rPr>
              <w:t>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Align w:val="center"/>
          </w:tcPr>
          <w:p>
            <w:pPr>
              <w:spacing w:line="360" w:lineRule="auto"/>
              <w:ind w:firstLine="0" w:firstLineChars="0"/>
              <w:jc w:val="center"/>
              <w:rPr>
                <w:rFonts w:hint="eastAsia"/>
                <w:color w:val="auto"/>
                <w:highlight w:val="none"/>
              </w:rPr>
            </w:pPr>
            <w:r>
              <w:rPr>
                <w:rFonts w:hint="eastAsia"/>
                <w:color w:val="auto"/>
                <w:highlight w:val="none"/>
              </w:rPr>
              <w:t>6</w:t>
            </w:r>
          </w:p>
        </w:tc>
        <w:tc>
          <w:tcPr>
            <w:tcW w:w="1191"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szCs w:val="24"/>
                <w:highlight w:val="none"/>
              </w:rPr>
              <w:t>视频演示</w:t>
            </w:r>
          </w:p>
        </w:tc>
        <w:tc>
          <w:tcPr>
            <w:tcW w:w="6946" w:type="dxa"/>
            <w:tcBorders>
              <w:left w:val="single" w:color="auto" w:sz="4" w:space="0"/>
            </w:tcBorders>
            <w:vAlign w:val="center"/>
          </w:tcPr>
          <w:p>
            <w:pPr>
              <w:widowControl/>
              <w:adjustRightInd/>
              <w:spacing w:line="360" w:lineRule="auto"/>
              <w:ind w:firstLine="0" w:firstLineChars="0"/>
              <w:jc w:val="left"/>
              <w:rPr>
                <w:rFonts w:hint="eastAsia"/>
                <w:color w:val="auto"/>
                <w:szCs w:val="24"/>
                <w:highlight w:val="none"/>
              </w:rPr>
            </w:pPr>
            <w:r>
              <w:rPr>
                <w:rFonts w:hint="eastAsia"/>
                <w:color w:val="auto"/>
                <w:szCs w:val="24"/>
                <w:highlight w:val="none"/>
              </w:rPr>
              <w:t>投标人根据以下5项功能提供针对集约化平台内门户网站管理基础能力和系统各项基础功能的视频演示；</w:t>
            </w:r>
            <w:r>
              <w:rPr>
                <w:rFonts w:hint="eastAsia"/>
                <w:color w:val="auto"/>
                <w:szCs w:val="24"/>
                <w:highlight w:val="none"/>
                <w:lang w:bidi="ar"/>
              </w:rPr>
              <w:t>演示相关要求详见本表后“</w:t>
            </w:r>
            <w:r>
              <w:rPr>
                <w:rFonts w:hint="eastAsia"/>
                <w:b/>
                <w:bCs/>
                <w:color w:val="auto"/>
                <w:szCs w:val="24"/>
                <w:highlight w:val="none"/>
                <w:lang w:bidi="ar"/>
              </w:rPr>
              <w:t>视频</w:t>
            </w:r>
            <w:r>
              <w:rPr>
                <w:rFonts w:hint="eastAsia"/>
                <w:b/>
                <w:bCs/>
                <w:iCs/>
                <w:color w:val="auto"/>
                <w:szCs w:val="24"/>
                <w:highlight w:val="none"/>
              </w:rPr>
              <w:t>演示相关要求</w:t>
            </w:r>
            <w:r>
              <w:rPr>
                <w:rFonts w:hint="eastAsia"/>
                <w:color w:val="auto"/>
                <w:szCs w:val="24"/>
                <w:highlight w:val="none"/>
                <w:lang w:bidi="ar"/>
              </w:rPr>
              <w:t>”。</w:t>
            </w:r>
          </w:p>
          <w:p>
            <w:pPr>
              <w:spacing w:line="360" w:lineRule="auto"/>
              <w:ind w:firstLineChars="0"/>
              <w:jc w:val="left"/>
              <w:rPr>
                <w:rFonts w:hint="eastAsia"/>
                <w:color w:val="auto"/>
                <w:highlight w:val="none"/>
              </w:rPr>
            </w:pPr>
            <w:r>
              <w:rPr>
                <w:rFonts w:hint="eastAsia"/>
                <w:color w:val="auto"/>
                <w:highlight w:val="none"/>
                <w:lang w:val="en-US" w:eastAsia="zh-CN"/>
              </w:rPr>
              <w:t>视频演示</w:t>
            </w:r>
            <w:r>
              <w:rPr>
                <w:rFonts w:hint="eastAsia"/>
                <w:color w:val="auto"/>
                <w:highlight w:val="none"/>
              </w:rPr>
              <w:t>主要包括</w:t>
            </w:r>
            <w:r>
              <w:rPr>
                <w:rFonts w:hint="eastAsia"/>
                <w:color w:val="auto"/>
                <w:highlight w:val="none"/>
                <w:lang w:val="en-US" w:eastAsia="zh-CN"/>
              </w:rPr>
              <w:t>以下5个功能项</w:t>
            </w:r>
            <w:r>
              <w:rPr>
                <w:rFonts w:hint="eastAsia"/>
                <w:color w:val="auto"/>
                <w:highlight w:val="none"/>
              </w:rPr>
              <w:t>：</w:t>
            </w:r>
          </w:p>
          <w:p>
            <w:pPr>
              <w:spacing w:line="360" w:lineRule="auto"/>
              <w:ind w:firstLineChars="0"/>
              <w:jc w:val="left"/>
              <w:rPr>
                <w:rFonts w:hint="eastAsia"/>
                <w:color w:val="auto"/>
                <w:highlight w:val="none"/>
              </w:rPr>
            </w:pPr>
            <w:r>
              <w:rPr>
                <w:rFonts w:hint="eastAsia"/>
                <w:color w:val="auto"/>
                <w:highlight w:val="none"/>
              </w:rPr>
              <w:t>①各部门之间的栏目信息与首页栏目信息的呈送与抓取；</w:t>
            </w:r>
          </w:p>
          <w:p>
            <w:pPr>
              <w:spacing w:line="360" w:lineRule="auto"/>
              <w:ind w:firstLineChars="0"/>
              <w:jc w:val="left"/>
              <w:rPr>
                <w:rFonts w:hint="eastAsia"/>
                <w:color w:val="auto"/>
                <w:highlight w:val="none"/>
              </w:rPr>
            </w:pPr>
            <w:r>
              <w:rPr>
                <w:rFonts w:hint="eastAsia"/>
                <w:color w:val="auto"/>
                <w:highlight w:val="none"/>
              </w:rPr>
              <w:t>②资源库中标准字段展示及个性化字段的添加；</w:t>
            </w:r>
          </w:p>
          <w:p>
            <w:pPr>
              <w:spacing w:line="360" w:lineRule="auto"/>
              <w:ind w:firstLineChars="0"/>
              <w:jc w:val="left"/>
              <w:rPr>
                <w:rFonts w:hint="eastAsia"/>
                <w:color w:val="auto"/>
                <w:highlight w:val="none"/>
              </w:rPr>
            </w:pPr>
            <w:r>
              <w:rPr>
                <w:rFonts w:hint="eastAsia"/>
                <w:color w:val="auto"/>
                <w:highlight w:val="none"/>
              </w:rPr>
              <w:t>③政策法规文件与政策解读的互联配置；</w:t>
            </w:r>
          </w:p>
          <w:p>
            <w:pPr>
              <w:spacing w:line="360" w:lineRule="auto"/>
              <w:ind w:firstLineChars="0"/>
              <w:jc w:val="left"/>
              <w:rPr>
                <w:rFonts w:hint="eastAsia"/>
                <w:color w:val="auto"/>
                <w:highlight w:val="none"/>
              </w:rPr>
            </w:pPr>
            <w:r>
              <w:rPr>
                <w:rFonts w:hint="eastAsia"/>
                <w:color w:val="auto"/>
                <w:highlight w:val="none"/>
              </w:rPr>
              <w:t>④专题的快速搭建包括可视化模板配置、机构用户配置；</w:t>
            </w:r>
          </w:p>
          <w:p>
            <w:pPr>
              <w:spacing w:line="360" w:lineRule="auto"/>
              <w:ind w:firstLineChars="0"/>
              <w:jc w:val="left"/>
              <w:rPr>
                <w:rFonts w:hint="eastAsia"/>
                <w:color w:val="auto"/>
                <w:highlight w:val="none"/>
              </w:rPr>
            </w:pPr>
            <w:r>
              <w:rPr>
                <w:rFonts w:hint="eastAsia"/>
                <w:color w:val="auto"/>
                <w:highlight w:val="none"/>
              </w:rPr>
              <w:t>⑤政府信息公开专栏中信息维护人员信息发布配置，包括信息定时发布，信息发布前纠错扫描；</w:t>
            </w:r>
          </w:p>
          <w:p>
            <w:pPr>
              <w:spacing w:line="360" w:lineRule="auto"/>
              <w:ind w:firstLineChars="0"/>
              <w:jc w:val="left"/>
              <w:rPr>
                <w:rFonts w:hint="eastAsia"/>
                <w:color w:val="auto"/>
                <w:highlight w:val="none"/>
              </w:rPr>
            </w:pPr>
            <w:r>
              <w:rPr>
                <w:rFonts w:hint="eastAsia"/>
                <w:b/>
                <w:bCs/>
                <w:color w:val="auto"/>
                <w:highlight w:val="none"/>
              </w:rPr>
              <w:t>得分标准：</w:t>
            </w:r>
          </w:p>
          <w:p>
            <w:pPr>
              <w:numPr>
                <w:ilvl w:val="0"/>
                <w:numId w:val="0"/>
              </w:numPr>
              <w:spacing w:line="360" w:lineRule="auto"/>
              <w:ind w:firstLine="240" w:firstLineChars="100"/>
              <w:jc w:val="left"/>
              <w:rPr>
                <w:rFonts w:hint="eastAsia"/>
                <w:color w:val="auto"/>
                <w:szCs w:val="24"/>
                <w:highlight w:val="none"/>
                <w:lang w:val="en-US" w:eastAsia="zh-CN"/>
              </w:rPr>
            </w:pPr>
            <w:r>
              <w:rPr>
                <w:rFonts w:hint="eastAsia"/>
                <w:color w:val="auto"/>
                <w:szCs w:val="24"/>
                <w:highlight w:val="none"/>
              </w:rPr>
              <w:t>以上每一项功能演示时</w:t>
            </w:r>
            <w:r>
              <w:rPr>
                <w:rFonts w:hint="eastAsia"/>
                <w:color w:val="auto"/>
                <w:szCs w:val="24"/>
                <w:highlight w:val="none"/>
                <w:lang w:val="en-US" w:eastAsia="zh-CN"/>
              </w:rPr>
              <w:t>:</w:t>
            </w:r>
          </w:p>
          <w:p>
            <w:pPr>
              <w:numPr>
                <w:ilvl w:val="0"/>
                <w:numId w:val="0"/>
              </w:numPr>
              <w:spacing w:line="360" w:lineRule="auto"/>
              <w:ind w:firstLine="240" w:firstLineChars="100"/>
              <w:jc w:val="left"/>
              <w:rPr>
                <w:rFonts w:hint="eastAsia"/>
                <w:color w:val="auto"/>
                <w:szCs w:val="24"/>
                <w:highlight w:val="none"/>
              </w:rPr>
            </w:pPr>
            <w:r>
              <w:rPr>
                <w:rFonts w:hint="eastAsia" w:ascii="宋体" w:hAnsi="宋体" w:eastAsia="宋体" w:cs="宋体"/>
                <w:color w:val="auto"/>
                <w:sz w:val="24"/>
                <w:szCs w:val="24"/>
                <w:lang w:val="en-US" w:eastAsia="zh-CN" w:bidi="ar-SA"/>
              </w:rPr>
              <w:t>（1）</w:t>
            </w:r>
            <w:r>
              <w:rPr>
                <w:rFonts w:hint="eastAsia"/>
                <w:color w:val="auto"/>
                <w:szCs w:val="24"/>
                <w:highlight w:val="none"/>
              </w:rPr>
              <w:t>功能完善、实现流程和操作衔接紧凑、完整清晰，同时设计风格简洁、界面美观、操作便捷实用的得(1-2]分；</w:t>
            </w:r>
          </w:p>
          <w:p>
            <w:pPr>
              <w:numPr>
                <w:ilvl w:val="0"/>
                <w:numId w:val="0"/>
              </w:numPr>
              <w:spacing w:line="360" w:lineRule="auto"/>
              <w:ind w:firstLine="240" w:firstLineChars="100"/>
              <w:jc w:val="left"/>
              <w:rPr>
                <w:rFonts w:hint="eastAsia"/>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2</w:t>
            </w:r>
            <w:r>
              <w:rPr>
                <w:rFonts w:hint="eastAsia"/>
                <w:color w:val="auto"/>
                <w:szCs w:val="24"/>
                <w:highlight w:val="none"/>
                <w:lang w:eastAsia="zh-CN"/>
              </w:rPr>
              <w:t>）</w:t>
            </w:r>
            <w:r>
              <w:rPr>
                <w:rFonts w:hint="eastAsia"/>
                <w:color w:val="auto"/>
                <w:szCs w:val="24"/>
                <w:highlight w:val="none"/>
              </w:rPr>
              <w:t>功能实现但操作流程不够完整清晰，界面设计基本合理、操作较为便捷的得(0-1]分；</w:t>
            </w:r>
          </w:p>
          <w:p>
            <w:pPr>
              <w:numPr>
                <w:ilvl w:val="0"/>
                <w:numId w:val="0"/>
              </w:numPr>
              <w:spacing w:line="360" w:lineRule="auto"/>
              <w:ind w:firstLine="240" w:firstLineChars="100"/>
              <w:jc w:val="left"/>
              <w:rPr>
                <w:rFonts w:hint="eastAsia"/>
                <w:color w:val="auto"/>
                <w:highlight w:val="none"/>
              </w:rPr>
            </w:pPr>
            <w:r>
              <w:rPr>
                <w:rFonts w:hint="eastAsia"/>
                <w:color w:val="auto"/>
                <w:szCs w:val="24"/>
                <w:highlight w:val="none"/>
                <w:lang w:eastAsia="zh-CN"/>
              </w:rPr>
              <w:t>（</w:t>
            </w:r>
            <w:r>
              <w:rPr>
                <w:rFonts w:hint="eastAsia"/>
                <w:color w:val="auto"/>
                <w:szCs w:val="24"/>
                <w:highlight w:val="none"/>
                <w:lang w:val="en-US" w:eastAsia="zh-CN"/>
              </w:rPr>
              <w:t>3</w:t>
            </w:r>
            <w:r>
              <w:rPr>
                <w:rFonts w:hint="eastAsia"/>
                <w:color w:val="auto"/>
                <w:szCs w:val="24"/>
                <w:highlight w:val="none"/>
                <w:lang w:eastAsia="zh-CN"/>
              </w:rPr>
              <w:t>）</w:t>
            </w:r>
            <w:r>
              <w:rPr>
                <w:rFonts w:hint="eastAsia"/>
                <w:color w:val="auto"/>
                <w:szCs w:val="24"/>
                <w:highlight w:val="none"/>
              </w:rPr>
              <w:t>功能不符或未提供的不得分。</w:t>
            </w:r>
          </w:p>
          <w:p>
            <w:pPr>
              <w:spacing w:line="360" w:lineRule="auto"/>
              <w:ind w:firstLine="241" w:firstLineChars="100"/>
              <w:jc w:val="left"/>
              <w:rPr>
                <w:rFonts w:hint="eastAsia"/>
                <w:color w:val="auto"/>
                <w:highlight w:val="none"/>
              </w:rPr>
            </w:pPr>
            <w:r>
              <w:rPr>
                <w:rFonts w:hint="eastAsia"/>
                <w:b/>
                <w:bCs/>
                <w:color w:val="auto"/>
                <w:szCs w:val="24"/>
                <w:highlight w:val="none"/>
              </w:rPr>
              <w:t>（</w:t>
            </w:r>
            <w:r>
              <w:rPr>
                <w:rFonts w:hint="eastAsia"/>
                <w:b/>
                <w:bCs/>
                <w:color w:val="auto"/>
                <w:szCs w:val="24"/>
                <w:highlight w:val="none"/>
                <w:lang w:val="en-US" w:eastAsia="zh-CN"/>
              </w:rPr>
              <w:t>注：</w:t>
            </w:r>
            <w:r>
              <w:rPr>
                <w:rFonts w:hint="eastAsia"/>
                <w:b/>
                <w:bCs/>
                <w:color w:val="auto"/>
                <w:szCs w:val="24"/>
                <w:highlight w:val="none"/>
              </w:rPr>
              <w:t>每一个功能演示最高得2分，本项总分最高得10分）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Align w:val="center"/>
          </w:tcPr>
          <w:p>
            <w:pPr>
              <w:spacing w:line="360" w:lineRule="auto"/>
              <w:ind w:firstLine="0" w:firstLineChars="0"/>
              <w:jc w:val="center"/>
              <w:rPr>
                <w:rFonts w:hint="eastAsia"/>
                <w:color w:val="auto"/>
                <w:highlight w:val="none"/>
              </w:rPr>
            </w:pPr>
            <w:r>
              <w:rPr>
                <w:rFonts w:hint="eastAsia"/>
                <w:color w:val="auto"/>
                <w:highlight w:val="none"/>
              </w:rPr>
              <w:t>7</w:t>
            </w:r>
          </w:p>
        </w:tc>
        <w:tc>
          <w:tcPr>
            <w:tcW w:w="1191"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应急措施</w:t>
            </w:r>
          </w:p>
        </w:tc>
        <w:tc>
          <w:tcPr>
            <w:tcW w:w="6946" w:type="dxa"/>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投标人</w:t>
            </w:r>
            <w:r>
              <w:rPr>
                <w:rFonts w:hint="eastAsia"/>
                <w:color w:val="auto"/>
                <w:szCs w:val="24"/>
                <w:highlight w:val="none"/>
              </w:rPr>
              <w:t>针对本项目</w:t>
            </w:r>
            <w:r>
              <w:rPr>
                <w:rFonts w:hint="eastAsia"/>
                <w:color w:val="auto"/>
                <w:highlight w:val="none"/>
              </w:rPr>
              <w:t>提供的完整科学的项目应急响应方案，</w:t>
            </w:r>
            <w:r>
              <w:rPr>
                <w:rFonts w:hint="eastAsia"/>
                <w:color w:val="auto"/>
                <w:szCs w:val="24"/>
                <w:highlight w:val="none"/>
              </w:rPr>
              <w:t>内容</w:t>
            </w:r>
            <w:r>
              <w:rPr>
                <w:rFonts w:hint="eastAsia"/>
                <w:color w:val="auto"/>
                <w:highlight w:val="none"/>
              </w:rPr>
              <w:t>包括</w:t>
            </w:r>
            <w:r>
              <w:rPr>
                <w:rFonts w:hint="eastAsia"/>
                <w:color w:val="auto"/>
                <w:szCs w:val="24"/>
                <w:highlight w:val="none"/>
              </w:rPr>
              <w:t>但不限于：应急响应时效、应急响应方案</w:t>
            </w:r>
            <w:r>
              <w:rPr>
                <w:rFonts w:hint="eastAsia"/>
                <w:color w:val="auto"/>
                <w:highlight w:val="none"/>
              </w:rPr>
              <w:t>和</w:t>
            </w:r>
            <w:r>
              <w:rPr>
                <w:rFonts w:hint="eastAsia"/>
                <w:color w:val="auto"/>
                <w:szCs w:val="24"/>
                <w:highlight w:val="none"/>
              </w:rPr>
              <w:t>应急响应</w:t>
            </w:r>
            <w:r>
              <w:rPr>
                <w:rFonts w:hint="eastAsia"/>
                <w:color w:val="auto"/>
                <w:highlight w:val="none"/>
              </w:rPr>
              <w:t>流程等方面进行评分</w:t>
            </w:r>
            <w:r>
              <w:rPr>
                <w:rFonts w:hint="eastAsia"/>
                <w:color w:val="auto"/>
                <w:szCs w:val="24"/>
                <w:highlight w:val="none"/>
              </w:rPr>
              <w:t>,由评委进行综合对比打分：</w:t>
            </w:r>
          </w:p>
          <w:p>
            <w:pPr>
              <w:spacing w:line="360" w:lineRule="auto"/>
              <w:ind w:firstLine="0" w:firstLineChars="0"/>
              <w:rPr>
                <w:rFonts w:hint="eastAsia"/>
                <w:color w:val="auto"/>
                <w:highlight w:val="none"/>
              </w:rPr>
            </w:pPr>
            <w:r>
              <w:rPr>
                <w:rFonts w:hint="default"/>
                <w:color w:val="auto"/>
                <w:highlight w:val="none"/>
              </w:rPr>
              <w:t>（1）</w:t>
            </w:r>
            <w:r>
              <w:rPr>
                <w:rFonts w:hint="eastAsia"/>
                <w:color w:val="auto"/>
                <w:highlight w:val="none"/>
              </w:rPr>
              <w:t>响应方案完整，响应时间及时，流程科学有效得</w:t>
            </w:r>
            <w:r>
              <w:rPr>
                <w:rFonts w:hint="eastAsia"/>
                <w:color w:val="auto"/>
                <w:szCs w:val="24"/>
                <w:highlight w:val="none"/>
              </w:rPr>
              <w:t>(2-4]</w:t>
            </w:r>
            <w:r>
              <w:rPr>
                <w:rFonts w:hint="eastAsia"/>
                <w:color w:val="auto"/>
                <w:highlight w:val="none"/>
              </w:rPr>
              <w:t>分。</w:t>
            </w:r>
          </w:p>
          <w:p>
            <w:pPr>
              <w:spacing w:line="360" w:lineRule="auto"/>
              <w:ind w:firstLine="0" w:firstLineChars="0"/>
              <w:rPr>
                <w:rFonts w:hint="eastAsia"/>
                <w:color w:val="auto"/>
                <w:szCs w:val="24"/>
                <w:highlight w:val="none"/>
              </w:rPr>
            </w:pPr>
            <w:r>
              <w:rPr>
                <w:rFonts w:hint="default"/>
                <w:color w:val="auto"/>
                <w:highlight w:val="none"/>
              </w:rPr>
              <w:t>（2）</w:t>
            </w:r>
            <w:r>
              <w:rPr>
                <w:rFonts w:hint="eastAsia"/>
                <w:color w:val="auto"/>
                <w:highlight w:val="none"/>
              </w:rPr>
              <w:t>方案有缺失，响应时间及流程思路不清晰的得</w:t>
            </w:r>
            <w:r>
              <w:rPr>
                <w:rFonts w:hint="eastAsia"/>
                <w:color w:val="auto"/>
                <w:szCs w:val="24"/>
                <w:highlight w:val="none"/>
              </w:rPr>
              <w:t>(0-2]</w:t>
            </w:r>
            <w:r>
              <w:rPr>
                <w:rFonts w:hint="eastAsia"/>
                <w:color w:val="auto"/>
                <w:highlight w:val="none"/>
              </w:rPr>
              <w:t>分</w:t>
            </w:r>
            <w:r>
              <w:rPr>
                <w:rFonts w:hint="eastAsia"/>
                <w:color w:val="auto"/>
                <w:szCs w:val="24"/>
                <w:highlight w:val="none"/>
              </w:rPr>
              <w:t>。</w:t>
            </w:r>
          </w:p>
          <w:p>
            <w:pPr>
              <w:spacing w:line="360" w:lineRule="auto"/>
              <w:ind w:firstLine="0" w:firstLineChars="0"/>
              <w:rPr>
                <w:rFonts w:hint="eastAsia"/>
                <w:color w:val="auto"/>
                <w:highlight w:val="none"/>
              </w:rPr>
            </w:pPr>
            <w:r>
              <w:rPr>
                <w:rFonts w:hint="eastAsia"/>
                <w:color w:val="auto"/>
                <w:szCs w:val="24"/>
                <w:highlight w:val="none"/>
              </w:rPr>
              <w:t>（3）不提供的不得分。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restart"/>
            <w:vAlign w:val="center"/>
          </w:tcPr>
          <w:p>
            <w:pPr>
              <w:spacing w:line="360" w:lineRule="auto"/>
              <w:ind w:firstLine="0" w:firstLineChars="0"/>
              <w:jc w:val="center"/>
              <w:rPr>
                <w:rFonts w:hint="eastAsia"/>
                <w:color w:val="auto"/>
                <w:highlight w:val="none"/>
              </w:rPr>
            </w:pPr>
            <w:r>
              <w:rPr>
                <w:rFonts w:hint="eastAsia"/>
                <w:color w:val="auto"/>
                <w:highlight w:val="none"/>
              </w:rPr>
              <w:t>8</w:t>
            </w:r>
          </w:p>
        </w:tc>
        <w:tc>
          <w:tcPr>
            <w:tcW w:w="1191" w:type="dxa"/>
            <w:vMerge w:val="restart"/>
            <w:tcBorders>
              <w:left w:val="single" w:color="auto" w:sz="4" w:space="0"/>
            </w:tcBorders>
            <w:vAlign w:val="center"/>
          </w:tcPr>
          <w:p>
            <w:pPr>
              <w:spacing w:line="360" w:lineRule="auto"/>
              <w:ind w:firstLine="0" w:firstLineChars="0"/>
              <w:rPr>
                <w:rFonts w:hint="eastAsia"/>
                <w:color w:val="auto"/>
                <w:highlight w:val="none"/>
              </w:rPr>
            </w:pPr>
            <w:r>
              <w:rPr>
                <w:rFonts w:hint="eastAsia"/>
                <w:color w:val="auto"/>
                <w:highlight w:val="none"/>
              </w:rPr>
              <w:t>售后服务</w:t>
            </w:r>
          </w:p>
        </w:tc>
        <w:tc>
          <w:tcPr>
            <w:tcW w:w="6946" w:type="dxa"/>
            <w:tcBorders>
              <w:left w:val="single" w:color="auto" w:sz="4" w:space="0"/>
            </w:tcBorders>
            <w:vAlign w:val="center"/>
          </w:tcPr>
          <w:p>
            <w:pPr>
              <w:pStyle w:val="45"/>
              <w:spacing w:line="360" w:lineRule="auto"/>
              <w:ind w:firstLine="0" w:firstLineChars="0"/>
              <w:rPr>
                <w:rFonts w:hint="eastAsia" w:ascii="仿宋" w:hAnsi="仿宋" w:eastAsia="仿宋" w:cs="仿宋"/>
                <w:color w:val="auto"/>
                <w:highlight w:val="none"/>
              </w:rPr>
            </w:pPr>
            <w:r>
              <w:rPr>
                <w:rFonts w:hint="eastAsia"/>
                <w:color w:val="auto"/>
                <w:szCs w:val="24"/>
                <w:highlight w:val="none"/>
              </w:rPr>
              <w:t>①投标人针对本项目提供售后服务方案（包括但不限于售后服务流程、服务时效、服务力量等）,由评委进行综合对比打分，[0-2]分。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47" w:type="dxa"/>
            <w:vMerge w:val="continue"/>
            <w:vAlign w:val="center"/>
          </w:tcPr>
          <w:p>
            <w:pPr>
              <w:spacing w:line="360" w:lineRule="auto"/>
              <w:ind w:firstLine="480"/>
              <w:rPr>
                <w:rFonts w:hint="eastAsia"/>
                <w:color w:val="auto"/>
                <w:highlight w:val="none"/>
              </w:rPr>
            </w:pPr>
          </w:p>
        </w:tc>
        <w:tc>
          <w:tcPr>
            <w:tcW w:w="1191" w:type="dxa"/>
            <w:vMerge w:val="continue"/>
            <w:tcBorders>
              <w:left w:val="single" w:color="auto" w:sz="4" w:space="0"/>
            </w:tcBorders>
            <w:vAlign w:val="center"/>
          </w:tcPr>
          <w:p>
            <w:pPr>
              <w:spacing w:line="360" w:lineRule="auto"/>
              <w:ind w:firstLine="480"/>
              <w:rPr>
                <w:rFonts w:hint="eastAsia"/>
                <w:color w:val="auto"/>
                <w:highlight w:val="none"/>
              </w:rPr>
            </w:pPr>
          </w:p>
        </w:tc>
        <w:tc>
          <w:tcPr>
            <w:tcW w:w="6946" w:type="dxa"/>
            <w:tcBorders>
              <w:left w:val="single" w:color="auto" w:sz="4" w:space="0"/>
            </w:tcBorders>
            <w:vAlign w:val="center"/>
          </w:tcPr>
          <w:p>
            <w:pPr>
              <w:spacing w:line="360" w:lineRule="auto"/>
              <w:ind w:firstLine="0" w:firstLineChars="0"/>
              <w:rPr>
                <w:rFonts w:hint="eastAsia" w:ascii="仿宋" w:hAnsi="仿宋" w:eastAsia="仿宋" w:cs="仿宋"/>
                <w:color w:val="auto"/>
                <w:highlight w:val="none"/>
              </w:rPr>
            </w:pPr>
            <w:r>
              <w:rPr>
                <w:rFonts w:hint="eastAsia"/>
                <w:color w:val="auto"/>
                <w:szCs w:val="24"/>
                <w:highlight w:val="none"/>
              </w:rPr>
              <w:t>②投标人在售后服务过程中拥有针对门户网站平台升级、迭代、定制开发能力，并可提供针对性服务方案的，由评委进行综合对比打分，[0-2]分。</w:t>
            </w:r>
          </w:p>
        </w:tc>
        <w:tc>
          <w:tcPr>
            <w:tcW w:w="709" w:type="dxa"/>
            <w:tcBorders>
              <w:left w:val="single" w:color="auto" w:sz="4" w:space="0"/>
            </w:tcBorders>
            <w:vAlign w:val="center"/>
          </w:tcPr>
          <w:p>
            <w:pPr>
              <w:spacing w:line="360" w:lineRule="auto"/>
              <w:ind w:firstLine="0" w:firstLineChars="0"/>
              <w:jc w:val="center"/>
              <w:rPr>
                <w:rFonts w:hint="eastAsia"/>
                <w:color w:val="auto"/>
                <w:highlight w:val="none"/>
              </w:rPr>
            </w:pP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493" w:type="dxa"/>
            <w:gridSpan w:val="4"/>
            <w:vAlign w:val="center"/>
          </w:tcPr>
          <w:p>
            <w:pPr>
              <w:autoSpaceDE/>
              <w:autoSpaceDN/>
              <w:snapToGrid w:val="0"/>
              <w:spacing w:line="360" w:lineRule="auto"/>
              <w:ind w:firstLine="482"/>
              <w:rPr>
                <w:rFonts w:hint="eastAsia"/>
                <w:b/>
                <w:bCs/>
                <w:iCs/>
                <w:color w:val="auto"/>
                <w:szCs w:val="24"/>
                <w:highlight w:val="none"/>
              </w:rPr>
            </w:pPr>
            <w:r>
              <w:rPr>
                <w:rFonts w:hint="eastAsia"/>
                <w:b/>
                <w:bCs/>
                <w:color w:val="auto"/>
                <w:szCs w:val="24"/>
                <w:highlight w:val="none"/>
                <w:lang w:bidi="ar"/>
              </w:rPr>
              <w:t>视频</w:t>
            </w:r>
            <w:r>
              <w:rPr>
                <w:rFonts w:hint="eastAsia"/>
                <w:b/>
                <w:bCs/>
                <w:iCs/>
                <w:color w:val="auto"/>
                <w:szCs w:val="24"/>
                <w:highlight w:val="none"/>
              </w:rPr>
              <w:t>演示相关要求：</w:t>
            </w:r>
          </w:p>
          <w:p>
            <w:pPr>
              <w:autoSpaceDE/>
              <w:autoSpaceDN/>
              <w:spacing w:line="360" w:lineRule="auto"/>
              <w:ind w:firstLine="470" w:firstLineChars="196"/>
              <w:jc w:val="left"/>
              <w:outlineLvl w:val="1"/>
              <w:rPr>
                <w:rFonts w:hint="eastAsia"/>
                <w:color w:val="auto"/>
                <w:szCs w:val="24"/>
                <w:highlight w:val="none"/>
              </w:rPr>
            </w:pPr>
            <w:r>
              <w:rPr>
                <w:rFonts w:hint="eastAsia"/>
                <w:color w:val="auto"/>
                <w:szCs w:val="24"/>
                <w:highlight w:val="none"/>
              </w:rPr>
              <w:t>各投标人投标时需提供符合本项目要求的软件系统功能演示。</w:t>
            </w:r>
            <w:r>
              <w:rPr>
                <w:rFonts w:hint="eastAsia"/>
                <w:color w:val="auto"/>
                <w:szCs w:val="24"/>
                <w:highlight w:val="none"/>
                <w:u w:val="single"/>
              </w:rPr>
              <w:t>本项目采用“不见面”演示方式，以投标人自行录制的可播放的“视频演示文件”为依据</w:t>
            </w:r>
            <w:r>
              <w:rPr>
                <w:rFonts w:hint="eastAsia"/>
                <w:color w:val="auto"/>
                <w:szCs w:val="24"/>
                <w:highlight w:val="none"/>
              </w:rPr>
              <w:t>，相关要求如下：</w:t>
            </w:r>
          </w:p>
          <w:p>
            <w:pPr>
              <w:autoSpaceDE/>
              <w:autoSpaceDN/>
              <w:spacing w:line="360" w:lineRule="auto"/>
              <w:ind w:firstLine="470" w:firstLineChars="196"/>
              <w:jc w:val="left"/>
              <w:outlineLvl w:val="1"/>
              <w:rPr>
                <w:rFonts w:hint="eastAsia"/>
                <w:color w:val="auto"/>
                <w:szCs w:val="24"/>
                <w:highlight w:val="none"/>
              </w:rPr>
            </w:pPr>
            <w:r>
              <w:rPr>
                <w:rFonts w:hint="eastAsia"/>
                <w:color w:val="auto"/>
                <w:szCs w:val="24"/>
                <w:highlight w:val="none"/>
              </w:rPr>
              <w:t>1、“视频演示文件”演示内容及时长：</w:t>
            </w:r>
            <w:r>
              <w:rPr>
                <w:rFonts w:hint="eastAsia"/>
                <w:color w:val="auto"/>
                <w:szCs w:val="24"/>
                <w:highlight w:val="none"/>
                <w:lang w:bidi="ar"/>
              </w:rPr>
              <w:t>演示须使用基于</w:t>
            </w:r>
            <w:r>
              <w:rPr>
                <w:rFonts w:hint="eastAsia"/>
                <w:b/>
                <w:bCs/>
                <w:color w:val="auto"/>
                <w:szCs w:val="24"/>
                <w:highlight w:val="none"/>
                <w:u w:val="single"/>
                <w:lang w:bidi="ar"/>
              </w:rPr>
              <w:t>针对本项目需求开发的真实系统</w:t>
            </w:r>
            <w:r>
              <w:rPr>
                <w:rFonts w:hint="eastAsia"/>
                <w:color w:val="auto"/>
                <w:szCs w:val="24"/>
                <w:highlight w:val="none"/>
                <w:lang w:bidi="ar"/>
              </w:rPr>
              <w:t>进行视频演示，采用其他形式（包括但不限于系统原型、demo视频、PPT、图片演示的）均不得分，总时长不超过</w:t>
            </w:r>
            <w:r>
              <w:rPr>
                <w:rFonts w:hint="eastAsia"/>
                <w:b/>
                <w:bCs/>
                <w:color w:val="auto"/>
                <w:szCs w:val="24"/>
                <w:highlight w:val="none"/>
                <w:u w:val="single"/>
                <w:lang w:bidi="ar"/>
              </w:rPr>
              <w:t>15分钟</w:t>
            </w:r>
            <w:r>
              <w:rPr>
                <w:rFonts w:hint="eastAsia"/>
                <w:color w:val="auto"/>
                <w:szCs w:val="24"/>
                <w:highlight w:val="none"/>
                <w:lang w:bidi="ar"/>
              </w:rPr>
              <w:t>。</w:t>
            </w:r>
          </w:p>
          <w:p>
            <w:pPr>
              <w:autoSpaceDE/>
              <w:autoSpaceDN/>
              <w:spacing w:line="360" w:lineRule="auto"/>
              <w:ind w:firstLine="470" w:firstLineChars="196"/>
              <w:jc w:val="left"/>
              <w:outlineLvl w:val="1"/>
              <w:rPr>
                <w:rFonts w:hint="eastAsia"/>
                <w:color w:val="auto"/>
                <w:szCs w:val="24"/>
                <w:highlight w:val="none"/>
              </w:rPr>
            </w:pPr>
            <w:r>
              <w:rPr>
                <w:rFonts w:hint="eastAsia"/>
                <w:color w:val="auto"/>
                <w:szCs w:val="24"/>
                <w:highlight w:val="none"/>
              </w:rPr>
              <w:t>2、“视频演示文件”格式：建议使用</w:t>
            </w:r>
            <w:r>
              <w:rPr>
                <w:rFonts w:hint="eastAsia"/>
                <w:b/>
                <w:bCs/>
                <w:color w:val="auto"/>
                <w:szCs w:val="24"/>
                <w:highlight w:val="none"/>
                <w:u w:val="single"/>
              </w:rPr>
              <w:t>MP4格式</w:t>
            </w:r>
            <w:r>
              <w:rPr>
                <w:rFonts w:hint="eastAsia"/>
                <w:color w:val="auto"/>
                <w:szCs w:val="24"/>
                <w:highlight w:val="none"/>
              </w:rPr>
              <w:t>，若因格式问题导致无法打开的，后果由投标人自行承担。</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3、U盘存储介质规格：建议使用标准</w:t>
            </w:r>
            <w:r>
              <w:rPr>
                <w:rFonts w:hint="eastAsia"/>
                <w:color w:val="auto"/>
                <w:szCs w:val="24"/>
                <w:highlight w:val="none"/>
                <w:u w:val="single"/>
              </w:rPr>
              <w:t>USB3.0/2.0 Type-A规格</w:t>
            </w:r>
            <w:r>
              <w:rPr>
                <w:rFonts w:hint="eastAsia"/>
                <w:color w:val="auto"/>
                <w:szCs w:val="24"/>
                <w:highlight w:val="none"/>
              </w:rPr>
              <w:t>的U盘存储介质，若因存储介质规格或质量问题而导致演示文件损坏或无法正常读取的，全部风险与责任由投标人自行承担。</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4、“视频演示文件”存储、密封、标识：</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① 存储方式：采用U盘（1份）存储介质，投标人须将“视频演示文件”以压缩包加密的形式存储于U盘中，同时在“商务技术文件”中提供解密密码。</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② 密封、标识方式：存储“视频演示文件”的U盘须单独密封包装，同时在外包装上注明：</w:t>
            </w:r>
            <w:r>
              <w:rPr>
                <w:rFonts w:hint="eastAsia"/>
                <w:color w:val="auto"/>
                <w:szCs w:val="24"/>
                <w:highlight w:val="none"/>
                <w:u w:val="single"/>
              </w:rPr>
              <w:t>项目名称</w:t>
            </w:r>
            <w:r>
              <w:rPr>
                <w:rFonts w:hint="eastAsia"/>
                <w:color w:val="auto"/>
                <w:szCs w:val="24"/>
                <w:highlight w:val="none"/>
              </w:rPr>
              <w:t>、</w:t>
            </w:r>
            <w:r>
              <w:rPr>
                <w:rFonts w:hint="eastAsia"/>
                <w:color w:val="auto"/>
                <w:szCs w:val="24"/>
                <w:highlight w:val="none"/>
                <w:u w:val="single"/>
              </w:rPr>
              <w:t>项目编号</w:t>
            </w:r>
            <w:r>
              <w:rPr>
                <w:rFonts w:hint="eastAsia"/>
                <w:color w:val="auto"/>
                <w:szCs w:val="24"/>
                <w:highlight w:val="none"/>
              </w:rPr>
              <w:t>、</w:t>
            </w:r>
            <w:r>
              <w:rPr>
                <w:rFonts w:hint="eastAsia"/>
                <w:color w:val="auto"/>
                <w:szCs w:val="24"/>
                <w:highlight w:val="none"/>
                <w:u w:val="single"/>
              </w:rPr>
              <w:t>视频演示文件</w:t>
            </w:r>
            <w:r>
              <w:rPr>
                <w:rFonts w:hint="eastAsia"/>
                <w:color w:val="auto"/>
                <w:szCs w:val="24"/>
                <w:highlight w:val="none"/>
              </w:rPr>
              <w:t>、</w:t>
            </w:r>
            <w:r>
              <w:rPr>
                <w:rFonts w:hint="eastAsia"/>
                <w:color w:val="auto"/>
                <w:szCs w:val="24"/>
                <w:highlight w:val="none"/>
                <w:u w:val="single"/>
              </w:rPr>
              <w:t>投标人名称</w:t>
            </w:r>
            <w:r>
              <w:rPr>
                <w:rFonts w:hint="eastAsia"/>
                <w:color w:val="auto"/>
                <w:szCs w:val="24"/>
                <w:highlight w:val="none"/>
              </w:rPr>
              <w:t>，并加盖投标人公章。未按规定进行密封和标识的“视频演示文件”不予接收。</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5、“视频演示文件”的递交：</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① 递交地点：浙江博策工程项目管理有限公司（地址：浙江省诸暨市暨南路21号乐家大厦2号楼东17楼招标代理部；接收人：宣晨阳；联系电话：18258559388）；</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② 递交方式：</w:t>
            </w:r>
            <w:r>
              <w:rPr>
                <w:rFonts w:hint="eastAsia"/>
                <w:color w:val="auto"/>
                <w:szCs w:val="24"/>
                <w:highlight w:val="none"/>
                <w:u w:val="single"/>
              </w:rPr>
              <w:t>现场递交</w:t>
            </w:r>
            <w:r>
              <w:rPr>
                <w:rFonts w:hint="eastAsia"/>
                <w:color w:val="auto"/>
                <w:szCs w:val="24"/>
                <w:highlight w:val="none"/>
              </w:rPr>
              <w:t>；</w:t>
            </w:r>
            <w:r>
              <w:rPr>
                <w:rFonts w:hint="eastAsia"/>
                <w:color w:val="auto"/>
                <w:szCs w:val="24"/>
                <w:highlight w:val="none"/>
                <w:u w:val="single"/>
              </w:rPr>
              <w:t>邮寄递交（建议采用EMS或顺丰邮寄）</w:t>
            </w:r>
            <w:r>
              <w:rPr>
                <w:rFonts w:hint="eastAsia"/>
                <w:color w:val="auto"/>
                <w:szCs w:val="24"/>
                <w:highlight w:val="none"/>
              </w:rPr>
              <w:t>。</w:t>
            </w:r>
          </w:p>
          <w:p>
            <w:pPr>
              <w:autoSpaceDE/>
              <w:autoSpaceDN/>
              <w:spacing w:line="360" w:lineRule="auto"/>
              <w:ind w:firstLine="470" w:firstLineChars="196"/>
              <w:rPr>
                <w:rFonts w:hint="eastAsia"/>
                <w:color w:val="auto"/>
                <w:szCs w:val="24"/>
                <w:highlight w:val="none"/>
              </w:rPr>
            </w:pPr>
            <w:r>
              <w:rPr>
                <w:rFonts w:hint="eastAsia"/>
                <w:color w:val="auto"/>
                <w:szCs w:val="24"/>
                <w:highlight w:val="none"/>
              </w:rPr>
              <w:t>（采用邮寄方式的，各投标人邮寄时应充分考虑邮寄时间的长短、邮寄中可能发生的破损、遗失等风险。邮寄过程中可能造成“视频演示文件”（U盘存储）泄露、遗失、损坏、逾期送达等情况的，全部风险与责任由投标人自行承担。）</w:t>
            </w:r>
          </w:p>
          <w:p>
            <w:pPr>
              <w:autoSpaceDE/>
              <w:autoSpaceDN/>
              <w:spacing w:line="360" w:lineRule="auto"/>
              <w:ind w:firstLine="470" w:firstLineChars="196"/>
              <w:jc w:val="left"/>
              <w:outlineLvl w:val="1"/>
              <w:rPr>
                <w:rFonts w:hint="eastAsia"/>
                <w:color w:val="auto"/>
                <w:szCs w:val="24"/>
                <w:highlight w:val="none"/>
                <w:u w:val="single"/>
              </w:rPr>
            </w:pPr>
            <w:r>
              <w:rPr>
                <w:rFonts w:hint="eastAsia"/>
                <w:color w:val="auto"/>
                <w:szCs w:val="24"/>
                <w:highlight w:val="none"/>
              </w:rPr>
              <w:t>③ 递交时间：投标人应当在投标截止时间（等同投标文件提交截止时间）前将“视频演示文件”密封送达（以代理机构签收时间为准），逾期送达不予接收，开标后不予更换或退还。</w:t>
            </w:r>
          </w:p>
          <w:p>
            <w:pPr>
              <w:autoSpaceDE/>
              <w:autoSpaceDN/>
              <w:spacing w:line="360" w:lineRule="auto"/>
              <w:ind w:firstLine="470" w:firstLineChars="196"/>
              <w:jc w:val="left"/>
              <w:outlineLvl w:val="1"/>
              <w:rPr>
                <w:rFonts w:hint="eastAsia"/>
                <w:color w:val="auto"/>
                <w:szCs w:val="24"/>
                <w:highlight w:val="none"/>
              </w:rPr>
            </w:pPr>
            <w:r>
              <w:rPr>
                <w:rFonts w:hint="eastAsia"/>
                <w:color w:val="auto"/>
                <w:szCs w:val="24"/>
                <w:highlight w:val="none"/>
              </w:rPr>
              <w:t>6、“视频演示文件”的解密、演示次序：</w:t>
            </w:r>
          </w:p>
          <w:p>
            <w:pPr>
              <w:autoSpaceDE/>
              <w:autoSpaceDN/>
              <w:spacing w:line="360" w:lineRule="auto"/>
              <w:ind w:firstLine="470" w:firstLineChars="196"/>
              <w:jc w:val="left"/>
              <w:outlineLvl w:val="1"/>
              <w:rPr>
                <w:rFonts w:hint="eastAsia"/>
                <w:color w:val="auto"/>
                <w:szCs w:val="24"/>
                <w:highlight w:val="none"/>
              </w:rPr>
            </w:pPr>
            <w:r>
              <w:rPr>
                <w:rFonts w:hint="eastAsia"/>
                <w:color w:val="auto"/>
                <w:szCs w:val="24"/>
                <w:highlight w:val="none"/>
              </w:rPr>
              <w:t>① “视频演示文件”的解密：</w:t>
            </w:r>
            <w:r>
              <w:rPr>
                <w:rFonts w:hint="eastAsia"/>
                <w:color w:val="auto"/>
                <w:szCs w:val="24"/>
                <w:highlight w:val="none"/>
                <w:u w:val="single"/>
              </w:rPr>
              <w:t>在商务技术评审时，以投标人在“商务技术文件”中提供的解密密码进行解密</w:t>
            </w:r>
            <w:r>
              <w:rPr>
                <w:rFonts w:hint="eastAsia"/>
                <w:color w:val="auto"/>
                <w:szCs w:val="24"/>
                <w:highlight w:val="none"/>
              </w:rPr>
              <w:t>。</w:t>
            </w:r>
          </w:p>
          <w:p>
            <w:pPr>
              <w:spacing w:line="360" w:lineRule="auto"/>
              <w:ind w:firstLine="0" w:firstLineChars="0"/>
              <w:jc w:val="center"/>
              <w:rPr>
                <w:rFonts w:hint="eastAsia"/>
                <w:color w:val="auto"/>
                <w:highlight w:val="none"/>
              </w:rPr>
            </w:pPr>
            <w:r>
              <w:rPr>
                <w:rFonts w:hint="eastAsia"/>
                <w:color w:val="auto"/>
                <w:szCs w:val="24"/>
                <w:highlight w:val="none"/>
              </w:rPr>
              <w:t>② “视频演示文件”的演示次序：以投标人电子投标文件解密时间先后次序为准。</w:t>
            </w:r>
          </w:p>
        </w:tc>
      </w:tr>
    </w:tbl>
    <w:p>
      <w:pPr>
        <w:snapToGrid w:val="0"/>
        <w:spacing w:line="288" w:lineRule="auto"/>
        <w:ind w:firstLine="0" w:firstLineChars="0"/>
        <w:textAlignment w:val="bottom"/>
        <w:rPr>
          <w:rFonts w:hint="eastAsia"/>
          <w:color w:val="auto"/>
          <w:szCs w:val="24"/>
          <w:highlight w:val="none"/>
        </w:rPr>
      </w:pPr>
      <w:r>
        <w:rPr>
          <w:rFonts w:hint="eastAsia"/>
          <w:b/>
          <w:color w:val="auto"/>
          <w:szCs w:val="24"/>
          <w:highlight w:val="none"/>
        </w:rPr>
        <w:t>（5）本次评审通过资格审查和符合性评审的单位全部入围进行报价评审。</w:t>
      </w:r>
    </w:p>
    <w:p>
      <w:pPr>
        <w:pStyle w:val="2"/>
        <w:rPr>
          <w:rFonts w:hint="eastAsia"/>
          <w:color w:val="auto"/>
          <w:highlight w:val="none"/>
        </w:rPr>
      </w:pPr>
      <w:r>
        <w:rPr>
          <w:rFonts w:hint="eastAsia"/>
          <w:color w:val="auto"/>
          <w:highlight w:val="none"/>
        </w:rPr>
        <w:t>采购需求</w:t>
      </w:r>
    </w:p>
    <w:p>
      <w:pPr>
        <w:pStyle w:val="3"/>
        <w:autoSpaceDE/>
        <w:autoSpaceDN/>
        <w:spacing w:before="156" w:beforeLines="0" w:after="156" w:afterLines="0"/>
        <w:ind w:left="567"/>
        <w:rPr>
          <w:rFonts w:hint="eastAsia"/>
          <w:color w:val="auto"/>
          <w:highlight w:val="none"/>
        </w:rPr>
      </w:pPr>
      <w:r>
        <w:rPr>
          <w:rFonts w:hint="eastAsia"/>
          <w:color w:val="auto"/>
          <w:highlight w:val="none"/>
        </w:rPr>
        <w:t xml:space="preserve"> 项目背景</w:t>
      </w:r>
    </w:p>
    <w:p>
      <w:pPr>
        <w:ind w:firstLine="480"/>
        <w:rPr>
          <w:rFonts w:hint="eastAsia"/>
          <w:color w:val="auto"/>
          <w:highlight w:val="none"/>
        </w:rPr>
      </w:pPr>
      <w:r>
        <w:rPr>
          <w:rFonts w:hint="eastAsia"/>
          <w:color w:val="auto"/>
          <w:highlight w:val="none"/>
        </w:rPr>
        <w:t>政府门户网站是为各级政府机关和社会群众提供服务的官方网站，是政府机关实现政务公开、服务企业和社会公众，互动交流的重要渠道。长期以来，国家高度重视政府网站的建设发展，国务院办公厅不断出台文件，要求加强政府门户网站的建设和管理，通过《国务院办公厅关于印发政府网站发展指引的通知》</w:t>
      </w:r>
      <w:r>
        <w:rPr>
          <w:color w:val="auto"/>
          <w:highlight w:val="none"/>
        </w:rPr>
        <w:t xml:space="preserve"> (国办发〔2017〕47号)、《政府网站与政务新媒体检查指标》、《政府网站与政务新媒体监管工作年度考核指标》</w:t>
      </w:r>
      <w:r>
        <w:rPr>
          <w:rFonts w:hint="eastAsia"/>
          <w:color w:val="auto"/>
          <w:highlight w:val="none"/>
          <w:lang w:eastAsia="zh-CN"/>
        </w:rPr>
        <w:t>等</w:t>
      </w:r>
      <w:r>
        <w:rPr>
          <w:color w:val="auto"/>
          <w:highlight w:val="none"/>
        </w:rPr>
        <w:t>相关文件的发布，为政府网站建设制定了最高指导思想，提出了更高的要求和更标准的规范。</w:t>
      </w:r>
    </w:p>
    <w:p>
      <w:pPr>
        <w:ind w:firstLine="480"/>
        <w:rPr>
          <w:rFonts w:hint="eastAsia"/>
          <w:color w:val="auto"/>
          <w:highlight w:val="none"/>
        </w:rPr>
      </w:pPr>
      <w:r>
        <w:rPr>
          <w:rFonts w:hint="eastAsia"/>
          <w:color w:val="auto"/>
          <w:highlight w:val="none"/>
        </w:rPr>
        <w:t>浙江省大数据发展管理局印发《</w:t>
      </w:r>
      <w:r>
        <w:rPr>
          <w:color w:val="auto"/>
          <w:highlight w:val="none"/>
        </w:rPr>
        <w:t>2022年浙江省政府网站工作要点》的通知，提出坚持创新、开放、共享的发展理念，聚焦政策信息“一网通查”、政务服务“一网通办”、政民互动“一网通答”，突出抓好政府网站政务公开、政务服务、政民互动、功能建设等重点工作，推动公开、服务、互动融合发展，助推数字政府建设惠及更多群众、企业的工作目标，明确持续做好信息发布和政策解读、积极有效增进政民互动、提升完善网上办事服务、优化政府网站功能设计、推进政府网站工作创新等工作任务。</w:t>
      </w:r>
    </w:p>
    <w:p>
      <w:pPr>
        <w:ind w:firstLine="480"/>
        <w:rPr>
          <w:rFonts w:hint="eastAsia"/>
          <w:color w:val="auto"/>
          <w:highlight w:val="none"/>
        </w:rPr>
      </w:pPr>
      <w:r>
        <w:rPr>
          <w:rFonts w:hint="eastAsia"/>
          <w:color w:val="auto"/>
          <w:highlight w:val="none"/>
        </w:rPr>
        <w:t>为进一步规范诸暨市人民政府门户网站建设工作，积极应对省政府对网站考评，实现在全省区县(市)政府网站中当表率、做示范、走前列，现针对诸暨市人民政府门户网站进行改版升级建设，以确保政府网站符合考评要求，提高诸暨市在全省区县</w:t>
      </w:r>
      <w:r>
        <w:rPr>
          <w:color w:val="auto"/>
          <w:highlight w:val="none"/>
        </w:rPr>
        <w:t>(市)</w:t>
      </w:r>
      <w:r>
        <w:rPr>
          <w:rFonts w:hint="eastAsia"/>
          <w:color w:val="auto"/>
          <w:highlight w:val="none"/>
        </w:rPr>
        <w:t>政府网站中的排名，不断提高服务社会、服务公众水平。</w:t>
      </w:r>
    </w:p>
    <w:p>
      <w:pPr>
        <w:pStyle w:val="3"/>
        <w:spacing w:before="156" w:beforeLines="0" w:after="156" w:afterLines="0"/>
        <w:ind w:left="567"/>
        <w:rPr>
          <w:rFonts w:hint="eastAsia"/>
          <w:color w:val="auto"/>
          <w:highlight w:val="none"/>
        </w:rPr>
      </w:pPr>
      <w:r>
        <w:rPr>
          <w:rFonts w:hint="eastAsia"/>
          <w:color w:val="auto"/>
          <w:highlight w:val="none"/>
        </w:rPr>
        <w:t xml:space="preserve"> 平台设计须遵循的原则</w:t>
      </w:r>
    </w:p>
    <w:p>
      <w:pPr>
        <w:pStyle w:val="14"/>
        <w:ind w:firstLine="210" w:firstLineChars="0"/>
        <w:rPr>
          <w:rFonts w:hint="eastAsia"/>
          <w:color w:val="auto"/>
          <w:sz w:val="24"/>
          <w:highlight w:val="none"/>
        </w:rPr>
      </w:pPr>
      <w:r>
        <w:rPr>
          <w:rFonts w:hint="eastAsia"/>
          <w:color w:val="auto"/>
          <w:sz w:val="24"/>
          <w:highlight w:val="none"/>
        </w:rPr>
        <w:t>（1）经济性和实用性</w:t>
      </w:r>
    </w:p>
    <w:p>
      <w:pPr>
        <w:ind w:firstLine="480"/>
        <w:rPr>
          <w:rFonts w:hint="eastAsia"/>
          <w:color w:val="auto"/>
          <w:highlight w:val="none"/>
        </w:rPr>
      </w:pPr>
      <w:r>
        <w:rPr>
          <w:rFonts w:hint="eastAsia"/>
          <w:color w:val="auto"/>
          <w:highlight w:val="none"/>
        </w:rPr>
        <w:t>整个项目充分考虑未来发展的需要来确定系统的规模，既要降低系统的初期投入，又能满足本次项目建设的需求，同时系统设计应充分考虑对已有投资的保护。</w:t>
      </w:r>
    </w:p>
    <w:p>
      <w:pPr>
        <w:pStyle w:val="14"/>
        <w:ind w:firstLine="210" w:firstLineChars="0"/>
        <w:rPr>
          <w:rFonts w:hint="eastAsia"/>
          <w:color w:val="auto"/>
          <w:sz w:val="24"/>
          <w:highlight w:val="none"/>
        </w:rPr>
      </w:pPr>
      <w:r>
        <w:rPr>
          <w:rFonts w:hint="eastAsia"/>
          <w:color w:val="auto"/>
          <w:sz w:val="24"/>
          <w:highlight w:val="none"/>
        </w:rPr>
        <w:t>（2）先进性和成熟性</w:t>
      </w:r>
    </w:p>
    <w:p>
      <w:pPr>
        <w:ind w:firstLine="480"/>
        <w:rPr>
          <w:rFonts w:hint="eastAsia"/>
          <w:color w:val="auto"/>
          <w:highlight w:val="none"/>
        </w:rPr>
      </w:pPr>
      <w:r>
        <w:rPr>
          <w:rFonts w:hint="eastAsia"/>
          <w:color w:val="auto"/>
          <w:highlight w:val="none"/>
        </w:rPr>
        <w:t>为了确保项目具有较长的生命周期，保护在计算机软件、硬件系统上的投资，充分考虑到将来的技术发展需要，本次项目提供的软件系统应选择适应云计算、大数据等先进、开放、成熟的技术与产品，在标准和接口方面要求具有良好的开放性。</w:t>
      </w:r>
    </w:p>
    <w:p>
      <w:pPr>
        <w:pStyle w:val="14"/>
        <w:ind w:firstLine="210" w:firstLineChars="0"/>
        <w:rPr>
          <w:rFonts w:hint="eastAsia"/>
          <w:color w:val="auto"/>
          <w:sz w:val="24"/>
          <w:highlight w:val="none"/>
        </w:rPr>
      </w:pPr>
      <w:r>
        <w:rPr>
          <w:rFonts w:hint="eastAsia"/>
          <w:color w:val="auto"/>
          <w:sz w:val="24"/>
          <w:highlight w:val="none"/>
        </w:rPr>
        <w:t>（3）开放性和可扩展性</w:t>
      </w:r>
    </w:p>
    <w:p>
      <w:pPr>
        <w:ind w:firstLine="480"/>
        <w:rPr>
          <w:rFonts w:hint="eastAsia"/>
          <w:color w:val="auto"/>
          <w:highlight w:val="none"/>
        </w:rPr>
      </w:pPr>
      <w:r>
        <w:rPr>
          <w:rFonts w:hint="eastAsia"/>
          <w:color w:val="auto"/>
          <w:highlight w:val="none"/>
        </w:rPr>
        <w:t>系统采用面向对象和模块化的设计理念，便于更新、扩充、升级。系统的功能应满足当前业务处理的需求，并充分考虑未来业务种类不断增长和用户不断增长的需求。</w:t>
      </w:r>
    </w:p>
    <w:p>
      <w:pPr>
        <w:pStyle w:val="14"/>
        <w:ind w:firstLine="210" w:firstLineChars="0"/>
        <w:rPr>
          <w:rFonts w:hint="eastAsia"/>
          <w:color w:val="auto"/>
          <w:sz w:val="24"/>
          <w:highlight w:val="none"/>
        </w:rPr>
      </w:pPr>
      <w:r>
        <w:rPr>
          <w:rFonts w:hint="eastAsia"/>
          <w:color w:val="auto"/>
          <w:sz w:val="24"/>
          <w:highlight w:val="none"/>
        </w:rPr>
        <w:t>（4）可维护性及可管理性</w:t>
      </w:r>
    </w:p>
    <w:p>
      <w:pPr>
        <w:ind w:firstLine="480"/>
        <w:rPr>
          <w:rFonts w:hint="eastAsia"/>
          <w:color w:val="auto"/>
          <w:highlight w:val="none"/>
        </w:rPr>
      </w:pPr>
      <w:r>
        <w:rPr>
          <w:rFonts w:hint="eastAsia"/>
          <w:color w:val="auto"/>
          <w:highlight w:val="none"/>
        </w:rPr>
        <w:t>在系统开发中，保证系统的可维护性，合理设计应用体系结构，系统需要提供友好的二次开发接口，方便</w:t>
      </w:r>
      <w:r>
        <w:rPr>
          <w:rFonts w:hint="eastAsia"/>
          <w:color w:val="auto"/>
          <w:highlight w:val="none"/>
          <w:lang w:eastAsia="zh-CN"/>
        </w:rPr>
        <w:t>地</w:t>
      </w:r>
      <w:r>
        <w:rPr>
          <w:rFonts w:hint="eastAsia"/>
          <w:color w:val="auto"/>
          <w:highlight w:val="none"/>
        </w:rPr>
        <w:t>对功能进行增加和修改。整个系统须易于管理，操作简单、易学、易用，便于进行系统配置，在设备、安全性、数据流量、性能等方面得到很好地监控、管理及诊断。</w:t>
      </w:r>
    </w:p>
    <w:p>
      <w:pPr>
        <w:pStyle w:val="14"/>
        <w:ind w:firstLine="210" w:firstLineChars="0"/>
        <w:rPr>
          <w:rFonts w:hint="eastAsia"/>
          <w:color w:val="auto"/>
          <w:sz w:val="24"/>
          <w:highlight w:val="none"/>
        </w:rPr>
      </w:pPr>
      <w:r>
        <w:rPr>
          <w:rFonts w:hint="eastAsia"/>
          <w:color w:val="auto"/>
          <w:sz w:val="24"/>
          <w:highlight w:val="none"/>
        </w:rPr>
        <w:t>（5）规范性和标准性</w:t>
      </w:r>
    </w:p>
    <w:p>
      <w:pPr>
        <w:ind w:firstLine="480"/>
        <w:rPr>
          <w:rFonts w:hint="eastAsia"/>
          <w:color w:val="auto"/>
          <w:highlight w:val="none"/>
        </w:rPr>
      </w:pPr>
      <w:r>
        <w:rPr>
          <w:rFonts w:hint="eastAsia"/>
          <w:color w:val="auto"/>
          <w:highlight w:val="none"/>
        </w:rPr>
        <w:t>系统的开发，遵循有关的国家标准和世界通行规范和标准，能够</w:t>
      </w:r>
      <w:r>
        <w:rPr>
          <w:rFonts w:hint="eastAsia"/>
          <w:color w:val="auto"/>
          <w:highlight w:val="none"/>
          <w:lang w:eastAsia="zh-CN"/>
        </w:rPr>
        <w:t>与其他系统</w:t>
      </w:r>
      <w:r>
        <w:rPr>
          <w:rFonts w:hint="eastAsia"/>
          <w:color w:val="auto"/>
          <w:highlight w:val="none"/>
        </w:rPr>
        <w:t>进行良好互联互通。</w:t>
      </w:r>
    </w:p>
    <w:p>
      <w:pPr>
        <w:pStyle w:val="14"/>
        <w:ind w:firstLine="210" w:firstLineChars="0"/>
        <w:rPr>
          <w:rFonts w:hint="eastAsia"/>
          <w:color w:val="auto"/>
          <w:sz w:val="24"/>
          <w:highlight w:val="none"/>
        </w:rPr>
      </w:pPr>
      <w:r>
        <w:rPr>
          <w:rFonts w:hint="eastAsia"/>
          <w:color w:val="auto"/>
          <w:sz w:val="24"/>
          <w:highlight w:val="none"/>
        </w:rPr>
        <w:t>（6）高稳定性和高性能</w:t>
      </w:r>
    </w:p>
    <w:p>
      <w:pPr>
        <w:ind w:firstLine="480"/>
        <w:rPr>
          <w:rFonts w:hint="eastAsia"/>
          <w:color w:val="auto"/>
          <w:highlight w:val="none"/>
        </w:rPr>
      </w:pPr>
      <w:r>
        <w:rPr>
          <w:rFonts w:hint="eastAsia"/>
          <w:color w:val="auto"/>
          <w:highlight w:val="none"/>
        </w:rPr>
        <w:t>系统开发和硬件配置规范，提供合理有效的应急方案，确保系统的高稳定，杜绝出现系统停止运转、页面无法访问等现象。保证各种应用特别是关键业务应用的稳定高效运行，能够在高访问负载情况下，向各类服务对象提供可靠的公众服务。网站的信息发布形式应具有综合静态、半动态、动态等多种形式。</w:t>
      </w:r>
    </w:p>
    <w:p>
      <w:pPr>
        <w:pStyle w:val="14"/>
        <w:ind w:firstLine="210" w:firstLineChars="0"/>
        <w:rPr>
          <w:rFonts w:hint="eastAsia"/>
          <w:color w:val="auto"/>
          <w:sz w:val="24"/>
          <w:highlight w:val="none"/>
        </w:rPr>
      </w:pPr>
      <w:r>
        <w:rPr>
          <w:rFonts w:hint="eastAsia"/>
          <w:color w:val="auto"/>
          <w:sz w:val="24"/>
          <w:highlight w:val="none"/>
        </w:rPr>
        <w:t>（7）安全性</w:t>
      </w:r>
    </w:p>
    <w:p>
      <w:pPr>
        <w:ind w:firstLine="480"/>
        <w:rPr>
          <w:rFonts w:hint="eastAsia"/>
          <w:color w:val="auto"/>
          <w:highlight w:val="none"/>
        </w:rPr>
      </w:pPr>
      <w:r>
        <w:rPr>
          <w:rFonts w:hint="eastAsia"/>
          <w:color w:val="auto"/>
          <w:highlight w:val="none"/>
        </w:rPr>
        <w:t>网站能够实现数据备份和方便快捷的恢复功能，具有完善的网站安全解决方案，要能够抵御高强度的网络攻击和渗透，在网站遭到攻击或崩溃时能快速恢复，确保重要数据的机密性和完整性。</w:t>
      </w:r>
    </w:p>
    <w:p>
      <w:pPr>
        <w:pStyle w:val="3"/>
        <w:spacing w:before="156" w:beforeLines="0" w:after="156" w:afterLines="0"/>
        <w:ind w:left="567"/>
        <w:rPr>
          <w:rFonts w:hint="eastAsia"/>
          <w:color w:val="auto"/>
          <w:highlight w:val="none"/>
        </w:rPr>
      </w:pPr>
      <w:r>
        <w:rPr>
          <w:rFonts w:hint="eastAsia"/>
          <w:color w:val="auto"/>
          <w:highlight w:val="none"/>
        </w:rPr>
        <w:t xml:space="preserve"> 建设目标</w:t>
      </w:r>
    </w:p>
    <w:p>
      <w:pPr>
        <w:ind w:firstLine="480"/>
        <w:rPr>
          <w:rFonts w:hint="eastAsia"/>
          <w:color w:val="auto"/>
          <w:highlight w:val="none"/>
        </w:rPr>
      </w:pPr>
      <w:r>
        <w:rPr>
          <w:rFonts w:hint="eastAsia"/>
          <w:color w:val="auto"/>
          <w:highlight w:val="none"/>
        </w:rPr>
        <w:t>通过网站页面改版升级，政务公开优化建设及网站管理能力加强，进一步规范诸暨市人民政府门户网站建设工作，积极应对省政府对网站考评，实现在全省区县(市)政府网站当中当表率、做示范、走前列，有针对性地对诸暨市人民政府门户网站进行改版升级建设，以确保政府网站符合考评要求，提高诸暨市在全省区县</w:t>
      </w:r>
      <w:r>
        <w:rPr>
          <w:color w:val="auto"/>
          <w:highlight w:val="none"/>
        </w:rPr>
        <w:t>(市)</w:t>
      </w:r>
      <w:r>
        <w:rPr>
          <w:rFonts w:hint="eastAsia"/>
          <w:color w:val="auto"/>
          <w:highlight w:val="none"/>
        </w:rPr>
        <w:t>政府网站中的排名，不断提高服务社会、服务公众水平。</w:t>
      </w:r>
    </w:p>
    <w:p>
      <w:pPr>
        <w:pStyle w:val="3"/>
        <w:spacing w:before="156" w:beforeLines="0" w:after="156" w:afterLines="0"/>
        <w:ind w:left="567"/>
        <w:rPr>
          <w:rFonts w:hint="eastAsia"/>
          <w:color w:val="auto"/>
          <w:highlight w:val="none"/>
        </w:rPr>
      </w:pPr>
      <w:r>
        <w:rPr>
          <w:rFonts w:hint="eastAsia"/>
          <w:color w:val="auto"/>
          <w:highlight w:val="none"/>
        </w:rPr>
        <w:t xml:space="preserve"> 采购清单</w:t>
      </w:r>
    </w:p>
    <w:tbl>
      <w:tblPr>
        <w:tblStyle w:val="24"/>
        <w:tblW w:w="8517" w:type="dxa"/>
        <w:tblInd w:w="0" w:type="dxa"/>
        <w:tblLayout w:type="fixed"/>
        <w:tblCellMar>
          <w:top w:w="0" w:type="dxa"/>
          <w:left w:w="108" w:type="dxa"/>
          <w:bottom w:w="0" w:type="dxa"/>
          <w:right w:w="108" w:type="dxa"/>
        </w:tblCellMar>
      </w:tblPr>
      <w:tblGrid>
        <w:gridCol w:w="1084"/>
        <w:gridCol w:w="2352"/>
        <w:gridCol w:w="2911"/>
        <w:gridCol w:w="1084"/>
        <w:gridCol w:w="1086"/>
      </w:tblGrid>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建设内容</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建设内容分项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单位</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网站前端搭建</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页面设计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2</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页面实施</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3</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栏目体系设计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4</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网站栏目关系梳理对接</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5</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数据移植整合</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6</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信息公开页面改版</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公开目录梳理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7</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组配栏目改造实施</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8</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栏目呈送对接关系配置</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9</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账号权限分配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10</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政策法规专区建设</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政策分类梳理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11</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搜索及查询功能建设</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12</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宋体"/>
                <w:color w:val="auto"/>
                <w:sz w:val="22"/>
                <w:szCs w:val="22"/>
                <w:highlight w:val="none"/>
                <w:lang w:val="en-US" w:eastAsia="zh-CN"/>
              </w:rPr>
            </w:pPr>
            <w:r>
              <w:rPr>
                <w:rFonts w:hint="eastAsia"/>
                <w:color w:val="auto"/>
                <w:sz w:val="22"/>
                <w:szCs w:val="22"/>
                <w:highlight w:val="none"/>
                <w:lang w:bidi="ar"/>
              </w:rPr>
              <w:t>多端适配</w:t>
            </w:r>
            <w:r>
              <w:rPr>
                <w:rFonts w:hint="eastAsia"/>
                <w:color w:val="auto"/>
                <w:sz w:val="22"/>
                <w:szCs w:val="22"/>
                <w:highlight w:val="none"/>
                <w:lang w:val="en-US" w:eastAsia="zh-CN" w:bidi="ar"/>
              </w:rPr>
              <w:t>改造</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前端页面调整</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13</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样式编写</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14</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响应式改造</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15</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无障碍适老化改造</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无障碍改造</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16</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适老化改造</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17</w:t>
            </w:r>
          </w:p>
        </w:tc>
        <w:tc>
          <w:tcPr>
            <w:tcW w:w="235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网站自查梳理</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信息梳理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18</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栏目梳理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19</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页面梳理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20</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账号梳理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21</w:t>
            </w:r>
          </w:p>
        </w:tc>
        <w:tc>
          <w:tcPr>
            <w:tcW w:w="2352" w:type="dxa"/>
            <w:vMerge w:val="continue"/>
            <w:tcBorders>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接口梳理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2</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超期更新提醒功能</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信息发布审核流程配置</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3</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浙政钉</w:t>
            </w:r>
            <w:r>
              <w:rPr>
                <w:rFonts w:hint="eastAsia"/>
                <w:color w:val="auto"/>
                <w:highlight w:val="none"/>
              </w:rPr>
              <w:t>接口</w:t>
            </w:r>
            <w:r>
              <w:rPr>
                <w:rFonts w:hint="eastAsia"/>
                <w:color w:val="auto"/>
                <w:sz w:val="22"/>
                <w:szCs w:val="22"/>
                <w:highlight w:val="none"/>
                <w:lang w:bidi="ar"/>
              </w:rPr>
              <w:t>开发</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4</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宋体"/>
                <w:color w:val="auto"/>
                <w:sz w:val="22"/>
                <w:szCs w:val="22"/>
                <w:highlight w:val="none"/>
                <w:lang w:val="en-US" w:eastAsia="zh-CN"/>
              </w:rPr>
            </w:pPr>
            <w:r>
              <w:rPr>
                <w:rFonts w:hint="eastAsia"/>
                <w:color w:val="auto"/>
                <w:sz w:val="22"/>
                <w:szCs w:val="22"/>
                <w:highlight w:val="none"/>
                <w:lang w:bidi="ar"/>
              </w:rPr>
              <w:t>栏目信息管理功能</w:t>
            </w:r>
            <w:r>
              <w:rPr>
                <w:rFonts w:hint="eastAsia"/>
                <w:color w:val="auto"/>
                <w:sz w:val="22"/>
                <w:szCs w:val="22"/>
                <w:highlight w:val="none"/>
                <w:lang w:val="en-US" w:eastAsia="zh-CN" w:bidi="ar"/>
              </w:rPr>
              <w:t>提升</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栏目信息周期管理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5</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信息来源管理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6</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信息纠错功能</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7</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诸暨发布信息对接</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8</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企业网站集约化平台模板建设</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页面及栏目设计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eastAsia="宋体"/>
                <w:color w:val="auto"/>
                <w:sz w:val="22"/>
                <w:szCs w:val="22"/>
                <w:highlight w:val="none"/>
                <w:lang w:eastAsia="zh-CN"/>
              </w:rPr>
            </w:pPr>
            <w:r>
              <w:rPr>
                <w:rFonts w:hint="eastAsia"/>
                <w:color w:val="auto"/>
                <w:sz w:val="22"/>
                <w:szCs w:val="22"/>
                <w:highlight w:val="none"/>
                <w:lang w:bidi="ar"/>
              </w:rPr>
              <w:t>2</w:t>
            </w:r>
            <w:r>
              <w:rPr>
                <w:rFonts w:hint="eastAsia"/>
                <w:color w:val="auto"/>
                <w:sz w:val="22"/>
                <w:szCs w:val="22"/>
                <w:highlight w:val="none"/>
                <w:lang w:val="en-US" w:eastAsia="zh-CN" w:bidi="ar"/>
              </w:rPr>
              <w:t>9</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模板实施</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30</w:t>
            </w:r>
          </w:p>
        </w:tc>
        <w:tc>
          <w:tcPr>
            <w:tcW w:w="2352" w:type="dxa"/>
            <w:vMerge w:val="restart"/>
            <w:tcBorders>
              <w:top w:val="single" w:color="000000" w:sz="4" w:space="0"/>
              <w:left w:val="single" w:color="000000" w:sz="4" w:space="0"/>
              <w:right w:val="single" w:color="000000" w:sz="4" w:space="0"/>
            </w:tcBorders>
            <w:shd w:val="clear" w:color="auto" w:fill="auto"/>
            <w:vAlign w:val="center"/>
          </w:tcPr>
          <w:p>
            <w:pPr>
              <w:ind w:firstLine="44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国产化适配</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系统国产化浏览器适配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31</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lang w:val="en-US" w:eastAsia="zh-CN"/>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系统国产化服务器适配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32</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lang w:val="en-US" w:eastAsia="zh-CN"/>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系统国产化数据库适配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33</w:t>
            </w:r>
          </w:p>
        </w:tc>
        <w:tc>
          <w:tcPr>
            <w:tcW w:w="2352" w:type="dxa"/>
            <w:vMerge w:val="continue"/>
            <w:tcBorders>
              <w:left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lang w:val="en-US" w:eastAsia="zh-CN"/>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系统国产化中间件适配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r>
        <w:tblPrEx>
          <w:tblCellMar>
            <w:top w:w="0" w:type="dxa"/>
            <w:left w:w="108" w:type="dxa"/>
            <w:bottom w:w="0" w:type="dxa"/>
            <w:right w:w="108" w:type="dxa"/>
          </w:tblCellMar>
        </w:tblPrEx>
        <w:trPr>
          <w:trHeight w:val="28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eastAsia="宋体"/>
                <w:color w:val="auto"/>
                <w:sz w:val="22"/>
                <w:szCs w:val="22"/>
                <w:highlight w:val="none"/>
                <w:lang w:val="en-US" w:eastAsia="zh-CN" w:bidi="ar"/>
              </w:rPr>
            </w:pPr>
            <w:r>
              <w:rPr>
                <w:rFonts w:hint="eastAsia"/>
                <w:color w:val="auto"/>
                <w:sz w:val="22"/>
                <w:szCs w:val="22"/>
                <w:highlight w:val="none"/>
                <w:lang w:val="en-US" w:eastAsia="zh-CN" w:bidi="ar"/>
              </w:rPr>
              <w:t>34</w:t>
            </w:r>
          </w:p>
        </w:tc>
        <w:tc>
          <w:tcPr>
            <w:tcW w:w="2352" w:type="dxa"/>
            <w:vMerge w:val="continue"/>
            <w:tcBorders>
              <w:left w:val="single" w:color="000000" w:sz="4" w:space="0"/>
              <w:bottom w:val="single" w:color="000000" w:sz="4" w:space="0"/>
              <w:right w:val="single" w:color="000000" w:sz="4" w:space="0"/>
            </w:tcBorders>
            <w:shd w:val="clear" w:color="auto" w:fill="auto"/>
            <w:vAlign w:val="center"/>
          </w:tcPr>
          <w:p>
            <w:pPr>
              <w:ind w:firstLine="440"/>
              <w:jc w:val="center"/>
              <w:rPr>
                <w:rFonts w:hint="eastAsia"/>
                <w:color w:val="auto"/>
                <w:sz w:val="22"/>
                <w:szCs w:val="22"/>
                <w:highlight w:val="none"/>
                <w:lang w:val="en-US" w:eastAsia="zh-CN"/>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系统国产化操作系统适配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color w:val="auto"/>
                <w:sz w:val="22"/>
                <w:szCs w:val="22"/>
                <w:highlight w:val="none"/>
                <w:lang w:bidi="ar"/>
              </w:rPr>
            </w:pPr>
            <w:r>
              <w:rPr>
                <w:rFonts w:hint="eastAsia"/>
                <w:color w:val="auto"/>
                <w:sz w:val="22"/>
                <w:szCs w:val="22"/>
                <w:highlight w:val="none"/>
                <w:lang w:bidi="ar"/>
              </w:rPr>
              <w:t>项</w:t>
            </w:r>
          </w:p>
        </w:tc>
      </w:tr>
    </w:tbl>
    <w:p>
      <w:pPr>
        <w:ind w:firstLine="480"/>
        <w:rPr>
          <w:rFonts w:hint="eastAsia"/>
          <w:color w:val="auto"/>
          <w:highlight w:val="none"/>
        </w:rPr>
      </w:pPr>
    </w:p>
    <w:p>
      <w:pPr>
        <w:pStyle w:val="3"/>
        <w:spacing w:before="156" w:beforeLines="0" w:after="156" w:afterLines="0"/>
        <w:ind w:left="567"/>
        <w:rPr>
          <w:rFonts w:hint="eastAsia"/>
          <w:color w:val="auto"/>
          <w:highlight w:val="none"/>
        </w:rPr>
      </w:pPr>
      <w:r>
        <w:rPr>
          <w:rFonts w:hint="eastAsia"/>
          <w:color w:val="auto"/>
          <w:highlight w:val="none"/>
        </w:rPr>
        <w:t xml:space="preserve"> 本项目建设内容和要求</w:t>
      </w:r>
    </w:p>
    <w:p>
      <w:pPr>
        <w:pStyle w:val="4"/>
        <w:rPr>
          <w:rFonts w:hint="eastAsia"/>
          <w:color w:val="auto"/>
          <w:highlight w:val="none"/>
        </w:rPr>
      </w:pPr>
      <w:bookmarkStart w:id="5" w:name="_Toc462234930"/>
      <w:bookmarkStart w:id="6" w:name="_Toc426120967"/>
      <w:bookmarkStart w:id="7" w:name="_Toc424061785"/>
      <w:bookmarkStart w:id="8" w:name="_Toc16781371"/>
      <w:bookmarkStart w:id="9" w:name="_Toc28420"/>
      <w:bookmarkStart w:id="10" w:name="_Toc29493"/>
      <w:bookmarkStart w:id="11" w:name="_Toc10938"/>
      <w:bookmarkStart w:id="12" w:name="_Toc26457"/>
      <w:bookmarkStart w:id="13" w:name="_Toc17754"/>
      <w:bookmarkStart w:id="14" w:name="_Toc535239789"/>
      <w:bookmarkStart w:id="15" w:name="_Toc7314"/>
      <w:bookmarkStart w:id="16" w:name="_Toc21171"/>
      <w:r>
        <w:rPr>
          <w:rFonts w:hint="eastAsia"/>
          <w:color w:val="auto"/>
          <w:highlight w:val="none"/>
        </w:rPr>
        <w:t>▲网站前端搭建</w:t>
      </w:r>
    </w:p>
    <w:p>
      <w:pPr>
        <w:pStyle w:val="5"/>
        <w:autoSpaceDE/>
        <w:autoSpaceDN/>
        <w:ind w:left="1020"/>
        <w:rPr>
          <w:rFonts w:hint="eastAsia"/>
          <w:color w:val="auto"/>
          <w:highlight w:val="none"/>
        </w:rPr>
      </w:pPr>
      <w:r>
        <w:rPr>
          <w:rFonts w:hint="eastAsia"/>
          <w:color w:val="auto"/>
          <w:highlight w:val="none"/>
          <w:lang w:val="en-US" w:eastAsia="zh-CN"/>
        </w:rPr>
        <w:t xml:space="preserve"> </w:t>
      </w:r>
      <w:r>
        <w:rPr>
          <w:rFonts w:hint="eastAsia"/>
          <w:color w:val="auto"/>
          <w:sz w:val="22"/>
          <w:szCs w:val="22"/>
          <w:highlight w:val="none"/>
          <w:lang w:bidi="ar"/>
        </w:rPr>
        <w:t>页面设计</w:t>
      </w:r>
    </w:p>
    <w:p>
      <w:pPr>
        <w:pStyle w:val="6"/>
        <w:autoSpaceDE/>
        <w:autoSpaceDN/>
        <w:ind w:left="1020"/>
        <w:rPr>
          <w:rFonts w:hint="eastAsia"/>
          <w:color w:val="auto"/>
          <w:highlight w:val="none"/>
        </w:rPr>
      </w:pPr>
      <w:r>
        <w:rPr>
          <w:rFonts w:hint="eastAsia"/>
          <w:color w:val="auto"/>
          <w:highlight w:val="none"/>
          <w:lang w:val="en-US" w:eastAsia="zh-CN"/>
        </w:rPr>
        <w:t xml:space="preserve"> </w:t>
      </w:r>
      <w:r>
        <w:rPr>
          <w:rFonts w:hint="eastAsia"/>
          <w:color w:val="auto"/>
          <w:highlight w:val="none"/>
        </w:rPr>
        <w:t>网站主站页面设计</w:t>
      </w:r>
    </w:p>
    <w:p>
      <w:pPr>
        <w:ind w:firstLine="480"/>
        <w:rPr>
          <w:rFonts w:hint="eastAsia"/>
          <w:color w:val="auto"/>
          <w:highlight w:val="none"/>
        </w:rPr>
      </w:pPr>
      <w:r>
        <w:rPr>
          <w:rFonts w:hint="eastAsia"/>
          <w:color w:val="auto"/>
          <w:highlight w:val="none"/>
        </w:rPr>
        <w:t>在本次网站升级改造建设中，对网站的页面内容合理规划并在此基础上加以丰富和完善，使其访问内容更具条理性和广泛性，同时针对现有网站的页面进行优化设计，使其具备紧凑感和协调性，更符合政府机关对外服务的形象性、体现出诸暨市政府工作特色、满足各种不同受众的需求。网站设计将满足美观庄重、简洁大方的审美要求，方便受众群体的使用，主站设计包括首页设计、“地方特色”频道页设计、互动类频道设计、检索展示页设计等。</w:t>
      </w:r>
    </w:p>
    <w:p>
      <w:pPr>
        <w:pStyle w:val="6"/>
        <w:ind w:left="1020"/>
        <w:rPr>
          <w:rFonts w:hint="eastAsia"/>
          <w:color w:val="auto"/>
          <w:highlight w:val="none"/>
        </w:rPr>
      </w:pPr>
      <w:r>
        <w:rPr>
          <w:rFonts w:hint="eastAsia"/>
          <w:color w:val="auto"/>
          <w:highlight w:val="none"/>
        </w:rPr>
        <w:t>政务公开网站页面设计</w:t>
      </w:r>
    </w:p>
    <w:p>
      <w:pPr>
        <w:ind w:firstLine="480"/>
        <w:rPr>
          <w:rFonts w:hint="eastAsia"/>
          <w:color w:val="auto"/>
          <w:highlight w:val="none"/>
        </w:rPr>
      </w:pPr>
      <w:r>
        <w:rPr>
          <w:rFonts w:hint="eastAsia"/>
          <w:color w:val="auto"/>
          <w:highlight w:val="none"/>
        </w:rPr>
        <w:t>政务公开平台</w:t>
      </w:r>
      <w:r>
        <w:rPr>
          <w:color w:val="auto"/>
          <w:highlight w:val="none"/>
        </w:rPr>
        <w:t>不仅仅是一种政府发布信息资源和提供信息服务的工具，也应是政府在网络上精心打造的视觉形象，应着力反映政府的执政理念、发展 策略和远景规划等深层次内容。</w:t>
      </w:r>
      <w:r>
        <w:rPr>
          <w:rFonts w:hint="eastAsia"/>
          <w:color w:val="auto"/>
          <w:highlight w:val="none"/>
        </w:rPr>
        <w:t>依据最新《中华人民共和国政府信息公开条例》、《国务院办公厅政府信息与政务公开办公室关于规范政府信息公开平台有关事项的通知》国办公开办函〔2019〕61号，对诸暨市信息公开网站进行重新设计。</w:t>
      </w:r>
    </w:p>
    <w:p>
      <w:pPr>
        <w:pStyle w:val="5"/>
        <w:ind w:left="1020"/>
        <w:rPr>
          <w:rFonts w:hint="eastAsia"/>
          <w:color w:val="auto"/>
          <w:highlight w:val="none"/>
        </w:rPr>
      </w:pPr>
      <w:r>
        <w:rPr>
          <w:rFonts w:hint="eastAsia"/>
          <w:color w:val="auto"/>
          <w:highlight w:val="none"/>
        </w:rPr>
        <w:t>页面实施</w:t>
      </w:r>
    </w:p>
    <w:p>
      <w:pPr>
        <w:ind w:firstLine="480"/>
        <w:rPr>
          <w:rFonts w:hint="eastAsia"/>
          <w:color w:val="auto"/>
          <w:highlight w:val="none"/>
        </w:rPr>
      </w:pPr>
      <w:r>
        <w:rPr>
          <w:rFonts w:hint="eastAsia"/>
          <w:color w:val="auto"/>
          <w:highlight w:val="none"/>
        </w:rPr>
        <w:t>（1）模板制作</w:t>
      </w:r>
    </w:p>
    <w:p>
      <w:pPr>
        <w:ind w:firstLine="480"/>
        <w:rPr>
          <w:rFonts w:hint="eastAsia"/>
          <w:color w:val="auto"/>
          <w:highlight w:val="none"/>
        </w:rPr>
      </w:pPr>
      <w:r>
        <w:rPr>
          <w:rFonts w:hint="eastAsia"/>
          <w:color w:val="auto"/>
          <w:szCs w:val="24"/>
          <w:highlight w:val="none"/>
        </w:rPr>
        <w:t>网站实施人员负责将网页设计稿按服务板块分别切割成片，并利用Adobe Dreamweaver网页编辑工具对网页设计稿进行网页代码编辑，制作服务页面模板。</w:t>
      </w:r>
    </w:p>
    <w:p>
      <w:pPr>
        <w:ind w:firstLine="480"/>
        <w:rPr>
          <w:rFonts w:hint="eastAsia"/>
          <w:color w:val="auto"/>
          <w:highlight w:val="none"/>
        </w:rPr>
      </w:pPr>
      <w:r>
        <w:rPr>
          <w:rFonts w:hint="eastAsia"/>
          <w:color w:val="auto"/>
          <w:highlight w:val="none"/>
        </w:rPr>
        <w:t>（2）模板上传</w:t>
      </w:r>
    </w:p>
    <w:p>
      <w:pPr>
        <w:ind w:firstLine="480"/>
        <w:rPr>
          <w:rFonts w:hint="eastAsia"/>
          <w:color w:val="auto"/>
          <w:szCs w:val="24"/>
          <w:highlight w:val="none"/>
        </w:rPr>
      </w:pPr>
      <w:r>
        <w:rPr>
          <w:rFonts w:hint="eastAsia"/>
          <w:color w:val="auto"/>
          <w:szCs w:val="24"/>
          <w:highlight w:val="none"/>
        </w:rPr>
        <w:t>制作完成的诸暨市人民政府门户网站网页模板统一按规定的html文件和图片zip包格式上传至内容管理系统的模板库中。若后续因用户需求变更对服务页面进行调整，则将模板下载到本地进行修改。修改后，选择修改后的模板更新上传即可。</w:t>
      </w:r>
    </w:p>
    <w:p>
      <w:pPr>
        <w:ind w:firstLine="480"/>
        <w:rPr>
          <w:rFonts w:hint="eastAsia"/>
          <w:color w:val="auto"/>
          <w:szCs w:val="24"/>
          <w:highlight w:val="none"/>
        </w:rPr>
      </w:pPr>
      <w:r>
        <w:rPr>
          <w:rFonts w:hint="eastAsia"/>
          <w:color w:val="auto"/>
          <w:szCs w:val="24"/>
          <w:highlight w:val="none"/>
        </w:rPr>
        <w:t>（3）模板选择与单元设置</w:t>
      </w:r>
    </w:p>
    <w:p>
      <w:pPr>
        <w:ind w:firstLine="480"/>
        <w:rPr>
          <w:rFonts w:ascii="仿宋_GB2312" w:hAnsi="Calibri"/>
          <w:color w:val="auto"/>
          <w:szCs w:val="24"/>
          <w:highlight w:val="none"/>
        </w:rPr>
      </w:pPr>
      <w:r>
        <w:rPr>
          <w:rFonts w:hint="eastAsia"/>
          <w:color w:val="auto"/>
          <w:szCs w:val="24"/>
          <w:highlight w:val="none"/>
        </w:rPr>
        <w:t>模板选择旨在对诸暨市人民政府门户网站页面在模板制作环境下进行重新组合，用户通过专业的可视化工具可对诸暨市人民政府门户网站页面进行灵活调整，在无需代码设置的前提下即可保证“所见即所得”。</w:t>
      </w:r>
    </w:p>
    <w:p>
      <w:pPr>
        <w:ind w:firstLine="480"/>
        <w:rPr>
          <w:rFonts w:hint="eastAsia"/>
          <w:color w:val="auto"/>
          <w:szCs w:val="24"/>
          <w:highlight w:val="none"/>
        </w:rPr>
      </w:pPr>
      <w:r>
        <w:rPr>
          <w:rFonts w:hint="eastAsia"/>
          <w:color w:val="auto"/>
          <w:szCs w:val="24"/>
          <w:highlight w:val="none"/>
        </w:rPr>
        <w:t>单元设置负责将切割成片的诸暨市人民政府门户网站页面与具体信息展示源关联绑定，用户通过单元设置即可将后台维护的栏目信息内容按设置路径发布至前台对应的诸暨市人民政府门户网站页面实时展示。</w:t>
      </w:r>
    </w:p>
    <w:p>
      <w:pPr>
        <w:pStyle w:val="5"/>
        <w:ind w:left="1020"/>
        <w:rPr>
          <w:rFonts w:hint="eastAsia"/>
          <w:color w:val="auto"/>
          <w:highlight w:val="none"/>
        </w:rPr>
      </w:pPr>
      <w:bookmarkStart w:id="17" w:name="_Toc66830470"/>
      <w:r>
        <w:rPr>
          <w:rFonts w:hint="eastAsia"/>
          <w:color w:val="auto"/>
          <w:highlight w:val="none"/>
        </w:rPr>
        <w:t>栏目体系</w:t>
      </w:r>
      <w:bookmarkEnd w:id="17"/>
      <w:r>
        <w:rPr>
          <w:rFonts w:hint="eastAsia"/>
          <w:color w:val="auto"/>
          <w:highlight w:val="none"/>
        </w:rPr>
        <w:t>设计</w:t>
      </w:r>
    </w:p>
    <w:p>
      <w:pPr>
        <w:ind w:firstLine="480"/>
        <w:rPr>
          <w:rFonts w:hint="eastAsia"/>
          <w:color w:val="auto"/>
          <w:highlight w:val="none"/>
        </w:rPr>
      </w:pPr>
      <w:r>
        <w:rPr>
          <w:rFonts w:hint="eastAsia"/>
          <w:color w:val="auto"/>
          <w:highlight w:val="none"/>
        </w:rPr>
        <w:t>本次网站的栏目规划要求紧密围绕网站定位，扩展栏目功能和服务。思路上需要体现整合、集成、优化，解决原有栏目过多过碎的问题，在前台表现上需从全方位、多视角展示诸暨市人民政府形象，需体现诸暨市人民政府的实力、活力与魅力。</w:t>
      </w:r>
    </w:p>
    <w:p>
      <w:pPr>
        <w:pStyle w:val="14"/>
        <w:ind w:firstLine="240"/>
        <w:rPr>
          <w:rFonts w:hint="eastAsia"/>
          <w:color w:val="auto"/>
          <w:sz w:val="24"/>
          <w:highlight w:val="none"/>
        </w:rPr>
      </w:pPr>
      <w:r>
        <w:rPr>
          <w:rFonts w:hint="eastAsia"/>
          <w:color w:val="auto"/>
          <w:sz w:val="24"/>
          <w:highlight w:val="none"/>
        </w:rPr>
        <w:t>根据“数据同源”的原则，网站的栏目分为底层栏目与展示层栏目两层，底层栏目即网站栏目的基本数据源，在网站的运营过程中，原则上管理人员只需要在底层栏目中进行数据维护。如“动态信息”栏目可能存在于前台多个页面中，实际在底层只需要确定一个“动态信息”栏目，前台展示的栏目调取底层栏目。</w:t>
      </w:r>
    </w:p>
    <w:p>
      <w:pPr>
        <w:pStyle w:val="5"/>
        <w:ind w:left="1020"/>
        <w:rPr>
          <w:rFonts w:hint="eastAsia"/>
          <w:color w:val="auto"/>
          <w:highlight w:val="none"/>
        </w:rPr>
      </w:pPr>
      <w:r>
        <w:rPr>
          <w:rFonts w:hint="eastAsia"/>
          <w:color w:val="auto"/>
          <w:highlight w:val="none"/>
        </w:rPr>
        <w:t>网站栏目关系梳理与对接</w:t>
      </w:r>
    </w:p>
    <w:p>
      <w:pPr>
        <w:ind w:firstLine="480"/>
        <w:rPr>
          <w:rFonts w:hint="eastAsia"/>
          <w:color w:val="auto"/>
          <w:highlight w:val="none"/>
        </w:rPr>
      </w:pPr>
      <w:r>
        <w:rPr>
          <w:rFonts w:hint="eastAsia"/>
          <w:color w:val="auto"/>
          <w:highlight w:val="none"/>
        </w:rPr>
        <w:t>展示层栏目即为网站最终呈现在门户网站前台的栏目规划。展示层栏目设计的原则有：</w:t>
      </w:r>
    </w:p>
    <w:p>
      <w:pPr>
        <w:ind w:firstLine="480"/>
        <w:rPr>
          <w:rFonts w:hint="eastAsia"/>
          <w:color w:val="auto"/>
          <w:highlight w:val="none"/>
        </w:rPr>
      </w:pPr>
      <w:r>
        <w:rPr>
          <w:rFonts w:hint="eastAsia"/>
          <w:color w:val="auto"/>
          <w:highlight w:val="none"/>
        </w:rPr>
        <w:t>美观度: 根据页面展现样式的需要，规划前台栏目的展示位置、信息条数、信息属性。</w:t>
      </w:r>
    </w:p>
    <w:p>
      <w:pPr>
        <w:ind w:firstLine="480"/>
        <w:rPr>
          <w:rFonts w:hint="eastAsia"/>
          <w:color w:val="auto"/>
          <w:highlight w:val="none"/>
        </w:rPr>
      </w:pPr>
      <w:r>
        <w:rPr>
          <w:rFonts w:hint="eastAsia"/>
          <w:color w:val="auto"/>
          <w:highlight w:val="none"/>
        </w:rPr>
        <w:t>逻辑性：充分考虑栏目设计逻辑，使前台的栏目设计更加贴近用户访问习惯，提升网站交互能力与访问友好度。</w:t>
      </w:r>
    </w:p>
    <w:p>
      <w:pPr>
        <w:ind w:firstLine="480"/>
        <w:rPr>
          <w:rFonts w:hint="eastAsia"/>
          <w:color w:val="auto"/>
          <w:highlight w:val="none"/>
        </w:rPr>
      </w:pPr>
      <w:r>
        <w:rPr>
          <w:rFonts w:hint="eastAsia"/>
          <w:color w:val="auto"/>
          <w:highlight w:val="none"/>
        </w:rPr>
        <w:t>信息同源：保证网站信息同源，并减少维护人员信息维护工作量，展示层栏目的数据以调取底层栏目为主。</w:t>
      </w:r>
    </w:p>
    <w:p>
      <w:pPr>
        <w:pStyle w:val="5"/>
        <w:ind w:left="1020"/>
        <w:rPr>
          <w:rFonts w:hint="eastAsia"/>
          <w:color w:val="auto"/>
          <w:highlight w:val="none"/>
        </w:rPr>
      </w:pPr>
      <w:r>
        <w:rPr>
          <w:rFonts w:hint="eastAsia"/>
          <w:color w:val="auto"/>
          <w:highlight w:val="none"/>
        </w:rPr>
        <w:t>数据移植整合</w:t>
      </w:r>
    </w:p>
    <w:p>
      <w:pPr>
        <w:ind w:firstLine="480"/>
        <w:rPr>
          <w:rFonts w:hint="eastAsia"/>
          <w:color w:val="auto"/>
          <w:highlight w:val="none"/>
        </w:rPr>
      </w:pPr>
      <w:r>
        <w:rPr>
          <w:rFonts w:hint="eastAsia"/>
          <w:color w:val="auto"/>
          <w:highlight w:val="none"/>
        </w:rPr>
        <w:t>为保证考虑到网站升级过程中不影响现有网站正常运行，所有栏目都采用新建模式。所以在栏目新建完成后，需要将原栏目中信息迁移至新栏目中，移植的数据应包括栏目信息数据、专题数据、非结构化数据文件（图片、附件、视频）等。</w:t>
      </w:r>
    </w:p>
    <w:p>
      <w:pPr>
        <w:pStyle w:val="4"/>
        <w:rPr>
          <w:rFonts w:hint="eastAsia"/>
          <w:color w:val="auto"/>
          <w:highlight w:val="none"/>
        </w:rPr>
      </w:pPr>
      <w:r>
        <w:rPr>
          <w:rFonts w:hint="eastAsia"/>
          <w:color w:val="auto"/>
          <w:highlight w:val="none"/>
        </w:rPr>
        <w:t>▲信息公开页面改版</w:t>
      </w:r>
    </w:p>
    <w:p>
      <w:pPr>
        <w:spacing w:line="400" w:lineRule="exact"/>
        <w:ind w:firstLine="480"/>
        <w:jc w:val="left"/>
        <w:rPr>
          <w:rFonts w:hint="eastAsia" w:cs="微软雅黑"/>
          <w:color w:val="auto"/>
          <w:szCs w:val="24"/>
          <w:highlight w:val="none"/>
        </w:rPr>
      </w:pPr>
      <w:r>
        <w:rPr>
          <w:rFonts w:hint="eastAsia" w:cs="微软雅黑"/>
          <w:color w:val="auto"/>
          <w:szCs w:val="24"/>
          <w:highlight w:val="none"/>
        </w:rPr>
        <w:t>根据《国务院办公厅关于全面推进基层政务公开标准化规范化工作的指导意见》、《政府信息公开条例》、《国务院办公厅关于印发2022年政务公开工作要点的通知》等相关政策，对诸暨市</w:t>
      </w:r>
      <w:r>
        <w:rPr>
          <w:rFonts w:hint="eastAsia" w:cs="微软雅黑"/>
          <w:bCs/>
          <w:color w:val="auto"/>
          <w:szCs w:val="24"/>
          <w:highlight w:val="none"/>
        </w:rPr>
        <w:t>政务公开</w:t>
      </w:r>
      <w:r>
        <w:rPr>
          <w:rFonts w:hint="eastAsia" w:cs="微软雅黑"/>
          <w:color w:val="auto"/>
          <w:szCs w:val="24"/>
          <w:highlight w:val="none"/>
        </w:rPr>
        <w:t>首页内容进行归并、转换、重新定义或重组，对诸暨市</w:t>
      </w:r>
      <w:r>
        <w:rPr>
          <w:rFonts w:hint="eastAsia" w:cs="微软雅黑"/>
          <w:bCs/>
          <w:color w:val="auto"/>
          <w:szCs w:val="24"/>
          <w:highlight w:val="none"/>
        </w:rPr>
        <w:t>政务公开首页</w:t>
      </w:r>
      <w:r>
        <w:rPr>
          <w:rFonts w:hint="eastAsia" w:cs="微软雅黑"/>
          <w:color w:val="auto"/>
          <w:szCs w:val="24"/>
          <w:highlight w:val="none"/>
        </w:rPr>
        <w:t>资源进行筛选、整合，突出内容划分合理性，彰显网站人性化服务的理念，保证栏目设计科学性、合理性、前瞻性。</w:t>
      </w:r>
      <w:r>
        <w:rPr>
          <w:rFonts w:hint="eastAsia" w:cs="微软雅黑"/>
          <w:bCs/>
          <w:color w:val="auto"/>
          <w:szCs w:val="24"/>
          <w:highlight w:val="none"/>
        </w:rPr>
        <w:t>政务公开</w:t>
      </w:r>
      <w:r>
        <w:rPr>
          <w:rFonts w:hint="eastAsia" w:cs="微软雅黑"/>
          <w:color w:val="auto"/>
          <w:szCs w:val="24"/>
          <w:highlight w:val="none"/>
        </w:rPr>
        <w:t>内容规划要充分强调栏目之间的关联性、规范性和逻辑性，避免栏目内容过于冗繁复杂，造成服务信息难以被有效访问。</w:t>
      </w:r>
    </w:p>
    <w:p>
      <w:pPr>
        <w:pStyle w:val="5"/>
        <w:ind w:left="1020"/>
        <w:rPr>
          <w:rFonts w:hint="eastAsia"/>
          <w:color w:val="auto"/>
          <w:highlight w:val="none"/>
        </w:rPr>
      </w:pPr>
      <w:r>
        <w:rPr>
          <w:rFonts w:hint="eastAsia"/>
          <w:color w:val="auto"/>
          <w:highlight w:val="none"/>
        </w:rPr>
        <w:t>公开目录梳理</w:t>
      </w:r>
    </w:p>
    <w:p>
      <w:pPr>
        <w:ind w:firstLine="480"/>
        <w:rPr>
          <w:rFonts w:hint="eastAsia"/>
          <w:color w:val="auto"/>
          <w:highlight w:val="none"/>
        </w:rPr>
      </w:pPr>
      <w:r>
        <w:rPr>
          <w:rFonts w:hint="eastAsia"/>
          <w:color w:val="auto"/>
          <w:highlight w:val="none"/>
        </w:rPr>
        <w:t>依据国家和省政务公开系列文件要求，在深入调研诸暨市政务公开现状和实际需求的基础上，全面梳理政务公开事项，科学设置公开目录，细化公开标准，形成科学性高、操作性强、符合诸暨市实际的主动公开目录体系，按照市本级、部门、乡镇街道三个层级梳理相对应的公开目录</w:t>
      </w:r>
      <w:r>
        <w:rPr>
          <w:color w:val="auto"/>
          <w:highlight w:val="none"/>
        </w:rPr>
        <w:t>。</w:t>
      </w:r>
    </w:p>
    <w:p>
      <w:pPr>
        <w:pStyle w:val="5"/>
        <w:ind w:left="1020"/>
        <w:rPr>
          <w:rFonts w:hint="eastAsia"/>
          <w:color w:val="auto"/>
          <w:highlight w:val="none"/>
        </w:rPr>
      </w:pPr>
      <w:r>
        <w:rPr>
          <w:rFonts w:hint="eastAsia"/>
          <w:color w:val="auto"/>
          <w:highlight w:val="none"/>
        </w:rPr>
        <w:t>组配栏目改造实施</w:t>
      </w:r>
    </w:p>
    <w:p>
      <w:pPr>
        <w:pStyle w:val="64"/>
        <w:spacing w:line="360" w:lineRule="auto"/>
        <w:ind w:firstLine="480"/>
        <w:rPr>
          <w:rFonts w:hint="eastAsia" w:ascii="宋体" w:hAnsi="宋体"/>
          <w:sz w:val="24"/>
          <w:szCs w:val="24"/>
          <w:highlight w:val="none"/>
        </w:rPr>
      </w:pPr>
      <w:r>
        <w:rPr>
          <w:rFonts w:hint="eastAsia" w:ascii="宋体" w:hAnsi="宋体"/>
          <w:sz w:val="24"/>
          <w:szCs w:val="24"/>
          <w:highlight w:val="none"/>
        </w:rPr>
        <w:t>采用栏目建设模式，在网站集约化平台进行政务公开目录重新设置，栏目改造包含市本级政务公开目录</w:t>
      </w:r>
      <w:r>
        <w:rPr>
          <w:rFonts w:ascii="宋体" w:hAnsi="宋体"/>
          <w:sz w:val="24"/>
          <w:szCs w:val="24"/>
          <w:highlight w:val="none"/>
        </w:rPr>
        <w:t>，部门公开目录，乡镇街道公开目录</w:t>
      </w:r>
      <w:r>
        <w:rPr>
          <w:rFonts w:hint="eastAsia" w:ascii="宋体" w:hAnsi="宋体"/>
          <w:sz w:val="24"/>
          <w:szCs w:val="24"/>
          <w:highlight w:val="none"/>
        </w:rPr>
        <w:t>，将诸暨市人民政府门户网站政府信息公开内容按照栏目形式进行分类呈现，按需建设栏目结构，各部门可依据实际情况开展网站内容维护，细化网站管理工作。</w:t>
      </w:r>
    </w:p>
    <w:p>
      <w:pPr>
        <w:pStyle w:val="5"/>
        <w:ind w:left="1020"/>
        <w:rPr>
          <w:rFonts w:hint="eastAsia"/>
          <w:color w:val="auto"/>
          <w:highlight w:val="none"/>
        </w:rPr>
      </w:pPr>
      <w:r>
        <w:rPr>
          <w:rFonts w:hint="eastAsia"/>
          <w:color w:val="auto"/>
          <w:highlight w:val="none"/>
        </w:rPr>
        <w:t>栏目呈送对接关系配置</w:t>
      </w:r>
    </w:p>
    <w:p>
      <w:pPr>
        <w:ind w:firstLine="480"/>
        <w:rPr>
          <w:rFonts w:hint="eastAsia"/>
          <w:color w:val="auto"/>
          <w:highlight w:val="none"/>
        </w:rPr>
      </w:pPr>
      <w:r>
        <w:rPr>
          <w:rFonts w:hint="eastAsia"/>
          <w:color w:val="auto"/>
          <w:highlight w:val="none"/>
        </w:rPr>
        <w:t>依据诸暨市人民政府门户网站栏目内容规划，进行栏目呈送对接关系配置，为不同的栏目或内容设置特定的呈送和对接流程，一方面保证内容的准确性，另一方面实现一次发布，同步展示，避免同一条信息多次发布。</w:t>
      </w:r>
    </w:p>
    <w:p>
      <w:pPr>
        <w:pStyle w:val="5"/>
        <w:ind w:left="1020"/>
        <w:rPr>
          <w:rFonts w:hint="eastAsia"/>
          <w:color w:val="auto"/>
          <w:highlight w:val="none"/>
        </w:rPr>
      </w:pPr>
      <w:r>
        <w:rPr>
          <w:rFonts w:hint="eastAsia"/>
          <w:color w:val="auto"/>
          <w:highlight w:val="none"/>
        </w:rPr>
        <w:t>账号权限分配</w:t>
      </w:r>
    </w:p>
    <w:p>
      <w:pPr>
        <w:ind w:firstLine="480"/>
        <w:rPr>
          <w:rFonts w:hint="eastAsia"/>
          <w:color w:val="auto"/>
          <w:szCs w:val="24"/>
          <w:highlight w:val="none"/>
        </w:rPr>
      </w:pPr>
      <w:r>
        <w:rPr>
          <w:rFonts w:hint="eastAsia"/>
          <w:color w:val="auto"/>
          <w:szCs w:val="24"/>
          <w:highlight w:val="none"/>
        </w:rPr>
        <w:t>配置网站管理账号及栏目管理权限分配，包含全市所有部门，所有网站管理人员。建设诸暨市人民政府门户网站管理所需的组织框架用户体系，为诸暨市人民政府门户网站管理工作铺垫出层级清晰、组织严密的支撑体系，满足诸暨市人民政府门户网站管理场景下对于用户所属层级、组织关系的精准分类要求。通过垂直管理体系结构，以树状层级体现明确从属关系进行细致的组织划分，支持用户按行政区、机构名称、机构层级、所属地区等分类维度进行组织框架搭建。</w:t>
      </w:r>
    </w:p>
    <w:p>
      <w:pPr>
        <w:ind w:firstLine="480"/>
        <w:rPr>
          <w:rFonts w:hint="eastAsia"/>
          <w:color w:val="auto"/>
          <w:szCs w:val="24"/>
          <w:highlight w:val="none"/>
        </w:rPr>
      </w:pPr>
      <w:r>
        <w:rPr>
          <w:rFonts w:hint="eastAsia"/>
          <w:color w:val="auto"/>
          <w:szCs w:val="24"/>
          <w:highlight w:val="none"/>
        </w:rPr>
        <w:t>对于组织机构体系下的用户群体管理，系统提供新增用户管理服务，支持按用户登录名、姓名、密码、所属组织机构、所属群组等要素完成对用户身份属性信息的创建工作。其中，所属组织机构或群组的选择可有效建立用户分类管理标签，帮助管理端用户实现对内部用户的精准分类管理。</w:t>
      </w:r>
    </w:p>
    <w:p>
      <w:pPr>
        <w:ind w:firstLine="480"/>
        <w:rPr>
          <w:rFonts w:hint="eastAsia"/>
          <w:color w:val="auto"/>
          <w:szCs w:val="24"/>
          <w:highlight w:val="none"/>
        </w:rPr>
      </w:pPr>
      <w:r>
        <w:rPr>
          <w:rFonts w:hint="eastAsia"/>
          <w:color w:val="auto"/>
          <w:szCs w:val="24"/>
          <w:highlight w:val="none"/>
        </w:rPr>
        <w:t>系统提供对用户启/停用设置、删除、登录日志查阅等基础管理模块，同时还提供对用户离职/退休时的账号处理，系统支持按离退时间、离退类型进行离退处理。</w:t>
      </w:r>
    </w:p>
    <w:p>
      <w:pPr>
        <w:ind w:firstLine="480"/>
        <w:rPr>
          <w:rFonts w:hint="eastAsia"/>
          <w:color w:val="auto"/>
          <w:szCs w:val="24"/>
          <w:highlight w:val="none"/>
        </w:rPr>
      </w:pPr>
      <w:r>
        <w:rPr>
          <w:rFonts w:hint="eastAsia"/>
          <w:color w:val="auto"/>
          <w:szCs w:val="24"/>
          <w:highlight w:val="none"/>
        </w:rPr>
        <w:t>系统通过基于角色的权限管理控制设计，实现诸暨市人民政府门户网站管理用户角色关联用户权限。如用户角色可划分组件管理员、部门管理员、系统维护员、业务处理员等，系统通过矩阵式的权限管理模式，既可对各角色进行权限设置，也可对用户进行权限分配。权限设置管理是多层次、分级的，权限设置可以提供不同身份的用户的权限分配，提供强大的权限设置功能，从机构、职务、角色到用户，将现实的机构关系抽象到具体的诸暨市人民政府门户网站管理工作中。</w:t>
      </w:r>
    </w:p>
    <w:p>
      <w:pPr>
        <w:pStyle w:val="4"/>
        <w:rPr>
          <w:rFonts w:hint="eastAsia"/>
          <w:color w:val="auto"/>
          <w:highlight w:val="none"/>
        </w:rPr>
      </w:pPr>
      <w:r>
        <w:rPr>
          <w:rFonts w:hint="eastAsia"/>
          <w:color w:val="auto"/>
          <w:highlight w:val="none"/>
        </w:rPr>
        <w:t xml:space="preserve"> 政策专区建设</w:t>
      </w:r>
    </w:p>
    <w:p>
      <w:pPr>
        <w:pStyle w:val="5"/>
        <w:ind w:left="1020" w:firstLine="480"/>
        <w:rPr>
          <w:rFonts w:hint="eastAsia"/>
          <w:color w:val="auto"/>
          <w:highlight w:val="none"/>
        </w:rPr>
      </w:pPr>
      <w:r>
        <w:rPr>
          <w:rFonts w:hint="eastAsia"/>
          <w:color w:val="auto"/>
          <w:highlight w:val="none"/>
        </w:rPr>
        <w:t>政策分类梳理</w:t>
      </w:r>
    </w:p>
    <w:p>
      <w:pPr>
        <w:ind w:firstLine="480"/>
        <w:rPr>
          <w:rFonts w:hint="eastAsia"/>
          <w:color w:val="auto"/>
          <w:highlight w:val="none"/>
        </w:rPr>
      </w:pPr>
      <w:r>
        <w:rPr>
          <w:rFonts w:hint="eastAsia"/>
          <w:color w:val="auto"/>
          <w:highlight w:val="none"/>
        </w:rPr>
        <w:t>基于浙江省政府网站集约化平台的信息资源库，新建诸暨市政策专区，包含政策分类展示、政策解读、政策查询功能。</w:t>
      </w:r>
    </w:p>
    <w:p>
      <w:pPr>
        <w:pStyle w:val="65"/>
        <w:ind w:firstLine="480"/>
        <w:rPr>
          <w:rFonts w:hint="eastAsia" w:ascii="宋体" w:hAnsi="宋体" w:cs="Arial"/>
          <w:color w:val="auto"/>
          <w:highlight w:val="none"/>
        </w:rPr>
      </w:pPr>
      <w:r>
        <w:rPr>
          <w:rFonts w:hint="eastAsia" w:ascii="宋体" w:hAnsi="宋体" w:cs="宋体"/>
          <w:color w:val="auto"/>
          <w:kern w:val="0"/>
          <w:szCs w:val="21"/>
          <w:highlight w:val="none"/>
        </w:rPr>
        <w:t>政策汇聚：基于浙江省政府网站集约化平台的信息资源库，集中汇聚浙江省政府文件、绍兴市政</w:t>
      </w:r>
      <w:r>
        <w:rPr>
          <w:rFonts w:hint="eastAsia" w:ascii="宋体" w:hAnsi="宋体" w:cs="Arial"/>
          <w:color w:val="auto"/>
          <w:highlight w:val="none"/>
        </w:rPr>
        <w:t>府文件、诸暨市政府文件、行政规范性文件等，确保政策文件内容全面覆盖多级、多领域，为公众用户提供全面的政策内容服务。</w:t>
      </w:r>
    </w:p>
    <w:p>
      <w:pPr>
        <w:pStyle w:val="65"/>
        <w:ind w:firstLine="480"/>
        <w:rPr>
          <w:rFonts w:hint="eastAsia" w:ascii="宋体" w:hAnsi="宋体" w:cs="Arial"/>
          <w:color w:val="auto"/>
          <w:highlight w:val="none"/>
        </w:rPr>
      </w:pPr>
      <w:r>
        <w:rPr>
          <w:rFonts w:hint="eastAsia" w:ascii="宋体" w:hAnsi="宋体" w:cs="Arial"/>
          <w:color w:val="auto"/>
          <w:highlight w:val="none"/>
        </w:rPr>
        <w:t>政策分类：集中汇聚的政策文件内容将按政策文件所属类型作初始分类，如政府规章、地方性法规、行政规范性文件、政策解读等，用户可根据文件所属类型进行有效访问浏览。</w:t>
      </w:r>
    </w:p>
    <w:p>
      <w:pPr>
        <w:pStyle w:val="65"/>
        <w:ind w:firstLine="480"/>
        <w:rPr>
          <w:rFonts w:hint="eastAsia" w:ascii="宋体" w:hAnsi="宋体" w:cs="Arial"/>
          <w:color w:val="auto"/>
          <w:highlight w:val="none"/>
        </w:rPr>
      </w:pPr>
      <w:r>
        <w:rPr>
          <w:rFonts w:hint="eastAsia" w:ascii="宋体" w:hAnsi="宋体" w:cs="Arial"/>
          <w:color w:val="auto"/>
          <w:highlight w:val="none"/>
        </w:rPr>
        <w:t>政策解读：对于部分配有政策解读的文件信息，政策解读板块将为用户提供文字、图片、视频等多类别政策解读服务，保证政策中心思想内容被公众用户有效理解吸收。</w:t>
      </w:r>
    </w:p>
    <w:p>
      <w:pPr>
        <w:pStyle w:val="5"/>
        <w:ind w:left="1020"/>
        <w:rPr>
          <w:color w:val="auto"/>
          <w:highlight w:val="none"/>
        </w:rPr>
      </w:pPr>
      <w:r>
        <w:rPr>
          <w:rFonts w:hint="eastAsia"/>
          <w:color w:val="auto"/>
          <w:highlight w:val="none"/>
        </w:rPr>
        <w:t>搜索及查询功能建设</w:t>
      </w:r>
    </w:p>
    <w:p>
      <w:pPr>
        <w:pStyle w:val="65"/>
        <w:ind w:firstLine="480"/>
        <w:rPr>
          <w:rFonts w:hint="eastAsia" w:ascii="宋体" w:hAnsi="宋体" w:cs="Arial"/>
          <w:color w:val="auto"/>
          <w:highlight w:val="none"/>
        </w:rPr>
      </w:pPr>
      <w:r>
        <w:rPr>
          <w:rFonts w:hint="eastAsia" w:ascii="宋体" w:hAnsi="宋体" w:cs="Arial"/>
          <w:color w:val="auto"/>
          <w:highlight w:val="none"/>
        </w:rPr>
        <w:t>面对全量的政策信息内容，政策查询模块支持用户按文件标题、关键词、文号、有效性、发布机构、发布时间等多维度条件筛选及检索方式，帮助用户精准快速定位所需政策信息。</w:t>
      </w:r>
    </w:p>
    <w:p>
      <w:pPr>
        <w:pStyle w:val="4"/>
        <w:rPr>
          <w:rFonts w:hint="eastAsia"/>
          <w:color w:val="auto"/>
          <w:highlight w:val="none"/>
        </w:rPr>
      </w:pPr>
      <w:r>
        <w:rPr>
          <w:rFonts w:hint="eastAsia"/>
          <w:color w:val="auto"/>
          <w:highlight w:val="none"/>
        </w:rPr>
        <w:t xml:space="preserve"> 多端适配改造</w:t>
      </w:r>
    </w:p>
    <w:p>
      <w:pPr>
        <w:pStyle w:val="5"/>
        <w:ind w:left="1020"/>
        <w:rPr>
          <w:rFonts w:hint="eastAsia"/>
          <w:color w:val="auto"/>
          <w:highlight w:val="none"/>
        </w:rPr>
      </w:pPr>
      <w:r>
        <w:rPr>
          <w:rFonts w:hint="eastAsia"/>
          <w:color w:val="auto"/>
          <w:highlight w:val="none"/>
        </w:rPr>
        <w:t>多端适配范围</w:t>
      </w:r>
    </w:p>
    <w:p>
      <w:pPr>
        <w:pStyle w:val="62"/>
        <w:ind w:firstLine="480"/>
        <w:rPr>
          <w:rFonts w:hint="eastAsia"/>
          <w:highlight w:val="none"/>
        </w:rPr>
      </w:pPr>
      <w:r>
        <w:rPr>
          <w:rFonts w:hint="eastAsia"/>
          <w:highlight w:val="none"/>
        </w:rPr>
        <w:t>适配范围包含整个诸暨市人民政府门户网站。</w:t>
      </w:r>
    </w:p>
    <w:p>
      <w:pPr>
        <w:pStyle w:val="5"/>
        <w:ind w:left="1020"/>
        <w:rPr>
          <w:rFonts w:hint="eastAsia"/>
          <w:color w:val="auto"/>
          <w:highlight w:val="none"/>
        </w:rPr>
      </w:pPr>
      <w:r>
        <w:rPr>
          <w:rFonts w:hint="eastAsia"/>
          <w:color w:val="auto"/>
          <w:highlight w:val="none"/>
        </w:rPr>
        <w:t>多端适配内容</w:t>
      </w:r>
    </w:p>
    <w:p>
      <w:pPr>
        <w:pStyle w:val="62"/>
        <w:ind w:firstLine="480"/>
        <w:rPr>
          <w:rFonts w:hint="eastAsia"/>
          <w:highlight w:val="none"/>
        </w:rPr>
      </w:pPr>
      <w:r>
        <w:rPr>
          <w:rFonts w:hint="eastAsia"/>
          <w:highlight w:val="none"/>
        </w:rPr>
        <w:t>多端适配的内容主要涵盖网站的布局、样式、图片与媒体、交互方式等方面，以确保在各种设备类型（如电脑、平板、手机等）上都能提供良好的用户体验。</w:t>
      </w:r>
    </w:p>
    <w:p>
      <w:pPr>
        <w:pStyle w:val="5"/>
        <w:ind w:left="1020"/>
        <w:rPr>
          <w:rFonts w:hint="eastAsia"/>
          <w:color w:val="auto"/>
          <w:highlight w:val="none"/>
        </w:rPr>
      </w:pPr>
      <w:r>
        <w:rPr>
          <w:rFonts w:hint="eastAsia"/>
          <w:color w:val="auto"/>
          <w:highlight w:val="none"/>
        </w:rPr>
        <w:t>前端页面调整</w:t>
      </w:r>
    </w:p>
    <w:p>
      <w:pPr>
        <w:pStyle w:val="50"/>
        <w:ind w:firstLine="480"/>
        <w:rPr>
          <w:rFonts w:hint="eastAsia" w:ascii="宋体" w:hAnsi="宋体" w:eastAsia="宋体"/>
          <w:color w:val="auto"/>
          <w:kern w:val="2"/>
          <w:sz w:val="24"/>
          <w:szCs w:val="20"/>
          <w:highlight w:val="none"/>
        </w:rPr>
      </w:pPr>
      <w:r>
        <w:rPr>
          <w:rFonts w:hint="eastAsia" w:ascii="宋体" w:hAnsi="宋体" w:eastAsia="宋体"/>
          <w:color w:val="auto"/>
          <w:kern w:val="2"/>
          <w:sz w:val="24"/>
          <w:szCs w:val="20"/>
          <w:highlight w:val="none"/>
        </w:rPr>
        <w:t>（1）布局适配</w:t>
      </w:r>
    </w:p>
    <w:p>
      <w:pPr>
        <w:pStyle w:val="62"/>
        <w:ind w:firstLine="480"/>
        <w:rPr>
          <w:rFonts w:hint="eastAsia"/>
          <w:highlight w:val="none"/>
        </w:rPr>
      </w:pPr>
      <w:r>
        <w:rPr>
          <w:rFonts w:hint="eastAsia"/>
          <w:highlight w:val="none"/>
        </w:rPr>
        <w:t>根据设备的屏幕尺寸和分辨率，通过流式布局、网格系统等方法，动态调整网页的布局和元素位置。这样可以使页面在不同设备上展现出适应性的布局，提供一致且易于浏览的体验。</w:t>
      </w:r>
    </w:p>
    <w:p>
      <w:pPr>
        <w:pStyle w:val="50"/>
        <w:ind w:firstLine="480"/>
        <w:rPr>
          <w:rFonts w:hint="eastAsia"/>
          <w:color w:val="auto"/>
          <w:highlight w:val="none"/>
        </w:rPr>
      </w:pPr>
      <w:r>
        <w:rPr>
          <w:rFonts w:hint="eastAsia" w:ascii="宋体" w:hAnsi="宋体" w:eastAsia="宋体"/>
          <w:color w:val="auto"/>
          <w:kern w:val="2"/>
          <w:sz w:val="24"/>
          <w:szCs w:val="20"/>
          <w:highlight w:val="none"/>
        </w:rPr>
        <w:t>（2）图片与媒体适配</w:t>
      </w:r>
    </w:p>
    <w:p>
      <w:pPr>
        <w:pStyle w:val="62"/>
        <w:ind w:firstLine="480"/>
        <w:rPr>
          <w:rFonts w:hint="eastAsia"/>
          <w:highlight w:val="none"/>
        </w:rPr>
      </w:pPr>
      <w:r>
        <w:rPr>
          <w:rFonts w:hint="eastAsia"/>
          <w:highlight w:val="none"/>
        </w:rPr>
        <w:t>优化图片和媒体内容，使其在不同设备上都能正确显示。这包括使用响应式图片技术，根据设备的屏幕尺寸和分辨率提供适当的图片版本，以减少加载时间和提高用户体验。同时，对于视频和其他媒体内容，也需要进行适配处理，确保其在各种设备上都能正常播放。</w:t>
      </w:r>
    </w:p>
    <w:p>
      <w:pPr>
        <w:pStyle w:val="50"/>
        <w:ind w:firstLine="480"/>
        <w:rPr>
          <w:rFonts w:hint="eastAsia" w:ascii="宋体" w:hAnsi="宋体" w:eastAsia="宋体"/>
          <w:color w:val="auto"/>
          <w:kern w:val="2"/>
          <w:sz w:val="24"/>
          <w:szCs w:val="20"/>
          <w:highlight w:val="none"/>
        </w:rPr>
      </w:pPr>
      <w:r>
        <w:rPr>
          <w:rFonts w:hint="eastAsia" w:ascii="宋体" w:hAnsi="宋体" w:eastAsia="宋体"/>
          <w:color w:val="auto"/>
          <w:kern w:val="2"/>
          <w:sz w:val="24"/>
          <w:szCs w:val="20"/>
          <w:highlight w:val="none"/>
        </w:rPr>
        <w:t>（3）交互方式适配</w:t>
      </w:r>
    </w:p>
    <w:p>
      <w:pPr>
        <w:pStyle w:val="62"/>
        <w:ind w:firstLine="480"/>
        <w:rPr>
          <w:rFonts w:hint="eastAsia"/>
          <w:highlight w:val="none"/>
        </w:rPr>
      </w:pPr>
      <w:r>
        <w:rPr>
          <w:rFonts w:hint="eastAsia"/>
          <w:highlight w:val="none"/>
        </w:rPr>
        <w:t>考虑不同设备的交互特性，优化网站的交互方式。例如，针对移动设备，可以增大按钮和触摸区域的尺寸，简化操作流程，以提高用户的操作便捷性及用户体验。</w:t>
      </w:r>
    </w:p>
    <w:p>
      <w:pPr>
        <w:pStyle w:val="5"/>
        <w:ind w:left="1020"/>
        <w:rPr>
          <w:rFonts w:hint="eastAsia"/>
          <w:color w:val="auto"/>
          <w:highlight w:val="none"/>
        </w:rPr>
      </w:pPr>
      <w:r>
        <w:rPr>
          <w:rFonts w:hint="eastAsia"/>
          <w:color w:val="auto"/>
          <w:highlight w:val="none"/>
        </w:rPr>
        <w:t>样式编写</w:t>
      </w:r>
    </w:p>
    <w:p>
      <w:pPr>
        <w:pStyle w:val="62"/>
        <w:ind w:firstLine="480"/>
        <w:rPr>
          <w:rFonts w:hint="eastAsia"/>
          <w:highlight w:val="none"/>
        </w:rPr>
      </w:pPr>
      <w:r>
        <w:rPr>
          <w:rFonts w:hint="eastAsia"/>
          <w:highlight w:val="none"/>
        </w:rPr>
        <w:t>通过使用媒体查询等技术，为不同设备设置相应的样式规则。这包括字体大小、颜色、按钮样式等，以确保页面在不同设备上具有一致的视觉效果，并适应不同设备的显示特性。</w:t>
      </w:r>
    </w:p>
    <w:p>
      <w:pPr>
        <w:pStyle w:val="5"/>
        <w:ind w:left="1020"/>
        <w:rPr>
          <w:rFonts w:hint="eastAsia"/>
          <w:color w:val="auto"/>
          <w:highlight w:val="none"/>
        </w:rPr>
      </w:pPr>
      <w:r>
        <w:rPr>
          <w:rFonts w:hint="eastAsia"/>
          <w:color w:val="auto"/>
          <w:highlight w:val="none"/>
        </w:rPr>
        <w:t>响应式改造</w:t>
      </w:r>
    </w:p>
    <w:p>
      <w:pPr>
        <w:pStyle w:val="65"/>
        <w:rPr>
          <w:rFonts w:hint="eastAsia" w:ascii="宋体" w:hAnsi="宋体" w:cs="Arial"/>
          <w:color w:val="auto"/>
          <w:highlight w:val="none"/>
        </w:rPr>
      </w:pPr>
      <w:r>
        <w:rPr>
          <w:rFonts w:hint="eastAsia" w:ascii="宋体" w:hAnsi="宋体" w:cs="Arial"/>
          <w:color w:val="auto"/>
          <w:highlight w:val="none"/>
        </w:rPr>
        <w:t>对诸暨市人民政府门户网站开展多端适配建设，具体建设方法如下：</w:t>
      </w:r>
    </w:p>
    <w:p>
      <w:pPr>
        <w:pStyle w:val="62"/>
        <w:ind w:firstLine="480"/>
        <w:rPr>
          <w:rFonts w:hint="eastAsia"/>
          <w:highlight w:val="none"/>
        </w:rPr>
      </w:pPr>
      <w:r>
        <w:rPr>
          <w:rFonts w:hint="eastAsia"/>
          <w:highlight w:val="none"/>
        </w:rPr>
        <w:t>采用响应式设计（Responsive Design），通过使用CSS媒体查询（Media Queries），根据设备的屏幕宽度和分辨率来调整页面的布局、字体大小、图片尺寸等元素。确保诸暨市人民政府门户网站在不同设备上都能良好地显示。</w:t>
      </w:r>
    </w:p>
    <w:p>
      <w:pPr>
        <w:pStyle w:val="62"/>
        <w:ind w:firstLine="480"/>
        <w:rPr>
          <w:rFonts w:hint="eastAsia"/>
          <w:highlight w:val="none"/>
        </w:rPr>
      </w:pPr>
      <w:r>
        <w:rPr>
          <w:rFonts w:hint="eastAsia"/>
          <w:highlight w:val="none"/>
        </w:rPr>
        <w:t>采用流式布局（Fluid Layout），通过使用百分比而非固定像素值来设置元素的宽度，使页面元素随着浏览器窗口的大小变化而自适应。这样，无论用户如何调整浏览器窗口的大小，页面元素都能保持相对的位置和比例。</w:t>
      </w:r>
    </w:p>
    <w:p>
      <w:pPr>
        <w:pStyle w:val="62"/>
        <w:ind w:firstLine="480"/>
        <w:rPr>
          <w:rFonts w:hint="eastAsia"/>
          <w:highlight w:val="none"/>
        </w:rPr>
      </w:pPr>
      <w:r>
        <w:rPr>
          <w:rFonts w:hint="eastAsia"/>
          <w:highlight w:val="none"/>
        </w:rPr>
        <w:t>采用Viewport单位，Viewport单位（如vw、vh、vmin、vmax）允许根据视口（即浏览器窗口）的大小来设置元素的尺寸。这对于实现自适应布局非常有用，因为它允许元素的大小随着视口的变化而动态调整。</w:t>
      </w:r>
    </w:p>
    <w:p>
      <w:pPr>
        <w:pStyle w:val="62"/>
        <w:ind w:firstLine="480"/>
        <w:rPr>
          <w:rFonts w:hint="eastAsia"/>
          <w:highlight w:val="none"/>
        </w:rPr>
      </w:pPr>
      <w:r>
        <w:rPr>
          <w:rFonts w:hint="eastAsia"/>
          <w:highlight w:val="none"/>
        </w:rPr>
        <w:t>进行图片和媒体的自适应，对于图片和其他媒体文件使用响应式技术。例如依据实际需求，使用&lt;img&gt;标签的srcset属性来提供不同分辨率的图片版本，或者使用CSS的object-fit属性来控制图片的填充方式。</w:t>
      </w:r>
    </w:p>
    <w:p>
      <w:pPr>
        <w:pStyle w:val="65"/>
        <w:ind w:firstLine="480"/>
        <w:rPr>
          <w:rFonts w:hint="eastAsia" w:ascii="宋体" w:hAnsi="宋体" w:cs="Arial"/>
          <w:color w:val="auto"/>
          <w:highlight w:val="none"/>
        </w:rPr>
      </w:pPr>
      <w:r>
        <w:rPr>
          <w:rFonts w:hint="eastAsia" w:ascii="宋体" w:hAnsi="宋体" w:cs="Arial"/>
          <w:color w:val="auto"/>
          <w:highlight w:val="none"/>
        </w:rPr>
        <w:t>最后进行测试和验证：在开发过程中，在不同设备和屏幕尺寸上进行测试，包括网站页面的排版、页面格式、字体、颜色等，以确保诸暨市人民政府门户网站在多种情况下都能良好地显示，保障诸暨市人民政府门户网站准确无误地运行。</w:t>
      </w:r>
    </w:p>
    <w:p>
      <w:pPr>
        <w:pStyle w:val="4"/>
        <w:rPr>
          <w:rFonts w:hint="eastAsia"/>
          <w:color w:val="auto"/>
          <w:highlight w:val="none"/>
        </w:rPr>
      </w:pPr>
      <w:r>
        <w:rPr>
          <w:rFonts w:hint="eastAsia"/>
          <w:color w:val="auto"/>
          <w:highlight w:val="none"/>
        </w:rPr>
        <w:t>无障碍适老化建设</w:t>
      </w:r>
    </w:p>
    <w:p>
      <w:pPr>
        <w:ind w:firstLine="480"/>
        <w:rPr>
          <w:rFonts w:hint="eastAsia"/>
          <w:color w:val="auto"/>
          <w:szCs w:val="24"/>
          <w:highlight w:val="none"/>
        </w:rPr>
      </w:pPr>
      <w:r>
        <w:rPr>
          <w:rFonts w:hint="eastAsia"/>
          <w:color w:val="auto"/>
          <w:szCs w:val="24"/>
          <w:highlight w:val="none"/>
        </w:rPr>
        <w:t>按照无障碍及适老化测评相关指标，将最新改版的网站进行无障碍及适老化建设，通过无障碍适老化测评。</w:t>
      </w:r>
    </w:p>
    <w:p>
      <w:pPr>
        <w:pStyle w:val="5"/>
        <w:ind w:left="1020"/>
        <w:rPr>
          <w:rFonts w:hint="eastAsia"/>
          <w:color w:val="auto"/>
          <w:highlight w:val="none"/>
        </w:rPr>
      </w:pPr>
      <w:r>
        <w:rPr>
          <w:rFonts w:hint="eastAsia"/>
          <w:color w:val="auto"/>
          <w:highlight w:val="none"/>
        </w:rPr>
        <w:t>无障碍改造</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诸暨市人民政府门户网站无障碍改造，将遵循国际化标准</w:t>
      </w:r>
      <w:r>
        <w:rPr>
          <w:rFonts w:cs="Times New Roman"/>
          <w:color w:val="auto"/>
          <w:spacing w:val="6"/>
          <w:szCs w:val="24"/>
          <w:highlight w:val="none"/>
        </w:rPr>
        <w:t>WCAG2.0、国家标准GB/T 37668-2019《信息技术互联网内容无障碍可访问性技术要求与测试方法》和行业标准YD/T1822-2008《信息无障碍 身体机能差异人群 网站无障碍评级测试方法》，从门户网站的可感知性、可操作性、可理解性和可兼容性等方面进行改造，遵循无障碍网站标准，具体改造内容如下。</w:t>
      </w:r>
    </w:p>
    <w:p>
      <w:pPr>
        <w:pStyle w:val="62"/>
        <w:numPr>
          <w:ilvl w:val="0"/>
          <w:numId w:val="3"/>
        </w:numPr>
        <w:ind w:firstLineChars="0"/>
        <w:rPr>
          <w:rFonts w:hint="eastAsia"/>
          <w:b/>
          <w:bCs/>
          <w:highlight w:val="none"/>
        </w:rPr>
      </w:pPr>
      <w:r>
        <w:rPr>
          <w:b/>
          <w:bCs/>
          <w:highlight w:val="none"/>
        </w:rPr>
        <w:t>网站可感知性改造</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为门户网站的非文本内容提供替代文本。对诸暨市人民政府门户网站上的图片、音频、视频等非文本内容提供可以转化为文本的形式，同时确保音频、视频等非文本内容可以通过视觉、听觉等方式向残障人士提供，以便能够帮助他们感知非文本信息的内容。</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门户网站的信息、结构与表现相分离。诸暨市人民政府门户网站上所有的信息都能够以一种可以由软件决定的格式来进行传递，信息必须是与表现相分离，并且可以以不同的方式呈现给残障人士，保障门户网站上的全部信息都能够被包含残障人士在内的所有用户都能感知到，如纯文本形式。</w:t>
      </w:r>
    </w:p>
    <w:p>
      <w:pPr>
        <w:widowControl/>
        <w:ind w:firstLine="496" w:firstLineChars="0"/>
        <w:rPr>
          <w:rFonts w:hint="eastAsia" w:cs="Times New Roman"/>
          <w:color w:val="auto"/>
          <w:spacing w:val="6"/>
          <w:szCs w:val="24"/>
          <w:highlight w:val="none"/>
        </w:rPr>
      </w:pPr>
      <w:bookmarkStart w:id="18" w:name="OLE_LINK43"/>
      <w:r>
        <w:rPr>
          <w:rFonts w:hint="eastAsia" w:cs="Times New Roman"/>
          <w:color w:val="auto"/>
          <w:spacing w:val="6"/>
          <w:szCs w:val="24"/>
          <w:highlight w:val="none"/>
        </w:rPr>
        <w:t>页面区分前景信息和背景</w:t>
      </w:r>
      <w:bookmarkStart w:id="19" w:name="OLE_LINK42"/>
      <w:r>
        <w:rPr>
          <w:rFonts w:hint="eastAsia" w:cs="Times New Roman"/>
          <w:color w:val="auto"/>
          <w:spacing w:val="6"/>
          <w:szCs w:val="24"/>
          <w:highlight w:val="none"/>
        </w:rPr>
        <w:t>信息。</w:t>
      </w:r>
      <w:bookmarkEnd w:id="19"/>
      <w:r>
        <w:rPr>
          <w:rFonts w:hint="eastAsia" w:cs="Times New Roman"/>
          <w:color w:val="auto"/>
          <w:spacing w:val="6"/>
          <w:szCs w:val="24"/>
          <w:highlight w:val="none"/>
        </w:rPr>
        <w:t>诸暨市人民政府门户网站可以提供文本的前景信息和背景信息，但必须有足够的对比度，比如设置白底黑字、蓝底黄字、黄底蓝字、黑底黄字等强对比度，以保证残障用户能够更加容易地区分为政府网站上的前景信息和背景信息，从而公平地从政府网站上获取信息。</w:t>
      </w:r>
    </w:p>
    <w:bookmarkEnd w:id="18"/>
    <w:p>
      <w:pPr>
        <w:pStyle w:val="62"/>
        <w:numPr>
          <w:ilvl w:val="0"/>
          <w:numId w:val="3"/>
        </w:numPr>
        <w:ind w:firstLineChars="0"/>
        <w:rPr>
          <w:rFonts w:hint="eastAsia"/>
          <w:b/>
          <w:bCs/>
          <w:highlight w:val="none"/>
        </w:rPr>
      </w:pPr>
      <w:r>
        <w:rPr>
          <w:rFonts w:hint="eastAsia"/>
          <w:b/>
          <w:bCs/>
          <w:highlight w:val="none"/>
        </w:rPr>
        <w:t>网站可操作性改造</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门户网站所有功能都可通过键盘操作，包括诸暨市人民政府门户网站上的打开页面、关闭页面、点击链接、字体放大或者缩小等所有的功能，都应能够用键盘操作来完成，并提供语音、鼠标及键盘输入快捷键的方式等辅助技术来支持该功能的实现。</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与前端用户交互不设置时间。残障人士往往需要花费更多的时间从门户网站上获取信息，保障残障人士有足够的时间从门户网站上获取信息或者获取某项政务服务，因此本次将采取门户网站中所有交互功能不限定时间的方式，以保证残障人士阅读政府网站信息的权利。</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设置避开光敏性内容的按钮。诸暨市人民政府门户网站的信息无障碍版的网站页面必须设置避开光敏性内容的按钮，以保证那些因为可视化内容的闪烁而导致疾病发作的人士能够正常阅读政府网站的信息内容和获取政务服务。</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提供帮助用户查找内容的机制。在诸暨市人民政府门户网站应提供丰富的内容和允许用户记录浏览内容的位置，并提供帮助用户查找内容的机制，比如通过声音的引导、特殊的按钮等方式，以确保能够正常引导用户在网页中浏览、转换到相应的内容。</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设置错误纠正功能。诸暨市人民政府门户网站的网页要尽量减少发生错误的内容，减少残障人士由于在视觉、颜色感知方面的限制，以及他们在网站中输入错误的可能性，同时要增加信息输入错误提示功能，提供用户及时纠正错误。</w:t>
      </w:r>
    </w:p>
    <w:p>
      <w:pPr>
        <w:pStyle w:val="62"/>
        <w:numPr>
          <w:ilvl w:val="0"/>
          <w:numId w:val="3"/>
        </w:numPr>
        <w:ind w:firstLineChars="0"/>
        <w:rPr>
          <w:rFonts w:hint="eastAsia"/>
          <w:b/>
          <w:bCs/>
          <w:highlight w:val="none"/>
        </w:rPr>
      </w:pPr>
      <w:r>
        <w:rPr>
          <w:rFonts w:hint="eastAsia"/>
          <w:b/>
          <w:bCs/>
          <w:highlight w:val="none"/>
        </w:rPr>
        <w:t>网站可理解性改造</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文本内容可读、可理解。诸暨市人民政府门户网站信息无障碍版页面提供的文本内容能够被用户阅读，文本内容应尽量避免使用不常用语、缩写词等高复杂、高专业的内容，并且要提供语音朗读功能，展示门户网站内容的关键部分，保证残障人士公平获取和理解页面的内容。</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导航、布局内容一致。诸暨市人民政府门户网站中的导航条在所有页面中的导航顺序不应改变，网站界面整体风格保持一致，在多个界面中重复出现的元素采用一致的布局。</w:t>
      </w:r>
    </w:p>
    <w:p>
      <w:pPr>
        <w:pStyle w:val="62"/>
        <w:numPr>
          <w:ilvl w:val="0"/>
          <w:numId w:val="3"/>
        </w:numPr>
        <w:ind w:firstLineChars="0"/>
        <w:rPr>
          <w:rFonts w:hint="eastAsia"/>
          <w:b/>
          <w:bCs/>
          <w:highlight w:val="none"/>
        </w:rPr>
      </w:pPr>
      <w:r>
        <w:rPr>
          <w:rFonts w:hint="eastAsia"/>
          <w:b/>
          <w:bCs/>
          <w:highlight w:val="none"/>
        </w:rPr>
        <w:t>网站可兼容性建设</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兼容用户辅助工具，可以兼容残障人士所用的读屏等辅助工具；其次是诸暨市人民政府门户网站可以提供辅助技术，可以识别和交互的标准方式发布信息，内容上要遵循约定并兼容相关API;最后是辅助技术必须与新技术有机结合，保证目前及未来的用户使用的辅助阅读工具及涉及的辅助技术之间是兼容的。</w:t>
      </w:r>
    </w:p>
    <w:p>
      <w:pPr>
        <w:widowControl/>
        <w:ind w:firstLine="496" w:firstLineChars="0"/>
        <w:rPr>
          <w:rFonts w:hint="eastAsia" w:cs="Times New Roman"/>
          <w:color w:val="auto"/>
          <w:spacing w:val="6"/>
          <w:szCs w:val="24"/>
          <w:highlight w:val="none"/>
        </w:rPr>
      </w:pPr>
      <w:r>
        <w:rPr>
          <w:rFonts w:hint="eastAsia" w:cs="Times New Roman"/>
          <w:color w:val="auto"/>
          <w:spacing w:val="6"/>
          <w:szCs w:val="24"/>
          <w:highlight w:val="none"/>
        </w:rPr>
        <w:t>门户网站提供无障碍的选项。在诸暨市人民政府门户网站的首页设置无障碍的入口，以确保残障人士在登录页面时能够及时得知网站的无障碍的选项，以确保顺利进入诸暨市人民政府门户网站无障碍版。</w:t>
      </w:r>
    </w:p>
    <w:p>
      <w:pPr>
        <w:pStyle w:val="5"/>
        <w:ind w:left="1020"/>
        <w:rPr>
          <w:rFonts w:hint="eastAsia"/>
          <w:color w:val="auto"/>
          <w:highlight w:val="none"/>
        </w:rPr>
      </w:pPr>
      <w:r>
        <w:rPr>
          <w:rFonts w:hint="eastAsia"/>
          <w:color w:val="auto"/>
          <w:highlight w:val="none"/>
        </w:rPr>
        <w:t>适老化改造</w:t>
      </w:r>
    </w:p>
    <w:p>
      <w:pPr>
        <w:pStyle w:val="62"/>
        <w:numPr>
          <w:ilvl w:val="0"/>
          <w:numId w:val="3"/>
        </w:numPr>
        <w:ind w:firstLineChars="0"/>
        <w:rPr>
          <w:rFonts w:hint="eastAsia" w:cs="Times New Roman"/>
          <w:b/>
          <w:bCs/>
          <w:szCs w:val="24"/>
          <w:highlight w:val="none"/>
        </w:rPr>
      </w:pPr>
      <w:r>
        <w:rPr>
          <w:rFonts w:hint="eastAsia"/>
          <w:b/>
          <w:bCs/>
          <w:highlight w:val="none"/>
        </w:rPr>
        <w:t>在整体布局和视觉效果方面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老年人的视觉区域变小,</w:t>
      </w:r>
      <w:r>
        <w:rPr>
          <w:rFonts w:hint="eastAsia" w:cs="Times New Roman"/>
          <w:color w:val="auto"/>
          <w:spacing w:val="6"/>
          <w:szCs w:val="24"/>
          <w:highlight w:val="none"/>
        </w:rPr>
        <w:t>因此最重要的内容应放在窗口中心附近的地方、使用较大的字体和突出的颜色等醒目的方式加以表现，避免将重要的内容放在右边和下端，</w:t>
      </w:r>
      <w:r>
        <w:rPr>
          <w:rFonts w:cs="Times New Roman"/>
          <w:color w:val="auto"/>
          <w:spacing w:val="6"/>
          <w:szCs w:val="24"/>
          <w:highlight w:val="none"/>
        </w:rPr>
        <w:t>避免使用浮动的窗口及频繁闪烁刺眼</w:t>
      </w:r>
      <w:r>
        <w:rPr>
          <w:rFonts w:hint="eastAsia" w:cs="Times New Roman"/>
          <w:color w:val="auto"/>
          <w:spacing w:val="6"/>
          <w:szCs w:val="24"/>
          <w:highlight w:val="none"/>
        </w:rPr>
        <w:t>的动态内容，避免弹跳窗口与多重窗口，否则会严重分散老年用户的注意力。</w:t>
      </w:r>
    </w:p>
    <w:p>
      <w:pPr>
        <w:pStyle w:val="62"/>
        <w:numPr>
          <w:ilvl w:val="0"/>
          <w:numId w:val="3"/>
        </w:numPr>
        <w:ind w:firstLineChars="0"/>
        <w:rPr>
          <w:rFonts w:hint="eastAsia"/>
          <w:b/>
          <w:bCs/>
          <w:highlight w:val="none"/>
        </w:rPr>
      </w:pPr>
      <w:r>
        <w:rPr>
          <w:rFonts w:hint="eastAsia"/>
          <w:b/>
          <w:bCs/>
          <w:highlight w:val="none"/>
        </w:rPr>
        <w:t>在文字使用方面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必须考虑文字的整体诉求效果，不同</w:t>
      </w:r>
      <w:r>
        <w:rPr>
          <w:rFonts w:hint="eastAsia" w:cs="Times New Roman"/>
          <w:color w:val="auto"/>
          <w:spacing w:val="6"/>
          <w:szCs w:val="24"/>
          <w:highlight w:val="none"/>
        </w:rPr>
        <w:t>类别文字的空间要作适当的集中，并利用空白加以区分，给老年用户以清晰的视觉印象</w:t>
      </w:r>
      <w:r>
        <w:rPr>
          <w:rFonts w:cs="Times New Roman"/>
          <w:color w:val="auto"/>
          <w:spacing w:val="6"/>
          <w:szCs w:val="24"/>
          <w:highlight w:val="none"/>
        </w:rPr>
        <w:t>;为便于阅读，文字排版应尽可</w:t>
      </w:r>
      <w:r>
        <w:rPr>
          <w:rFonts w:hint="eastAsia" w:cs="Times New Roman"/>
          <w:color w:val="auto"/>
          <w:spacing w:val="6"/>
          <w:szCs w:val="24"/>
          <w:highlight w:val="none"/>
        </w:rPr>
        <w:t>能简单，可类似于杂志内页的排版</w:t>
      </w:r>
      <w:r>
        <w:rPr>
          <w:rFonts w:cs="Times New Roman"/>
          <w:color w:val="auto"/>
          <w:spacing w:val="6"/>
          <w:szCs w:val="24"/>
          <w:highlight w:val="none"/>
        </w:rPr>
        <w:t>;为符合老年人的视觉特</w:t>
      </w:r>
      <w:r>
        <w:rPr>
          <w:rFonts w:hint="eastAsia" w:cs="Times New Roman"/>
          <w:color w:val="auto"/>
          <w:spacing w:val="6"/>
          <w:szCs w:val="24"/>
          <w:highlight w:val="none"/>
        </w:rPr>
        <w:t>性，应加大文字与背景的颜色对比度，并且减少屏幕眩光</w:t>
      </w:r>
      <w:r>
        <w:rPr>
          <w:rFonts w:cs="Times New Roman"/>
          <w:color w:val="auto"/>
          <w:spacing w:val="6"/>
          <w:szCs w:val="24"/>
          <w:highlight w:val="none"/>
        </w:rPr>
        <w:t>;</w:t>
      </w:r>
      <w:r>
        <w:rPr>
          <w:rFonts w:hint="eastAsia" w:cs="Times New Roman"/>
          <w:color w:val="auto"/>
          <w:spacing w:val="6"/>
          <w:szCs w:val="24"/>
          <w:highlight w:val="none"/>
        </w:rPr>
        <w:t>正文以</w:t>
      </w:r>
      <w:r>
        <w:rPr>
          <w:rFonts w:cs="Times New Roman"/>
          <w:color w:val="auto"/>
          <w:spacing w:val="6"/>
          <w:szCs w:val="24"/>
          <w:highlight w:val="none"/>
        </w:rPr>
        <w:t>12-14级字为宜，标题用粗体表示</w:t>
      </w:r>
      <w:r>
        <w:rPr>
          <w:rFonts w:hint="eastAsia" w:cs="Times New Roman"/>
          <w:color w:val="auto"/>
          <w:spacing w:val="6"/>
          <w:szCs w:val="24"/>
          <w:highlight w:val="none"/>
        </w:rPr>
        <w:t>。</w:t>
      </w:r>
    </w:p>
    <w:p>
      <w:pPr>
        <w:pStyle w:val="62"/>
        <w:numPr>
          <w:ilvl w:val="0"/>
          <w:numId w:val="3"/>
        </w:numPr>
        <w:ind w:firstLineChars="0"/>
        <w:rPr>
          <w:rFonts w:hint="eastAsia"/>
          <w:b/>
          <w:bCs/>
          <w:highlight w:val="none"/>
        </w:rPr>
      </w:pPr>
      <w:r>
        <w:rPr>
          <w:rFonts w:hint="eastAsia"/>
          <w:b/>
          <w:bCs/>
          <w:highlight w:val="none"/>
        </w:rPr>
        <w:t>在图像使用方面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使用具有象征符号的图像可以加快老</w:t>
      </w:r>
      <w:r>
        <w:rPr>
          <w:rFonts w:hint="eastAsia" w:cs="Times New Roman"/>
          <w:color w:val="auto"/>
          <w:spacing w:val="6"/>
          <w:szCs w:val="24"/>
          <w:highlight w:val="none"/>
        </w:rPr>
        <w:t>年用户的信息检索，用图像取代文字可以减少老年用户的记忆负担，图像应采用直觉的联想方式，并要注意网站图像的一致性</w:t>
      </w:r>
      <w:r>
        <w:rPr>
          <w:rFonts w:cs="Times New Roman"/>
          <w:color w:val="auto"/>
          <w:spacing w:val="6"/>
          <w:szCs w:val="24"/>
          <w:highlight w:val="none"/>
        </w:rPr>
        <w:t>;图像按钮的像素不宜过小，最少应为25像素;重</w:t>
      </w:r>
      <w:r>
        <w:rPr>
          <w:rFonts w:hint="eastAsia" w:cs="Times New Roman"/>
          <w:color w:val="auto"/>
          <w:spacing w:val="6"/>
          <w:szCs w:val="24"/>
          <w:highlight w:val="none"/>
        </w:rPr>
        <w:t>要信息可借助图像加以强调</w:t>
      </w:r>
      <w:r>
        <w:rPr>
          <w:rFonts w:cs="Times New Roman"/>
          <w:color w:val="auto"/>
          <w:spacing w:val="6"/>
          <w:szCs w:val="24"/>
          <w:highlight w:val="none"/>
        </w:rPr>
        <w:t>;在网页中设计适量具有一定动</w:t>
      </w:r>
      <w:r>
        <w:rPr>
          <w:rFonts w:hint="eastAsia" w:cs="Times New Roman"/>
          <w:color w:val="auto"/>
          <w:spacing w:val="6"/>
          <w:szCs w:val="24"/>
          <w:highlight w:val="none"/>
        </w:rPr>
        <w:t>态效果的图像，可有效引起老年用户的注意，但要避免动画运动频率不宜太大，否则会降低老年用户的辨识能力。</w:t>
      </w:r>
    </w:p>
    <w:p>
      <w:pPr>
        <w:pStyle w:val="62"/>
        <w:numPr>
          <w:ilvl w:val="0"/>
          <w:numId w:val="3"/>
        </w:numPr>
        <w:ind w:firstLineChars="0"/>
        <w:rPr>
          <w:rFonts w:hint="eastAsia"/>
          <w:b/>
          <w:bCs/>
          <w:highlight w:val="none"/>
        </w:rPr>
      </w:pPr>
      <w:r>
        <w:rPr>
          <w:rFonts w:hint="eastAsia"/>
          <w:b/>
          <w:bCs/>
          <w:highlight w:val="none"/>
        </w:rPr>
        <w:t>在色彩使用方面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色彩的使用应遵循统一的标准，避免</w:t>
      </w:r>
      <w:r>
        <w:rPr>
          <w:rFonts w:hint="eastAsia" w:cs="Times New Roman"/>
          <w:color w:val="auto"/>
          <w:spacing w:val="6"/>
          <w:szCs w:val="24"/>
          <w:highlight w:val="none"/>
        </w:rPr>
        <w:t>使用对比低的色彩以及蓝绿范围的色彩</w:t>
      </w:r>
      <w:r>
        <w:rPr>
          <w:rFonts w:cs="Times New Roman"/>
          <w:color w:val="auto"/>
          <w:spacing w:val="6"/>
          <w:szCs w:val="24"/>
          <w:highlight w:val="none"/>
        </w:rPr>
        <w:t>，避免细小的蓝色</w:t>
      </w:r>
      <w:r>
        <w:rPr>
          <w:rFonts w:hint="eastAsia" w:cs="Times New Roman"/>
          <w:color w:val="auto"/>
          <w:spacing w:val="6"/>
          <w:szCs w:val="24"/>
          <w:highlight w:val="none"/>
        </w:rPr>
        <w:t>信息</w:t>
      </w:r>
      <w:r>
        <w:rPr>
          <w:rFonts w:cs="Times New Roman"/>
          <w:color w:val="auto"/>
          <w:spacing w:val="6"/>
          <w:szCs w:val="24"/>
          <w:highlight w:val="none"/>
        </w:rPr>
        <w:t>;大量的文字内容的色彩不宜鲜艳，应多使用明亮的色</w:t>
      </w:r>
      <w:r>
        <w:rPr>
          <w:rFonts w:hint="eastAsia" w:cs="Times New Roman"/>
          <w:color w:val="auto"/>
          <w:spacing w:val="6"/>
          <w:szCs w:val="24"/>
          <w:highlight w:val="none"/>
        </w:rPr>
        <w:t>调，以减少视觉搜索时间</w:t>
      </w:r>
      <w:r>
        <w:rPr>
          <w:rFonts w:cs="Times New Roman"/>
          <w:color w:val="auto"/>
          <w:spacing w:val="6"/>
          <w:szCs w:val="24"/>
          <w:highlight w:val="none"/>
        </w:rPr>
        <w:t>;标题适宜选用醒目的配色。</w:t>
      </w:r>
    </w:p>
    <w:p>
      <w:pPr>
        <w:pStyle w:val="62"/>
        <w:numPr>
          <w:ilvl w:val="0"/>
          <w:numId w:val="3"/>
        </w:numPr>
        <w:ind w:firstLineChars="0"/>
        <w:rPr>
          <w:rFonts w:hint="eastAsia"/>
          <w:b/>
          <w:bCs/>
          <w:highlight w:val="none"/>
        </w:rPr>
      </w:pPr>
      <w:r>
        <w:rPr>
          <w:rFonts w:hint="eastAsia"/>
          <w:b/>
          <w:bCs/>
          <w:highlight w:val="none"/>
        </w:rPr>
        <w:t>在操作简便性方面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窗口避免使用滚动条;下拉式菜单</w:t>
      </w:r>
      <w:r>
        <w:rPr>
          <w:rFonts w:hint="eastAsia" w:cs="Times New Roman"/>
          <w:color w:val="auto"/>
          <w:spacing w:val="6"/>
          <w:szCs w:val="24"/>
          <w:highlight w:val="none"/>
        </w:rPr>
        <w:t>不符合老年用户视觉的要求，故老年网站不宜采用下拉式菜单</w:t>
      </w:r>
      <w:r>
        <w:rPr>
          <w:rFonts w:cs="Times New Roman"/>
          <w:color w:val="auto"/>
          <w:spacing w:val="6"/>
          <w:szCs w:val="24"/>
          <w:highlight w:val="none"/>
        </w:rPr>
        <w:t>;单选按钮配合图像的运用，则更易于老年用户操作。另</w:t>
      </w:r>
      <w:r>
        <w:rPr>
          <w:rFonts w:hint="eastAsia" w:cs="Times New Roman"/>
          <w:color w:val="auto"/>
          <w:spacing w:val="6"/>
          <w:szCs w:val="24"/>
          <w:highlight w:val="none"/>
        </w:rPr>
        <w:t>外，多使用清单和列表的表达方式，这样可以给老年用户的操作带来方便。</w:t>
      </w:r>
    </w:p>
    <w:p>
      <w:pPr>
        <w:pStyle w:val="62"/>
        <w:numPr>
          <w:ilvl w:val="0"/>
          <w:numId w:val="3"/>
        </w:numPr>
        <w:ind w:firstLineChars="0"/>
        <w:rPr>
          <w:rFonts w:hint="eastAsia"/>
          <w:b/>
          <w:bCs/>
          <w:highlight w:val="none"/>
        </w:rPr>
      </w:pPr>
      <w:r>
        <w:rPr>
          <w:rFonts w:hint="eastAsia"/>
          <w:b/>
          <w:bCs/>
          <w:highlight w:val="none"/>
        </w:rPr>
        <w:t>在超链接方面</w:t>
      </w:r>
    </w:p>
    <w:p>
      <w:pPr>
        <w:widowControl/>
        <w:ind w:firstLine="496" w:firstLineChars="0"/>
        <w:rPr>
          <w:rFonts w:hint="eastAsia" w:cs="Times New Roman"/>
          <w:color w:val="auto"/>
          <w:spacing w:val="6"/>
          <w:szCs w:val="24"/>
          <w:highlight w:val="none"/>
        </w:rPr>
      </w:pPr>
      <w:r>
        <w:rPr>
          <w:rFonts w:cs="Times New Roman"/>
          <w:color w:val="auto"/>
          <w:spacing w:val="6"/>
          <w:szCs w:val="24"/>
          <w:highlight w:val="none"/>
        </w:rPr>
        <w:t>要清晰表达网页上的超链接;利用图像</w:t>
      </w:r>
      <w:r>
        <w:rPr>
          <w:rFonts w:hint="eastAsia" w:cs="Times New Roman"/>
          <w:color w:val="auto"/>
          <w:spacing w:val="6"/>
          <w:szCs w:val="24"/>
          <w:highlight w:val="none"/>
        </w:rPr>
        <w:t>代替文字超链接时，图像应当做适当的视觉处理，避免使用户认为是一般图像而被忽略</w:t>
      </w:r>
      <w:r>
        <w:rPr>
          <w:rFonts w:cs="Times New Roman"/>
          <w:color w:val="auto"/>
          <w:spacing w:val="6"/>
          <w:szCs w:val="24"/>
          <w:highlight w:val="none"/>
        </w:rPr>
        <w:t>;为让老年用户更易识别出超</w:t>
      </w:r>
      <w:r>
        <w:rPr>
          <w:rFonts w:hint="eastAsia" w:cs="Times New Roman"/>
          <w:color w:val="auto"/>
          <w:spacing w:val="6"/>
          <w:szCs w:val="24"/>
          <w:highlight w:val="none"/>
        </w:rPr>
        <w:t>链接，超链接之前可借助小图像来强调链接的功能。</w:t>
      </w:r>
    </w:p>
    <w:p>
      <w:pPr>
        <w:pStyle w:val="4"/>
        <w:rPr>
          <w:rFonts w:hint="eastAsia"/>
          <w:color w:val="auto"/>
          <w:highlight w:val="none"/>
        </w:rPr>
      </w:pPr>
      <w:r>
        <w:rPr>
          <w:rFonts w:hint="eastAsia"/>
          <w:color w:val="auto"/>
          <w:highlight w:val="none"/>
        </w:rPr>
        <w:t>网站</w:t>
      </w:r>
      <w:r>
        <w:rPr>
          <w:rFonts w:hint="eastAsia"/>
          <w:color w:val="auto"/>
          <w:highlight w:val="none"/>
          <w:lang w:val="en-US" w:eastAsia="zh-CN"/>
        </w:rPr>
        <w:t>自查</w:t>
      </w:r>
      <w:r>
        <w:rPr>
          <w:rFonts w:hint="eastAsia"/>
          <w:color w:val="auto"/>
          <w:highlight w:val="none"/>
        </w:rPr>
        <w:t>梳理</w:t>
      </w:r>
    </w:p>
    <w:p>
      <w:pPr>
        <w:ind w:firstLine="480"/>
        <w:rPr>
          <w:rFonts w:hint="eastAsia"/>
          <w:color w:val="auto"/>
          <w:highlight w:val="none"/>
        </w:rPr>
      </w:pPr>
      <w:r>
        <w:rPr>
          <w:rFonts w:hint="eastAsia"/>
          <w:color w:val="auto"/>
          <w:highlight w:val="none"/>
        </w:rPr>
        <w:t>依据《2024年政府网站工作任务清单》，积极配合省集约化平台完成诸暨市人民政府门户网站迁移工作，推进集约化平台迭代升级，本项目将对诸暨市人民政府门户网站进行全面自查梳理。</w:t>
      </w:r>
    </w:p>
    <w:p>
      <w:pPr>
        <w:pStyle w:val="5"/>
        <w:ind w:left="1020"/>
        <w:rPr>
          <w:rFonts w:hint="eastAsia"/>
          <w:color w:val="auto"/>
          <w:highlight w:val="none"/>
        </w:rPr>
      </w:pPr>
      <w:r>
        <w:rPr>
          <w:rFonts w:hint="eastAsia"/>
          <w:color w:val="auto"/>
          <w:highlight w:val="none"/>
        </w:rPr>
        <w:t>信息梳理</w:t>
      </w:r>
    </w:p>
    <w:p>
      <w:pPr>
        <w:ind w:firstLine="480"/>
        <w:rPr>
          <w:rFonts w:hint="eastAsia"/>
          <w:color w:val="auto"/>
          <w:highlight w:val="none"/>
        </w:rPr>
      </w:pPr>
      <w:r>
        <w:rPr>
          <w:rFonts w:hint="eastAsia"/>
          <w:color w:val="auto"/>
          <w:highlight w:val="none"/>
        </w:rPr>
        <w:t>对网站信息进行全量梳理，提升网站信息质量。重点梳理完善以下信息：</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测试信息：标题含测试、test、纯数字（非年份、日期类）的信息和正文内容低于100字的信息；</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未发布信息：信息状态处于未发布状态；</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长期未审核信息：已发起申请但超过1个月无人进行审核的信息；</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已撤稿信息：信息状态为已撤稿的信息；</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回收站中的信息。</w:t>
      </w:r>
    </w:p>
    <w:p>
      <w:pPr>
        <w:pStyle w:val="5"/>
        <w:ind w:left="1020"/>
        <w:rPr>
          <w:rFonts w:hint="eastAsia"/>
          <w:color w:val="auto"/>
          <w:highlight w:val="none"/>
        </w:rPr>
      </w:pPr>
      <w:r>
        <w:rPr>
          <w:rFonts w:hint="eastAsia"/>
          <w:color w:val="auto"/>
          <w:highlight w:val="none"/>
        </w:rPr>
        <w:t>栏目梳理</w:t>
      </w:r>
    </w:p>
    <w:p>
      <w:pPr>
        <w:ind w:firstLine="480"/>
        <w:rPr>
          <w:rFonts w:hint="eastAsia"/>
          <w:color w:val="auto"/>
          <w:highlight w:val="none"/>
        </w:rPr>
      </w:pPr>
      <w:r>
        <w:rPr>
          <w:rFonts w:hint="eastAsia"/>
          <w:color w:val="auto"/>
          <w:highlight w:val="none"/>
        </w:rPr>
        <w:t>对网站栏目进行全量梳理，提升网站栏目质量。重点梳理完善以下栏目：</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长期不更新或没有能力维护的栏目：1年以上未更新的栏目；</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测试栏目：本级或上级栏目名称带有测试、废弃、停用、test、关闭、纯数字（非年份、日期类）的栏目；</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废弃栏目：栏目下无信息和信息撤稿率大于90%的栏目。</w:t>
      </w:r>
    </w:p>
    <w:p>
      <w:pPr>
        <w:pStyle w:val="5"/>
        <w:ind w:left="1020"/>
        <w:rPr>
          <w:rFonts w:hint="eastAsia"/>
          <w:color w:val="auto"/>
          <w:highlight w:val="none"/>
        </w:rPr>
      </w:pPr>
      <w:r>
        <w:rPr>
          <w:rFonts w:hint="eastAsia"/>
          <w:color w:val="auto"/>
          <w:highlight w:val="none"/>
        </w:rPr>
        <w:t>页面梳理</w:t>
      </w:r>
    </w:p>
    <w:p>
      <w:pPr>
        <w:ind w:firstLine="480"/>
        <w:rPr>
          <w:rFonts w:hint="eastAsia"/>
          <w:color w:val="auto"/>
          <w:highlight w:val="none"/>
        </w:rPr>
      </w:pPr>
      <w:r>
        <w:rPr>
          <w:rFonts w:hint="eastAsia"/>
          <w:color w:val="auto"/>
          <w:highlight w:val="none"/>
        </w:rPr>
        <w:t>对网站页面进行全量梳理，提升网站页面质量。重点梳理完善以下页面：</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废弃模板：网站改版、运营过程中产生的无用模板；</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无效链接：网站在建设和运营过程中引入的第三方网站域名，如各种开源插件引入的商业网站、开发者个人网站；发布文章中引入的企业网站、业务网站，因更换域名或关停网站造成的错误链接等；</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冗余代码：网站建设和运营过程中注释掉的代码和本网站功能无关的代码；</w:t>
      </w:r>
    </w:p>
    <w:p>
      <w:pPr>
        <w:pStyle w:val="5"/>
        <w:ind w:left="1020"/>
        <w:rPr>
          <w:rFonts w:hint="eastAsia"/>
          <w:color w:val="auto"/>
          <w:highlight w:val="none"/>
        </w:rPr>
      </w:pPr>
      <w:r>
        <w:rPr>
          <w:rFonts w:hint="eastAsia"/>
          <w:color w:val="auto"/>
          <w:highlight w:val="none"/>
        </w:rPr>
        <w:t>账号梳理</w:t>
      </w:r>
    </w:p>
    <w:p>
      <w:pPr>
        <w:ind w:firstLine="480"/>
        <w:rPr>
          <w:rFonts w:hint="eastAsia"/>
          <w:color w:val="auto"/>
          <w:highlight w:val="none"/>
        </w:rPr>
      </w:pPr>
      <w:r>
        <w:rPr>
          <w:rFonts w:hint="eastAsia"/>
          <w:color w:val="auto"/>
          <w:highlight w:val="none"/>
        </w:rPr>
        <w:t>对账号进行全量梳理，重点梳理完善以下账号：</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权限过大的账号：账号权限应遵循最小化原则，对于权限过大的账号需收敛权限；</w:t>
      </w:r>
    </w:p>
    <w:p>
      <w:pPr>
        <w:numPr>
          <w:ilvl w:val="0"/>
          <w:numId w:val="4"/>
        </w:numPr>
        <w:autoSpaceDE/>
        <w:autoSpaceDN/>
        <w:snapToGrid w:val="0"/>
        <w:spacing w:line="360" w:lineRule="auto"/>
        <w:ind w:left="0" w:firstLine="480" w:firstLineChars="0"/>
        <w:rPr>
          <w:rFonts w:hint="eastAsia"/>
          <w:color w:val="auto"/>
          <w:highlight w:val="none"/>
        </w:rPr>
      </w:pPr>
      <w:r>
        <w:rPr>
          <w:rFonts w:hint="eastAsia"/>
          <w:color w:val="auto"/>
          <w:highlight w:val="none"/>
        </w:rPr>
        <w:t>一人多号的账号：账号应遵循一人一号原则，对于一人使用多号的账号需调整。</w:t>
      </w:r>
    </w:p>
    <w:p>
      <w:pPr>
        <w:pStyle w:val="5"/>
        <w:ind w:left="1020"/>
        <w:rPr>
          <w:rFonts w:hint="eastAsia"/>
          <w:color w:val="auto"/>
          <w:highlight w:val="none"/>
        </w:rPr>
      </w:pPr>
      <w:r>
        <w:rPr>
          <w:rFonts w:hint="eastAsia"/>
          <w:color w:val="auto"/>
          <w:highlight w:val="none"/>
        </w:rPr>
        <w:t>接口梳理</w:t>
      </w:r>
    </w:p>
    <w:p>
      <w:pPr>
        <w:pStyle w:val="62"/>
        <w:ind w:firstLine="480"/>
        <w:rPr>
          <w:rFonts w:hint="eastAsia"/>
          <w:highlight w:val="none"/>
        </w:rPr>
      </w:pPr>
      <w:r>
        <w:rPr>
          <w:rFonts w:hint="eastAsia"/>
          <w:highlight w:val="none"/>
        </w:rPr>
        <w:t>对诸暨市人民政府门户网站的接口进行全面自查，清理已停用接口，并梳理在用接口。</w:t>
      </w:r>
    </w:p>
    <w:p>
      <w:pPr>
        <w:pStyle w:val="4"/>
        <w:rPr>
          <w:rFonts w:hint="eastAsia"/>
          <w:color w:val="auto"/>
          <w:highlight w:val="none"/>
        </w:rPr>
      </w:pPr>
      <w:r>
        <w:rPr>
          <w:rFonts w:hint="eastAsia"/>
          <w:color w:val="auto"/>
          <w:highlight w:val="none"/>
        </w:rPr>
        <w:t>▲超期更新提醒功能</w:t>
      </w:r>
    </w:p>
    <w:p>
      <w:pPr>
        <w:pStyle w:val="5"/>
        <w:ind w:left="1020"/>
        <w:rPr>
          <w:rFonts w:hint="eastAsia"/>
          <w:color w:val="auto"/>
          <w:highlight w:val="none"/>
        </w:rPr>
      </w:pPr>
      <w:r>
        <w:rPr>
          <w:rFonts w:hint="eastAsia"/>
          <w:color w:val="auto"/>
          <w:highlight w:val="none"/>
        </w:rPr>
        <w:t>信息发布审核流程配置</w:t>
      </w:r>
    </w:p>
    <w:p>
      <w:pPr>
        <w:ind w:firstLine="480"/>
        <w:rPr>
          <w:rFonts w:hint="eastAsia"/>
          <w:color w:val="auto"/>
          <w:szCs w:val="24"/>
          <w:highlight w:val="none"/>
        </w:rPr>
      </w:pPr>
      <w:r>
        <w:rPr>
          <w:rFonts w:hint="eastAsia"/>
          <w:color w:val="auto"/>
          <w:szCs w:val="24"/>
          <w:highlight w:val="none"/>
        </w:rPr>
        <w:t>针对不同部门网站信息发布需求，配置本部门信息发布审核权限，包含全市所有部门，所有网站管理人员，设置相关审核节点及对应的审核人员，通过审核后才能在诸暨市人民政府门户网站实现信息发布。</w:t>
      </w:r>
    </w:p>
    <w:p>
      <w:pPr>
        <w:pStyle w:val="5"/>
        <w:ind w:left="1020"/>
        <w:rPr>
          <w:rFonts w:hint="eastAsia"/>
          <w:color w:val="auto"/>
          <w:highlight w:val="none"/>
        </w:rPr>
      </w:pPr>
      <w:r>
        <w:rPr>
          <w:rFonts w:hint="eastAsia"/>
          <w:color w:val="auto"/>
          <w:highlight w:val="none"/>
        </w:rPr>
        <w:t>浙政钉接口开发</w:t>
      </w:r>
    </w:p>
    <w:p>
      <w:pPr>
        <w:ind w:firstLine="480"/>
        <w:rPr>
          <w:rFonts w:hint="eastAsia"/>
          <w:color w:val="auto"/>
          <w:highlight w:val="none"/>
        </w:rPr>
      </w:pPr>
      <w:r>
        <w:rPr>
          <w:rFonts w:hint="eastAsia"/>
          <w:color w:val="auto"/>
          <w:highlight w:val="none"/>
        </w:rPr>
        <w:t>开发栏目更新提醒浙政钉接口，将栏目更新信息同步到浙政钉端，基于浙政钉提供栏目更新提醒功能，实现各栏目个性化的更新提醒，通过浙政钉将更新提醒信息直接触达用户。</w:t>
      </w:r>
    </w:p>
    <w:p>
      <w:pPr>
        <w:pStyle w:val="4"/>
        <w:rPr>
          <w:rFonts w:hint="eastAsia"/>
          <w:color w:val="auto"/>
          <w:highlight w:val="none"/>
        </w:rPr>
      </w:pPr>
      <w:r>
        <w:rPr>
          <w:rFonts w:hint="eastAsia"/>
          <w:color w:val="auto"/>
          <w:highlight w:val="none"/>
        </w:rPr>
        <w:t>栏目信息管理能力提升</w:t>
      </w:r>
    </w:p>
    <w:p>
      <w:pPr>
        <w:ind w:firstLine="496"/>
        <w:rPr>
          <w:rFonts w:hint="eastAsia"/>
          <w:color w:val="auto"/>
          <w:spacing w:val="4"/>
          <w:szCs w:val="24"/>
          <w:highlight w:val="none"/>
        </w:rPr>
      </w:pPr>
      <w:r>
        <w:rPr>
          <w:rFonts w:hint="eastAsia"/>
          <w:color w:val="auto"/>
          <w:spacing w:val="4"/>
          <w:szCs w:val="24"/>
          <w:highlight w:val="none"/>
        </w:rPr>
        <w:t>开展栏目信息管理能力提升，包含栏目信息周期管理、信息来源管理、信息纠错和诸暨发布信息管理四个部分。</w:t>
      </w:r>
    </w:p>
    <w:p>
      <w:pPr>
        <w:pStyle w:val="5"/>
        <w:ind w:left="1020"/>
        <w:rPr>
          <w:rFonts w:hint="eastAsia"/>
          <w:color w:val="auto"/>
          <w:highlight w:val="none"/>
        </w:rPr>
      </w:pPr>
      <w:r>
        <w:rPr>
          <w:rFonts w:hint="eastAsia"/>
          <w:color w:val="auto"/>
          <w:highlight w:val="none"/>
        </w:rPr>
        <w:t>栏目信息周期管理</w:t>
      </w:r>
    </w:p>
    <w:p>
      <w:pPr>
        <w:ind w:firstLine="480"/>
        <w:rPr>
          <w:rFonts w:hint="eastAsia"/>
          <w:color w:val="auto"/>
          <w:highlight w:val="none"/>
        </w:rPr>
      </w:pPr>
      <w:r>
        <w:rPr>
          <w:rFonts w:hint="eastAsia"/>
          <w:color w:val="auto"/>
          <w:highlight w:val="none"/>
        </w:rPr>
        <w:t>在栏目管理中，支持设置信息存在的周期，使得信息在达到一定的时间后自动撤稿</w:t>
      </w:r>
    </w:p>
    <w:p>
      <w:pPr>
        <w:pStyle w:val="5"/>
        <w:ind w:left="1020"/>
        <w:rPr>
          <w:rFonts w:hint="eastAsia"/>
          <w:color w:val="auto"/>
          <w:highlight w:val="none"/>
        </w:rPr>
      </w:pPr>
      <w:r>
        <w:rPr>
          <w:rFonts w:hint="eastAsia"/>
          <w:color w:val="auto"/>
          <w:highlight w:val="none"/>
        </w:rPr>
        <w:t>信息来源管理</w:t>
      </w:r>
    </w:p>
    <w:p>
      <w:pPr>
        <w:ind w:firstLine="480"/>
        <w:rPr>
          <w:rFonts w:hint="eastAsia"/>
          <w:color w:val="auto"/>
          <w:highlight w:val="none"/>
        </w:rPr>
      </w:pPr>
      <w:r>
        <w:rPr>
          <w:rFonts w:hint="eastAsia"/>
          <w:color w:val="auto"/>
          <w:highlight w:val="none"/>
        </w:rPr>
        <w:t>支持网站信息来源管理，包含两种信息来源管理方式。一种是默认信息来源，依据用户所属机构默认带入或更改默认机构。另一种是支持用户自主编辑，用户可依据实际需求编辑信息来源，信息来源管理更灵活，同时满足网站相关管理规范要求。</w:t>
      </w:r>
    </w:p>
    <w:p>
      <w:pPr>
        <w:pStyle w:val="5"/>
        <w:ind w:left="1020"/>
        <w:rPr>
          <w:rFonts w:hint="eastAsia"/>
          <w:color w:val="auto"/>
          <w:highlight w:val="none"/>
        </w:rPr>
      </w:pPr>
      <w:r>
        <w:rPr>
          <w:rFonts w:hint="eastAsia"/>
          <w:color w:val="auto"/>
          <w:highlight w:val="none"/>
        </w:rPr>
        <w:t>信息纠错功能</w:t>
      </w:r>
    </w:p>
    <w:p>
      <w:pPr>
        <w:ind w:firstLine="480"/>
        <w:rPr>
          <w:rFonts w:hint="eastAsia"/>
          <w:color w:val="auto"/>
          <w:highlight w:val="none"/>
        </w:rPr>
      </w:pPr>
      <w:r>
        <w:rPr>
          <w:rFonts w:hint="eastAsia"/>
          <w:color w:val="auto"/>
          <w:highlight w:val="none"/>
        </w:rPr>
        <w:t>提供信息纠错能力，能实现对编辑内容的“一键校对”和违法违规内容的“一键”批量替换。</w:t>
      </w:r>
    </w:p>
    <w:p>
      <w:pPr>
        <w:pStyle w:val="5"/>
        <w:ind w:left="1020"/>
        <w:rPr>
          <w:rFonts w:hint="eastAsia"/>
          <w:color w:val="auto"/>
          <w:highlight w:val="none"/>
        </w:rPr>
      </w:pPr>
      <w:r>
        <w:rPr>
          <w:rFonts w:hint="eastAsia"/>
          <w:color w:val="auto"/>
          <w:highlight w:val="none"/>
        </w:rPr>
        <w:t>诸暨发布信息对接</w:t>
      </w:r>
    </w:p>
    <w:p>
      <w:pPr>
        <w:ind w:firstLine="480"/>
        <w:rPr>
          <w:rFonts w:hint="eastAsia"/>
          <w:color w:val="auto"/>
          <w:highlight w:val="none"/>
        </w:rPr>
      </w:pPr>
      <w:r>
        <w:rPr>
          <w:rFonts w:hint="eastAsia"/>
          <w:color w:val="auto"/>
          <w:highlight w:val="none"/>
        </w:rPr>
        <w:t>提供诸暨发布信息管理能力，抓取诸暨发布微信公众号相关信息，包含文章标题、对应文章的地址等信息，同步发送到诸暨市人民政府门户网站相关栏目。</w:t>
      </w:r>
    </w:p>
    <w:p>
      <w:pPr>
        <w:pStyle w:val="4"/>
        <w:rPr>
          <w:rFonts w:hint="eastAsia"/>
          <w:color w:val="auto"/>
          <w:highlight w:val="none"/>
        </w:rPr>
      </w:pPr>
      <w:r>
        <w:rPr>
          <w:rFonts w:hint="eastAsia"/>
          <w:color w:val="auto"/>
          <w:highlight w:val="none"/>
        </w:rPr>
        <w:t xml:space="preserve"> ▲企业网站集约化平台模板建设</w:t>
      </w:r>
    </w:p>
    <w:p>
      <w:pPr>
        <w:pStyle w:val="5"/>
        <w:ind w:left="1020"/>
        <w:rPr>
          <w:rFonts w:hint="eastAsia"/>
          <w:color w:val="auto"/>
          <w:highlight w:val="none"/>
        </w:rPr>
      </w:pPr>
      <w:r>
        <w:rPr>
          <w:rFonts w:hint="eastAsia"/>
          <w:color w:val="auto"/>
          <w:highlight w:val="none"/>
        </w:rPr>
        <w:t>页面及栏目设计</w:t>
      </w:r>
    </w:p>
    <w:p>
      <w:pPr>
        <w:ind w:firstLine="480"/>
        <w:rPr>
          <w:rFonts w:hint="eastAsia"/>
          <w:color w:val="auto"/>
          <w:highlight w:val="none"/>
        </w:rPr>
      </w:pPr>
      <w:r>
        <w:rPr>
          <w:rFonts w:hint="eastAsia"/>
          <w:color w:val="auto"/>
          <w:highlight w:val="none"/>
        </w:rPr>
        <w:t>为诸暨市企业网站集约化平台精心设计并开发</w:t>
      </w:r>
      <w:r>
        <w:rPr>
          <w:color w:val="auto"/>
          <w:highlight w:val="none"/>
        </w:rPr>
        <w:t>实施不少于</w:t>
      </w:r>
      <w:r>
        <w:rPr>
          <w:rFonts w:hint="eastAsia"/>
          <w:color w:val="auto"/>
          <w:highlight w:val="none"/>
        </w:rPr>
        <w:t>三套企业网站建设模板。</w:t>
      </w:r>
    </w:p>
    <w:p>
      <w:pPr>
        <w:pStyle w:val="5"/>
        <w:ind w:left="1020"/>
        <w:rPr>
          <w:color w:val="auto"/>
          <w:highlight w:val="none"/>
        </w:rPr>
      </w:pPr>
      <w:r>
        <w:rPr>
          <w:rFonts w:hint="eastAsia"/>
          <w:color w:val="auto"/>
          <w:highlight w:val="none"/>
        </w:rPr>
        <w:t>模板实施</w:t>
      </w:r>
    </w:p>
    <w:p>
      <w:pPr>
        <w:ind w:firstLine="480"/>
        <w:rPr>
          <w:rFonts w:hint="eastAsia"/>
          <w:color w:val="auto"/>
          <w:highlight w:val="none"/>
        </w:rPr>
      </w:pPr>
      <w:r>
        <w:rPr>
          <w:rFonts w:hint="eastAsia"/>
          <w:color w:val="auto"/>
          <w:highlight w:val="none"/>
        </w:rPr>
        <w:t>模板将严格遵循设计图，还原页面框架，确保模板的完整性和专业性。创建好的模板可通过企业网站集约化平台自带的模板管理功能实现对模板的导入和分类存储和修改更新操作管理。</w:t>
      </w:r>
    </w:p>
    <w:p>
      <w:pPr>
        <w:pStyle w:val="4"/>
        <w:rPr>
          <w:rFonts w:hint="eastAsia"/>
          <w:color w:val="auto"/>
          <w:highlight w:val="none"/>
        </w:rPr>
      </w:pPr>
      <w:r>
        <w:rPr>
          <w:rFonts w:hint="eastAsia"/>
          <w:color w:val="auto"/>
          <w:highlight w:val="none"/>
        </w:rPr>
        <w:t>国产化适配</w:t>
      </w:r>
    </w:p>
    <w:p>
      <w:pPr>
        <w:ind w:firstLine="480"/>
        <w:rPr>
          <w:rFonts w:hint="eastAsia"/>
          <w:color w:val="auto"/>
          <w:highlight w:val="none"/>
        </w:rPr>
      </w:pPr>
      <w:r>
        <w:rPr>
          <w:rFonts w:hint="eastAsia"/>
          <w:color w:val="auto"/>
          <w:highlight w:val="none"/>
        </w:rPr>
        <w:t>本项目部署在省政务云平台上，云服务由省数据局承担，统一提供安全保障服务，包含物理安全、主机安全、网络安全、应用安全、数据安全、安全管理制度等方面。同时本次项目开展国产化适配工作，具体内容如下：</w:t>
      </w:r>
    </w:p>
    <w:p>
      <w:pPr>
        <w:pStyle w:val="5"/>
        <w:ind w:left="1020"/>
        <w:rPr>
          <w:rFonts w:hint="eastAsia"/>
          <w:color w:val="auto"/>
          <w:highlight w:val="none"/>
        </w:rPr>
      </w:pPr>
      <w:r>
        <w:rPr>
          <w:rFonts w:hint="eastAsia"/>
          <w:color w:val="auto"/>
          <w:highlight w:val="none"/>
        </w:rPr>
        <w:t>系统国产化浏览器适配</w:t>
      </w:r>
    </w:p>
    <w:p>
      <w:pPr>
        <w:ind w:firstLine="480"/>
        <w:rPr>
          <w:rFonts w:hint="eastAsia"/>
          <w:color w:val="auto"/>
          <w:highlight w:val="none"/>
        </w:rPr>
      </w:pPr>
      <w:r>
        <w:rPr>
          <w:rFonts w:hint="eastAsia"/>
          <w:color w:val="auto"/>
          <w:highlight w:val="none"/>
        </w:rPr>
        <w:t>针对Firefox火狐浏览器、360安全浏览器等国产浏览器，从页面样式、CSS属性、自定义属性等方面进行兼容性改造，使系统页面保持整齐不变形，不出现文字错行、功能和控件不可用等情况。</w:t>
      </w:r>
    </w:p>
    <w:p>
      <w:pPr>
        <w:ind w:firstLine="480"/>
        <w:rPr>
          <w:rFonts w:hint="eastAsia"/>
          <w:color w:val="auto"/>
          <w:highlight w:val="none"/>
        </w:rPr>
      </w:pPr>
      <w:r>
        <w:rPr>
          <w:rFonts w:hint="eastAsia"/>
          <w:color w:val="auto"/>
          <w:highlight w:val="none"/>
        </w:rPr>
        <w:t>集合类对象改造，现有诸暨市人民政府门户网站，在IE浏览器中,可以使用()或[]获取集合类对象，在火狐Firefox浏览器中,只能使用[]获取集合类对象，为满足火狐Firefox、360安全浏览器兼容性问题，将改造成统一使用[]获取集合类对象。</w:t>
      </w:r>
    </w:p>
    <w:p>
      <w:pPr>
        <w:ind w:firstLine="480"/>
        <w:rPr>
          <w:rFonts w:hint="eastAsia"/>
          <w:color w:val="auto"/>
          <w:highlight w:val="none"/>
        </w:rPr>
      </w:pPr>
      <w:r>
        <w:rPr>
          <w:rFonts w:hint="eastAsia"/>
          <w:color w:val="auto"/>
          <w:highlight w:val="none"/>
        </w:rPr>
        <w:t>CSS属性改造，在IE浏览器中，各种CSS属性大小写要求不严格，均能正确操作；在火狐Firefox、360安全浏览器中会出现过因大小写问题无法正确解析的情况，为解决以上问题，本次项目将统一严格按照CSS属性大小进行改造。</w:t>
      </w:r>
    </w:p>
    <w:p>
      <w:pPr>
        <w:ind w:firstLine="480"/>
        <w:rPr>
          <w:rFonts w:hint="eastAsia"/>
          <w:color w:val="auto"/>
          <w:highlight w:val="none"/>
        </w:rPr>
      </w:pPr>
      <w:r>
        <w:rPr>
          <w:rFonts w:hint="eastAsia"/>
          <w:color w:val="auto"/>
          <w:highlight w:val="none"/>
        </w:rPr>
        <w:t>自定义属性改造，现有诸暨市人民政府门户网站在获取自定义属性方法上，存在两种获取方式，一是使用获取常规属性的方法来获取自定义属性,二是使用getAttribute()获取自定义属性；在IE浏览器中下,可以使用获取常规属性的方法来获取自定义属性,也可以使用getAttribute()获取自定义属性；在火狐Firefox浏览器中,只能使用getAttribute()获取自定义属性。为解决浏览器兼容问题，本次项目改造将统一通过getAttribute()获取自定义属性。</w:t>
      </w:r>
    </w:p>
    <w:p>
      <w:pPr>
        <w:ind w:firstLine="480"/>
        <w:rPr>
          <w:rFonts w:hint="eastAsia"/>
          <w:color w:val="auto"/>
          <w:highlight w:val="none"/>
        </w:rPr>
      </w:pPr>
      <w:r>
        <w:rPr>
          <w:rFonts w:hint="eastAsia"/>
          <w:color w:val="auto"/>
          <w:highlight w:val="none"/>
        </w:rPr>
        <w:t>document.formName.item("itemName") 问题改造，现有诸暨市人民政府门户网站在IE下，可以使用 document. formName.item(”itemName”)或document.formName. elements ["elementName"]；Firefox下，只能使用document. formName. elements["elementName"]。本次项目改造按照W3C标准，统一使用document. formName.elements ["elementName"]，以满足Firefox、360安全浏览器中完全兼容。</w:t>
      </w:r>
    </w:p>
    <w:p>
      <w:pPr>
        <w:ind w:firstLine="480"/>
        <w:rPr>
          <w:rFonts w:hint="eastAsia"/>
          <w:color w:val="auto"/>
          <w:highlight w:val="none"/>
        </w:rPr>
      </w:pPr>
      <w:r>
        <w:rPr>
          <w:rFonts w:hint="eastAsia"/>
          <w:color w:val="auto"/>
          <w:highlight w:val="none"/>
        </w:rPr>
        <w:t>元素定义改造，现有诸暨市人民政府门户网站，一个元素中可以多次style的定义，在Firefox、360安全浏览器中，若有多次描述无法生效。为解决以上问题，将改造成统一元素中只存在一处的style描述。</w:t>
      </w:r>
    </w:p>
    <w:p>
      <w:pPr>
        <w:ind w:firstLine="480"/>
        <w:rPr>
          <w:rFonts w:hint="eastAsia"/>
          <w:color w:val="auto"/>
          <w:highlight w:val="none"/>
        </w:rPr>
      </w:pPr>
      <w:r>
        <w:rPr>
          <w:rFonts w:hint="eastAsia"/>
          <w:color w:val="auto"/>
          <w:highlight w:val="none"/>
        </w:rPr>
        <w:t>Eval（“idName”）问题改造，现有诸暨市人民政府门户网站，在IE浏览器中，可以使用eval("idName")或getElementById("idName")来取得id为idName的HTML对象；在Firefox、360安全浏览器中只能使用getElementById("idName")来取得id为idName的HTML对象。本次改造将统一用getElementById("idName")来取得id为idName的HTML对象。</w:t>
      </w:r>
    </w:p>
    <w:p>
      <w:pPr>
        <w:ind w:firstLine="480"/>
        <w:rPr>
          <w:rFonts w:hint="eastAsia"/>
          <w:color w:val="auto"/>
          <w:highlight w:val="none"/>
        </w:rPr>
      </w:pPr>
      <w:r>
        <w:rPr>
          <w:rFonts w:hint="eastAsia"/>
          <w:color w:val="auto"/>
          <w:highlight w:val="none"/>
        </w:rPr>
        <w:t>变量名改造，现有诸暨市人民政府门户网站，在IE浏览器中，存在变量名与某HTML对象ID相同的问题，HTML对象的ID可以作为document的下属对象变量名直接使用；Firefox、360安全浏览器则不能。为避免以上问题，将改造使用document. getElementById ("idName")代替document.idName。不取HTML对象ID相同的变量名,以减少错误；在声明变量时,一律加上var,以避免歧义。</w:t>
      </w:r>
    </w:p>
    <w:p>
      <w:pPr>
        <w:ind w:firstLine="480"/>
        <w:rPr>
          <w:rFonts w:hint="eastAsia"/>
          <w:color w:val="auto"/>
          <w:highlight w:val="none"/>
        </w:rPr>
      </w:pPr>
      <w:r>
        <w:rPr>
          <w:rFonts w:hint="eastAsia"/>
          <w:color w:val="auto"/>
          <w:highlight w:val="none"/>
        </w:rPr>
        <w:t>获取对象方式，现有诸暨市人民政府门户网站，HTML对象的 id和name 在IE浏览器使用getElementByID都会找到，在Firefox、360浏览器中name是找不到的，须严格使用getElementByID和getElementsByName。通过改造，id使用getElementByID；name使用getElementsByName。</w:t>
      </w:r>
    </w:p>
    <w:p>
      <w:pPr>
        <w:ind w:firstLine="480"/>
        <w:rPr>
          <w:rFonts w:hint="eastAsia"/>
          <w:color w:val="auto"/>
          <w:highlight w:val="none"/>
        </w:rPr>
      </w:pPr>
      <w:r>
        <w:rPr>
          <w:rFonts w:hint="eastAsia"/>
          <w:color w:val="auto"/>
          <w:highlight w:val="none"/>
        </w:rPr>
        <w:t>Input.type属性问题改造，现有诸暨市人民政府门户网站，在IE浏览器中input.type属性为只读;但是在Firefox、360安全浏览器中下input.type属性为读写。&lt;input type='text' id='comdiv' size='4'/&gt;。在本次改造中，使用 comdiv.type ='button' 修改type类型。</w:t>
      </w:r>
    </w:p>
    <w:p>
      <w:pPr>
        <w:ind w:firstLine="480"/>
        <w:rPr>
          <w:rFonts w:hint="eastAsia"/>
          <w:color w:val="auto"/>
          <w:highlight w:val="none"/>
        </w:rPr>
      </w:pPr>
      <w:r>
        <w:rPr>
          <w:rFonts w:hint="eastAsia"/>
          <w:color w:val="auto"/>
          <w:highlight w:val="none"/>
        </w:rPr>
        <w:t>模态和非模态窗口问题改造，现有诸暨市人民政府门户网站，在IE浏览器下,通过showModalDialog和showModelessDialog打开模态和非模态窗口；在Firefox、360安全浏览器中则不能。在本次改造中，将直接使用window.Open (pageURL, name,parameters)方式打开新窗口。</w:t>
      </w:r>
    </w:p>
    <w:p>
      <w:pPr>
        <w:ind w:firstLine="480"/>
        <w:rPr>
          <w:rFonts w:hint="eastAsia"/>
          <w:color w:val="auto"/>
          <w:highlight w:val="none"/>
        </w:rPr>
      </w:pPr>
      <w:r>
        <w:rPr>
          <w:rFonts w:hint="eastAsia"/>
          <w:color w:val="auto"/>
          <w:highlight w:val="none"/>
        </w:rPr>
        <w:t>frame和iframe问题改造，在现有诸暨市人民政府门户网站下，访问frame对象，IE使用window.frameId或者window.frameName来访问这个frame对象；Firefox使用window.frameName来访问这个frame对象；本次项目改造将统一使用 window. document. getElementById(”frameId”) 来访问这个frame对象，保证对Firefox、360安全浏览器的兼容性。</w:t>
      </w:r>
    </w:p>
    <w:p>
      <w:pPr>
        <w:ind w:firstLine="480"/>
        <w:rPr>
          <w:rFonts w:hint="eastAsia"/>
          <w:color w:val="auto"/>
          <w:highlight w:val="none"/>
        </w:rPr>
      </w:pPr>
      <w:r>
        <w:rPr>
          <w:rFonts w:hint="eastAsia"/>
          <w:color w:val="auto"/>
          <w:highlight w:val="none"/>
        </w:rPr>
        <w:t>Margin加倍问题改造，设置为float的div在各浏览器中设置的margin会加倍。本次改造将在div里面加上display:inline。</w:t>
      </w:r>
    </w:p>
    <w:p>
      <w:pPr>
        <w:pStyle w:val="5"/>
        <w:ind w:left="1020"/>
        <w:rPr>
          <w:rFonts w:hint="eastAsia"/>
          <w:color w:val="auto"/>
          <w:highlight w:val="none"/>
        </w:rPr>
      </w:pPr>
      <w:r>
        <w:rPr>
          <w:rFonts w:hint="eastAsia"/>
          <w:color w:val="auto"/>
          <w:highlight w:val="none"/>
        </w:rPr>
        <w:t>系统国产化服务器适配</w:t>
      </w:r>
    </w:p>
    <w:p>
      <w:pPr>
        <w:ind w:firstLine="480"/>
        <w:rPr>
          <w:rFonts w:hint="eastAsia"/>
          <w:color w:val="auto"/>
          <w:highlight w:val="none"/>
        </w:rPr>
      </w:pPr>
      <w:r>
        <w:rPr>
          <w:rFonts w:hint="eastAsia"/>
          <w:color w:val="auto"/>
          <w:highlight w:val="none"/>
        </w:rPr>
        <w:t>为适配基于鲲鹏处理器的国产服务器，同时兼容龙芯、兆芯、海光、ARM等不同的处理器的国产服务器，对诸暨市人民政府门户网站从任务调度策略、文件存储方式等方面进行适配改造。</w:t>
      </w:r>
    </w:p>
    <w:p>
      <w:pPr>
        <w:pStyle w:val="5"/>
        <w:ind w:left="1020"/>
        <w:rPr>
          <w:rFonts w:hint="eastAsia"/>
          <w:color w:val="auto"/>
          <w:highlight w:val="none"/>
        </w:rPr>
      </w:pPr>
      <w:r>
        <w:rPr>
          <w:rFonts w:hint="eastAsia"/>
          <w:color w:val="auto"/>
          <w:highlight w:val="none"/>
        </w:rPr>
        <w:t>系统国产化数据库适配</w:t>
      </w:r>
    </w:p>
    <w:p>
      <w:pPr>
        <w:ind w:firstLine="480"/>
        <w:rPr>
          <w:rFonts w:hint="eastAsia"/>
          <w:color w:val="auto"/>
          <w:highlight w:val="none"/>
        </w:rPr>
      </w:pPr>
      <w:r>
        <w:rPr>
          <w:rFonts w:hint="eastAsia"/>
          <w:color w:val="auto"/>
          <w:highlight w:val="none"/>
        </w:rPr>
        <w:t>为适配国产化数据库，包括达梦数据库（DM）、南大通用baiGBASE数据库、OpenBASE、神州通用数据库等，诸暨市人民政府门户网站从字段适配、类型适配、分页适配、建表适配、建索引适配、触发器适配、序列适配、查询语句适配、删除语句适配、插入/修改语句适配等方面进行改造，满足国产化数据库环境的适配。</w:t>
      </w:r>
    </w:p>
    <w:p>
      <w:pPr>
        <w:pStyle w:val="5"/>
        <w:autoSpaceDE/>
        <w:autoSpaceDN/>
        <w:ind w:left="850"/>
        <w:rPr>
          <w:rFonts w:hint="eastAsia"/>
          <w:color w:val="auto"/>
          <w:highlight w:val="none"/>
        </w:rPr>
      </w:pPr>
      <w:r>
        <w:rPr>
          <w:rFonts w:hint="eastAsia"/>
          <w:color w:val="auto"/>
          <w:highlight w:val="none"/>
        </w:rPr>
        <w:t>系统国产化中间件适配</w:t>
      </w:r>
    </w:p>
    <w:p>
      <w:pPr>
        <w:ind w:firstLine="480"/>
        <w:rPr>
          <w:rFonts w:hint="eastAsia"/>
          <w:color w:val="auto"/>
          <w:highlight w:val="none"/>
        </w:rPr>
      </w:pPr>
      <w:r>
        <w:rPr>
          <w:rFonts w:hint="eastAsia"/>
          <w:color w:val="auto"/>
          <w:highlight w:val="none"/>
        </w:rPr>
        <w:t>为适配国产化中间件，包括金蝶、东方通、中创等中间件，诸暨市人民政府门户网站从字段适配、类型适配、分页适配、建表适配、建索引适配、触发器适配、序列适配、查询语句适配、删除语句适配、插入/修改语句适配等方面进行改造，满足国产化中间件环境的适配。</w:t>
      </w:r>
    </w:p>
    <w:p>
      <w:pPr>
        <w:pStyle w:val="5"/>
        <w:autoSpaceDE/>
        <w:autoSpaceDN/>
        <w:ind w:left="850"/>
        <w:rPr>
          <w:rFonts w:hint="eastAsia"/>
          <w:color w:val="auto"/>
          <w:highlight w:val="none"/>
        </w:rPr>
      </w:pPr>
      <w:r>
        <w:rPr>
          <w:rFonts w:hint="eastAsia"/>
          <w:color w:val="auto"/>
          <w:highlight w:val="none"/>
        </w:rPr>
        <w:t>系统国产化操作系统适配</w:t>
      </w:r>
    </w:p>
    <w:p>
      <w:pPr>
        <w:ind w:firstLine="480"/>
        <w:rPr>
          <w:rFonts w:hint="eastAsia"/>
          <w:color w:val="auto"/>
          <w:highlight w:val="none"/>
        </w:rPr>
      </w:pPr>
      <w:r>
        <w:rPr>
          <w:rFonts w:hint="eastAsia"/>
          <w:color w:val="auto"/>
          <w:highlight w:val="none"/>
        </w:rPr>
        <w:t>为适配国产化操作系统，包括中标麒麟（NeoKylin）、银河麒麟、UOS（统信操作系统）等，诸暨市人民政府门户网站从字段适配、类型适配、分页适配、建表适配、建索引适配、触发器适配、序列适配、查询语句适配、删除语句适配、插入/修改语句适配等方面进行改造，满足国产化操作系统环境的适配。</w:t>
      </w:r>
    </w:p>
    <w:p>
      <w:pPr>
        <w:pStyle w:val="3"/>
        <w:autoSpaceDE/>
        <w:autoSpaceDN/>
        <w:spacing w:before="156" w:beforeLines="0" w:after="156" w:afterLines="0"/>
        <w:ind w:left="567"/>
        <w:rPr>
          <w:rFonts w:hint="eastAsia"/>
          <w:color w:val="auto"/>
          <w:highlight w:val="none"/>
        </w:rPr>
      </w:pPr>
      <w:r>
        <w:rPr>
          <w:rFonts w:hint="eastAsia"/>
          <w:color w:val="auto"/>
          <w:highlight w:val="none"/>
        </w:rPr>
        <w:t xml:space="preserve"> 项目实施要求</w:t>
      </w:r>
    </w:p>
    <w:p>
      <w:pPr>
        <w:pStyle w:val="4"/>
        <w:rPr>
          <w:rFonts w:hint="eastAsia"/>
          <w:color w:val="auto"/>
          <w:highlight w:val="none"/>
        </w:rPr>
      </w:pPr>
      <w:r>
        <w:rPr>
          <w:rFonts w:hint="eastAsia"/>
          <w:color w:val="auto"/>
          <w:highlight w:val="none"/>
        </w:rPr>
        <w:t>项目实施总体要求</w:t>
      </w:r>
    </w:p>
    <w:p>
      <w:pPr>
        <w:ind w:firstLine="480"/>
        <w:rPr>
          <w:rFonts w:hint="eastAsia"/>
          <w:color w:val="auto"/>
          <w:highlight w:val="none"/>
        </w:rPr>
      </w:pPr>
      <w:r>
        <w:rPr>
          <w:rFonts w:hint="eastAsia"/>
          <w:color w:val="auto"/>
          <w:highlight w:val="none"/>
        </w:rPr>
        <w:t>（1）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制定、软件开发、用例测试、设备配置、系统联调、业务开通及割接等工作。</w:t>
      </w:r>
    </w:p>
    <w:p>
      <w:pPr>
        <w:spacing w:line="240" w:lineRule="auto"/>
        <w:ind w:firstLine="480"/>
        <w:rPr>
          <w:rFonts w:hint="eastAsia"/>
          <w:color w:val="auto"/>
          <w:highlight w:val="none"/>
        </w:rPr>
      </w:pPr>
      <w:r>
        <w:rPr>
          <w:rFonts w:hint="eastAsia"/>
          <w:color w:val="auto"/>
          <w:highlight w:val="none"/>
          <w:lang w:bidi="ar"/>
        </w:rPr>
        <w:t>（2）项目须由中标人实施不允许转包，如发现项目转包情况，采购人有权解除合同、没收履约保证金并追究中标人的违约责任。</w:t>
      </w:r>
    </w:p>
    <w:p>
      <w:pPr>
        <w:ind w:firstLine="480"/>
        <w:rPr>
          <w:rFonts w:hint="eastAsia"/>
          <w:color w:val="auto"/>
          <w:highlight w:val="none"/>
        </w:rPr>
      </w:pPr>
      <w:r>
        <w:rPr>
          <w:rFonts w:hint="eastAsia"/>
          <w:color w:val="auto"/>
          <w:highlight w:val="none"/>
        </w:rPr>
        <w:t>（3）项目实施所需的工具、仪表及其他安装调试设备材料等应由投标人自行解决。投标人在实施过程中应严格执行相关的安全实施规范，在实施过程中和质保期间所产生的一切安全责任均由投标人自行承担。</w:t>
      </w:r>
    </w:p>
    <w:p>
      <w:pPr>
        <w:ind w:firstLine="480"/>
        <w:rPr>
          <w:rFonts w:hint="eastAsia"/>
          <w:color w:val="auto"/>
          <w:highlight w:val="none"/>
        </w:rPr>
      </w:pPr>
      <w:r>
        <w:rPr>
          <w:rFonts w:hint="eastAsia"/>
          <w:color w:val="auto"/>
          <w:highlight w:val="none"/>
        </w:rPr>
        <w:t>（4）本项目涉及第三方系统的接口开发、系统对接等费用（包括第三方系统原投标人配合该项目提供的接口开发、系统对接费用）皆由投标人承担。</w:t>
      </w:r>
    </w:p>
    <w:p>
      <w:pPr>
        <w:ind w:firstLine="480"/>
        <w:rPr>
          <w:rFonts w:hint="eastAsia"/>
          <w:color w:val="auto"/>
          <w:highlight w:val="none"/>
        </w:rPr>
      </w:pPr>
      <w:r>
        <w:rPr>
          <w:rFonts w:hint="eastAsia"/>
          <w:color w:val="auto"/>
          <w:highlight w:val="none"/>
        </w:rPr>
        <w:t>（5）若在项目实施过程中发现招标文件中遗漏或缺少系统正常运行必要的软件模块、接口、硬件配件或服务等配套产品，投标人有义务在谈判响应文件中指出，并提出解决方案供采购人、采购机构参考。若项目系统因缺少必要软件模块、接口、硬件配件或服务等配套产品而导致采购人系统无法正常运行的，投标人有义务保证采购人系统的完整性，须承诺免费提供。（提供承诺函，格式自拟）</w:t>
      </w:r>
    </w:p>
    <w:p>
      <w:pPr>
        <w:pStyle w:val="4"/>
        <w:rPr>
          <w:rFonts w:hint="eastAsia"/>
          <w:color w:val="auto"/>
          <w:highlight w:val="none"/>
        </w:rPr>
      </w:pPr>
      <w:r>
        <w:rPr>
          <w:rFonts w:hint="eastAsia"/>
          <w:color w:val="auto"/>
          <w:highlight w:val="none"/>
        </w:rPr>
        <w:t>项目进度要求</w:t>
      </w:r>
    </w:p>
    <w:p>
      <w:pPr>
        <w:ind w:firstLine="480"/>
        <w:rPr>
          <w:rFonts w:hint="eastAsia"/>
          <w:color w:val="auto"/>
          <w:highlight w:val="none"/>
        </w:rPr>
      </w:pPr>
      <w:r>
        <w:rPr>
          <w:rFonts w:hint="eastAsia"/>
          <w:color w:val="auto"/>
          <w:highlight w:val="none"/>
        </w:rPr>
        <w:t>自合同签订生效后，90天内完成项目所有建设内容，包括软件系统开发部署、软硬件系统联调、系统对接和技术培训等工作。项目完工后，自测合格后可向采购人书面申请系统试运行，经采购人确认后，项目进入试运行阶段；系统正常试运行满</w:t>
      </w:r>
      <w:r>
        <w:rPr>
          <w:rFonts w:hint="eastAsia"/>
          <w:color w:val="auto"/>
          <w:highlight w:val="none"/>
          <w:u w:val="single"/>
        </w:rPr>
        <w:t>60</w:t>
      </w:r>
      <w:r>
        <w:rPr>
          <w:rFonts w:hint="eastAsia"/>
          <w:color w:val="auto"/>
          <w:highlight w:val="none"/>
        </w:rPr>
        <w:t>天后，并经采购人确认满足验收条件后，由采购人组织项目验收。</w:t>
      </w:r>
    </w:p>
    <w:p>
      <w:pPr>
        <w:pStyle w:val="4"/>
        <w:rPr>
          <w:rFonts w:hint="eastAsia"/>
          <w:color w:val="auto"/>
          <w:highlight w:val="none"/>
        </w:rPr>
      </w:pPr>
      <w:r>
        <w:rPr>
          <w:rFonts w:hint="eastAsia"/>
          <w:color w:val="auto"/>
          <w:highlight w:val="none"/>
        </w:rPr>
        <w:t>项目管理要求</w:t>
      </w:r>
    </w:p>
    <w:p>
      <w:pPr>
        <w:ind w:firstLine="480"/>
        <w:rPr>
          <w:rFonts w:hint="eastAsia"/>
          <w:color w:val="auto"/>
          <w:highlight w:val="none"/>
        </w:rPr>
      </w:pPr>
      <w:r>
        <w:rPr>
          <w:rFonts w:hint="eastAsia"/>
          <w:color w:val="auto"/>
          <w:highlight w:val="none"/>
          <w:lang w:bidi="ar"/>
        </w:rPr>
        <w:t>（1） 投标人应充分考虑满足本项目的建设要求，在谈判响应文件中提出完整的项目管理、项目组织施工设计、人员培训、项目验收和售后服务等方案。</w:t>
      </w:r>
      <w:r>
        <w:rPr>
          <w:rFonts w:hint="eastAsia"/>
          <w:color w:val="auto"/>
          <w:highlight w:val="none"/>
        </w:rPr>
        <w:t>应根据对项目的理解</w:t>
      </w:r>
      <w:r>
        <w:rPr>
          <w:rFonts w:hint="eastAsia"/>
          <w:color w:val="auto"/>
          <w:highlight w:val="none"/>
          <w:lang w:eastAsia="zh-CN"/>
        </w:rPr>
        <w:t>做出</w:t>
      </w:r>
      <w:r>
        <w:rPr>
          <w:rFonts w:hint="eastAsia"/>
          <w:color w:val="auto"/>
          <w:highlight w:val="none"/>
        </w:rPr>
        <w:t>项目的人员配置管理计划，包括组织结构、项目负责人、组成人员及分工职责。</w:t>
      </w:r>
    </w:p>
    <w:p>
      <w:pPr>
        <w:ind w:firstLine="480"/>
        <w:rPr>
          <w:rFonts w:hint="eastAsia"/>
          <w:color w:val="auto"/>
          <w:highlight w:val="none"/>
          <w:lang w:bidi="ar"/>
        </w:rPr>
      </w:pPr>
      <w:r>
        <w:rPr>
          <w:rFonts w:hint="eastAsia"/>
          <w:color w:val="auto"/>
          <w:highlight w:val="none"/>
          <w:lang w:bidi="ar"/>
        </w:rPr>
        <w:t>（2） 投标人在谈判响应文件中应根据对项目的理解作出项目实施的初步计划，成为中标人后必须提交正式实施方案，明确招标项目工作的方式、方法、过程步骤、按阶段分解的详细计划、对应计划应提交的工作成果、需要采购人协调与配合的事项，并经采购人审核批准后实施。</w:t>
      </w:r>
    </w:p>
    <w:p>
      <w:pPr>
        <w:ind w:firstLine="480"/>
        <w:rPr>
          <w:rFonts w:hint="eastAsia"/>
          <w:color w:val="auto"/>
          <w:highlight w:val="none"/>
          <w:lang w:bidi="ar"/>
        </w:rPr>
      </w:pPr>
      <w:r>
        <w:rPr>
          <w:rFonts w:hint="eastAsia"/>
          <w:color w:val="auto"/>
          <w:highlight w:val="none"/>
          <w:lang w:bidi="ar"/>
        </w:rPr>
        <w:t>（3）中标人在项目实施过程中必须分别按周提交进度报告，对项目问题及进度延迟原因进行说明，制定合理的解决措施并有效执行。</w:t>
      </w:r>
    </w:p>
    <w:p>
      <w:pPr>
        <w:pStyle w:val="4"/>
        <w:rPr>
          <w:rFonts w:hint="eastAsia"/>
          <w:color w:val="auto"/>
          <w:highlight w:val="none"/>
        </w:rPr>
      </w:pPr>
      <w:r>
        <w:rPr>
          <w:rFonts w:hint="eastAsia"/>
          <w:color w:val="auto"/>
          <w:highlight w:val="none"/>
        </w:rPr>
        <w:t>系统测试要求</w:t>
      </w:r>
    </w:p>
    <w:p>
      <w:pPr>
        <w:ind w:firstLine="480"/>
        <w:rPr>
          <w:rFonts w:hint="eastAsia"/>
          <w:color w:val="auto"/>
          <w:highlight w:val="none"/>
          <w:lang w:bidi="ar"/>
        </w:rPr>
      </w:pPr>
      <w:r>
        <w:rPr>
          <w:rFonts w:hint="eastAsia"/>
          <w:color w:val="auto"/>
          <w:highlight w:val="none"/>
          <w:lang w:bidi="ar"/>
        </w:rPr>
        <w:t>项目建设完成后，经采购人和中标人双方确认后进行软硬件系统测试。软硬件系统测试由中标人负责，采购人和诸暨市人力资源和社会保障局派人参与，测试项目建设的需求完成度。</w:t>
      </w:r>
    </w:p>
    <w:p>
      <w:pPr>
        <w:numPr>
          <w:ilvl w:val="0"/>
          <w:numId w:val="5"/>
        </w:numPr>
        <w:ind w:firstLine="480"/>
        <w:rPr>
          <w:rFonts w:hint="eastAsia"/>
          <w:color w:val="auto"/>
          <w:highlight w:val="none"/>
          <w:lang w:bidi="ar"/>
        </w:rPr>
      </w:pPr>
      <w:r>
        <w:rPr>
          <w:rFonts w:hint="eastAsia"/>
          <w:color w:val="auto"/>
          <w:highlight w:val="none"/>
          <w:lang w:bidi="ar"/>
        </w:rPr>
        <w:t>采购人若发现软硬件系统功能、性能、安全性不符合招标要求，有权要求中标人进行功能、性能和质量的第三方测试。中标人需积极配合，并承担相应评测费用。如因中标人不配合采购人提出的第三方测试而导致项目延期，一切责任由中标人承担。</w:t>
      </w:r>
    </w:p>
    <w:p>
      <w:pPr>
        <w:numPr>
          <w:ilvl w:val="0"/>
          <w:numId w:val="5"/>
        </w:numPr>
        <w:ind w:firstLine="480"/>
        <w:rPr>
          <w:rFonts w:hint="eastAsia"/>
          <w:color w:val="auto"/>
          <w:highlight w:val="none"/>
          <w:lang w:bidi="ar"/>
        </w:rPr>
      </w:pPr>
      <w:r>
        <w:rPr>
          <w:rFonts w:hint="eastAsia"/>
          <w:color w:val="auto"/>
          <w:highlight w:val="none"/>
          <w:lang w:bidi="ar"/>
        </w:rPr>
        <w:t>测试将依据本招标文件项目技术要求及项目功能、性能、质量及安全等要求。</w:t>
      </w:r>
    </w:p>
    <w:p>
      <w:pPr>
        <w:numPr>
          <w:ilvl w:val="0"/>
          <w:numId w:val="5"/>
        </w:numPr>
        <w:ind w:firstLine="480"/>
        <w:rPr>
          <w:rFonts w:hint="eastAsia"/>
          <w:color w:val="auto"/>
          <w:highlight w:val="none"/>
          <w:lang w:bidi="ar"/>
        </w:rPr>
      </w:pPr>
      <w:r>
        <w:rPr>
          <w:rFonts w:hint="eastAsia"/>
          <w:color w:val="auto"/>
          <w:highlight w:val="none"/>
          <w:lang w:bidi="ar"/>
        </w:rPr>
        <w:t>如第三方测试未通过，中标人需在30天内进行整改，</w:t>
      </w:r>
      <w:r>
        <w:rPr>
          <w:rFonts w:hint="eastAsia"/>
          <w:color w:val="auto"/>
          <w:highlight w:val="none"/>
        </w:rPr>
        <w:t>若</w:t>
      </w:r>
      <w:r>
        <w:rPr>
          <w:rFonts w:hint="eastAsia"/>
          <w:bCs/>
          <w:color w:val="auto"/>
          <w:highlight w:val="none"/>
        </w:rPr>
        <w:t>中标人</w:t>
      </w:r>
      <w:r>
        <w:rPr>
          <w:rFonts w:hint="eastAsia"/>
          <w:color w:val="auto"/>
          <w:highlight w:val="none"/>
        </w:rPr>
        <w:t>拒绝进行整改或</w:t>
      </w:r>
      <w:r>
        <w:rPr>
          <w:rFonts w:hint="eastAsia"/>
          <w:color w:val="auto"/>
          <w:highlight w:val="none"/>
          <w:lang w:bidi="ar"/>
        </w:rPr>
        <w:t>在30天内整改后仍未达到招标要求，采购人</w:t>
      </w:r>
      <w:r>
        <w:rPr>
          <w:rFonts w:hint="eastAsia"/>
          <w:color w:val="auto"/>
          <w:highlight w:val="none"/>
        </w:rPr>
        <w:t>可单方面解除合同</w:t>
      </w:r>
      <w:r>
        <w:rPr>
          <w:rFonts w:hint="eastAsia"/>
          <w:color w:val="auto"/>
          <w:highlight w:val="none"/>
          <w:lang w:bidi="ar"/>
        </w:rPr>
        <w:t>，</w:t>
      </w:r>
      <w:r>
        <w:rPr>
          <w:rFonts w:hint="eastAsia"/>
          <w:color w:val="auto"/>
          <w:highlight w:val="none"/>
        </w:rPr>
        <w:t>并没收履约保证金，所造成的其他损失由</w:t>
      </w:r>
      <w:r>
        <w:rPr>
          <w:rFonts w:hint="eastAsia"/>
          <w:bCs/>
          <w:color w:val="auto"/>
          <w:highlight w:val="none"/>
        </w:rPr>
        <w:t>中标人</w:t>
      </w:r>
      <w:r>
        <w:rPr>
          <w:rFonts w:hint="eastAsia"/>
          <w:color w:val="auto"/>
          <w:highlight w:val="none"/>
        </w:rPr>
        <w:t>负责。</w:t>
      </w:r>
    </w:p>
    <w:p>
      <w:pPr>
        <w:pStyle w:val="4"/>
        <w:rPr>
          <w:rFonts w:hint="eastAsia"/>
          <w:color w:val="auto"/>
          <w:highlight w:val="none"/>
        </w:rPr>
      </w:pPr>
      <w:r>
        <w:rPr>
          <w:rFonts w:hint="eastAsia"/>
          <w:color w:val="auto"/>
          <w:highlight w:val="none"/>
        </w:rPr>
        <w:t>技术培训要求</w:t>
      </w:r>
    </w:p>
    <w:p>
      <w:pPr>
        <w:ind w:firstLine="480"/>
        <w:rPr>
          <w:rFonts w:hint="eastAsia"/>
          <w:color w:val="auto"/>
          <w:highlight w:val="none"/>
        </w:rPr>
      </w:pPr>
      <w:r>
        <w:rPr>
          <w:rFonts w:hint="eastAsia"/>
          <w:color w:val="auto"/>
          <w:highlight w:val="none"/>
        </w:rPr>
        <w:t>中标人必须根据项目软件系统的功能和特点，充分考虑到系统使用人员实际水平，提出详细的系统培训方案。目标是通过系统培训使系统管理人员和操作人员能独立进行相应应用与管理、故障处理、日常维护等工作，确保系统能正常安全运行。中标人未按采购人（或使用单位）要求开展培训，采购人可拒绝项目验收。</w:t>
      </w:r>
    </w:p>
    <w:p>
      <w:pPr>
        <w:ind w:firstLine="480"/>
        <w:rPr>
          <w:rFonts w:hint="eastAsia"/>
          <w:color w:val="auto"/>
          <w:highlight w:val="none"/>
        </w:rPr>
      </w:pPr>
      <w:r>
        <w:rPr>
          <w:rFonts w:hint="eastAsia"/>
          <w:color w:val="auto"/>
          <w:highlight w:val="none"/>
        </w:rPr>
        <w:t>技术培训费用应包含在投标总价中，技术培训要求在系统试运行期间完成。</w:t>
      </w:r>
    </w:p>
    <w:p>
      <w:pPr>
        <w:ind w:firstLine="480"/>
        <w:rPr>
          <w:rFonts w:hint="eastAsia"/>
          <w:color w:val="auto"/>
          <w:highlight w:val="none"/>
        </w:rPr>
      </w:pPr>
      <w:r>
        <w:rPr>
          <w:rFonts w:hint="eastAsia"/>
          <w:color w:val="auto"/>
          <w:highlight w:val="none"/>
        </w:rPr>
        <w:t>技术培训应包括但不仅限于下列内容：</w:t>
      </w:r>
    </w:p>
    <w:p>
      <w:pPr>
        <w:ind w:firstLine="480"/>
        <w:rPr>
          <w:rFonts w:hint="eastAsia"/>
          <w:color w:val="auto"/>
          <w:highlight w:val="none"/>
        </w:rPr>
      </w:pPr>
      <w:r>
        <w:rPr>
          <w:rFonts w:hint="eastAsia"/>
          <w:color w:val="auto"/>
          <w:highlight w:val="none"/>
        </w:rPr>
        <w:t>（1）中标人有责任完成对使用单位相关人员组织具有针对性的培训课程，培训内容要求分为三类，分别为系统开发和管理培训、运行与维护管理培训和用户使用培训。软件日常操作培训主要面向系统管理员等使用系统的人员；软件日常维护系统培训主要面向诸暨市人力资源和社会保障局信息化管理技术人员进行培训，使其具备独立进行软件日常维护、故障的诊断与处理等方面的培训。</w:t>
      </w:r>
    </w:p>
    <w:p>
      <w:pPr>
        <w:ind w:firstLine="480"/>
        <w:rPr>
          <w:rFonts w:hint="eastAsia"/>
          <w:color w:val="auto"/>
          <w:highlight w:val="none"/>
        </w:rPr>
      </w:pPr>
      <w:r>
        <w:rPr>
          <w:rFonts w:hint="eastAsia"/>
          <w:color w:val="auto"/>
          <w:highlight w:val="none"/>
        </w:rPr>
        <w:t>（2）培训形式包括但不仅限于集中培训、现场培训、上机培训、培训考核。</w:t>
      </w:r>
    </w:p>
    <w:p>
      <w:pPr>
        <w:ind w:firstLine="480"/>
        <w:rPr>
          <w:rFonts w:hint="eastAsia"/>
          <w:color w:val="auto"/>
          <w:highlight w:val="none"/>
        </w:rPr>
      </w:pPr>
      <w:r>
        <w:rPr>
          <w:rFonts w:hint="eastAsia"/>
          <w:color w:val="auto"/>
          <w:highlight w:val="none"/>
        </w:rPr>
        <w:t>（3）培训时间、周期、频率和培训人数均由采购人指定，以满足系统正常上线、相关人员均可独立熟练操作为准。</w:t>
      </w:r>
    </w:p>
    <w:p>
      <w:pPr>
        <w:ind w:firstLine="480"/>
        <w:rPr>
          <w:rFonts w:hint="eastAsia"/>
          <w:color w:val="auto"/>
          <w:highlight w:val="none"/>
        </w:rPr>
      </w:pPr>
      <w:r>
        <w:rPr>
          <w:rFonts w:hint="eastAsia"/>
          <w:color w:val="auto"/>
          <w:highlight w:val="none"/>
        </w:rPr>
        <w:t>（4）中标方派出的培训教员必须是中标单位的正式雇员或专业的授权培训机构雇员，应具备丰富的相同课程教学经验，并为被培训人员提供完整的培训资料、培训计划等文档。如果使用第三方培训机构，投标单位应在谈判响应文件中提供培训机构的名称，并能根据实际情况调整。</w:t>
      </w:r>
    </w:p>
    <w:p>
      <w:pPr>
        <w:pStyle w:val="4"/>
        <w:rPr>
          <w:rFonts w:hint="eastAsia"/>
          <w:color w:val="auto"/>
          <w:highlight w:val="none"/>
        </w:rPr>
      </w:pPr>
      <w:r>
        <w:rPr>
          <w:rFonts w:hint="eastAsia"/>
          <w:color w:val="auto"/>
          <w:highlight w:val="none"/>
        </w:rPr>
        <w:t>项目验收要求</w:t>
      </w:r>
    </w:p>
    <w:p>
      <w:pPr>
        <w:ind w:firstLine="480"/>
        <w:rPr>
          <w:rFonts w:hint="eastAsia"/>
          <w:color w:val="auto"/>
          <w:highlight w:val="none"/>
        </w:rPr>
      </w:pPr>
      <w:r>
        <w:rPr>
          <w:rFonts w:hint="eastAsia"/>
          <w:color w:val="auto"/>
          <w:highlight w:val="none"/>
        </w:rPr>
        <w:t>（1）项目实施完成后，由采购人根据国家关于项目验收的有关规定和合同规定进行验收。采购文件条款、谈判响应文件承诺及国家有关的质量检验标准均为验收的依据。验收具体工作由采购人、诸暨市人力资源和社会保障局和中标人三方派代表参与筹备。</w:t>
      </w:r>
    </w:p>
    <w:p>
      <w:pPr>
        <w:ind w:firstLine="480"/>
        <w:rPr>
          <w:rFonts w:hint="eastAsia"/>
          <w:color w:val="auto"/>
          <w:highlight w:val="none"/>
        </w:rPr>
      </w:pPr>
      <w:r>
        <w:rPr>
          <w:rFonts w:hint="eastAsia"/>
          <w:color w:val="auto"/>
          <w:highlight w:val="none"/>
        </w:rPr>
        <w:t>（2）项目实施完成后由中标人对软硬件系统和外场设施进行自测，应确保项目各系统功能、性能满足采购人需求，自测合格后可向采购人书面申请系统试运行，经采购人确认后，项目进入试运行阶段。在试运行期间，中标人应使项目发生任何故障或问题都能在收到故障通知后尽快（含节假日期间）被修复和解决，并且所有试运行期间软件的修改和故障的修复细节都应记录在试运行报告中；系统正常试运行满60天后，中标人可向采购人书面申请竣工验收，经采购人确认后，由采购人组织验收小组进行项目竣工验收。项目竣工验收合格后，进入项目质保期。</w:t>
      </w:r>
    </w:p>
    <w:p>
      <w:pPr>
        <w:ind w:firstLine="480"/>
        <w:rPr>
          <w:rFonts w:hint="eastAsia"/>
          <w:color w:val="auto"/>
          <w:highlight w:val="none"/>
        </w:rPr>
      </w:pPr>
      <w:r>
        <w:rPr>
          <w:rFonts w:hint="eastAsia"/>
          <w:color w:val="auto"/>
          <w:highlight w:val="none"/>
        </w:rPr>
        <w:t>（3）项目验收时，中标人应按采购人和监理方（如有）要求将所有项目文档完整移交采购人，包括但不限于：项目实施方案、实施计划，系统备份方案，应急方案，项目需求规格说明书，概要设计说明书，详细设计说明书，数据库设计说明书，系统测试方案，系统测试报告，项目培训资料，使用操作手册，试运行报告，使用单位用户报告，项目总结报告。</w:t>
      </w:r>
    </w:p>
    <w:p>
      <w:pPr>
        <w:pStyle w:val="4"/>
        <w:rPr>
          <w:rFonts w:hint="eastAsia"/>
          <w:color w:val="auto"/>
          <w:highlight w:val="none"/>
        </w:rPr>
      </w:pPr>
      <w:r>
        <w:rPr>
          <w:rFonts w:hint="eastAsia"/>
          <w:color w:val="auto"/>
          <w:highlight w:val="none"/>
        </w:rPr>
        <w:t>知识产权</w:t>
      </w:r>
    </w:p>
    <w:p>
      <w:pPr>
        <w:ind w:firstLine="480"/>
        <w:rPr>
          <w:rFonts w:hint="eastAsia"/>
          <w:color w:val="auto"/>
          <w:highlight w:val="none"/>
        </w:rPr>
      </w:pPr>
      <w:r>
        <w:rPr>
          <w:rFonts w:hint="eastAsia"/>
          <w:color w:val="auto"/>
          <w:highlight w:val="none"/>
        </w:rPr>
        <w:t>（1）本项目开发的建设成果（含核心源代码）版权归采购人所有，未经采购人同意，中标人不得自行扩散或提供给第三方使用(但开发前中标人自有的原型系统、技术模块、数据模型、开发工具软件包等知识产权仍属于中标人，采购人可以在本项目范围内使用)。</w:t>
      </w:r>
    </w:p>
    <w:p>
      <w:pPr>
        <w:ind w:firstLine="480"/>
        <w:rPr>
          <w:rFonts w:hint="eastAsia"/>
          <w:color w:val="auto"/>
          <w:highlight w:val="none"/>
        </w:rPr>
      </w:pPr>
      <w:r>
        <w:rPr>
          <w:rFonts w:hint="eastAsia"/>
          <w:color w:val="auto"/>
          <w:highlight w:val="none"/>
        </w:rPr>
        <w:t>（2）投标人须保证交付采购人的软件产品无任何抵押、查封、债务转移等产权瑕疵。投标人须保证所提供软件产品在本项目范围内使用过程中出现知识产权或使用权纠纷，应由投标人负责，若因该纠纷产生的一切损失均由投标人承担，采购人不承担任何责任。</w:t>
      </w:r>
    </w:p>
    <w:p>
      <w:pPr>
        <w:ind w:firstLine="480"/>
        <w:rPr>
          <w:rFonts w:hint="eastAsia"/>
          <w:color w:val="auto"/>
          <w:highlight w:val="none"/>
        </w:rPr>
      </w:pPr>
      <w:r>
        <w:rPr>
          <w:rFonts w:hint="eastAsia"/>
          <w:color w:val="auto"/>
          <w:highlight w:val="none"/>
        </w:rPr>
        <w:t>（2）项目最终验收时，投标人应提供完整的软件平台包和数据给采购人，并按照软件技术规范的国家标准，提交项目文档，项目中涉及的定制开发功能，投标人应在验收时提交项目实施过程的软件包和数据（数据中台部分需要提供源代码），作为验收主要要素，以备后续维护与后续开发所用，并为采购人提供软件著作权申请（所有申请的知识产权归采购人所有）等做好软件相关的配合工作。</w:t>
      </w:r>
    </w:p>
    <w:p>
      <w:pPr>
        <w:pStyle w:val="4"/>
        <w:rPr>
          <w:rFonts w:hint="eastAsia"/>
          <w:color w:val="auto"/>
          <w:highlight w:val="none"/>
        </w:rPr>
      </w:pPr>
      <w:r>
        <w:rPr>
          <w:rFonts w:hint="eastAsia"/>
          <w:color w:val="auto"/>
          <w:highlight w:val="none"/>
        </w:rPr>
        <w:t>质量要求</w:t>
      </w:r>
    </w:p>
    <w:p>
      <w:pPr>
        <w:ind w:firstLine="480"/>
        <w:rPr>
          <w:rFonts w:hint="eastAsia"/>
          <w:color w:val="auto"/>
          <w:highlight w:val="none"/>
        </w:rPr>
      </w:pPr>
      <w:r>
        <w:rPr>
          <w:rFonts w:hint="eastAsia"/>
          <w:color w:val="auto"/>
          <w:highlight w:val="none"/>
        </w:rPr>
        <w:t>（1）投标人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80"/>
        <w:rPr>
          <w:rFonts w:hint="eastAsia"/>
          <w:color w:val="auto"/>
          <w:highlight w:val="none"/>
        </w:rPr>
      </w:pPr>
      <w:r>
        <w:rPr>
          <w:rFonts w:hint="eastAsia"/>
          <w:color w:val="auto"/>
          <w:highlight w:val="none"/>
        </w:rPr>
        <w:t>（2）投标人须保证所提供产品符合国家有关规定，应确保其产品的完整性、实用性，在使用期内各项功能、性能等指标能满足招标文件和采购人需求，若出现因投标人提供的产品不满足要求、不合理，或者其所提供的技术支持和服务不全面，而导致系统无法实现或不能完全实现的状况，投标人负全部责任。</w:t>
      </w:r>
    </w:p>
    <w:p>
      <w:pPr>
        <w:ind w:firstLine="480"/>
        <w:rPr>
          <w:rFonts w:hint="eastAsia"/>
          <w:color w:val="auto"/>
          <w:highlight w:val="none"/>
        </w:rPr>
      </w:pPr>
      <w:r>
        <w:rPr>
          <w:rFonts w:hint="eastAsia"/>
          <w:color w:val="auto"/>
          <w:highlight w:val="none"/>
        </w:rPr>
        <w:t>（3）投标人应保证设备经正确安装、正常运转和保养，保证在其使用寿命内应具有满意的性能。</w:t>
      </w:r>
    </w:p>
    <w:p>
      <w:pPr>
        <w:ind w:firstLine="480"/>
        <w:rPr>
          <w:rFonts w:hint="eastAsia"/>
          <w:color w:val="auto"/>
          <w:highlight w:val="none"/>
        </w:rPr>
      </w:pPr>
      <w:r>
        <w:rPr>
          <w:rFonts w:hint="eastAsia"/>
          <w:color w:val="auto"/>
          <w:highlight w:val="none"/>
        </w:rPr>
        <w:t>（4）如发生质量异议，采购人有权要求更换产品；若投标人拒绝，按《中华人民共和国产品质量法》等有关规定处理。</w:t>
      </w:r>
    </w:p>
    <w:p>
      <w:pPr>
        <w:pStyle w:val="4"/>
        <w:rPr>
          <w:rFonts w:hint="eastAsia"/>
          <w:color w:val="auto"/>
          <w:highlight w:val="none"/>
        </w:rPr>
      </w:pPr>
      <w:r>
        <w:rPr>
          <w:rFonts w:hint="eastAsia"/>
          <w:color w:val="auto"/>
          <w:highlight w:val="none"/>
        </w:rPr>
        <w:t>安全及保密要求</w:t>
      </w:r>
    </w:p>
    <w:p>
      <w:pPr>
        <w:snapToGrid w:val="0"/>
        <w:ind w:firstLine="480"/>
        <w:rPr>
          <w:rFonts w:hint="eastAsia"/>
          <w:color w:val="auto"/>
          <w:highlight w:val="none"/>
        </w:rPr>
      </w:pPr>
      <w:r>
        <w:rPr>
          <w:rFonts w:hint="eastAsia"/>
          <w:color w:val="auto"/>
          <w:highlight w:val="none"/>
        </w:rPr>
        <w:t>（1）投标人应严格保守在合作过程中所了解的采购人的商业及技术机密，否则应对由此造成的损失承担赔偿。</w:t>
      </w:r>
    </w:p>
    <w:p>
      <w:pPr>
        <w:snapToGrid w:val="0"/>
        <w:ind w:firstLine="480"/>
        <w:rPr>
          <w:rFonts w:hint="eastAsia"/>
          <w:color w:val="auto"/>
          <w:highlight w:val="none"/>
        </w:rPr>
      </w:pPr>
      <w:r>
        <w:rPr>
          <w:rFonts w:hint="eastAsia"/>
          <w:color w:val="auto"/>
          <w:highlight w:val="none"/>
        </w:rPr>
        <w:t>（2）投标人不得出于除履行本项目以外任何目的的披露、传播、复制或使用来自采购人的所有或者部分保密信息；不得在未经采购人书面明确同意的前提下向任何第三方披露本项目相关保密信息；本项目履行完毕后，投标人应当将所有涉及保密信息的载体交还采购人或自行做好管理，不得保留任何形式的存档。</w:t>
      </w:r>
    </w:p>
    <w:p>
      <w:pPr>
        <w:snapToGrid w:val="0"/>
        <w:ind w:firstLine="480"/>
        <w:rPr>
          <w:rFonts w:hint="eastAsia"/>
          <w:color w:val="auto"/>
          <w:highlight w:val="none"/>
        </w:rPr>
      </w:pPr>
      <w:r>
        <w:rPr>
          <w:rFonts w:hint="eastAsia"/>
          <w:color w:val="auto"/>
          <w:highlight w:val="none"/>
        </w:rPr>
        <w:t>（3）投标人应严格遵循采购人的各项安全保密制度，所有信息数据迁移、处理等过程中严禁私自复制、传输，完成建设任务后，投标人使用的用户信息等敏感数据必须物理清除。</w:t>
      </w:r>
    </w:p>
    <w:p>
      <w:pPr>
        <w:snapToGrid w:val="0"/>
        <w:ind w:firstLine="480"/>
        <w:rPr>
          <w:rFonts w:hint="eastAsia"/>
          <w:color w:val="auto"/>
          <w:highlight w:val="none"/>
        </w:rPr>
      </w:pPr>
      <w:r>
        <w:rPr>
          <w:rFonts w:hint="eastAsia"/>
          <w:color w:val="auto"/>
          <w:highlight w:val="none"/>
        </w:rPr>
        <w:t>（4）投标人有义务保障平台的稳定性、账户的安全性，因软件系统原因导致平台崩溃、账户盗号或被攻击发布非法信息等引发的问题，所有经济责任及法律责任均由投标人承担，涉及违法犯罪的交由公安机关处理。</w:t>
      </w:r>
    </w:p>
    <w:p>
      <w:pPr>
        <w:ind w:firstLine="480"/>
        <w:rPr>
          <w:rFonts w:hint="eastAsia"/>
          <w:color w:val="auto"/>
          <w:highlight w:val="none"/>
        </w:rPr>
      </w:pPr>
      <w:r>
        <w:rPr>
          <w:rFonts w:hint="eastAsia"/>
          <w:color w:val="auto"/>
          <w:highlight w:val="none"/>
        </w:rPr>
        <w:t>（5）投标人违反网络安全、数据安全、个人信息保护有关法律、法规规定的，由网信、公安等部门按照职责依法予以查处。</w:t>
      </w:r>
    </w:p>
    <w:p>
      <w:pPr>
        <w:pStyle w:val="4"/>
        <w:rPr>
          <w:rFonts w:hint="eastAsia"/>
          <w:color w:val="auto"/>
          <w:highlight w:val="none"/>
        </w:rPr>
      </w:pPr>
      <w:r>
        <w:rPr>
          <w:rFonts w:hint="eastAsia"/>
          <w:color w:val="auto"/>
          <w:highlight w:val="none"/>
        </w:rPr>
        <w:t>售后服务要求</w:t>
      </w:r>
    </w:p>
    <w:p>
      <w:pPr>
        <w:pStyle w:val="5"/>
        <w:ind w:left="1020"/>
        <w:rPr>
          <w:rFonts w:hint="eastAsia"/>
          <w:color w:val="auto"/>
          <w:highlight w:val="none"/>
        </w:rPr>
      </w:pPr>
      <w:r>
        <w:rPr>
          <w:rFonts w:hint="eastAsia"/>
          <w:color w:val="auto"/>
          <w:highlight w:val="none"/>
        </w:rPr>
        <w:t>项目质保期要求</w:t>
      </w:r>
    </w:p>
    <w:p>
      <w:pPr>
        <w:ind w:firstLine="480"/>
        <w:rPr>
          <w:rFonts w:hint="eastAsia"/>
          <w:color w:val="auto"/>
          <w:highlight w:val="none"/>
        </w:rPr>
      </w:pPr>
      <w:r>
        <w:rPr>
          <w:rFonts w:hint="eastAsia"/>
          <w:color w:val="auto"/>
          <w:highlight w:val="none"/>
        </w:rPr>
        <w:t>本项目免费质保及维护服务期为自项目竣工验收合格之日起</w:t>
      </w:r>
      <w:r>
        <w:rPr>
          <w:rFonts w:hint="eastAsia"/>
          <w:b/>
          <w:bCs/>
          <w:color w:val="auto"/>
          <w:highlight w:val="none"/>
        </w:rPr>
        <w:t>壹</w:t>
      </w:r>
      <w:r>
        <w:rPr>
          <w:rFonts w:hint="eastAsia"/>
          <w:color w:val="auto"/>
          <w:highlight w:val="none"/>
        </w:rPr>
        <w:t>年。</w:t>
      </w:r>
    </w:p>
    <w:p>
      <w:pPr>
        <w:pStyle w:val="5"/>
        <w:ind w:left="1020"/>
        <w:rPr>
          <w:rFonts w:hint="eastAsia"/>
          <w:color w:val="auto"/>
          <w:highlight w:val="none"/>
        </w:rPr>
      </w:pPr>
      <w:r>
        <w:rPr>
          <w:rFonts w:hint="eastAsia"/>
          <w:color w:val="auto"/>
          <w:highlight w:val="none"/>
        </w:rPr>
        <w:t>售后服务内容</w:t>
      </w:r>
    </w:p>
    <w:p>
      <w:pPr>
        <w:ind w:firstLine="480"/>
        <w:rPr>
          <w:rFonts w:hint="eastAsia"/>
          <w:color w:val="auto"/>
          <w:highlight w:val="none"/>
        </w:rPr>
      </w:pPr>
      <w:r>
        <w:rPr>
          <w:rFonts w:hint="eastAsia"/>
          <w:color w:val="auto"/>
          <w:highlight w:val="none"/>
        </w:rPr>
        <w:t>投标人应配备专门的技术服务部门负责对用户的全方位的技术支持和服务，通过电话服务、远程服务和现场服务向采购方提供快速、高效的维护服务，及时准确解决软硬件产品出现的各种故障，进行平台的完善性升级，保障系统长期安全、可靠、高效运行。</w:t>
      </w:r>
      <w:r>
        <w:rPr>
          <w:rFonts w:hint="eastAsia"/>
          <w:bCs/>
          <w:color w:val="auto"/>
          <w:highlight w:val="none"/>
        </w:rPr>
        <w:t>维保服务内容</w:t>
      </w:r>
      <w:r>
        <w:rPr>
          <w:rFonts w:hint="eastAsia"/>
          <w:color w:val="auto"/>
          <w:highlight w:val="none"/>
        </w:rPr>
        <w:t>包括但不仅限于：</w:t>
      </w:r>
    </w:p>
    <w:p>
      <w:pPr>
        <w:pStyle w:val="37"/>
        <w:ind w:firstLine="480"/>
        <w:rPr>
          <w:rFonts w:hint="eastAsia" w:ascii="宋体" w:hAnsi="宋体"/>
          <w:highlight w:val="none"/>
        </w:rPr>
      </w:pPr>
      <w:bookmarkStart w:id="20" w:name="_Toc117784948"/>
      <w:bookmarkStart w:id="21" w:name="_Toc27401"/>
      <w:r>
        <w:rPr>
          <w:rFonts w:hint="eastAsia" w:ascii="宋体" w:hAnsi="宋体"/>
          <w:highlight w:val="none"/>
        </w:rPr>
        <w:t>（1）日常使用</w:t>
      </w:r>
      <w:bookmarkEnd w:id="20"/>
      <w:bookmarkEnd w:id="21"/>
      <w:r>
        <w:rPr>
          <w:rFonts w:hint="eastAsia" w:ascii="宋体" w:hAnsi="宋体"/>
          <w:highlight w:val="none"/>
        </w:rPr>
        <w:t>技术支持</w:t>
      </w:r>
    </w:p>
    <w:p>
      <w:pPr>
        <w:pStyle w:val="37"/>
        <w:ind w:firstLine="480"/>
        <w:rPr>
          <w:rFonts w:hint="eastAsia" w:ascii="宋体" w:hAnsi="宋体"/>
          <w:highlight w:val="none"/>
        </w:rPr>
      </w:pPr>
      <w:r>
        <w:rPr>
          <w:rFonts w:hint="eastAsia" w:ascii="宋体" w:hAnsi="宋体"/>
          <w:highlight w:val="none"/>
        </w:rPr>
        <w:t>对系统使用单位在日常使用系统过程中出现的操作困难，投标人需提供必要的讲解、指导或现场帮助，保证用户在最短的时间内解决操作问题。</w:t>
      </w:r>
    </w:p>
    <w:p>
      <w:pPr>
        <w:pStyle w:val="37"/>
        <w:ind w:firstLine="480"/>
        <w:rPr>
          <w:rFonts w:hint="eastAsia" w:ascii="宋体" w:hAnsi="宋体"/>
          <w:highlight w:val="none"/>
        </w:rPr>
      </w:pPr>
      <w:bookmarkStart w:id="22" w:name="_Toc117784949"/>
      <w:bookmarkStart w:id="23" w:name="_Toc15369"/>
      <w:r>
        <w:rPr>
          <w:rFonts w:hint="eastAsia" w:ascii="宋体" w:hAnsi="宋体"/>
          <w:highlight w:val="none"/>
        </w:rPr>
        <w:t>（2）系统日常维护</w:t>
      </w:r>
      <w:bookmarkEnd w:id="22"/>
      <w:bookmarkEnd w:id="23"/>
    </w:p>
    <w:p>
      <w:pPr>
        <w:pStyle w:val="37"/>
        <w:ind w:firstLine="480"/>
        <w:rPr>
          <w:rFonts w:hint="eastAsia" w:ascii="宋体" w:hAnsi="宋体"/>
          <w:highlight w:val="none"/>
        </w:rPr>
      </w:pPr>
      <w:r>
        <w:rPr>
          <w:rFonts w:hint="eastAsia" w:ascii="宋体" w:hAnsi="宋体"/>
          <w:highlight w:val="none"/>
        </w:rPr>
        <w:t>每日监控系统运行情况，若发现异常情况及时处理。</w:t>
      </w:r>
    </w:p>
    <w:p>
      <w:pPr>
        <w:pStyle w:val="37"/>
        <w:ind w:firstLine="480"/>
        <w:rPr>
          <w:rFonts w:hint="eastAsia" w:ascii="宋体" w:hAnsi="宋体"/>
          <w:highlight w:val="none"/>
        </w:rPr>
      </w:pPr>
      <w:r>
        <w:rPr>
          <w:rFonts w:hint="eastAsia" w:ascii="宋体" w:hAnsi="宋体"/>
          <w:highlight w:val="none"/>
        </w:rPr>
        <w:t>定期收集记录用户在使用系统过程中发现的BUG，并根据问题的严重程度及用户要求的紧急程度，给予及时</w:t>
      </w:r>
      <w:r>
        <w:rPr>
          <w:rFonts w:hint="eastAsia" w:ascii="宋体" w:hAnsi="宋体"/>
          <w:highlight w:val="none"/>
          <w:lang w:eastAsia="zh-CN"/>
        </w:rPr>
        <w:t>地</w:t>
      </w:r>
      <w:r>
        <w:rPr>
          <w:rFonts w:hint="eastAsia" w:ascii="宋体" w:hAnsi="宋体"/>
          <w:highlight w:val="none"/>
        </w:rPr>
        <w:t>解决。</w:t>
      </w:r>
    </w:p>
    <w:p>
      <w:pPr>
        <w:pStyle w:val="37"/>
        <w:ind w:firstLine="480"/>
        <w:rPr>
          <w:rFonts w:hint="eastAsia" w:ascii="宋体" w:hAnsi="宋体"/>
          <w:highlight w:val="none"/>
        </w:rPr>
      </w:pPr>
      <w:r>
        <w:rPr>
          <w:rFonts w:hint="eastAsia" w:ascii="宋体" w:hAnsi="宋体"/>
          <w:highlight w:val="none"/>
        </w:rPr>
        <w:t>定期查看整理系统运行日志，发现并解决问题。</w:t>
      </w:r>
    </w:p>
    <w:p>
      <w:pPr>
        <w:pStyle w:val="37"/>
        <w:ind w:firstLine="480"/>
        <w:rPr>
          <w:rFonts w:hint="eastAsia" w:ascii="宋体" w:hAnsi="宋体"/>
          <w:highlight w:val="none"/>
        </w:rPr>
      </w:pPr>
      <w:r>
        <w:rPr>
          <w:rFonts w:hint="eastAsia" w:ascii="宋体" w:hAnsi="宋体"/>
          <w:highlight w:val="none"/>
        </w:rPr>
        <w:t>定期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w:t>
      </w:r>
    </w:p>
    <w:p>
      <w:pPr>
        <w:pStyle w:val="37"/>
        <w:ind w:firstLine="480"/>
        <w:rPr>
          <w:rFonts w:hint="eastAsia" w:ascii="宋体" w:hAnsi="宋体"/>
          <w:highlight w:val="none"/>
        </w:rPr>
      </w:pPr>
      <w:bookmarkStart w:id="24" w:name="_Toc19520"/>
      <w:bookmarkStart w:id="25" w:name="_Toc117784950"/>
      <w:r>
        <w:rPr>
          <w:rFonts w:hint="eastAsia" w:ascii="宋体" w:hAnsi="宋体"/>
          <w:highlight w:val="none"/>
        </w:rPr>
        <w:t>（3）系统调优升级</w:t>
      </w:r>
      <w:bookmarkEnd w:id="24"/>
      <w:bookmarkEnd w:id="25"/>
    </w:p>
    <w:p>
      <w:pPr>
        <w:pStyle w:val="37"/>
        <w:ind w:firstLine="480"/>
        <w:rPr>
          <w:rFonts w:hint="eastAsia" w:ascii="宋体" w:hAnsi="宋体"/>
          <w:highlight w:val="none"/>
        </w:rPr>
      </w:pPr>
      <w:r>
        <w:rPr>
          <w:rFonts w:hint="eastAsia" w:ascii="宋体" w:hAnsi="宋体"/>
          <w:highlight w:val="none"/>
        </w:rPr>
        <w:t>定期测试系统的性能指标，并采取措施对系统的性能进行优化。投标人若对系统对应的产品进行了升级，在经过用户同意的情况下，给用户升级。</w:t>
      </w:r>
    </w:p>
    <w:p>
      <w:pPr>
        <w:pStyle w:val="37"/>
        <w:ind w:firstLine="480"/>
        <w:rPr>
          <w:rFonts w:hint="eastAsia" w:ascii="宋体" w:hAnsi="宋体"/>
          <w:highlight w:val="none"/>
        </w:rPr>
      </w:pPr>
      <w:bookmarkStart w:id="26" w:name="_Toc117784951"/>
      <w:bookmarkStart w:id="27" w:name="_Toc6436"/>
      <w:r>
        <w:rPr>
          <w:rFonts w:hint="eastAsia" w:ascii="宋体" w:hAnsi="宋体"/>
          <w:highlight w:val="none"/>
        </w:rPr>
        <w:t>（4）系统完善修改</w:t>
      </w:r>
      <w:bookmarkEnd w:id="26"/>
      <w:bookmarkEnd w:id="27"/>
    </w:p>
    <w:p>
      <w:pPr>
        <w:pStyle w:val="37"/>
        <w:ind w:firstLine="480"/>
        <w:rPr>
          <w:rFonts w:hint="eastAsia" w:ascii="宋体" w:hAnsi="宋体"/>
          <w:highlight w:val="none"/>
        </w:rPr>
      </w:pPr>
      <w:r>
        <w:rPr>
          <w:rFonts w:hint="eastAsia" w:ascii="宋体" w:hAnsi="宋体"/>
          <w:highlight w:val="none"/>
        </w:rPr>
        <w:t>对于用户在系统运营过程中提出的修改需求，如不涉及核心架构修改、全新功能模块增加以及大工作量的研发投入，都应在本项目内予以免费解决。</w:t>
      </w:r>
    </w:p>
    <w:p>
      <w:pPr>
        <w:pStyle w:val="5"/>
        <w:ind w:left="1020"/>
        <w:rPr>
          <w:rFonts w:hint="eastAsia"/>
          <w:color w:val="auto"/>
          <w:highlight w:val="none"/>
        </w:rPr>
      </w:pPr>
      <w:r>
        <w:rPr>
          <w:rFonts w:hint="eastAsia"/>
          <w:color w:val="auto"/>
          <w:highlight w:val="none"/>
        </w:rPr>
        <w:t>响应时间</w:t>
      </w:r>
    </w:p>
    <w:p>
      <w:pPr>
        <w:ind w:firstLine="480"/>
        <w:rPr>
          <w:rFonts w:hint="eastAsia"/>
          <w:color w:val="auto"/>
          <w:highlight w:val="none"/>
        </w:rPr>
      </w:pPr>
      <w:r>
        <w:rPr>
          <w:rFonts w:hint="eastAsia"/>
          <w:color w:val="auto"/>
          <w:highlight w:val="none"/>
        </w:rPr>
        <w:t>投标人应具备较强的售后服务能力，拥有足够的技术服务人员；能够免费提供7×24小时技术支持服务，应在接到采购人或系统使用单位故障通知半小时内做出响应，紧急问题4小时内到达现场，24小时解决问题，特殊情况不超过48小时；故障发生后24小时内不能解决的，软件故障则免费完成项目应急预案落地，硬件故障则免费提供备机到现场使用，直至系统恢复正常运行。</w:t>
      </w:r>
    </w:p>
    <w:p>
      <w:pPr>
        <w:pStyle w:val="5"/>
        <w:ind w:left="1020"/>
        <w:rPr>
          <w:rFonts w:hint="eastAsia"/>
          <w:color w:val="auto"/>
          <w:highlight w:val="none"/>
        </w:rPr>
      </w:pPr>
      <w:r>
        <w:rPr>
          <w:rFonts w:hint="eastAsia"/>
          <w:color w:val="auto"/>
          <w:highlight w:val="none"/>
        </w:rPr>
        <w:t>定期巡检</w:t>
      </w:r>
    </w:p>
    <w:p>
      <w:pPr>
        <w:ind w:firstLine="480"/>
        <w:rPr>
          <w:rFonts w:hint="eastAsia"/>
          <w:color w:val="auto"/>
          <w:highlight w:val="none"/>
        </w:rPr>
      </w:pPr>
      <w:r>
        <w:rPr>
          <w:rFonts w:hint="eastAsia"/>
          <w:color w:val="auto"/>
          <w:highlight w:val="none"/>
        </w:rPr>
        <w:t>中标人应在质保期内每年提供不少于2次的系统巡检服务，并向采购人提交巡检报告。系统巡检预防性维护服务的内容主要包括对系统软件、硬件设备的运行状况进行跟踪了解，及时发现各种隐患问题，并进行相应整改解决（巡检报告作为尾款付款的重要依据）。</w:t>
      </w:r>
    </w:p>
    <w:p>
      <w:pPr>
        <w:pStyle w:val="5"/>
        <w:ind w:left="1020"/>
        <w:rPr>
          <w:rFonts w:hint="eastAsia"/>
          <w:color w:val="auto"/>
          <w:highlight w:val="none"/>
        </w:rPr>
      </w:pPr>
      <w:r>
        <w:rPr>
          <w:rFonts w:hint="eastAsia"/>
          <w:color w:val="auto"/>
          <w:highlight w:val="none"/>
        </w:rPr>
        <w:t>退换货处理</w:t>
      </w:r>
    </w:p>
    <w:p>
      <w:pPr>
        <w:ind w:firstLine="480"/>
        <w:rPr>
          <w:rFonts w:hint="eastAsia"/>
          <w:color w:val="auto"/>
          <w:highlight w:val="none"/>
        </w:rPr>
      </w:pPr>
      <w:r>
        <w:rPr>
          <w:rFonts w:hint="eastAsia"/>
          <w:color w:val="auto"/>
          <w:highlight w:val="none"/>
        </w:rPr>
        <w:t>中标人提供的设备及软件在质保期内因其本身的质量问题发生故障，中标人应负责免费更换。对达不到技术要求者，根据实际情况，经双方协商，可按以下办法处理：</w:t>
      </w:r>
    </w:p>
    <w:p>
      <w:pPr>
        <w:ind w:firstLine="480"/>
        <w:rPr>
          <w:rFonts w:hint="eastAsia"/>
          <w:bCs/>
          <w:color w:val="auto"/>
          <w:highlight w:val="none"/>
        </w:rPr>
      </w:pPr>
      <w:r>
        <w:rPr>
          <w:rFonts w:hint="eastAsia"/>
          <w:bCs/>
          <w:color w:val="auto"/>
          <w:highlight w:val="none"/>
        </w:rPr>
        <w:t>1）更换：由中标人承担所发生的全部费用。</w:t>
      </w:r>
    </w:p>
    <w:p>
      <w:pPr>
        <w:ind w:firstLine="480"/>
        <w:rPr>
          <w:rFonts w:hint="eastAsia"/>
          <w:color w:val="auto"/>
          <w:highlight w:val="none"/>
        </w:rPr>
      </w:pPr>
      <w:r>
        <w:rPr>
          <w:rFonts w:hint="eastAsia"/>
          <w:bCs/>
          <w:color w:val="auto"/>
          <w:highlight w:val="none"/>
        </w:rPr>
        <w:t>2）退货处理：中标人应退还采购人支付的合同款，同时应承担该项目的直接费用（检验、货款利息及银行手续费等）。</w:t>
      </w:r>
    </w:p>
    <w:p>
      <w:pPr>
        <w:pStyle w:val="3"/>
        <w:autoSpaceDE/>
        <w:autoSpaceDN/>
        <w:spacing w:before="156" w:beforeLines="0" w:after="156" w:afterLines="0"/>
        <w:ind w:left="567"/>
        <w:rPr>
          <w:rFonts w:hint="eastAsia"/>
          <w:color w:val="auto"/>
          <w:highlight w:val="none"/>
        </w:rPr>
      </w:pPr>
      <w:r>
        <w:rPr>
          <w:rFonts w:hint="eastAsia"/>
          <w:color w:val="auto"/>
          <w:highlight w:val="none"/>
        </w:rPr>
        <w:t xml:space="preserve"> 违约责任</w:t>
      </w:r>
    </w:p>
    <w:p>
      <w:pPr>
        <w:ind w:firstLine="480"/>
        <w:rPr>
          <w:rFonts w:hint="eastAsia"/>
          <w:bCs/>
          <w:color w:val="auto"/>
          <w:highlight w:val="none"/>
        </w:rPr>
      </w:pPr>
      <w:r>
        <w:rPr>
          <w:rFonts w:hint="eastAsia"/>
          <w:color w:val="auto"/>
          <w:highlight w:val="none"/>
        </w:rPr>
        <w:t>1、</w:t>
      </w:r>
      <w:r>
        <w:rPr>
          <w:rFonts w:hint="eastAsia"/>
          <w:bCs/>
          <w:color w:val="auto"/>
          <w:highlight w:val="none"/>
        </w:rPr>
        <w:t>采购人无正当理由拒收建设成果的，采购人向中标人偿付拒收的货款总值的百分之十违约金。</w:t>
      </w:r>
    </w:p>
    <w:p>
      <w:pPr>
        <w:ind w:firstLine="480"/>
        <w:rPr>
          <w:rFonts w:hint="eastAsia"/>
          <w:bCs/>
          <w:color w:val="auto"/>
          <w:highlight w:val="none"/>
        </w:rPr>
      </w:pPr>
      <w:r>
        <w:rPr>
          <w:rFonts w:hint="eastAsia"/>
          <w:bCs/>
          <w:color w:val="auto"/>
          <w:highlight w:val="none"/>
        </w:rPr>
        <w:t>2、中标人逾期提交阶段建设成果的，中标人应按照合同总额每日万分之五向采购人支付违约金，由采购人从履约保证金中扣除，</w:t>
      </w:r>
      <w:r>
        <w:rPr>
          <w:rFonts w:hint="eastAsia"/>
          <w:color w:val="auto"/>
          <w:highlight w:val="none"/>
        </w:rPr>
        <w:t>此项违约金额不超过合同总款的</w:t>
      </w:r>
      <w:r>
        <w:rPr>
          <w:rFonts w:hint="eastAsia"/>
          <w:bCs/>
          <w:color w:val="auto"/>
          <w:highlight w:val="none"/>
        </w:rPr>
        <w:t>百分之二十。逾期超过约定日期30天不能提交建设成果的，采购人有权解除合同并保留进一步追究中标人违约责任的权力。中标人提交的建设成果如不能通过评审或验收的，视同未提交。中标人因逾期交货或因其他违约行为导致采购人与最终用户解除合同的，中标人应向采购人支付合同总值5%的违约金，如造成采购人损失超过违约金的，超出部分由中标人继续承担赔偿责任。</w:t>
      </w:r>
    </w:p>
    <w:p>
      <w:pPr>
        <w:ind w:firstLine="480"/>
        <w:rPr>
          <w:rFonts w:hint="eastAsia"/>
          <w:color w:val="auto"/>
          <w:highlight w:val="none"/>
        </w:rPr>
      </w:pPr>
      <w:r>
        <w:rPr>
          <w:rFonts w:hint="eastAsia"/>
          <w:color w:val="auto"/>
          <w:highlight w:val="none"/>
        </w:rPr>
        <w:t>3、中标人所提交的软硬件产品数量、型号、功能、性能等技术参数不符合合同规定及招标文件规定标准的，采购人有权拒收，中标人愿意整改但逾期交货的，按中标人逾期交货处理。若</w:t>
      </w:r>
      <w:r>
        <w:rPr>
          <w:rFonts w:hint="eastAsia"/>
          <w:bCs/>
          <w:color w:val="auto"/>
          <w:highlight w:val="none"/>
        </w:rPr>
        <w:t>中标人</w:t>
      </w:r>
      <w:r>
        <w:rPr>
          <w:rFonts w:hint="eastAsia"/>
          <w:color w:val="auto"/>
          <w:highlight w:val="none"/>
        </w:rPr>
        <w:t>拒绝进行整改，</w:t>
      </w:r>
      <w:r>
        <w:rPr>
          <w:rFonts w:hint="eastAsia"/>
          <w:bCs/>
          <w:color w:val="auto"/>
          <w:highlight w:val="none"/>
        </w:rPr>
        <w:t>采购人</w:t>
      </w:r>
      <w:r>
        <w:rPr>
          <w:rFonts w:hint="eastAsia"/>
          <w:color w:val="auto"/>
          <w:highlight w:val="none"/>
        </w:rPr>
        <w:t>可单方面解除合同，并没收履约保证金，所造成的其他损失由</w:t>
      </w:r>
      <w:r>
        <w:rPr>
          <w:rFonts w:hint="eastAsia"/>
          <w:bCs/>
          <w:color w:val="auto"/>
          <w:highlight w:val="none"/>
        </w:rPr>
        <w:t>中标人</w:t>
      </w:r>
      <w:r>
        <w:rPr>
          <w:rFonts w:hint="eastAsia"/>
          <w:color w:val="auto"/>
          <w:highlight w:val="none"/>
        </w:rPr>
        <w:t>负责。</w:t>
      </w:r>
    </w:p>
    <w:p>
      <w:pPr>
        <w:ind w:firstLine="480"/>
        <w:rPr>
          <w:rFonts w:hint="eastAsia"/>
          <w:color w:val="auto"/>
          <w:highlight w:val="none"/>
        </w:rPr>
      </w:pPr>
      <w:r>
        <w:rPr>
          <w:rFonts w:hint="eastAsia"/>
          <w:color w:val="auto"/>
          <w:highlight w:val="none"/>
        </w:rPr>
        <w:t>4、项目完工后，</w:t>
      </w:r>
      <w:r>
        <w:rPr>
          <w:rFonts w:hint="eastAsia"/>
          <w:bCs/>
          <w:color w:val="auto"/>
          <w:highlight w:val="none"/>
        </w:rPr>
        <w:t>中标人所交付的</w:t>
      </w:r>
      <w:r>
        <w:rPr>
          <w:rFonts w:hint="eastAsia"/>
          <w:color w:val="auto"/>
          <w:highlight w:val="none"/>
        </w:rPr>
        <w:t>软硬件产品的功能、性能、安全性等技术指标经系统测试（含第三方检测）发现</w:t>
      </w:r>
      <w:r>
        <w:rPr>
          <w:rFonts w:hint="eastAsia"/>
          <w:color w:val="auto"/>
          <w:highlight w:val="none"/>
          <w:lang w:bidi="ar"/>
        </w:rPr>
        <w:t>系统功能、性能、安全性等不符合</w:t>
      </w:r>
      <w:r>
        <w:rPr>
          <w:rFonts w:hint="eastAsia"/>
          <w:bCs/>
          <w:color w:val="auto"/>
          <w:highlight w:val="none"/>
        </w:rPr>
        <w:t>合同规定及</w:t>
      </w:r>
      <w:r>
        <w:rPr>
          <w:rFonts w:hint="eastAsia"/>
          <w:color w:val="auto"/>
          <w:highlight w:val="none"/>
          <w:lang w:bidi="ar"/>
        </w:rPr>
        <w:t>招标要求的</w:t>
      </w:r>
      <w:r>
        <w:rPr>
          <w:rFonts w:hint="eastAsia"/>
          <w:color w:val="auto"/>
          <w:highlight w:val="none"/>
        </w:rPr>
        <w:t>，</w:t>
      </w:r>
      <w:r>
        <w:rPr>
          <w:rFonts w:hint="eastAsia"/>
          <w:bCs/>
          <w:color w:val="auto"/>
          <w:highlight w:val="none"/>
        </w:rPr>
        <w:t>中标人</w:t>
      </w:r>
      <w:r>
        <w:rPr>
          <w:rFonts w:hint="eastAsia"/>
          <w:color w:val="auto"/>
          <w:highlight w:val="none"/>
        </w:rPr>
        <w:t>应无条件在30天内进行整改，因整改造成的项目进度延期，按照“违约责任第2条”处理；若</w:t>
      </w:r>
      <w:r>
        <w:rPr>
          <w:rFonts w:hint="eastAsia"/>
          <w:bCs/>
          <w:color w:val="auto"/>
          <w:highlight w:val="none"/>
        </w:rPr>
        <w:t>中标人</w:t>
      </w:r>
      <w:r>
        <w:rPr>
          <w:rFonts w:hint="eastAsia"/>
          <w:color w:val="auto"/>
          <w:highlight w:val="none"/>
        </w:rPr>
        <w:t>拒绝进行整改，</w:t>
      </w:r>
      <w:r>
        <w:rPr>
          <w:rFonts w:hint="eastAsia"/>
          <w:bCs/>
          <w:color w:val="auto"/>
          <w:highlight w:val="none"/>
        </w:rPr>
        <w:t>采购人</w:t>
      </w:r>
      <w:r>
        <w:rPr>
          <w:rFonts w:hint="eastAsia"/>
          <w:color w:val="auto"/>
          <w:highlight w:val="none"/>
        </w:rPr>
        <w:t>可单方面解除合同，并没收履约保证金，所造成的其他损失由</w:t>
      </w:r>
      <w:r>
        <w:rPr>
          <w:rFonts w:hint="eastAsia"/>
          <w:bCs/>
          <w:color w:val="auto"/>
          <w:highlight w:val="none"/>
        </w:rPr>
        <w:t>中标人</w:t>
      </w:r>
      <w:r>
        <w:rPr>
          <w:rFonts w:hint="eastAsia"/>
          <w:color w:val="auto"/>
          <w:highlight w:val="none"/>
        </w:rPr>
        <w:t>负责。</w:t>
      </w:r>
    </w:p>
    <w:p>
      <w:pPr>
        <w:ind w:firstLine="480"/>
        <w:rPr>
          <w:rFonts w:hint="eastAsia"/>
          <w:color w:val="auto"/>
          <w:highlight w:val="none"/>
        </w:rPr>
      </w:pPr>
      <w:r>
        <w:rPr>
          <w:rFonts w:hint="eastAsia"/>
          <w:color w:val="auto"/>
          <w:highlight w:val="none"/>
        </w:rPr>
        <w:t>5、在系统试运行期间，如因中标人技术原因导致系统重大故障或对系统使用单位业务正常运行造成影响或损失的，中标人应承担全部责任，并且采购人有权保留进一步追究中标人的违约责任的权力。</w:t>
      </w:r>
    </w:p>
    <w:p>
      <w:pPr>
        <w:ind w:firstLine="480"/>
        <w:rPr>
          <w:rFonts w:hint="eastAsia"/>
          <w:color w:val="auto"/>
          <w:highlight w:val="none"/>
        </w:rPr>
      </w:pPr>
      <w:r>
        <w:rPr>
          <w:rFonts w:hint="eastAsia"/>
          <w:color w:val="auto"/>
          <w:highlight w:val="none"/>
        </w:rPr>
        <w:t>6、若</w:t>
      </w:r>
      <w:r>
        <w:rPr>
          <w:rFonts w:hint="eastAsia"/>
          <w:bCs/>
          <w:color w:val="auto"/>
          <w:highlight w:val="none"/>
        </w:rPr>
        <w:t>中标人未能在质保期内按要求及时提供技术支持和解决故障，或售后服务受到使用单位有效投诉成立的</w:t>
      </w:r>
      <w:r>
        <w:rPr>
          <w:rFonts w:hint="eastAsia"/>
          <w:color w:val="auto"/>
          <w:highlight w:val="none"/>
        </w:rPr>
        <w:t>，每次处以5000元罚款，且</w:t>
      </w:r>
      <w:r>
        <w:rPr>
          <w:rFonts w:hint="eastAsia"/>
          <w:bCs/>
          <w:color w:val="auto"/>
          <w:highlight w:val="none"/>
        </w:rPr>
        <w:t>采购人</w:t>
      </w:r>
      <w:r>
        <w:rPr>
          <w:rFonts w:hint="eastAsia"/>
          <w:color w:val="auto"/>
          <w:highlight w:val="none"/>
        </w:rPr>
        <w:t>有权从未支付款项中予以扣除。</w:t>
      </w:r>
      <w:r>
        <w:rPr>
          <w:rFonts w:hint="eastAsia"/>
          <w:bCs/>
          <w:color w:val="auto"/>
          <w:highlight w:val="none"/>
        </w:rPr>
        <w:t>若在质保期内因中标人原因未能及时提供技术支持或故障维护而引起的安全责任事故，所有经济责任及法律责任均</w:t>
      </w:r>
      <w:r>
        <w:rPr>
          <w:rFonts w:hint="eastAsia"/>
          <w:color w:val="auto"/>
          <w:highlight w:val="none"/>
        </w:rPr>
        <w:t>由中标人承担。因第三方故意破坏或不可抗因素造成故障处理超过约定时间，不再追究中标人规定时间内解决故障的违约责任。</w:t>
      </w:r>
    </w:p>
    <w:p>
      <w:pPr>
        <w:ind w:firstLine="480"/>
        <w:rPr>
          <w:rFonts w:hint="eastAsia"/>
          <w:color w:val="auto"/>
          <w:highlight w:val="none"/>
        </w:rPr>
      </w:pPr>
      <w:r>
        <w:rPr>
          <w:rFonts w:hint="eastAsia"/>
          <w:color w:val="auto"/>
          <w:highlight w:val="none"/>
        </w:rPr>
        <w:t>7、若中标人违反了“安全及保密要求”中的任一条款，需向采购人支付合同总值的10%作为违约金；若实际损失超过中标人支付违约金的，采购人有权继续向中标人追偿，因追偿产生的一切费用均由中标人承担。</w:t>
      </w:r>
    </w:p>
    <w:p>
      <w:pPr>
        <w:ind w:firstLine="480"/>
        <w:rPr>
          <w:rFonts w:hint="eastAsia"/>
          <w:color w:val="auto"/>
          <w:highlight w:val="none"/>
        </w:rPr>
      </w:pPr>
      <w:r>
        <w:rPr>
          <w:rFonts w:hint="eastAsia"/>
          <w:color w:val="auto"/>
          <w:highlight w:val="none"/>
        </w:rPr>
        <w:t>8、上述因中标人违约造成的损失，采购人均有权从未付款项中扣除。</w:t>
      </w:r>
    </w:p>
    <w:bookmarkEnd w:id="1"/>
    <w:bookmarkEnd w:id="2"/>
    <w:bookmarkEnd w:id="3"/>
    <w:bookmarkEnd w:id="5"/>
    <w:bookmarkEnd w:id="6"/>
    <w:bookmarkEnd w:id="7"/>
    <w:bookmarkEnd w:id="8"/>
    <w:bookmarkEnd w:id="9"/>
    <w:bookmarkEnd w:id="10"/>
    <w:bookmarkEnd w:id="11"/>
    <w:bookmarkEnd w:id="12"/>
    <w:bookmarkEnd w:id="13"/>
    <w:bookmarkEnd w:id="14"/>
    <w:bookmarkEnd w:id="15"/>
    <w:bookmarkEnd w:id="16"/>
    <w:p>
      <w:pPr>
        <w:pStyle w:val="3"/>
        <w:spacing w:before="156" w:beforeLines="0" w:after="156" w:afterLines="0"/>
        <w:rPr>
          <w:rFonts w:hint="eastAsia"/>
          <w:color w:val="auto"/>
          <w:highlight w:val="none"/>
        </w:rPr>
      </w:pPr>
      <w:r>
        <w:rPr>
          <w:rFonts w:hint="eastAsia"/>
          <w:color w:val="auto"/>
          <w:highlight w:val="none"/>
        </w:rPr>
        <w:t xml:space="preserve"> 履约保证金</w:t>
      </w:r>
    </w:p>
    <w:p>
      <w:pPr>
        <w:pStyle w:val="41"/>
        <w:numPr>
          <w:ilvl w:val="0"/>
          <w:numId w:val="0"/>
        </w:numPr>
        <w:tabs>
          <w:tab w:val="left" w:pos="1255"/>
        </w:tabs>
        <w:spacing w:line="440" w:lineRule="exact"/>
        <w:ind w:firstLine="480" w:firstLineChars="200"/>
        <w:jc w:val="left"/>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签订合同前，中标人需向采购人缴纳合同总金额</w:t>
      </w:r>
      <w:r>
        <w:rPr>
          <w:rFonts w:hint="eastAsia" w:ascii="宋体" w:hAnsi="宋体" w:eastAsia="宋体" w:cs="宋体"/>
          <w:b w:val="0"/>
          <w:bCs/>
          <w:color w:val="auto"/>
          <w:sz w:val="24"/>
          <w:szCs w:val="24"/>
          <w:highlight w:val="none"/>
          <w:u w:val="single"/>
        </w:rPr>
        <w:t>1%</w:t>
      </w:r>
      <w:r>
        <w:rPr>
          <w:rFonts w:hint="eastAsia" w:ascii="宋体" w:hAnsi="宋体" w:eastAsia="宋体" w:cs="宋体"/>
          <w:b w:val="0"/>
          <w:bCs/>
          <w:color w:val="auto"/>
          <w:sz w:val="24"/>
          <w:szCs w:val="24"/>
          <w:highlight w:val="none"/>
        </w:rPr>
        <w:t>的履约保证金，项目终验合格无任何问题退回，不计息。</w:t>
      </w:r>
    </w:p>
    <w:p>
      <w:pPr>
        <w:pStyle w:val="3"/>
        <w:spacing w:before="156" w:beforeLines="0" w:after="156" w:afterLines="0"/>
        <w:rPr>
          <w:rFonts w:hint="eastAsia"/>
          <w:color w:val="auto"/>
          <w:highlight w:val="none"/>
        </w:rPr>
      </w:pPr>
      <w:r>
        <w:rPr>
          <w:rFonts w:hint="eastAsia"/>
          <w:color w:val="auto"/>
          <w:highlight w:val="none"/>
        </w:rPr>
        <w:t xml:space="preserve"> 付款方式</w:t>
      </w:r>
    </w:p>
    <w:p>
      <w:pPr>
        <w:ind w:firstLine="480"/>
        <w:rPr>
          <w:rFonts w:hint="eastAsia"/>
          <w:bCs/>
          <w:color w:val="auto"/>
          <w:highlight w:val="none"/>
        </w:rPr>
      </w:pPr>
      <w:r>
        <w:rPr>
          <w:rFonts w:hint="eastAsia"/>
          <w:bCs/>
          <w:color w:val="auto"/>
          <w:highlight w:val="none"/>
          <w:lang w:val="zh-CN"/>
        </w:rPr>
        <w:t>合同签订</w:t>
      </w:r>
      <w:r>
        <w:rPr>
          <w:rFonts w:hint="eastAsia"/>
          <w:bCs/>
          <w:color w:val="auto"/>
          <w:highlight w:val="none"/>
        </w:rPr>
        <w:t>生效</w:t>
      </w:r>
      <w:r>
        <w:rPr>
          <w:rFonts w:hint="eastAsia"/>
          <w:bCs/>
          <w:color w:val="auto"/>
          <w:highlight w:val="none"/>
          <w:lang w:val="zh-CN"/>
        </w:rPr>
        <w:t>后，项目验收合格且在收到中标人提供的相关付款材料</w:t>
      </w:r>
      <w:r>
        <w:rPr>
          <w:rFonts w:hint="eastAsia"/>
          <w:bCs/>
          <w:color w:val="auto"/>
          <w:highlight w:val="none"/>
        </w:rPr>
        <w:t>3</w:t>
      </w:r>
      <w:r>
        <w:rPr>
          <w:rFonts w:hint="eastAsia"/>
          <w:bCs/>
          <w:color w:val="auto"/>
          <w:highlight w:val="none"/>
          <w:lang w:val="zh-CN"/>
        </w:rPr>
        <w:t>个月内，</w:t>
      </w:r>
      <w:r>
        <w:rPr>
          <w:rFonts w:hint="eastAsia"/>
          <w:bCs/>
          <w:color w:val="auto"/>
          <w:highlight w:val="none"/>
        </w:rPr>
        <w:t>采购人向中标人支付合同总金额90%的款项；项目质保期满后，由诸暨市大数据发展管理中心出具运维合格意见</w:t>
      </w:r>
      <w:r>
        <w:rPr>
          <w:rFonts w:hint="eastAsia"/>
          <w:bCs/>
          <w:color w:val="auto"/>
          <w:highlight w:val="none"/>
          <w:lang w:val="zh-CN"/>
        </w:rPr>
        <w:t>且收到中标人提供的相关付款材料</w:t>
      </w:r>
      <w:r>
        <w:rPr>
          <w:rFonts w:hint="eastAsia"/>
          <w:bCs/>
          <w:color w:val="auto"/>
          <w:highlight w:val="none"/>
        </w:rPr>
        <w:t>后3个月内付清尾款（均无息）。</w:t>
      </w:r>
    </w:p>
    <w:p>
      <w:pPr>
        <w:pStyle w:val="3"/>
        <w:spacing w:before="156" w:beforeLines="0" w:after="156" w:afterLines="0"/>
        <w:rPr>
          <w:rFonts w:hint="eastAsia"/>
          <w:color w:val="auto"/>
          <w:highlight w:val="none"/>
        </w:rPr>
      </w:pPr>
      <w:r>
        <w:rPr>
          <w:rFonts w:hint="eastAsia"/>
          <w:color w:val="auto"/>
          <w:highlight w:val="none"/>
        </w:rPr>
        <w:t xml:space="preserve"> 最高限价</w:t>
      </w:r>
    </w:p>
    <w:p>
      <w:pPr>
        <w:ind w:firstLine="482"/>
        <w:rPr>
          <w:rFonts w:hint="eastAsia"/>
          <w:b/>
          <w:bCs/>
          <w:color w:val="auto"/>
          <w:szCs w:val="24"/>
          <w:highlight w:val="none"/>
          <w:u w:val="single"/>
          <w:lang w:val="zh-CN"/>
        </w:rPr>
      </w:pPr>
      <w:r>
        <w:rPr>
          <w:rFonts w:hint="eastAsia"/>
          <w:b/>
          <w:bCs/>
          <w:color w:val="auto"/>
          <w:szCs w:val="24"/>
          <w:highlight w:val="none"/>
          <w:u w:val="single"/>
          <w:lang w:val="zh-CN"/>
        </w:rPr>
        <w:t>本次</w:t>
      </w:r>
      <w:r>
        <w:rPr>
          <w:rFonts w:hint="eastAsia"/>
          <w:b/>
          <w:bCs/>
          <w:color w:val="auto"/>
          <w:szCs w:val="24"/>
          <w:highlight w:val="none"/>
          <w:u w:val="single"/>
        </w:rPr>
        <w:t>招标</w:t>
      </w:r>
      <w:r>
        <w:rPr>
          <w:rFonts w:hint="eastAsia"/>
          <w:b/>
          <w:bCs/>
          <w:color w:val="auto"/>
          <w:szCs w:val="24"/>
          <w:highlight w:val="none"/>
          <w:u w:val="single"/>
          <w:lang w:val="zh-CN"/>
        </w:rPr>
        <w:t>最高</w:t>
      </w:r>
      <w:r>
        <w:rPr>
          <w:rFonts w:hint="eastAsia"/>
          <w:b/>
          <w:bCs/>
          <w:color w:val="auto"/>
          <w:szCs w:val="24"/>
          <w:highlight w:val="none"/>
          <w:u w:val="single"/>
        </w:rPr>
        <w:t>限价为</w:t>
      </w:r>
      <w:r>
        <w:rPr>
          <w:rFonts w:hint="eastAsia"/>
          <w:b/>
          <w:bCs/>
          <w:color w:val="auto"/>
          <w:szCs w:val="24"/>
          <w:highlight w:val="none"/>
          <w:u w:val="single"/>
          <w:lang w:val="zh-CN"/>
        </w:rPr>
        <w:t>人民币</w:t>
      </w:r>
      <w:r>
        <w:rPr>
          <w:rFonts w:hint="eastAsia"/>
          <w:b/>
          <w:bCs/>
          <w:color w:val="auto"/>
          <w:szCs w:val="24"/>
          <w:highlight w:val="none"/>
          <w:u w:val="single"/>
        </w:rPr>
        <w:fldChar w:fldCharType="begin"/>
      </w:r>
      <w:r>
        <w:rPr>
          <w:rFonts w:hint="eastAsia"/>
          <w:b/>
          <w:bCs/>
          <w:color w:val="auto"/>
          <w:szCs w:val="24"/>
          <w:highlight w:val="none"/>
          <w:u w:val="single"/>
        </w:rPr>
        <w:instrText xml:space="preserve"> = 420000 \* CHINESENUM4 \* MERGEFORMAT </w:instrText>
      </w:r>
      <w:r>
        <w:rPr>
          <w:rFonts w:hint="eastAsia"/>
          <w:b/>
          <w:bCs/>
          <w:color w:val="auto"/>
          <w:szCs w:val="24"/>
          <w:highlight w:val="none"/>
          <w:u w:val="single"/>
        </w:rPr>
        <w:fldChar w:fldCharType="separate"/>
      </w:r>
      <w:r>
        <w:rPr>
          <w:rFonts w:hint="eastAsia"/>
          <w:b/>
          <w:bCs/>
          <w:color w:val="auto"/>
          <w:szCs w:val="24"/>
          <w:highlight w:val="none"/>
          <w:u w:val="single"/>
        </w:rPr>
        <w:t>陆拾玖万贰仟元</w:t>
      </w:r>
      <w:r>
        <w:rPr>
          <w:rFonts w:hint="eastAsia"/>
          <w:b/>
          <w:bCs/>
          <w:color w:val="auto"/>
          <w:szCs w:val="24"/>
          <w:highlight w:val="none"/>
          <w:u w:val="single"/>
        </w:rPr>
        <w:fldChar w:fldCharType="end"/>
      </w:r>
      <w:r>
        <w:rPr>
          <w:rFonts w:hint="eastAsia"/>
          <w:b/>
          <w:bCs/>
          <w:color w:val="auto"/>
          <w:szCs w:val="24"/>
          <w:highlight w:val="none"/>
          <w:u w:val="single"/>
          <w:lang w:val="zh-CN"/>
        </w:rPr>
        <w:t>（¥</w:t>
      </w:r>
      <w:r>
        <w:rPr>
          <w:rFonts w:hint="eastAsia"/>
          <w:b/>
          <w:bCs/>
          <w:color w:val="auto"/>
          <w:szCs w:val="24"/>
          <w:highlight w:val="none"/>
          <w:u w:val="single"/>
        </w:rPr>
        <w:t>692000</w:t>
      </w:r>
      <w:r>
        <w:rPr>
          <w:rFonts w:hint="eastAsia"/>
          <w:b/>
          <w:bCs/>
          <w:color w:val="auto"/>
          <w:szCs w:val="24"/>
          <w:highlight w:val="none"/>
          <w:u w:val="single"/>
          <w:lang w:val="zh-CN"/>
        </w:rPr>
        <w:t>.00）</w:t>
      </w:r>
      <w:r>
        <w:rPr>
          <w:rFonts w:hint="eastAsia"/>
          <w:b/>
          <w:bCs/>
          <w:color w:val="auto"/>
          <w:szCs w:val="24"/>
          <w:highlight w:val="none"/>
          <w:u w:val="single"/>
        </w:rPr>
        <w:t>整</w:t>
      </w:r>
      <w:r>
        <w:rPr>
          <w:rFonts w:hint="eastAsia"/>
          <w:b/>
          <w:bCs/>
          <w:color w:val="auto"/>
          <w:szCs w:val="24"/>
          <w:highlight w:val="none"/>
          <w:u w:val="single"/>
          <w:lang w:val="zh-CN"/>
        </w:rPr>
        <w:t>，任何超过最高限价的报价将被认定为无效报价。（投标报价包含材料、货物运输、配送、验收、送检费、安装、调试、培训、售后服务、</w:t>
      </w:r>
      <w:r>
        <w:rPr>
          <w:rFonts w:hint="eastAsia"/>
          <w:b/>
          <w:bCs/>
          <w:color w:val="auto"/>
          <w:szCs w:val="24"/>
          <w:highlight w:val="none"/>
          <w:u w:val="single"/>
        </w:rPr>
        <w:t>税费</w:t>
      </w:r>
      <w:r>
        <w:rPr>
          <w:rFonts w:hint="eastAsia"/>
          <w:b/>
          <w:bCs/>
          <w:color w:val="auto"/>
          <w:szCs w:val="24"/>
          <w:highlight w:val="none"/>
          <w:u w:val="single"/>
          <w:lang w:val="zh-CN"/>
        </w:rPr>
        <w:t>等</w:t>
      </w:r>
      <w:r>
        <w:rPr>
          <w:rFonts w:hint="eastAsia"/>
          <w:b/>
          <w:bCs/>
          <w:color w:val="auto"/>
          <w:szCs w:val="24"/>
          <w:highlight w:val="none"/>
          <w:u w:val="single"/>
        </w:rPr>
        <w:t>完成</w:t>
      </w:r>
      <w:r>
        <w:rPr>
          <w:rFonts w:hint="eastAsia"/>
          <w:b/>
          <w:bCs/>
          <w:color w:val="auto"/>
          <w:szCs w:val="24"/>
          <w:highlight w:val="none"/>
          <w:u w:val="single"/>
          <w:lang w:val="en-US" w:eastAsia="zh-CN"/>
        </w:rPr>
        <w:t>本</w:t>
      </w:r>
      <w:r>
        <w:rPr>
          <w:rFonts w:hint="eastAsia"/>
          <w:b/>
          <w:bCs/>
          <w:color w:val="auto"/>
          <w:szCs w:val="24"/>
          <w:highlight w:val="none"/>
          <w:u w:val="single"/>
        </w:rPr>
        <w:t>项目实施并通过验收的</w:t>
      </w:r>
      <w:r>
        <w:rPr>
          <w:rFonts w:hint="eastAsia"/>
          <w:b/>
          <w:bCs/>
          <w:color w:val="auto"/>
          <w:szCs w:val="24"/>
          <w:highlight w:val="none"/>
          <w:u w:val="single"/>
          <w:lang w:val="zh-CN"/>
        </w:rPr>
        <w:t>一切</w:t>
      </w:r>
      <w:r>
        <w:rPr>
          <w:rFonts w:hint="eastAsia"/>
          <w:b/>
          <w:bCs/>
          <w:color w:val="auto"/>
          <w:szCs w:val="24"/>
          <w:highlight w:val="none"/>
          <w:u w:val="single"/>
        </w:rPr>
        <w:t>相关</w:t>
      </w:r>
      <w:r>
        <w:rPr>
          <w:rFonts w:hint="eastAsia"/>
          <w:b/>
          <w:bCs/>
          <w:color w:val="auto"/>
          <w:szCs w:val="24"/>
          <w:highlight w:val="none"/>
          <w:u w:val="single"/>
          <w:lang w:val="zh-CN"/>
        </w:rPr>
        <w:t>费用）。</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r>
      <mc:AlternateContent>
        <mc:Choice Requires="wps">
          <w:drawing>
            <wp:anchor distT="0" distB="0" distL="0" distR="0" simplePos="0" relativeHeight="251659264" behindDoc="0" locked="0" layoutInCell="1" allowOverlap="1">
              <wp:simplePos x="0" y="0"/>
              <wp:positionH relativeFrom="margin">
                <wp:posOffset>1880870</wp:posOffset>
              </wp:positionH>
              <wp:positionV relativeFrom="paragraph">
                <wp:posOffset>19050</wp:posOffset>
              </wp:positionV>
              <wp:extent cx="1200150" cy="279400"/>
              <wp:effectExtent l="0" t="0" r="0" b="0"/>
              <wp:wrapNone/>
              <wp:docPr id="4097" name="文本框 2"/>
              <wp:cNvGraphicFramePr/>
              <a:graphic xmlns:a="http://schemas.openxmlformats.org/drawingml/2006/main">
                <a:graphicData uri="http://schemas.microsoft.com/office/word/2010/wordprocessingShape">
                  <wps:wsp>
                    <wps:cNvSpPr/>
                    <wps:spPr>
                      <a:xfrm>
                        <a:off x="0" y="0"/>
                        <a:ext cx="1200150" cy="279399"/>
                      </a:xfrm>
                      <a:prstGeom prst="rect">
                        <a:avLst/>
                      </a:prstGeom>
                      <a:noFill/>
                      <a:ln cap="flat" cmpd="sng">
                        <a:noFill/>
                        <a:prstDash val="solid"/>
                        <a:round/>
                      </a:ln>
                    </wps:spPr>
                    <wps:txbx>
                      <w:txbxContent>
                        <w:p>
                          <w:pPr>
                            <w:pStyle w:val="18"/>
                            <w:ind w:firstLine="360"/>
                            <w:rPr>
                              <w:rFonts w:hint="eastAsia"/>
                            </w:rP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nchorCtr="0">
                      <a:spAutoFit/>
                    </wps:bodyPr>
                  </wps:wsp>
                </a:graphicData>
              </a:graphic>
            </wp:anchor>
          </w:drawing>
        </mc:Choice>
        <mc:Fallback>
          <w:pict>
            <v:rect id="文本框 2" o:spid="_x0000_s1026" o:spt="1" style="position:absolute;left:0pt;margin-left:148.1pt;margin-top:1.5pt;height:22pt;width:94.5pt;mso-position-horizontal-relative:margin;mso-wrap-style:none;z-index:251659264;mso-width-relative:page;mso-height-relative:page;" filled="f" stroked="f" coordsize="21600,21600" o:gfxdata="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hBHZvVAAAACAEAAA8AAAAAAAAAAQAgAAAAIgAAAGRycy9kb3ducmV2LnhtbFBL&#10;AQIUABQAAAAIAIdO4kCcVSbe+QEAAOMDAAAOAAAAAAAAAAEAIAAAACQBAABkcnMvZTJvRG9jLnht&#10;bFBLBQYAAAAABgAGAFkBAACPBQAAAAA=&#10;">
              <v:fill on="f" focussize="0,0"/>
              <v:stroke on="f" joinstyle="round"/>
              <v:imagedata o:title=""/>
              <o:lock v:ext="edit" aspectratio="f"/>
              <v:textbox inset="0mm,0mm,0mm,0mm" style="mso-fit-shape-to-text:t;">
                <w:txbxContent>
                  <w:p>
                    <w:pPr>
                      <w:pStyle w:val="18"/>
                      <w:ind w:firstLine="360"/>
                      <w:rPr>
                        <w:rFonts w:hint="eastAsia"/>
                      </w:rP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93286"/>
    <w:multiLevelType w:val="multilevel"/>
    <w:tmpl w:val="A5C93286"/>
    <w:lvl w:ilvl="0" w:tentative="0">
      <w:start w:val="1"/>
      <w:numFmt w:val="chineseCountingThousand"/>
      <w:pStyle w:val="41"/>
      <w:lvlText w:val="第%1章"/>
      <w:lvlJc w:val="left"/>
      <w:pPr>
        <w:ind w:left="2100" w:firstLine="0"/>
      </w:pPr>
      <w:rPr>
        <w:rFonts w:hint="eastAsia"/>
      </w:rPr>
    </w:lvl>
    <w:lvl w:ilvl="1" w:tentative="0">
      <w:start w:val="1"/>
      <w:numFmt w:val="decimal"/>
      <w:isLgl/>
      <w:lvlText w:val="%1.%2"/>
      <w:lvlJc w:val="left"/>
      <w:pPr>
        <w:ind w:left="1249" w:firstLine="0"/>
      </w:pPr>
      <w:rPr>
        <w:rFonts w:hint="eastAsia"/>
      </w:rPr>
    </w:lvl>
    <w:lvl w:ilvl="2" w:tentative="0">
      <w:start w:val="1"/>
      <w:numFmt w:val="decimal"/>
      <w:isLgl/>
      <w:lvlText w:val="%1.%2.%3"/>
      <w:lvlJc w:val="left"/>
      <w:pPr>
        <w:ind w:left="1249" w:firstLine="0"/>
      </w:pPr>
      <w:rPr>
        <w:rFonts w:hint="eastAsia"/>
      </w:rPr>
    </w:lvl>
    <w:lvl w:ilvl="3" w:tentative="0">
      <w:start w:val="1"/>
      <w:numFmt w:val="decimal"/>
      <w:isLgl/>
      <w:lvlText w:val="%1.%2.%3.%4"/>
      <w:lvlJc w:val="left"/>
      <w:pPr>
        <w:ind w:left="5786" w:firstLine="0"/>
      </w:pPr>
      <w:rPr>
        <w:rFonts w:hint="eastAsia"/>
      </w:rPr>
    </w:lvl>
    <w:lvl w:ilvl="4" w:tentative="0">
      <w:start w:val="1"/>
      <w:numFmt w:val="decimal"/>
      <w:isLgl/>
      <w:lvlText w:val="%1.%2.%3.%4.%5"/>
      <w:lvlJc w:val="left"/>
      <w:pPr>
        <w:ind w:left="1249" w:firstLine="0"/>
      </w:pPr>
      <w:rPr>
        <w:rFonts w:hint="eastAsia"/>
      </w:rPr>
    </w:lvl>
    <w:lvl w:ilvl="5" w:tentative="0">
      <w:start w:val="1"/>
      <w:numFmt w:val="decimal"/>
      <w:isLgl/>
      <w:lvlText w:val="%1.%2.%3.%4.%5.%6"/>
      <w:lvlJc w:val="left"/>
      <w:pPr>
        <w:ind w:left="1249" w:firstLine="0"/>
      </w:pPr>
      <w:rPr>
        <w:rFonts w:hint="eastAsia"/>
      </w:rPr>
    </w:lvl>
    <w:lvl w:ilvl="6" w:tentative="0">
      <w:start w:val="1"/>
      <w:numFmt w:val="decimal"/>
      <w:isLgl/>
      <w:lvlText w:val="%1.%2.%3.%4.%5.%6.%7"/>
      <w:lvlJc w:val="left"/>
      <w:pPr>
        <w:ind w:left="1249" w:firstLine="0"/>
      </w:pPr>
      <w:rPr>
        <w:rFonts w:hint="eastAsia"/>
      </w:rPr>
    </w:lvl>
    <w:lvl w:ilvl="7" w:tentative="0">
      <w:start w:val="1"/>
      <w:numFmt w:val="decimal"/>
      <w:isLgl/>
      <w:lvlText w:val="%1.%2.%3.%4.%5.%6.%7.%8"/>
      <w:lvlJc w:val="left"/>
      <w:pPr>
        <w:ind w:left="1249" w:firstLine="0"/>
      </w:pPr>
      <w:rPr>
        <w:rFonts w:hint="eastAsia"/>
      </w:rPr>
    </w:lvl>
    <w:lvl w:ilvl="8" w:tentative="0">
      <w:start w:val="1"/>
      <w:numFmt w:val="decimal"/>
      <w:isLgl/>
      <w:lvlText w:val="%1.%2.%3.%4.%5.%6.%7.%8.%9"/>
      <w:lvlJc w:val="left"/>
      <w:pPr>
        <w:ind w:left="1249" w:firstLine="0"/>
      </w:pPr>
      <w:rPr>
        <w:rFonts w:hint="eastAsia"/>
      </w:rPr>
    </w:lvl>
  </w:abstractNum>
  <w:abstractNum w:abstractNumId="1">
    <w:nsid w:val="D433F228"/>
    <w:multiLevelType w:val="singleLevel"/>
    <w:tmpl w:val="D433F228"/>
    <w:lvl w:ilvl="0" w:tentative="0">
      <w:start w:val="1"/>
      <w:numFmt w:val="bullet"/>
      <w:lvlText w:val=""/>
      <w:lvlJc w:val="left"/>
      <w:pPr>
        <w:ind w:left="420" w:hanging="420"/>
      </w:pPr>
      <w:rPr>
        <w:rFonts w:hint="default" w:ascii="Wingdings" w:hAnsi="Wingdings"/>
      </w:rPr>
    </w:lvl>
  </w:abstractNum>
  <w:abstractNum w:abstractNumId="2">
    <w:nsid w:val="07D40326"/>
    <w:multiLevelType w:val="multilevel"/>
    <w:tmpl w:val="07D40326"/>
    <w:lvl w:ilvl="0" w:tentative="0">
      <w:start w:val="1"/>
      <w:numFmt w:val="bullet"/>
      <w:lvlText w:val=""/>
      <w:lvlJc w:val="left"/>
      <w:pPr>
        <w:ind w:left="922" w:hanging="440"/>
      </w:pPr>
      <w:rPr>
        <w:rFonts w:hint="default" w:ascii="Wingdings" w:hAnsi="Wingdings"/>
      </w:rPr>
    </w:lvl>
    <w:lvl w:ilvl="1" w:tentative="0">
      <w:start w:val="1"/>
      <w:numFmt w:val="bullet"/>
      <w:lvlText w:val=""/>
      <w:lvlJc w:val="left"/>
      <w:pPr>
        <w:ind w:left="1362" w:hanging="440"/>
      </w:pPr>
      <w:rPr>
        <w:rFonts w:hint="default" w:ascii="Wingdings" w:hAnsi="Wingdings"/>
      </w:rPr>
    </w:lvl>
    <w:lvl w:ilvl="2" w:tentative="0">
      <w:start w:val="1"/>
      <w:numFmt w:val="bullet"/>
      <w:lvlText w:val=""/>
      <w:lvlJc w:val="left"/>
      <w:pPr>
        <w:ind w:left="1802" w:hanging="440"/>
      </w:pPr>
      <w:rPr>
        <w:rFonts w:hint="default" w:ascii="Wingdings" w:hAnsi="Wingdings"/>
      </w:rPr>
    </w:lvl>
    <w:lvl w:ilvl="3" w:tentative="0">
      <w:start w:val="1"/>
      <w:numFmt w:val="bullet"/>
      <w:lvlText w:val=""/>
      <w:lvlJc w:val="left"/>
      <w:pPr>
        <w:ind w:left="2242" w:hanging="440"/>
      </w:pPr>
      <w:rPr>
        <w:rFonts w:hint="default" w:ascii="Wingdings" w:hAnsi="Wingdings"/>
      </w:rPr>
    </w:lvl>
    <w:lvl w:ilvl="4" w:tentative="0">
      <w:start w:val="1"/>
      <w:numFmt w:val="bullet"/>
      <w:lvlText w:val=""/>
      <w:lvlJc w:val="left"/>
      <w:pPr>
        <w:ind w:left="2682" w:hanging="440"/>
      </w:pPr>
      <w:rPr>
        <w:rFonts w:hint="default" w:ascii="Wingdings" w:hAnsi="Wingdings"/>
      </w:rPr>
    </w:lvl>
    <w:lvl w:ilvl="5" w:tentative="0">
      <w:start w:val="1"/>
      <w:numFmt w:val="bullet"/>
      <w:lvlText w:val=""/>
      <w:lvlJc w:val="left"/>
      <w:pPr>
        <w:ind w:left="3122" w:hanging="440"/>
      </w:pPr>
      <w:rPr>
        <w:rFonts w:hint="default" w:ascii="Wingdings" w:hAnsi="Wingdings"/>
      </w:rPr>
    </w:lvl>
    <w:lvl w:ilvl="6" w:tentative="0">
      <w:start w:val="1"/>
      <w:numFmt w:val="bullet"/>
      <w:lvlText w:val=""/>
      <w:lvlJc w:val="left"/>
      <w:pPr>
        <w:ind w:left="3562" w:hanging="440"/>
      </w:pPr>
      <w:rPr>
        <w:rFonts w:hint="default" w:ascii="Wingdings" w:hAnsi="Wingdings"/>
      </w:rPr>
    </w:lvl>
    <w:lvl w:ilvl="7" w:tentative="0">
      <w:start w:val="1"/>
      <w:numFmt w:val="bullet"/>
      <w:lvlText w:val=""/>
      <w:lvlJc w:val="left"/>
      <w:pPr>
        <w:ind w:left="4002" w:hanging="440"/>
      </w:pPr>
      <w:rPr>
        <w:rFonts w:hint="default" w:ascii="Wingdings" w:hAnsi="Wingdings"/>
      </w:rPr>
    </w:lvl>
    <w:lvl w:ilvl="8" w:tentative="0">
      <w:start w:val="1"/>
      <w:numFmt w:val="bullet"/>
      <w:lvlText w:val=""/>
      <w:lvlJc w:val="left"/>
      <w:pPr>
        <w:ind w:left="4442" w:hanging="440"/>
      </w:pPr>
      <w:rPr>
        <w:rFonts w:hint="default" w:ascii="Wingdings" w:hAnsi="Wingdings"/>
      </w:rPr>
    </w:lvl>
  </w:abstractNum>
  <w:abstractNum w:abstractNumId="3">
    <w:nsid w:val="5D6E14A0"/>
    <w:multiLevelType w:val="multilevel"/>
    <w:tmpl w:val="5D6E14A0"/>
    <w:lvl w:ilvl="0" w:tentative="0">
      <w:start w:val="1"/>
      <w:numFmt w:val="chineseCountingThousand"/>
      <w:pStyle w:val="2"/>
      <w:lvlText w:val="%1、"/>
      <w:lvlJc w:val="left"/>
      <w:pPr>
        <w:ind w:left="425" w:hanging="425"/>
      </w:pPr>
      <w:rPr>
        <w:rFonts w:hint="eastAsia"/>
      </w:rPr>
    </w:lvl>
    <w:lvl w:ilvl="1" w:tentative="0">
      <w:start w:val="1"/>
      <w:numFmt w:val="decimal"/>
      <w:pStyle w:val="3"/>
      <w:isLgl/>
      <w:lvlText w:val="%1.%2"/>
      <w:lvlJc w:val="left"/>
      <w:pPr>
        <w:ind w:left="992" w:hanging="567"/>
      </w:pPr>
      <w:rPr>
        <w:rFonts w:hint="eastAsia"/>
      </w:rPr>
    </w:lvl>
    <w:lvl w:ilvl="2" w:tentative="0">
      <w:start w:val="1"/>
      <w:numFmt w:val="decimal"/>
      <w:pStyle w:val="4"/>
      <w:isLgl/>
      <w:lvlText w:val="%1.%2.%3"/>
      <w:lvlJc w:val="left"/>
      <w:pPr>
        <w:ind w:left="1418" w:hanging="567"/>
      </w:pPr>
      <w:rPr>
        <w:rFonts w:hint="eastAsia"/>
      </w:rPr>
    </w:lvl>
    <w:lvl w:ilvl="3" w:tentative="0">
      <w:start w:val="1"/>
      <w:numFmt w:val="decimal"/>
      <w:pStyle w:val="5"/>
      <w:isLgl/>
      <w:lvlText w:val="%1.%2.%3.%4"/>
      <w:lvlJc w:val="left"/>
      <w:pPr>
        <w:ind w:left="3117" w:hanging="708"/>
      </w:pPr>
      <w:rPr>
        <w:rFonts w:hint="eastAsia"/>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8524E14"/>
    <w:multiLevelType w:val="singleLevel"/>
    <w:tmpl w:val="68524E14"/>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5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zRlZGEyNzEwM2FhN2YyNDZmYTY0Y2ZlNDM0ZjcwNWMifQ=="/>
  </w:docVars>
  <w:rsids>
    <w:rsidRoot w:val="00453090"/>
    <w:rsid w:val="0000313E"/>
    <w:rsid w:val="00013E66"/>
    <w:rsid w:val="000B2518"/>
    <w:rsid w:val="00114527"/>
    <w:rsid w:val="00220967"/>
    <w:rsid w:val="00280CA5"/>
    <w:rsid w:val="003B15CF"/>
    <w:rsid w:val="003C2898"/>
    <w:rsid w:val="003D07B8"/>
    <w:rsid w:val="00404CC5"/>
    <w:rsid w:val="00453090"/>
    <w:rsid w:val="00660DDF"/>
    <w:rsid w:val="006D14A3"/>
    <w:rsid w:val="008A493F"/>
    <w:rsid w:val="008B423D"/>
    <w:rsid w:val="00967DCA"/>
    <w:rsid w:val="009E5128"/>
    <w:rsid w:val="00A072FC"/>
    <w:rsid w:val="00AE7590"/>
    <w:rsid w:val="00B577EC"/>
    <w:rsid w:val="00B87D60"/>
    <w:rsid w:val="00C609DA"/>
    <w:rsid w:val="00D26DC2"/>
    <w:rsid w:val="00D93823"/>
    <w:rsid w:val="00FE4E3F"/>
    <w:rsid w:val="20244559"/>
    <w:rsid w:val="21F40E4B"/>
    <w:rsid w:val="24BA3512"/>
    <w:rsid w:val="30C30C85"/>
    <w:rsid w:val="31867E2E"/>
    <w:rsid w:val="349726B5"/>
    <w:rsid w:val="36E7426F"/>
    <w:rsid w:val="37E665C4"/>
    <w:rsid w:val="3DF7772A"/>
    <w:rsid w:val="44DC1AA0"/>
    <w:rsid w:val="456C64E6"/>
    <w:rsid w:val="46040C65"/>
    <w:rsid w:val="4877662E"/>
    <w:rsid w:val="4ABF6CC7"/>
    <w:rsid w:val="553C2DB2"/>
    <w:rsid w:val="5CDB0FE0"/>
    <w:rsid w:val="642055EA"/>
    <w:rsid w:val="735595FF"/>
    <w:rsid w:val="BF3ACEA0"/>
    <w:rsid w:val="D7FDC7A1"/>
    <w:rsid w:val="EBEBF6CE"/>
    <w:rsid w:val="F23DFB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ind w:firstLine="200" w:firstLineChars="200"/>
      <w:jc w:val="both"/>
    </w:pPr>
    <w:rPr>
      <w:rFonts w:ascii="宋体" w:hAnsi="宋体" w:eastAsia="宋体" w:cs="宋体"/>
      <w:color w:val="000000"/>
      <w:sz w:val="24"/>
      <w:szCs w:val="21"/>
      <w:lang w:val="en-US" w:eastAsia="zh-CN" w:bidi="ar-SA"/>
    </w:rPr>
  </w:style>
  <w:style w:type="paragraph" w:styleId="2">
    <w:name w:val="heading 1"/>
    <w:basedOn w:val="1"/>
    <w:next w:val="1"/>
    <w:link w:val="28"/>
    <w:qFormat/>
    <w:uiPriority w:val="0"/>
    <w:pPr>
      <w:keepNext/>
      <w:keepLines/>
      <w:numPr>
        <w:ilvl w:val="0"/>
        <w:numId w:val="1"/>
      </w:numPr>
      <w:ind w:firstLine="0" w:firstLineChars="0"/>
      <w:outlineLvl w:val="0"/>
    </w:pPr>
    <w:rPr>
      <w:b/>
      <w:bCs/>
      <w:kern w:val="44"/>
      <w:szCs w:val="24"/>
    </w:rPr>
  </w:style>
  <w:style w:type="paragraph" w:styleId="3">
    <w:name w:val="heading 2"/>
    <w:basedOn w:val="1"/>
    <w:next w:val="1"/>
    <w:link w:val="29"/>
    <w:qFormat/>
    <w:uiPriority w:val="0"/>
    <w:pPr>
      <w:numPr>
        <w:ilvl w:val="1"/>
        <w:numId w:val="1"/>
      </w:numPr>
      <w:spacing w:before="50" w:beforeLines="50" w:after="50" w:afterLines="50"/>
      <w:ind w:firstLine="0" w:firstLineChars="0"/>
      <w:outlineLvl w:val="1"/>
    </w:pPr>
    <w:rPr>
      <w:b/>
      <w:bCs/>
      <w:szCs w:val="32"/>
    </w:rPr>
  </w:style>
  <w:style w:type="paragraph" w:styleId="4">
    <w:name w:val="heading 3"/>
    <w:basedOn w:val="3"/>
    <w:next w:val="1"/>
    <w:link w:val="30"/>
    <w:qFormat/>
    <w:uiPriority w:val="0"/>
    <w:pPr>
      <w:numPr>
        <w:ilvl w:val="2"/>
      </w:numPr>
      <w:spacing w:before="100" w:beforeLines="0" w:after="100" w:afterLines="0"/>
      <w:ind w:left="850"/>
      <w:outlineLvl w:val="2"/>
    </w:pPr>
    <w:rPr>
      <w:szCs w:val="24"/>
    </w:rPr>
  </w:style>
  <w:style w:type="paragraph" w:styleId="5">
    <w:name w:val="heading 4"/>
    <w:basedOn w:val="1"/>
    <w:next w:val="1"/>
    <w:link w:val="31"/>
    <w:qFormat/>
    <w:uiPriority w:val="0"/>
    <w:pPr>
      <w:keepNext/>
      <w:keepLines/>
      <w:numPr>
        <w:ilvl w:val="3"/>
        <w:numId w:val="1"/>
      </w:numPr>
      <w:ind w:firstLine="0" w:firstLineChars="0"/>
      <w:outlineLvl w:val="3"/>
    </w:pPr>
    <w:rPr>
      <w:b/>
      <w:szCs w:val="24"/>
    </w:rPr>
  </w:style>
  <w:style w:type="paragraph" w:styleId="6">
    <w:name w:val="heading 5"/>
    <w:basedOn w:val="1"/>
    <w:next w:val="1"/>
    <w:link w:val="32"/>
    <w:qFormat/>
    <w:uiPriority w:val="0"/>
    <w:pPr>
      <w:keepNext/>
      <w:keepLines/>
      <w:numPr>
        <w:ilvl w:val="4"/>
        <w:numId w:val="1"/>
      </w:numPr>
      <w:ind w:left="1134" w:firstLine="0" w:firstLineChars="0"/>
      <w:outlineLvl w:val="4"/>
    </w:pPr>
    <w:rPr>
      <w:b/>
      <w:bCs/>
      <w:kern w:val="2"/>
      <w:szCs w:val="24"/>
    </w:rPr>
  </w:style>
  <w:style w:type="paragraph" w:styleId="7">
    <w:name w:val="heading 6"/>
    <w:basedOn w:val="1"/>
    <w:next w:val="1"/>
    <w:link w:val="33"/>
    <w:qFormat/>
    <w:uiPriority w:val="0"/>
    <w:pPr>
      <w:keepNext/>
      <w:keepLines/>
      <w:numPr>
        <w:ilvl w:val="5"/>
        <w:numId w:val="1"/>
      </w:numPr>
      <w:ind w:firstLine="0" w:firstLineChars="0"/>
      <w:outlineLvl w:val="5"/>
    </w:pPr>
    <w:rPr>
      <w:b/>
      <w:bCs/>
      <w:szCs w:val="24"/>
    </w:rPr>
  </w:style>
  <w:style w:type="paragraph" w:styleId="8">
    <w:name w:val="heading 7"/>
    <w:basedOn w:val="1"/>
    <w:next w:val="1"/>
    <w:link w:val="34"/>
    <w:qFormat/>
    <w:uiPriority w:val="0"/>
    <w:pPr>
      <w:keepNext/>
      <w:keepLines/>
      <w:spacing w:before="240" w:after="64" w:line="317" w:lineRule="auto"/>
      <w:outlineLvl w:val="6"/>
    </w:pPr>
    <w:rPr>
      <w:b/>
    </w:rPr>
  </w:style>
  <w:style w:type="paragraph" w:styleId="9">
    <w:name w:val="heading 8"/>
    <w:basedOn w:val="1"/>
    <w:next w:val="1"/>
    <w:link w:val="35"/>
    <w:qFormat/>
    <w:uiPriority w:val="0"/>
    <w:pPr>
      <w:keepNext/>
      <w:keepLines/>
      <w:spacing w:before="240" w:after="64" w:line="317" w:lineRule="auto"/>
      <w:outlineLvl w:val="7"/>
    </w:pPr>
    <w:rPr>
      <w:rFonts w:ascii="Arial" w:hAnsi="Aria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1"/>
    <w:qFormat/>
    <w:uiPriority w:val="0"/>
    <w:pPr>
      <w:textAlignment w:val="baseline"/>
    </w:pPr>
    <w:rPr>
      <w:szCs w:val="20"/>
      <w:lang w:val="zh-CN"/>
    </w:rPr>
  </w:style>
  <w:style w:type="paragraph" w:styleId="11">
    <w:name w:val="Body Text Indent"/>
    <w:basedOn w:val="1"/>
    <w:next w:val="1"/>
    <w:qFormat/>
    <w:uiPriority w:val="0"/>
    <w:pPr>
      <w:tabs>
        <w:tab w:val="left" w:pos="3025"/>
      </w:tabs>
      <w:spacing w:line="420" w:lineRule="exact"/>
      <w:textAlignment w:val="baseline"/>
    </w:pPr>
    <w:rPr>
      <w:szCs w:val="20"/>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rPr>
      <w:sz w:val="21"/>
    </w:rPr>
  </w:style>
  <w:style w:type="paragraph" w:styleId="14">
    <w:name w:val="Body Text First Indent"/>
    <w:basedOn w:val="13"/>
    <w:next w:val="1"/>
    <w:qFormat/>
    <w:uiPriority w:val="0"/>
    <w:pPr>
      <w:ind w:firstLine="100" w:firstLineChars="100"/>
    </w:pPr>
  </w:style>
  <w:style w:type="paragraph" w:styleId="15">
    <w:name w:val="Plain Text"/>
    <w:basedOn w:val="1"/>
    <w:next w:val="16"/>
    <w:qFormat/>
    <w:uiPriority w:val="0"/>
    <w:pPr>
      <w:autoSpaceDE/>
      <w:autoSpaceDN/>
      <w:adjustRightInd/>
    </w:pPr>
    <w:rPr>
      <w:rFonts w:ascii="Times New Roman" w:hAnsi="Times New Roman" w:cs="Times New Roman"/>
      <w:color w:val="auto"/>
      <w:kern w:val="2"/>
      <w:szCs w:val="20"/>
    </w:rPr>
  </w:style>
  <w:style w:type="paragraph" w:styleId="16">
    <w:name w:val="toc 1"/>
    <w:basedOn w:val="1"/>
    <w:next w:val="1"/>
    <w:qFormat/>
    <w:uiPriority w:val="0"/>
    <w:pPr>
      <w:spacing w:before="120" w:after="120"/>
      <w:jc w:val="left"/>
    </w:pPr>
    <w:rPr>
      <w:rFonts w:ascii="Times New Roman" w:hAnsi="Times New Roman" w:cs="Times New Roman"/>
      <w:b/>
      <w:caps/>
      <w:sz w:val="20"/>
      <w:szCs w:val="20"/>
    </w:rPr>
  </w:style>
  <w:style w:type="paragraph" w:styleId="17">
    <w:name w:val="Balloon Text"/>
    <w:basedOn w:val="1"/>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tabs>
        <w:tab w:val="center" w:pos="4153"/>
        <w:tab w:val="right" w:pos="8306"/>
      </w:tabs>
      <w:snapToGrid w:val="0"/>
      <w:spacing w:line="240" w:lineRule="auto"/>
    </w:pPr>
    <w:rPr>
      <w:sz w:val="18"/>
    </w:rPr>
  </w:style>
  <w:style w:type="paragraph" w:styleId="20">
    <w:name w:val="Normal (Web)"/>
    <w:basedOn w:val="1"/>
    <w:qFormat/>
    <w:uiPriority w:val="0"/>
    <w:pPr>
      <w:spacing w:beforeAutospacing="1" w:afterAutospacing="1"/>
      <w:jc w:val="left"/>
    </w:pPr>
    <w:rPr>
      <w:rFonts w:cs="Times New Roman"/>
    </w:rPr>
  </w:style>
  <w:style w:type="paragraph" w:styleId="21">
    <w:name w:val="annotation subject"/>
    <w:basedOn w:val="12"/>
    <w:next w:val="12"/>
    <w:qFormat/>
    <w:uiPriority w:val="0"/>
    <w:rPr>
      <w:b/>
      <w:bCs/>
    </w:rPr>
  </w:style>
  <w:style w:type="paragraph" w:styleId="22">
    <w:name w:val="Body Text First Indent 2"/>
    <w:basedOn w:val="11"/>
    <w:next w:val="23"/>
    <w:qFormat/>
    <w:uiPriority w:val="0"/>
    <w:pPr>
      <w:ind w:left="200" w:hanging="200" w:hangingChars="200"/>
    </w:pPr>
    <w:rPr>
      <w:szCs w:val="21"/>
    </w:rPr>
  </w:style>
  <w:style w:type="paragraph" w:customStyle="1" w:styleId="2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annotation reference"/>
    <w:basedOn w:val="26"/>
    <w:qFormat/>
    <w:uiPriority w:val="0"/>
    <w:rPr>
      <w:sz w:val="21"/>
      <w:szCs w:val="21"/>
    </w:rPr>
  </w:style>
  <w:style w:type="character" w:customStyle="1" w:styleId="28">
    <w:name w:val="标题 1 字符"/>
    <w:basedOn w:val="26"/>
    <w:link w:val="2"/>
    <w:qFormat/>
    <w:uiPriority w:val="0"/>
    <w:rPr>
      <w:rFonts w:ascii="宋体" w:hAnsi="宋体" w:eastAsia="宋体" w:cs="宋体"/>
      <w:b/>
      <w:bCs/>
      <w:color w:val="000000"/>
      <w:kern w:val="44"/>
      <w:sz w:val="24"/>
      <w:szCs w:val="24"/>
      <w:lang w:val="en-US" w:eastAsia="zh-CN" w:bidi="ar-SA"/>
    </w:rPr>
  </w:style>
  <w:style w:type="character" w:customStyle="1" w:styleId="29">
    <w:name w:val="标题 2 字符"/>
    <w:basedOn w:val="26"/>
    <w:link w:val="3"/>
    <w:qFormat/>
    <w:uiPriority w:val="0"/>
    <w:rPr>
      <w:rFonts w:ascii="宋体" w:hAnsi="宋体" w:eastAsia="宋体" w:cs="宋体"/>
      <w:b/>
      <w:bCs/>
      <w:color w:val="000000"/>
      <w:sz w:val="24"/>
      <w:szCs w:val="32"/>
      <w:lang w:val="en-US" w:eastAsia="zh-CN" w:bidi="ar-SA"/>
    </w:rPr>
  </w:style>
  <w:style w:type="character" w:customStyle="1" w:styleId="30">
    <w:name w:val="标题 3 字符"/>
    <w:basedOn w:val="29"/>
    <w:link w:val="4"/>
    <w:qFormat/>
    <w:uiPriority w:val="0"/>
    <w:rPr>
      <w:rFonts w:ascii="宋体" w:hAnsi="宋体" w:eastAsia="宋体" w:cs="宋体"/>
      <w:color w:val="000000"/>
      <w:sz w:val="24"/>
      <w:szCs w:val="24"/>
      <w:lang w:val="en-US" w:eastAsia="zh-CN" w:bidi="ar-SA"/>
    </w:rPr>
  </w:style>
  <w:style w:type="character" w:customStyle="1" w:styleId="31">
    <w:name w:val="标题 4 字符"/>
    <w:basedOn w:val="26"/>
    <w:link w:val="5"/>
    <w:qFormat/>
    <w:uiPriority w:val="0"/>
    <w:rPr>
      <w:rFonts w:ascii="宋体" w:hAnsi="宋体" w:eastAsia="宋体" w:cs="宋体"/>
      <w:b/>
      <w:color w:val="000000"/>
      <w:sz w:val="24"/>
      <w:szCs w:val="24"/>
      <w:lang w:val="en-US" w:eastAsia="zh-CN" w:bidi="ar-SA"/>
    </w:rPr>
  </w:style>
  <w:style w:type="character" w:customStyle="1" w:styleId="32">
    <w:name w:val="标题 5 字符"/>
    <w:basedOn w:val="26"/>
    <w:link w:val="6"/>
    <w:qFormat/>
    <w:uiPriority w:val="0"/>
    <w:rPr>
      <w:rFonts w:ascii="宋体" w:hAnsi="宋体" w:eastAsia="宋体" w:cs="宋体"/>
      <w:b/>
      <w:bCs/>
      <w:color w:val="000000"/>
      <w:kern w:val="2"/>
      <w:sz w:val="24"/>
      <w:szCs w:val="24"/>
      <w:lang w:val="en-US" w:eastAsia="zh-CN" w:bidi="ar-SA"/>
    </w:rPr>
  </w:style>
  <w:style w:type="character" w:customStyle="1" w:styleId="33">
    <w:name w:val="标题 6 字符"/>
    <w:basedOn w:val="26"/>
    <w:link w:val="7"/>
    <w:qFormat/>
    <w:uiPriority w:val="0"/>
    <w:rPr>
      <w:rFonts w:ascii="宋体" w:hAnsi="宋体" w:eastAsia="宋体" w:cs="宋体"/>
      <w:b/>
      <w:bCs/>
      <w:color w:val="000000"/>
      <w:sz w:val="24"/>
      <w:szCs w:val="24"/>
      <w:lang w:val="en-US" w:eastAsia="zh-CN" w:bidi="ar-SA"/>
    </w:rPr>
  </w:style>
  <w:style w:type="character" w:customStyle="1" w:styleId="34">
    <w:name w:val="标题 7 字符"/>
    <w:basedOn w:val="26"/>
    <w:link w:val="8"/>
    <w:qFormat/>
    <w:uiPriority w:val="0"/>
    <w:rPr>
      <w:rFonts w:ascii="宋体" w:hAnsi="宋体" w:eastAsia="宋体" w:cs="宋体"/>
      <w:b/>
      <w:color w:val="000000"/>
      <w:sz w:val="24"/>
      <w:szCs w:val="21"/>
      <w:lang w:val="en-US" w:eastAsia="zh-CN" w:bidi="ar-SA"/>
    </w:rPr>
  </w:style>
  <w:style w:type="character" w:customStyle="1" w:styleId="35">
    <w:name w:val="标题 8 字符"/>
    <w:basedOn w:val="26"/>
    <w:link w:val="9"/>
    <w:qFormat/>
    <w:uiPriority w:val="0"/>
    <w:rPr>
      <w:rFonts w:ascii="Arial" w:hAnsi="Arial" w:eastAsia="宋体" w:cs="宋体"/>
      <w:color w:val="000000"/>
      <w:sz w:val="24"/>
      <w:szCs w:val="21"/>
      <w:lang w:val="en-US" w:eastAsia="zh-CN" w:bidi="ar-SA"/>
    </w:rPr>
  </w:style>
  <w:style w:type="paragraph" w:customStyle="1" w:styleId="36">
    <w:name w:val="表格文字（两侧对齐）"/>
    <w:basedOn w:val="1"/>
    <w:qFormat/>
    <w:uiPriority w:val="0"/>
    <w:pPr>
      <w:snapToGrid w:val="0"/>
    </w:pPr>
    <w:rPr>
      <w:sz w:val="20"/>
      <w:szCs w:val="24"/>
    </w:rPr>
  </w:style>
  <w:style w:type="paragraph" w:customStyle="1" w:styleId="37">
    <w:name w:val="表格文字"/>
    <w:basedOn w:val="15"/>
    <w:next w:val="13"/>
    <w:qFormat/>
    <w:uiPriority w:val="0"/>
    <w:pPr>
      <w:tabs>
        <w:tab w:val="left" w:pos="3025"/>
      </w:tabs>
      <w:jc w:val="left"/>
    </w:pPr>
  </w:style>
  <w:style w:type="paragraph" w:customStyle="1" w:styleId="38">
    <w:name w:val="正文段"/>
    <w:basedOn w:val="1"/>
    <w:qFormat/>
    <w:uiPriority w:val="0"/>
    <w:pPr>
      <w:widowControl/>
      <w:autoSpaceDE/>
      <w:autoSpaceDN/>
      <w:adjustRightInd/>
      <w:snapToGrid w:val="0"/>
      <w:spacing w:after="50" w:afterLines="50"/>
    </w:pPr>
    <w:rPr>
      <w:color w:val="auto"/>
      <w:szCs w:val="20"/>
    </w:rPr>
  </w:style>
  <w:style w:type="paragraph" w:customStyle="1" w:styleId="39">
    <w:name w:val="章正文"/>
    <w:basedOn w:val="1"/>
    <w:qFormat/>
    <w:uiPriority w:val="0"/>
    <w:pPr>
      <w:spacing w:before="50" w:beforeLines="50" w:after="120" w:line="300" w:lineRule="auto"/>
    </w:pPr>
    <w:rPr>
      <w:rFonts w:ascii="Helvetica" w:hAnsi="Helvetica"/>
      <w:szCs w:val="24"/>
    </w:rPr>
  </w:style>
  <w:style w:type="paragraph" w:customStyle="1" w:styleId="40">
    <w:name w:val="正文 1.5 倍行距"/>
    <w:basedOn w:val="1"/>
    <w:qFormat/>
    <w:uiPriority w:val="0"/>
    <w:pPr>
      <w:textAlignment w:val="baseline"/>
    </w:pPr>
    <w:rPr>
      <w:szCs w:val="20"/>
      <w:lang w:val="zh-CN"/>
    </w:rPr>
  </w:style>
  <w:style w:type="paragraph" w:customStyle="1" w:styleId="41">
    <w:name w:val="1级目录"/>
    <w:basedOn w:val="1"/>
    <w:qFormat/>
    <w:uiPriority w:val="0"/>
    <w:pPr>
      <w:numPr>
        <w:ilvl w:val="0"/>
        <w:numId w:val="2"/>
      </w:numPr>
      <w:snapToGrid w:val="0"/>
      <w:spacing w:line="360" w:lineRule="auto"/>
      <w:ind w:firstLineChars="0"/>
      <w:jc w:val="center"/>
      <w:textAlignment w:val="baseline"/>
      <w:outlineLvl w:val="0"/>
    </w:pPr>
    <w:rPr>
      <w:rFonts w:ascii="黑体" w:hAnsi="黑体" w:eastAsia="黑体" w:cs="Times New Roman"/>
      <w:b/>
      <w:sz w:val="30"/>
      <w:szCs w:val="30"/>
    </w:rPr>
  </w:style>
  <w:style w:type="paragraph" w:customStyle="1" w:styleId="42">
    <w:name w:val="文本正文宋体缩进"/>
    <w:basedOn w:val="1"/>
    <w:next w:val="1"/>
    <w:qFormat/>
    <w:uiPriority w:val="0"/>
    <w:pPr>
      <w:spacing w:line="360" w:lineRule="auto"/>
    </w:pPr>
  </w:style>
  <w:style w:type="paragraph" w:customStyle="1" w:styleId="43">
    <w:name w:val="正文（首行缩进2字符）"/>
    <w:basedOn w:val="1"/>
    <w:qFormat/>
    <w:uiPriority w:val="0"/>
    <w:rPr>
      <w:rFonts w:ascii="Calibri" w:hAnsi="Calibri" w:eastAsia="仿宋_GB2312" w:cs="Times New Roman"/>
      <w:sz w:val="30"/>
    </w:rPr>
  </w:style>
  <w:style w:type="paragraph" w:customStyle="1" w:styleId="44">
    <w:name w:val="表正文"/>
    <w:basedOn w:val="1"/>
    <w:qFormat/>
    <w:uiPriority w:val="0"/>
  </w:style>
  <w:style w:type="paragraph" w:styleId="45">
    <w:name w:val="List Paragraph"/>
    <w:basedOn w:val="1"/>
    <w:qFormat/>
    <w:uiPriority w:val="0"/>
  </w:style>
  <w:style w:type="paragraph" w:customStyle="1" w:styleId="46">
    <w:name w:val="Default"/>
    <w:next w:val="47"/>
    <w:qFormat/>
    <w:uiPriority w:val="0"/>
    <w:pPr>
      <w:widowControl w:val="0"/>
    </w:pPr>
    <w:rPr>
      <w:rFonts w:ascii="仿宋_GB2312" w:hAnsi="仿宋_GB2312" w:eastAsia="仿宋_GB2312" w:cs="Times New Roman"/>
      <w:color w:val="000000"/>
      <w:kern w:val="2"/>
      <w:sz w:val="24"/>
      <w:lang w:val="en-US" w:eastAsia="zh-CN" w:bidi="ar-SA"/>
    </w:rPr>
  </w:style>
  <w:style w:type="paragraph" w:customStyle="1" w:styleId="47">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48">
    <w:name w:val="font01"/>
    <w:qFormat/>
    <w:uiPriority w:val="0"/>
    <w:rPr>
      <w:rFonts w:ascii="宋体" w:hAnsi="宋体" w:eastAsia="宋体" w:cs="宋体"/>
      <w:b/>
      <w:color w:val="000000"/>
      <w:sz w:val="24"/>
      <w:szCs w:val="24"/>
      <w:u w:val="none"/>
    </w:rPr>
  </w:style>
  <w:style w:type="character" w:customStyle="1" w:styleId="49">
    <w:name w:val="font21"/>
    <w:basedOn w:val="26"/>
    <w:qFormat/>
    <w:uiPriority w:val="0"/>
    <w:rPr>
      <w:rFonts w:ascii="宋体" w:hAnsi="宋体" w:eastAsia="宋体" w:cs="宋体"/>
      <w:color w:val="000000"/>
      <w:sz w:val="24"/>
      <w:szCs w:val="24"/>
      <w:u w:val="none"/>
    </w:rPr>
  </w:style>
  <w:style w:type="paragraph" w:customStyle="1" w:styleId="50">
    <w:name w:val="1正文"/>
    <w:basedOn w:val="1"/>
    <w:qFormat/>
    <w:uiPriority w:val="0"/>
    <w:rPr>
      <w:rFonts w:ascii="仿宋_GB2312" w:hAnsi="Arial" w:eastAsia="仿宋"/>
      <w:sz w:val="28"/>
      <w:szCs w:val="28"/>
    </w:rPr>
  </w:style>
  <w:style w:type="paragraph" w:customStyle="1" w:styleId="51">
    <w:name w:val="正文文本缩进 21"/>
    <w:basedOn w:val="1"/>
    <w:qFormat/>
    <w:uiPriority w:val="0"/>
    <w:pPr>
      <w:spacing w:after="120" w:line="480" w:lineRule="auto"/>
      <w:ind w:left="200" w:leftChars="200"/>
    </w:pPr>
    <w:rPr>
      <w:rFonts w:ascii="仿宋_GB2312" w:hAnsi="仿宋_GB2312" w:eastAsia="仿宋_GB2312" w:cs="Times New Roman"/>
      <w:szCs w:val="28"/>
    </w:rPr>
  </w:style>
  <w:style w:type="paragraph" w:customStyle="1" w:styleId="52">
    <w:name w:val="列出段落1"/>
    <w:basedOn w:val="1"/>
    <w:qFormat/>
    <w:uiPriority w:val="0"/>
  </w:style>
  <w:style w:type="character" w:customStyle="1" w:styleId="53">
    <w:name w:val="font11"/>
    <w:qFormat/>
    <w:uiPriority w:val="0"/>
    <w:rPr>
      <w:rFonts w:ascii="宋体" w:hAnsi="宋体" w:eastAsia="宋体" w:cs="宋体"/>
      <w:color w:val="000000"/>
      <w:sz w:val="22"/>
      <w:szCs w:val="22"/>
      <w:u w:val="none"/>
    </w:rPr>
  </w:style>
  <w:style w:type="character" w:customStyle="1" w:styleId="54">
    <w:name w:val="font61"/>
    <w:qFormat/>
    <w:uiPriority w:val="0"/>
    <w:rPr>
      <w:rFonts w:ascii="宋体" w:hAnsi="宋体" w:eastAsia="宋体" w:cs="宋体"/>
      <w:color w:val="000000"/>
      <w:sz w:val="22"/>
      <w:szCs w:val="22"/>
      <w:u w:val="none"/>
    </w:rPr>
  </w:style>
  <w:style w:type="character" w:customStyle="1" w:styleId="55">
    <w:name w:val="font71"/>
    <w:qFormat/>
    <w:uiPriority w:val="0"/>
    <w:rPr>
      <w:rFonts w:ascii="宋体" w:hAnsi="宋体" w:eastAsia="宋体" w:cs="宋体"/>
      <w:color w:val="000000"/>
      <w:sz w:val="22"/>
      <w:szCs w:val="22"/>
      <w:u w:val="none"/>
    </w:rPr>
  </w:style>
  <w:style w:type="character" w:customStyle="1" w:styleId="56">
    <w:name w:val="font112"/>
    <w:qFormat/>
    <w:uiPriority w:val="0"/>
    <w:rPr>
      <w:rFonts w:ascii="宋体" w:hAnsi="宋体" w:eastAsia="宋体" w:cs="宋体"/>
      <w:color w:val="000000"/>
      <w:sz w:val="22"/>
      <w:szCs w:val="22"/>
      <w:u w:val="none"/>
    </w:rPr>
  </w:style>
  <w:style w:type="paragraph" w:customStyle="1" w:styleId="57">
    <w:name w:val="正文2"/>
    <w:basedOn w:val="1"/>
    <w:qFormat/>
    <w:uiPriority w:val="0"/>
    <w:pPr>
      <w:spacing w:line="360" w:lineRule="auto"/>
    </w:pPr>
  </w:style>
  <w:style w:type="character" w:customStyle="1" w:styleId="58">
    <w:name w:val="font31"/>
    <w:basedOn w:val="26"/>
    <w:qFormat/>
    <w:uiPriority w:val="0"/>
    <w:rPr>
      <w:rFonts w:ascii="宋体" w:hAnsi="宋体" w:eastAsia="宋体" w:cs="宋体"/>
      <w:color w:val="000000"/>
      <w:sz w:val="22"/>
      <w:szCs w:val="22"/>
      <w:u w:val="none"/>
    </w:rPr>
  </w:style>
  <w:style w:type="paragraph" w:customStyle="1" w:styleId="59">
    <w:name w:val="修订1"/>
    <w:qFormat/>
    <w:uiPriority w:val="0"/>
    <w:rPr>
      <w:rFonts w:ascii="宋体" w:hAnsi="宋体" w:eastAsia="宋体" w:cs="宋体"/>
      <w:color w:val="000000"/>
      <w:sz w:val="24"/>
      <w:szCs w:val="21"/>
      <w:lang w:val="en-US" w:eastAsia="zh-CN" w:bidi="ar-SA"/>
    </w:rPr>
  </w:style>
  <w:style w:type="paragraph" w:customStyle="1" w:styleId="60">
    <w:name w:val="修订2"/>
    <w:qFormat/>
    <w:uiPriority w:val="0"/>
    <w:rPr>
      <w:rFonts w:ascii="宋体" w:hAnsi="宋体" w:eastAsia="宋体" w:cs="宋体"/>
      <w:color w:val="000000"/>
      <w:sz w:val="24"/>
      <w:szCs w:val="21"/>
      <w:lang w:val="en-US" w:eastAsia="zh-CN" w:bidi="ar-SA"/>
    </w:rPr>
  </w:style>
  <w:style w:type="paragraph" w:customStyle="1" w:styleId="61">
    <w:name w:val="Char Char Char Char Char Char Char"/>
    <w:basedOn w:val="1"/>
    <w:qFormat/>
    <w:uiPriority w:val="0"/>
    <w:pPr>
      <w:autoSpaceDE/>
      <w:autoSpaceDN/>
      <w:adjustRightInd/>
      <w:spacing w:line="360" w:lineRule="auto"/>
    </w:pPr>
    <w:rPr>
      <w:rFonts w:ascii="Times New Roman" w:hAnsi="Times New Roman" w:cs="Times New Roman"/>
      <w:snapToGrid w:val="0"/>
      <w:color w:val="auto"/>
      <w:szCs w:val="20"/>
    </w:rPr>
  </w:style>
  <w:style w:type="paragraph" w:customStyle="1" w:styleId="62">
    <w:name w:val="@正文"/>
    <w:basedOn w:val="1"/>
    <w:qFormat/>
    <w:uiPriority w:val="0"/>
    <w:pPr>
      <w:autoSpaceDE/>
      <w:autoSpaceDN/>
      <w:adjustRightInd/>
      <w:spacing w:line="360" w:lineRule="auto"/>
      <w:jc w:val="left"/>
    </w:pPr>
    <w:rPr>
      <w:color w:val="auto"/>
      <w:kern w:val="2"/>
      <w:szCs w:val="20"/>
    </w:rPr>
  </w:style>
  <w:style w:type="paragraph" w:customStyle="1" w:styleId="63">
    <w:name w:val="A_正文_注释"/>
    <w:basedOn w:val="1"/>
    <w:qFormat/>
    <w:uiPriority w:val="0"/>
    <w:pPr>
      <w:tabs>
        <w:tab w:val="left" w:pos="1547"/>
      </w:tabs>
      <w:autoSpaceDE/>
      <w:autoSpaceDN/>
      <w:adjustRightInd/>
      <w:spacing w:line="360" w:lineRule="auto"/>
    </w:pPr>
    <w:rPr>
      <w:rFonts w:ascii="Times New Roman" w:hAnsi="Times New Roman" w:eastAsia="仿宋" w:cs="Arial"/>
      <w:color w:val="0070C0"/>
      <w:kern w:val="2"/>
      <w:sz w:val="30"/>
      <w:szCs w:val="22"/>
    </w:rPr>
  </w:style>
  <w:style w:type="paragraph" w:customStyle="1" w:styleId="64">
    <w:name w:val="无间隔1"/>
    <w:basedOn w:val="1"/>
    <w:qFormat/>
    <w:uiPriority w:val="0"/>
    <w:pPr>
      <w:autoSpaceDE/>
      <w:autoSpaceDN/>
      <w:adjustRightInd/>
      <w:spacing w:line="240" w:lineRule="auto"/>
    </w:pPr>
    <w:rPr>
      <w:rFonts w:ascii="Calibri" w:hAnsi="Calibri" w:cs="Times New Roman"/>
      <w:color w:val="auto"/>
      <w:kern w:val="2"/>
      <w:sz w:val="21"/>
    </w:rPr>
  </w:style>
  <w:style w:type="paragraph" w:styleId="65">
    <w:name w:val="No Spacing"/>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66">
    <w:name w:val="Revision"/>
    <w:hidden/>
    <w:unhideWhenUsed/>
    <w:qFormat/>
    <w:uiPriority w:val="99"/>
    <w:rPr>
      <w:rFonts w:ascii="宋体" w:hAnsi="宋体" w:eastAsia="宋体" w:cs="宋体"/>
      <w:color w:val="00000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29</Pages>
  <Words>21061</Words>
  <Characters>22422</Characters>
  <Lines>162</Lines>
  <Paragraphs>45</Paragraphs>
  <TotalTime>3</TotalTime>
  <ScaleCrop>false</ScaleCrop>
  <LinksUpToDate>false</LinksUpToDate>
  <CharactersWithSpaces>22484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2021-12-27T20:07:00Z</dcterms:created>
  <dc:creator>艾伦_real</dc:creator>
  <cp:lastModifiedBy>章晓军</cp:lastModifiedBy>
  <cp:lastPrinted>2024-01-17T17:33:00Z</cp:lastPrinted>
  <dcterms:modified xsi:type="dcterms:W3CDTF">2024-09-13T06:12:14Z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C32B3D985E444F27BE083B100B7F2A17</vt:lpwstr>
  </property>
</Properties>
</file>