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3C611">
      <w:pPr>
        <w:spacing w:after="120"/>
        <w:rPr>
          <w:rFonts w:ascii="仿宋" w:hAnsi="仿宋" w:eastAsia="仿宋" w:cs="仿宋"/>
          <w:color w:val="auto"/>
          <w:sz w:val="72"/>
          <w:szCs w:val="72"/>
        </w:rPr>
      </w:pPr>
    </w:p>
    <w:p w14:paraId="797FFCA7">
      <w:pPr>
        <w:spacing w:after="120"/>
        <w:jc w:val="center"/>
        <w:rPr>
          <w:rFonts w:ascii="仿宋" w:hAnsi="仿宋" w:eastAsia="仿宋" w:cs="仿宋"/>
          <w:color w:val="auto"/>
          <w:sz w:val="72"/>
          <w:szCs w:val="72"/>
        </w:rPr>
      </w:pPr>
      <w:r>
        <w:rPr>
          <w:rFonts w:hint="eastAsia" w:ascii="仿宋" w:hAnsi="仿宋" w:eastAsia="仿宋" w:cs="仿宋"/>
          <w:color w:val="auto"/>
          <w:sz w:val="72"/>
          <w:szCs w:val="72"/>
        </w:rPr>
        <w:t>国内服务类项目</w:t>
      </w:r>
    </w:p>
    <w:p w14:paraId="5235DC20">
      <w:pPr>
        <w:spacing w:after="120"/>
        <w:jc w:val="center"/>
        <w:rPr>
          <w:rFonts w:ascii="仿宋" w:hAnsi="仿宋" w:eastAsia="仿宋" w:cs="仿宋"/>
          <w:color w:val="auto"/>
          <w:sz w:val="72"/>
          <w:szCs w:val="72"/>
        </w:rPr>
      </w:pPr>
      <w:r>
        <w:rPr>
          <w:rFonts w:hint="eastAsia" w:ascii="仿宋" w:hAnsi="仿宋" w:eastAsia="仿宋" w:cs="仿宋"/>
          <w:color w:val="auto"/>
          <w:sz w:val="72"/>
          <w:szCs w:val="72"/>
        </w:rPr>
        <w:t>比价谈判采购文件</w:t>
      </w:r>
    </w:p>
    <w:p w14:paraId="28A58700">
      <w:pPr>
        <w:jc w:val="center"/>
        <w:rPr>
          <w:rFonts w:ascii="仿宋" w:hAnsi="仿宋" w:eastAsia="仿宋" w:cs="仿宋"/>
          <w:color w:val="auto"/>
          <w:sz w:val="44"/>
        </w:rPr>
      </w:pPr>
    </w:p>
    <w:p w14:paraId="1B644F54">
      <w:pPr>
        <w:rPr>
          <w:rFonts w:ascii="仿宋" w:hAnsi="仿宋" w:eastAsia="仿宋" w:cs="仿宋"/>
          <w:color w:val="auto"/>
          <w:sz w:val="44"/>
        </w:rPr>
      </w:pPr>
    </w:p>
    <w:tbl>
      <w:tblPr>
        <w:tblStyle w:val="49"/>
        <w:tblpPr w:leftFromText="180" w:rightFromText="180" w:vertAnchor="text" w:horzAnchor="page" w:tblpXSpec="center" w:tblpY="451"/>
        <w:tblW w:w="8964" w:type="dxa"/>
        <w:tblInd w:w="-351" w:type="dxa"/>
        <w:tblLayout w:type="fixed"/>
        <w:tblCellMar>
          <w:top w:w="0" w:type="dxa"/>
          <w:left w:w="108" w:type="dxa"/>
          <w:bottom w:w="0" w:type="dxa"/>
          <w:right w:w="108" w:type="dxa"/>
        </w:tblCellMar>
      </w:tblPr>
      <w:tblGrid>
        <w:gridCol w:w="2460"/>
        <w:gridCol w:w="6504"/>
      </w:tblGrid>
      <w:tr w14:paraId="08C5B729">
        <w:tblPrEx>
          <w:tblCellMar>
            <w:top w:w="0" w:type="dxa"/>
            <w:left w:w="108" w:type="dxa"/>
            <w:bottom w:w="0" w:type="dxa"/>
            <w:right w:w="108" w:type="dxa"/>
          </w:tblCellMar>
        </w:tblPrEx>
        <w:trPr>
          <w:trHeight w:val="1412" w:hRule="atLeast"/>
        </w:trPr>
        <w:tc>
          <w:tcPr>
            <w:tcW w:w="2460" w:type="dxa"/>
            <w:vAlign w:val="center"/>
          </w:tcPr>
          <w:p w14:paraId="2F5892CB">
            <w:pPr>
              <w:ind w:right="-216"/>
              <w:jc w:val="center"/>
              <w:rPr>
                <w:rFonts w:ascii="仿宋" w:hAnsi="仿宋" w:eastAsia="仿宋" w:cs="仿宋"/>
                <w:color w:val="auto"/>
                <w:sz w:val="32"/>
                <w:szCs w:val="36"/>
              </w:rPr>
            </w:pPr>
            <w:r>
              <w:rPr>
                <w:rFonts w:hint="eastAsia" w:ascii="仿宋" w:hAnsi="仿宋" w:eastAsia="仿宋" w:cs="仿宋"/>
                <w:color w:val="auto"/>
                <w:sz w:val="32"/>
                <w:szCs w:val="36"/>
              </w:rPr>
              <w:t>项目编号：</w:t>
            </w:r>
          </w:p>
        </w:tc>
        <w:tc>
          <w:tcPr>
            <w:tcW w:w="6504" w:type="dxa"/>
            <w:vAlign w:val="center"/>
          </w:tcPr>
          <w:p w14:paraId="3C945B70">
            <w:pPr>
              <w:jc w:val="center"/>
              <w:rPr>
                <w:rFonts w:hint="eastAsia" w:ascii="仿宋" w:hAnsi="仿宋" w:eastAsia="仿宋" w:cs="仿宋"/>
                <w:color w:val="auto"/>
                <w:sz w:val="32"/>
                <w:szCs w:val="36"/>
                <w:lang w:eastAsia="zh-CN"/>
              </w:rPr>
            </w:pPr>
            <w:r>
              <w:rPr>
                <w:rFonts w:hint="eastAsia" w:ascii="仿宋" w:hAnsi="仿宋" w:eastAsia="仿宋" w:cs="仿宋"/>
                <w:color w:val="auto"/>
                <w:sz w:val="32"/>
                <w:szCs w:val="36"/>
                <w:lang w:eastAsia="zh-CN"/>
              </w:rPr>
              <w:t xml:space="preserve">NBXC-2025-003   </w:t>
            </w:r>
          </w:p>
        </w:tc>
      </w:tr>
      <w:tr w14:paraId="33638D45">
        <w:tblPrEx>
          <w:tblCellMar>
            <w:top w:w="0" w:type="dxa"/>
            <w:left w:w="108" w:type="dxa"/>
            <w:bottom w:w="0" w:type="dxa"/>
            <w:right w:w="108" w:type="dxa"/>
          </w:tblCellMar>
        </w:tblPrEx>
        <w:trPr>
          <w:trHeight w:val="1435" w:hRule="atLeast"/>
        </w:trPr>
        <w:tc>
          <w:tcPr>
            <w:tcW w:w="2460" w:type="dxa"/>
            <w:vAlign w:val="center"/>
          </w:tcPr>
          <w:p w14:paraId="04B680E3">
            <w:pPr>
              <w:ind w:right="-216"/>
              <w:jc w:val="center"/>
              <w:rPr>
                <w:rFonts w:ascii="仿宋" w:hAnsi="仿宋" w:eastAsia="仿宋" w:cs="仿宋"/>
                <w:color w:val="auto"/>
                <w:sz w:val="32"/>
                <w:szCs w:val="36"/>
              </w:rPr>
            </w:pPr>
            <w:r>
              <w:rPr>
                <w:rFonts w:hint="eastAsia" w:ascii="仿宋" w:hAnsi="仿宋" w:eastAsia="仿宋" w:cs="仿宋"/>
                <w:color w:val="auto"/>
                <w:sz w:val="32"/>
                <w:szCs w:val="36"/>
              </w:rPr>
              <w:t>项目名称：</w:t>
            </w:r>
          </w:p>
        </w:tc>
        <w:tc>
          <w:tcPr>
            <w:tcW w:w="6504" w:type="dxa"/>
            <w:vAlign w:val="center"/>
          </w:tcPr>
          <w:p w14:paraId="71B52A39">
            <w:pPr>
              <w:widowControl/>
              <w:spacing w:line="400" w:lineRule="exact"/>
              <w:jc w:val="center"/>
              <w:rPr>
                <w:rFonts w:hint="eastAsia" w:ascii="仿宋" w:hAnsi="仿宋" w:eastAsia="仿宋" w:cs="仿宋"/>
                <w:color w:val="auto"/>
                <w:sz w:val="32"/>
                <w:szCs w:val="36"/>
                <w:lang w:eastAsia="zh-CN"/>
              </w:rPr>
            </w:pPr>
            <w:r>
              <w:rPr>
                <w:rFonts w:hint="eastAsia" w:ascii="仿宋" w:hAnsi="仿宋" w:eastAsia="仿宋" w:cs="仿宋"/>
                <w:color w:val="auto"/>
                <w:sz w:val="32"/>
                <w:szCs w:val="36"/>
                <w:lang w:eastAsia="zh-CN"/>
              </w:rPr>
              <w:t>梁弄镇白水冲村P2.5彩LED显示屏及音响</w:t>
            </w:r>
          </w:p>
          <w:p w14:paraId="76E8E163">
            <w:pPr>
              <w:widowControl/>
              <w:spacing w:line="400" w:lineRule="exact"/>
              <w:jc w:val="center"/>
              <w:rPr>
                <w:rFonts w:hint="eastAsia" w:ascii="仿宋" w:hAnsi="仿宋" w:eastAsia="仿宋" w:cs="仿宋"/>
                <w:color w:val="auto"/>
                <w:sz w:val="32"/>
                <w:szCs w:val="36"/>
                <w:lang w:eastAsia="zh-CN"/>
              </w:rPr>
            </w:pPr>
            <w:r>
              <w:rPr>
                <w:rFonts w:hint="eastAsia" w:ascii="仿宋" w:hAnsi="仿宋" w:eastAsia="仿宋" w:cs="仿宋"/>
                <w:color w:val="auto"/>
                <w:sz w:val="32"/>
                <w:szCs w:val="36"/>
                <w:lang w:eastAsia="zh-CN"/>
              </w:rPr>
              <w:t>设备采购项目</w:t>
            </w:r>
          </w:p>
        </w:tc>
      </w:tr>
      <w:tr w14:paraId="5DB2A412">
        <w:tblPrEx>
          <w:tblCellMar>
            <w:top w:w="0" w:type="dxa"/>
            <w:left w:w="108" w:type="dxa"/>
            <w:bottom w:w="0" w:type="dxa"/>
            <w:right w:w="108" w:type="dxa"/>
          </w:tblCellMar>
        </w:tblPrEx>
        <w:trPr>
          <w:trHeight w:val="1443" w:hRule="atLeast"/>
        </w:trPr>
        <w:tc>
          <w:tcPr>
            <w:tcW w:w="2460" w:type="dxa"/>
            <w:vAlign w:val="center"/>
          </w:tcPr>
          <w:p w14:paraId="6BB80D8C">
            <w:pPr>
              <w:ind w:right="-216"/>
              <w:jc w:val="center"/>
              <w:rPr>
                <w:rFonts w:ascii="仿宋" w:hAnsi="仿宋" w:eastAsia="仿宋" w:cs="仿宋"/>
                <w:color w:val="auto"/>
                <w:sz w:val="32"/>
                <w:szCs w:val="36"/>
              </w:rPr>
            </w:pPr>
            <w:r>
              <w:rPr>
                <w:rFonts w:hint="eastAsia" w:ascii="仿宋" w:hAnsi="仿宋" w:eastAsia="仿宋" w:cs="仿宋"/>
                <w:color w:val="auto"/>
                <w:sz w:val="32"/>
                <w:szCs w:val="36"/>
              </w:rPr>
              <w:t>采 购 人：</w:t>
            </w:r>
          </w:p>
        </w:tc>
        <w:tc>
          <w:tcPr>
            <w:tcW w:w="6504" w:type="dxa"/>
            <w:vAlign w:val="center"/>
          </w:tcPr>
          <w:p w14:paraId="4E37A99A">
            <w:pPr>
              <w:jc w:val="center"/>
              <w:rPr>
                <w:rFonts w:hint="eastAsia" w:ascii="仿宋" w:hAnsi="仿宋" w:eastAsia="仿宋" w:cs="仿宋"/>
                <w:color w:val="auto"/>
                <w:sz w:val="32"/>
                <w:szCs w:val="36"/>
                <w:lang w:eastAsia="zh-CN"/>
              </w:rPr>
            </w:pPr>
            <w:r>
              <w:rPr>
                <w:rFonts w:hint="eastAsia" w:ascii="仿宋" w:hAnsi="仿宋" w:eastAsia="仿宋" w:cs="仿宋"/>
                <w:color w:val="auto"/>
                <w:sz w:val="32"/>
                <w:szCs w:val="36"/>
                <w:lang w:eastAsia="zh-CN"/>
              </w:rPr>
              <w:t>余姚市梁弄镇白水冲村股份经济合作社</w:t>
            </w:r>
          </w:p>
        </w:tc>
      </w:tr>
      <w:tr w14:paraId="421D0CEC">
        <w:tblPrEx>
          <w:tblCellMar>
            <w:top w:w="0" w:type="dxa"/>
            <w:left w:w="108" w:type="dxa"/>
            <w:bottom w:w="0" w:type="dxa"/>
            <w:right w:w="108" w:type="dxa"/>
          </w:tblCellMar>
        </w:tblPrEx>
        <w:trPr>
          <w:trHeight w:val="1443" w:hRule="atLeast"/>
        </w:trPr>
        <w:tc>
          <w:tcPr>
            <w:tcW w:w="2460" w:type="dxa"/>
            <w:vAlign w:val="center"/>
          </w:tcPr>
          <w:p w14:paraId="73BAA525">
            <w:pPr>
              <w:ind w:right="-216"/>
              <w:jc w:val="center"/>
              <w:rPr>
                <w:rFonts w:ascii="仿宋" w:hAnsi="仿宋" w:eastAsia="仿宋" w:cs="仿宋"/>
                <w:color w:val="auto"/>
                <w:sz w:val="32"/>
                <w:szCs w:val="36"/>
              </w:rPr>
            </w:pPr>
            <w:r>
              <w:rPr>
                <w:rFonts w:hint="eastAsia" w:ascii="仿宋" w:hAnsi="仿宋" w:eastAsia="仿宋" w:cs="仿宋"/>
                <w:color w:val="auto"/>
                <w:sz w:val="32"/>
                <w:szCs w:val="36"/>
              </w:rPr>
              <w:t xml:space="preserve">采购代理机构：       </w:t>
            </w:r>
          </w:p>
        </w:tc>
        <w:tc>
          <w:tcPr>
            <w:tcW w:w="6504" w:type="dxa"/>
            <w:vAlign w:val="center"/>
          </w:tcPr>
          <w:p w14:paraId="2B960CC3">
            <w:pPr>
              <w:jc w:val="center"/>
              <w:rPr>
                <w:rFonts w:hint="eastAsia" w:ascii="仿宋" w:hAnsi="仿宋" w:eastAsia="仿宋" w:cs="仿宋"/>
                <w:color w:val="auto"/>
                <w:sz w:val="32"/>
                <w:szCs w:val="36"/>
                <w:lang w:eastAsia="zh-CN"/>
              </w:rPr>
            </w:pPr>
            <w:r>
              <w:rPr>
                <w:rFonts w:hint="eastAsia" w:ascii="仿宋" w:hAnsi="仿宋" w:eastAsia="仿宋" w:cs="仿宋"/>
                <w:color w:val="auto"/>
                <w:sz w:val="32"/>
                <w:szCs w:val="36"/>
                <w:lang w:eastAsia="zh-CN"/>
              </w:rPr>
              <w:t>宁波旭诚工程项目管理有限公司</w:t>
            </w:r>
          </w:p>
        </w:tc>
      </w:tr>
    </w:tbl>
    <w:p w14:paraId="1BC60DDA">
      <w:pPr>
        <w:jc w:val="left"/>
        <w:rPr>
          <w:rFonts w:ascii="仿宋" w:hAnsi="仿宋" w:eastAsia="仿宋" w:cs="仿宋"/>
          <w:color w:val="auto"/>
          <w:sz w:val="40"/>
          <w:u w:val="single"/>
        </w:rPr>
      </w:pPr>
    </w:p>
    <w:p w14:paraId="57418D12">
      <w:pPr>
        <w:pStyle w:val="17"/>
        <w:rPr>
          <w:rFonts w:ascii="仿宋" w:hAnsi="仿宋" w:eastAsia="仿宋" w:cs="仿宋"/>
          <w:color w:val="auto"/>
          <w:sz w:val="20"/>
        </w:rPr>
      </w:pPr>
    </w:p>
    <w:p w14:paraId="1F3EFA00">
      <w:pPr>
        <w:pStyle w:val="17"/>
        <w:rPr>
          <w:rFonts w:ascii="仿宋" w:hAnsi="仿宋" w:eastAsia="仿宋" w:cs="仿宋"/>
          <w:color w:val="auto"/>
        </w:rPr>
      </w:pPr>
    </w:p>
    <w:p w14:paraId="2CB801AD">
      <w:pPr>
        <w:pStyle w:val="17"/>
        <w:rPr>
          <w:rFonts w:ascii="仿宋" w:hAnsi="仿宋" w:eastAsia="仿宋" w:cs="仿宋"/>
          <w:color w:val="auto"/>
        </w:rPr>
      </w:pPr>
    </w:p>
    <w:p w14:paraId="68FD5CB3">
      <w:pPr>
        <w:pStyle w:val="17"/>
        <w:rPr>
          <w:rFonts w:ascii="仿宋" w:hAnsi="仿宋" w:eastAsia="仿宋" w:cs="仿宋"/>
          <w:color w:val="auto"/>
        </w:rPr>
      </w:pPr>
    </w:p>
    <w:p w14:paraId="22F21B3E">
      <w:pPr>
        <w:pStyle w:val="17"/>
        <w:rPr>
          <w:rFonts w:ascii="仿宋" w:hAnsi="仿宋" w:eastAsia="仿宋" w:cs="仿宋"/>
          <w:color w:val="auto"/>
        </w:rPr>
      </w:pPr>
    </w:p>
    <w:p w14:paraId="3FC54FF3">
      <w:pPr>
        <w:jc w:val="center"/>
        <w:rPr>
          <w:rFonts w:ascii="仿宋" w:hAnsi="仿宋" w:eastAsia="仿宋" w:cs="仿宋"/>
          <w:color w:val="auto"/>
          <w:sz w:val="36"/>
          <w:szCs w:val="36"/>
        </w:rPr>
        <w:sectPr>
          <w:footerReference r:id="rId3" w:type="default"/>
          <w:pgSz w:w="11907" w:h="16840"/>
          <w:pgMar w:top="1440" w:right="1440" w:bottom="1440" w:left="1440" w:header="851" w:footer="992" w:gutter="0"/>
          <w:pgNumType w:start="1"/>
          <w:cols w:space="720" w:num="1"/>
          <w:docGrid w:linePitch="312" w:charSpace="0"/>
        </w:sectPr>
      </w:pPr>
      <w:r>
        <w:rPr>
          <w:rFonts w:hint="eastAsia" w:ascii="仿宋" w:hAnsi="仿宋" w:eastAsia="仿宋" w:cs="仿宋"/>
          <w:color w:val="auto"/>
          <w:sz w:val="36"/>
          <w:szCs w:val="36"/>
        </w:rPr>
        <w:t>日期：二0二</w:t>
      </w:r>
      <w:r>
        <w:rPr>
          <w:rFonts w:hint="eastAsia" w:ascii="仿宋" w:hAnsi="仿宋" w:eastAsia="仿宋" w:cs="仿宋"/>
          <w:color w:val="auto"/>
          <w:sz w:val="36"/>
          <w:szCs w:val="36"/>
          <w:lang w:val="en-US" w:eastAsia="zh-CN"/>
        </w:rPr>
        <w:t>五</w:t>
      </w:r>
      <w:r>
        <w:rPr>
          <w:rFonts w:hint="eastAsia" w:ascii="仿宋" w:hAnsi="仿宋" w:eastAsia="仿宋" w:cs="仿宋"/>
          <w:color w:val="auto"/>
          <w:sz w:val="36"/>
          <w:szCs w:val="36"/>
        </w:rPr>
        <w:t>年</w:t>
      </w:r>
      <w:r>
        <w:rPr>
          <w:rFonts w:hint="eastAsia" w:ascii="仿宋" w:hAnsi="仿宋" w:eastAsia="仿宋" w:cs="仿宋"/>
          <w:color w:val="auto"/>
          <w:sz w:val="36"/>
          <w:szCs w:val="36"/>
          <w:lang w:val="en-US" w:eastAsia="zh-CN"/>
        </w:rPr>
        <w:t>一</w:t>
      </w:r>
      <w:r>
        <w:rPr>
          <w:rFonts w:hint="eastAsia" w:ascii="仿宋" w:hAnsi="仿宋" w:eastAsia="仿宋" w:cs="仿宋"/>
          <w:color w:val="auto"/>
          <w:sz w:val="36"/>
          <w:szCs w:val="36"/>
        </w:rPr>
        <w:t>月</w:t>
      </w:r>
      <w:bookmarkStart w:id="0" w:name="_Toc325378546"/>
    </w:p>
    <w:p w14:paraId="31282B87">
      <w:pPr>
        <w:pStyle w:val="2"/>
        <w:tabs>
          <w:tab w:val="center" w:pos="4156"/>
          <w:tab w:val="left" w:pos="5220"/>
        </w:tabs>
        <w:spacing w:before="120" w:after="12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第一章  </w:t>
      </w:r>
      <w:bookmarkEnd w:id="0"/>
      <w:r>
        <w:rPr>
          <w:rFonts w:hint="eastAsia" w:ascii="仿宋" w:hAnsi="仿宋" w:eastAsia="仿宋" w:cs="仿宋"/>
          <w:color w:val="auto"/>
          <w:sz w:val="24"/>
          <w:szCs w:val="24"/>
        </w:rPr>
        <w:t>比价谈判公告</w:t>
      </w:r>
    </w:p>
    <w:p w14:paraId="522CFAAC">
      <w:pPr>
        <w:spacing w:line="3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根据《中华人民共和国政府采购法》、《中华人民共和国政府采购法实施条例》等有关规定，</w:t>
      </w:r>
      <w:r>
        <w:rPr>
          <w:rFonts w:hint="eastAsia" w:ascii="仿宋" w:hAnsi="仿宋" w:eastAsia="仿宋" w:cs="仿宋"/>
          <w:color w:val="auto"/>
          <w:sz w:val="24"/>
          <w:szCs w:val="24"/>
          <w:lang w:eastAsia="zh-CN"/>
        </w:rPr>
        <w:t>宁波旭诚工程项目管理有限公司</w:t>
      </w:r>
      <w:r>
        <w:rPr>
          <w:rFonts w:hint="eastAsia" w:ascii="仿宋" w:hAnsi="仿宋" w:eastAsia="仿宋" w:cs="仿宋"/>
          <w:color w:val="auto"/>
          <w:sz w:val="24"/>
          <w:szCs w:val="24"/>
        </w:rPr>
        <w:t>受</w:t>
      </w:r>
      <w:r>
        <w:rPr>
          <w:rFonts w:hint="eastAsia" w:ascii="仿宋" w:hAnsi="仿宋" w:eastAsia="仿宋" w:cs="仿宋"/>
          <w:color w:val="auto"/>
          <w:sz w:val="24"/>
          <w:szCs w:val="24"/>
          <w:lang w:eastAsia="zh-CN"/>
        </w:rPr>
        <w:t>余姚市梁弄镇白水冲村股份经济合作社</w:t>
      </w:r>
      <w:r>
        <w:rPr>
          <w:rFonts w:hint="eastAsia" w:ascii="仿宋" w:hAnsi="仿宋" w:eastAsia="仿宋" w:cs="仿宋"/>
          <w:color w:val="auto"/>
          <w:sz w:val="24"/>
          <w:szCs w:val="24"/>
        </w:rPr>
        <w:t>委托，就</w:t>
      </w:r>
      <w:r>
        <w:rPr>
          <w:rFonts w:hint="eastAsia" w:ascii="仿宋" w:hAnsi="仿宋" w:eastAsia="仿宋" w:cs="仿宋"/>
          <w:color w:val="auto"/>
          <w:sz w:val="24"/>
          <w:szCs w:val="24"/>
          <w:lang w:eastAsia="zh-CN"/>
        </w:rPr>
        <w:t>梁弄镇白水冲村P2.5彩LED显示屏及音响设备采购项目</w:t>
      </w:r>
      <w:r>
        <w:rPr>
          <w:rFonts w:hint="eastAsia" w:ascii="仿宋" w:hAnsi="仿宋" w:eastAsia="仿宋" w:cs="仿宋"/>
          <w:color w:val="auto"/>
          <w:sz w:val="24"/>
          <w:szCs w:val="24"/>
        </w:rPr>
        <w:t>进行比价谈判采购，欢迎符合资格条件的供应商前来比价谈判。</w:t>
      </w:r>
    </w:p>
    <w:p w14:paraId="0E4890E5">
      <w:pPr>
        <w:tabs>
          <w:tab w:val="right" w:pos="8313"/>
        </w:tabs>
        <w:snapToGrid w:val="0"/>
        <w:spacing w:line="360" w:lineRule="exact"/>
        <w:rPr>
          <w:rFonts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b/>
          <w:bCs/>
          <w:color w:val="auto"/>
          <w:sz w:val="24"/>
          <w:szCs w:val="24"/>
        </w:rPr>
        <w:t>项目编号：</w:t>
      </w:r>
      <w:r>
        <w:rPr>
          <w:rFonts w:hint="eastAsia" w:ascii="仿宋" w:hAnsi="仿宋" w:eastAsia="仿宋" w:cs="仿宋"/>
          <w:color w:val="auto"/>
          <w:sz w:val="24"/>
          <w:szCs w:val="24"/>
          <w:lang w:eastAsia="zh-CN"/>
        </w:rPr>
        <w:t xml:space="preserve">NBXC-2025-003 </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rPr>
        <w:tab/>
      </w:r>
    </w:p>
    <w:p w14:paraId="59FE8B2C">
      <w:pPr>
        <w:snapToGrid w:val="0"/>
        <w:spacing w:line="360" w:lineRule="exact"/>
        <w:rPr>
          <w:rFonts w:ascii="仿宋" w:hAnsi="仿宋" w:eastAsia="仿宋" w:cs="仿宋"/>
          <w:b/>
          <w:color w:val="auto"/>
          <w:sz w:val="24"/>
          <w:szCs w:val="24"/>
        </w:rPr>
      </w:pPr>
      <w:r>
        <w:rPr>
          <w:rFonts w:hint="eastAsia" w:ascii="仿宋" w:hAnsi="仿宋" w:eastAsia="仿宋" w:cs="仿宋"/>
          <w:b/>
          <w:color w:val="auto"/>
          <w:sz w:val="24"/>
          <w:szCs w:val="24"/>
        </w:rPr>
        <w:t>二、项目概况：</w:t>
      </w:r>
    </w:p>
    <w:tbl>
      <w:tblPr>
        <w:tblStyle w:val="49"/>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171"/>
        <w:gridCol w:w="2363"/>
        <w:gridCol w:w="1559"/>
        <w:gridCol w:w="1603"/>
      </w:tblGrid>
      <w:tr w14:paraId="45E8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37" w:type="dxa"/>
            <w:vAlign w:val="center"/>
          </w:tcPr>
          <w:p w14:paraId="1FCA4262">
            <w:pPr>
              <w:adjustRightInd w:val="0"/>
              <w:snapToGrid w:val="0"/>
              <w:spacing w:line="3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子包</w:t>
            </w:r>
          </w:p>
        </w:tc>
        <w:tc>
          <w:tcPr>
            <w:tcW w:w="3171" w:type="dxa"/>
            <w:vAlign w:val="center"/>
          </w:tcPr>
          <w:p w14:paraId="27841C29">
            <w:pPr>
              <w:adjustRightInd w:val="0"/>
              <w:snapToGrid w:val="0"/>
              <w:spacing w:line="360" w:lineRule="exact"/>
              <w:jc w:val="center"/>
              <w:rPr>
                <w:rFonts w:ascii="仿宋" w:hAnsi="仿宋" w:eastAsia="仿宋" w:cs="仿宋"/>
                <w:b/>
                <w:color w:val="auto"/>
                <w:sz w:val="24"/>
              </w:rPr>
            </w:pPr>
            <w:r>
              <w:rPr>
                <w:rFonts w:hint="eastAsia" w:ascii="仿宋" w:hAnsi="仿宋" w:eastAsia="仿宋" w:cs="仿宋"/>
                <w:b/>
                <w:color w:val="auto"/>
                <w:sz w:val="24"/>
              </w:rPr>
              <w:t>采购内容</w:t>
            </w:r>
          </w:p>
        </w:tc>
        <w:tc>
          <w:tcPr>
            <w:tcW w:w="2363" w:type="dxa"/>
            <w:vAlign w:val="center"/>
          </w:tcPr>
          <w:p w14:paraId="2F28AECA">
            <w:pPr>
              <w:adjustRightInd w:val="0"/>
              <w:snapToGrid w:val="0"/>
              <w:spacing w:line="360" w:lineRule="exact"/>
              <w:jc w:val="center"/>
              <w:rPr>
                <w:rFonts w:ascii="仿宋" w:hAnsi="仿宋" w:eastAsia="仿宋" w:cs="仿宋"/>
                <w:b/>
                <w:color w:val="auto"/>
                <w:sz w:val="24"/>
              </w:rPr>
            </w:pPr>
            <w:r>
              <w:rPr>
                <w:rFonts w:hint="eastAsia" w:ascii="仿宋" w:hAnsi="仿宋" w:eastAsia="仿宋" w:cs="仿宋"/>
                <w:b/>
                <w:color w:val="auto"/>
                <w:sz w:val="24"/>
              </w:rPr>
              <w:t>服务期</w:t>
            </w:r>
          </w:p>
        </w:tc>
        <w:tc>
          <w:tcPr>
            <w:tcW w:w="1559" w:type="dxa"/>
            <w:vAlign w:val="center"/>
          </w:tcPr>
          <w:p w14:paraId="21CB35B1">
            <w:pPr>
              <w:adjustRightInd w:val="0"/>
              <w:snapToGrid w:val="0"/>
              <w:spacing w:line="360" w:lineRule="exact"/>
              <w:jc w:val="center"/>
              <w:rPr>
                <w:rFonts w:ascii="仿宋" w:hAnsi="仿宋" w:eastAsia="仿宋" w:cs="仿宋"/>
                <w:color w:val="auto"/>
                <w:sz w:val="24"/>
                <w:szCs w:val="24"/>
              </w:rPr>
            </w:pPr>
            <w:r>
              <w:rPr>
                <w:rFonts w:hint="eastAsia" w:ascii="仿宋" w:hAnsi="仿宋" w:eastAsia="仿宋" w:cs="仿宋"/>
                <w:b/>
                <w:color w:val="auto"/>
                <w:sz w:val="24"/>
              </w:rPr>
              <w:t>预算金额/最高限价</w:t>
            </w:r>
          </w:p>
        </w:tc>
        <w:tc>
          <w:tcPr>
            <w:tcW w:w="1603" w:type="dxa"/>
            <w:vAlign w:val="center"/>
          </w:tcPr>
          <w:p w14:paraId="111AC2A9">
            <w:pPr>
              <w:adjustRightInd w:val="0"/>
              <w:snapToGrid w:val="0"/>
              <w:spacing w:line="360" w:lineRule="exact"/>
              <w:jc w:val="center"/>
              <w:rPr>
                <w:rFonts w:ascii="仿宋" w:hAnsi="仿宋" w:eastAsia="仿宋" w:cs="仿宋"/>
                <w:b/>
                <w:color w:val="auto"/>
                <w:sz w:val="24"/>
              </w:rPr>
            </w:pPr>
            <w:r>
              <w:rPr>
                <w:rFonts w:hint="eastAsia" w:ascii="仿宋" w:hAnsi="仿宋" w:eastAsia="仿宋" w:cs="仿宋"/>
                <w:b/>
                <w:color w:val="auto"/>
                <w:sz w:val="24"/>
              </w:rPr>
              <w:t>采购内容及要求</w:t>
            </w:r>
          </w:p>
        </w:tc>
      </w:tr>
      <w:tr w14:paraId="22CB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37" w:type="dxa"/>
            <w:vAlign w:val="center"/>
          </w:tcPr>
          <w:p w14:paraId="36531A84">
            <w:pPr>
              <w:adjustRightInd w:val="0"/>
              <w:snapToGrid w:val="0"/>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3171" w:type="dxa"/>
            <w:vAlign w:val="center"/>
          </w:tcPr>
          <w:p w14:paraId="2410D1D5">
            <w:pPr>
              <w:adjustRightInd w:val="0"/>
              <w:snapToGrid w:val="0"/>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梁弄镇白水冲村P2.5彩LED显示屏及音响设备采购项目</w:t>
            </w:r>
          </w:p>
        </w:tc>
        <w:tc>
          <w:tcPr>
            <w:tcW w:w="2363" w:type="dxa"/>
            <w:vAlign w:val="center"/>
          </w:tcPr>
          <w:p w14:paraId="40706068">
            <w:pPr>
              <w:adjustRightInd w:val="0"/>
              <w:snapToGrid w:val="0"/>
              <w:spacing w:line="36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合同签订之日起20日历天内完成供货、安装且通过验收</w:t>
            </w:r>
          </w:p>
        </w:tc>
        <w:tc>
          <w:tcPr>
            <w:tcW w:w="1559" w:type="dxa"/>
            <w:vAlign w:val="center"/>
          </w:tcPr>
          <w:p w14:paraId="18853A9C">
            <w:pPr>
              <w:spacing w:line="360" w:lineRule="auto"/>
              <w:jc w:val="center"/>
              <w:rPr>
                <w:rFonts w:ascii="仿宋" w:hAnsi="仿宋" w:eastAsia="仿宋" w:cs="仿宋"/>
                <w:color w:val="auto"/>
                <w:sz w:val="24"/>
                <w:szCs w:val="24"/>
              </w:rPr>
            </w:pPr>
            <w:r>
              <w:rPr>
                <w:rFonts w:hint="eastAsia" w:ascii="仿宋" w:hAnsi="仿宋" w:eastAsia="仿宋" w:cs="仿宋"/>
                <w:color w:val="auto"/>
                <w:sz w:val="24"/>
                <w:lang w:eastAsia="zh-CN"/>
              </w:rPr>
              <w:t>137300</w:t>
            </w:r>
            <w:r>
              <w:rPr>
                <w:rFonts w:ascii="仿宋" w:hAnsi="仿宋" w:eastAsia="仿宋" w:cs="仿宋"/>
                <w:color w:val="auto"/>
                <w:sz w:val="24"/>
              </w:rPr>
              <w:t>元</w:t>
            </w:r>
          </w:p>
        </w:tc>
        <w:tc>
          <w:tcPr>
            <w:tcW w:w="1603" w:type="dxa"/>
            <w:vAlign w:val="center"/>
          </w:tcPr>
          <w:p w14:paraId="5F7B6139">
            <w:pPr>
              <w:adjustRightInd w:val="0"/>
              <w:snapToGrid w:val="0"/>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详见采购文件第四章</w:t>
            </w:r>
          </w:p>
        </w:tc>
      </w:tr>
    </w:tbl>
    <w:p w14:paraId="303422DC">
      <w:pPr>
        <w:spacing w:line="360" w:lineRule="exact"/>
        <w:rPr>
          <w:rFonts w:ascii="仿宋" w:hAnsi="仿宋" w:eastAsia="仿宋" w:cs="仿宋"/>
          <w:color w:val="auto"/>
          <w:sz w:val="24"/>
          <w:szCs w:val="24"/>
        </w:rPr>
      </w:pPr>
      <w:r>
        <w:rPr>
          <w:rFonts w:hint="eastAsia" w:ascii="仿宋" w:hAnsi="仿宋" w:eastAsia="仿宋" w:cs="仿宋"/>
          <w:b/>
          <w:color w:val="auto"/>
          <w:sz w:val="24"/>
          <w:szCs w:val="24"/>
        </w:rPr>
        <w:t>三、供应商资格要求：</w:t>
      </w:r>
    </w:p>
    <w:p w14:paraId="39916C44">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1.（1）具有独立承担民事责任的能力；</w:t>
      </w:r>
    </w:p>
    <w:p w14:paraId="2B1DA6FD">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 xml:space="preserve">  （2）具有良好的商业信誉和健全的财务会计制度；</w:t>
      </w:r>
    </w:p>
    <w:p w14:paraId="274F58A0">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 xml:space="preserve">  （3）具有履行合同所必需的设备和专业技术能力；</w:t>
      </w:r>
      <w:r>
        <w:rPr>
          <w:rFonts w:hint="eastAsia" w:ascii="仿宋" w:hAnsi="仿宋" w:eastAsia="仿宋" w:cs="仿宋"/>
          <w:color w:val="auto"/>
          <w:sz w:val="24"/>
          <w:szCs w:val="24"/>
        </w:rPr>
        <w:tab/>
      </w:r>
    </w:p>
    <w:p w14:paraId="6CBA4E33">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 xml:space="preserve">  （4）有依法缴纳税收和社会保障资金的良好记录；</w:t>
      </w:r>
    </w:p>
    <w:p w14:paraId="6674F0A4">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 xml:space="preserve">  （5）参加采购活动前三年内，在经营活动中没有重大违法记录；</w:t>
      </w:r>
    </w:p>
    <w:p w14:paraId="7122E1A3">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 xml:space="preserve">  （6）法律、行政法规规定的其他条件。</w:t>
      </w:r>
    </w:p>
    <w:p w14:paraId="5CAAC1BF">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 xml:space="preserve">2、特定条件：无； </w:t>
      </w:r>
    </w:p>
    <w:p w14:paraId="13D0CEBE">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3、本次采购不接受联合体比价谈判；本项目采用资格后审。</w:t>
      </w:r>
    </w:p>
    <w:p w14:paraId="08502248">
      <w:pPr>
        <w:spacing w:line="360" w:lineRule="exact"/>
        <w:ind w:left="241" w:hanging="241" w:hangingChars="100"/>
        <w:rPr>
          <w:rFonts w:ascii="仿宋" w:hAnsi="仿宋" w:eastAsia="仿宋" w:cs="仿宋"/>
          <w:color w:val="auto"/>
          <w:sz w:val="24"/>
          <w:szCs w:val="24"/>
        </w:rPr>
      </w:pPr>
      <w:r>
        <w:rPr>
          <w:rFonts w:hint="eastAsia" w:ascii="仿宋" w:hAnsi="仿宋" w:eastAsia="仿宋" w:cs="仿宋"/>
          <w:b/>
          <w:color w:val="auto"/>
          <w:sz w:val="24"/>
          <w:szCs w:val="24"/>
        </w:rPr>
        <w:t>四、采购文件发售期限</w:t>
      </w:r>
      <w:r>
        <w:rPr>
          <w:rFonts w:hint="eastAsia" w:ascii="仿宋" w:hAnsi="仿宋" w:eastAsia="仿宋" w:cs="仿宋"/>
          <w:color w:val="auto"/>
          <w:sz w:val="24"/>
          <w:szCs w:val="24"/>
        </w:rPr>
        <w:t>：自采购公告发布之日起至202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日（北京时间08:30-11:00, 14:00-16:00，节假日除外）。</w:t>
      </w:r>
    </w:p>
    <w:p w14:paraId="2332E9AC">
      <w:pPr>
        <w:spacing w:line="360" w:lineRule="exact"/>
        <w:rPr>
          <w:rFonts w:ascii="仿宋" w:hAnsi="仿宋" w:eastAsia="仿宋" w:cs="仿宋"/>
          <w:b/>
          <w:color w:val="auto"/>
          <w:sz w:val="24"/>
          <w:szCs w:val="24"/>
        </w:rPr>
      </w:pPr>
      <w:r>
        <w:rPr>
          <w:rFonts w:hint="eastAsia" w:ascii="仿宋" w:hAnsi="仿宋" w:eastAsia="仿宋" w:cs="仿宋"/>
          <w:b/>
          <w:color w:val="auto"/>
          <w:sz w:val="24"/>
          <w:szCs w:val="24"/>
        </w:rPr>
        <w:t>五、采购文件获取形式、获取地址：</w:t>
      </w:r>
    </w:p>
    <w:p w14:paraId="6781E5AF">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1、采购文件售价为300元人民币，售后不退。</w:t>
      </w:r>
    </w:p>
    <w:p w14:paraId="3CAD96BE">
      <w:pPr>
        <w:spacing w:line="360" w:lineRule="exact"/>
        <w:ind w:left="600" w:hanging="600" w:hangingChars="250"/>
        <w:rPr>
          <w:rFonts w:ascii="仿宋" w:hAnsi="仿宋" w:eastAsia="仿宋" w:cs="仿宋"/>
          <w:color w:val="auto"/>
          <w:sz w:val="24"/>
          <w:szCs w:val="24"/>
        </w:rPr>
      </w:pPr>
      <w:r>
        <w:rPr>
          <w:rFonts w:hint="eastAsia" w:ascii="仿宋" w:hAnsi="仿宋" w:eastAsia="仿宋" w:cs="仿宋"/>
          <w:color w:val="auto"/>
          <w:sz w:val="24"/>
          <w:szCs w:val="24"/>
        </w:rPr>
        <w:t>2、现场获取或采用远程电子文档形式进行购买。</w:t>
      </w:r>
    </w:p>
    <w:p w14:paraId="2D15C187">
      <w:pPr>
        <w:spacing w:line="360" w:lineRule="exact"/>
        <w:rPr>
          <w:rFonts w:ascii="仿宋" w:hAnsi="仿宋" w:eastAsia="仿宋" w:cs="仿宋"/>
          <w:color w:val="auto"/>
          <w:sz w:val="24"/>
          <w:szCs w:val="24"/>
        </w:rPr>
      </w:pPr>
      <w:r>
        <w:rPr>
          <w:rFonts w:hint="eastAsia" w:ascii="仿宋" w:hAnsi="仿宋" w:eastAsia="仿宋" w:cs="仿宋"/>
          <w:color w:val="auto"/>
          <w:sz w:val="24"/>
          <w:szCs w:val="24"/>
        </w:rPr>
        <w:t>3、凡有意参加比价谈判者，报名时须提交以下资料：</w:t>
      </w:r>
    </w:p>
    <w:p w14:paraId="54315113">
      <w:pPr>
        <w:spacing w:line="3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①企业营业执照副本复印件，复印件需加盖单位公章；</w:t>
      </w:r>
    </w:p>
    <w:p w14:paraId="60AF387C">
      <w:pPr>
        <w:spacing w:line="3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②如供应商代表不是法定代表人，须有法定代表人出具的授权委托书。</w:t>
      </w:r>
    </w:p>
    <w:p w14:paraId="4C07490A">
      <w:pPr>
        <w:widowControl/>
        <w:spacing w:line="360" w:lineRule="exact"/>
        <w:ind w:left="406" w:leftChars="22" w:hanging="360" w:hangingChars="150"/>
        <w:jc w:val="left"/>
        <w:rPr>
          <w:rFonts w:ascii="仿宋" w:hAnsi="仿宋" w:eastAsia="仿宋" w:cs="仿宋"/>
          <w:color w:val="auto"/>
          <w:sz w:val="24"/>
          <w:szCs w:val="24"/>
        </w:rPr>
      </w:pPr>
      <w:r>
        <w:rPr>
          <w:rFonts w:hint="eastAsia" w:ascii="仿宋" w:hAnsi="仿宋" w:eastAsia="仿宋" w:cs="仿宋"/>
          <w:color w:val="auto"/>
          <w:sz w:val="24"/>
          <w:szCs w:val="24"/>
        </w:rPr>
        <w:t>4、报名地址：</w:t>
      </w:r>
      <w:r>
        <w:rPr>
          <w:rFonts w:hint="eastAsia" w:ascii="仿宋" w:hAnsi="仿宋" w:eastAsia="仿宋" w:cs="仿宋"/>
          <w:color w:val="auto"/>
          <w:sz w:val="24"/>
          <w:szCs w:val="24"/>
          <w:lang w:eastAsia="zh-CN"/>
        </w:rPr>
        <w:t>余姚市城东路88号油漆市场四号楼四楼</w:t>
      </w:r>
      <w:r>
        <w:rPr>
          <w:rFonts w:hint="eastAsia" w:ascii="仿宋" w:hAnsi="仿宋" w:eastAsia="仿宋" w:cs="仿宋"/>
          <w:color w:val="auto"/>
          <w:sz w:val="24"/>
          <w:szCs w:val="24"/>
        </w:rPr>
        <w:t>。</w:t>
      </w:r>
    </w:p>
    <w:p w14:paraId="2ACA67C3">
      <w:pPr>
        <w:widowControl/>
        <w:spacing w:line="360" w:lineRule="exact"/>
        <w:ind w:left="406" w:leftChars="22" w:hanging="360" w:hangingChars="150"/>
        <w:jc w:val="left"/>
        <w:rPr>
          <w:rFonts w:ascii="仿宋" w:hAnsi="仿宋" w:eastAsia="仿宋" w:cs="仿宋"/>
          <w:color w:val="auto"/>
          <w:sz w:val="24"/>
          <w:szCs w:val="24"/>
        </w:rPr>
      </w:pPr>
      <w:r>
        <w:rPr>
          <w:rFonts w:hint="eastAsia" w:ascii="仿宋" w:hAnsi="仿宋" w:eastAsia="仿宋" w:cs="仿宋"/>
          <w:color w:val="auto"/>
          <w:sz w:val="24"/>
          <w:szCs w:val="24"/>
        </w:rPr>
        <w:t>5、未缴纳招标文件费的供应商的投标文件将被拒绝。</w:t>
      </w:r>
    </w:p>
    <w:p w14:paraId="091922F5">
      <w:pPr>
        <w:widowControl/>
        <w:spacing w:line="360" w:lineRule="exact"/>
        <w:ind w:left="407" w:leftChars="22" w:hanging="361" w:hangingChars="150"/>
        <w:jc w:val="left"/>
        <w:rPr>
          <w:rFonts w:ascii="仿宋" w:hAnsi="仿宋" w:eastAsia="仿宋" w:cs="仿宋"/>
          <w:color w:val="auto"/>
          <w:sz w:val="24"/>
          <w:szCs w:val="24"/>
        </w:rPr>
      </w:pPr>
      <w:r>
        <w:rPr>
          <w:rFonts w:hint="eastAsia" w:ascii="仿宋" w:hAnsi="仿宋" w:eastAsia="仿宋" w:cs="仿宋"/>
          <w:b/>
          <w:color w:val="auto"/>
          <w:sz w:val="24"/>
          <w:szCs w:val="24"/>
        </w:rPr>
        <w:t>六、比价谈判响应文件提交地点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余姚市梁弄镇白水冲村股份经济合作社</w:t>
      </w:r>
      <w:r>
        <w:rPr>
          <w:rFonts w:hint="eastAsia" w:ascii="仿宋" w:hAnsi="仿宋" w:eastAsia="仿宋" w:cs="仿宋"/>
          <w:color w:val="auto"/>
          <w:sz w:val="24"/>
          <w:szCs w:val="24"/>
        </w:rPr>
        <w:t>（会议室）</w:t>
      </w:r>
    </w:p>
    <w:p w14:paraId="3D318EC2">
      <w:pPr>
        <w:spacing w:line="400" w:lineRule="exact"/>
        <w:rPr>
          <w:rFonts w:ascii="仿宋" w:hAnsi="仿宋" w:eastAsia="仿宋" w:cs="仿宋"/>
          <w:color w:val="auto"/>
          <w:sz w:val="24"/>
          <w:szCs w:val="24"/>
        </w:rPr>
      </w:pPr>
      <w:r>
        <w:rPr>
          <w:rFonts w:hint="eastAsia" w:ascii="仿宋" w:hAnsi="仿宋" w:eastAsia="仿宋" w:cs="仿宋"/>
          <w:b/>
          <w:color w:val="auto"/>
          <w:sz w:val="24"/>
          <w:szCs w:val="24"/>
        </w:rPr>
        <w:t>七、比价谈判时间</w:t>
      </w:r>
      <w:r>
        <w:rPr>
          <w:rFonts w:hint="eastAsia" w:ascii="仿宋" w:hAnsi="仿宋" w:eastAsia="仿宋" w:cs="仿宋"/>
          <w:color w:val="auto"/>
          <w:sz w:val="24"/>
          <w:szCs w:val="24"/>
        </w:rPr>
        <w:t>：</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时00分</w:t>
      </w:r>
    </w:p>
    <w:p w14:paraId="485B375D">
      <w:pPr>
        <w:spacing w:line="400" w:lineRule="exact"/>
        <w:rPr>
          <w:rFonts w:ascii="仿宋" w:hAnsi="仿宋" w:eastAsia="仿宋" w:cs="仿宋"/>
          <w:color w:val="auto"/>
          <w:sz w:val="24"/>
          <w:szCs w:val="24"/>
        </w:rPr>
      </w:pPr>
      <w:r>
        <w:rPr>
          <w:rFonts w:hint="eastAsia" w:ascii="仿宋" w:hAnsi="仿宋" w:eastAsia="仿宋" w:cs="仿宋"/>
          <w:b/>
          <w:color w:val="auto"/>
          <w:sz w:val="24"/>
          <w:szCs w:val="24"/>
        </w:rPr>
        <w:t>八、比价谈判地点</w:t>
      </w:r>
      <w:r>
        <w:rPr>
          <w:rFonts w:hint="eastAsia" w:ascii="仿宋" w:hAnsi="仿宋" w:eastAsia="仿宋" w:cs="仿宋"/>
          <w:color w:val="auto"/>
          <w:sz w:val="24"/>
          <w:szCs w:val="24"/>
        </w:rPr>
        <w:t>：同投标文件提交地点。</w:t>
      </w:r>
    </w:p>
    <w:p w14:paraId="58BD1A9A">
      <w:pPr>
        <w:spacing w:line="400" w:lineRule="exact"/>
        <w:rPr>
          <w:rFonts w:ascii="仿宋" w:hAnsi="仿宋" w:eastAsia="仿宋" w:cs="仿宋"/>
          <w:color w:val="auto"/>
          <w:sz w:val="24"/>
          <w:szCs w:val="24"/>
        </w:rPr>
      </w:pPr>
      <w:r>
        <w:rPr>
          <w:rFonts w:hint="eastAsia" w:ascii="仿宋" w:hAnsi="仿宋" w:eastAsia="仿宋" w:cs="仿宋"/>
          <w:b/>
          <w:color w:val="auto"/>
          <w:sz w:val="24"/>
          <w:szCs w:val="24"/>
        </w:rPr>
        <w:t>九、比价谈判保证金</w:t>
      </w:r>
      <w:r>
        <w:rPr>
          <w:rFonts w:hint="eastAsia" w:ascii="仿宋" w:hAnsi="仿宋" w:eastAsia="仿宋" w:cs="仿宋"/>
          <w:color w:val="auto"/>
          <w:sz w:val="24"/>
          <w:szCs w:val="24"/>
        </w:rPr>
        <w:t>：(不采用)</w:t>
      </w:r>
    </w:p>
    <w:p w14:paraId="70084F20">
      <w:pPr>
        <w:pStyle w:val="17"/>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十、其他重要事项：</w:t>
      </w:r>
    </w:p>
    <w:p w14:paraId="12F8F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1、本次采购活动有关信息在浙江政府采购网，视同送达所有潜在供应商。</w:t>
      </w:r>
    </w:p>
    <w:p w14:paraId="37B74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8" w:line="400" w:lineRule="exact"/>
        <w:ind w:firstLine="528" w:firstLineChars="220"/>
        <w:jc w:val="left"/>
        <w:rPr>
          <w:rFonts w:ascii="仿宋" w:hAnsi="仿宋" w:eastAsia="仿宋" w:cs="仿宋"/>
          <w:color w:val="auto"/>
          <w:sz w:val="24"/>
          <w:szCs w:val="24"/>
        </w:rPr>
      </w:pPr>
      <w:r>
        <w:rPr>
          <w:rFonts w:hint="eastAsia" w:ascii="仿宋" w:hAnsi="仿宋" w:eastAsia="仿宋" w:cs="仿宋"/>
          <w:color w:val="auto"/>
          <w:sz w:val="24"/>
          <w:szCs w:val="24"/>
        </w:rPr>
        <w:t>2、供应商如发现采购文件及其评审办法中存在含糊不清、相互矛盾、多种含义以及歧视性不公正条款或违法违规等内容时，应当在知道或者应知其权益受到损害之日起七个工作日内将书面文件提交采购招标代理机构或采购人，采购招标代理机构将视情做统一答复，如规定时间内未收到任何疑问，则视为各供应商均对此无异议。</w:t>
      </w:r>
    </w:p>
    <w:p w14:paraId="74491D44">
      <w:pPr>
        <w:spacing w:line="400" w:lineRule="exact"/>
        <w:rPr>
          <w:rFonts w:ascii="仿宋" w:hAnsi="仿宋" w:eastAsia="仿宋" w:cs="仿宋"/>
          <w:b/>
          <w:color w:val="auto"/>
        </w:rPr>
      </w:pPr>
      <w:r>
        <w:rPr>
          <w:rFonts w:hint="eastAsia" w:ascii="仿宋" w:hAnsi="仿宋" w:eastAsia="仿宋" w:cs="仿宋"/>
          <w:b/>
          <w:color w:val="auto"/>
        </w:rPr>
        <w:t>十一、业务咨询</w:t>
      </w:r>
    </w:p>
    <w:p w14:paraId="478FF2D5">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余姚市梁弄镇白水冲村股份经济合作社</w:t>
      </w:r>
    </w:p>
    <w:p w14:paraId="1948B1C9">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eastAsia="zh-CN"/>
        </w:rPr>
        <w:t>余姚市梁弄镇白水冲村村委</w:t>
      </w:r>
    </w:p>
    <w:p w14:paraId="6B3CF420">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采购代理机构：</w:t>
      </w:r>
      <w:r>
        <w:rPr>
          <w:rFonts w:hint="eastAsia" w:ascii="仿宋" w:hAnsi="仿宋" w:eastAsia="仿宋" w:cs="仿宋"/>
          <w:color w:val="auto"/>
          <w:sz w:val="24"/>
          <w:szCs w:val="24"/>
          <w:lang w:eastAsia="zh-CN"/>
        </w:rPr>
        <w:t>宁波旭诚工程项目管理有限公司</w:t>
      </w:r>
    </w:p>
    <w:p w14:paraId="51420226">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联系地址：</w:t>
      </w:r>
      <w:r>
        <w:rPr>
          <w:rFonts w:hint="eastAsia" w:ascii="仿宋" w:hAnsi="仿宋" w:eastAsia="仿宋" w:cs="仿宋"/>
          <w:color w:val="auto"/>
          <w:sz w:val="24"/>
          <w:szCs w:val="24"/>
          <w:lang w:eastAsia="zh-CN"/>
        </w:rPr>
        <w:t>余姚市城东路88号油漆市场四号楼四楼</w:t>
      </w:r>
    </w:p>
    <w:p w14:paraId="332D3D1E">
      <w:pPr>
        <w:rPr>
          <w:rFonts w:hint="eastAsia" w:eastAsia="仿宋"/>
          <w:color w:val="auto"/>
          <w:lang w:eastAsia="zh-CN"/>
        </w:rPr>
      </w:pPr>
      <w:r>
        <w:rPr>
          <w:rFonts w:hint="eastAsia" w:ascii="仿宋" w:hAnsi="仿宋" w:eastAsia="仿宋" w:cs="仿宋"/>
          <w:color w:val="auto"/>
          <w:sz w:val="24"/>
          <w:szCs w:val="24"/>
        </w:rPr>
        <w:t>联系人及联系电话：</w:t>
      </w:r>
      <w:r>
        <w:rPr>
          <w:rFonts w:hint="eastAsia" w:ascii="仿宋" w:hAnsi="仿宋" w:eastAsia="仿宋" w:cs="仿宋"/>
          <w:color w:val="auto"/>
          <w:sz w:val="24"/>
          <w:szCs w:val="24"/>
          <w:lang w:eastAsia="zh-CN"/>
        </w:rPr>
        <w:t>黄工</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15557858987</w:t>
      </w:r>
    </w:p>
    <w:p w14:paraId="098443C4">
      <w:pPr>
        <w:pStyle w:val="20"/>
        <w:ind w:left="420" w:firstLine="400"/>
        <w:rPr>
          <w:rFonts w:ascii="仿宋" w:hAnsi="仿宋" w:eastAsia="仿宋" w:cs="仿宋"/>
          <w:color w:val="auto"/>
        </w:rPr>
      </w:pPr>
    </w:p>
    <w:p w14:paraId="331AD7D7">
      <w:pPr>
        <w:widowControl/>
        <w:jc w:val="left"/>
        <w:rPr>
          <w:rFonts w:ascii="仿宋" w:hAnsi="仿宋" w:eastAsia="仿宋" w:cs="仿宋"/>
          <w:b/>
          <w:bCs/>
          <w:color w:val="auto"/>
          <w:sz w:val="24"/>
        </w:rPr>
      </w:pPr>
      <w:r>
        <w:rPr>
          <w:rFonts w:ascii="仿宋" w:hAnsi="仿宋" w:eastAsia="仿宋" w:cs="仿宋"/>
          <w:b/>
          <w:bCs/>
          <w:color w:val="auto"/>
          <w:sz w:val="24"/>
        </w:rPr>
        <w:br w:type="page"/>
      </w:r>
    </w:p>
    <w:p w14:paraId="6827DA18">
      <w:pPr>
        <w:tabs>
          <w:tab w:val="left" w:pos="105"/>
          <w:tab w:val="left" w:pos="735"/>
          <w:tab w:val="left" w:pos="945"/>
          <w:tab w:val="left" w:pos="3360"/>
        </w:tabs>
        <w:spacing w:line="500" w:lineRule="exact"/>
        <w:jc w:val="center"/>
        <w:rPr>
          <w:rFonts w:ascii="仿宋" w:hAnsi="仿宋" w:eastAsia="仿宋" w:cs="仿宋"/>
          <w:b/>
          <w:bCs/>
          <w:color w:val="auto"/>
          <w:sz w:val="24"/>
        </w:rPr>
      </w:pPr>
      <w:r>
        <w:rPr>
          <w:rFonts w:hint="eastAsia" w:ascii="仿宋" w:hAnsi="仿宋" w:eastAsia="仿宋" w:cs="仿宋"/>
          <w:b/>
          <w:bCs/>
          <w:color w:val="auto"/>
          <w:sz w:val="24"/>
        </w:rPr>
        <w:t>第二章  比价谈判须知</w:t>
      </w:r>
    </w:p>
    <w:p w14:paraId="6FAF51A7">
      <w:pPr>
        <w:tabs>
          <w:tab w:val="left" w:pos="105"/>
          <w:tab w:val="left" w:pos="945"/>
          <w:tab w:val="left" w:pos="3360"/>
        </w:tabs>
        <w:spacing w:line="500" w:lineRule="exact"/>
        <w:ind w:firstLine="3855" w:firstLineChars="1600"/>
        <w:rPr>
          <w:rFonts w:ascii="仿宋" w:hAnsi="仿宋" w:eastAsia="仿宋" w:cs="仿宋"/>
          <w:b/>
          <w:bCs/>
          <w:color w:val="auto"/>
          <w:sz w:val="24"/>
        </w:rPr>
      </w:pPr>
      <w:r>
        <w:rPr>
          <w:rFonts w:hint="eastAsia" w:ascii="仿宋" w:hAnsi="仿宋" w:eastAsia="仿宋" w:cs="仿宋"/>
          <w:b/>
          <w:bCs/>
          <w:color w:val="auto"/>
          <w:sz w:val="24"/>
        </w:rPr>
        <w:t>前附表</w:t>
      </w:r>
    </w:p>
    <w:p w14:paraId="18B70293">
      <w:pPr>
        <w:tabs>
          <w:tab w:val="left" w:pos="105"/>
          <w:tab w:val="left" w:pos="735"/>
          <w:tab w:val="left" w:pos="945"/>
          <w:tab w:val="left" w:pos="3360"/>
        </w:tabs>
        <w:spacing w:line="240" w:lineRule="exact"/>
        <w:jc w:val="center"/>
        <w:rPr>
          <w:rFonts w:ascii="仿宋" w:hAnsi="仿宋" w:eastAsia="仿宋" w:cs="仿宋"/>
          <w:bCs/>
          <w:color w:val="auto"/>
          <w:sz w:val="24"/>
        </w:rPr>
      </w:pPr>
    </w:p>
    <w:tbl>
      <w:tblPr>
        <w:tblStyle w:val="49"/>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94"/>
        <w:gridCol w:w="1627"/>
        <w:gridCol w:w="5971"/>
      </w:tblGrid>
      <w:tr w14:paraId="753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25" w:type="dxa"/>
            <w:vAlign w:val="center"/>
          </w:tcPr>
          <w:p w14:paraId="55331858">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894" w:type="dxa"/>
            <w:vAlign w:val="center"/>
          </w:tcPr>
          <w:p w14:paraId="0ACC2041">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条款号</w:t>
            </w:r>
          </w:p>
        </w:tc>
        <w:tc>
          <w:tcPr>
            <w:tcW w:w="1627" w:type="dxa"/>
            <w:vAlign w:val="center"/>
          </w:tcPr>
          <w:p w14:paraId="42A5B8C5">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内容</w:t>
            </w:r>
          </w:p>
        </w:tc>
        <w:tc>
          <w:tcPr>
            <w:tcW w:w="5971" w:type="dxa"/>
            <w:vAlign w:val="center"/>
          </w:tcPr>
          <w:p w14:paraId="291D9AFA">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说明与要求</w:t>
            </w:r>
          </w:p>
        </w:tc>
      </w:tr>
      <w:tr w14:paraId="2B33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6533A0A6">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894" w:type="dxa"/>
            <w:vAlign w:val="center"/>
          </w:tcPr>
          <w:p w14:paraId="61F556BA">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627" w:type="dxa"/>
            <w:vAlign w:val="center"/>
          </w:tcPr>
          <w:p w14:paraId="7B55A077">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采购人</w:t>
            </w:r>
          </w:p>
        </w:tc>
        <w:tc>
          <w:tcPr>
            <w:tcW w:w="5971" w:type="dxa"/>
            <w:vAlign w:val="center"/>
          </w:tcPr>
          <w:p w14:paraId="7F6884F6">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余姚市梁弄镇白水冲村股份经济合作社</w:t>
            </w:r>
          </w:p>
        </w:tc>
      </w:tr>
      <w:tr w14:paraId="4023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25" w:type="dxa"/>
            <w:vAlign w:val="center"/>
          </w:tcPr>
          <w:p w14:paraId="49F1F8D7">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894" w:type="dxa"/>
            <w:vAlign w:val="center"/>
          </w:tcPr>
          <w:p w14:paraId="12C56436">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1627" w:type="dxa"/>
            <w:vAlign w:val="center"/>
          </w:tcPr>
          <w:p w14:paraId="344A9A27">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项目名称及 编号</w:t>
            </w:r>
          </w:p>
        </w:tc>
        <w:tc>
          <w:tcPr>
            <w:tcW w:w="5971" w:type="dxa"/>
            <w:vAlign w:val="center"/>
          </w:tcPr>
          <w:p w14:paraId="4AD1FA1A">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梁弄镇白水冲村P2.5彩LED显示屏及音响设备采购项目</w:t>
            </w:r>
          </w:p>
          <w:p w14:paraId="17863B40">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 xml:space="preserve">NBXC-2025-003   </w:t>
            </w:r>
          </w:p>
        </w:tc>
      </w:tr>
      <w:tr w14:paraId="0F83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20F98120">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894" w:type="dxa"/>
            <w:vAlign w:val="center"/>
          </w:tcPr>
          <w:p w14:paraId="5AF56582">
            <w:pPr>
              <w:tabs>
                <w:tab w:val="left" w:pos="105"/>
                <w:tab w:val="left" w:pos="735"/>
                <w:tab w:val="left" w:pos="945"/>
                <w:tab w:val="left" w:pos="3360"/>
              </w:tabs>
              <w:jc w:val="center"/>
              <w:rPr>
                <w:rFonts w:ascii="仿宋" w:hAnsi="仿宋" w:eastAsia="仿宋" w:cs="仿宋"/>
                <w:color w:val="auto"/>
                <w:sz w:val="24"/>
                <w:szCs w:val="24"/>
              </w:rPr>
            </w:pPr>
          </w:p>
        </w:tc>
        <w:tc>
          <w:tcPr>
            <w:tcW w:w="1627" w:type="dxa"/>
            <w:vAlign w:val="center"/>
          </w:tcPr>
          <w:p w14:paraId="3411D70C">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采购方式</w:t>
            </w:r>
          </w:p>
        </w:tc>
        <w:tc>
          <w:tcPr>
            <w:tcW w:w="5971" w:type="dxa"/>
            <w:vAlign w:val="center"/>
          </w:tcPr>
          <w:p w14:paraId="3E4B44A5">
            <w:pPr>
              <w:tabs>
                <w:tab w:val="left" w:pos="105"/>
                <w:tab w:val="left" w:pos="735"/>
                <w:tab w:val="left" w:pos="945"/>
                <w:tab w:val="left" w:pos="3360"/>
              </w:tabs>
              <w:rPr>
                <w:rFonts w:ascii="仿宋" w:hAnsi="仿宋" w:eastAsia="仿宋" w:cs="仿宋"/>
                <w:color w:val="auto"/>
                <w:sz w:val="24"/>
                <w:szCs w:val="24"/>
                <w:u w:val="single"/>
              </w:rPr>
            </w:pPr>
            <w:r>
              <w:rPr>
                <w:rFonts w:hint="eastAsia" w:ascii="仿宋" w:hAnsi="仿宋" w:eastAsia="仿宋" w:cs="仿宋"/>
                <w:color w:val="auto"/>
                <w:sz w:val="24"/>
                <w:szCs w:val="24"/>
              </w:rPr>
              <w:t>比价谈判采购</w:t>
            </w:r>
          </w:p>
        </w:tc>
      </w:tr>
      <w:tr w14:paraId="2224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344229B5">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894" w:type="dxa"/>
            <w:vAlign w:val="center"/>
          </w:tcPr>
          <w:p w14:paraId="724D0075">
            <w:pPr>
              <w:tabs>
                <w:tab w:val="left" w:pos="105"/>
                <w:tab w:val="left" w:pos="735"/>
                <w:tab w:val="left" w:pos="945"/>
                <w:tab w:val="left" w:pos="3360"/>
              </w:tabs>
              <w:ind w:firstLine="240" w:firstLineChars="100"/>
              <w:jc w:val="center"/>
              <w:rPr>
                <w:rFonts w:ascii="仿宋" w:hAnsi="仿宋" w:eastAsia="仿宋" w:cs="仿宋"/>
                <w:color w:val="auto"/>
                <w:sz w:val="24"/>
                <w:szCs w:val="24"/>
              </w:rPr>
            </w:pPr>
          </w:p>
        </w:tc>
        <w:tc>
          <w:tcPr>
            <w:tcW w:w="1627" w:type="dxa"/>
            <w:vAlign w:val="center"/>
          </w:tcPr>
          <w:p w14:paraId="168B7F3D">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比价谈判范围与内容</w:t>
            </w:r>
          </w:p>
        </w:tc>
        <w:tc>
          <w:tcPr>
            <w:tcW w:w="5971" w:type="dxa"/>
            <w:vAlign w:val="center"/>
          </w:tcPr>
          <w:p w14:paraId="44E58F52">
            <w:pPr>
              <w:tabs>
                <w:tab w:val="left" w:pos="105"/>
                <w:tab w:val="left" w:pos="735"/>
                <w:tab w:val="left" w:pos="945"/>
                <w:tab w:val="left" w:pos="3360"/>
              </w:tabs>
              <w:rPr>
                <w:rFonts w:ascii="仿宋" w:hAnsi="仿宋" w:eastAsia="仿宋" w:cs="仿宋"/>
                <w:color w:val="auto"/>
                <w:sz w:val="24"/>
                <w:szCs w:val="24"/>
                <w:u w:val="single"/>
              </w:rPr>
            </w:pPr>
            <w:r>
              <w:rPr>
                <w:rFonts w:hint="eastAsia" w:ascii="仿宋" w:hAnsi="仿宋" w:eastAsia="仿宋" w:cs="仿宋"/>
                <w:color w:val="auto"/>
                <w:sz w:val="24"/>
                <w:szCs w:val="24"/>
              </w:rPr>
              <w:t>详见比价谈判文件第四章</w:t>
            </w:r>
          </w:p>
        </w:tc>
      </w:tr>
      <w:tr w14:paraId="3D51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jc w:val="center"/>
        </w:trPr>
        <w:tc>
          <w:tcPr>
            <w:tcW w:w="525" w:type="dxa"/>
            <w:vAlign w:val="center"/>
          </w:tcPr>
          <w:p w14:paraId="2078ACBF">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894" w:type="dxa"/>
            <w:vAlign w:val="center"/>
          </w:tcPr>
          <w:p w14:paraId="73B0B1B6">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2.1</w:t>
            </w:r>
          </w:p>
        </w:tc>
        <w:tc>
          <w:tcPr>
            <w:tcW w:w="1627" w:type="dxa"/>
            <w:vAlign w:val="center"/>
          </w:tcPr>
          <w:p w14:paraId="1657C73A">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 xml:space="preserve">合格的供应商资格 </w:t>
            </w:r>
          </w:p>
        </w:tc>
        <w:tc>
          <w:tcPr>
            <w:tcW w:w="5971" w:type="dxa"/>
            <w:vAlign w:val="center"/>
          </w:tcPr>
          <w:p w14:paraId="1C392938">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Cs w:val="24"/>
              </w:rPr>
              <w:t>1</w:t>
            </w:r>
            <w:r>
              <w:rPr>
                <w:rFonts w:hint="eastAsia" w:ascii="仿宋" w:hAnsi="仿宋" w:eastAsia="仿宋" w:cs="仿宋"/>
                <w:color w:val="auto"/>
                <w:sz w:val="24"/>
                <w:szCs w:val="24"/>
              </w:rPr>
              <w:t>、（1）具有独立承担民事责任的能力；</w:t>
            </w:r>
          </w:p>
          <w:p w14:paraId="4F7EA38A">
            <w:pPr>
              <w:tabs>
                <w:tab w:val="left" w:pos="105"/>
                <w:tab w:val="left" w:pos="735"/>
                <w:tab w:val="left" w:pos="945"/>
                <w:tab w:val="left" w:pos="3360"/>
              </w:tabs>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14:paraId="0B6CFC65">
            <w:pPr>
              <w:tabs>
                <w:tab w:val="left" w:pos="735"/>
                <w:tab w:val="left" w:pos="945"/>
                <w:tab w:val="left" w:pos="3360"/>
              </w:tabs>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14:paraId="5C14BCB1">
            <w:pPr>
              <w:tabs>
                <w:tab w:val="left" w:pos="105"/>
                <w:tab w:val="left" w:pos="735"/>
                <w:tab w:val="left" w:pos="945"/>
                <w:tab w:val="left" w:pos="3360"/>
              </w:tabs>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14:paraId="1F3A7852">
            <w:pPr>
              <w:tabs>
                <w:tab w:val="left" w:pos="105"/>
                <w:tab w:val="left" w:pos="735"/>
                <w:tab w:val="left" w:pos="945"/>
                <w:tab w:val="left" w:pos="3360"/>
              </w:tabs>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（5）参加采购活动前三年内，在经营活动中没有重大违法记录；</w:t>
            </w:r>
          </w:p>
          <w:p w14:paraId="4ECB7C45">
            <w:pPr>
              <w:tabs>
                <w:tab w:val="left" w:pos="105"/>
                <w:tab w:val="left" w:pos="735"/>
                <w:tab w:val="left" w:pos="945"/>
                <w:tab w:val="left" w:pos="3360"/>
              </w:tabs>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14:paraId="499908A2">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 xml:space="preserve">2、特定条件：无； </w:t>
            </w:r>
          </w:p>
          <w:p w14:paraId="38D7322B">
            <w:pPr>
              <w:tabs>
                <w:tab w:val="left" w:pos="105"/>
                <w:tab w:val="left" w:pos="735"/>
                <w:tab w:val="left" w:pos="945"/>
                <w:tab w:val="left" w:pos="3360"/>
              </w:tabs>
              <w:rPr>
                <w:rFonts w:ascii="仿宋" w:hAnsi="仿宋" w:eastAsia="仿宋" w:cs="仿宋"/>
                <w:color w:val="auto"/>
                <w:szCs w:val="24"/>
              </w:rPr>
            </w:pPr>
            <w:r>
              <w:rPr>
                <w:rFonts w:hint="eastAsia" w:ascii="仿宋" w:hAnsi="仿宋" w:eastAsia="仿宋" w:cs="仿宋"/>
                <w:color w:val="auto"/>
                <w:sz w:val="24"/>
                <w:szCs w:val="24"/>
              </w:rPr>
              <w:t>3、本次采购不接受联合体比价谈判；本项目采用资格后审。</w:t>
            </w:r>
          </w:p>
        </w:tc>
      </w:tr>
      <w:tr w14:paraId="402B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5EBFF0D5">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894" w:type="dxa"/>
            <w:vAlign w:val="center"/>
          </w:tcPr>
          <w:p w14:paraId="50269B28">
            <w:pPr>
              <w:tabs>
                <w:tab w:val="left" w:pos="105"/>
                <w:tab w:val="left" w:pos="735"/>
                <w:tab w:val="left" w:pos="945"/>
                <w:tab w:val="left" w:pos="3360"/>
              </w:tabs>
              <w:ind w:firstLine="240" w:firstLineChars="100"/>
              <w:jc w:val="center"/>
              <w:rPr>
                <w:rFonts w:ascii="仿宋" w:hAnsi="仿宋" w:eastAsia="仿宋" w:cs="仿宋"/>
                <w:color w:val="auto"/>
                <w:sz w:val="24"/>
                <w:szCs w:val="24"/>
              </w:rPr>
            </w:pPr>
          </w:p>
        </w:tc>
        <w:tc>
          <w:tcPr>
            <w:tcW w:w="1627" w:type="dxa"/>
            <w:vAlign w:val="center"/>
          </w:tcPr>
          <w:p w14:paraId="75F70C88">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供应商资格审查</w:t>
            </w:r>
          </w:p>
        </w:tc>
        <w:tc>
          <w:tcPr>
            <w:tcW w:w="5971" w:type="dxa"/>
            <w:vAlign w:val="center"/>
          </w:tcPr>
          <w:p w14:paraId="5342F296">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资格后审</w:t>
            </w:r>
          </w:p>
        </w:tc>
      </w:tr>
      <w:tr w14:paraId="0D9F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38BDFBE4">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894" w:type="dxa"/>
            <w:vAlign w:val="center"/>
          </w:tcPr>
          <w:p w14:paraId="50D98B00">
            <w:pPr>
              <w:tabs>
                <w:tab w:val="left" w:pos="105"/>
                <w:tab w:val="left" w:pos="735"/>
                <w:tab w:val="left" w:pos="945"/>
                <w:tab w:val="left" w:pos="3360"/>
              </w:tabs>
              <w:jc w:val="center"/>
              <w:rPr>
                <w:rFonts w:ascii="仿宋" w:hAnsi="仿宋" w:eastAsia="仿宋" w:cs="仿宋"/>
                <w:color w:val="auto"/>
                <w:sz w:val="24"/>
                <w:szCs w:val="24"/>
              </w:rPr>
            </w:pPr>
          </w:p>
        </w:tc>
        <w:tc>
          <w:tcPr>
            <w:tcW w:w="1627" w:type="dxa"/>
            <w:vAlign w:val="center"/>
          </w:tcPr>
          <w:p w14:paraId="78959F7E">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比价谈判文件的获得</w:t>
            </w:r>
          </w:p>
        </w:tc>
        <w:tc>
          <w:tcPr>
            <w:tcW w:w="5971" w:type="dxa"/>
            <w:vAlign w:val="center"/>
          </w:tcPr>
          <w:p w14:paraId="7F9E076F">
            <w:pPr>
              <w:tabs>
                <w:tab w:val="left" w:pos="425"/>
              </w:tabs>
              <w:ind w:right="105" w:rightChars="50"/>
              <w:rPr>
                <w:rFonts w:ascii="仿宋" w:hAnsi="仿宋" w:eastAsia="仿宋" w:cs="仿宋"/>
                <w:color w:val="auto"/>
                <w:sz w:val="24"/>
                <w:szCs w:val="24"/>
              </w:rPr>
            </w:pPr>
            <w:r>
              <w:rPr>
                <w:rFonts w:hint="eastAsia" w:ascii="仿宋" w:hAnsi="仿宋" w:eastAsia="仿宋" w:cs="仿宋"/>
                <w:color w:val="auto"/>
                <w:sz w:val="24"/>
                <w:szCs w:val="24"/>
              </w:rPr>
              <w:t>详见采购公告</w:t>
            </w:r>
          </w:p>
        </w:tc>
      </w:tr>
      <w:tr w14:paraId="27DA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216AACD5">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894" w:type="dxa"/>
            <w:vAlign w:val="center"/>
          </w:tcPr>
          <w:p w14:paraId="7210E963">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10.1</w:t>
            </w:r>
          </w:p>
        </w:tc>
        <w:tc>
          <w:tcPr>
            <w:tcW w:w="1627" w:type="dxa"/>
            <w:vAlign w:val="center"/>
          </w:tcPr>
          <w:p w14:paraId="4DB5E42B">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比价谈判响应文件有效期</w:t>
            </w:r>
          </w:p>
        </w:tc>
        <w:tc>
          <w:tcPr>
            <w:tcW w:w="5971" w:type="dxa"/>
            <w:vAlign w:val="center"/>
          </w:tcPr>
          <w:p w14:paraId="02149A4B">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比价谈判之日起60日历天</w:t>
            </w:r>
          </w:p>
        </w:tc>
      </w:tr>
      <w:tr w14:paraId="179C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3BB29AB4">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9</w:t>
            </w:r>
          </w:p>
        </w:tc>
        <w:tc>
          <w:tcPr>
            <w:tcW w:w="894" w:type="dxa"/>
            <w:vAlign w:val="center"/>
          </w:tcPr>
          <w:p w14:paraId="634BCEC3">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11.1</w:t>
            </w:r>
          </w:p>
        </w:tc>
        <w:tc>
          <w:tcPr>
            <w:tcW w:w="1627" w:type="dxa"/>
            <w:vAlign w:val="center"/>
          </w:tcPr>
          <w:p w14:paraId="60D10592">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比价谈判保证金</w:t>
            </w:r>
          </w:p>
        </w:tc>
        <w:tc>
          <w:tcPr>
            <w:tcW w:w="5971" w:type="dxa"/>
            <w:vAlign w:val="center"/>
          </w:tcPr>
          <w:p w14:paraId="3B36AA53">
            <w:pPr>
              <w:rPr>
                <w:rFonts w:ascii="仿宋" w:hAnsi="仿宋" w:eastAsia="仿宋" w:cs="仿宋"/>
                <w:color w:val="auto"/>
                <w:sz w:val="24"/>
                <w:szCs w:val="24"/>
              </w:rPr>
            </w:pPr>
            <w:r>
              <w:rPr>
                <w:rFonts w:hint="eastAsia" w:ascii="仿宋" w:hAnsi="仿宋" w:eastAsia="仿宋" w:cs="仿宋"/>
                <w:color w:val="auto"/>
                <w:sz w:val="24"/>
                <w:szCs w:val="24"/>
              </w:rPr>
              <w:t>比价谈判保证金：（本项目不采用）</w:t>
            </w:r>
          </w:p>
        </w:tc>
      </w:tr>
      <w:tr w14:paraId="57DD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055A7DAF">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10</w:t>
            </w:r>
          </w:p>
        </w:tc>
        <w:tc>
          <w:tcPr>
            <w:tcW w:w="894" w:type="dxa"/>
            <w:vAlign w:val="center"/>
          </w:tcPr>
          <w:p w14:paraId="42BFF51A">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12.3</w:t>
            </w:r>
          </w:p>
        </w:tc>
        <w:tc>
          <w:tcPr>
            <w:tcW w:w="1627" w:type="dxa"/>
            <w:vAlign w:val="center"/>
          </w:tcPr>
          <w:p w14:paraId="4A24D405">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比价谈判响应文件份数</w:t>
            </w:r>
          </w:p>
        </w:tc>
        <w:tc>
          <w:tcPr>
            <w:tcW w:w="5971" w:type="dxa"/>
            <w:vAlign w:val="center"/>
          </w:tcPr>
          <w:p w14:paraId="53EE963E">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正本1份，副本4份</w:t>
            </w:r>
            <w:r>
              <w:rPr>
                <w:rFonts w:hint="eastAsia" w:ascii="仿宋" w:hAnsi="仿宋" w:eastAsia="仿宋" w:cs="仿宋"/>
                <w:b/>
                <w:bCs/>
                <w:color w:val="auto"/>
                <w:sz w:val="24"/>
                <w:szCs w:val="24"/>
              </w:rPr>
              <w:t>。</w:t>
            </w:r>
          </w:p>
        </w:tc>
      </w:tr>
      <w:tr w14:paraId="0A9D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25" w:type="dxa"/>
            <w:vAlign w:val="center"/>
          </w:tcPr>
          <w:p w14:paraId="43749101">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894" w:type="dxa"/>
            <w:vAlign w:val="center"/>
          </w:tcPr>
          <w:p w14:paraId="74E07D7B">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13.2</w:t>
            </w:r>
          </w:p>
        </w:tc>
        <w:tc>
          <w:tcPr>
            <w:tcW w:w="1627" w:type="dxa"/>
            <w:vAlign w:val="center"/>
          </w:tcPr>
          <w:p w14:paraId="18B3472E">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比价谈判响应文件提交截止时间及地点</w:t>
            </w:r>
          </w:p>
        </w:tc>
        <w:tc>
          <w:tcPr>
            <w:tcW w:w="5971" w:type="dxa"/>
            <w:vAlign w:val="center"/>
          </w:tcPr>
          <w:p w14:paraId="765560EE">
            <w:pPr>
              <w:tabs>
                <w:tab w:val="left" w:pos="425"/>
              </w:tabs>
              <w:ind w:right="105" w:rightChars="50"/>
              <w:rPr>
                <w:rFonts w:ascii="仿宋" w:hAnsi="仿宋" w:eastAsia="仿宋" w:cs="仿宋"/>
                <w:color w:val="auto"/>
                <w:sz w:val="24"/>
                <w:szCs w:val="24"/>
                <w:u w:val="single"/>
              </w:rPr>
            </w:pPr>
            <w:r>
              <w:rPr>
                <w:rFonts w:hint="eastAsia" w:ascii="仿宋" w:hAnsi="仿宋" w:eastAsia="仿宋" w:cs="仿宋"/>
                <w:color w:val="auto"/>
                <w:sz w:val="24"/>
                <w:szCs w:val="24"/>
              </w:rPr>
              <w:t>提交截止时间：</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时00分</w:t>
            </w:r>
          </w:p>
          <w:p w14:paraId="0D49EF08">
            <w:pPr>
              <w:tabs>
                <w:tab w:val="left" w:pos="425"/>
              </w:tabs>
              <w:ind w:right="105" w:rightChars="50"/>
              <w:rPr>
                <w:rFonts w:ascii="仿宋" w:hAnsi="仿宋" w:eastAsia="仿宋" w:cs="仿宋"/>
                <w:color w:val="auto"/>
                <w:sz w:val="24"/>
                <w:szCs w:val="24"/>
              </w:rPr>
            </w:pPr>
            <w:r>
              <w:rPr>
                <w:rFonts w:hint="eastAsia" w:ascii="仿宋" w:hAnsi="仿宋" w:eastAsia="仿宋" w:cs="仿宋"/>
                <w:color w:val="auto"/>
                <w:sz w:val="24"/>
                <w:szCs w:val="24"/>
              </w:rPr>
              <w:t>提交地点：</w:t>
            </w:r>
            <w:r>
              <w:rPr>
                <w:rFonts w:hint="eastAsia" w:ascii="仿宋" w:hAnsi="仿宋" w:eastAsia="仿宋" w:cs="仿宋"/>
                <w:color w:val="auto"/>
                <w:sz w:val="24"/>
                <w:szCs w:val="24"/>
                <w:lang w:eastAsia="zh-CN"/>
              </w:rPr>
              <w:t>余姚市梁弄镇白水冲村股份经济合作社</w:t>
            </w:r>
            <w:r>
              <w:rPr>
                <w:rFonts w:hint="eastAsia" w:ascii="仿宋" w:hAnsi="仿宋" w:eastAsia="仿宋" w:cs="仿宋"/>
                <w:color w:val="auto"/>
                <w:sz w:val="24"/>
                <w:szCs w:val="24"/>
              </w:rPr>
              <w:t>会议室</w:t>
            </w:r>
          </w:p>
        </w:tc>
      </w:tr>
      <w:tr w14:paraId="122A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25" w:type="dxa"/>
            <w:vAlign w:val="center"/>
          </w:tcPr>
          <w:p w14:paraId="13EE676A">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894" w:type="dxa"/>
            <w:vAlign w:val="center"/>
          </w:tcPr>
          <w:p w14:paraId="7ED4F881">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15.1</w:t>
            </w:r>
          </w:p>
        </w:tc>
        <w:tc>
          <w:tcPr>
            <w:tcW w:w="1627" w:type="dxa"/>
            <w:vAlign w:val="center"/>
          </w:tcPr>
          <w:p w14:paraId="10F22005">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比价谈判时间及地点</w:t>
            </w:r>
          </w:p>
        </w:tc>
        <w:tc>
          <w:tcPr>
            <w:tcW w:w="5971" w:type="dxa"/>
            <w:vAlign w:val="center"/>
          </w:tcPr>
          <w:p w14:paraId="1ED5199D">
            <w:pPr>
              <w:tabs>
                <w:tab w:val="left" w:pos="425"/>
              </w:tabs>
              <w:ind w:right="105" w:rightChars="50"/>
              <w:rPr>
                <w:rFonts w:ascii="仿宋" w:hAnsi="仿宋" w:eastAsia="仿宋" w:cs="仿宋"/>
                <w:color w:val="auto"/>
                <w:sz w:val="24"/>
                <w:szCs w:val="24"/>
                <w:u w:val="single"/>
              </w:rPr>
            </w:pPr>
            <w:r>
              <w:rPr>
                <w:rFonts w:hint="eastAsia" w:ascii="仿宋" w:hAnsi="仿宋" w:eastAsia="仿宋" w:cs="仿宋"/>
                <w:color w:val="auto"/>
                <w:sz w:val="24"/>
                <w:szCs w:val="24"/>
              </w:rPr>
              <w:t>比价谈判时间：</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日</w:t>
            </w:r>
            <w:r>
              <w:rPr>
                <w:rFonts w:hint="eastAsia" w:ascii="仿宋" w:hAnsi="仿宋" w:eastAsia="仿宋" w:cs="仿宋"/>
                <w:color w:val="auto"/>
                <w:sz w:val="24"/>
                <w:szCs w:val="24"/>
                <w:lang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时00分</w:t>
            </w:r>
          </w:p>
          <w:p w14:paraId="2A8133D2">
            <w:pPr>
              <w:tabs>
                <w:tab w:val="left" w:pos="425"/>
              </w:tabs>
              <w:ind w:right="105" w:rightChars="50"/>
              <w:rPr>
                <w:rFonts w:ascii="仿宋" w:hAnsi="仿宋" w:eastAsia="仿宋" w:cs="仿宋"/>
                <w:color w:val="auto"/>
                <w:sz w:val="24"/>
                <w:szCs w:val="24"/>
              </w:rPr>
            </w:pPr>
            <w:r>
              <w:rPr>
                <w:rFonts w:hint="eastAsia" w:ascii="仿宋" w:hAnsi="仿宋" w:eastAsia="仿宋" w:cs="仿宋"/>
                <w:color w:val="auto"/>
                <w:sz w:val="24"/>
                <w:szCs w:val="24"/>
              </w:rPr>
              <w:t>比价谈判地点：</w:t>
            </w:r>
            <w:r>
              <w:rPr>
                <w:rFonts w:hint="eastAsia" w:ascii="仿宋" w:hAnsi="仿宋" w:eastAsia="仿宋" w:cs="仿宋"/>
                <w:color w:val="auto"/>
                <w:sz w:val="24"/>
                <w:szCs w:val="24"/>
                <w:lang w:eastAsia="zh-CN"/>
              </w:rPr>
              <w:t>余姚市梁弄镇白水冲村股份经济合作社</w:t>
            </w:r>
            <w:r>
              <w:rPr>
                <w:rFonts w:hint="eastAsia" w:ascii="仿宋" w:hAnsi="仿宋" w:eastAsia="仿宋" w:cs="仿宋"/>
                <w:color w:val="auto"/>
                <w:sz w:val="24"/>
                <w:szCs w:val="24"/>
              </w:rPr>
              <w:t>会议室。</w:t>
            </w:r>
          </w:p>
        </w:tc>
      </w:tr>
      <w:tr w14:paraId="4F63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vAlign w:val="center"/>
          </w:tcPr>
          <w:p w14:paraId="605B788C">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894" w:type="dxa"/>
            <w:vAlign w:val="center"/>
          </w:tcPr>
          <w:p w14:paraId="47315B53">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24.1</w:t>
            </w:r>
          </w:p>
        </w:tc>
        <w:tc>
          <w:tcPr>
            <w:tcW w:w="1627" w:type="dxa"/>
            <w:vAlign w:val="center"/>
          </w:tcPr>
          <w:p w14:paraId="6211E2DB">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合同签订时    间及地点</w:t>
            </w:r>
          </w:p>
        </w:tc>
        <w:tc>
          <w:tcPr>
            <w:tcW w:w="5971" w:type="dxa"/>
            <w:vAlign w:val="center"/>
          </w:tcPr>
          <w:p w14:paraId="5DAC92CF">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时间：成交通知书发出之日起3天内</w:t>
            </w:r>
          </w:p>
          <w:p w14:paraId="36085E30">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地点：采购人指定地点</w:t>
            </w:r>
          </w:p>
        </w:tc>
      </w:tr>
      <w:tr w14:paraId="6410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25" w:type="dxa"/>
            <w:vAlign w:val="center"/>
          </w:tcPr>
          <w:p w14:paraId="3424BEF6">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894" w:type="dxa"/>
            <w:vAlign w:val="center"/>
          </w:tcPr>
          <w:p w14:paraId="0E2AB591">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25.1</w:t>
            </w:r>
          </w:p>
        </w:tc>
        <w:tc>
          <w:tcPr>
            <w:tcW w:w="1627" w:type="dxa"/>
            <w:vAlign w:val="center"/>
          </w:tcPr>
          <w:p w14:paraId="3C35855A">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合同履约保 证金</w:t>
            </w:r>
          </w:p>
        </w:tc>
        <w:tc>
          <w:tcPr>
            <w:tcW w:w="5971" w:type="dxa"/>
            <w:vAlign w:val="center"/>
          </w:tcPr>
          <w:p w14:paraId="5E5E81DC">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本项目不设置</w:t>
            </w:r>
          </w:p>
        </w:tc>
      </w:tr>
      <w:tr w14:paraId="7235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2B336861">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894" w:type="dxa"/>
            <w:tcBorders>
              <w:top w:val="single" w:color="auto" w:sz="4" w:space="0"/>
              <w:left w:val="single" w:color="auto" w:sz="4" w:space="0"/>
              <w:bottom w:val="single" w:color="auto" w:sz="4" w:space="0"/>
              <w:right w:val="single" w:color="auto" w:sz="4" w:space="0"/>
            </w:tcBorders>
            <w:vAlign w:val="center"/>
          </w:tcPr>
          <w:p w14:paraId="6503D490">
            <w:pPr>
              <w:tabs>
                <w:tab w:val="left" w:pos="105"/>
                <w:tab w:val="left" w:pos="735"/>
                <w:tab w:val="left" w:pos="945"/>
                <w:tab w:val="left" w:pos="3360"/>
              </w:tabs>
              <w:jc w:val="center"/>
              <w:rPr>
                <w:rFonts w:ascii="仿宋" w:hAnsi="仿宋" w:eastAsia="仿宋" w:cs="仿宋"/>
                <w:color w:val="auto"/>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B6BFA12">
            <w:pPr>
              <w:tabs>
                <w:tab w:val="left" w:pos="105"/>
                <w:tab w:val="left" w:pos="735"/>
                <w:tab w:val="left" w:pos="945"/>
                <w:tab w:val="left" w:pos="3360"/>
              </w:tabs>
              <w:jc w:val="left"/>
              <w:rPr>
                <w:rFonts w:ascii="仿宋" w:hAnsi="仿宋" w:eastAsia="仿宋" w:cs="仿宋"/>
                <w:color w:val="auto"/>
                <w:sz w:val="24"/>
                <w:szCs w:val="24"/>
              </w:rPr>
            </w:pPr>
            <w:r>
              <w:rPr>
                <w:rFonts w:hint="eastAsia" w:ascii="仿宋" w:hAnsi="仿宋" w:eastAsia="仿宋" w:cs="仿宋"/>
                <w:color w:val="auto"/>
                <w:sz w:val="24"/>
                <w:szCs w:val="24"/>
              </w:rPr>
              <w:t>采购代理费</w:t>
            </w:r>
          </w:p>
        </w:tc>
        <w:tc>
          <w:tcPr>
            <w:tcW w:w="5971" w:type="dxa"/>
            <w:tcBorders>
              <w:top w:val="single" w:color="auto" w:sz="4" w:space="0"/>
              <w:left w:val="single" w:color="auto" w:sz="4" w:space="0"/>
              <w:bottom w:val="single" w:color="auto" w:sz="4" w:space="0"/>
              <w:right w:val="single" w:color="auto" w:sz="4" w:space="0"/>
            </w:tcBorders>
            <w:vAlign w:val="center"/>
          </w:tcPr>
          <w:p w14:paraId="2043206E">
            <w:pPr>
              <w:tabs>
                <w:tab w:val="left" w:pos="105"/>
                <w:tab w:val="left" w:pos="735"/>
                <w:tab w:val="left" w:pos="945"/>
                <w:tab w:val="left" w:pos="3360"/>
              </w:tabs>
              <w:rPr>
                <w:rFonts w:ascii="仿宋" w:hAnsi="仿宋" w:eastAsia="仿宋" w:cs="仿宋"/>
                <w:color w:val="auto"/>
                <w:sz w:val="24"/>
                <w:szCs w:val="24"/>
              </w:rPr>
            </w:pPr>
            <w:r>
              <w:rPr>
                <w:rFonts w:ascii="仿宋" w:hAnsi="仿宋" w:eastAsia="仿宋" w:cs="仿宋"/>
                <w:color w:val="auto"/>
                <w:sz w:val="24"/>
                <w:szCs w:val="24"/>
              </w:rPr>
              <w:t>1.本次招标项目参照国家计委《招标代理服务收费管理暂行办法》计价格[2002]1980号文规定向成交供应商收取，收费金额</w:t>
            </w:r>
            <w:r>
              <w:rPr>
                <w:rFonts w:hint="eastAsia" w:ascii="仿宋" w:hAnsi="仿宋" w:eastAsia="仿宋" w:cs="仿宋"/>
                <w:color w:val="auto"/>
                <w:sz w:val="24"/>
                <w:szCs w:val="24"/>
              </w:rPr>
              <w:t>3000元</w:t>
            </w:r>
            <w:r>
              <w:rPr>
                <w:rFonts w:ascii="仿宋" w:hAnsi="仿宋" w:eastAsia="仿宋" w:cs="仿宋"/>
                <w:color w:val="auto"/>
                <w:sz w:val="24"/>
                <w:szCs w:val="24"/>
              </w:rPr>
              <w:t>。</w:t>
            </w:r>
          </w:p>
          <w:p w14:paraId="04ADDB1D">
            <w:pPr>
              <w:tabs>
                <w:tab w:val="left" w:pos="105"/>
                <w:tab w:val="left" w:pos="735"/>
                <w:tab w:val="left" w:pos="945"/>
                <w:tab w:val="left" w:pos="3360"/>
              </w:tabs>
              <w:rPr>
                <w:rFonts w:hint="eastAsia" w:ascii="仿宋" w:hAnsi="仿宋" w:eastAsia="仿宋" w:cs="仿宋"/>
                <w:color w:val="auto"/>
                <w:lang w:eastAsia="zh-CN"/>
              </w:rPr>
            </w:pPr>
            <w:r>
              <w:rPr>
                <w:rFonts w:ascii="仿宋" w:hAnsi="仿宋" w:eastAsia="仿宋" w:cs="仿宋"/>
                <w:color w:val="auto"/>
                <w:sz w:val="24"/>
                <w:szCs w:val="24"/>
              </w:rPr>
              <w:t>2.成交供应商应在领取成交通知书前向本公司支付采购代理服务费</w:t>
            </w:r>
            <w:r>
              <w:rPr>
                <w:rFonts w:hint="eastAsia" w:ascii="仿宋" w:hAnsi="仿宋" w:eastAsia="仿宋" w:cs="仿宋"/>
                <w:color w:val="auto"/>
                <w:sz w:val="24"/>
                <w:szCs w:val="24"/>
                <w:lang w:eastAsia="zh-CN"/>
              </w:rPr>
              <w:t>。</w:t>
            </w:r>
          </w:p>
        </w:tc>
      </w:tr>
      <w:tr w14:paraId="3A63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140C41EF">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894" w:type="dxa"/>
            <w:tcBorders>
              <w:top w:val="single" w:color="auto" w:sz="4" w:space="0"/>
              <w:left w:val="single" w:color="auto" w:sz="4" w:space="0"/>
              <w:bottom w:val="single" w:color="auto" w:sz="4" w:space="0"/>
              <w:right w:val="single" w:color="auto" w:sz="4" w:space="0"/>
            </w:tcBorders>
            <w:vAlign w:val="center"/>
          </w:tcPr>
          <w:p w14:paraId="7078BC16">
            <w:pPr>
              <w:tabs>
                <w:tab w:val="left" w:pos="105"/>
                <w:tab w:val="left" w:pos="735"/>
                <w:tab w:val="left" w:pos="945"/>
                <w:tab w:val="left" w:pos="3360"/>
              </w:tabs>
              <w:jc w:val="center"/>
              <w:rPr>
                <w:rFonts w:ascii="仿宋" w:hAnsi="仿宋" w:eastAsia="仿宋" w:cs="仿宋"/>
                <w:color w:val="auto"/>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9EDB1BF">
            <w:pPr>
              <w:jc w:val="center"/>
              <w:rPr>
                <w:rFonts w:ascii="仿宋" w:hAnsi="仿宋" w:eastAsia="仿宋" w:cs="仿宋"/>
                <w:color w:val="auto"/>
                <w:sz w:val="24"/>
                <w:szCs w:val="24"/>
              </w:rPr>
            </w:pPr>
            <w:r>
              <w:rPr>
                <w:rFonts w:hint="eastAsia" w:ascii="仿宋" w:hAnsi="仿宋" w:eastAsia="仿宋" w:cs="仿宋"/>
                <w:color w:val="auto"/>
                <w:sz w:val="24"/>
                <w:szCs w:val="24"/>
              </w:rPr>
              <w:t>原件提交</w:t>
            </w:r>
          </w:p>
        </w:tc>
        <w:tc>
          <w:tcPr>
            <w:tcW w:w="5971" w:type="dxa"/>
            <w:tcBorders>
              <w:top w:val="single" w:color="auto" w:sz="4" w:space="0"/>
              <w:left w:val="single" w:color="auto" w:sz="4" w:space="0"/>
              <w:bottom w:val="single" w:color="auto" w:sz="4" w:space="0"/>
              <w:right w:val="single" w:color="auto" w:sz="4" w:space="0"/>
            </w:tcBorders>
            <w:vAlign w:val="center"/>
          </w:tcPr>
          <w:p w14:paraId="6A6D5E8E">
            <w:pPr>
              <w:tabs>
                <w:tab w:val="left" w:pos="105"/>
                <w:tab w:val="left" w:pos="735"/>
                <w:tab w:val="left" w:pos="945"/>
                <w:tab w:val="left" w:pos="3360"/>
              </w:tabs>
              <w:rPr>
                <w:rFonts w:ascii="仿宋" w:hAnsi="仿宋" w:eastAsia="仿宋" w:cs="仿宋"/>
                <w:color w:val="auto"/>
                <w:sz w:val="24"/>
                <w:szCs w:val="24"/>
              </w:rPr>
            </w:pPr>
            <w:r>
              <w:rPr>
                <w:rFonts w:hint="eastAsia" w:ascii="仿宋" w:hAnsi="仿宋" w:eastAsia="仿宋" w:cs="仿宋"/>
                <w:color w:val="auto"/>
                <w:sz w:val="24"/>
                <w:szCs w:val="24"/>
              </w:rPr>
              <w:t>1、本项目对现场递交各类证书和资料原件不作要求，但供应商需对响应文件中各类证书和资料的真实准确性负责</w:t>
            </w:r>
          </w:p>
        </w:tc>
      </w:tr>
      <w:tr w14:paraId="0635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38F08526">
            <w:pPr>
              <w:tabs>
                <w:tab w:val="left" w:pos="105"/>
                <w:tab w:val="left" w:pos="735"/>
                <w:tab w:val="left" w:pos="945"/>
                <w:tab w:val="left" w:pos="3360"/>
              </w:tabs>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894" w:type="dxa"/>
            <w:tcBorders>
              <w:top w:val="single" w:color="auto" w:sz="4" w:space="0"/>
              <w:left w:val="single" w:color="auto" w:sz="4" w:space="0"/>
              <w:bottom w:val="single" w:color="auto" w:sz="4" w:space="0"/>
              <w:right w:val="single" w:color="auto" w:sz="4" w:space="0"/>
            </w:tcBorders>
            <w:vAlign w:val="center"/>
          </w:tcPr>
          <w:p w14:paraId="2F8595C4">
            <w:pPr>
              <w:tabs>
                <w:tab w:val="left" w:pos="105"/>
                <w:tab w:val="left" w:pos="735"/>
                <w:tab w:val="left" w:pos="945"/>
                <w:tab w:val="left" w:pos="3360"/>
              </w:tabs>
              <w:jc w:val="center"/>
              <w:rPr>
                <w:rFonts w:ascii="仿宋" w:hAnsi="仿宋" w:eastAsia="仿宋" w:cs="仿宋"/>
                <w:color w:val="auto"/>
                <w:sz w:val="24"/>
                <w:szCs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37C1DBD">
            <w:pPr>
              <w:tabs>
                <w:tab w:val="left" w:pos="105"/>
                <w:tab w:val="left" w:pos="735"/>
                <w:tab w:val="left" w:pos="945"/>
                <w:tab w:val="left" w:pos="3360"/>
              </w:tabs>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现场踏勘</w:t>
            </w:r>
          </w:p>
        </w:tc>
        <w:tc>
          <w:tcPr>
            <w:tcW w:w="5971" w:type="dxa"/>
            <w:tcBorders>
              <w:top w:val="single" w:color="auto" w:sz="4" w:space="0"/>
              <w:left w:val="single" w:color="auto" w:sz="4" w:space="0"/>
              <w:bottom w:val="single" w:color="auto" w:sz="4" w:space="0"/>
              <w:right w:val="single" w:color="auto" w:sz="4" w:space="0"/>
            </w:tcBorders>
            <w:vAlign w:val="center"/>
          </w:tcPr>
          <w:p w14:paraId="25E8D474">
            <w:pPr>
              <w:rPr>
                <w:rFonts w:ascii="仿宋" w:hAnsi="仿宋" w:eastAsia="仿宋" w:cs="仿宋"/>
                <w:color w:val="auto"/>
                <w:kern w:val="0"/>
                <w:sz w:val="24"/>
                <w:szCs w:val="24"/>
              </w:rPr>
            </w:pPr>
            <w:r>
              <w:rPr>
                <w:rFonts w:hint="eastAsia" w:ascii="仿宋" w:hAnsi="仿宋" w:eastAsia="仿宋" w:cs="仿宋"/>
                <w:color w:val="auto"/>
                <w:kern w:val="0"/>
                <w:sz w:val="24"/>
                <w:szCs w:val="24"/>
              </w:rPr>
              <w:t>供应商自行踏勘</w:t>
            </w:r>
          </w:p>
        </w:tc>
      </w:tr>
    </w:tbl>
    <w:p w14:paraId="62126A06">
      <w:pPr>
        <w:spacing w:line="500" w:lineRule="exact"/>
        <w:rPr>
          <w:rFonts w:ascii="仿宋" w:hAnsi="仿宋" w:eastAsia="仿宋" w:cs="仿宋"/>
          <w:bCs/>
          <w:color w:val="auto"/>
          <w:sz w:val="24"/>
        </w:rPr>
      </w:pPr>
    </w:p>
    <w:p w14:paraId="4F8A5A29">
      <w:pPr>
        <w:spacing w:line="360" w:lineRule="auto"/>
        <w:jc w:val="center"/>
        <w:rPr>
          <w:rFonts w:ascii="仿宋" w:hAnsi="仿宋" w:eastAsia="仿宋" w:cs="仿宋"/>
          <w:b/>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4"/>
        </w:rPr>
        <w:t>一、总  则</w:t>
      </w:r>
    </w:p>
    <w:p w14:paraId="019D987A">
      <w:pPr>
        <w:spacing w:line="360" w:lineRule="auto"/>
        <w:rPr>
          <w:rFonts w:ascii="仿宋" w:hAnsi="仿宋" w:eastAsia="仿宋" w:cs="仿宋"/>
          <w:b/>
          <w:bCs/>
          <w:color w:val="auto"/>
          <w:sz w:val="24"/>
        </w:rPr>
      </w:pPr>
      <w:r>
        <w:rPr>
          <w:rFonts w:hint="eastAsia" w:ascii="仿宋" w:hAnsi="仿宋" w:eastAsia="仿宋" w:cs="仿宋"/>
          <w:b/>
          <w:bCs/>
          <w:color w:val="auto"/>
          <w:sz w:val="24"/>
        </w:rPr>
        <w:t>1.采购范围</w:t>
      </w:r>
    </w:p>
    <w:p w14:paraId="6A5C85FD">
      <w:pPr>
        <w:tabs>
          <w:tab w:val="left" w:pos="105"/>
          <w:tab w:val="left" w:pos="945"/>
          <w:tab w:val="left" w:pos="3360"/>
        </w:tabs>
        <w:spacing w:line="360" w:lineRule="auto"/>
        <w:rPr>
          <w:rFonts w:ascii="仿宋" w:hAnsi="仿宋" w:eastAsia="仿宋" w:cs="仿宋"/>
          <w:color w:val="auto"/>
          <w:sz w:val="24"/>
        </w:rPr>
      </w:pPr>
      <w:r>
        <w:rPr>
          <w:rFonts w:hint="eastAsia" w:ascii="仿宋" w:hAnsi="仿宋" w:eastAsia="仿宋" w:cs="仿宋"/>
          <w:color w:val="auto"/>
          <w:sz w:val="24"/>
        </w:rPr>
        <w:t xml:space="preserve">1.1本次采购人见前附表第1项。 </w:t>
      </w:r>
    </w:p>
    <w:p w14:paraId="5A5346E7">
      <w:pPr>
        <w:spacing w:line="360" w:lineRule="auto"/>
        <w:rPr>
          <w:rFonts w:ascii="仿宋" w:hAnsi="仿宋" w:eastAsia="仿宋" w:cs="仿宋"/>
          <w:color w:val="auto"/>
          <w:sz w:val="24"/>
        </w:rPr>
      </w:pPr>
      <w:r>
        <w:rPr>
          <w:rFonts w:hint="eastAsia" w:ascii="仿宋" w:hAnsi="仿宋" w:eastAsia="仿宋" w:cs="仿宋"/>
          <w:color w:val="auto"/>
          <w:sz w:val="24"/>
        </w:rPr>
        <w:t>1.2本次采购项目名称及项目编号见前附表第2项。</w:t>
      </w:r>
    </w:p>
    <w:p w14:paraId="615D803B">
      <w:pPr>
        <w:spacing w:line="360" w:lineRule="auto"/>
        <w:rPr>
          <w:rFonts w:ascii="仿宋" w:hAnsi="仿宋" w:eastAsia="仿宋" w:cs="仿宋"/>
          <w:b/>
          <w:bCs/>
          <w:color w:val="auto"/>
          <w:sz w:val="24"/>
        </w:rPr>
      </w:pPr>
      <w:r>
        <w:rPr>
          <w:rFonts w:hint="eastAsia" w:ascii="仿宋" w:hAnsi="仿宋" w:eastAsia="仿宋" w:cs="仿宋"/>
          <w:b/>
          <w:bCs/>
          <w:color w:val="auto"/>
          <w:sz w:val="24"/>
        </w:rPr>
        <w:t>2.合格的供应商</w:t>
      </w:r>
    </w:p>
    <w:p w14:paraId="4C8B7B4D">
      <w:pPr>
        <w:spacing w:line="360" w:lineRule="auto"/>
        <w:rPr>
          <w:rFonts w:ascii="仿宋" w:hAnsi="仿宋" w:eastAsia="仿宋" w:cs="仿宋"/>
          <w:color w:val="auto"/>
          <w:sz w:val="24"/>
        </w:rPr>
      </w:pPr>
      <w:r>
        <w:rPr>
          <w:rFonts w:hint="eastAsia" w:ascii="仿宋" w:hAnsi="仿宋" w:eastAsia="仿宋" w:cs="仿宋"/>
          <w:color w:val="auto"/>
          <w:sz w:val="24"/>
        </w:rPr>
        <w:t>2.1合格的供应商资格详见前附表第5项。</w:t>
      </w:r>
    </w:p>
    <w:p w14:paraId="78901C61">
      <w:pPr>
        <w:spacing w:line="360" w:lineRule="auto"/>
        <w:rPr>
          <w:rFonts w:ascii="仿宋" w:hAnsi="仿宋" w:eastAsia="仿宋" w:cs="仿宋"/>
          <w:color w:val="auto"/>
          <w:sz w:val="24"/>
        </w:rPr>
      </w:pPr>
      <w:r>
        <w:rPr>
          <w:rFonts w:hint="eastAsia" w:ascii="仿宋" w:hAnsi="仿宋" w:eastAsia="仿宋" w:cs="仿宋"/>
          <w:color w:val="auto"/>
          <w:sz w:val="24"/>
        </w:rPr>
        <w:t>2.2供应商应遵守国家有关法律、法规和规章。</w:t>
      </w:r>
    </w:p>
    <w:p w14:paraId="66426EF4">
      <w:pPr>
        <w:spacing w:line="360" w:lineRule="auto"/>
        <w:rPr>
          <w:rFonts w:ascii="仿宋" w:hAnsi="仿宋" w:eastAsia="仿宋" w:cs="仿宋"/>
          <w:color w:val="auto"/>
          <w:sz w:val="24"/>
        </w:rPr>
      </w:pPr>
      <w:r>
        <w:rPr>
          <w:rFonts w:hint="eastAsia" w:ascii="仿宋" w:hAnsi="仿宋" w:eastAsia="仿宋" w:cs="仿宋"/>
          <w:color w:val="auto"/>
          <w:sz w:val="24"/>
        </w:rPr>
        <w:t>2.3若比价谈判响应人代表不是法定代表人（或企业负责人或经营者），须持有《法定代表人（或企业负责人或经营者）授权书》。</w:t>
      </w:r>
    </w:p>
    <w:p w14:paraId="6BCACDBA">
      <w:pPr>
        <w:spacing w:line="360" w:lineRule="auto"/>
        <w:rPr>
          <w:rFonts w:ascii="仿宋" w:hAnsi="仿宋" w:eastAsia="仿宋" w:cs="仿宋"/>
          <w:color w:val="auto"/>
          <w:sz w:val="24"/>
        </w:rPr>
      </w:pPr>
      <w:r>
        <w:rPr>
          <w:rFonts w:hint="eastAsia" w:ascii="仿宋" w:hAnsi="仿宋" w:eastAsia="仿宋" w:cs="仿宋"/>
          <w:b/>
          <w:bCs/>
          <w:color w:val="auto"/>
          <w:sz w:val="24"/>
        </w:rPr>
        <w:t>3.比价谈判费用</w:t>
      </w:r>
    </w:p>
    <w:p w14:paraId="229BBD8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供应商应承担所有与参加比价谈判有关的全部费用，无论比价谈判的结果如何，采购人在任何情况下均无义务和责任承担这些费用。比价谈判响应文件一律不退还。</w:t>
      </w:r>
    </w:p>
    <w:p w14:paraId="75090FB0">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二、比价谈判文件</w:t>
      </w:r>
    </w:p>
    <w:p w14:paraId="3E5E9396">
      <w:pPr>
        <w:spacing w:line="360" w:lineRule="auto"/>
        <w:rPr>
          <w:rFonts w:ascii="仿宋" w:hAnsi="仿宋" w:eastAsia="仿宋" w:cs="仿宋"/>
          <w:b/>
          <w:bCs/>
          <w:color w:val="auto"/>
          <w:sz w:val="24"/>
        </w:rPr>
      </w:pPr>
      <w:r>
        <w:rPr>
          <w:rFonts w:hint="eastAsia" w:ascii="仿宋" w:hAnsi="仿宋" w:eastAsia="仿宋" w:cs="仿宋"/>
          <w:b/>
          <w:bCs/>
          <w:color w:val="auto"/>
          <w:sz w:val="24"/>
        </w:rPr>
        <w:t>4.比价谈判文件的内容</w:t>
      </w:r>
    </w:p>
    <w:p w14:paraId="2E46C3FC">
      <w:pPr>
        <w:spacing w:line="360" w:lineRule="auto"/>
        <w:rPr>
          <w:rFonts w:ascii="仿宋" w:hAnsi="仿宋" w:eastAsia="仿宋" w:cs="仿宋"/>
          <w:color w:val="auto"/>
          <w:sz w:val="24"/>
        </w:rPr>
      </w:pPr>
      <w:r>
        <w:rPr>
          <w:rFonts w:hint="eastAsia" w:ascii="仿宋" w:hAnsi="仿宋" w:eastAsia="仿宋" w:cs="仿宋"/>
          <w:color w:val="auto"/>
          <w:sz w:val="24"/>
        </w:rPr>
        <w:t xml:space="preserve">4.1比价谈判文件的组成。   </w:t>
      </w:r>
    </w:p>
    <w:p w14:paraId="450B2CAC">
      <w:pPr>
        <w:spacing w:line="360" w:lineRule="auto"/>
        <w:rPr>
          <w:rFonts w:ascii="仿宋" w:hAnsi="仿宋" w:eastAsia="仿宋" w:cs="仿宋"/>
          <w:color w:val="auto"/>
          <w:sz w:val="24"/>
        </w:rPr>
      </w:pPr>
      <w:r>
        <w:rPr>
          <w:rFonts w:hint="eastAsia" w:ascii="仿宋" w:hAnsi="仿宋" w:eastAsia="仿宋" w:cs="仿宋"/>
          <w:color w:val="auto"/>
          <w:sz w:val="24"/>
        </w:rPr>
        <w:t>4.1.1第一章 比价谈判公告。</w:t>
      </w:r>
    </w:p>
    <w:p w14:paraId="4995F291">
      <w:pPr>
        <w:spacing w:line="360" w:lineRule="auto"/>
        <w:rPr>
          <w:rFonts w:ascii="仿宋" w:hAnsi="仿宋" w:eastAsia="仿宋" w:cs="仿宋"/>
          <w:color w:val="auto"/>
          <w:sz w:val="24"/>
        </w:rPr>
      </w:pPr>
      <w:r>
        <w:rPr>
          <w:rFonts w:hint="eastAsia" w:ascii="仿宋" w:hAnsi="仿宋" w:eastAsia="仿宋" w:cs="仿宋"/>
          <w:color w:val="auto"/>
          <w:sz w:val="24"/>
        </w:rPr>
        <w:t>4.1.2第二章比价谈判须知。</w:t>
      </w:r>
    </w:p>
    <w:p w14:paraId="4CEF6C1E">
      <w:pPr>
        <w:spacing w:line="360" w:lineRule="auto"/>
        <w:rPr>
          <w:rFonts w:ascii="仿宋" w:hAnsi="仿宋" w:eastAsia="仿宋" w:cs="仿宋"/>
          <w:color w:val="auto"/>
          <w:sz w:val="24"/>
        </w:rPr>
      </w:pPr>
      <w:r>
        <w:rPr>
          <w:rFonts w:hint="eastAsia" w:ascii="仿宋" w:hAnsi="仿宋" w:eastAsia="仿宋" w:cs="仿宋"/>
          <w:color w:val="auto"/>
          <w:sz w:val="24"/>
        </w:rPr>
        <w:t>4.1.3第三章 合同文本。</w:t>
      </w:r>
    </w:p>
    <w:p w14:paraId="44644EEB">
      <w:pPr>
        <w:spacing w:line="360" w:lineRule="auto"/>
        <w:rPr>
          <w:rFonts w:ascii="仿宋" w:hAnsi="仿宋" w:eastAsia="仿宋" w:cs="仿宋"/>
          <w:color w:val="auto"/>
          <w:sz w:val="24"/>
        </w:rPr>
      </w:pPr>
      <w:r>
        <w:rPr>
          <w:rFonts w:hint="eastAsia" w:ascii="仿宋" w:hAnsi="仿宋" w:eastAsia="仿宋" w:cs="仿宋"/>
          <w:color w:val="auto"/>
          <w:sz w:val="24"/>
        </w:rPr>
        <w:t>4.1.4第四章 采购内容及要求。</w:t>
      </w:r>
    </w:p>
    <w:p w14:paraId="3876AB6D">
      <w:pPr>
        <w:spacing w:line="360" w:lineRule="auto"/>
        <w:rPr>
          <w:rFonts w:ascii="仿宋" w:hAnsi="仿宋" w:eastAsia="仿宋" w:cs="仿宋"/>
          <w:color w:val="auto"/>
          <w:sz w:val="24"/>
        </w:rPr>
      </w:pPr>
      <w:r>
        <w:rPr>
          <w:rFonts w:hint="eastAsia" w:ascii="仿宋" w:hAnsi="仿宋" w:eastAsia="仿宋" w:cs="仿宋"/>
          <w:color w:val="auto"/>
          <w:sz w:val="24"/>
        </w:rPr>
        <w:t>4.1.5第五章比价谈判响应文件格式。</w:t>
      </w:r>
    </w:p>
    <w:p w14:paraId="100B7B85">
      <w:pPr>
        <w:spacing w:line="360" w:lineRule="auto"/>
        <w:rPr>
          <w:rFonts w:ascii="仿宋" w:hAnsi="仿宋" w:eastAsia="仿宋" w:cs="仿宋"/>
          <w:color w:val="auto"/>
          <w:sz w:val="24"/>
        </w:rPr>
      </w:pPr>
      <w:r>
        <w:rPr>
          <w:rFonts w:hint="eastAsia" w:ascii="仿宋" w:hAnsi="仿宋" w:eastAsia="仿宋" w:cs="仿宋"/>
          <w:color w:val="auto"/>
          <w:sz w:val="24"/>
        </w:rPr>
        <w:t>4.2供应商应详细阅读比价谈判文件的全部内容。不按比价谈判文件要求提供的比价谈判响应文件，将被视为无效标而导致比价谈判被拒绝。</w:t>
      </w:r>
    </w:p>
    <w:p w14:paraId="6035F828">
      <w:pPr>
        <w:spacing w:line="360" w:lineRule="auto"/>
        <w:rPr>
          <w:rFonts w:ascii="仿宋" w:hAnsi="仿宋" w:eastAsia="仿宋" w:cs="仿宋"/>
          <w:b/>
          <w:bCs/>
          <w:color w:val="auto"/>
          <w:sz w:val="24"/>
        </w:rPr>
      </w:pPr>
      <w:r>
        <w:rPr>
          <w:rFonts w:hint="eastAsia" w:ascii="仿宋" w:hAnsi="仿宋" w:eastAsia="仿宋" w:cs="仿宋"/>
          <w:b/>
          <w:bCs/>
          <w:color w:val="auto"/>
          <w:sz w:val="24"/>
        </w:rPr>
        <w:t>5.比价谈判文件的答疑</w:t>
      </w:r>
    </w:p>
    <w:p w14:paraId="12F0CC98">
      <w:pPr>
        <w:spacing w:line="360" w:lineRule="auto"/>
        <w:rPr>
          <w:rFonts w:ascii="仿宋" w:hAnsi="仿宋" w:eastAsia="仿宋" w:cs="仿宋"/>
          <w:color w:val="auto"/>
          <w:sz w:val="24"/>
        </w:rPr>
      </w:pPr>
      <w:r>
        <w:rPr>
          <w:rFonts w:hint="eastAsia" w:ascii="仿宋" w:hAnsi="仿宋" w:eastAsia="仿宋" w:cs="仿宋"/>
          <w:color w:val="auto"/>
          <w:sz w:val="24"/>
        </w:rPr>
        <w:t>5.1供应商对比价谈判文件如有疑点或技术指标要求澄清，或认为有必要与用户进行技术交流时，将疑点和要求澄清内容在比价谈判公告发布之日起</w:t>
      </w:r>
      <w:r>
        <w:rPr>
          <w:rFonts w:hint="eastAsia" w:ascii="仿宋" w:hAnsi="仿宋" w:eastAsia="仿宋" w:cs="仿宋"/>
          <w:iCs/>
          <w:color w:val="auto"/>
          <w:sz w:val="24"/>
          <w:u w:val="single"/>
        </w:rPr>
        <w:t>五个工作日内</w:t>
      </w:r>
      <w:r>
        <w:rPr>
          <w:rFonts w:hint="eastAsia" w:ascii="仿宋" w:hAnsi="仿宋" w:eastAsia="仿宋" w:cs="仿宋"/>
          <w:color w:val="auto"/>
          <w:sz w:val="24"/>
        </w:rPr>
        <w:t xml:space="preserve">用书面形式告知采购人，应有法定代表人（或企业负责人或经营者）或其委托代理人签字，加盖供应商单位公章和注明日期。如有必要，采购人可将答复内容包括原提出的问题（但不标明问题查询的来源），以更正公告的方式在发布过采购公告的网站上发布。 </w:t>
      </w:r>
    </w:p>
    <w:p w14:paraId="4AA29428">
      <w:pPr>
        <w:spacing w:line="360" w:lineRule="auto"/>
        <w:rPr>
          <w:rFonts w:ascii="仿宋" w:hAnsi="仿宋" w:eastAsia="仿宋" w:cs="仿宋"/>
          <w:color w:val="auto"/>
          <w:sz w:val="24"/>
        </w:rPr>
      </w:pPr>
      <w:r>
        <w:rPr>
          <w:rFonts w:hint="eastAsia" w:ascii="仿宋" w:hAnsi="仿宋" w:eastAsia="仿宋" w:cs="仿宋"/>
          <w:color w:val="auto"/>
          <w:sz w:val="24"/>
        </w:rPr>
        <w:t>5.2供应商若认为比价谈判文件的技术要求有倾向性或不公正性，可在比价谈判文件的答疑阶段提出，对于没有提出澄清又参与了该项目比价谈判的供应商将被视为完全认同该比价谈判文件，比价谈判截止时间后不再受理针对比价谈判文件的相关质疑和投诉。</w:t>
      </w:r>
    </w:p>
    <w:p w14:paraId="6C874E91">
      <w:pPr>
        <w:spacing w:line="360" w:lineRule="auto"/>
        <w:rPr>
          <w:rFonts w:ascii="仿宋" w:hAnsi="仿宋" w:eastAsia="仿宋" w:cs="仿宋"/>
          <w:b/>
          <w:bCs/>
          <w:color w:val="auto"/>
          <w:sz w:val="24"/>
        </w:rPr>
      </w:pPr>
      <w:r>
        <w:rPr>
          <w:rFonts w:hint="eastAsia" w:ascii="仿宋" w:hAnsi="仿宋" w:eastAsia="仿宋" w:cs="仿宋"/>
          <w:b/>
          <w:bCs/>
          <w:color w:val="auto"/>
          <w:sz w:val="24"/>
        </w:rPr>
        <w:t>6.比价谈判文件的修改</w:t>
      </w:r>
    </w:p>
    <w:p w14:paraId="1D4C74AE">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6.1提交首次响应文件截止之日前，采购人、采购代理机构可以对已发出的比价谈判文件进行必要的澄清或者修改，澄清或者修改的内容作为比价谈判文件的组成部分。澄清或者修改的内容可能影响响应文件编制的，采购人、采购代理机构应当在提交首次响应文件截止时间至少5日前，以书面形式通知所有获取比价谈判文件的供应商；不足5日的，采购人、采购代理机构应当顺延提交首次响应文件截止时间。</w:t>
      </w:r>
    </w:p>
    <w:p w14:paraId="78FF3328">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6.2在比价谈判过程中，比价谈判小组可以根据比价谈判文件和比价谈判情况实质性变动采购需求中的技术、服务要求以及合同草案条款，但不得变动比价谈判文件中的其他内容。实质性变动的内容，须经采购人代表确认。</w:t>
      </w:r>
    </w:p>
    <w:p w14:paraId="5315327B">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6.3对比价谈判文件作出的实质性变动是比价谈判文件的有效组成部分，比价谈判小组应当及时以书面形式通知所有参加比价谈判的供应商。各供应商可以根据比价谈判文件的修改情况，以书面形式向采购人提交是否继续参加比价谈判的确认书。供应商不继续参加比价谈判的，采购人应按规定退还其比价谈判保证金。比价谈判小组未对比价谈判文件作出修改的，供应商不得退出比价谈判，否则不退还其比价谈判保证金。</w:t>
      </w:r>
    </w:p>
    <w:p w14:paraId="1039653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6.4比价谈判小组应当按采购文件规定的评审程序、评审方法和评分标准进行评审，并对评审结果负责。评审委员会不得擅自修改调整采购文件，但评审时如发现采购文件的有关条款、标准以及评审办法与有关法律法规相违背或存在明显错误的，应当书面向采购组织机构提出，经采购单位和所有响应供应商签字同意后，可按修改调整后的条款进行评审。为此，供应商可以撤回其递交的响应文件。评审结束后，采购组织机构应将上述情况报同级采购监督管理部门备案说明。</w:t>
      </w:r>
    </w:p>
    <w:p w14:paraId="6981CF3C">
      <w:pPr>
        <w:spacing w:line="360" w:lineRule="auto"/>
        <w:jc w:val="center"/>
        <w:rPr>
          <w:rFonts w:ascii="仿宋" w:hAnsi="仿宋" w:eastAsia="仿宋" w:cs="仿宋"/>
          <w:b/>
          <w:color w:val="auto"/>
          <w:sz w:val="24"/>
        </w:rPr>
      </w:pPr>
      <w:r>
        <w:rPr>
          <w:rFonts w:hint="eastAsia" w:ascii="仿宋" w:hAnsi="仿宋" w:eastAsia="仿宋" w:cs="仿宋"/>
          <w:b/>
          <w:color w:val="auto"/>
          <w:sz w:val="24"/>
        </w:rPr>
        <w:t>三、比价谈判响应文件的编制</w:t>
      </w:r>
    </w:p>
    <w:p w14:paraId="1B7643BE">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 xml:space="preserve">7. </w:t>
      </w:r>
      <w:r>
        <w:rPr>
          <w:rFonts w:hint="eastAsia" w:ascii="仿宋" w:hAnsi="仿宋" w:eastAsia="仿宋" w:cs="仿宋"/>
          <w:b/>
          <w:color w:val="auto"/>
          <w:sz w:val="24"/>
        </w:rPr>
        <w:t>比价谈判</w:t>
      </w:r>
      <w:r>
        <w:rPr>
          <w:rFonts w:hint="eastAsia" w:ascii="仿宋" w:hAnsi="仿宋" w:eastAsia="仿宋" w:cs="仿宋"/>
          <w:b/>
          <w:color w:val="auto"/>
          <w:sz w:val="24"/>
          <w:szCs w:val="24"/>
        </w:rPr>
        <w:t>响应文件的组成</w:t>
      </w:r>
    </w:p>
    <w:p w14:paraId="406A7528">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比价谈判响应文件由报价部分、资格证明材料和商务技术部分组成：</w:t>
      </w:r>
    </w:p>
    <w:p w14:paraId="3994F45F">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7.1报价部分：</w:t>
      </w:r>
    </w:p>
    <w:p w14:paraId="75D9A673">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7.1.1报价部分封面（格式自拟）</w:t>
      </w:r>
    </w:p>
    <w:p w14:paraId="0536B8B7">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7.1.2报价部分目录（格式自拟）</w:t>
      </w:r>
    </w:p>
    <w:p w14:paraId="397AC154">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7.1.3▲比价谈判响应函(附件一)；</w:t>
      </w:r>
    </w:p>
    <w:p w14:paraId="08AFF1D6">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7.1.4▲初次报价一览表（附件二）；</w:t>
      </w:r>
    </w:p>
    <w:p w14:paraId="3B8B8D7F">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7.1.5分项报价表（附件三）</w:t>
      </w:r>
    </w:p>
    <w:p w14:paraId="2DCB6084">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7.1.6中小企业声明函（附件四）；</w:t>
      </w:r>
    </w:p>
    <w:p w14:paraId="59BC5E27">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7.1.7其他需提供的报价资料。</w:t>
      </w:r>
    </w:p>
    <w:p w14:paraId="201E63EB">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7.2资格证明材料部分：</w:t>
      </w:r>
    </w:p>
    <w:p w14:paraId="11C0882F">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7.2.1资格证明材料部分封面（格式自拟）</w:t>
      </w:r>
    </w:p>
    <w:p w14:paraId="7267A417">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7.2.2资格证明材料部分目录（格式自拟）</w:t>
      </w:r>
    </w:p>
    <w:p w14:paraId="1B2A5F22">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7.2.3▲有效的企业营业执照副本复印件或登记证复印件；</w:t>
      </w:r>
    </w:p>
    <w:p w14:paraId="35CAE86C">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7.2.4▲具有良好的商业信誉和健全的财务会计制度的声明书；（附件五-1）</w:t>
      </w:r>
    </w:p>
    <w:p w14:paraId="6A92F720">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7.2.5▲具有履行合同所必需的设备和专业技术能力的声明书；（附件五-2）</w:t>
      </w:r>
    </w:p>
    <w:p w14:paraId="10B16363">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7.2.6▲有依法缴纳税收和社会保障资金的良好记录的声明书；（附件五-3）</w:t>
      </w:r>
    </w:p>
    <w:p w14:paraId="111F03AD">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7.2.7▲参加采购活动前三年内，在经营活动中没有重大违法记录的声明书；（附件五-4）</w:t>
      </w:r>
    </w:p>
    <w:p w14:paraId="73B24837">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7.2.8▲未被“信用中国”（www.creditchina.gov.cn）、中国政府采购网（www.ccgp.gov.cn）列入失信被执行人、重大税收违法案件当事人名单、政府采购严重违法失信行为记录名单的声明书；（附件五-5）</w:t>
      </w:r>
    </w:p>
    <w:p w14:paraId="680573CA">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7.2.9▲供应商法定代表人（或企业负责人或经营者）的身份证明（附件六-1）。</w:t>
      </w:r>
    </w:p>
    <w:p w14:paraId="3DA4DCD9">
      <w:pPr>
        <w:tabs>
          <w:tab w:val="left" w:pos="105"/>
          <w:tab w:val="left" w:pos="735"/>
          <w:tab w:val="left" w:pos="945"/>
          <w:tab w:val="left" w:pos="3360"/>
        </w:tabs>
        <w:spacing w:line="360" w:lineRule="auto"/>
        <w:rPr>
          <w:rFonts w:ascii="仿宋" w:hAnsi="仿宋" w:eastAsia="仿宋" w:cs="仿宋"/>
          <w:color w:val="auto"/>
          <w:sz w:val="24"/>
          <w:szCs w:val="24"/>
        </w:rPr>
      </w:pPr>
      <w:r>
        <w:rPr>
          <w:rFonts w:hint="eastAsia" w:ascii="仿宋" w:hAnsi="仿宋" w:eastAsia="仿宋" w:cs="仿宋"/>
          <w:color w:val="auto"/>
          <w:sz w:val="24"/>
          <w:szCs w:val="24"/>
        </w:rPr>
        <w:t>7.2.10▲供应商派委托代理人的，提供法定代表人（或企业负责人或经营者）授权书（附件六-2）。</w:t>
      </w:r>
    </w:p>
    <w:p w14:paraId="5D0C4DA5">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7.3商务技术部分：</w:t>
      </w:r>
    </w:p>
    <w:p w14:paraId="443AD8F1">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7.3.1商务技术部分封面（格式自拟）；</w:t>
      </w:r>
    </w:p>
    <w:p w14:paraId="353DC1A7">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7.3.2商务技术部分目录（格式自拟）；</w:t>
      </w:r>
    </w:p>
    <w:p w14:paraId="767AB49B">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7.3.3▲供应商情况表（附件七）；</w:t>
      </w:r>
    </w:p>
    <w:p w14:paraId="28A2116B">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7.3.4▲服务要求与合同条款偏离表（附件八）；</w:t>
      </w:r>
    </w:p>
    <w:p w14:paraId="096475F8">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7.2.5为满足评审标准得分而需提供的资料（如有需提供）；</w:t>
      </w:r>
    </w:p>
    <w:p w14:paraId="061B0663">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7.2.6其他需提供的资料。</w:t>
      </w:r>
    </w:p>
    <w:p w14:paraId="5E1130EA">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rPr>
        <w:t>以上条款中带▲的条款为必备资料，缺少将作无效标处理。</w:t>
      </w:r>
    </w:p>
    <w:p w14:paraId="008C6CEE">
      <w:pPr>
        <w:spacing w:line="360" w:lineRule="auto"/>
        <w:rPr>
          <w:rFonts w:ascii="仿宋" w:hAnsi="仿宋" w:eastAsia="仿宋" w:cs="仿宋"/>
          <w:b/>
          <w:bCs/>
          <w:color w:val="auto"/>
          <w:sz w:val="24"/>
        </w:rPr>
      </w:pPr>
      <w:r>
        <w:rPr>
          <w:rFonts w:hint="eastAsia" w:ascii="仿宋" w:hAnsi="仿宋" w:eastAsia="仿宋" w:cs="仿宋"/>
          <w:b/>
          <w:bCs/>
          <w:color w:val="auto"/>
          <w:sz w:val="24"/>
        </w:rPr>
        <w:t>8.比价谈判报价</w:t>
      </w:r>
    </w:p>
    <w:p w14:paraId="7FB70DB0">
      <w:pPr>
        <w:spacing w:line="360" w:lineRule="auto"/>
        <w:rPr>
          <w:rFonts w:ascii="仿宋" w:hAnsi="仿宋" w:eastAsia="仿宋" w:cs="仿宋"/>
          <w:color w:val="auto"/>
          <w:sz w:val="24"/>
        </w:rPr>
      </w:pPr>
      <w:r>
        <w:rPr>
          <w:rFonts w:hint="eastAsia" w:ascii="仿宋" w:hAnsi="仿宋" w:eastAsia="仿宋" w:cs="仿宋"/>
          <w:color w:val="auto"/>
          <w:sz w:val="24"/>
        </w:rPr>
        <w:t>8.1供应商应全面充分了解本项目，阅读采购文件全部内容，按照采购文件规定与要求报价，并包含服务过程中可能涉及的费用。</w:t>
      </w:r>
    </w:p>
    <w:p w14:paraId="1E832040">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8.2供应商须按价格部分的格式内容要求填写完整。</w:t>
      </w:r>
    </w:p>
    <w:p w14:paraId="2FD72B1F">
      <w:pPr>
        <w:spacing w:line="360" w:lineRule="auto"/>
        <w:rPr>
          <w:rFonts w:ascii="仿宋" w:hAnsi="仿宋" w:eastAsia="仿宋" w:cs="仿宋"/>
          <w:b/>
          <w:bCs/>
          <w:color w:val="auto"/>
          <w:sz w:val="24"/>
        </w:rPr>
      </w:pPr>
      <w:r>
        <w:rPr>
          <w:rFonts w:hint="eastAsia" w:ascii="仿宋" w:hAnsi="仿宋" w:eastAsia="仿宋" w:cs="仿宋"/>
          <w:b/>
          <w:bCs/>
          <w:color w:val="auto"/>
          <w:sz w:val="24"/>
        </w:rPr>
        <w:t>9.比价谈判响应文件的语言及比价谈判响应货币</w:t>
      </w:r>
    </w:p>
    <w:p w14:paraId="28996DDC">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9.1比价谈判响应文件和与比价谈判有关的所有文件均使用中文，涉及外文的应提供中文译本。</w:t>
      </w:r>
    </w:p>
    <w:p w14:paraId="1BC28DB6">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9.2比价谈判报价采用的币种为人民币。</w:t>
      </w:r>
    </w:p>
    <w:p w14:paraId="70A5B962">
      <w:pPr>
        <w:spacing w:line="360" w:lineRule="auto"/>
        <w:rPr>
          <w:rFonts w:ascii="仿宋" w:hAnsi="仿宋" w:eastAsia="仿宋" w:cs="仿宋"/>
          <w:b/>
          <w:bCs/>
          <w:color w:val="auto"/>
          <w:sz w:val="24"/>
        </w:rPr>
      </w:pPr>
      <w:r>
        <w:rPr>
          <w:rFonts w:hint="eastAsia" w:ascii="仿宋" w:hAnsi="仿宋" w:eastAsia="仿宋" w:cs="仿宋"/>
          <w:b/>
          <w:bCs/>
          <w:color w:val="auto"/>
          <w:sz w:val="24"/>
        </w:rPr>
        <w:t>10.</w:t>
      </w:r>
      <w:r>
        <w:rPr>
          <w:rFonts w:hint="eastAsia" w:ascii="仿宋" w:hAnsi="仿宋" w:eastAsia="仿宋" w:cs="仿宋"/>
          <w:b/>
          <w:color w:val="auto"/>
          <w:sz w:val="24"/>
        </w:rPr>
        <w:t xml:space="preserve"> 比价谈判</w:t>
      </w:r>
      <w:r>
        <w:rPr>
          <w:rFonts w:hint="eastAsia" w:ascii="仿宋" w:hAnsi="仿宋" w:eastAsia="仿宋" w:cs="仿宋"/>
          <w:b/>
          <w:bCs/>
          <w:color w:val="auto"/>
          <w:sz w:val="24"/>
        </w:rPr>
        <w:t>有效期</w:t>
      </w:r>
    </w:p>
    <w:p w14:paraId="440802DD">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10.1比价谈判有效期见前附表第8项所规定的期限，在此期限内，凡符合比价谈判文件要求的比价谈判响应文件均保持有效。</w:t>
      </w:r>
    </w:p>
    <w:p w14:paraId="53C83594">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10.2在特殊情况下，采购人在原定比价谈判有效期内可以根据需要向供应商提出延长比价谈判响应文件有效期的要求，供应商应立即以书面形式对此要求向采购人作出答复；供应商可以拒绝采购人的要求，而不会因此被没收比价谈判保证金。同意延期的供应商应相应地延长比价谈判保证金的有效期，但不得因此而提出修改比价谈判响应文件的要求。在延长期内，本比价谈判响应文件关于比价谈判保证金的退还与否的规定仍然适用。</w:t>
      </w:r>
    </w:p>
    <w:p w14:paraId="3405C588">
      <w:pPr>
        <w:spacing w:line="360" w:lineRule="auto"/>
        <w:rPr>
          <w:rFonts w:ascii="仿宋" w:hAnsi="仿宋" w:eastAsia="仿宋" w:cs="仿宋"/>
          <w:b/>
          <w:bCs/>
          <w:color w:val="auto"/>
          <w:sz w:val="24"/>
        </w:rPr>
      </w:pPr>
      <w:r>
        <w:rPr>
          <w:rFonts w:hint="eastAsia" w:ascii="仿宋" w:hAnsi="仿宋" w:eastAsia="仿宋" w:cs="仿宋"/>
          <w:b/>
          <w:bCs/>
          <w:color w:val="auto"/>
          <w:sz w:val="24"/>
        </w:rPr>
        <w:t>11.比价谈判保证金（本项目不采用）</w:t>
      </w:r>
    </w:p>
    <w:p w14:paraId="6001D1CD">
      <w:pPr>
        <w:spacing w:line="360" w:lineRule="auto"/>
        <w:rPr>
          <w:rFonts w:ascii="仿宋" w:hAnsi="仿宋" w:eastAsia="仿宋" w:cs="仿宋"/>
          <w:b/>
          <w:bCs/>
          <w:color w:val="auto"/>
          <w:sz w:val="24"/>
        </w:rPr>
      </w:pPr>
      <w:r>
        <w:rPr>
          <w:rFonts w:hint="eastAsia" w:ascii="仿宋" w:hAnsi="仿宋" w:eastAsia="仿宋" w:cs="仿宋"/>
          <w:b/>
          <w:bCs/>
          <w:color w:val="auto"/>
          <w:sz w:val="24"/>
        </w:rPr>
        <w:t>12.比价谈判响应文件的签署</w:t>
      </w:r>
    </w:p>
    <w:p w14:paraId="336B6227">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12.1供应商应按本比价谈判文件规定的内容编制比价谈判响应文件。</w:t>
      </w:r>
    </w:p>
    <w:p w14:paraId="6AD5C127">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12.2供应商应在规定处加盖单位公章。比价谈判响应文件必须由法定代表人（或企业负责人或经营者）或其委托代理人签署。</w:t>
      </w:r>
    </w:p>
    <w:p w14:paraId="14B1FB0E">
      <w:pPr>
        <w:tabs>
          <w:tab w:val="left" w:pos="0"/>
        </w:tabs>
        <w:spacing w:line="360" w:lineRule="auto"/>
        <w:rPr>
          <w:rFonts w:ascii="仿宋" w:hAnsi="仿宋" w:eastAsia="仿宋" w:cs="仿宋"/>
          <w:b/>
          <w:color w:val="auto"/>
          <w:sz w:val="24"/>
        </w:rPr>
      </w:pPr>
      <w:r>
        <w:rPr>
          <w:rFonts w:hint="eastAsia" w:ascii="仿宋" w:hAnsi="仿宋" w:eastAsia="仿宋" w:cs="仿宋"/>
          <w:b/>
          <w:color w:val="auto"/>
          <w:sz w:val="24"/>
        </w:rPr>
        <w:t>12.3比价谈判响应文件价格部分一式5份，正本1份，副本4本。资信技术部分为一式5份，其中正本1份，副本4份。如果正本与副本不符，以正本为准。</w:t>
      </w:r>
    </w:p>
    <w:p w14:paraId="41D06C6C">
      <w:pPr>
        <w:tabs>
          <w:tab w:val="left" w:pos="0"/>
        </w:tabs>
        <w:spacing w:line="360" w:lineRule="auto"/>
        <w:rPr>
          <w:rFonts w:ascii="仿宋" w:hAnsi="仿宋" w:eastAsia="仿宋" w:cs="仿宋"/>
          <w:color w:val="auto"/>
        </w:rPr>
      </w:pPr>
      <w:r>
        <w:rPr>
          <w:rFonts w:hint="eastAsia" w:ascii="仿宋" w:hAnsi="仿宋" w:eastAsia="仿宋" w:cs="仿宋"/>
          <w:color w:val="auto"/>
          <w:sz w:val="24"/>
        </w:rPr>
        <w:t>12.4比价谈判响应文件的正本必须以不褪色的墨水填写或打印，注明“正本”字样，</w:t>
      </w:r>
      <w:r>
        <w:rPr>
          <w:rFonts w:hint="eastAsia" w:ascii="仿宋" w:hAnsi="仿宋" w:eastAsia="仿宋" w:cs="仿宋"/>
          <w:b/>
          <w:bCs/>
          <w:color w:val="auto"/>
          <w:sz w:val="24"/>
        </w:rPr>
        <w:t>副本可用复印件</w:t>
      </w:r>
      <w:r>
        <w:rPr>
          <w:rFonts w:hint="eastAsia" w:ascii="仿宋" w:hAnsi="仿宋" w:eastAsia="仿宋" w:cs="仿宋"/>
          <w:color w:val="auto"/>
          <w:sz w:val="24"/>
        </w:rPr>
        <w:t>。比价谈判响应文件不得涂改和增删，如有修改错漏处，必须由法定代表人（或企业负责人或经营者）或其委托代理人签字或盖章。因字迹潦草或表达不清所引起的后果由供应商负责。</w:t>
      </w:r>
    </w:p>
    <w:p w14:paraId="1F9C6514">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四、比价谈判响应文件的提交</w:t>
      </w:r>
    </w:p>
    <w:p w14:paraId="1FE7A286">
      <w:pPr>
        <w:spacing w:line="360" w:lineRule="auto"/>
        <w:rPr>
          <w:rFonts w:ascii="仿宋" w:hAnsi="仿宋" w:eastAsia="仿宋" w:cs="仿宋"/>
          <w:b/>
          <w:bCs/>
          <w:color w:val="auto"/>
          <w:sz w:val="24"/>
        </w:rPr>
      </w:pPr>
      <w:r>
        <w:rPr>
          <w:rFonts w:hint="eastAsia" w:ascii="仿宋" w:hAnsi="仿宋" w:eastAsia="仿宋" w:cs="仿宋"/>
          <w:b/>
          <w:bCs/>
          <w:color w:val="auto"/>
          <w:sz w:val="24"/>
        </w:rPr>
        <w:t>13.比价谈判响应文件的密封及标记</w:t>
      </w:r>
    </w:p>
    <w:p w14:paraId="6BB69DEB">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13.1比价谈判响应文件应按以下方法装袋密封：</w:t>
      </w:r>
    </w:p>
    <w:p w14:paraId="785BD363">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13.1.1价格部分密封袋内装正本1份，副本4份</w:t>
      </w:r>
      <w:r>
        <w:rPr>
          <w:rFonts w:hint="eastAsia" w:ascii="仿宋" w:hAnsi="仿宋" w:eastAsia="仿宋" w:cs="仿宋"/>
          <w:bCs/>
          <w:color w:val="auto"/>
          <w:sz w:val="24"/>
        </w:rPr>
        <w:t>。</w:t>
      </w:r>
      <w:r>
        <w:rPr>
          <w:rFonts w:hint="eastAsia" w:ascii="仿宋" w:hAnsi="仿宋" w:eastAsia="仿宋" w:cs="仿宋"/>
          <w:color w:val="auto"/>
          <w:sz w:val="24"/>
        </w:rPr>
        <w:t>封口处应有供应商的单位公章，封皮上写明项目编号、采购项目名称、供应商名称，并注明“价格部分”字样；</w:t>
      </w:r>
      <w:r>
        <w:rPr>
          <w:rFonts w:hint="eastAsia" w:ascii="仿宋" w:hAnsi="仿宋" w:eastAsia="仿宋" w:cs="仿宋"/>
          <w:b/>
          <w:color w:val="auto"/>
          <w:sz w:val="24"/>
        </w:rPr>
        <w:t>（未按此条密封、盖章、加注标记的响应文件由现场工作人员退还供应商代表）</w:t>
      </w:r>
    </w:p>
    <w:p w14:paraId="2B5BE193">
      <w:pPr>
        <w:tabs>
          <w:tab w:val="left" w:pos="0"/>
        </w:tabs>
        <w:spacing w:line="360" w:lineRule="auto"/>
        <w:rPr>
          <w:rFonts w:ascii="仿宋" w:hAnsi="仿宋" w:eastAsia="仿宋" w:cs="仿宋"/>
          <w:b/>
          <w:color w:val="auto"/>
          <w:sz w:val="24"/>
        </w:rPr>
      </w:pPr>
      <w:r>
        <w:rPr>
          <w:rFonts w:hint="eastAsia" w:ascii="仿宋" w:hAnsi="仿宋" w:eastAsia="仿宋" w:cs="仿宋"/>
          <w:color w:val="auto"/>
          <w:sz w:val="24"/>
        </w:rPr>
        <w:t>13.1.2资格证明部分密封袋内装正本1份，副本4份，封口处应有供应商单位公章。封皮上写明项目编号、采购项目名称、供应商名称，并注明“资格证明”字样；</w:t>
      </w:r>
      <w:r>
        <w:rPr>
          <w:rFonts w:hint="eastAsia" w:ascii="仿宋" w:hAnsi="仿宋" w:eastAsia="仿宋" w:cs="仿宋"/>
          <w:b/>
          <w:color w:val="auto"/>
          <w:sz w:val="24"/>
        </w:rPr>
        <w:t>（未按此条密封、盖章、加注标记的响应文件由现场工作人员退还供应商代表）</w:t>
      </w:r>
    </w:p>
    <w:p w14:paraId="7FBE41CA">
      <w:pPr>
        <w:tabs>
          <w:tab w:val="left" w:pos="0"/>
        </w:tabs>
        <w:spacing w:line="360" w:lineRule="auto"/>
        <w:rPr>
          <w:rFonts w:ascii="仿宋" w:hAnsi="仿宋" w:eastAsia="仿宋" w:cs="仿宋"/>
          <w:b/>
          <w:color w:val="auto"/>
          <w:sz w:val="24"/>
        </w:rPr>
      </w:pPr>
      <w:r>
        <w:rPr>
          <w:rFonts w:hint="eastAsia" w:ascii="仿宋" w:hAnsi="仿宋" w:eastAsia="仿宋" w:cs="仿宋"/>
          <w:color w:val="auto"/>
          <w:sz w:val="24"/>
        </w:rPr>
        <w:t>13.1.3商务技术部分密封袋内装正本1份，副本4份，封口处应有供应商单位公章。封皮上写明项目编号、采购项目名称、供应商名称，并注明“商务技术部分”字样；</w:t>
      </w:r>
      <w:r>
        <w:rPr>
          <w:rFonts w:hint="eastAsia" w:ascii="仿宋" w:hAnsi="仿宋" w:eastAsia="仿宋" w:cs="仿宋"/>
          <w:b/>
          <w:color w:val="auto"/>
          <w:sz w:val="24"/>
        </w:rPr>
        <w:t>（未按此条密封、盖章、加注标记的响应文件由现场工作人员退还供应商代表）</w:t>
      </w:r>
    </w:p>
    <w:p w14:paraId="14880F63">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13.2比价谈判响应文件提交截止时间及地点见前附表，比价谈判响应文件应面交，有以下情况者，比价谈判响应文件将被采购人拒收：比价谈判截止时间后送达的比价谈判响应文件。</w:t>
      </w:r>
    </w:p>
    <w:p w14:paraId="4C191E28">
      <w:pPr>
        <w:spacing w:line="360" w:lineRule="auto"/>
        <w:rPr>
          <w:rFonts w:ascii="仿宋" w:hAnsi="仿宋" w:eastAsia="仿宋" w:cs="仿宋"/>
          <w:color w:val="auto"/>
          <w:sz w:val="24"/>
        </w:rPr>
      </w:pPr>
      <w:r>
        <w:rPr>
          <w:rFonts w:hint="eastAsia" w:ascii="仿宋" w:hAnsi="仿宋" w:eastAsia="仿宋" w:cs="仿宋"/>
          <w:b/>
          <w:bCs/>
          <w:color w:val="auto"/>
          <w:sz w:val="24"/>
        </w:rPr>
        <w:t>14.比价谈判响应文件的修改和撤回</w:t>
      </w:r>
    </w:p>
    <w:p w14:paraId="339478D2">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14.1 供应商在比价谈判截止时间前，可以对所提交的比价谈判响应文件进行补充、修改或者撤回，并书面通知采购人。补充、修改的内容应当按比价谈判文件要求签署、盖章，并作为比价谈判响应文件的组成部分。</w:t>
      </w:r>
    </w:p>
    <w:p w14:paraId="4617DB53">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14.2比价谈判截止时间后供应商不得撤回比价谈判响应文件，否则比价谈判保证金将不予退还。资信技术部分评审无效的供应商，供应商代表可收回未拆封的报价文件并签字确认。</w:t>
      </w:r>
    </w:p>
    <w:p w14:paraId="0F1EF20A">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五、比价谈判评审要点</w:t>
      </w:r>
    </w:p>
    <w:p w14:paraId="5A1A30AF">
      <w:pPr>
        <w:tabs>
          <w:tab w:val="left" w:pos="0"/>
        </w:tabs>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（先开资信技术部分，比价谈判小组对资信技术部分打分后，再开价格部分。各供应商的资信技术部分得分在最终报价提交后公布。）</w:t>
      </w:r>
    </w:p>
    <w:p w14:paraId="657D60D5">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15.1采购人按前附表第12项规定的时间和地点进行比价谈判。比价谈判会议由采购代理机构主持，采购人及有关方面代表参加。</w:t>
      </w:r>
      <w:r>
        <w:rPr>
          <w:rFonts w:hint="eastAsia" w:ascii="仿宋" w:hAnsi="仿宋" w:eastAsia="仿宋" w:cs="仿宋"/>
          <w:b/>
          <w:color w:val="auto"/>
          <w:sz w:val="24"/>
        </w:rPr>
        <w:t>采购人组织供应商签署不存在影响公平竞争的</w:t>
      </w:r>
      <w:bookmarkStart w:id="1" w:name="OLE_LINK2"/>
      <w:r>
        <w:rPr>
          <w:rFonts w:hint="eastAsia" w:ascii="仿宋" w:hAnsi="仿宋" w:eastAsia="仿宋" w:cs="仿宋"/>
          <w:b/>
          <w:color w:val="auto"/>
          <w:sz w:val="24"/>
        </w:rPr>
        <w:t>《采购活动现场确认声明书》，</w:t>
      </w:r>
      <w:bookmarkEnd w:id="1"/>
      <w:r>
        <w:rPr>
          <w:rFonts w:hint="eastAsia" w:ascii="仿宋" w:hAnsi="仿宋" w:eastAsia="仿宋" w:cs="仿宋"/>
          <w:b/>
          <w:color w:val="auto"/>
          <w:sz w:val="24"/>
        </w:rPr>
        <w:t>格式见本采购文件末页附表，《采购活动现场确认声明书》由代理机构提供给各供应商并当场签署递交。</w:t>
      </w:r>
    </w:p>
    <w:p w14:paraId="31DD3FFD">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15.2供应商的法定代表人（或企业负责人或经营者）或其委托代理人应随带本人身份证（原件）准时参加比价谈判会议，否则视为自动弃权。</w:t>
      </w:r>
    </w:p>
    <w:p w14:paraId="06D62B6B">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15.3比价谈判时由供应商或其推选代表查验比价谈判响应文件密封情况，确认无误后由比价谈判工作人员当众拆封，采购代理机构做好记录。</w:t>
      </w:r>
    </w:p>
    <w:p w14:paraId="3EAB0CE4">
      <w:pPr>
        <w:tabs>
          <w:tab w:val="left" w:pos="0"/>
        </w:tabs>
        <w:spacing w:line="360" w:lineRule="auto"/>
        <w:rPr>
          <w:rFonts w:ascii="仿宋" w:hAnsi="仿宋" w:eastAsia="仿宋" w:cs="仿宋"/>
          <w:b/>
          <w:bCs/>
          <w:color w:val="auto"/>
          <w:sz w:val="24"/>
        </w:rPr>
      </w:pPr>
      <w:r>
        <w:rPr>
          <w:rFonts w:hint="eastAsia" w:ascii="仿宋" w:hAnsi="仿宋" w:eastAsia="仿宋" w:cs="仿宋"/>
          <w:b/>
          <w:bCs/>
          <w:color w:val="auto"/>
          <w:sz w:val="24"/>
        </w:rPr>
        <w:t>16.评审</w:t>
      </w:r>
    </w:p>
    <w:p w14:paraId="483AFFFC">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 xml:space="preserve">16.1比价谈判小组： </w:t>
      </w:r>
    </w:p>
    <w:p w14:paraId="787F4E6F">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采购人根据比价谈判产品特点依法组建比价谈判小组。比价谈判小组由采购人代表和评审专家共3人(含)以上单数组成，其中评审专家人数不得少于比价谈判小组成员总数的2/3。</w:t>
      </w:r>
    </w:p>
    <w:p w14:paraId="1AE7FD9B">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16.2比价谈判原则：</w:t>
      </w:r>
    </w:p>
    <w:p w14:paraId="751704EC">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16.2.1公平、公正地对待所有合格的供应商；</w:t>
      </w:r>
    </w:p>
    <w:p w14:paraId="4C19EAED">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16.2.2遵守《中华人民共和国采购法》等有关规定；</w:t>
      </w:r>
    </w:p>
    <w:p w14:paraId="53AE7017">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16.2.3比价谈判必须以比价谈判文件中各项规定条件为准。</w:t>
      </w:r>
    </w:p>
    <w:p w14:paraId="0BE01F6C">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16.2.4比价谈判小组所有成员集中与单一供应商就有关价格、技术、交货期、付款方式、售后服务等问题分别进行一轮比价谈判或多轮比价谈判。</w:t>
      </w:r>
    </w:p>
    <w:p w14:paraId="552AAD13">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16.3</w:t>
      </w:r>
      <w:r>
        <w:rPr>
          <w:rFonts w:hint="eastAsia" w:ascii="仿宋" w:hAnsi="仿宋" w:eastAsia="仿宋" w:cs="仿宋"/>
          <w:b/>
          <w:color w:val="auto"/>
          <w:sz w:val="24"/>
        </w:rPr>
        <w:t>凡出现以下情况之一的比价谈判响应文件将被视为无效标</w:t>
      </w:r>
      <w:r>
        <w:rPr>
          <w:rFonts w:hint="eastAsia" w:ascii="仿宋" w:hAnsi="仿宋" w:eastAsia="仿宋" w:cs="仿宋"/>
          <w:color w:val="auto"/>
          <w:sz w:val="24"/>
        </w:rPr>
        <w:t>：</w:t>
      </w:r>
    </w:p>
    <w:p w14:paraId="0FB88E14">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16.3.1不具备比价谈判文件中规定资格要求的；</w:t>
      </w:r>
    </w:p>
    <w:p w14:paraId="2C699DD6">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16.3.2在比价谈判过程中，供应商有企图影响比价谈判小组成员行为的；</w:t>
      </w:r>
    </w:p>
    <w:p w14:paraId="3C30ECF4">
      <w:pPr>
        <w:tabs>
          <w:tab w:val="left" w:pos="780"/>
        </w:tabs>
        <w:spacing w:line="360" w:lineRule="auto"/>
        <w:rPr>
          <w:rFonts w:ascii="仿宋" w:hAnsi="仿宋" w:eastAsia="仿宋" w:cs="仿宋"/>
          <w:b/>
          <w:color w:val="auto"/>
          <w:sz w:val="24"/>
        </w:rPr>
      </w:pPr>
      <w:r>
        <w:rPr>
          <w:rFonts w:hint="eastAsia" w:ascii="仿宋" w:hAnsi="仿宋" w:eastAsia="仿宋" w:cs="仿宋"/>
          <w:b/>
          <w:color w:val="auto"/>
          <w:sz w:val="24"/>
        </w:rPr>
        <w:t>16.3.3比价谈判小组三分之二成员认定响应方的比价谈判报价明显不合理或低于成本价的；</w:t>
      </w:r>
    </w:p>
    <w:p w14:paraId="2823829C">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16.3.4比价谈判小组认定有其他严重违法情况的；</w:t>
      </w:r>
    </w:p>
    <w:p w14:paraId="53654F08">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16.3.5未按比价谈判文件规定制作、签署、盖章的；</w:t>
      </w:r>
    </w:p>
    <w:p w14:paraId="16A3ED7B">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16.3.6未提供带▲的有关资料；</w:t>
      </w:r>
    </w:p>
    <w:p w14:paraId="4B243CEC">
      <w:pPr>
        <w:spacing w:line="360" w:lineRule="auto"/>
        <w:rPr>
          <w:rFonts w:ascii="仿宋" w:hAnsi="仿宋" w:eastAsia="仿宋" w:cs="仿宋"/>
          <w:color w:val="auto"/>
          <w:sz w:val="24"/>
        </w:rPr>
      </w:pPr>
      <w:r>
        <w:rPr>
          <w:rFonts w:hint="eastAsia" w:ascii="仿宋" w:hAnsi="仿宋" w:eastAsia="仿宋" w:cs="仿宋"/>
          <w:color w:val="auto"/>
          <w:sz w:val="24"/>
        </w:rPr>
        <w:t>16.3.7未满足比价谈判文件技术指标最低要求的或未满足带▲的技术指标；</w:t>
      </w:r>
    </w:p>
    <w:p w14:paraId="3A44D9C1">
      <w:pPr>
        <w:spacing w:line="360" w:lineRule="auto"/>
        <w:rPr>
          <w:rFonts w:ascii="仿宋" w:hAnsi="仿宋" w:eastAsia="仿宋" w:cs="仿宋"/>
          <w:color w:val="auto"/>
          <w:sz w:val="24"/>
        </w:rPr>
      </w:pPr>
      <w:r>
        <w:rPr>
          <w:rFonts w:hint="eastAsia" w:ascii="仿宋" w:hAnsi="仿宋" w:eastAsia="仿宋" w:cs="仿宋"/>
          <w:color w:val="auto"/>
          <w:sz w:val="24"/>
        </w:rPr>
        <w:t>16.3.8采购项目预算金额公开而报价超预算，采购人不能支付的；</w:t>
      </w:r>
    </w:p>
    <w:p w14:paraId="1A986C7C">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16.3.9供应商递交两份或多份内容不同的比价谈判响应文件，或在一份比价谈判响应文件中对同一采购标的报有两个或多个报价，且未声明哪一个为最终报价的；</w:t>
      </w:r>
    </w:p>
    <w:p w14:paraId="3FD0FC75">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16.3.11不符合法律、法规和比价谈判文件中规定的其他实质性要求的；</w:t>
      </w:r>
    </w:p>
    <w:p w14:paraId="215C0A2A">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16.3.12响应文件附有采购人不能接受的条件的；</w:t>
      </w:r>
    </w:p>
    <w:p w14:paraId="3B39030A">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16.3.13供应商代表不参加比价谈判活动的。</w:t>
      </w:r>
    </w:p>
    <w:p w14:paraId="3EB5B3DC">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16.4</w:t>
      </w:r>
      <w:r>
        <w:rPr>
          <w:rFonts w:hint="eastAsia" w:ascii="仿宋" w:hAnsi="仿宋" w:eastAsia="仿宋" w:cs="仿宋"/>
          <w:b/>
          <w:color w:val="auto"/>
          <w:sz w:val="24"/>
        </w:rPr>
        <w:t>在比价谈判采购中，出现下列情形之一的应予以废标</w:t>
      </w:r>
      <w:r>
        <w:rPr>
          <w:rFonts w:hint="eastAsia" w:ascii="仿宋" w:hAnsi="仿宋" w:eastAsia="仿宋" w:cs="仿宋"/>
          <w:color w:val="auto"/>
          <w:sz w:val="24"/>
        </w:rPr>
        <w:t>：</w:t>
      </w:r>
    </w:p>
    <w:p w14:paraId="7F8F0566">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16.4.1对比价谈判文件作出实质性响应的供应商不足3家的（遵照22.5条处理的除外）；</w:t>
      </w:r>
    </w:p>
    <w:p w14:paraId="3DAF4D25">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16.4.2出现影响采购公正的违法、违规行为的；</w:t>
      </w:r>
    </w:p>
    <w:p w14:paraId="7CA693E2">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16.4.3因重大变故，采购任务取消的。</w:t>
      </w:r>
    </w:p>
    <w:p w14:paraId="11F331D7">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16.5比价谈判程序：</w:t>
      </w:r>
    </w:p>
    <w:p w14:paraId="4EED650F">
      <w:pPr>
        <w:tabs>
          <w:tab w:val="left" w:pos="0"/>
        </w:tabs>
        <w:spacing w:line="360" w:lineRule="auto"/>
        <w:rPr>
          <w:rFonts w:ascii="仿宋" w:hAnsi="仿宋" w:eastAsia="仿宋" w:cs="仿宋"/>
          <w:b/>
          <w:bCs/>
          <w:color w:val="auto"/>
          <w:sz w:val="24"/>
        </w:rPr>
      </w:pPr>
      <w:r>
        <w:rPr>
          <w:rFonts w:hint="eastAsia" w:ascii="仿宋" w:hAnsi="仿宋" w:eastAsia="仿宋" w:cs="仿宋"/>
          <w:color w:val="auto"/>
          <w:sz w:val="24"/>
        </w:rPr>
        <w:t>16.5.1评标程序：遵循初步审查、澄清有关问题、比较与评价、单独比价谈判及最终报价、推荐成交候选人的程序依次进行；</w:t>
      </w:r>
    </w:p>
    <w:p w14:paraId="69051277">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16.5.1.1初审内容为比价谈判响应文件是否符合比价谈判文件的要求、内容是否完整、价格构成有无计算错误，文件签署是否齐全及比价谈判保证金是否提交；</w:t>
      </w:r>
    </w:p>
    <w:p w14:paraId="15005FB1">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16.5.1.2比价谈判响应文件中比价谈判响应函内容与初次报价一览表内容不一致的，以比价谈判响应函为准；比价谈判响应文件中初次报价一览表内容与报价明细表内容不一致的，以初次报价一览表为准。初审中，对价格的计算错误按下述原则修正：</w:t>
      </w:r>
    </w:p>
    <w:p w14:paraId="394CC72B">
      <w:pPr>
        <w:spacing w:line="360" w:lineRule="auto"/>
        <w:rPr>
          <w:rFonts w:ascii="仿宋" w:hAnsi="仿宋" w:eastAsia="仿宋" w:cs="仿宋"/>
          <w:color w:val="auto"/>
          <w:sz w:val="24"/>
        </w:rPr>
      </w:pPr>
      <w:r>
        <w:rPr>
          <w:rFonts w:hint="eastAsia" w:ascii="仿宋" w:hAnsi="仿宋" w:eastAsia="仿宋" w:cs="仿宋"/>
          <w:color w:val="auto"/>
          <w:sz w:val="24"/>
        </w:rPr>
        <w:t xml:space="preserve">16.5.1.2.1大写金额和小写金额不一致的，以大写金额为准； </w:t>
      </w:r>
    </w:p>
    <w:p w14:paraId="47722A45">
      <w:pPr>
        <w:spacing w:line="360" w:lineRule="auto"/>
        <w:rPr>
          <w:rFonts w:ascii="仿宋" w:hAnsi="仿宋" w:eastAsia="仿宋" w:cs="仿宋"/>
          <w:color w:val="auto"/>
          <w:sz w:val="24"/>
        </w:rPr>
      </w:pPr>
      <w:r>
        <w:rPr>
          <w:rFonts w:hint="eastAsia" w:ascii="仿宋" w:hAnsi="仿宋" w:eastAsia="仿宋" w:cs="仿宋"/>
          <w:color w:val="auto"/>
          <w:sz w:val="24"/>
        </w:rPr>
        <w:t>16.5.1.2.2单价金额小数点或者百分比有明显错位的，以初次报价一览表的总价为准，并修改单价；</w:t>
      </w:r>
    </w:p>
    <w:p w14:paraId="1E5F86B1">
      <w:pPr>
        <w:spacing w:line="360" w:lineRule="auto"/>
        <w:rPr>
          <w:rFonts w:ascii="仿宋" w:hAnsi="仿宋" w:eastAsia="仿宋" w:cs="仿宋"/>
          <w:color w:val="auto"/>
          <w:sz w:val="24"/>
        </w:rPr>
      </w:pPr>
      <w:r>
        <w:rPr>
          <w:rFonts w:hint="eastAsia" w:ascii="仿宋" w:hAnsi="仿宋" w:eastAsia="仿宋" w:cs="仿宋"/>
          <w:color w:val="auto"/>
          <w:sz w:val="24"/>
        </w:rPr>
        <w:t>16.5.1.2.3 总价金额与按单价汇总金额不一致的，以单价金额计算结果为准；</w:t>
      </w:r>
    </w:p>
    <w:p w14:paraId="4C2D0A23">
      <w:pPr>
        <w:spacing w:line="360" w:lineRule="auto"/>
        <w:rPr>
          <w:rFonts w:ascii="仿宋" w:hAnsi="仿宋" w:eastAsia="仿宋" w:cs="仿宋"/>
          <w:color w:val="auto"/>
          <w:sz w:val="24"/>
        </w:rPr>
      </w:pPr>
      <w:r>
        <w:rPr>
          <w:rFonts w:hint="eastAsia" w:ascii="仿宋" w:hAnsi="仿宋" w:eastAsia="仿宋" w:cs="仿宋"/>
          <w:color w:val="auto"/>
          <w:sz w:val="24"/>
        </w:rPr>
        <w:t>16.5.1.2.4对不同文字文本比价谈判响应文件的解释发生异议的，以中文文本为准；</w:t>
      </w:r>
    </w:p>
    <w:p w14:paraId="28030172">
      <w:pPr>
        <w:spacing w:line="360" w:lineRule="auto"/>
        <w:rPr>
          <w:rFonts w:ascii="仿宋" w:hAnsi="仿宋" w:eastAsia="仿宋" w:cs="仿宋"/>
          <w:color w:val="auto"/>
          <w:sz w:val="24"/>
        </w:rPr>
      </w:pPr>
      <w:r>
        <w:rPr>
          <w:rFonts w:hint="eastAsia" w:ascii="仿宋" w:hAnsi="仿宋" w:eastAsia="仿宋" w:cs="仿宋"/>
          <w:color w:val="auto"/>
          <w:sz w:val="24"/>
        </w:rPr>
        <w:t>16.5.1.2.5供应商不同意以上修正，则其比价谈判响应文件将被拒绝。</w:t>
      </w:r>
    </w:p>
    <w:p w14:paraId="37B33DA4">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16.5.1.3与比价谈判文件有重大偏离的比价谈判响应文件将被拒绝。</w:t>
      </w:r>
    </w:p>
    <w:p w14:paraId="312C18A1">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16.5.1.4采购人对比价谈判响应文件的判定，只依据比价谈判响应文件内容本身，不依靠比价谈判后的任何外来证明。</w:t>
      </w:r>
    </w:p>
    <w:p w14:paraId="65259CB4">
      <w:pPr>
        <w:tabs>
          <w:tab w:val="left" w:pos="0"/>
        </w:tabs>
        <w:spacing w:line="360" w:lineRule="auto"/>
        <w:rPr>
          <w:rFonts w:ascii="仿宋" w:hAnsi="仿宋" w:eastAsia="仿宋" w:cs="仿宋"/>
          <w:b/>
          <w:bCs/>
          <w:color w:val="auto"/>
          <w:sz w:val="24"/>
        </w:rPr>
      </w:pPr>
      <w:r>
        <w:rPr>
          <w:rFonts w:hint="eastAsia" w:ascii="仿宋" w:hAnsi="仿宋" w:eastAsia="仿宋" w:cs="仿宋"/>
          <w:color w:val="auto"/>
          <w:sz w:val="24"/>
        </w:rPr>
        <w:t>16.5.2.比价谈判响应文件的澄清：</w:t>
      </w:r>
    </w:p>
    <w:p w14:paraId="7C259FD7">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16.5.2.1比价谈判小组有权就比价谈判响应文件中含混之处向供应商提出询问或澄清要求。供应商必须按照采购人通知的时间、地点派员进行答疑和澄清；</w:t>
      </w:r>
    </w:p>
    <w:p w14:paraId="4667F5DB">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16.5.2.2必要时比价谈判小组可要求供应商就澄清的问题作书面回答，该书面回答应有供应商的法定代表人（或企业负责人或经营者）或其委托代理人的签字，并作为比价谈判响应内容的一部分；</w:t>
      </w:r>
    </w:p>
    <w:p w14:paraId="39679098">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16.5.2.3凡发现有两份及以上比价谈判响应文件相互之间有特别相同或相似之处，且经询标澄清，供应商无令人信服的理由和可靠证据证明其合理性的，经比价谈判小组半数以上成员确认，其比价谈判响应文件按无效标处理，不进入下一阶段的比价谈判。</w:t>
      </w:r>
    </w:p>
    <w:p w14:paraId="3F8EC9C3">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16.5.3比较与评价</w:t>
      </w:r>
    </w:p>
    <w:p w14:paraId="477D3E76">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16.5.3.1资信技术评价：</w:t>
      </w:r>
    </w:p>
    <w:p w14:paraId="3E146D7A">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按照比价谈判文件的要求和“评标标准”对照比价谈判响应文件进行资信、技术、商务评价，评定其偏差程度，并计算其相应的评分分值。</w:t>
      </w:r>
    </w:p>
    <w:p w14:paraId="43826A57">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16.5.3.2价格评价：</w:t>
      </w:r>
    </w:p>
    <w:p w14:paraId="14342B89">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依据比价谈判最终报价，按“评标标准”规定的评价办法进行价格分计算。</w:t>
      </w:r>
    </w:p>
    <w:p w14:paraId="54571CFB">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16.5.3.3综合评分法的最终得分计算：综合得分=价格得分+资信技术得分。</w:t>
      </w:r>
    </w:p>
    <w:p w14:paraId="3B9B58AE">
      <w:pPr>
        <w:spacing w:line="360" w:lineRule="auto"/>
        <w:rPr>
          <w:rFonts w:ascii="仿宋" w:hAnsi="仿宋" w:eastAsia="仿宋" w:cs="仿宋"/>
          <w:color w:val="auto"/>
          <w:sz w:val="24"/>
        </w:rPr>
      </w:pPr>
      <w:r>
        <w:rPr>
          <w:rFonts w:hint="eastAsia" w:ascii="仿宋" w:hAnsi="仿宋" w:eastAsia="仿宋" w:cs="仿宋"/>
          <w:color w:val="auto"/>
          <w:sz w:val="24"/>
        </w:rPr>
        <w:t>16.5.4资信技术部分评价结束后，比价谈判小组根据实际情况与供应商进行单独比价谈判，比价谈判后应当要求所有参加比价谈判的供应商在规定时间内进行最终报价及承诺，最终报价必须小于等于供应商的初次报价。供应商未在规定时间内作出最终报价或放弃报价的，以初次报价作为其最终报价。</w:t>
      </w:r>
    </w:p>
    <w:p w14:paraId="4C8B1A7F">
      <w:pPr>
        <w:tabs>
          <w:tab w:val="left" w:pos="0"/>
        </w:tabs>
        <w:spacing w:line="360" w:lineRule="auto"/>
        <w:rPr>
          <w:rFonts w:ascii="仿宋" w:hAnsi="仿宋" w:eastAsia="仿宋" w:cs="仿宋"/>
          <w:color w:val="auto"/>
          <w:sz w:val="24"/>
        </w:rPr>
      </w:pPr>
      <w:r>
        <w:rPr>
          <w:rFonts w:hint="eastAsia" w:ascii="仿宋" w:hAnsi="仿宋" w:eastAsia="仿宋" w:cs="仿宋"/>
          <w:b/>
          <w:bCs/>
          <w:color w:val="auto"/>
          <w:sz w:val="24"/>
        </w:rPr>
        <w:t>17.定标</w:t>
      </w:r>
    </w:p>
    <w:p w14:paraId="06CF4C33">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17.1本项目采用综合评标法，按照各供应商综合得分高低进行排序，综合得分最高的供应商为第一预成交供应商，得分次高的供应商为第二预成交供应商，得分第三高的供应商为第三预成交供应商。得分相同时，以总报价低者优先，当得分和报价都相同时，则由采购人抽签决定。</w:t>
      </w:r>
    </w:p>
    <w:p w14:paraId="09F1CC63">
      <w:pPr>
        <w:spacing w:line="360" w:lineRule="auto"/>
        <w:rPr>
          <w:rFonts w:ascii="仿宋" w:hAnsi="仿宋" w:eastAsia="仿宋" w:cs="仿宋"/>
          <w:color w:val="auto"/>
          <w:sz w:val="24"/>
        </w:rPr>
      </w:pPr>
      <w:r>
        <w:rPr>
          <w:rFonts w:hint="eastAsia" w:ascii="仿宋" w:hAnsi="仿宋" w:eastAsia="仿宋" w:cs="仿宋"/>
          <w:color w:val="auto"/>
          <w:sz w:val="24"/>
        </w:rPr>
        <w:t>采购人从比价谈判小组推荐的预成交供应商中，按照排序由高到低的原则确定成交供应商.</w:t>
      </w:r>
    </w:p>
    <w:p w14:paraId="0DEA9097">
      <w:pPr>
        <w:tabs>
          <w:tab w:val="left" w:pos="780"/>
        </w:tabs>
        <w:spacing w:line="360" w:lineRule="auto"/>
        <w:rPr>
          <w:rFonts w:ascii="仿宋" w:hAnsi="仿宋" w:eastAsia="仿宋" w:cs="仿宋"/>
          <w:color w:val="auto"/>
          <w:sz w:val="24"/>
        </w:rPr>
      </w:pPr>
      <w:r>
        <w:rPr>
          <w:rFonts w:hint="eastAsia" w:ascii="仿宋" w:hAnsi="仿宋" w:eastAsia="仿宋" w:cs="仿宋"/>
          <w:b/>
          <w:bCs/>
          <w:color w:val="auto"/>
          <w:sz w:val="24"/>
        </w:rPr>
        <w:t>18.比价谈判报告</w:t>
      </w:r>
    </w:p>
    <w:p w14:paraId="029863DE">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18.1比价谈判小组应向采购人提交比价谈判结果报告。</w:t>
      </w:r>
    </w:p>
    <w:p w14:paraId="37F89ED9">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18.2比价谈判结果报告内容包括比价谈判办法和过程（比价谈判记录、比价谈判内容、过程和结果，询标澄清纪要等），供应商的优劣对比分析，评审结果和基本结论，存在问题和不同意见，并向采购人按规定推荐三名预成交供应商（预成交供应商优劣对比和存在问题，其他建议等）。</w:t>
      </w:r>
    </w:p>
    <w:p w14:paraId="605441A3">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18.3比价谈判小组向采购人提交的比价谈判报告，应根据评审细则和过程由比价谈判小组起草，按少数服从多数的原则通过。比价谈判小组全体成员应在比价谈判报告上签字认可，比价谈判小组成员如有保留意见，可以在比价谈判报告中阐明。</w:t>
      </w:r>
    </w:p>
    <w:p w14:paraId="484A1F16">
      <w:pPr>
        <w:tabs>
          <w:tab w:val="left" w:pos="780"/>
        </w:tabs>
        <w:spacing w:line="360" w:lineRule="auto"/>
        <w:rPr>
          <w:rFonts w:ascii="仿宋" w:hAnsi="仿宋" w:eastAsia="仿宋" w:cs="仿宋"/>
          <w:color w:val="auto"/>
          <w:sz w:val="24"/>
        </w:rPr>
      </w:pPr>
      <w:r>
        <w:rPr>
          <w:rFonts w:hint="eastAsia" w:ascii="仿宋" w:hAnsi="仿宋" w:eastAsia="仿宋" w:cs="仿宋"/>
          <w:b/>
          <w:bCs/>
          <w:color w:val="auto"/>
          <w:sz w:val="24"/>
        </w:rPr>
        <w:t>19.公告</w:t>
      </w:r>
    </w:p>
    <w:p w14:paraId="5BF6A052">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19.1成交供应商确定后，采购人应在发布过比价谈判公告的网站上公告。</w:t>
      </w:r>
    </w:p>
    <w:p w14:paraId="6D1A0DC1">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19.2采购人应当在确定成交供应商后向余姚市公共资源交易中心兰江街道分中心提交比价谈判情况的书面报告。</w:t>
      </w:r>
    </w:p>
    <w:p w14:paraId="7E90247C">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19.3除法律法规另有规定和出现20.4条规定的情形外，采购人应当根据比价谈判小组推荐的顺序确定成交供应商，不得在比价谈判小组推荐的预成交供应商以外确定成交供应商，否则，采购代理机构或财政部门应当责令其改正，并依法追究采购人及其领导的责任。</w:t>
      </w:r>
    </w:p>
    <w:p w14:paraId="409F6A68">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19.4出现下列情形之一的，采购人可以直接确定排名次位的预成交供应商为成交供应商或重新组织采购：（1）排名前位的预成交供应商，因自身原因放弃成交或因不可抗力不能履行合同的；（2）经质疑，采购组织机构审查确认因排名前位的预成交供应商在本次采购活动中存在违法违规行为或其他原因使质疑成立的。 采购人确定排名第一以外的预成交供应商为成交供应商的，应当在确定前向同级财政部门报告说明。</w:t>
      </w:r>
    </w:p>
    <w:p w14:paraId="31225347">
      <w:pPr>
        <w:spacing w:line="360" w:lineRule="auto"/>
        <w:rPr>
          <w:rFonts w:ascii="仿宋" w:hAnsi="仿宋" w:eastAsia="仿宋" w:cs="仿宋"/>
          <w:b/>
          <w:bCs/>
          <w:color w:val="auto"/>
          <w:sz w:val="24"/>
        </w:rPr>
      </w:pPr>
      <w:r>
        <w:rPr>
          <w:rFonts w:hint="eastAsia" w:ascii="仿宋" w:hAnsi="仿宋" w:eastAsia="仿宋" w:cs="仿宋"/>
          <w:b/>
          <w:bCs/>
          <w:color w:val="auto"/>
          <w:sz w:val="24"/>
        </w:rPr>
        <w:t>20.比价谈判过程保密</w:t>
      </w:r>
    </w:p>
    <w:p w14:paraId="5A66CB1A">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20.1比价谈判之后，直到授予供应商合同止，凡是属于审查、澄清、评价和比较比价谈判响应的有关资料以及授标意向等情况，均不得向供应商或其他无关人员透露。</w:t>
      </w:r>
    </w:p>
    <w:p w14:paraId="0016C523">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20.2 在比价谈判期间，供应商企图影响采购人的任何活动，将导致比价谈判响应被拒绝，并承担相应法律责任。</w:t>
      </w:r>
    </w:p>
    <w:p w14:paraId="4BB7DE2E">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六、比价谈判评审细则</w:t>
      </w:r>
    </w:p>
    <w:p w14:paraId="5157587B">
      <w:pPr>
        <w:tabs>
          <w:tab w:val="left" w:pos="780"/>
        </w:tabs>
        <w:spacing w:line="360" w:lineRule="auto"/>
        <w:rPr>
          <w:rFonts w:ascii="仿宋" w:hAnsi="仿宋" w:eastAsia="仿宋" w:cs="仿宋"/>
          <w:color w:val="auto"/>
          <w:sz w:val="24"/>
        </w:rPr>
      </w:pPr>
      <w:r>
        <w:rPr>
          <w:rFonts w:hint="eastAsia" w:ascii="仿宋" w:hAnsi="仿宋" w:eastAsia="仿宋" w:cs="仿宋"/>
          <w:b/>
          <w:bCs/>
          <w:color w:val="auto"/>
          <w:sz w:val="24"/>
        </w:rPr>
        <w:t>21.比价谈判办法</w:t>
      </w:r>
    </w:p>
    <w:p w14:paraId="6DA65A11">
      <w:pPr>
        <w:pStyle w:val="45"/>
        <w:spacing w:before="0" w:beforeAutospacing="0" w:after="0" w:afterAutospacing="0" w:line="360" w:lineRule="auto"/>
        <w:rPr>
          <w:rFonts w:ascii="仿宋" w:hAnsi="仿宋" w:eastAsia="仿宋" w:cs="仿宋"/>
          <w:color w:val="auto"/>
          <w:kern w:val="2"/>
        </w:rPr>
      </w:pPr>
      <w:r>
        <w:rPr>
          <w:rFonts w:hint="eastAsia" w:ascii="仿宋" w:hAnsi="仿宋" w:eastAsia="仿宋" w:cs="仿宋"/>
          <w:color w:val="auto"/>
          <w:kern w:val="2"/>
        </w:rPr>
        <w:t>21.1本项目采用“综合评分法”：</w:t>
      </w:r>
      <w:r>
        <w:rPr>
          <w:rFonts w:hint="eastAsia" w:ascii="仿宋" w:hAnsi="仿宋" w:eastAsia="仿宋" w:cs="仿宋"/>
          <w:color w:val="auto"/>
        </w:rPr>
        <w:t>在满足比价谈判文件实质性要求的前提下，对比价谈判响应文件的资信技术部分、价格部分进行综合评审，最终得出各供应商的综合评分并按自高向低次序排出比价谈判结果排序，以得分高者为预成交供应商</w:t>
      </w:r>
      <w:r>
        <w:rPr>
          <w:rFonts w:hint="eastAsia" w:ascii="仿宋" w:hAnsi="仿宋" w:eastAsia="仿宋" w:cs="仿宋"/>
          <w:color w:val="auto"/>
          <w:kern w:val="2"/>
        </w:rPr>
        <w:t>。</w:t>
      </w:r>
    </w:p>
    <w:p w14:paraId="2ABD283A">
      <w:pPr>
        <w:tabs>
          <w:tab w:val="left" w:pos="780"/>
        </w:tabs>
        <w:spacing w:line="360" w:lineRule="auto"/>
        <w:rPr>
          <w:rFonts w:ascii="仿宋" w:hAnsi="仿宋" w:eastAsia="仿宋" w:cs="仿宋"/>
          <w:b/>
          <w:bCs/>
          <w:color w:val="auto"/>
          <w:sz w:val="24"/>
        </w:rPr>
      </w:pPr>
      <w:r>
        <w:rPr>
          <w:rFonts w:hint="eastAsia" w:ascii="仿宋" w:hAnsi="仿宋" w:eastAsia="仿宋" w:cs="仿宋"/>
          <w:b/>
          <w:bCs/>
          <w:color w:val="auto"/>
          <w:sz w:val="24"/>
        </w:rPr>
        <w:t>22. 评审细则</w:t>
      </w:r>
    </w:p>
    <w:p w14:paraId="4A1A4CCB">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根据本项目比价谈判文件的要求，按照本办法规定的内容和分值设置，对供应商的比价谈判响应文件中的资信、技术、商务、价格等内容进行评分，最终得出该供应商的总分；按评分自高向低次序排出比价谈判结果排序。得分相同时，以总报价低者优先，当得分和报价都相同时，则由采购人抽签决定。</w:t>
      </w:r>
    </w:p>
    <w:p w14:paraId="20436110">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22.1比价谈判得分分布：</w:t>
      </w:r>
    </w:p>
    <w:p w14:paraId="7C611B92">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比价谈判总分详见评分标准22.6。</w:t>
      </w:r>
    </w:p>
    <w:p w14:paraId="581584BE">
      <w:pPr>
        <w:tabs>
          <w:tab w:val="left" w:pos="780"/>
        </w:tabs>
        <w:spacing w:line="360" w:lineRule="auto"/>
        <w:rPr>
          <w:rFonts w:ascii="仿宋" w:hAnsi="仿宋" w:eastAsia="仿宋" w:cs="仿宋"/>
          <w:color w:val="auto"/>
          <w:sz w:val="24"/>
        </w:rPr>
      </w:pPr>
      <w:r>
        <w:rPr>
          <w:rFonts w:hint="eastAsia" w:ascii="仿宋" w:hAnsi="仿宋" w:eastAsia="仿宋" w:cs="仿宋"/>
          <w:color w:val="auto"/>
          <w:sz w:val="24"/>
        </w:rPr>
        <w:t>22.2根据比价谈判响应文件的完整性、有效性及资格等方面进行审查，通过审查的比价谈判响应文件才能进入资信技术评议。</w:t>
      </w:r>
    </w:p>
    <w:p w14:paraId="1F69699A">
      <w:pPr>
        <w:spacing w:line="360" w:lineRule="auto"/>
        <w:rPr>
          <w:rFonts w:ascii="仿宋" w:hAnsi="仿宋" w:eastAsia="仿宋" w:cs="仿宋"/>
          <w:color w:val="auto"/>
          <w:sz w:val="24"/>
        </w:rPr>
      </w:pPr>
      <w:r>
        <w:rPr>
          <w:rFonts w:hint="eastAsia" w:ascii="仿宋" w:hAnsi="仿宋" w:eastAsia="仿宋" w:cs="仿宋"/>
          <w:color w:val="auto"/>
          <w:sz w:val="24"/>
        </w:rPr>
        <w:t>22.3综合评分主要因素是最终比价谈判总报价、技术、财务状况、信誉、业绩、服务以及对比价谈判文件响应程度，评审时比价谈判小组各成员应当独立对每个入围评审的供应商的比价谈判响应文件进行打分，然后汇总每个供应商每项评分因素的得分。</w:t>
      </w:r>
    </w:p>
    <w:p w14:paraId="753E0B53">
      <w:pPr>
        <w:spacing w:line="360" w:lineRule="auto"/>
        <w:rPr>
          <w:rFonts w:ascii="仿宋" w:hAnsi="仿宋" w:eastAsia="仿宋" w:cs="仿宋"/>
          <w:b/>
          <w:color w:val="auto"/>
          <w:sz w:val="24"/>
        </w:rPr>
      </w:pPr>
      <w:r>
        <w:rPr>
          <w:rFonts w:hint="eastAsia" w:ascii="仿宋" w:hAnsi="仿宋" w:eastAsia="仿宋" w:cs="仿宋"/>
          <w:color w:val="auto"/>
          <w:sz w:val="24"/>
        </w:rPr>
        <w:t>22.4评审办法：</w:t>
      </w:r>
    </w:p>
    <w:p w14:paraId="7FB05BA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由比价谈判小组对各供应商的比价谈判响应文件进行审阅，然后对供应商进行询标和评议，并按以上指标（除价格部分外）进行记名打分。</w:t>
      </w:r>
    </w:p>
    <w:p w14:paraId="7CA4E790">
      <w:pPr>
        <w:spacing w:line="360" w:lineRule="auto"/>
        <w:rPr>
          <w:rFonts w:ascii="仿宋" w:hAnsi="仿宋" w:eastAsia="仿宋" w:cs="仿宋"/>
          <w:color w:val="auto"/>
          <w:sz w:val="24"/>
        </w:rPr>
      </w:pPr>
      <w:r>
        <w:rPr>
          <w:rFonts w:hint="eastAsia" w:ascii="仿宋" w:hAnsi="仿宋" w:eastAsia="仿宋" w:cs="仿宋"/>
          <w:color w:val="auto"/>
          <w:sz w:val="24"/>
        </w:rPr>
        <w:t>22.4.1资信技术部分的评分，除明确给出评判标准的项目，各项指标得分的最小打分单位为0.1分。采购工作人员统计、汇总所有比价谈判小组成员对每一份比价谈判响应文件的评分，然后用算术平均法计算出每一份比价谈判响应文件资信技术部分的平均得分（所有分值保留两位小数）。</w:t>
      </w:r>
    </w:p>
    <w:p w14:paraId="322C9B87">
      <w:pPr>
        <w:spacing w:line="360" w:lineRule="auto"/>
        <w:rPr>
          <w:rFonts w:ascii="仿宋" w:hAnsi="仿宋" w:eastAsia="仿宋" w:cs="仿宋"/>
          <w:color w:val="auto"/>
          <w:sz w:val="24"/>
        </w:rPr>
      </w:pPr>
      <w:r>
        <w:rPr>
          <w:rFonts w:hint="eastAsia" w:ascii="仿宋" w:hAnsi="仿宋" w:eastAsia="仿宋" w:cs="仿宋"/>
          <w:color w:val="auto"/>
          <w:sz w:val="24"/>
        </w:rPr>
        <w:t>22.4.2最终比价谈判报价部分的评审，先由比价谈判小组对各供应商的分项报价进行分析。审查最终比价谈判报价是否符合比价谈判文件的基本要求，有无明显错误、漏项、漏量等情况，在取得基本一致的意见后进行判别计算（分值保留两位小数）。</w:t>
      </w:r>
    </w:p>
    <w:p w14:paraId="516F3AF5">
      <w:pPr>
        <w:spacing w:line="360" w:lineRule="auto"/>
        <w:rPr>
          <w:rFonts w:ascii="仿宋" w:hAnsi="仿宋" w:eastAsia="仿宋" w:cs="仿宋"/>
          <w:b/>
          <w:color w:val="auto"/>
          <w:sz w:val="24"/>
        </w:rPr>
      </w:pPr>
      <w:r>
        <w:rPr>
          <w:rFonts w:hint="eastAsia" w:ascii="仿宋" w:hAnsi="仿宋" w:eastAsia="仿宋" w:cs="仿宋"/>
          <w:color w:val="auto"/>
          <w:sz w:val="24"/>
        </w:rPr>
        <w:t>22.4.3最终得分与预成交供应商的确定：</w:t>
      </w:r>
    </w:p>
    <w:p w14:paraId="7886965E">
      <w:pPr>
        <w:spacing w:line="360" w:lineRule="auto"/>
        <w:rPr>
          <w:rFonts w:ascii="仿宋" w:hAnsi="仿宋" w:eastAsia="仿宋" w:cs="仿宋"/>
          <w:color w:val="auto"/>
          <w:sz w:val="24"/>
        </w:rPr>
      </w:pPr>
      <w:r>
        <w:rPr>
          <w:rFonts w:hint="eastAsia" w:ascii="仿宋" w:hAnsi="仿宋" w:eastAsia="仿宋" w:cs="仿宋"/>
          <w:color w:val="auto"/>
          <w:sz w:val="24"/>
        </w:rPr>
        <w:t>22.4.3.1各供应商最终得分按以下方法进行计算：最终得分＝价格部分得分＋资信技术部分得分。</w:t>
      </w:r>
    </w:p>
    <w:p w14:paraId="58DDE06D">
      <w:pPr>
        <w:spacing w:line="360" w:lineRule="auto"/>
        <w:rPr>
          <w:rFonts w:ascii="仿宋" w:hAnsi="仿宋" w:eastAsia="仿宋" w:cs="仿宋"/>
          <w:color w:val="auto"/>
          <w:sz w:val="24"/>
        </w:rPr>
      </w:pPr>
      <w:r>
        <w:rPr>
          <w:rFonts w:hint="eastAsia" w:ascii="仿宋" w:hAnsi="仿宋" w:eastAsia="仿宋" w:cs="仿宋"/>
          <w:color w:val="auto"/>
          <w:sz w:val="24"/>
        </w:rPr>
        <w:t>22.4.3.2比价谈判小组在审标、询标的基础上根据比价谈判文件规定的评审办法对各供应商的比价谈判响应文件进行评审，评出最高得分的供应商为第一预成交供应商，次高得分的为第二预成交供应商，第三高得分的为第三预成交供应商。各供应商的最终得分若出现并列分，则报价低的排列在前；报价也相同的，则有采购人抽签决定。</w:t>
      </w:r>
    </w:p>
    <w:p w14:paraId="477A86BD">
      <w:pPr>
        <w:tabs>
          <w:tab w:val="left" w:pos="0"/>
        </w:tabs>
        <w:spacing w:line="360" w:lineRule="auto"/>
        <w:rPr>
          <w:rFonts w:hint="eastAsia" w:ascii="仿宋" w:hAnsi="仿宋" w:eastAsia="仿宋" w:cs="仿宋"/>
          <w:color w:val="auto"/>
          <w:sz w:val="24"/>
        </w:rPr>
      </w:pPr>
    </w:p>
    <w:p w14:paraId="1371F9DA">
      <w:pPr>
        <w:tabs>
          <w:tab w:val="left" w:pos="0"/>
        </w:tabs>
        <w:spacing w:line="360" w:lineRule="auto"/>
        <w:rPr>
          <w:rFonts w:hint="eastAsia" w:ascii="仿宋" w:hAnsi="仿宋" w:eastAsia="仿宋" w:cs="仿宋"/>
          <w:color w:val="auto"/>
          <w:sz w:val="24"/>
        </w:rPr>
      </w:pPr>
    </w:p>
    <w:p w14:paraId="5A2E1D28">
      <w:pPr>
        <w:tabs>
          <w:tab w:val="left" w:pos="0"/>
        </w:tabs>
        <w:spacing w:line="360" w:lineRule="auto"/>
        <w:rPr>
          <w:rFonts w:hint="eastAsia" w:ascii="仿宋" w:hAnsi="仿宋" w:eastAsia="仿宋" w:cs="仿宋"/>
          <w:color w:val="auto"/>
          <w:sz w:val="24"/>
        </w:rPr>
      </w:pPr>
    </w:p>
    <w:p w14:paraId="7CD10713">
      <w:pPr>
        <w:tabs>
          <w:tab w:val="left" w:pos="0"/>
        </w:tabs>
        <w:spacing w:line="360" w:lineRule="auto"/>
        <w:rPr>
          <w:rFonts w:hint="eastAsia" w:ascii="仿宋" w:hAnsi="仿宋" w:eastAsia="仿宋" w:cs="仿宋"/>
          <w:color w:val="auto"/>
          <w:sz w:val="24"/>
        </w:rPr>
      </w:pPr>
    </w:p>
    <w:p w14:paraId="1B10B5E1">
      <w:pPr>
        <w:tabs>
          <w:tab w:val="left" w:pos="0"/>
        </w:tabs>
        <w:spacing w:line="360" w:lineRule="auto"/>
        <w:rPr>
          <w:rFonts w:hint="eastAsia" w:ascii="仿宋" w:hAnsi="仿宋" w:eastAsia="仿宋" w:cs="仿宋"/>
          <w:color w:val="auto"/>
          <w:sz w:val="24"/>
        </w:rPr>
      </w:pPr>
    </w:p>
    <w:p w14:paraId="46F6B742">
      <w:pPr>
        <w:tabs>
          <w:tab w:val="left" w:pos="0"/>
        </w:tabs>
        <w:spacing w:line="360" w:lineRule="auto"/>
        <w:rPr>
          <w:rFonts w:hint="eastAsia" w:ascii="仿宋" w:hAnsi="仿宋" w:eastAsia="仿宋" w:cs="仿宋"/>
          <w:color w:val="auto"/>
          <w:sz w:val="24"/>
        </w:rPr>
      </w:pPr>
    </w:p>
    <w:p w14:paraId="63092480">
      <w:pPr>
        <w:tabs>
          <w:tab w:val="left" w:pos="0"/>
        </w:tabs>
        <w:spacing w:line="360" w:lineRule="auto"/>
        <w:rPr>
          <w:rFonts w:hint="eastAsia" w:ascii="仿宋" w:hAnsi="仿宋" w:eastAsia="仿宋" w:cs="仿宋"/>
          <w:color w:val="auto"/>
          <w:sz w:val="24"/>
        </w:rPr>
      </w:pPr>
    </w:p>
    <w:p w14:paraId="7D1FFE1B">
      <w:pPr>
        <w:tabs>
          <w:tab w:val="left" w:pos="0"/>
        </w:tabs>
        <w:spacing w:line="360" w:lineRule="auto"/>
        <w:rPr>
          <w:rFonts w:hint="eastAsia" w:ascii="仿宋" w:hAnsi="仿宋" w:eastAsia="仿宋" w:cs="仿宋"/>
          <w:color w:val="auto"/>
          <w:sz w:val="24"/>
        </w:rPr>
      </w:pPr>
    </w:p>
    <w:p w14:paraId="7CA21725">
      <w:pPr>
        <w:tabs>
          <w:tab w:val="left" w:pos="0"/>
        </w:tabs>
        <w:spacing w:line="360" w:lineRule="auto"/>
        <w:rPr>
          <w:rFonts w:hint="eastAsia" w:ascii="仿宋" w:hAnsi="仿宋" w:eastAsia="仿宋" w:cs="仿宋"/>
          <w:color w:val="auto"/>
          <w:sz w:val="24"/>
        </w:rPr>
      </w:pPr>
    </w:p>
    <w:p w14:paraId="07075C51">
      <w:pPr>
        <w:tabs>
          <w:tab w:val="left" w:pos="0"/>
        </w:tabs>
        <w:spacing w:line="360" w:lineRule="auto"/>
        <w:rPr>
          <w:rFonts w:hint="eastAsia" w:ascii="仿宋" w:hAnsi="仿宋" w:eastAsia="仿宋" w:cs="仿宋"/>
          <w:color w:val="auto"/>
          <w:sz w:val="24"/>
        </w:rPr>
      </w:pPr>
    </w:p>
    <w:p w14:paraId="33FCE111">
      <w:pPr>
        <w:tabs>
          <w:tab w:val="left" w:pos="0"/>
        </w:tabs>
        <w:spacing w:line="360" w:lineRule="auto"/>
        <w:rPr>
          <w:rFonts w:hint="eastAsia" w:ascii="仿宋" w:hAnsi="仿宋" w:eastAsia="仿宋" w:cs="仿宋"/>
          <w:color w:val="auto"/>
          <w:sz w:val="24"/>
        </w:rPr>
      </w:pPr>
    </w:p>
    <w:p w14:paraId="2A46CFE4">
      <w:pPr>
        <w:tabs>
          <w:tab w:val="left" w:pos="0"/>
        </w:tabs>
        <w:spacing w:line="360" w:lineRule="auto"/>
        <w:rPr>
          <w:rFonts w:hint="eastAsia" w:ascii="仿宋" w:hAnsi="仿宋" w:eastAsia="仿宋" w:cs="仿宋"/>
          <w:color w:val="auto"/>
          <w:sz w:val="24"/>
        </w:rPr>
      </w:pPr>
    </w:p>
    <w:p w14:paraId="20B9C7DD">
      <w:pPr>
        <w:tabs>
          <w:tab w:val="left" w:pos="0"/>
        </w:tabs>
        <w:spacing w:line="360" w:lineRule="auto"/>
        <w:rPr>
          <w:rFonts w:hint="eastAsia" w:ascii="仿宋" w:hAnsi="仿宋" w:eastAsia="仿宋" w:cs="仿宋"/>
          <w:color w:val="auto"/>
          <w:sz w:val="24"/>
        </w:rPr>
      </w:pPr>
    </w:p>
    <w:p w14:paraId="11EE9652">
      <w:pPr>
        <w:tabs>
          <w:tab w:val="left" w:pos="0"/>
        </w:tabs>
        <w:spacing w:line="360" w:lineRule="auto"/>
        <w:rPr>
          <w:rFonts w:hint="eastAsia" w:ascii="仿宋" w:hAnsi="仿宋" w:eastAsia="仿宋" w:cs="仿宋"/>
          <w:color w:val="auto"/>
          <w:sz w:val="24"/>
        </w:rPr>
      </w:pPr>
    </w:p>
    <w:p w14:paraId="5D4C5CFC">
      <w:pPr>
        <w:tabs>
          <w:tab w:val="left" w:pos="0"/>
        </w:tabs>
        <w:spacing w:line="360" w:lineRule="auto"/>
        <w:rPr>
          <w:rFonts w:hint="eastAsia" w:ascii="仿宋" w:hAnsi="仿宋" w:eastAsia="仿宋" w:cs="仿宋"/>
          <w:color w:val="auto"/>
          <w:sz w:val="24"/>
        </w:rPr>
      </w:pPr>
    </w:p>
    <w:p w14:paraId="083C4AE3">
      <w:pPr>
        <w:tabs>
          <w:tab w:val="left" w:pos="0"/>
        </w:tabs>
        <w:spacing w:line="360" w:lineRule="auto"/>
        <w:rPr>
          <w:rFonts w:hint="eastAsia" w:ascii="仿宋" w:hAnsi="仿宋" w:eastAsia="仿宋" w:cs="仿宋"/>
          <w:color w:val="auto"/>
          <w:sz w:val="24"/>
        </w:rPr>
      </w:pPr>
    </w:p>
    <w:p w14:paraId="0053AB8F">
      <w:pPr>
        <w:tabs>
          <w:tab w:val="left" w:pos="0"/>
        </w:tabs>
        <w:spacing w:line="360" w:lineRule="auto"/>
        <w:rPr>
          <w:rFonts w:hint="eastAsia" w:ascii="仿宋" w:hAnsi="仿宋" w:eastAsia="仿宋" w:cs="仿宋"/>
          <w:color w:val="auto"/>
          <w:sz w:val="24"/>
        </w:rPr>
      </w:pPr>
    </w:p>
    <w:p w14:paraId="4AF08AD0">
      <w:pPr>
        <w:tabs>
          <w:tab w:val="left" w:pos="0"/>
        </w:tabs>
        <w:spacing w:line="360" w:lineRule="auto"/>
        <w:rPr>
          <w:rFonts w:hint="eastAsia" w:ascii="仿宋" w:hAnsi="仿宋" w:eastAsia="仿宋" w:cs="仿宋"/>
          <w:color w:val="auto"/>
          <w:sz w:val="24"/>
        </w:rPr>
      </w:pPr>
    </w:p>
    <w:p w14:paraId="5C80229F">
      <w:pPr>
        <w:tabs>
          <w:tab w:val="left" w:pos="0"/>
        </w:tabs>
        <w:spacing w:line="360" w:lineRule="auto"/>
        <w:rPr>
          <w:rFonts w:hint="eastAsia" w:ascii="仿宋" w:hAnsi="仿宋" w:eastAsia="仿宋" w:cs="仿宋"/>
          <w:color w:val="auto"/>
          <w:sz w:val="24"/>
        </w:rPr>
      </w:pPr>
    </w:p>
    <w:p w14:paraId="16F6C8A4">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22.6评审标准</w:t>
      </w:r>
    </w:p>
    <w:tbl>
      <w:tblPr>
        <w:tblStyle w:val="49"/>
        <w:tblW w:w="8992"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987"/>
        <w:gridCol w:w="528"/>
        <w:gridCol w:w="6588"/>
      </w:tblGrid>
      <w:tr w14:paraId="40E3028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89" w:type="dxa"/>
            <w:noWrap w:val="0"/>
            <w:vAlign w:val="center"/>
          </w:tcPr>
          <w:p w14:paraId="67DEA20D">
            <w:pPr>
              <w:jc w:val="center"/>
              <w:rPr>
                <w:rFonts w:ascii="宋体" w:hAnsi="宋体" w:cs="宋体"/>
                <w:bCs/>
                <w:snapToGrid w:val="0"/>
                <w:color w:val="auto"/>
                <w:w w:val="90"/>
                <w:sz w:val="22"/>
              </w:rPr>
            </w:pPr>
            <w:r>
              <w:rPr>
                <w:rFonts w:hint="eastAsia" w:ascii="宋体" w:hAnsi="宋体" w:cs="宋体"/>
                <w:color w:val="auto"/>
                <w:sz w:val="22"/>
              </w:rPr>
              <w:br w:type="page"/>
            </w:r>
            <w:r>
              <w:rPr>
                <w:rFonts w:hint="eastAsia" w:ascii="宋体" w:hAnsi="宋体" w:cs="宋体"/>
                <w:color w:val="auto"/>
                <w:sz w:val="22"/>
              </w:rPr>
              <w:t>评审项目</w:t>
            </w:r>
          </w:p>
        </w:tc>
        <w:tc>
          <w:tcPr>
            <w:tcW w:w="1515" w:type="dxa"/>
            <w:gridSpan w:val="2"/>
            <w:noWrap w:val="0"/>
            <w:vAlign w:val="center"/>
          </w:tcPr>
          <w:p w14:paraId="5EAE2920">
            <w:pPr>
              <w:adjustRightInd w:val="0"/>
              <w:snapToGrid w:val="0"/>
              <w:jc w:val="center"/>
              <w:rPr>
                <w:rFonts w:ascii="宋体" w:hAnsi="宋体" w:cs="宋体"/>
                <w:color w:val="auto"/>
                <w:sz w:val="22"/>
              </w:rPr>
            </w:pPr>
            <w:r>
              <w:rPr>
                <w:rFonts w:hint="eastAsia" w:ascii="宋体" w:hAnsi="宋体" w:cs="宋体"/>
                <w:color w:val="auto"/>
                <w:sz w:val="22"/>
              </w:rPr>
              <w:t>评审标准</w:t>
            </w:r>
          </w:p>
        </w:tc>
        <w:tc>
          <w:tcPr>
            <w:tcW w:w="6588" w:type="dxa"/>
            <w:noWrap w:val="0"/>
            <w:vAlign w:val="center"/>
          </w:tcPr>
          <w:p w14:paraId="078BEDEC">
            <w:pPr>
              <w:adjustRightInd w:val="0"/>
              <w:snapToGrid w:val="0"/>
              <w:jc w:val="center"/>
              <w:rPr>
                <w:rFonts w:ascii="宋体" w:hAnsi="宋体" w:cs="宋体"/>
                <w:color w:val="auto"/>
                <w:sz w:val="22"/>
              </w:rPr>
            </w:pPr>
            <w:r>
              <w:rPr>
                <w:rFonts w:hint="eastAsia" w:ascii="宋体" w:hAnsi="宋体" w:cs="宋体"/>
                <w:color w:val="auto"/>
                <w:sz w:val="22"/>
              </w:rPr>
              <w:t>评审因素的量化指标</w:t>
            </w:r>
          </w:p>
        </w:tc>
      </w:tr>
      <w:tr w14:paraId="5C4F2FA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889" w:type="dxa"/>
            <w:noWrap w:val="0"/>
            <w:vAlign w:val="center"/>
          </w:tcPr>
          <w:p w14:paraId="48B04EF7">
            <w:pPr>
              <w:adjustRightInd w:val="0"/>
              <w:snapToGrid w:val="0"/>
              <w:jc w:val="center"/>
              <w:rPr>
                <w:rFonts w:ascii="宋体" w:hAnsi="宋体" w:cs="宋体"/>
                <w:color w:val="auto"/>
                <w:sz w:val="22"/>
              </w:rPr>
            </w:pPr>
            <w:r>
              <w:rPr>
                <w:rFonts w:hint="eastAsia" w:ascii="宋体" w:hAnsi="宋体" w:cs="宋体"/>
                <w:color w:val="auto"/>
                <w:sz w:val="22"/>
              </w:rPr>
              <w:t>价格分</w:t>
            </w:r>
          </w:p>
          <w:p w14:paraId="345D5EA3">
            <w:pPr>
              <w:adjustRightInd w:val="0"/>
              <w:snapToGrid w:val="0"/>
              <w:jc w:val="center"/>
              <w:rPr>
                <w:rFonts w:ascii="宋体" w:hAnsi="宋体" w:cs="宋体"/>
                <w:color w:val="auto"/>
                <w:sz w:val="22"/>
              </w:rPr>
            </w:pPr>
            <w:r>
              <w:rPr>
                <w:rFonts w:hint="eastAsia" w:ascii="宋体" w:hAnsi="宋体" w:cs="宋体"/>
                <w:color w:val="auto"/>
                <w:sz w:val="22"/>
              </w:rPr>
              <w:t>(25分）</w:t>
            </w:r>
          </w:p>
        </w:tc>
        <w:tc>
          <w:tcPr>
            <w:tcW w:w="1515" w:type="dxa"/>
            <w:gridSpan w:val="2"/>
            <w:noWrap w:val="0"/>
            <w:vAlign w:val="center"/>
          </w:tcPr>
          <w:p w14:paraId="3F7929C2">
            <w:pPr>
              <w:adjustRightInd w:val="0"/>
              <w:snapToGrid w:val="0"/>
              <w:jc w:val="center"/>
              <w:rPr>
                <w:rFonts w:ascii="宋体" w:hAnsi="宋体" w:cs="宋体"/>
                <w:color w:val="auto"/>
                <w:sz w:val="22"/>
              </w:rPr>
            </w:pPr>
            <w:r>
              <w:rPr>
                <w:rFonts w:hint="eastAsia" w:ascii="宋体" w:hAnsi="宋体" w:cs="宋体"/>
                <w:color w:val="auto"/>
                <w:sz w:val="22"/>
              </w:rPr>
              <w:t>报价</w:t>
            </w:r>
          </w:p>
          <w:p w14:paraId="3A3B2310">
            <w:pPr>
              <w:adjustRightInd w:val="0"/>
              <w:snapToGrid w:val="0"/>
              <w:jc w:val="center"/>
              <w:rPr>
                <w:rFonts w:ascii="宋体" w:hAnsi="宋体" w:cs="宋体"/>
                <w:color w:val="auto"/>
                <w:sz w:val="22"/>
              </w:rPr>
            </w:pPr>
            <w:r>
              <w:rPr>
                <w:rFonts w:hint="eastAsia" w:ascii="宋体" w:hAnsi="宋体" w:cs="宋体"/>
                <w:color w:val="auto"/>
                <w:sz w:val="22"/>
              </w:rPr>
              <w:t>（25分）</w:t>
            </w:r>
          </w:p>
        </w:tc>
        <w:tc>
          <w:tcPr>
            <w:tcW w:w="6588" w:type="dxa"/>
            <w:noWrap w:val="0"/>
            <w:vAlign w:val="center"/>
          </w:tcPr>
          <w:p w14:paraId="6CDA7A0D">
            <w:pPr>
              <w:adjustRightInd w:val="0"/>
              <w:snapToGrid w:val="0"/>
              <w:rPr>
                <w:rFonts w:ascii="宋体" w:hAnsi="宋体" w:cs="宋体"/>
                <w:color w:val="auto"/>
                <w:sz w:val="22"/>
              </w:rPr>
            </w:pPr>
            <w:r>
              <w:rPr>
                <w:rFonts w:hint="eastAsia" w:ascii="宋体" w:hAnsi="宋体" w:cs="宋体"/>
                <w:color w:val="auto"/>
                <w:sz w:val="22"/>
              </w:rPr>
              <w:t>参与评审的价格=投标报价</w:t>
            </w:r>
          </w:p>
          <w:p w14:paraId="3985CD6C">
            <w:pPr>
              <w:adjustRightInd w:val="0"/>
              <w:snapToGrid w:val="0"/>
              <w:rPr>
                <w:rFonts w:ascii="宋体" w:hAnsi="宋体" w:cs="宋体"/>
                <w:color w:val="auto"/>
                <w:sz w:val="22"/>
              </w:rPr>
            </w:pPr>
            <w:r>
              <w:rPr>
                <w:rFonts w:hint="eastAsia" w:ascii="宋体" w:hAnsi="宋体" w:cs="宋体"/>
                <w:color w:val="auto"/>
                <w:sz w:val="22"/>
              </w:rPr>
              <w:t>评标基准价=满足招标文件要求且参与评审的价格中最低的价格为评标基准价, 评标基准价得分为满分25分。</w:t>
            </w:r>
          </w:p>
          <w:p w14:paraId="37D058F1">
            <w:pPr>
              <w:adjustRightInd w:val="0"/>
              <w:snapToGrid w:val="0"/>
              <w:rPr>
                <w:rFonts w:ascii="宋体" w:hAnsi="宋体" w:cs="宋体"/>
                <w:color w:val="auto"/>
                <w:sz w:val="22"/>
              </w:rPr>
            </w:pPr>
            <w:r>
              <w:rPr>
                <w:rFonts w:hint="eastAsia" w:ascii="宋体" w:hAnsi="宋体" w:cs="宋体"/>
                <w:color w:val="auto"/>
                <w:sz w:val="22"/>
              </w:rPr>
              <w:t>投标报价得分=(评标基准价/参与评审的价格)×25分。</w:t>
            </w:r>
          </w:p>
          <w:p w14:paraId="3D12EBD5">
            <w:pPr>
              <w:adjustRightInd w:val="0"/>
              <w:snapToGrid w:val="0"/>
              <w:rPr>
                <w:rFonts w:ascii="宋体" w:hAnsi="宋体" w:cs="宋体"/>
                <w:color w:val="auto"/>
                <w:sz w:val="22"/>
              </w:rPr>
            </w:pPr>
            <w:r>
              <w:rPr>
                <w:rFonts w:hint="eastAsia" w:ascii="宋体" w:hAnsi="宋体" w:cs="宋体"/>
                <w:color w:val="auto"/>
                <w:sz w:val="22"/>
              </w:rPr>
              <w:t>投标报价得分以四舍五入保留小数点后两位。</w:t>
            </w:r>
          </w:p>
        </w:tc>
      </w:tr>
      <w:tr w14:paraId="60E7230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795" w:hRule="atLeast"/>
          <w:jc w:val="center"/>
        </w:trPr>
        <w:tc>
          <w:tcPr>
            <w:tcW w:w="889" w:type="dxa"/>
            <w:vMerge w:val="restart"/>
            <w:noWrap w:val="0"/>
            <w:vAlign w:val="center"/>
          </w:tcPr>
          <w:p w14:paraId="65C65460">
            <w:pPr>
              <w:adjustRightInd w:val="0"/>
              <w:snapToGrid w:val="0"/>
              <w:jc w:val="center"/>
              <w:rPr>
                <w:rFonts w:ascii="宋体" w:hAnsi="宋体" w:cs="宋体"/>
                <w:color w:val="auto"/>
                <w:sz w:val="22"/>
              </w:rPr>
            </w:pPr>
            <w:r>
              <w:rPr>
                <w:rFonts w:hint="eastAsia" w:ascii="宋体" w:hAnsi="宋体" w:cs="宋体"/>
                <w:color w:val="auto"/>
                <w:sz w:val="22"/>
              </w:rPr>
              <w:t>商务技术分（75分）</w:t>
            </w:r>
          </w:p>
        </w:tc>
        <w:tc>
          <w:tcPr>
            <w:tcW w:w="987" w:type="dxa"/>
            <w:tcBorders>
              <w:right w:val="single" w:color="auto" w:sz="4" w:space="0"/>
            </w:tcBorders>
            <w:noWrap w:val="0"/>
            <w:vAlign w:val="center"/>
          </w:tcPr>
          <w:p w14:paraId="053C84D1">
            <w:pPr>
              <w:tabs>
                <w:tab w:val="left" w:pos="514"/>
              </w:tabs>
              <w:adjustRightInd w:val="0"/>
              <w:snapToGrid w:val="0"/>
              <w:jc w:val="center"/>
              <w:rPr>
                <w:rFonts w:ascii="宋体" w:hAnsi="宋体" w:cs="宋体"/>
                <w:color w:val="auto"/>
                <w:sz w:val="22"/>
              </w:rPr>
            </w:pPr>
            <w:r>
              <w:rPr>
                <w:rFonts w:hint="eastAsia" w:ascii="宋体" w:hAnsi="宋体" w:cs="宋体"/>
                <w:color w:val="auto"/>
              </w:rPr>
              <w:t>供货实施方案</w:t>
            </w:r>
            <w:r>
              <w:rPr>
                <w:rFonts w:ascii="宋体" w:hAnsi="宋体" w:cs="宋体"/>
                <w:color w:val="auto"/>
                <w:sz w:val="22"/>
              </w:rPr>
              <w:t>（</w:t>
            </w:r>
            <w:r>
              <w:rPr>
                <w:rFonts w:hint="eastAsia" w:ascii="宋体" w:hAnsi="宋体" w:cs="宋体"/>
                <w:color w:val="auto"/>
                <w:sz w:val="22"/>
              </w:rPr>
              <w:t>45</w:t>
            </w:r>
            <w:r>
              <w:rPr>
                <w:rFonts w:ascii="宋体" w:hAnsi="宋体" w:cs="宋体"/>
                <w:color w:val="auto"/>
                <w:sz w:val="22"/>
              </w:rPr>
              <w:t>分）</w:t>
            </w:r>
          </w:p>
        </w:tc>
        <w:tc>
          <w:tcPr>
            <w:tcW w:w="528" w:type="dxa"/>
            <w:tcBorders>
              <w:left w:val="single" w:color="auto" w:sz="4" w:space="0"/>
            </w:tcBorders>
            <w:noWrap w:val="0"/>
            <w:vAlign w:val="center"/>
          </w:tcPr>
          <w:p w14:paraId="0A041EF2">
            <w:pPr>
              <w:adjustRightInd w:val="0"/>
              <w:snapToGrid w:val="0"/>
              <w:jc w:val="center"/>
              <w:rPr>
                <w:rFonts w:ascii="宋体" w:hAnsi="宋体" w:cs="宋体"/>
                <w:color w:val="auto"/>
                <w:sz w:val="22"/>
              </w:rPr>
            </w:pPr>
            <w:r>
              <w:rPr>
                <w:rFonts w:hint="eastAsia" w:ascii="宋体" w:hAnsi="宋体" w:cs="宋体"/>
                <w:color w:val="auto"/>
                <w:sz w:val="22"/>
              </w:rPr>
              <w:t>主观分</w:t>
            </w:r>
          </w:p>
        </w:tc>
        <w:tc>
          <w:tcPr>
            <w:tcW w:w="6588" w:type="dxa"/>
            <w:noWrap w:val="0"/>
            <w:vAlign w:val="center"/>
          </w:tcPr>
          <w:p w14:paraId="62BD01DF">
            <w:pPr>
              <w:spacing w:line="360" w:lineRule="auto"/>
              <w:rPr>
                <w:rFonts w:ascii="宋体" w:hAnsi="宋体" w:cs="Arial"/>
                <w:b/>
                <w:bCs/>
                <w:color w:val="auto"/>
              </w:rPr>
            </w:pPr>
            <w:r>
              <w:rPr>
                <w:rFonts w:ascii="宋体" w:hAnsi="宋体" w:cs="Arial"/>
                <w:b/>
                <w:bCs/>
                <w:color w:val="auto"/>
              </w:rPr>
              <w:t>1.根据</w:t>
            </w:r>
            <w:r>
              <w:rPr>
                <w:rFonts w:hint="eastAsia" w:ascii="宋体" w:hAnsi="宋体" w:cs="Arial"/>
                <w:b/>
                <w:bCs/>
                <w:color w:val="auto"/>
              </w:rPr>
              <w:t>设备</w:t>
            </w:r>
            <w:r>
              <w:rPr>
                <w:rFonts w:ascii="宋体" w:hAnsi="宋体" w:cs="Arial"/>
                <w:b/>
                <w:bCs/>
                <w:color w:val="auto"/>
              </w:rPr>
              <w:t>的供货、运输、安装、调试等内容是否明确</w:t>
            </w:r>
            <w:r>
              <w:rPr>
                <w:rFonts w:hint="eastAsia" w:ascii="宋体" w:hAnsi="宋体" w:cs="Arial"/>
                <w:b/>
                <w:bCs/>
                <w:color w:val="auto"/>
              </w:rPr>
              <w:t>符合采购要求</w:t>
            </w:r>
            <w:r>
              <w:rPr>
                <w:rFonts w:ascii="宋体" w:hAnsi="宋体" w:cs="Arial"/>
                <w:b/>
                <w:bCs/>
                <w:color w:val="auto"/>
              </w:rPr>
              <w:t>（0-</w:t>
            </w:r>
            <w:r>
              <w:rPr>
                <w:rFonts w:hint="eastAsia" w:ascii="宋体" w:hAnsi="宋体" w:cs="Arial"/>
                <w:b/>
                <w:bCs/>
                <w:color w:val="auto"/>
              </w:rPr>
              <w:t>15</w:t>
            </w:r>
            <w:r>
              <w:rPr>
                <w:rFonts w:ascii="宋体" w:hAnsi="宋体" w:cs="Arial"/>
                <w:b/>
                <w:bCs/>
                <w:color w:val="auto"/>
              </w:rPr>
              <w:t>分）</w:t>
            </w:r>
          </w:p>
          <w:p w14:paraId="6439345A">
            <w:pPr>
              <w:spacing w:line="360" w:lineRule="auto"/>
              <w:rPr>
                <w:rFonts w:ascii="宋体" w:hAnsi="宋体" w:cs="Arial"/>
                <w:color w:val="auto"/>
              </w:rPr>
            </w:pPr>
            <w:r>
              <w:rPr>
                <w:rFonts w:ascii="宋体" w:hAnsi="宋体" w:cs="Arial"/>
                <w:color w:val="auto"/>
              </w:rPr>
              <w:t>①全部满足或优于要求的</w:t>
            </w:r>
            <w:r>
              <w:rPr>
                <w:rFonts w:hint="eastAsia" w:ascii="宋体" w:hAnsi="宋体" w:cs="Arial"/>
                <w:color w:val="auto"/>
              </w:rPr>
              <w:t>10</w:t>
            </w:r>
            <w:r>
              <w:rPr>
                <w:rFonts w:ascii="宋体" w:hAnsi="宋体" w:cs="Arial"/>
                <w:color w:val="auto"/>
              </w:rPr>
              <w:t>-1</w:t>
            </w:r>
            <w:r>
              <w:rPr>
                <w:rFonts w:hint="eastAsia" w:ascii="宋体" w:hAnsi="宋体" w:cs="Arial"/>
                <w:color w:val="auto"/>
              </w:rPr>
              <w:t>5</w:t>
            </w:r>
            <w:r>
              <w:rPr>
                <w:rFonts w:ascii="宋体" w:hAnsi="宋体" w:cs="Arial"/>
                <w:color w:val="auto"/>
              </w:rPr>
              <w:t>分；</w:t>
            </w:r>
          </w:p>
          <w:p w14:paraId="090B21F0">
            <w:pPr>
              <w:spacing w:line="360" w:lineRule="auto"/>
              <w:rPr>
                <w:rFonts w:ascii="宋体" w:hAnsi="宋体" w:cs="Arial"/>
                <w:color w:val="auto"/>
              </w:rPr>
            </w:pPr>
            <w:r>
              <w:rPr>
                <w:rFonts w:ascii="宋体" w:hAnsi="宋体" w:cs="Arial"/>
                <w:color w:val="auto"/>
              </w:rPr>
              <w:t>②基本满足要求的</w:t>
            </w:r>
            <w:r>
              <w:rPr>
                <w:rFonts w:hint="eastAsia" w:ascii="宋体" w:hAnsi="宋体" w:cs="Arial"/>
                <w:color w:val="auto"/>
              </w:rPr>
              <w:t>5</w:t>
            </w:r>
            <w:r>
              <w:rPr>
                <w:rFonts w:ascii="宋体" w:hAnsi="宋体" w:cs="Arial"/>
                <w:color w:val="auto"/>
              </w:rPr>
              <w:t>-</w:t>
            </w:r>
            <w:r>
              <w:rPr>
                <w:rFonts w:hint="eastAsia" w:ascii="宋体" w:hAnsi="宋体" w:cs="Arial"/>
                <w:color w:val="auto"/>
              </w:rPr>
              <w:t>10</w:t>
            </w:r>
            <w:r>
              <w:rPr>
                <w:rFonts w:ascii="宋体" w:hAnsi="宋体" w:cs="Arial"/>
                <w:color w:val="auto"/>
              </w:rPr>
              <w:t>分；</w:t>
            </w:r>
          </w:p>
          <w:p w14:paraId="44E66C1C">
            <w:pPr>
              <w:tabs>
                <w:tab w:val="left" w:pos="509"/>
              </w:tabs>
              <w:adjustRightInd w:val="0"/>
              <w:snapToGrid w:val="0"/>
              <w:spacing w:line="360" w:lineRule="auto"/>
              <w:rPr>
                <w:rFonts w:ascii="宋体" w:hAnsi="宋体" w:cs="Arial"/>
                <w:color w:val="auto"/>
              </w:rPr>
            </w:pPr>
            <w:r>
              <w:rPr>
                <w:rFonts w:ascii="宋体" w:hAnsi="宋体" w:cs="Arial"/>
                <w:color w:val="auto"/>
              </w:rPr>
              <w:t>③满足部分要求的0-</w:t>
            </w:r>
            <w:r>
              <w:rPr>
                <w:rFonts w:hint="eastAsia" w:ascii="宋体" w:hAnsi="宋体" w:cs="Arial"/>
                <w:color w:val="auto"/>
              </w:rPr>
              <w:t>5</w:t>
            </w:r>
            <w:r>
              <w:rPr>
                <w:rFonts w:ascii="宋体" w:hAnsi="宋体" w:cs="Arial"/>
                <w:color w:val="auto"/>
              </w:rPr>
              <w:t>分。</w:t>
            </w:r>
          </w:p>
          <w:p w14:paraId="435D887F">
            <w:pPr>
              <w:spacing w:line="360" w:lineRule="auto"/>
              <w:rPr>
                <w:rFonts w:ascii="宋体" w:hAnsi="宋体" w:cs="Arial"/>
                <w:b/>
                <w:bCs/>
                <w:color w:val="auto"/>
              </w:rPr>
            </w:pPr>
            <w:r>
              <w:rPr>
                <w:rFonts w:hint="eastAsia" w:ascii="宋体" w:hAnsi="宋体" w:cs="Arial"/>
                <w:b/>
                <w:bCs/>
                <w:color w:val="auto"/>
              </w:rPr>
              <w:t>2.</w:t>
            </w:r>
            <w:r>
              <w:rPr>
                <w:rFonts w:hint="eastAsia" w:ascii="宋体" w:hAnsi="宋体"/>
                <w:color w:val="auto"/>
              </w:rPr>
              <w:t xml:space="preserve"> </w:t>
            </w:r>
            <w:r>
              <w:rPr>
                <w:rFonts w:hint="eastAsia" w:ascii="宋体" w:hAnsi="宋体" w:cs="Arial"/>
                <w:b/>
                <w:bCs/>
                <w:color w:val="auto"/>
              </w:rPr>
              <w:t>针对类似项目建设中可能发生的各种突发事件，制定相应的应急保障方案</w:t>
            </w:r>
            <w:r>
              <w:rPr>
                <w:rFonts w:ascii="宋体" w:hAnsi="宋体" w:cs="Arial"/>
                <w:b/>
                <w:bCs/>
                <w:color w:val="auto"/>
              </w:rPr>
              <w:t>的科学性、合理性（0-15分）</w:t>
            </w:r>
          </w:p>
          <w:p w14:paraId="1487A897">
            <w:pPr>
              <w:spacing w:line="360" w:lineRule="auto"/>
              <w:rPr>
                <w:rFonts w:ascii="宋体" w:hAnsi="宋体" w:cs="Arial"/>
                <w:color w:val="auto"/>
              </w:rPr>
            </w:pPr>
            <w:r>
              <w:rPr>
                <w:rFonts w:ascii="宋体" w:hAnsi="宋体" w:cs="Arial"/>
                <w:color w:val="auto"/>
              </w:rPr>
              <w:t>①</w:t>
            </w:r>
            <w:r>
              <w:rPr>
                <w:rFonts w:ascii="宋体" w:hAnsi="宋体" w:cs="Arial"/>
                <w:color w:val="auto"/>
              </w:rPr>
              <w:t>描述</w:t>
            </w:r>
            <w:r>
              <w:rPr>
                <w:rFonts w:hint="eastAsia" w:ascii="宋体" w:hAnsi="宋体" w:cs="Arial"/>
                <w:color w:val="auto"/>
              </w:rPr>
              <w:t>科学</w:t>
            </w:r>
            <w:r>
              <w:rPr>
                <w:rFonts w:ascii="宋体" w:hAnsi="宋体" w:cs="Arial"/>
                <w:color w:val="auto"/>
              </w:rPr>
              <w:t>合理可行、针对性强的</w:t>
            </w:r>
            <w:r>
              <w:rPr>
                <w:rFonts w:ascii="宋体" w:hAnsi="宋体" w:cs="Arial"/>
                <w:color w:val="auto"/>
              </w:rPr>
              <w:t>10-15分；</w:t>
            </w:r>
          </w:p>
          <w:p w14:paraId="1687A2E1">
            <w:pPr>
              <w:spacing w:line="360" w:lineRule="auto"/>
              <w:rPr>
                <w:rFonts w:ascii="宋体" w:hAnsi="宋体" w:cs="Arial"/>
                <w:color w:val="auto"/>
              </w:rPr>
            </w:pPr>
            <w:r>
              <w:rPr>
                <w:rFonts w:ascii="宋体" w:hAnsi="宋体" w:cs="Arial"/>
                <w:color w:val="auto"/>
              </w:rPr>
              <w:t>②</w:t>
            </w:r>
            <w:r>
              <w:rPr>
                <w:rFonts w:ascii="宋体" w:hAnsi="宋体" w:cs="Arial"/>
                <w:color w:val="auto"/>
              </w:rPr>
              <w:t>描述基本</w:t>
            </w:r>
            <w:r>
              <w:rPr>
                <w:rFonts w:hint="eastAsia" w:ascii="宋体" w:hAnsi="宋体" w:cs="Arial"/>
                <w:color w:val="auto"/>
              </w:rPr>
              <w:t>科学</w:t>
            </w:r>
            <w:r>
              <w:rPr>
                <w:rFonts w:ascii="宋体" w:hAnsi="宋体" w:cs="Arial"/>
                <w:color w:val="auto"/>
              </w:rPr>
              <w:t>合理可行、针对性一般的</w:t>
            </w:r>
            <w:r>
              <w:rPr>
                <w:rFonts w:hint="eastAsia" w:ascii="宋体" w:hAnsi="宋体" w:cs="Arial"/>
                <w:color w:val="auto"/>
              </w:rPr>
              <w:t>5-10分</w:t>
            </w:r>
            <w:r>
              <w:rPr>
                <w:rFonts w:ascii="宋体" w:hAnsi="宋体" w:cs="Arial"/>
                <w:color w:val="auto"/>
              </w:rPr>
              <w:t>；</w:t>
            </w:r>
          </w:p>
          <w:p w14:paraId="1AD9E4B0">
            <w:pPr>
              <w:tabs>
                <w:tab w:val="left" w:pos="509"/>
              </w:tabs>
              <w:adjustRightInd w:val="0"/>
              <w:snapToGrid w:val="0"/>
              <w:spacing w:line="360" w:lineRule="auto"/>
              <w:rPr>
                <w:rFonts w:ascii="宋体" w:hAnsi="宋体" w:cs="Arial"/>
                <w:color w:val="auto"/>
              </w:rPr>
            </w:pPr>
            <w:r>
              <w:rPr>
                <w:rFonts w:ascii="宋体" w:hAnsi="宋体" w:cs="Arial"/>
                <w:color w:val="auto"/>
              </w:rPr>
              <w:t>③</w:t>
            </w:r>
            <w:r>
              <w:rPr>
                <w:rFonts w:ascii="宋体" w:hAnsi="宋体" w:cs="Arial"/>
                <w:color w:val="auto"/>
              </w:rPr>
              <w:t>描述简单或存在缺漏的</w:t>
            </w:r>
            <w:r>
              <w:rPr>
                <w:rFonts w:ascii="宋体" w:hAnsi="宋体" w:cs="Arial"/>
                <w:color w:val="auto"/>
              </w:rPr>
              <w:t>0-5分。</w:t>
            </w:r>
          </w:p>
          <w:p w14:paraId="5818697D">
            <w:pPr>
              <w:spacing w:line="360" w:lineRule="auto"/>
              <w:rPr>
                <w:rFonts w:ascii="宋体" w:hAnsi="宋体" w:cs="Arial"/>
                <w:b/>
                <w:bCs/>
                <w:color w:val="auto"/>
              </w:rPr>
            </w:pPr>
            <w:r>
              <w:rPr>
                <w:rFonts w:hint="eastAsia" w:ascii="宋体" w:hAnsi="宋体" w:cs="Arial"/>
                <w:b/>
                <w:bCs/>
                <w:color w:val="auto"/>
              </w:rPr>
              <w:t>3</w:t>
            </w:r>
            <w:r>
              <w:rPr>
                <w:rFonts w:ascii="宋体" w:hAnsi="宋体" w:cs="Arial"/>
                <w:b/>
                <w:bCs/>
                <w:color w:val="auto"/>
              </w:rPr>
              <w:t>.根据本项目的特性</w:t>
            </w:r>
            <w:r>
              <w:rPr>
                <w:rFonts w:hint="eastAsia" w:ascii="宋体" w:hAnsi="宋体" w:cs="Arial"/>
                <w:b/>
                <w:bCs/>
                <w:color w:val="auto"/>
              </w:rPr>
              <w:t>提出</w:t>
            </w:r>
            <w:r>
              <w:rPr>
                <w:rFonts w:ascii="宋体" w:hAnsi="宋体" w:cs="Arial"/>
                <w:b/>
                <w:bCs/>
                <w:color w:val="auto"/>
              </w:rPr>
              <w:t>针对性建议（0-1</w:t>
            </w:r>
            <w:r>
              <w:rPr>
                <w:rFonts w:hint="eastAsia" w:ascii="宋体" w:hAnsi="宋体" w:cs="Arial"/>
                <w:b/>
                <w:bCs/>
                <w:color w:val="auto"/>
              </w:rPr>
              <w:t>5</w:t>
            </w:r>
            <w:r>
              <w:rPr>
                <w:rFonts w:ascii="宋体" w:hAnsi="宋体" w:cs="Arial"/>
                <w:b/>
                <w:bCs/>
                <w:color w:val="auto"/>
              </w:rPr>
              <w:t>分）</w:t>
            </w:r>
          </w:p>
          <w:p w14:paraId="45A5F0DF">
            <w:pPr>
              <w:spacing w:line="360" w:lineRule="auto"/>
              <w:rPr>
                <w:rFonts w:ascii="宋体" w:hAnsi="宋体" w:cs="Arial"/>
                <w:color w:val="auto"/>
              </w:rPr>
            </w:pPr>
            <w:r>
              <w:rPr>
                <w:rFonts w:ascii="宋体" w:hAnsi="宋体" w:cs="Arial"/>
                <w:color w:val="auto"/>
              </w:rPr>
              <w:t>①</w:t>
            </w:r>
            <w:r>
              <w:rPr>
                <w:rFonts w:ascii="宋体" w:hAnsi="宋体" w:cs="Arial"/>
                <w:color w:val="auto"/>
              </w:rPr>
              <w:t>描述合理可行、针对性强的</w:t>
            </w:r>
            <w:r>
              <w:rPr>
                <w:rFonts w:hint="eastAsia" w:ascii="宋体" w:hAnsi="宋体" w:cs="Arial"/>
                <w:color w:val="auto"/>
              </w:rPr>
              <w:t>10</w:t>
            </w:r>
            <w:r>
              <w:rPr>
                <w:rFonts w:ascii="宋体" w:hAnsi="宋体" w:cs="Arial"/>
                <w:color w:val="auto"/>
              </w:rPr>
              <w:t>-1</w:t>
            </w:r>
            <w:r>
              <w:rPr>
                <w:rFonts w:hint="eastAsia" w:ascii="宋体" w:hAnsi="宋体" w:cs="Arial"/>
                <w:color w:val="auto"/>
              </w:rPr>
              <w:t>5</w:t>
            </w:r>
            <w:r>
              <w:rPr>
                <w:rFonts w:ascii="宋体" w:hAnsi="宋体" w:cs="Arial"/>
                <w:color w:val="auto"/>
              </w:rPr>
              <w:t>分；</w:t>
            </w:r>
          </w:p>
          <w:p w14:paraId="7226637E">
            <w:pPr>
              <w:spacing w:line="360" w:lineRule="auto"/>
              <w:rPr>
                <w:rFonts w:ascii="宋体" w:hAnsi="宋体" w:cs="Arial"/>
                <w:color w:val="auto"/>
              </w:rPr>
            </w:pPr>
            <w:r>
              <w:rPr>
                <w:rFonts w:ascii="宋体" w:hAnsi="宋体" w:cs="Arial"/>
                <w:color w:val="auto"/>
              </w:rPr>
              <w:t>②</w:t>
            </w:r>
            <w:r>
              <w:rPr>
                <w:rFonts w:ascii="宋体" w:hAnsi="宋体" w:cs="Arial"/>
                <w:color w:val="auto"/>
              </w:rPr>
              <w:t>描述基本合理可行、针对性一般的</w:t>
            </w:r>
            <w:r>
              <w:rPr>
                <w:rFonts w:hint="eastAsia" w:ascii="宋体" w:hAnsi="宋体" w:cs="Arial"/>
                <w:color w:val="auto"/>
              </w:rPr>
              <w:t>5</w:t>
            </w:r>
            <w:r>
              <w:rPr>
                <w:rFonts w:ascii="宋体" w:hAnsi="宋体" w:cs="Arial"/>
                <w:color w:val="auto"/>
              </w:rPr>
              <w:t>-</w:t>
            </w:r>
            <w:r>
              <w:rPr>
                <w:rFonts w:hint="eastAsia" w:ascii="宋体" w:hAnsi="宋体" w:cs="Arial"/>
                <w:color w:val="auto"/>
              </w:rPr>
              <w:t>10</w:t>
            </w:r>
            <w:r>
              <w:rPr>
                <w:rFonts w:ascii="宋体" w:hAnsi="宋体" w:cs="Arial"/>
                <w:color w:val="auto"/>
              </w:rPr>
              <w:t>分；</w:t>
            </w:r>
          </w:p>
          <w:p w14:paraId="20C6B770">
            <w:pPr>
              <w:spacing w:line="360" w:lineRule="auto"/>
              <w:rPr>
                <w:rFonts w:ascii="宋体" w:hAnsi="宋体" w:cs="Arial"/>
                <w:color w:val="auto"/>
              </w:rPr>
            </w:pPr>
            <w:r>
              <w:rPr>
                <w:rFonts w:hint="eastAsia" w:ascii="宋体" w:hAnsi="宋体" w:cs="Arial"/>
                <w:color w:val="auto"/>
              </w:rPr>
              <w:t>③</w:t>
            </w:r>
            <w:r>
              <w:rPr>
                <w:rFonts w:ascii="宋体" w:hAnsi="宋体" w:cs="Arial"/>
                <w:color w:val="auto"/>
              </w:rPr>
              <w:t>描述简单或存在缺漏的</w:t>
            </w:r>
            <w:r>
              <w:rPr>
                <w:rFonts w:ascii="宋体" w:hAnsi="宋体" w:cs="Arial"/>
                <w:color w:val="auto"/>
              </w:rPr>
              <w:t>0-</w:t>
            </w:r>
            <w:r>
              <w:rPr>
                <w:rFonts w:hint="eastAsia" w:ascii="宋体" w:hAnsi="宋体" w:cs="Arial"/>
                <w:color w:val="auto"/>
              </w:rPr>
              <w:t>5</w:t>
            </w:r>
            <w:r>
              <w:rPr>
                <w:rFonts w:ascii="宋体" w:hAnsi="宋体" w:cs="Arial"/>
                <w:color w:val="auto"/>
              </w:rPr>
              <w:t>分。</w:t>
            </w:r>
          </w:p>
        </w:tc>
      </w:tr>
      <w:tr w14:paraId="55E0EC8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12" w:hRule="atLeast"/>
          <w:jc w:val="center"/>
        </w:trPr>
        <w:tc>
          <w:tcPr>
            <w:tcW w:w="889" w:type="dxa"/>
            <w:vMerge w:val="continue"/>
            <w:noWrap w:val="0"/>
            <w:vAlign w:val="center"/>
          </w:tcPr>
          <w:p w14:paraId="3DD708DE">
            <w:pPr>
              <w:adjustRightInd w:val="0"/>
              <w:snapToGrid w:val="0"/>
              <w:rPr>
                <w:rFonts w:ascii="宋体" w:hAnsi="宋体" w:cs="宋体"/>
                <w:bCs/>
                <w:snapToGrid w:val="0"/>
                <w:color w:val="auto"/>
                <w:w w:val="90"/>
                <w:sz w:val="22"/>
              </w:rPr>
            </w:pPr>
          </w:p>
        </w:tc>
        <w:tc>
          <w:tcPr>
            <w:tcW w:w="987" w:type="dxa"/>
            <w:tcBorders>
              <w:right w:val="single" w:color="auto" w:sz="4" w:space="0"/>
            </w:tcBorders>
            <w:noWrap w:val="0"/>
            <w:vAlign w:val="center"/>
          </w:tcPr>
          <w:p w14:paraId="1D75CE61">
            <w:pPr>
              <w:tabs>
                <w:tab w:val="left" w:pos="514"/>
              </w:tabs>
              <w:adjustRightInd w:val="0"/>
              <w:snapToGrid w:val="0"/>
              <w:jc w:val="center"/>
              <w:rPr>
                <w:rFonts w:ascii="宋体" w:hAnsi="宋体" w:cs="宋体"/>
                <w:color w:val="auto"/>
                <w:sz w:val="22"/>
                <w:lang w:bidi="zh-CN"/>
              </w:rPr>
            </w:pPr>
            <w:r>
              <w:rPr>
                <w:rFonts w:hint="eastAsia" w:ascii="宋体" w:hAnsi="宋体" w:cs="宋体"/>
                <w:color w:val="auto"/>
              </w:rPr>
              <w:t>货物质量保证措施方案（15）</w:t>
            </w:r>
          </w:p>
        </w:tc>
        <w:tc>
          <w:tcPr>
            <w:tcW w:w="528" w:type="dxa"/>
            <w:tcBorders>
              <w:left w:val="single" w:color="auto" w:sz="4" w:space="0"/>
            </w:tcBorders>
            <w:noWrap w:val="0"/>
            <w:vAlign w:val="center"/>
          </w:tcPr>
          <w:p w14:paraId="79117137">
            <w:pPr>
              <w:adjustRightInd w:val="0"/>
              <w:snapToGrid w:val="0"/>
              <w:jc w:val="center"/>
              <w:rPr>
                <w:rFonts w:ascii="宋体" w:hAnsi="宋体" w:cs="宋体"/>
                <w:color w:val="auto"/>
                <w:sz w:val="22"/>
              </w:rPr>
            </w:pPr>
            <w:r>
              <w:rPr>
                <w:rFonts w:hint="eastAsia" w:ascii="宋体" w:hAnsi="宋体" w:cs="宋体"/>
                <w:color w:val="auto"/>
                <w:sz w:val="22"/>
              </w:rPr>
              <w:t>主观分</w:t>
            </w:r>
          </w:p>
        </w:tc>
        <w:tc>
          <w:tcPr>
            <w:tcW w:w="6588" w:type="dxa"/>
            <w:noWrap w:val="0"/>
            <w:vAlign w:val="center"/>
          </w:tcPr>
          <w:p w14:paraId="4CD13489">
            <w:pPr>
              <w:spacing w:line="360" w:lineRule="auto"/>
              <w:rPr>
                <w:rFonts w:ascii="宋体" w:hAnsi="宋体" w:cs="Arial"/>
                <w:b/>
                <w:bCs/>
                <w:color w:val="auto"/>
              </w:rPr>
            </w:pPr>
            <w:r>
              <w:rPr>
                <w:rFonts w:ascii="宋体" w:hAnsi="宋体" w:cs="Arial"/>
                <w:b/>
                <w:bCs/>
                <w:color w:val="auto"/>
              </w:rPr>
              <w:t>投标人对投入本项目的设备质量有详细的保障措施，专家根据其措施的保障性、科学性、合理性、可操作性等内容</w:t>
            </w:r>
            <w:r>
              <w:rPr>
                <w:rFonts w:hint="eastAsia" w:ascii="宋体" w:hAnsi="宋体" w:cs="Arial"/>
                <w:b/>
                <w:bCs/>
                <w:color w:val="auto"/>
              </w:rPr>
              <w:t>进行评分</w:t>
            </w:r>
            <w:r>
              <w:rPr>
                <w:rFonts w:ascii="宋体" w:hAnsi="宋体" w:cs="Arial"/>
                <w:b/>
                <w:bCs/>
                <w:color w:val="auto"/>
              </w:rPr>
              <w:t>（</w:t>
            </w:r>
            <w:r>
              <w:rPr>
                <w:rFonts w:hint="eastAsia" w:ascii="宋体" w:hAnsi="宋体" w:cs="Arial"/>
                <w:b/>
                <w:bCs/>
                <w:color w:val="auto"/>
              </w:rPr>
              <w:t>15</w:t>
            </w:r>
            <w:r>
              <w:rPr>
                <w:rFonts w:ascii="宋体" w:hAnsi="宋体" w:cs="Arial"/>
                <w:b/>
                <w:bCs/>
                <w:color w:val="auto"/>
              </w:rPr>
              <w:t>分）</w:t>
            </w:r>
            <w:r>
              <w:rPr>
                <w:rFonts w:hint="eastAsia" w:ascii="宋体" w:hAnsi="宋体" w:cs="Arial"/>
                <w:b/>
                <w:bCs/>
                <w:color w:val="auto"/>
              </w:rPr>
              <w:t>。</w:t>
            </w:r>
          </w:p>
          <w:p w14:paraId="61462CD2">
            <w:pPr>
              <w:spacing w:line="360" w:lineRule="auto"/>
              <w:rPr>
                <w:rFonts w:ascii="宋体" w:hAnsi="宋体" w:cs="Arial"/>
                <w:color w:val="auto"/>
              </w:rPr>
            </w:pPr>
            <w:r>
              <w:rPr>
                <w:rFonts w:ascii="宋体" w:hAnsi="宋体" w:cs="Arial"/>
                <w:color w:val="auto"/>
              </w:rPr>
              <w:t>①</w:t>
            </w:r>
            <w:r>
              <w:rPr>
                <w:rFonts w:ascii="宋体" w:hAnsi="宋体" w:cs="Arial"/>
                <w:color w:val="auto"/>
              </w:rPr>
              <w:t>描述</w:t>
            </w:r>
            <w:r>
              <w:rPr>
                <w:rFonts w:hint="eastAsia" w:ascii="宋体" w:hAnsi="宋体" w:cs="Arial"/>
                <w:color w:val="auto"/>
              </w:rPr>
              <w:t>科学</w:t>
            </w:r>
            <w:r>
              <w:rPr>
                <w:rFonts w:ascii="宋体" w:hAnsi="宋体" w:cs="Arial"/>
                <w:color w:val="auto"/>
              </w:rPr>
              <w:t>合理可行、</w:t>
            </w:r>
            <w:r>
              <w:rPr>
                <w:rFonts w:hint="eastAsia" w:ascii="宋体" w:hAnsi="宋体" w:cs="Arial"/>
                <w:color w:val="auto"/>
              </w:rPr>
              <w:t>可操作性</w:t>
            </w:r>
            <w:r>
              <w:rPr>
                <w:rFonts w:ascii="宋体" w:hAnsi="宋体" w:cs="Arial"/>
                <w:color w:val="auto"/>
              </w:rPr>
              <w:t>性强的</w:t>
            </w:r>
            <w:r>
              <w:rPr>
                <w:rFonts w:hint="eastAsia" w:ascii="宋体" w:hAnsi="宋体" w:cs="Arial"/>
                <w:color w:val="auto"/>
              </w:rPr>
              <w:t>10</w:t>
            </w:r>
            <w:r>
              <w:rPr>
                <w:rFonts w:ascii="宋体" w:hAnsi="宋体" w:cs="Arial"/>
                <w:color w:val="auto"/>
              </w:rPr>
              <w:t>-</w:t>
            </w:r>
            <w:r>
              <w:rPr>
                <w:rFonts w:hint="eastAsia" w:ascii="宋体" w:hAnsi="宋体" w:cs="Arial"/>
                <w:color w:val="auto"/>
              </w:rPr>
              <w:t>15</w:t>
            </w:r>
            <w:r>
              <w:rPr>
                <w:rFonts w:ascii="宋体" w:hAnsi="宋体" w:cs="Arial"/>
                <w:color w:val="auto"/>
              </w:rPr>
              <w:t>分；</w:t>
            </w:r>
          </w:p>
          <w:p w14:paraId="5CF0AF9D">
            <w:pPr>
              <w:spacing w:line="360" w:lineRule="auto"/>
              <w:rPr>
                <w:rFonts w:ascii="宋体" w:hAnsi="宋体" w:cs="Arial"/>
                <w:color w:val="auto"/>
              </w:rPr>
            </w:pPr>
            <w:r>
              <w:rPr>
                <w:rFonts w:ascii="宋体" w:hAnsi="宋体" w:cs="Arial"/>
                <w:color w:val="auto"/>
              </w:rPr>
              <w:t>②</w:t>
            </w:r>
            <w:r>
              <w:rPr>
                <w:rFonts w:ascii="宋体" w:hAnsi="宋体" w:cs="Arial"/>
                <w:color w:val="auto"/>
              </w:rPr>
              <w:t>描述基本</w:t>
            </w:r>
            <w:r>
              <w:rPr>
                <w:rFonts w:hint="eastAsia" w:ascii="宋体" w:hAnsi="宋体" w:cs="Arial"/>
                <w:color w:val="auto"/>
              </w:rPr>
              <w:t>科学</w:t>
            </w:r>
            <w:r>
              <w:rPr>
                <w:rFonts w:ascii="宋体" w:hAnsi="宋体" w:cs="Arial"/>
                <w:color w:val="auto"/>
              </w:rPr>
              <w:t>合理可行、</w:t>
            </w:r>
            <w:r>
              <w:rPr>
                <w:rFonts w:hint="eastAsia" w:ascii="宋体" w:hAnsi="宋体" w:cs="Arial"/>
                <w:color w:val="auto"/>
              </w:rPr>
              <w:t>可操作</w:t>
            </w:r>
            <w:r>
              <w:rPr>
                <w:rFonts w:ascii="宋体" w:hAnsi="宋体" w:cs="Arial"/>
                <w:color w:val="auto"/>
              </w:rPr>
              <w:t>性一般的</w:t>
            </w:r>
            <w:r>
              <w:rPr>
                <w:rFonts w:hint="eastAsia" w:ascii="宋体" w:hAnsi="宋体" w:cs="Arial"/>
                <w:color w:val="auto"/>
              </w:rPr>
              <w:t>5</w:t>
            </w:r>
            <w:r>
              <w:rPr>
                <w:rFonts w:ascii="宋体" w:hAnsi="宋体" w:cs="Arial"/>
                <w:color w:val="auto"/>
              </w:rPr>
              <w:t>-</w:t>
            </w:r>
            <w:r>
              <w:rPr>
                <w:rFonts w:hint="eastAsia" w:ascii="宋体" w:hAnsi="宋体" w:cs="Arial"/>
                <w:color w:val="auto"/>
              </w:rPr>
              <w:t>10</w:t>
            </w:r>
            <w:r>
              <w:rPr>
                <w:rFonts w:ascii="宋体" w:hAnsi="宋体" w:cs="Arial"/>
                <w:color w:val="auto"/>
              </w:rPr>
              <w:t>分；</w:t>
            </w:r>
          </w:p>
          <w:p w14:paraId="49B00557">
            <w:pPr>
              <w:adjustRightInd w:val="0"/>
              <w:snapToGrid w:val="0"/>
              <w:rPr>
                <w:rFonts w:ascii="宋体" w:hAnsi="宋体" w:cs="等线"/>
                <w:color w:val="auto"/>
                <w:sz w:val="22"/>
              </w:rPr>
            </w:pPr>
            <w:r>
              <w:rPr>
                <w:rFonts w:hint="eastAsia" w:ascii="宋体" w:hAnsi="宋体" w:cs="宋体"/>
                <w:color w:val="auto"/>
              </w:rPr>
              <w:t>③</w:t>
            </w:r>
            <w:r>
              <w:rPr>
                <w:rFonts w:ascii="宋体" w:hAnsi="宋体" w:cs="Arial"/>
                <w:color w:val="auto"/>
              </w:rPr>
              <w:t>描述简单或存在缺漏的</w:t>
            </w:r>
            <w:r>
              <w:rPr>
                <w:rFonts w:ascii="宋体" w:hAnsi="宋体" w:cs="Arial"/>
                <w:color w:val="auto"/>
              </w:rPr>
              <w:t>0-</w:t>
            </w:r>
            <w:r>
              <w:rPr>
                <w:rFonts w:hint="eastAsia" w:ascii="宋体" w:hAnsi="宋体" w:cs="Arial"/>
                <w:color w:val="auto"/>
              </w:rPr>
              <w:t>5</w:t>
            </w:r>
            <w:r>
              <w:rPr>
                <w:rFonts w:ascii="宋体" w:hAnsi="宋体" w:cs="Arial"/>
                <w:color w:val="auto"/>
              </w:rPr>
              <w:t>分。</w:t>
            </w:r>
          </w:p>
        </w:tc>
      </w:tr>
      <w:tr w14:paraId="2094504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257" w:hRule="atLeast"/>
          <w:jc w:val="center"/>
        </w:trPr>
        <w:tc>
          <w:tcPr>
            <w:tcW w:w="889" w:type="dxa"/>
            <w:vMerge w:val="continue"/>
            <w:noWrap w:val="0"/>
            <w:vAlign w:val="center"/>
          </w:tcPr>
          <w:p w14:paraId="71EDC195">
            <w:pPr>
              <w:adjustRightInd w:val="0"/>
              <w:snapToGrid w:val="0"/>
              <w:rPr>
                <w:rFonts w:ascii="宋体" w:hAnsi="宋体" w:cs="宋体"/>
                <w:bCs/>
                <w:snapToGrid w:val="0"/>
                <w:color w:val="auto"/>
                <w:w w:val="90"/>
                <w:sz w:val="22"/>
              </w:rPr>
            </w:pPr>
          </w:p>
        </w:tc>
        <w:tc>
          <w:tcPr>
            <w:tcW w:w="987" w:type="dxa"/>
            <w:tcBorders>
              <w:right w:val="single" w:color="auto" w:sz="4" w:space="0"/>
            </w:tcBorders>
            <w:noWrap w:val="0"/>
            <w:vAlign w:val="center"/>
          </w:tcPr>
          <w:p w14:paraId="6B412001">
            <w:pPr>
              <w:spacing w:line="300" w:lineRule="exact"/>
              <w:jc w:val="center"/>
              <w:rPr>
                <w:rFonts w:ascii="宋体" w:hAnsi="宋体" w:cs="Calibri"/>
                <w:color w:val="auto"/>
                <w:spacing w:val="-2"/>
              </w:rPr>
            </w:pPr>
            <w:r>
              <w:rPr>
                <w:rFonts w:hint="eastAsia" w:ascii="宋体" w:hAnsi="宋体" w:cs="宋体"/>
                <w:bCs/>
                <w:color w:val="auto"/>
                <w:lang w:val="zh-CN"/>
              </w:rPr>
              <w:t>售后服务承诺及方案（15分）</w:t>
            </w:r>
          </w:p>
        </w:tc>
        <w:tc>
          <w:tcPr>
            <w:tcW w:w="528" w:type="dxa"/>
            <w:tcBorders>
              <w:left w:val="single" w:color="auto" w:sz="4" w:space="0"/>
            </w:tcBorders>
            <w:noWrap w:val="0"/>
            <w:vAlign w:val="center"/>
          </w:tcPr>
          <w:p w14:paraId="03839687">
            <w:pPr>
              <w:adjustRightInd w:val="0"/>
              <w:snapToGrid w:val="0"/>
              <w:jc w:val="center"/>
              <w:rPr>
                <w:rFonts w:ascii="宋体" w:hAnsi="宋体" w:cs="宋体"/>
                <w:color w:val="auto"/>
                <w:sz w:val="22"/>
              </w:rPr>
            </w:pPr>
            <w:r>
              <w:rPr>
                <w:rFonts w:hint="eastAsia" w:ascii="宋体" w:hAnsi="宋体" w:cs="宋体"/>
                <w:color w:val="auto"/>
                <w:sz w:val="22"/>
              </w:rPr>
              <w:t>主观分</w:t>
            </w:r>
          </w:p>
        </w:tc>
        <w:tc>
          <w:tcPr>
            <w:tcW w:w="6588" w:type="dxa"/>
            <w:noWrap w:val="0"/>
            <w:vAlign w:val="center"/>
          </w:tcPr>
          <w:p w14:paraId="6A5AF017">
            <w:pPr>
              <w:spacing w:line="360" w:lineRule="auto"/>
              <w:rPr>
                <w:rFonts w:ascii="宋体" w:hAnsi="宋体" w:cs="Arial"/>
                <w:b/>
                <w:bCs/>
                <w:color w:val="auto"/>
              </w:rPr>
            </w:pPr>
            <w:r>
              <w:rPr>
                <w:rFonts w:ascii="宋体" w:hAnsi="宋体" w:cs="Arial"/>
                <w:b/>
                <w:bCs/>
                <w:color w:val="auto"/>
                <w:lang w:val="zh-CN"/>
              </w:rPr>
              <w:t>根据供应商提供的针对本次项目的售后服务承诺及方案情况综合评定</w:t>
            </w:r>
            <w:r>
              <w:rPr>
                <w:rFonts w:ascii="宋体" w:hAnsi="宋体" w:cs="Arial"/>
                <w:b/>
                <w:bCs/>
                <w:color w:val="auto"/>
              </w:rPr>
              <w:t>（0-</w:t>
            </w:r>
            <w:r>
              <w:rPr>
                <w:rFonts w:hint="eastAsia" w:ascii="宋体" w:hAnsi="宋体" w:cs="Arial"/>
                <w:b/>
                <w:bCs/>
                <w:color w:val="auto"/>
              </w:rPr>
              <w:t>15</w:t>
            </w:r>
            <w:r>
              <w:rPr>
                <w:rFonts w:ascii="宋体" w:hAnsi="宋体" w:cs="Arial"/>
                <w:b/>
                <w:bCs/>
                <w:color w:val="auto"/>
              </w:rPr>
              <w:t>分）</w:t>
            </w:r>
            <w:r>
              <w:rPr>
                <w:rFonts w:hint="eastAsia" w:ascii="宋体" w:hAnsi="宋体" w:cs="Arial"/>
                <w:b/>
                <w:bCs/>
                <w:color w:val="auto"/>
              </w:rPr>
              <w:t>。</w:t>
            </w:r>
          </w:p>
          <w:p w14:paraId="5921CCC8">
            <w:pPr>
              <w:spacing w:line="360" w:lineRule="auto"/>
              <w:rPr>
                <w:rFonts w:ascii="宋体" w:hAnsi="宋体" w:cs="Arial"/>
                <w:color w:val="auto"/>
              </w:rPr>
            </w:pPr>
            <w:r>
              <w:rPr>
                <w:rFonts w:ascii="宋体" w:hAnsi="宋体" w:cs="Arial"/>
                <w:color w:val="auto"/>
              </w:rPr>
              <w:t>①</w:t>
            </w:r>
            <w:r>
              <w:rPr>
                <w:rFonts w:ascii="宋体" w:hAnsi="宋体" w:cs="Arial"/>
                <w:color w:val="auto"/>
              </w:rPr>
              <w:t>描述合理可行、针对性强的</w:t>
            </w:r>
            <w:r>
              <w:rPr>
                <w:rFonts w:hint="eastAsia" w:ascii="宋体" w:hAnsi="宋体" w:cs="Arial"/>
                <w:color w:val="auto"/>
              </w:rPr>
              <w:t>10</w:t>
            </w:r>
            <w:r>
              <w:rPr>
                <w:rFonts w:ascii="宋体" w:hAnsi="宋体" w:cs="Arial"/>
                <w:color w:val="auto"/>
              </w:rPr>
              <w:t>-1</w:t>
            </w:r>
            <w:r>
              <w:rPr>
                <w:rFonts w:hint="eastAsia" w:ascii="宋体" w:hAnsi="宋体" w:cs="Arial"/>
                <w:color w:val="auto"/>
              </w:rPr>
              <w:t>5</w:t>
            </w:r>
            <w:r>
              <w:rPr>
                <w:rFonts w:ascii="宋体" w:hAnsi="宋体" w:cs="Arial"/>
                <w:color w:val="auto"/>
              </w:rPr>
              <w:t>分；</w:t>
            </w:r>
          </w:p>
          <w:p w14:paraId="0D30FC1C">
            <w:pPr>
              <w:spacing w:line="360" w:lineRule="auto"/>
              <w:rPr>
                <w:rFonts w:ascii="宋体" w:hAnsi="宋体" w:cs="Arial"/>
                <w:color w:val="auto"/>
              </w:rPr>
            </w:pPr>
            <w:r>
              <w:rPr>
                <w:rFonts w:ascii="宋体" w:hAnsi="宋体" w:cs="Arial"/>
                <w:color w:val="auto"/>
              </w:rPr>
              <w:t>②</w:t>
            </w:r>
            <w:r>
              <w:rPr>
                <w:rFonts w:ascii="宋体" w:hAnsi="宋体" w:cs="Arial"/>
                <w:color w:val="auto"/>
              </w:rPr>
              <w:t>描述基本合理可行、针对性一般的</w:t>
            </w:r>
            <w:r>
              <w:rPr>
                <w:rFonts w:hint="eastAsia" w:ascii="宋体" w:hAnsi="宋体" w:cs="Arial"/>
                <w:color w:val="auto"/>
              </w:rPr>
              <w:t>5</w:t>
            </w:r>
            <w:r>
              <w:rPr>
                <w:rFonts w:ascii="宋体" w:hAnsi="宋体" w:cs="Arial"/>
                <w:color w:val="auto"/>
              </w:rPr>
              <w:t>-</w:t>
            </w:r>
            <w:r>
              <w:rPr>
                <w:rFonts w:hint="eastAsia" w:ascii="宋体" w:hAnsi="宋体" w:cs="Arial"/>
                <w:color w:val="auto"/>
              </w:rPr>
              <w:t>10</w:t>
            </w:r>
            <w:r>
              <w:rPr>
                <w:rFonts w:ascii="宋体" w:hAnsi="宋体" w:cs="Arial"/>
                <w:color w:val="auto"/>
              </w:rPr>
              <w:t>分；</w:t>
            </w:r>
          </w:p>
          <w:p w14:paraId="17A5B1C8">
            <w:pPr>
              <w:adjustRightInd w:val="0"/>
              <w:snapToGrid w:val="0"/>
              <w:rPr>
                <w:rFonts w:ascii="宋体" w:hAnsi="宋体" w:cs="宋体"/>
                <w:color w:val="auto"/>
                <w:sz w:val="22"/>
              </w:rPr>
            </w:pPr>
            <w:r>
              <w:rPr>
                <w:rFonts w:ascii="宋体" w:hAnsi="宋体" w:cs="Arial"/>
                <w:color w:val="auto"/>
              </w:rPr>
              <w:t>③</w:t>
            </w:r>
            <w:r>
              <w:rPr>
                <w:rFonts w:ascii="宋体" w:hAnsi="宋体" w:cs="Arial"/>
                <w:color w:val="auto"/>
              </w:rPr>
              <w:t>描述简单或存在缺漏的</w:t>
            </w:r>
            <w:r>
              <w:rPr>
                <w:rFonts w:ascii="宋体" w:hAnsi="宋体" w:cs="Arial"/>
                <w:color w:val="auto"/>
              </w:rPr>
              <w:t>0-</w:t>
            </w:r>
            <w:r>
              <w:rPr>
                <w:rFonts w:hint="eastAsia" w:ascii="宋体" w:hAnsi="宋体" w:cs="Arial"/>
                <w:color w:val="auto"/>
              </w:rPr>
              <w:t>5</w:t>
            </w:r>
            <w:r>
              <w:rPr>
                <w:rFonts w:ascii="宋体" w:hAnsi="宋体" w:cs="Arial"/>
                <w:color w:val="auto"/>
              </w:rPr>
              <w:t>分。</w:t>
            </w:r>
          </w:p>
        </w:tc>
      </w:tr>
    </w:tbl>
    <w:p w14:paraId="0E4C9E90">
      <w:pPr>
        <w:wordWrap w:val="0"/>
        <w:snapToGrid w:val="0"/>
        <w:spacing w:line="360" w:lineRule="auto"/>
        <w:ind w:firstLine="422" w:firstLineChars="200"/>
        <w:rPr>
          <w:rFonts w:ascii="宋体" w:hAnsi="宋体" w:cs="宋体"/>
          <w:b/>
          <w:color w:val="auto"/>
        </w:rPr>
      </w:pPr>
      <w:r>
        <w:rPr>
          <w:rFonts w:hint="eastAsia" w:ascii="宋体" w:hAnsi="宋体" w:cs="宋体"/>
          <w:b/>
          <w:color w:val="auto"/>
        </w:rPr>
        <w:t>注：磋商小组在上表设定的分值范围内打分</w:t>
      </w:r>
      <w:r>
        <w:rPr>
          <w:rFonts w:ascii="宋体" w:hAnsi="宋体" w:cs="宋体"/>
          <w:b/>
          <w:color w:val="auto"/>
        </w:rPr>
        <w:t>(四舍五入保留一位小数)。所有分值汇总后平均分值计算四舍五入保留二位小数。</w:t>
      </w:r>
    </w:p>
    <w:p w14:paraId="178AC52D">
      <w:pPr>
        <w:wordWrap w:val="0"/>
        <w:snapToGrid w:val="0"/>
        <w:spacing w:line="360" w:lineRule="auto"/>
        <w:ind w:firstLine="422" w:firstLineChars="200"/>
        <w:rPr>
          <w:rFonts w:hint="eastAsia" w:ascii="宋体" w:hAnsi="宋体" w:cs="仿宋_GB2312"/>
          <w:color w:val="auto"/>
        </w:rPr>
      </w:pPr>
      <w:r>
        <w:rPr>
          <w:rFonts w:hint="eastAsia" w:ascii="宋体" w:hAnsi="宋体" w:cs="宋体"/>
          <w:b/>
          <w:color w:val="auto"/>
        </w:rPr>
        <w:t>*不合理报价的认定：1、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7C549B2">
      <w:pPr>
        <w:widowControl/>
        <w:jc w:val="left"/>
        <w:rPr>
          <w:rFonts w:ascii="仿宋" w:hAnsi="仿宋" w:eastAsia="仿宋" w:cs="仿宋"/>
          <w:b/>
          <w:bCs/>
          <w:color w:val="auto"/>
          <w:sz w:val="24"/>
        </w:rPr>
      </w:pPr>
    </w:p>
    <w:p w14:paraId="4661C3AE">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七、合同的授予</w:t>
      </w:r>
    </w:p>
    <w:p w14:paraId="5B70AF70">
      <w:pPr>
        <w:tabs>
          <w:tab w:val="left" w:pos="0"/>
        </w:tabs>
        <w:spacing w:line="360" w:lineRule="auto"/>
        <w:rPr>
          <w:rFonts w:ascii="仿宋" w:hAnsi="仿宋" w:eastAsia="仿宋" w:cs="仿宋"/>
          <w:color w:val="auto"/>
          <w:sz w:val="24"/>
        </w:rPr>
      </w:pPr>
      <w:r>
        <w:rPr>
          <w:rFonts w:hint="eastAsia" w:ascii="仿宋" w:hAnsi="仿宋" w:eastAsia="仿宋" w:cs="仿宋"/>
          <w:b/>
          <w:bCs/>
          <w:color w:val="auto"/>
          <w:sz w:val="24"/>
        </w:rPr>
        <w:t>23.成交通知</w:t>
      </w:r>
    </w:p>
    <w:p w14:paraId="64B9ECF2">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23.1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发布过比价谈判公告的媒体上公告采购结果。</w:t>
      </w:r>
    </w:p>
    <w:p w14:paraId="12B32CA0">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23.2成交供应商的比价谈判保证金在与采购人签订了采购合同并提交履约保证金后5个工作日内无息退还（本项目不适用）。</w:t>
      </w:r>
    </w:p>
    <w:p w14:paraId="0B21C86E">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23.3成交通知书作为合同的组成部分。</w:t>
      </w:r>
    </w:p>
    <w:p w14:paraId="7997E88D">
      <w:pPr>
        <w:tabs>
          <w:tab w:val="left" w:pos="0"/>
        </w:tabs>
        <w:spacing w:line="360" w:lineRule="auto"/>
        <w:rPr>
          <w:rFonts w:ascii="仿宋" w:hAnsi="仿宋" w:eastAsia="仿宋" w:cs="仿宋"/>
          <w:color w:val="auto"/>
          <w:sz w:val="24"/>
        </w:rPr>
      </w:pPr>
      <w:r>
        <w:rPr>
          <w:rFonts w:hint="eastAsia" w:ascii="仿宋" w:hAnsi="仿宋" w:eastAsia="仿宋" w:cs="仿宋"/>
          <w:b/>
          <w:bCs/>
          <w:color w:val="auto"/>
          <w:sz w:val="24"/>
        </w:rPr>
        <w:t>24.签订合同</w:t>
      </w:r>
    </w:p>
    <w:p w14:paraId="66FC9D00">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24.1成交通知书发出之日起3天内，成交供应商须派法定代表人（或企业负责人或经营者）或其委托代理人前往比价谈判文件须知前附表第13项约定的时间、地点与采购人签订采购合同。</w:t>
      </w:r>
    </w:p>
    <w:p w14:paraId="0A9502D0">
      <w:pPr>
        <w:tabs>
          <w:tab w:val="left" w:pos="0"/>
        </w:tabs>
        <w:spacing w:line="360" w:lineRule="auto"/>
        <w:rPr>
          <w:rFonts w:ascii="仿宋" w:hAnsi="仿宋" w:eastAsia="仿宋" w:cs="仿宋"/>
          <w:color w:val="auto"/>
          <w:sz w:val="24"/>
        </w:rPr>
      </w:pPr>
      <w:r>
        <w:rPr>
          <w:rFonts w:hint="eastAsia" w:ascii="仿宋" w:hAnsi="仿宋" w:eastAsia="仿宋" w:cs="仿宋"/>
          <w:color w:val="auto"/>
          <w:sz w:val="24"/>
        </w:rPr>
        <w:t>24.2比价谈判文件，成交供应商的比价谈判响应文件及评审过程中有关澄清文件均应作为合同附件。</w:t>
      </w:r>
    </w:p>
    <w:p w14:paraId="495766FD">
      <w:pPr>
        <w:numPr>
          <w:ilvl w:val="0"/>
          <w:numId w:val="1"/>
        </w:numPr>
        <w:tabs>
          <w:tab w:val="left" w:pos="0"/>
          <w:tab w:val="clear" w:pos="312"/>
        </w:tabs>
        <w:spacing w:line="360" w:lineRule="auto"/>
        <w:rPr>
          <w:rFonts w:ascii="仿宋" w:hAnsi="仿宋" w:eastAsia="仿宋" w:cs="仿宋"/>
          <w:b/>
          <w:bCs/>
          <w:color w:val="auto"/>
          <w:sz w:val="24"/>
        </w:rPr>
      </w:pPr>
      <w:r>
        <w:rPr>
          <w:rFonts w:hint="eastAsia" w:ascii="仿宋" w:hAnsi="仿宋" w:eastAsia="仿宋" w:cs="仿宋"/>
          <w:b/>
          <w:bCs/>
          <w:color w:val="auto"/>
          <w:sz w:val="24"/>
        </w:rPr>
        <w:t>履约保证金（本项目不设置）</w:t>
      </w:r>
    </w:p>
    <w:p w14:paraId="295D8644">
      <w:pPr>
        <w:tabs>
          <w:tab w:val="left" w:pos="0"/>
        </w:tabs>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p w14:paraId="4D677F03">
      <w:pPr>
        <w:tabs>
          <w:tab w:val="left" w:pos="0"/>
        </w:tabs>
        <w:spacing w:line="360" w:lineRule="auto"/>
        <w:jc w:val="center"/>
        <w:rPr>
          <w:rFonts w:hint="eastAsia" w:ascii="仿宋" w:hAnsi="仿宋" w:eastAsia="仿宋" w:cs="仿宋"/>
          <w:color w:val="auto"/>
          <w:sz w:val="24"/>
          <w:lang w:val="en-US" w:eastAsia="zh-CN"/>
        </w:rPr>
      </w:pPr>
    </w:p>
    <w:p w14:paraId="5AEC3581">
      <w:pPr>
        <w:tabs>
          <w:tab w:val="left" w:pos="0"/>
        </w:tabs>
        <w:spacing w:line="360" w:lineRule="auto"/>
        <w:jc w:val="center"/>
        <w:rPr>
          <w:rFonts w:hint="eastAsia" w:ascii="仿宋" w:hAnsi="仿宋" w:eastAsia="仿宋" w:cs="仿宋"/>
          <w:color w:val="auto"/>
          <w:sz w:val="24"/>
          <w:lang w:val="en-US" w:eastAsia="zh-CN"/>
        </w:rPr>
      </w:pPr>
    </w:p>
    <w:p w14:paraId="10C1C6D8">
      <w:pPr>
        <w:tabs>
          <w:tab w:val="left" w:pos="0"/>
        </w:tabs>
        <w:spacing w:line="360" w:lineRule="auto"/>
        <w:jc w:val="center"/>
        <w:rPr>
          <w:rFonts w:hint="eastAsia" w:ascii="仿宋" w:hAnsi="仿宋" w:eastAsia="仿宋" w:cs="仿宋"/>
          <w:color w:val="auto"/>
          <w:sz w:val="24"/>
          <w:lang w:val="en-US" w:eastAsia="zh-CN"/>
        </w:rPr>
      </w:pPr>
    </w:p>
    <w:p w14:paraId="21C1B7DE">
      <w:pPr>
        <w:tabs>
          <w:tab w:val="left" w:pos="0"/>
        </w:tabs>
        <w:spacing w:line="360" w:lineRule="auto"/>
        <w:jc w:val="center"/>
        <w:rPr>
          <w:rFonts w:hint="eastAsia" w:ascii="仿宋" w:hAnsi="仿宋" w:eastAsia="仿宋" w:cs="仿宋"/>
          <w:color w:val="auto"/>
          <w:sz w:val="24"/>
          <w:lang w:val="en-US" w:eastAsia="zh-CN"/>
        </w:rPr>
      </w:pPr>
    </w:p>
    <w:p w14:paraId="18793FAD">
      <w:pPr>
        <w:tabs>
          <w:tab w:val="left" w:pos="0"/>
        </w:tabs>
        <w:spacing w:line="360" w:lineRule="auto"/>
        <w:jc w:val="center"/>
        <w:rPr>
          <w:rFonts w:hint="eastAsia" w:ascii="仿宋" w:hAnsi="仿宋" w:eastAsia="仿宋" w:cs="仿宋"/>
          <w:color w:val="auto"/>
          <w:sz w:val="24"/>
          <w:lang w:val="en-US" w:eastAsia="zh-CN"/>
        </w:rPr>
      </w:pPr>
    </w:p>
    <w:p w14:paraId="79D9FBF6">
      <w:pPr>
        <w:tabs>
          <w:tab w:val="left" w:pos="0"/>
        </w:tabs>
        <w:spacing w:line="360" w:lineRule="auto"/>
        <w:jc w:val="center"/>
        <w:rPr>
          <w:rFonts w:hint="eastAsia" w:ascii="仿宋" w:hAnsi="仿宋" w:eastAsia="仿宋" w:cs="仿宋"/>
          <w:color w:val="auto"/>
          <w:sz w:val="24"/>
          <w:lang w:val="en-US" w:eastAsia="zh-CN"/>
        </w:rPr>
      </w:pPr>
    </w:p>
    <w:p w14:paraId="673495C6">
      <w:pPr>
        <w:tabs>
          <w:tab w:val="left" w:pos="0"/>
        </w:tabs>
        <w:spacing w:line="360" w:lineRule="auto"/>
        <w:jc w:val="center"/>
        <w:rPr>
          <w:rFonts w:hint="eastAsia" w:ascii="仿宋" w:hAnsi="仿宋" w:eastAsia="仿宋" w:cs="仿宋"/>
          <w:color w:val="auto"/>
          <w:sz w:val="24"/>
          <w:lang w:val="en-US" w:eastAsia="zh-CN"/>
        </w:rPr>
      </w:pPr>
    </w:p>
    <w:p w14:paraId="23AD74F2">
      <w:pPr>
        <w:tabs>
          <w:tab w:val="left" w:pos="0"/>
        </w:tabs>
        <w:spacing w:line="360" w:lineRule="auto"/>
        <w:jc w:val="center"/>
        <w:rPr>
          <w:rFonts w:hint="eastAsia" w:ascii="仿宋" w:hAnsi="仿宋" w:eastAsia="仿宋" w:cs="仿宋"/>
          <w:color w:val="auto"/>
          <w:sz w:val="24"/>
          <w:lang w:val="en-US" w:eastAsia="zh-CN"/>
        </w:rPr>
      </w:pPr>
    </w:p>
    <w:p w14:paraId="175A4C06">
      <w:pPr>
        <w:tabs>
          <w:tab w:val="left" w:pos="0"/>
        </w:tabs>
        <w:spacing w:line="360" w:lineRule="auto"/>
        <w:jc w:val="center"/>
        <w:rPr>
          <w:rFonts w:ascii="仿宋" w:hAnsi="仿宋" w:eastAsia="仿宋" w:cs="仿宋"/>
          <w:b/>
          <w:color w:val="auto"/>
        </w:rPr>
      </w:pPr>
      <w:r>
        <w:rPr>
          <w:rFonts w:hint="eastAsia" w:ascii="仿宋" w:hAnsi="仿宋" w:eastAsia="仿宋" w:cs="仿宋"/>
          <w:b/>
          <w:color w:val="auto"/>
          <w:sz w:val="24"/>
        </w:rPr>
        <w:t>第三章  合同文本</w:t>
      </w:r>
    </w:p>
    <w:p w14:paraId="5D9B3D88">
      <w:pPr>
        <w:spacing w:line="360" w:lineRule="auto"/>
        <w:ind w:left="1260" w:hanging="1260" w:hangingChars="600"/>
        <w:rPr>
          <w:rFonts w:hint="eastAsia" w:ascii="仿宋" w:hAnsi="仿宋" w:eastAsia="仿宋"/>
          <w:color w:val="auto"/>
          <w:lang w:eastAsia="zh-CN"/>
        </w:rPr>
      </w:pPr>
      <w:r>
        <w:rPr>
          <w:rFonts w:hint="eastAsia" w:ascii="仿宋" w:hAnsi="仿宋" w:eastAsia="仿宋" w:cs="仿宋"/>
          <w:color w:val="auto"/>
        </w:rPr>
        <w:t>项</w:t>
      </w:r>
      <w:r>
        <w:rPr>
          <w:rFonts w:hint="eastAsia" w:ascii="仿宋" w:hAnsi="仿宋" w:eastAsia="仿宋"/>
          <w:color w:val="auto"/>
        </w:rPr>
        <w:t>目名称：</w:t>
      </w:r>
      <w:r>
        <w:rPr>
          <w:rFonts w:hint="eastAsia" w:ascii="仿宋" w:hAnsi="仿宋" w:eastAsia="仿宋"/>
          <w:color w:val="auto"/>
          <w:lang w:eastAsia="zh-CN"/>
        </w:rPr>
        <w:t>梁弄镇白水冲村P2.5彩LED显示屏及音响设备采购项目</w:t>
      </w:r>
    </w:p>
    <w:p w14:paraId="72FBBF9F">
      <w:pPr>
        <w:pStyle w:val="28"/>
        <w:snapToGrid w:val="0"/>
        <w:spacing w:before="120" w:after="120" w:line="360" w:lineRule="auto"/>
        <w:rPr>
          <w:rFonts w:hint="eastAsia" w:ascii="仿宋" w:hAnsi="仿宋" w:eastAsia="仿宋"/>
          <w:color w:val="auto"/>
          <w:szCs w:val="21"/>
          <w:lang w:eastAsia="zh-CN"/>
        </w:rPr>
      </w:pPr>
      <w:r>
        <w:rPr>
          <w:rFonts w:hint="eastAsia" w:ascii="仿宋" w:hAnsi="仿宋" w:eastAsia="仿宋"/>
          <w:color w:val="auto"/>
          <w:szCs w:val="21"/>
        </w:rPr>
        <w:t>项目编号：</w:t>
      </w:r>
      <w:r>
        <w:rPr>
          <w:rFonts w:hint="eastAsia" w:ascii="仿宋" w:hAnsi="仿宋" w:eastAsia="仿宋"/>
          <w:color w:val="auto"/>
          <w:szCs w:val="21"/>
          <w:lang w:eastAsia="zh-CN"/>
        </w:rPr>
        <w:t xml:space="preserve">NBXC-2025-003   </w:t>
      </w:r>
    </w:p>
    <w:p w14:paraId="599BD533">
      <w:pPr>
        <w:pStyle w:val="28"/>
        <w:snapToGrid w:val="0"/>
        <w:spacing w:before="120" w:after="120" w:line="360" w:lineRule="auto"/>
        <w:rPr>
          <w:rFonts w:hint="eastAsia" w:ascii="仿宋" w:hAnsi="仿宋" w:eastAsia="仿宋"/>
          <w:color w:val="auto"/>
          <w:szCs w:val="21"/>
          <w:lang w:eastAsia="zh-CN"/>
        </w:rPr>
      </w:pPr>
      <w:r>
        <w:rPr>
          <w:rFonts w:hint="eastAsia" w:ascii="仿宋" w:hAnsi="仿宋" w:eastAsia="仿宋"/>
          <w:color w:val="auto"/>
          <w:szCs w:val="21"/>
        </w:rPr>
        <w:t>甲方：（买方）</w:t>
      </w:r>
      <w:r>
        <w:rPr>
          <w:rFonts w:hint="eastAsia" w:ascii="仿宋" w:hAnsi="仿宋" w:eastAsia="仿宋"/>
          <w:color w:val="auto"/>
          <w:szCs w:val="21"/>
          <w:lang w:eastAsia="zh-CN"/>
        </w:rPr>
        <w:t>余姚市梁弄镇白水冲村股份经济合作社</w:t>
      </w:r>
    </w:p>
    <w:p w14:paraId="53B72F7B">
      <w:pPr>
        <w:pStyle w:val="28"/>
        <w:snapToGrid w:val="0"/>
        <w:spacing w:before="120" w:after="120" w:line="360" w:lineRule="auto"/>
        <w:rPr>
          <w:rFonts w:ascii="仿宋" w:hAnsi="仿宋" w:eastAsia="仿宋"/>
          <w:color w:val="auto"/>
          <w:szCs w:val="21"/>
        </w:rPr>
      </w:pPr>
      <w:r>
        <w:rPr>
          <w:rFonts w:hint="eastAsia" w:ascii="仿宋" w:hAnsi="仿宋" w:eastAsia="仿宋"/>
          <w:color w:val="auto"/>
          <w:szCs w:val="21"/>
        </w:rPr>
        <w:t>乙方：（卖方）</w:t>
      </w:r>
    </w:p>
    <w:p w14:paraId="7F1FD74C">
      <w:pPr>
        <w:spacing w:line="360" w:lineRule="auto"/>
        <w:rPr>
          <w:rFonts w:ascii="仿宋" w:hAnsi="仿宋" w:eastAsia="仿宋"/>
          <w:color w:val="auto"/>
        </w:rPr>
      </w:pPr>
      <w:r>
        <w:rPr>
          <w:rFonts w:hint="eastAsia" w:ascii="仿宋" w:hAnsi="仿宋" w:eastAsia="仿宋"/>
          <w:color w:val="auto"/>
        </w:rPr>
        <w:t xml:space="preserve">   甲、乙双方根据</w:t>
      </w:r>
      <w:r>
        <w:rPr>
          <w:rFonts w:hint="eastAsia" w:ascii="仿宋" w:hAnsi="仿宋" w:eastAsia="仿宋"/>
          <w:color w:val="auto"/>
          <w:u w:val="single"/>
          <w:lang w:eastAsia="zh-CN"/>
        </w:rPr>
        <w:t>梁弄镇白水冲村P2.5彩LED显示屏及音响设备采购项目</w:t>
      </w:r>
      <w:r>
        <w:rPr>
          <w:rFonts w:hint="eastAsia" w:ascii="仿宋" w:hAnsi="仿宋" w:eastAsia="仿宋"/>
          <w:color w:val="auto"/>
        </w:rPr>
        <w:t>招标的结果，签署本合同。</w:t>
      </w:r>
    </w:p>
    <w:p w14:paraId="118F8A27">
      <w:pPr>
        <w:pStyle w:val="28"/>
        <w:snapToGrid w:val="0"/>
        <w:spacing w:line="360" w:lineRule="auto"/>
        <w:rPr>
          <w:rFonts w:ascii="仿宋" w:hAnsi="仿宋" w:eastAsia="仿宋"/>
          <w:color w:val="auto"/>
          <w:szCs w:val="21"/>
        </w:rPr>
      </w:pPr>
      <w:r>
        <w:rPr>
          <w:rFonts w:ascii="仿宋" w:hAnsi="仿宋" w:eastAsia="仿宋"/>
          <w:b/>
          <w:color w:val="auto"/>
          <w:szCs w:val="21"/>
        </w:rPr>
        <w:t>一、</w:t>
      </w:r>
      <w:r>
        <w:rPr>
          <w:rFonts w:hint="eastAsia" w:ascii="仿宋" w:hAnsi="仿宋" w:eastAsia="仿宋"/>
          <w:b/>
          <w:color w:val="auto"/>
          <w:szCs w:val="21"/>
        </w:rPr>
        <w:t>采购内容及要求：</w:t>
      </w:r>
      <w:r>
        <w:rPr>
          <w:rFonts w:hint="eastAsia" w:ascii="仿宋" w:hAnsi="仿宋" w:eastAsia="仿宋"/>
          <w:color w:val="auto"/>
          <w:szCs w:val="21"/>
        </w:rPr>
        <w:t>具体详见招标文件第五章（另附）及乙方的投标承诺；</w:t>
      </w:r>
    </w:p>
    <w:p w14:paraId="59ED0C5A">
      <w:pPr>
        <w:pStyle w:val="17"/>
        <w:spacing w:line="360" w:lineRule="auto"/>
        <w:rPr>
          <w:rFonts w:ascii="仿宋" w:hAnsi="仿宋" w:eastAsia="仿宋"/>
          <w:b/>
          <w:color w:val="auto"/>
        </w:rPr>
      </w:pPr>
      <w:r>
        <w:rPr>
          <w:rFonts w:hint="eastAsia" w:ascii="仿宋" w:hAnsi="仿宋" w:eastAsia="仿宋"/>
          <w:b/>
          <w:color w:val="auto"/>
        </w:rPr>
        <w:t>二、货物内容：</w:t>
      </w:r>
    </w:p>
    <w:tbl>
      <w:tblPr>
        <w:tblStyle w:val="49"/>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7"/>
        <w:gridCol w:w="2126"/>
        <w:gridCol w:w="1276"/>
        <w:gridCol w:w="709"/>
        <w:gridCol w:w="804"/>
        <w:gridCol w:w="1685"/>
        <w:gridCol w:w="1621"/>
      </w:tblGrid>
      <w:tr w14:paraId="1F83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737" w:type="dxa"/>
            <w:tcMar>
              <w:top w:w="15" w:type="dxa"/>
              <w:left w:w="15" w:type="dxa"/>
              <w:bottom w:w="0" w:type="dxa"/>
              <w:right w:w="15" w:type="dxa"/>
            </w:tcMar>
            <w:vAlign w:val="center"/>
          </w:tcPr>
          <w:p w14:paraId="609837D7">
            <w:pPr>
              <w:spacing w:line="320" w:lineRule="exact"/>
              <w:jc w:val="center"/>
              <w:rPr>
                <w:rFonts w:ascii="仿宋" w:hAnsi="仿宋" w:eastAsia="仿宋"/>
                <w:b/>
                <w:bCs/>
                <w:color w:val="auto"/>
              </w:rPr>
            </w:pPr>
            <w:r>
              <w:rPr>
                <w:rFonts w:hint="eastAsia" w:ascii="仿宋" w:hAnsi="仿宋" w:eastAsia="仿宋"/>
                <w:b/>
                <w:bCs/>
                <w:color w:val="auto"/>
              </w:rPr>
              <w:t>序号</w:t>
            </w:r>
          </w:p>
        </w:tc>
        <w:tc>
          <w:tcPr>
            <w:tcW w:w="2126" w:type="dxa"/>
            <w:tcMar>
              <w:top w:w="15" w:type="dxa"/>
              <w:left w:w="15" w:type="dxa"/>
              <w:bottom w:w="0" w:type="dxa"/>
              <w:right w:w="15" w:type="dxa"/>
            </w:tcMar>
            <w:vAlign w:val="center"/>
          </w:tcPr>
          <w:p w14:paraId="5B0AF31B">
            <w:pPr>
              <w:spacing w:line="320" w:lineRule="exact"/>
              <w:jc w:val="center"/>
              <w:rPr>
                <w:rFonts w:ascii="仿宋" w:hAnsi="仿宋" w:eastAsia="仿宋"/>
                <w:b/>
                <w:bCs/>
                <w:color w:val="auto"/>
              </w:rPr>
            </w:pPr>
            <w:r>
              <w:rPr>
                <w:rFonts w:hint="eastAsia" w:ascii="仿宋" w:hAnsi="仿宋" w:eastAsia="仿宋"/>
                <w:b/>
                <w:bCs/>
                <w:color w:val="auto"/>
              </w:rPr>
              <w:t>产 品 名 称</w:t>
            </w:r>
          </w:p>
        </w:tc>
        <w:tc>
          <w:tcPr>
            <w:tcW w:w="1276" w:type="dxa"/>
            <w:tcMar>
              <w:top w:w="15" w:type="dxa"/>
              <w:left w:w="15" w:type="dxa"/>
              <w:bottom w:w="0" w:type="dxa"/>
              <w:right w:w="15" w:type="dxa"/>
            </w:tcMar>
            <w:vAlign w:val="center"/>
          </w:tcPr>
          <w:p w14:paraId="1F3F2744">
            <w:pPr>
              <w:spacing w:line="320" w:lineRule="exact"/>
              <w:jc w:val="center"/>
              <w:rPr>
                <w:rFonts w:ascii="仿宋" w:hAnsi="仿宋" w:eastAsia="仿宋"/>
                <w:b/>
                <w:bCs/>
                <w:color w:val="auto"/>
              </w:rPr>
            </w:pPr>
            <w:r>
              <w:rPr>
                <w:rFonts w:hint="eastAsia" w:ascii="仿宋" w:hAnsi="仿宋" w:eastAsia="仿宋"/>
                <w:b/>
                <w:bCs/>
                <w:color w:val="auto"/>
              </w:rPr>
              <w:t>规格型号</w:t>
            </w:r>
          </w:p>
        </w:tc>
        <w:tc>
          <w:tcPr>
            <w:tcW w:w="709" w:type="dxa"/>
            <w:tcMar>
              <w:top w:w="15" w:type="dxa"/>
              <w:left w:w="15" w:type="dxa"/>
              <w:bottom w:w="0" w:type="dxa"/>
              <w:right w:w="15" w:type="dxa"/>
            </w:tcMar>
            <w:vAlign w:val="center"/>
          </w:tcPr>
          <w:p w14:paraId="2C05FDD6">
            <w:pPr>
              <w:spacing w:line="320" w:lineRule="exact"/>
              <w:jc w:val="center"/>
              <w:rPr>
                <w:rFonts w:ascii="仿宋" w:hAnsi="仿宋" w:eastAsia="仿宋"/>
                <w:b/>
                <w:bCs/>
                <w:color w:val="auto"/>
              </w:rPr>
            </w:pPr>
            <w:r>
              <w:rPr>
                <w:rFonts w:hint="eastAsia" w:ascii="仿宋" w:hAnsi="仿宋" w:eastAsia="仿宋"/>
                <w:b/>
                <w:bCs/>
                <w:color w:val="auto"/>
              </w:rPr>
              <w:t>单位</w:t>
            </w:r>
          </w:p>
        </w:tc>
        <w:tc>
          <w:tcPr>
            <w:tcW w:w="804" w:type="dxa"/>
            <w:tcMar>
              <w:top w:w="15" w:type="dxa"/>
              <w:left w:w="15" w:type="dxa"/>
              <w:bottom w:w="0" w:type="dxa"/>
              <w:right w:w="15" w:type="dxa"/>
            </w:tcMar>
            <w:vAlign w:val="center"/>
          </w:tcPr>
          <w:p w14:paraId="30F13D46">
            <w:pPr>
              <w:spacing w:line="320" w:lineRule="exact"/>
              <w:jc w:val="center"/>
              <w:rPr>
                <w:rFonts w:ascii="仿宋" w:hAnsi="仿宋" w:eastAsia="仿宋"/>
                <w:b/>
                <w:bCs/>
                <w:color w:val="auto"/>
              </w:rPr>
            </w:pPr>
            <w:r>
              <w:rPr>
                <w:rFonts w:hint="eastAsia" w:ascii="仿宋" w:hAnsi="仿宋" w:eastAsia="仿宋"/>
                <w:b/>
                <w:bCs/>
                <w:color w:val="auto"/>
              </w:rPr>
              <w:t>数量</w:t>
            </w:r>
          </w:p>
        </w:tc>
        <w:tc>
          <w:tcPr>
            <w:tcW w:w="1685" w:type="dxa"/>
            <w:tcMar>
              <w:top w:w="15" w:type="dxa"/>
              <w:left w:w="15" w:type="dxa"/>
              <w:bottom w:w="0" w:type="dxa"/>
              <w:right w:w="15" w:type="dxa"/>
            </w:tcMar>
            <w:vAlign w:val="center"/>
          </w:tcPr>
          <w:p w14:paraId="67DFD1B9">
            <w:pPr>
              <w:spacing w:line="320" w:lineRule="exact"/>
              <w:jc w:val="center"/>
              <w:rPr>
                <w:rFonts w:ascii="仿宋" w:hAnsi="仿宋" w:eastAsia="仿宋"/>
                <w:b/>
                <w:bCs/>
                <w:color w:val="auto"/>
              </w:rPr>
            </w:pPr>
            <w:r>
              <w:rPr>
                <w:rFonts w:hint="eastAsia" w:ascii="仿宋" w:hAnsi="仿宋" w:eastAsia="仿宋"/>
                <w:b/>
                <w:bCs/>
                <w:color w:val="auto"/>
              </w:rPr>
              <w:t>单价（元）</w:t>
            </w:r>
          </w:p>
        </w:tc>
        <w:tc>
          <w:tcPr>
            <w:tcW w:w="1621" w:type="dxa"/>
            <w:tcMar>
              <w:top w:w="15" w:type="dxa"/>
              <w:left w:w="15" w:type="dxa"/>
              <w:bottom w:w="0" w:type="dxa"/>
              <w:right w:w="15" w:type="dxa"/>
            </w:tcMar>
            <w:vAlign w:val="center"/>
          </w:tcPr>
          <w:p w14:paraId="143206F7">
            <w:pPr>
              <w:spacing w:line="320" w:lineRule="exact"/>
              <w:jc w:val="center"/>
              <w:rPr>
                <w:rFonts w:ascii="仿宋" w:hAnsi="仿宋" w:eastAsia="仿宋"/>
                <w:b/>
                <w:bCs/>
                <w:color w:val="auto"/>
              </w:rPr>
            </w:pPr>
            <w:r>
              <w:rPr>
                <w:rFonts w:hint="eastAsia" w:ascii="仿宋" w:hAnsi="仿宋" w:eastAsia="仿宋"/>
                <w:b/>
                <w:bCs/>
                <w:color w:val="auto"/>
              </w:rPr>
              <w:t>成交总价（元）</w:t>
            </w:r>
          </w:p>
        </w:tc>
      </w:tr>
      <w:tr w14:paraId="3447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jc w:val="center"/>
        </w:trPr>
        <w:tc>
          <w:tcPr>
            <w:tcW w:w="737" w:type="dxa"/>
            <w:tcMar>
              <w:top w:w="15" w:type="dxa"/>
              <w:left w:w="15" w:type="dxa"/>
              <w:bottom w:w="0" w:type="dxa"/>
              <w:right w:w="15" w:type="dxa"/>
            </w:tcMar>
            <w:vAlign w:val="center"/>
          </w:tcPr>
          <w:p w14:paraId="639835A9">
            <w:pPr>
              <w:jc w:val="center"/>
              <w:rPr>
                <w:rFonts w:ascii="仿宋" w:hAnsi="仿宋" w:eastAsia="仿宋"/>
                <w:b/>
                <w:color w:val="auto"/>
              </w:rPr>
            </w:pPr>
            <w:r>
              <w:rPr>
                <w:rFonts w:hint="eastAsia" w:ascii="仿宋" w:hAnsi="仿宋" w:eastAsia="仿宋"/>
                <w:b/>
                <w:color w:val="auto"/>
              </w:rPr>
              <w:t>1</w:t>
            </w:r>
          </w:p>
        </w:tc>
        <w:tc>
          <w:tcPr>
            <w:tcW w:w="2126" w:type="dxa"/>
            <w:tcMar>
              <w:top w:w="15" w:type="dxa"/>
              <w:left w:w="15" w:type="dxa"/>
              <w:bottom w:w="0" w:type="dxa"/>
              <w:right w:w="15" w:type="dxa"/>
            </w:tcMar>
            <w:vAlign w:val="center"/>
          </w:tcPr>
          <w:p w14:paraId="60099B7A">
            <w:pPr>
              <w:jc w:val="center"/>
              <w:rPr>
                <w:rFonts w:ascii="仿宋" w:hAnsi="仿宋" w:eastAsia="仿宋"/>
                <w:b/>
                <w:color w:val="auto"/>
              </w:rPr>
            </w:pPr>
          </w:p>
        </w:tc>
        <w:tc>
          <w:tcPr>
            <w:tcW w:w="1276" w:type="dxa"/>
            <w:tcMar>
              <w:top w:w="15" w:type="dxa"/>
              <w:left w:w="15" w:type="dxa"/>
              <w:bottom w:w="0" w:type="dxa"/>
              <w:right w:w="15" w:type="dxa"/>
            </w:tcMar>
            <w:vAlign w:val="center"/>
          </w:tcPr>
          <w:p w14:paraId="1C293D5D">
            <w:pPr>
              <w:jc w:val="center"/>
              <w:rPr>
                <w:rFonts w:ascii="仿宋" w:hAnsi="仿宋" w:eastAsia="仿宋"/>
                <w:b/>
                <w:color w:val="auto"/>
              </w:rPr>
            </w:pPr>
          </w:p>
        </w:tc>
        <w:tc>
          <w:tcPr>
            <w:tcW w:w="709" w:type="dxa"/>
            <w:tcMar>
              <w:top w:w="15" w:type="dxa"/>
              <w:left w:w="15" w:type="dxa"/>
              <w:bottom w:w="0" w:type="dxa"/>
              <w:right w:w="15" w:type="dxa"/>
            </w:tcMar>
            <w:vAlign w:val="center"/>
          </w:tcPr>
          <w:p w14:paraId="64B81612">
            <w:pPr>
              <w:jc w:val="center"/>
              <w:rPr>
                <w:rFonts w:ascii="仿宋" w:hAnsi="仿宋" w:eastAsia="仿宋"/>
                <w:b/>
                <w:color w:val="auto"/>
              </w:rPr>
            </w:pPr>
          </w:p>
        </w:tc>
        <w:tc>
          <w:tcPr>
            <w:tcW w:w="804" w:type="dxa"/>
            <w:tcMar>
              <w:top w:w="15" w:type="dxa"/>
              <w:left w:w="15" w:type="dxa"/>
              <w:bottom w:w="0" w:type="dxa"/>
              <w:right w:w="15" w:type="dxa"/>
            </w:tcMar>
            <w:vAlign w:val="center"/>
          </w:tcPr>
          <w:p w14:paraId="4B7BEEFA">
            <w:pPr>
              <w:jc w:val="center"/>
              <w:rPr>
                <w:rFonts w:ascii="仿宋" w:hAnsi="仿宋" w:eastAsia="仿宋"/>
                <w:b/>
                <w:color w:val="auto"/>
              </w:rPr>
            </w:pPr>
          </w:p>
        </w:tc>
        <w:tc>
          <w:tcPr>
            <w:tcW w:w="1685" w:type="dxa"/>
            <w:tcMar>
              <w:top w:w="15" w:type="dxa"/>
              <w:left w:w="15" w:type="dxa"/>
              <w:bottom w:w="0" w:type="dxa"/>
              <w:right w:w="15" w:type="dxa"/>
            </w:tcMar>
            <w:vAlign w:val="center"/>
          </w:tcPr>
          <w:p w14:paraId="000C932C">
            <w:pPr>
              <w:jc w:val="center"/>
              <w:rPr>
                <w:rFonts w:ascii="仿宋" w:hAnsi="仿宋" w:eastAsia="仿宋"/>
                <w:b/>
                <w:color w:val="auto"/>
              </w:rPr>
            </w:pPr>
          </w:p>
        </w:tc>
        <w:tc>
          <w:tcPr>
            <w:tcW w:w="1621" w:type="dxa"/>
            <w:tcMar>
              <w:top w:w="15" w:type="dxa"/>
              <w:left w:w="15" w:type="dxa"/>
              <w:bottom w:w="0" w:type="dxa"/>
              <w:right w:w="15" w:type="dxa"/>
            </w:tcMar>
            <w:vAlign w:val="center"/>
          </w:tcPr>
          <w:p w14:paraId="04457B4A">
            <w:pPr>
              <w:jc w:val="center"/>
              <w:rPr>
                <w:rFonts w:ascii="仿宋" w:hAnsi="仿宋" w:eastAsia="仿宋"/>
                <w:b/>
                <w:color w:val="auto"/>
              </w:rPr>
            </w:pPr>
          </w:p>
        </w:tc>
      </w:tr>
      <w:tr w14:paraId="219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737" w:type="dxa"/>
            <w:tcMar>
              <w:top w:w="15" w:type="dxa"/>
              <w:left w:w="15" w:type="dxa"/>
              <w:bottom w:w="0" w:type="dxa"/>
              <w:right w:w="15" w:type="dxa"/>
            </w:tcMar>
            <w:vAlign w:val="center"/>
          </w:tcPr>
          <w:p w14:paraId="72F4679D">
            <w:pPr>
              <w:jc w:val="center"/>
              <w:rPr>
                <w:rFonts w:ascii="仿宋" w:hAnsi="仿宋" w:eastAsia="仿宋"/>
                <w:color w:val="auto"/>
              </w:rPr>
            </w:pPr>
            <w:r>
              <w:rPr>
                <w:rFonts w:hint="eastAsia" w:ascii="仿宋" w:hAnsi="仿宋" w:eastAsia="仿宋"/>
                <w:color w:val="auto"/>
              </w:rPr>
              <w:t>2</w:t>
            </w:r>
          </w:p>
        </w:tc>
        <w:tc>
          <w:tcPr>
            <w:tcW w:w="2126" w:type="dxa"/>
            <w:tcMar>
              <w:top w:w="15" w:type="dxa"/>
              <w:left w:w="15" w:type="dxa"/>
              <w:bottom w:w="0" w:type="dxa"/>
              <w:right w:w="15" w:type="dxa"/>
            </w:tcMar>
            <w:vAlign w:val="center"/>
          </w:tcPr>
          <w:p w14:paraId="1F752A36">
            <w:pPr>
              <w:jc w:val="center"/>
              <w:rPr>
                <w:rFonts w:ascii="仿宋" w:hAnsi="仿宋" w:eastAsia="仿宋"/>
                <w:color w:val="auto"/>
              </w:rPr>
            </w:pPr>
          </w:p>
        </w:tc>
        <w:tc>
          <w:tcPr>
            <w:tcW w:w="1276" w:type="dxa"/>
            <w:tcMar>
              <w:top w:w="15" w:type="dxa"/>
              <w:left w:w="15" w:type="dxa"/>
              <w:bottom w:w="0" w:type="dxa"/>
              <w:right w:w="15" w:type="dxa"/>
            </w:tcMar>
            <w:vAlign w:val="center"/>
          </w:tcPr>
          <w:p w14:paraId="146C7C16">
            <w:pPr>
              <w:jc w:val="center"/>
              <w:rPr>
                <w:rFonts w:ascii="仿宋" w:hAnsi="仿宋" w:eastAsia="仿宋"/>
                <w:color w:val="auto"/>
              </w:rPr>
            </w:pPr>
          </w:p>
        </w:tc>
        <w:tc>
          <w:tcPr>
            <w:tcW w:w="709" w:type="dxa"/>
            <w:tcMar>
              <w:top w:w="15" w:type="dxa"/>
              <w:left w:w="15" w:type="dxa"/>
              <w:bottom w:w="0" w:type="dxa"/>
              <w:right w:w="15" w:type="dxa"/>
            </w:tcMar>
            <w:vAlign w:val="center"/>
          </w:tcPr>
          <w:p w14:paraId="13310FB6">
            <w:pPr>
              <w:jc w:val="center"/>
              <w:rPr>
                <w:rFonts w:ascii="仿宋" w:hAnsi="仿宋" w:eastAsia="仿宋"/>
                <w:color w:val="auto"/>
              </w:rPr>
            </w:pPr>
          </w:p>
        </w:tc>
        <w:tc>
          <w:tcPr>
            <w:tcW w:w="804" w:type="dxa"/>
            <w:tcMar>
              <w:top w:w="15" w:type="dxa"/>
              <w:left w:w="15" w:type="dxa"/>
              <w:bottom w:w="0" w:type="dxa"/>
              <w:right w:w="15" w:type="dxa"/>
            </w:tcMar>
            <w:vAlign w:val="center"/>
          </w:tcPr>
          <w:p w14:paraId="46A97ADA">
            <w:pPr>
              <w:jc w:val="center"/>
              <w:rPr>
                <w:rFonts w:ascii="仿宋" w:hAnsi="仿宋" w:eastAsia="仿宋"/>
                <w:color w:val="auto"/>
              </w:rPr>
            </w:pPr>
          </w:p>
        </w:tc>
        <w:tc>
          <w:tcPr>
            <w:tcW w:w="1685" w:type="dxa"/>
            <w:tcMar>
              <w:top w:w="15" w:type="dxa"/>
              <w:left w:w="15" w:type="dxa"/>
              <w:bottom w:w="0" w:type="dxa"/>
              <w:right w:w="15" w:type="dxa"/>
            </w:tcMar>
            <w:vAlign w:val="center"/>
          </w:tcPr>
          <w:p w14:paraId="7283A8E6">
            <w:pPr>
              <w:jc w:val="center"/>
              <w:rPr>
                <w:rFonts w:ascii="仿宋" w:hAnsi="仿宋" w:eastAsia="仿宋"/>
                <w:color w:val="auto"/>
              </w:rPr>
            </w:pPr>
          </w:p>
        </w:tc>
        <w:tc>
          <w:tcPr>
            <w:tcW w:w="1621" w:type="dxa"/>
            <w:tcMar>
              <w:top w:w="15" w:type="dxa"/>
              <w:left w:w="15" w:type="dxa"/>
              <w:bottom w:w="0" w:type="dxa"/>
              <w:right w:w="15" w:type="dxa"/>
            </w:tcMar>
            <w:vAlign w:val="center"/>
          </w:tcPr>
          <w:p w14:paraId="03C5E759">
            <w:pPr>
              <w:jc w:val="center"/>
              <w:rPr>
                <w:rFonts w:ascii="仿宋" w:hAnsi="仿宋" w:eastAsia="仿宋"/>
                <w:color w:val="auto"/>
              </w:rPr>
            </w:pPr>
          </w:p>
        </w:tc>
      </w:tr>
    </w:tbl>
    <w:p w14:paraId="71EE3B89">
      <w:pPr>
        <w:pStyle w:val="18"/>
        <w:ind w:firstLine="0" w:firstLineChars="0"/>
        <w:rPr>
          <w:rFonts w:ascii="仿宋" w:hAnsi="仿宋" w:eastAsia="仿宋"/>
          <w:b/>
          <w:color w:val="auto"/>
          <w:szCs w:val="21"/>
        </w:rPr>
      </w:pPr>
    </w:p>
    <w:p w14:paraId="157B9231">
      <w:pPr>
        <w:pStyle w:val="17"/>
        <w:rPr>
          <w:rFonts w:ascii="仿宋" w:hAnsi="仿宋" w:eastAsia="仿宋"/>
          <w:b/>
          <w:color w:val="auto"/>
        </w:rPr>
      </w:pPr>
      <w:r>
        <w:rPr>
          <w:rFonts w:ascii="仿宋" w:hAnsi="仿宋" w:eastAsia="仿宋"/>
          <w:b/>
          <w:color w:val="auto"/>
        </w:rPr>
        <w:t>三、合同金额：</w:t>
      </w:r>
    </w:p>
    <w:p w14:paraId="198D5A4B">
      <w:pPr>
        <w:pStyle w:val="28"/>
        <w:snapToGrid w:val="0"/>
        <w:spacing w:line="420" w:lineRule="exact"/>
        <w:ind w:left="359" w:hanging="359" w:hangingChars="171"/>
        <w:rPr>
          <w:rFonts w:ascii="仿宋" w:hAnsi="仿宋" w:eastAsia="仿宋"/>
          <w:color w:val="auto"/>
          <w:szCs w:val="21"/>
        </w:rPr>
      </w:pPr>
      <w:r>
        <w:rPr>
          <w:rFonts w:hint="eastAsia" w:ascii="仿宋" w:hAnsi="仿宋" w:eastAsia="仿宋"/>
          <w:color w:val="auto"/>
          <w:szCs w:val="21"/>
        </w:rPr>
        <w:t>本合同金额为（大写）：__________________元（￥________元）人民币。</w:t>
      </w:r>
    </w:p>
    <w:p w14:paraId="17913777">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四</w:t>
      </w:r>
      <w:r>
        <w:rPr>
          <w:rFonts w:ascii="仿宋" w:hAnsi="仿宋" w:eastAsia="仿宋"/>
          <w:b/>
          <w:color w:val="auto"/>
          <w:szCs w:val="21"/>
        </w:rPr>
        <w:t>、知识产权</w:t>
      </w:r>
    </w:p>
    <w:p w14:paraId="2E73F429">
      <w:pPr>
        <w:pStyle w:val="28"/>
        <w:snapToGrid w:val="0"/>
        <w:spacing w:line="420" w:lineRule="exact"/>
        <w:ind w:left="359" w:hanging="359" w:hangingChars="171"/>
        <w:rPr>
          <w:rFonts w:ascii="仿宋" w:hAnsi="仿宋" w:eastAsia="仿宋"/>
          <w:color w:val="auto"/>
          <w:szCs w:val="21"/>
        </w:rPr>
      </w:pPr>
      <w:r>
        <w:rPr>
          <w:rFonts w:ascii="仿宋" w:hAnsi="仿宋" w:eastAsia="仿宋"/>
          <w:color w:val="auto"/>
          <w:szCs w:val="21"/>
        </w:rPr>
        <w:t>乙方应保证所提供的货物或其任何一部分均不会侵犯任何第三方的知识产权</w:t>
      </w:r>
      <w:r>
        <w:rPr>
          <w:rFonts w:hint="eastAsia" w:ascii="仿宋" w:hAnsi="仿宋" w:eastAsia="仿宋"/>
          <w:color w:val="auto"/>
          <w:szCs w:val="21"/>
        </w:rPr>
        <w:t>，</w:t>
      </w:r>
      <w:r>
        <w:rPr>
          <w:rFonts w:ascii="仿宋" w:hAnsi="仿宋" w:eastAsia="仿宋"/>
          <w:color w:val="auto"/>
          <w:szCs w:val="21"/>
        </w:rPr>
        <w:t>倘若发生有关的诉</w:t>
      </w:r>
    </w:p>
    <w:p w14:paraId="575A7AD3">
      <w:pPr>
        <w:pStyle w:val="28"/>
        <w:snapToGrid w:val="0"/>
        <w:spacing w:line="420" w:lineRule="exact"/>
        <w:ind w:left="359" w:hanging="359" w:hangingChars="171"/>
        <w:rPr>
          <w:rFonts w:ascii="仿宋" w:hAnsi="仿宋" w:eastAsia="仿宋"/>
          <w:color w:val="auto"/>
          <w:szCs w:val="21"/>
        </w:rPr>
      </w:pPr>
      <w:r>
        <w:rPr>
          <w:rFonts w:ascii="仿宋" w:hAnsi="仿宋" w:eastAsia="仿宋"/>
          <w:color w:val="auto"/>
          <w:szCs w:val="21"/>
        </w:rPr>
        <w:t>讼，完全由</w:t>
      </w:r>
      <w:r>
        <w:rPr>
          <w:rFonts w:hint="eastAsia" w:ascii="仿宋" w:hAnsi="仿宋" w:eastAsia="仿宋"/>
          <w:color w:val="auto"/>
          <w:szCs w:val="21"/>
        </w:rPr>
        <w:t>乙方</w:t>
      </w:r>
      <w:r>
        <w:rPr>
          <w:rFonts w:ascii="仿宋" w:hAnsi="仿宋" w:eastAsia="仿宋"/>
          <w:color w:val="auto"/>
          <w:szCs w:val="21"/>
        </w:rPr>
        <w:t>应诉并承担</w:t>
      </w:r>
      <w:r>
        <w:rPr>
          <w:rFonts w:hint="eastAsia" w:ascii="仿宋" w:hAnsi="仿宋" w:eastAsia="仿宋"/>
          <w:color w:val="auto"/>
          <w:szCs w:val="21"/>
        </w:rPr>
        <w:t>全部</w:t>
      </w:r>
      <w:r>
        <w:rPr>
          <w:rFonts w:ascii="仿宋" w:hAnsi="仿宋" w:eastAsia="仿宋"/>
          <w:color w:val="auto"/>
          <w:szCs w:val="21"/>
        </w:rPr>
        <w:t>法律责任</w:t>
      </w:r>
      <w:r>
        <w:rPr>
          <w:rFonts w:hint="eastAsia" w:ascii="仿宋" w:hAnsi="仿宋" w:eastAsia="仿宋"/>
          <w:color w:val="auto"/>
          <w:szCs w:val="21"/>
        </w:rPr>
        <w:t>和相关费用</w:t>
      </w:r>
      <w:r>
        <w:rPr>
          <w:rFonts w:ascii="仿宋" w:hAnsi="仿宋" w:eastAsia="仿宋"/>
          <w:color w:val="auto"/>
          <w:szCs w:val="21"/>
        </w:rPr>
        <w:t>。</w:t>
      </w:r>
    </w:p>
    <w:p w14:paraId="27308E32">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五</w:t>
      </w:r>
      <w:r>
        <w:rPr>
          <w:rFonts w:ascii="仿宋" w:hAnsi="仿宋" w:eastAsia="仿宋"/>
          <w:b/>
          <w:color w:val="auto"/>
          <w:szCs w:val="21"/>
        </w:rPr>
        <w:t>、产权担保</w:t>
      </w:r>
    </w:p>
    <w:p w14:paraId="1E243590">
      <w:pPr>
        <w:pStyle w:val="28"/>
        <w:snapToGrid w:val="0"/>
        <w:spacing w:line="420" w:lineRule="exact"/>
        <w:ind w:left="359" w:hanging="359" w:hangingChars="171"/>
        <w:rPr>
          <w:rFonts w:ascii="仿宋" w:hAnsi="仿宋" w:eastAsia="仿宋"/>
          <w:color w:val="auto"/>
          <w:szCs w:val="21"/>
        </w:rPr>
      </w:pPr>
      <w:r>
        <w:rPr>
          <w:rFonts w:ascii="仿宋" w:hAnsi="仿宋" w:eastAsia="仿宋"/>
          <w:color w:val="auto"/>
          <w:szCs w:val="21"/>
        </w:rPr>
        <w:t>乙方保证所交付的货物的所有权完全属于乙方且无任何抵押、查封等产权瑕疵</w:t>
      </w:r>
      <w:r>
        <w:rPr>
          <w:rFonts w:hint="eastAsia" w:ascii="仿宋" w:hAnsi="仿宋" w:eastAsia="仿宋"/>
          <w:color w:val="auto"/>
          <w:szCs w:val="21"/>
        </w:rPr>
        <w:t>，</w:t>
      </w:r>
      <w:r>
        <w:rPr>
          <w:rFonts w:ascii="仿宋" w:hAnsi="仿宋" w:eastAsia="仿宋"/>
          <w:color w:val="auto"/>
          <w:szCs w:val="21"/>
        </w:rPr>
        <w:t>倘若发生有关的</w:t>
      </w:r>
    </w:p>
    <w:p w14:paraId="055CBCC3">
      <w:pPr>
        <w:pStyle w:val="28"/>
        <w:snapToGrid w:val="0"/>
        <w:spacing w:line="420" w:lineRule="exact"/>
        <w:ind w:left="359" w:hanging="359" w:hangingChars="171"/>
        <w:rPr>
          <w:rFonts w:ascii="仿宋" w:hAnsi="仿宋" w:eastAsia="仿宋"/>
          <w:color w:val="auto"/>
          <w:szCs w:val="21"/>
        </w:rPr>
      </w:pPr>
      <w:r>
        <w:rPr>
          <w:rFonts w:ascii="仿宋" w:hAnsi="仿宋" w:eastAsia="仿宋"/>
          <w:color w:val="auto"/>
          <w:szCs w:val="21"/>
        </w:rPr>
        <w:t>诉讼，完全由</w:t>
      </w:r>
      <w:r>
        <w:rPr>
          <w:rFonts w:hint="eastAsia" w:ascii="仿宋" w:hAnsi="仿宋" w:eastAsia="仿宋"/>
          <w:color w:val="auto"/>
          <w:szCs w:val="21"/>
        </w:rPr>
        <w:t>乙方</w:t>
      </w:r>
      <w:r>
        <w:rPr>
          <w:rFonts w:ascii="仿宋" w:hAnsi="仿宋" w:eastAsia="仿宋"/>
          <w:color w:val="auto"/>
          <w:szCs w:val="21"/>
        </w:rPr>
        <w:t>应诉并承担</w:t>
      </w:r>
      <w:r>
        <w:rPr>
          <w:rFonts w:hint="eastAsia" w:ascii="仿宋" w:hAnsi="仿宋" w:eastAsia="仿宋"/>
          <w:color w:val="auto"/>
          <w:szCs w:val="21"/>
        </w:rPr>
        <w:t>全部</w:t>
      </w:r>
      <w:r>
        <w:rPr>
          <w:rFonts w:ascii="仿宋" w:hAnsi="仿宋" w:eastAsia="仿宋"/>
          <w:color w:val="auto"/>
          <w:szCs w:val="21"/>
        </w:rPr>
        <w:t>法律责任</w:t>
      </w:r>
      <w:r>
        <w:rPr>
          <w:rFonts w:hint="eastAsia" w:ascii="仿宋" w:hAnsi="仿宋" w:eastAsia="仿宋"/>
          <w:color w:val="auto"/>
          <w:szCs w:val="21"/>
        </w:rPr>
        <w:t>和相关费用</w:t>
      </w:r>
      <w:r>
        <w:rPr>
          <w:rFonts w:ascii="仿宋" w:hAnsi="仿宋" w:eastAsia="仿宋"/>
          <w:color w:val="auto"/>
          <w:szCs w:val="21"/>
        </w:rPr>
        <w:t>。</w:t>
      </w:r>
    </w:p>
    <w:p w14:paraId="1EA512C5">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六、转包或分包</w:t>
      </w:r>
    </w:p>
    <w:p w14:paraId="58CB7F80">
      <w:pPr>
        <w:pStyle w:val="28"/>
        <w:snapToGrid w:val="0"/>
        <w:spacing w:line="420" w:lineRule="exact"/>
        <w:rPr>
          <w:rFonts w:ascii="仿宋" w:hAnsi="仿宋" w:eastAsia="仿宋"/>
          <w:color w:val="auto"/>
          <w:szCs w:val="21"/>
        </w:rPr>
      </w:pPr>
      <w:r>
        <w:rPr>
          <w:rFonts w:hint="eastAsia" w:ascii="仿宋" w:hAnsi="仿宋" w:eastAsia="仿宋"/>
          <w:color w:val="auto"/>
          <w:szCs w:val="21"/>
        </w:rPr>
        <w:t>本项目不允许转包和分包；</w:t>
      </w:r>
    </w:p>
    <w:p w14:paraId="24B1275E">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七</w:t>
      </w:r>
      <w:r>
        <w:rPr>
          <w:rFonts w:ascii="仿宋" w:hAnsi="仿宋" w:eastAsia="仿宋"/>
          <w:b/>
          <w:color w:val="auto"/>
          <w:szCs w:val="21"/>
        </w:rPr>
        <w:t>、交货期</w:t>
      </w:r>
      <w:r>
        <w:rPr>
          <w:rFonts w:hint="eastAsia" w:ascii="仿宋" w:hAnsi="仿宋" w:eastAsia="仿宋"/>
          <w:b/>
          <w:color w:val="auto"/>
          <w:szCs w:val="21"/>
        </w:rPr>
        <w:t>限、</w:t>
      </w:r>
      <w:r>
        <w:rPr>
          <w:rFonts w:ascii="仿宋" w:hAnsi="仿宋" w:eastAsia="仿宋"/>
          <w:b/>
          <w:color w:val="auto"/>
          <w:szCs w:val="21"/>
        </w:rPr>
        <w:t>交货地点</w:t>
      </w:r>
      <w:r>
        <w:rPr>
          <w:rFonts w:hint="eastAsia" w:ascii="仿宋" w:hAnsi="仿宋" w:eastAsia="仿宋"/>
          <w:b/>
          <w:color w:val="auto"/>
          <w:szCs w:val="21"/>
        </w:rPr>
        <w:t>及方式</w:t>
      </w:r>
    </w:p>
    <w:p w14:paraId="3F790001">
      <w:pPr>
        <w:pStyle w:val="28"/>
        <w:snapToGrid w:val="0"/>
        <w:spacing w:line="420" w:lineRule="exact"/>
        <w:ind w:left="359" w:hanging="359" w:hangingChars="171"/>
        <w:rPr>
          <w:rFonts w:ascii="仿宋" w:hAnsi="仿宋" w:eastAsia="仿宋"/>
          <w:color w:val="auto"/>
          <w:szCs w:val="21"/>
        </w:rPr>
      </w:pPr>
      <w:r>
        <w:rPr>
          <w:rFonts w:hint="eastAsia" w:ascii="仿宋" w:hAnsi="仿宋" w:eastAsia="仿宋"/>
          <w:color w:val="auto"/>
          <w:szCs w:val="21"/>
        </w:rPr>
        <w:t>7.1</w:t>
      </w:r>
      <w:r>
        <w:rPr>
          <w:rFonts w:ascii="仿宋" w:hAnsi="仿宋" w:eastAsia="仿宋"/>
          <w:color w:val="auto"/>
          <w:szCs w:val="21"/>
        </w:rPr>
        <w:t>交货期</w:t>
      </w:r>
      <w:r>
        <w:rPr>
          <w:rFonts w:hint="eastAsia" w:ascii="仿宋" w:hAnsi="仿宋" w:eastAsia="仿宋"/>
          <w:color w:val="auto"/>
          <w:szCs w:val="21"/>
        </w:rPr>
        <w:t>限（合同履约期限）</w:t>
      </w:r>
      <w:r>
        <w:rPr>
          <w:rFonts w:ascii="仿宋" w:hAnsi="仿宋" w:eastAsia="仿宋"/>
          <w:color w:val="auto"/>
          <w:szCs w:val="21"/>
        </w:rPr>
        <w:t>：</w:t>
      </w:r>
      <w:r>
        <w:rPr>
          <w:rFonts w:hint="eastAsia" w:ascii="仿宋" w:hAnsi="仿宋" w:eastAsia="仿宋"/>
          <w:color w:val="auto"/>
          <w:szCs w:val="21"/>
          <w:lang w:eastAsia="zh-CN"/>
        </w:rPr>
        <w:t>合同签订之日起20日历天内完成供货、安装且通过验收</w:t>
      </w:r>
      <w:r>
        <w:rPr>
          <w:rFonts w:hint="eastAsia" w:ascii="仿宋" w:hAnsi="仿宋" w:eastAsia="仿宋"/>
          <w:color w:val="auto"/>
          <w:szCs w:val="21"/>
        </w:rPr>
        <w:t>；</w:t>
      </w:r>
    </w:p>
    <w:p w14:paraId="5FF8D799">
      <w:pPr>
        <w:pStyle w:val="28"/>
        <w:snapToGrid w:val="0"/>
        <w:spacing w:line="420" w:lineRule="exact"/>
        <w:ind w:left="359" w:hanging="359" w:hangingChars="171"/>
        <w:rPr>
          <w:rFonts w:ascii="仿宋" w:hAnsi="仿宋" w:eastAsia="仿宋"/>
          <w:color w:val="auto"/>
          <w:szCs w:val="21"/>
        </w:rPr>
      </w:pPr>
      <w:r>
        <w:rPr>
          <w:rFonts w:hint="eastAsia" w:ascii="仿宋" w:hAnsi="仿宋" w:eastAsia="仿宋"/>
          <w:color w:val="auto"/>
          <w:szCs w:val="21"/>
        </w:rPr>
        <w:t>7.2</w:t>
      </w:r>
      <w:r>
        <w:rPr>
          <w:rFonts w:ascii="仿宋" w:hAnsi="仿宋" w:eastAsia="仿宋"/>
          <w:color w:val="auto"/>
          <w:szCs w:val="21"/>
        </w:rPr>
        <w:t>交货地点</w:t>
      </w:r>
      <w:r>
        <w:rPr>
          <w:rFonts w:hint="eastAsia" w:ascii="仿宋" w:hAnsi="仿宋" w:eastAsia="仿宋"/>
          <w:color w:val="auto"/>
          <w:szCs w:val="21"/>
        </w:rPr>
        <w:t>及方式</w:t>
      </w:r>
      <w:r>
        <w:rPr>
          <w:rFonts w:ascii="仿宋" w:hAnsi="仿宋" w:eastAsia="仿宋"/>
          <w:color w:val="auto"/>
          <w:szCs w:val="21"/>
        </w:rPr>
        <w:t>：</w:t>
      </w:r>
      <w:r>
        <w:rPr>
          <w:rFonts w:hint="eastAsia" w:ascii="仿宋" w:hAnsi="仿宋" w:eastAsia="仿宋"/>
          <w:color w:val="auto"/>
          <w:szCs w:val="21"/>
        </w:rPr>
        <w:t>按甲方要求执行；</w:t>
      </w:r>
    </w:p>
    <w:p w14:paraId="6C08C6A5">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八</w:t>
      </w:r>
      <w:r>
        <w:rPr>
          <w:rFonts w:ascii="仿宋" w:hAnsi="仿宋" w:eastAsia="仿宋"/>
          <w:b/>
          <w:color w:val="auto"/>
          <w:szCs w:val="21"/>
        </w:rPr>
        <w:t>、货款支付</w:t>
      </w:r>
      <w:r>
        <w:rPr>
          <w:rFonts w:hint="eastAsia" w:ascii="仿宋" w:hAnsi="仿宋" w:eastAsia="仿宋"/>
          <w:b/>
          <w:color w:val="auto"/>
          <w:szCs w:val="21"/>
        </w:rPr>
        <w:t>（付款方式）</w:t>
      </w:r>
    </w:p>
    <w:p w14:paraId="5C056C9D">
      <w:pPr>
        <w:pStyle w:val="28"/>
        <w:snapToGrid w:val="0"/>
        <w:spacing w:line="420" w:lineRule="exact"/>
        <w:rPr>
          <w:rFonts w:ascii="仿宋" w:hAnsi="仿宋" w:eastAsia="仿宋"/>
          <w:color w:val="auto"/>
          <w:szCs w:val="21"/>
        </w:rPr>
      </w:pPr>
      <w:r>
        <w:rPr>
          <w:rFonts w:hint="eastAsia" w:ascii="仿宋" w:hAnsi="仿宋" w:eastAsia="仿宋"/>
          <w:color w:val="auto"/>
          <w:szCs w:val="21"/>
        </w:rPr>
        <w:t>供货安装完成后，项目经采购单位组织验收通过后支付至合同价的100%。</w:t>
      </w:r>
    </w:p>
    <w:p w14:paraId="01919389">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九、税费</w:t>
      </w:r>
    </w:p>
    <w:p w14:paraId="6E7C7EAD">
      <w:pPr>
        <w:pStyle w:val="28"/>
        <w:snapToGrid w:val="0"/>
        <w:spacing w:line="420" w:lineRule="exact"/>
        <w:ind w:left="359" w:hanging="359" w:hangingChars="171"/>
        <w:rPr>
          <w:rFonts w:ascii="仿宋" w:hAnsi="仿宋" w:eastAsia="仿宋"/>
          <w:color w:val="auto"/>
          <w:szCs w:val="21"/>
        </w:rPr>
      </w:pPr>
      <w:r>
        <w:rPr>
          <w:rFonts w:hint="eastAsia" w:ascii="仿宋" w:hAnsi="仿宋" w:eastAsia="仿宋"/>
          <w:color w:val="auto"/>
          <w:szCs w:val="21"/>
        </w:rPr>
        <w:t>本合同执行中相关的一切税费均由</w:t>
      </w:r>
      <w:r>
        <w:rPr>
          <w:rFonts w:ascii="仿宋" w:hAnsi="仿宋" w:eastAsia="仿宋"/>
          <w:color w:val="auto"/>
          <w:szCs w:val="21"/>
        </w:rPr>
        <w:t>乙</w:t>
      </w:r>
      <w:r>
        <w:rPr>
          <w:rFonts w:hint="eastAsia" w:ascii="仿宋" w:hAnsi="仿宋" w:eastAsia="仿宋"/>
          <w:color w:val="auto"/>
          <w:szCs w:val="21"/>
        </w:rPr>
        <w:t>方负担。</w:t>
      </w:r>
    </w:p>
    <w:p w14:paraId="36958402">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十</w:t>
      </w:r>
      <w:r>
        <w:rPr>
          <w:rFonts w:ascii="仿宋" w:hAnsi="仿宋" w:eastAsia="仿宋"/>
          <w:b/>
          <w:color w:val="auto"/>
          <w:szCs w:val="21"/>
        </w:rPr>
        <w:t>、质量</w:t>
      </w:r>
      <w:r>
        <w:rPr>
          <w:rFonts w:hint="eastAsia" w:ascii="仿宋" w:hAnsi="仿宋" w:eastAsia="仿宋"/>
          <w:b/>
          <w:color w:val="auto"/>
          <w:szCs w:val="21"/>
        </w:rPr>
        <w:t>要求和基本售后要求</w:t>
      </w:r>
    </w:p>
    <w:p w14:paraId="7095621C">
      <w:pPr>
        <w:pStyle w:val="28"/>
        <w:snapToGrid w:val="0"/>
        <w:spacing w:line="420" w:lineRule="exact"/>
        <w:ind w:left="359" w:hanging="359" w:hangingChars="171"/>
        <w:rPr>
          <w:rFonts w:ascii="仿宋" w:hAnsi="仿宋" w:eastAsia="仿宋"/>
          <w:color w:val="auto"/>
          <w:szCs w:val="21"/>
        </w:rPr>
      </w:pPr>
      <w:r>
        <w:rPr>
          <w:rFonts w:hint="eastAsia" w:ascii="仿宋" w:hAnsi="仿宋" w:eastAsia="仿宋"/>
          <w:color w:val="auto"/>
          <w:szCs w:val="21"/>
        </w:rPr>
        <w:t xml:space="preserve">10.1 </w:t>
      </w:r>
      <w:r>
        <w:rPr>
          <w:rFonts w:ascii="仿宋" w:hAnsi="仿宋" w:eastAsia="仿宋"/>
          <w:color w:val="auto"/>
          <w:szCs w:val="21"/>
        </w:rPr>
        <w:t>乙方应按</w:t>
      </w:r>
      <w:r>
        <w:rPr>
          <w:rFonts w:hint="eastAsia" w:ascii="仿宋" w:hAnsi="仿宋" w:eastAsia="仿宋"/>
          <w:color w:val="auto"/>
          <w:szCs w:val="21"/>
        </w:rPr>
        <w:t>招标</w:t>
      </w:r>
      <w:r>
        <w:rPr>
          <w:rFonts w:ascii="仿宋" w:hAnsi="仿宋" w:eastAsia="仿宋"/>
          <w:color w:val="auto"/>
          <w:szCs w:val="21"/>
        </w:rPr>
        <w:t>文件规定的货物性能、技术要求、质量标准向甲方提供未经使用的全新产品。</w:t>
      </w:r>
    </w:p>
    <w:p w14:paraId="04309341">
      <w:pPr>
        <w:pStyle w:val="28"/>
        <w:snapToGrid w:val="0"/>
        <w:spacing w:line="420" w:lineRule="exact"/>
        <w:ind w:left="359" w:hanging="359" w:hangingChars="171"/>
        <w:rPr>
          <w:rFonts w:ascii="仿宋" w:hAnsi="仿宋" w:eastAsia="仿宋"/>
          <w:color w:val="auto"/>
          <w:szCs w:val="21"/>
        </w:rPr>
      </w:pPr>
      <w:r>
        <w:rPr>
          <w:rFonts w:hint="eastAsia" w:ascii="仿宋" w:hAnsi="仿宋" w:eastAsia="仿宋"/>
          <w:color w:val="auto"/>
          <w:szCs w:val="21"/>
        </w:rPr>
        <w:t>10.2</w:t>
      </w:r>
      <w:r>
        <w:rPr>
          <w:rFonts w:ascii="仿宋" w:hAnsi="仿宋" w:eastAsia="仿宋"/>
          <w:color w:val="auto"/>
          <w:szCs w:val="21"/>
        </w:rPr>
        <w:t>因</w:t>
      </w:r>
      <w:r>
        <w:rPr>
          <w:rFonts w:hint="eastAsia" w:ascii="仿宋" w:hAnsi="仿宋" w:eastAsia="仿宋"/>
          <w:color w:val="auto"/>
          <w:szCs w:val="21"/>
        </w:rPr>
        <w:t>产品</w:t>
      </w:r>
      <w:r>
        <w:rPr>
          <w:rFonts w:ascii="仿宋" w:hAnsi="仿宋" w:eastAsia="仿宋"/>
          <w:color w:val="auto"/>
          <w:szCs w:val="21"/>
        </w:rPr>
        <w:t>本身的质量发生</w:t>
      </w:r>
      <w:r>
        <w:rPr>
          <w:rFonts w:hint="eastAsia" w:ascii="仿宋" w:hAnsi="仿宋" w:eastAsia="仿宋"/>
          <w:color w:val="auto"/>
          <w:szCs w:val="21"/>
        </w:rPr>
        <w:t>问题时</w:t>
      </w:r>
      <w:r>
        <w:rPr>
          <w:rFonts w:ascii="仿宋" w:hAnsi="仿宋" w:eastAsia="仿宋"/>
          <w:color w:val="auto"/>
          <w:szCs w:val="21"/>
        </w:rPr>
        <w:t>，乙方应负责免费更换。</w:t>
      </w:r>
    </w:p>
    <w:p w14:paraId="5FDA1619">
      <w:pPr>
        <w:pStyle w:val="28"/>
        <w:snapToGrid w:val="0"/>
        <w:spacing w:line="420" w:lineRule="exact"/>
        <w:ind w:left="359" w:hanging="359" w:hangingChars="171"/>
        <w:rPr>
          <w:rFonts w:ascii="仿宋" w:hAnsi="仿宋" w:eastAsia="仿宋"/>
          <w:color w:val="auto"/>
          <w:szCs w:val="21"/>
        </w:rPr>
      </w:pPr>
      <w:r>
        <w:rPr>
          <w:rFonts w:ascii="仿宋" w:hAnsi="仿宋" w:eastAsia="仿宋"/>
          <w:color w:val="auto"/>
          <w:szCs w:val="21"/>
        </w:rPr>
        <w:t>对达不到技术要求者，根据实际情况，经双方协商，可按以下办法处理：</w:t>
      </w:r>
    </w:p>
    <w:p w14:paraId="2C2BDC74">
      <w:pPr>
        <w:pStyle w:val="28"/>
        <w:snapToGrid w:val="0"/>
        <w:spacing w:line="420" w:lineRule="exact"/>
        <w:ind w:left="359" w:hanging="359" w:hangingChars="171"/>
        <w:rPr>
          <w:rFonts w:ascii="仿宋" w:hAnsi="仿宋" w:eastAsia="仿宋"/>
          <w:color w:val="auto"/>
          <w:szCs w:val="21"/>
        </w:rPr>
      </w:pPr>
      <w:r>
        <w:rPr>
          <w:rFonts w:ascii="仿宋" w:hAnsi="仿宋" w:eastAsia="仿宋"/>
          <w:color w:val="auto"/>
          <w:szCs w:val="21"/>
        </w:rPr>
        <w:t>⑴更换：由乙方承担所发生的全部费用。</w:t>
      </w:r>
    </w:p>
    <w:p w14:paraId="7CB503F8">
      <w:pPr>
        <w:pStyle w:val="28"/>
        <w:snapToGrid w:val="0"/>
        <w:spacing w:line="420" w:lineRule="exact"/>
        <w:ind w:left="359" w:hanging="359" w:hangingChars="171"/>
        <w:rPr>
          <w:rFonts w:ascii="仿宋" w:hAnsi="仿宋" w:eastAsia="仿宋"/>
          <w:color w:val="auto"/>
          <w:szCs w:val="21"/>
        </w:rPr>
      </w:pPr>
      <w:r>
        <w:rPr>
          <w:rFonts w:ascii="仿宋" w:hAnsi="仿宋" w:eastAsia="仿宋"/>
          <w:color w:val="auto"/>
          <w:szCs w:val="21"/>
        </w:rPr>
        <w:t>⑵退货处理：乙方应退还甲方支付的合同款，同时应承担该货物的直接费用（运输、保险、检验、</w:t>
      </w:r>
    </w:p>
    <w:p w14:paraId="12112DCD">
      <w:pPr>
        <w:pStyle w:val="28"/>
        <w:snapToGrid w:val="0"/>
        <w:spacing w:line="420" w:lineRule="exact"/>
        <w:ind w:left="359" w:hanging="359" w:hangingChars="171"/>
        <w:rPr>
          <w:rFonts w:ascii="仿宋" w:hAnsi="仿宋" w:eastAsia="仿宋"/>
          <w:color w:val="auto"/>
          <w:szCs w:val="21"/>
        </w:rPr>
      </w:pPr>
      <w:r>
        <w:rPr>
          <w:rFonts w:ascii="仿宋" w:hAnsi="仿宋" w:eastAsia="仿宋"/>
          <w:color w:val="auto"/>
          <w:szCs w:val="21"/>
        </w:rPr>
        <w:t>货款利息及银行手续费等）。</w:t>
      </w:r>
    </w:p>
    <w:p w14:paraId="7382B4ED">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十一</w:t>
      </w:r>
      <w:r>
        <w:rPr>
          <w:rFonts w:ascii="仿宋" w:hAnsi="仿宋" w:eastAsia="仿宋"/>
          <w:b/>
          <w:color w:val="auto"/>
          <w:szCs w:val="21"/>
        </w:rPr>
        <w:t>、货物包装、发运及运输</w:t>
      </w:r>
    </w:p>
    <w:p w14:paraId="1CBF765B">
      <w:pPr>
        <w:pStyle w:val="28"/>
        <w:snapToGrid w:val="0"/>
        <w:spacing w:line="420" w:lineRule="exact"/>
        <w:rPr>
          <w:rFonts w:ascii="仿宋" w:hAnsi="仿宋" w:eastAsia="仿宋"/>
          <w:color w:val="auto"/>
          <w:szCs w:val="21"/>
        </w:rPr>
      </w:pPr>
      <w:r>
        <w:rPr>
          <w:rFonts w:hint="eastAsia" w:ascii="仿宋" w:hAnsi="仿宋" w:eastAsia="仿宋"/>
          <w:color w:val="auto"/>
          <w:szCs w:val="21"/>
        </w:rPr>
        <w:t xml:space="preserve">11.1 </w:t>
      </w:r>
      <w:r>
        <w:rPr>
          <w:rFonts w:ascii="仿宋" w:hAnsi="仿宋" w:eastAsia="仿宋"/>
          <w:color w:val="auto"/>
          <w:szCs w:val="21"/>
        </w:rPr>
        <w:t>乙方应在货物发运前对其进行满足运输距离、防潮、防震、防锈和防破损装卸等要求包装，以保证货物安全运达甲方指定地点。</w:t>
      </w:r>
    </w:p>
    <w:p w14:paraId="07AFA5FE">
      <w:pPr>
        <w:pStyle w:val="28"/>
        <w:snapToGrid w:val="0"/>
        <w:spacing w:line="420" w:lineRule="exact"/>
        <w:rPr>
          <w:rFonts w:ascii="仿宋" w:hAnsi="仿宋" w:eastAsia="仿宋"/>
          <w:color w:val="auto"/>
          <w:szCs w:val="21"/>
        </w:rPr>
      </w:pPr>
      <w:r>
        <w:rPr>
          <w:rFonts w:hint="eastAsia" w:ascii="仿宋" w:hAnsi="仿宋" w:eastAsia="仿宋"/>
          <w:color w:val="auto"/>
          <w:szCs w:val="21"/>
        </w:rPr>
        <w:t xml:space="preserve">11.2 </w:t>
      </w:r>
      <w:r>
        <w:rPr>
          <w:rFonts w:ascii="仿宋" w:hAnsi="仿宋" w:eastAsia="仿宋"/>
          <w:color w:val="auto"/>
          <w:szCs w:val="21"/>
        </w:rPr>
        <w:t>使用说明书、质量检验证明书、随配附件和工具以及清单一并附于货物内。</w:t>
      </w:r>
    </w:p>
    <w:p w14:paraId="1A143B62">
      <w:pPr>
        <w:pStyle w:val="28"/>
        <w:snapToGrid w:val="0"/>
        <w:spacing w:line="420" w:lineRule="exact"/>
        <w:rPr>
          <w:rFonts w:ascii="仿宋" w:hAnsi="仿宋" w:eastAsia="仿宋"/>
          <w:color w:val="auto"/>
          <w:szCs w:val="21"/>
        </w:rPr>
      </w:pPr>
      <w:r>
        <w:rPr>
          <w:rFonts w:hint="eastAsia" w:ascii="仿宋" w:hAnsi="仿宋" w:eastAsia="仿宋"/>
          <w:color w:val="auto"/>
          <w:szCs w:val="21"/>
        </w:rPr>
        <w:t xml:space="preserve">11.3 </w:t>
      </w:r>
      <w:r>
        <w:rPr>
          <w:rFonts w:ascii="仿宋" w:hAnsi="仿宋" w:eastAsia="仿宋"/>
          <w:color w:val="auto"/>
          <w:szCs w:val="21"/>
        </w:rPr>
        <w:t>乙方在货物发运手续办理完毕后24小时内或货到甲方48小时前通知甲方，以准备接货。</w:t>
      </w:r>
    </w:p>
    <w:p w14:paraId="7B79E630">
      <w:pPr>
        <w:pStyle w:val="28"/>
        <w:snapToGrid w:val="0"/>
        <w:spacing w:line="420" w:lineRule="exact"/>
        <w:rPr>
          <w:rFonts w:ascii="仿宋" w:hAnsi="仿宋" w:eastAsia="仿宋"/>
          <w:color w:val="auto"/>
          <w:szCs w:val="21"/>
        </w:rPr>
      </w:pPr>
      <w:r>
        <w:rPr>
          <w:rFonts w:hint="eastAsia" w:ascii="仿宋" w:hAnsi="仿宋" w:eastAsia="仿宋"/>
          <w:color w:val="auto"/>
          <w:szCs w:val="21"/>
        </w:rPr>
        <w:t xml:space="preserve">11.4 </w:t>
      </w:r>
      <w:r>
        <w:rPr>
          <w:rFonts w:ascii="仿宋" w:hAnsi="仿宋" w:eastAsia="仿宋"/>
          <w:color w:val="auto"/>
          <w:szCs w:val="21"/>
        </w:rPr>
        <w:t>货物在交付</w:t>
      </w:r>
      <w:r>
        <w:rPr>
          <w:rFonts w:hint="eastAsia" w:ascii="仿宋" w:hAnsi="仿宋" w:eastAsia="仿宋"/>
          <w:color w:val="auto"/>
          <w:szCs w:val="21"/>
        </w:rPr>
        <w:t>完成</w:t>
      </w:r>
      <w:r>
        <w:rPr>
          <w:rFonts w:ascii="仿宋" w:hAnsi="仿宋" w:eastAsia="仿宋"/>
          <w:color w:val="auto"/>
          <w:szCs w:val="21"/>
        </w:rPr>
        <w:t>前发生的风险均由乙方负责。</w:t>
      </w:r>
    </w:p>
    <w:p w14:paraId="6791E964">
      <w:pPr>
        <w:pStyle w:val="28"/>
        <w:snapToGrid w:val="0"/>
        <w:spacing w:line="420" w:lineRule="exact"/>
        <w:rPr>
          <w:rFonts w:ascii="仿宋" w:hAnsi="仿宋" w:eastAsia="仿宋"/>
          <w:color w:val="auto"/>
          <w:szCs w:val="21"/>
        </w:rPr>
      </w:pPr>
      <w:r>
        <w:rPr>
          <w:rFonts w:hint="eastAsia" w:ascii="仿宋" w:hAnsi="仿宋" w:eastAsia="仿宋"/>
          <w:b/>
          <w:color w:val="auto"/>
          <w:szCs w:val="21"/>
        </w:rPr>
        <w:t>十二、验收</w:t>
      </w:r>
    </w:p>
    <w:p w14:paraId="433FB5C5">
      <w:pPr>
        <w:pStyle w:val="28"/>
        <w:snapToGrid w:val="0"/>
        <w:spacing w:line="420" w:lineRule="exact"/>
        <w:rPr>
          <w:rFonts w:ascii="仿宋" w:hAnsi="仿宋" w:eastAsia="仿宋"/>
          <w:color w:val="auto"/>
          <w:szCs w:val="21"/>
        </w:rPr>
      </w:pPr>
      <w:r>
        <w:rPr>
          <w:rFonts w:hint="eastAsia" w:ascii="仿宋" w:hAnsi="仿宋" w:eastAsia="仿宋"/>
          <w:color w:val="auto"/>
          <w:szCs w:val="21"/>
        </w:rPr>
        <w:t>采购人自行组织验收，所产生的费用由中标单位支付。</w:t>
      </w:r>
    </w:p>
    <w:p w14:paraId="0E890C7C">
      <w:pPr>
        <w:pStyle w:val="28"/>
        <w:snapToGrid w:val="0"/>
        <w:spacing w:line="420" w:lineRule="exact"/>
        <w:rPr>
          <w:rFonts w:ascii="仿宋" w:hAnsi="仿宋" w:eastAsia="仿宋"/>
          <w:b/>
          <w:color w:val="auto"/>
          <w:szCs w:val="21"/>
        </w:rPr>
      </w:pPr>
      <w:r>
        <w:rPr>
          <w:rFonts w:ascii="仿宋" w:hAnsi="仿宋" w:eastAsia="仿宋"/>
          <w:b/>
          <w:color w:val="auto"/>
          <w:szCs w:val="21"/>
        </w:rPr>
        <w:t>十三、违约责任</w:t>
      </w:r>
    </w:p>
    <w:p w14:paraId="5C5A4BDD">
      <w:pPr>
        <w:pStyle w:val="28"/>
        <w:snapToGrid w:val="0"/>
        <w:spacing w:line="420" w:lineRule="exact"/>
        <w:rPr>
          <w:rFonts w:ascii="仿宋" w:hAnsi="仿宋" w:eastAsia="仿宋"/>
          <w:color w:val="auto"/>
          <w:szCs w:val="21"/>
        </w:rPr>
      </w:pPr>
      <w:r>
        <w:rPr>
          <w:rFonts w:hint="eastAsia" w:ascii="仿宋" w:hAnsi="仿宋" w:eastAsia="仿宋"/>
          <w:color w:val="auto"/>
          <w:szCs w:val="21"/>
        </w:rPr>
        <w:t xml:space="preserve">13.1 </w:t>
      </w:r>
      <w:r>
        <w:rPr>
          <w:rFonts w:ascii="仿宋" w:hAnsi="仿宋" w:eastAsia="仿宋"/>
          <w:color w:val="auto"/>
          <w:szCs w:val="21"/>
        </w:rPr>
        <w:t>甲方无正当理由拒收货物的，甲方向乙方偿付拒收货款总值百分之</w:t>
      </w:r>
      <w:r>
        <w:rPr>
          <w:rFonts w:hint="eastAsia" w:ascii="仿宋" w:hAnsi="仿宋" w:eastAsia="仿宋"/>
          <w:color w:val="auto"/>
          <w:szCs w:val="21"/>
        </w:rPr>
        <w:t>二十的</w:t>
      </w:r>
      <w:r>
        <w:rPr>
          <w:rFonts w:ascii="仿宋" w:hAnsi="仿宋" w:eastAsia="仿宋"/>
          <w:color w:val="auto"/>
          <w:szCs w:val="21"/>
        </w:rPr>
        <w:t>违约金。</w:t>
      </w:r>
    </w:p>
    <w:p w14:paraId="574C6BCB">
      <w:pPr>
        <w:pStyle w:val="28"/>
        <w:snapToGrid w:val="0"/>
        <w:spacing w:line="420" w:lineRule="exact"/>
        <w:rPr>
          <w:rFonts w:ascii="仿宋" w:hAnsi="仿宋" w:eastAsia="仿宋"/>
          <w:color w:val="auto"/>
          <w:szCs w:val="21"/>
        </w:rPr>
      </w:pPr>
      <w:r>
        <w:rPr>
          <w:rFonts w:hint="eastAsia" w:ascii="仿宋" w:hAnsi="仿宋" w:eastAsia="仿宋"/>
          <w:color w:val="auto"/>
          <w:szCs w:val="21"/>
        </w:rPr>
        <w:t xml:space="preserve">13.2 </w:t>
      </w:r>
      <w:r>
        <w:rPr>
          <w:rFonts w:ascii="仿宋" w:hAnsi="仿宋" w:eastAsia="仿宋"/>
          <w:color w:val="auto"/>
          <w:szCs w:val="21"/>
        </w:rPr>
        <w:t>甲方无故逾期验收</w:t>
      </w:r>
      <w:r>
        <w:rPr>
          <w:rFonts w:hint="eastAsia" w:ascii="仿宋" w:hAnsi="仿宋" w:eastAsia="仿宋"/>
          <w:color w:val="auto"/>
          <w:szCs w:val="21"/>
        </w:rPr>
        <w:t>或无故逾期</w:t>
      </w:r>
      <w:r>
        <w:rPr>
          <w:rFonts w:ascii="仿宋" w:hAnsi="仿宋" w:eastAsia="仿宋"/>
          <w:color w:val="auto"/>
          <w:szCs w:val="21"/>
        </w:rPr>
        <w:t>办理货款支付手续的,甲方应按逾期付款总额每日万分之五向乙方支付违约金。</w:t>
      </w:r>
    </w:p>
    <w:p w14:paraId="43826DBA">
      <w:pPr>
        <w:pStyle w:val="28"/>
        <w:snapToGrid w:val="0"/>
        <w:spacing w:line="420" w:lineRule="exact"/>
        <w:rPr>
          <w:rFonts w:ascii="仿宋" w:hAnsi="仿宋" w:eastAsia="仿宋"/>
          <w:color w:val="auto"/>
          <w:szCs w:val="21"/>
        </w:rPr>
      </w:pPr>
      <w:r>
        <w:rPr>
          <w:rFonts w:hint="eastAsia" w:ascii="仿宋" w:hAnsi="仿宋" w:eastAsia="仿宋"/>
          <w:color w:val="auto"/>
          <w:szCs w:val="21"/>
        </w:rPr>
        <w:t>13.3合同签订后，乙方明确表示或者以自己的行为表示不履行合同约定的，甲方有权单方面终止或解除合同并不给乙方任何补偿，乙方承担全部违约责任及相应的法律责任。</w:t>
      </w:r>
    </w:p>
    <w:p w14:paraId="34F726C4">
      <w:pPr>
        <w:pStyle w:val="28"/>
        <w:snapToGrid w:val="0"/>
        <w:spacing w:line="420" w:lineRule="exact"/>
        <w:rPr>
          <w:rFonts w:ascii="仿宋" w:hAnsi="仿宋" w:eastAsia="仿宋"/>
          <w:color w:val="auto"/>
          <w:szCs w:val="21"/>
        </w:rPr>
      </w:pPr>
      <w:r>
        <w:rPr>
          <w:rFonts w:hint="eastAsia" w:ascii="仿宋" w:hAnsi="仿宋" w:eastAsia="仿宋"/>
          <w:color w:val="auto"/>
          <w:szCs w:val="21"/>
        </w:rPr>
        <w:t>13.4</w:t>
      </w:r>
      <w:r>
        <w:rPr>
          <w:rFonts w:ascii="仿宋" w:hAnsi="仿宋" w:eastAsia="仿宋"/>
          <w:color w:val="auto"/>
          <w:szCs w:val="21"/>
        </w:rPr>
        <w:t>乙方逾期交付货物的，乙方应按</w:t>
      </w:r>
      <w:r>
        <w:rPr>
          <w:rFonts w:hint="eastAsia" w:ascii="仿宋" w:hAnsi="仿宋" w:eastAsia="仿宋"/>
          <w:color w:val="auto"/>
          <w:szCs w:val="21"/>
        </w:rPr>
        <w:t>5000元/天</w:t>
      </w:r>
      <w:r>
        <w:rPr>
          <w:rFonts w:ascii="仿宋" w:hAnsi="仿宋" w:eastAsia="仿宋"/>
          <w:color w:val="auto"/>
          <w:szCs w:val="21"/>
        </w:rPr>
        <w:t>向甲方支付违约金，由甲方从待付货款中扣除。逾期超过</w:t>
      </w:r>
      <w:r>
        <w:rPr>
          <w:rFonts w:hint="eastAsia" w:ascii="仿宋" w:hAnsi="仿宋" w:eastAsia="仿宋"/>
          <w:color w:val="auto"/>
          <w:szCs w:val="21"/>
        </w:rPr>
        <w:t>合同</w:t>
      </w:r>
      <w:r>
        <w:rPr>
          <w:rFonts w:ascii="仿宋" w:hAnsi="仿宋" w:eastAsia="仿宋"/>
          <w:color w:val="auto"/>
          <w:szCs w:val="21"/>
        </w:rPr>
        <w:t>约定</w:t>
      </w:r>
      <w:r>
        <w:rPr>
          <w:rFonts w:hint="eastAsia" w:ascii="仿宋" w:hAnsi="仿宋" w:eastAsia="仿宋"/>
          <w:color w:val="auto"/>
          <w:szCs w:val="21"/>
        </w:rPr>
        <w:t>时间5</w:t>
      </w:r>
      <w:r>
        <w:rPr>
          <w:rFonts w:ascii="仿宋" w:hAnsi="仿宋" w:eastAsia="仿宋"/>
          <w:color w:val="auto"/>
          <w:szCs w:val="21"/>
        </w:rPr>
        <w:t>个工作日不能</w:t>
      </w:r>
      <w:r>
        <w:rPr>
          <w:rFonts w:hint="eastAsia" w:ascii="仿宋" w:hAnsi="仿宋" w:eastAsia="仿宋"/>
          <w:color w:val="auto"/>
          <w:szCs w:val="21"/>
        </w:rPr>
        <w:t>完成</w:t>
      </w:r>
      <w:r>
        <w:rPr>
          <w:rFonts w:ascii="仿宋" w:hAnsi="仿宋" w:eastAsia="仿宋"/>
          <w:color w:val="auto"/>
          <w:szCs w:val="21"/>
        </w:rPr>
        <w:t>交</w:t>
      </w:r>
      <w:r>
        <w:rPr>
          <w:rFonts w:hint="eastAsia" w:ascii="仿宋" w:hAnsi="仿宋" w:eastAsia="仿宋"/>
          <w:color w:val="auto"/>
          <w:szCs w:val="21"/>
        </w:rPr>
        <w:t>货</w:t>
      </w:r>
      <w:r>
        <w:rPr>
          <w:rFonts w:ascii="仿宋" w:hAnsi="仿宋" w:eastAsia="仿宋"/>
          <w:color w:val="auto"/>
          <w:szCs w:val="21"/>
        </w:rPr>
        <w:t>的，</w:t>
      </w:r>
      <w:r>
        <w:rPr>
          <w:rFonts w:hint="eastAsia" w:ascii="仿宋" w:hAnsi="仿宋" w:eastAsia="仿宋"/>
          <w:color w:val="auto"/>
          <w:szCs w:val="21"/>
        </w:rPr>
        <w:t>甲方有权单方面终止或解除合同并不给乙方任何补偿，乙方承担全部违约责任及相应的法律责任。</w:t>
      </w:r>
    </w:p>
    <w:p w14:paraId="22CC4EA0">
      <w:pPr>
        <w:pStyle w:val="28"/>
        <w:snapToGrid w:val="0"/>
        <w:spacing w:line="420" w:lineRule="exact"/>
        <w:rPr>
          <w:rFonts w:ascii="仿宋" w:hAnsi="仿宋" w:eastAsia="仿宋"/>
          <w:color w:val="auto"/>
          <w:szCs w:val="21"/>
        </w:rPr>
      </w:pPr>
      <w:r>
        <w:rPr>
          <w:rFonts w:hint="eastAsia" w:ascii="仿宋" w:hAnsi="仿宋" w:eastAsia="仿宋"/>
          <w:color w:val="auto"/>
          <w:szCs w:val="21"/>
        </w:rPr>
        <w:t>13.5乙方在合同执行期间迟延履行合同约定，经甲方催告后在合理期限内仍未履行合同约定的，甲方可单方面终止或解除合同并不给乙方任何补偿，乙方承担全部违约责任及相应的法律责任。</w:t>
      </w:r>
    </w:p>
    <w:p w14:paraId="6C2007A0">
      <w:pPr>
        <w:pStyle w:val="28"/>
        <w:snapToGrid w:val="0"/>
        <w:spacing w:line="420" w:lineRule="exact"/>
        <w:rPr>
          <w:rFonts w:ascii="仿宋" w:hAnsi="仿宋" w:eastAsia="仿宋"/>
          <w:color w:val="auto"/>
          <w:szCs w:val="21"/>
        </w:rPr>
      </w:pPr>
      <w:r>
        <w:rPr>
          <w:rFonts w:hint="eastAsia" w:ascii="仿宋" w:hAnsi="仿宋" w:eastAsia="仿宋"/>
          <w:color w:val="auto"/>
          <w:szCs w:val="21"/>
        </w:rPr>
        <w:t>13.6</w:t>
      </w:r>
      <w:r>
        <w:rPr>
          <w:rFonts w:ascii="仿宋" w:hAnsi="仿宋" w:eastAsia="仿宋"/>
          <w:color w:val="auto"/>
          <w:szCs w:val="21"/>
        </w:rPr>
        <w:t>乙方所交</w:t>
      </w:r>
      <w:r>
        <w:rPr>
          <w:rFonts w:hint="eastAsia" w:ascii="仿宋" w:hAnsi="仿宋" w:eastAsia="仿宋"/>
          <w:color w:val="auto"/>
          <w:szCs w:val="21"/>
        </w:rPr>
        <w:t>付</w:t>
      </w:r>
      <w:r>
        <w:rPr>
          <w:rFonts w:ascii="仿宋" w:hAnsi="仿宋" w:eastAsia="仿宋"/>
          <w:color w:val="auto"/>
          <w:szCs w:val="21"/>
        </w:rPr>
        <w:t>的货物品种、型号、规格、技术参数、质量不符合合同规定的，甲方有权拒收该货物，乙方愿意更换货物但逾期交</w:t>
      </w:r>
      <w:r>
        <w:rPr>
          <w:rFonts w:hint="eastAsia" w:ascii="仿宋" w:hAnsi="仿宋" w:eastAsia="仿宋"/>
          <w:color w:val="auto"/>
          <w:szCs w:val="21"/>
        </w:rPr>
        <w:t>付</w:t>
      </w:r>
      <w:r>
        <w:rPr>
          <w:rFonts w:ascii="仿宋" w:hAnsi="仿宋" w:eastAsia="仿宋"/>
          <w:color w:val="auto"/>
          <w:szCs w:val="21"/>
        </w:rPr>
        <w:t>的，按乙方逾期交</w:t>
      </w:r>
      <w:r>
        <w:rPr>
          <w:rFonts w:hint="eastAsia" w:ascii="仿宋" w:hAnsi="仿宋" w:eastAsia="仿宋"/>
          <w:color w:val="auto"/>
          <w:szCs w:val="21"/>
        </w:rPr>
        <w:t>付</w:t>
      </w:r>
      <w:r>
        <w:rPr>
          <w:rFonts w:ascii="仿宋" w:hAnsi="仿宋" w:eastAsia="仿宋"/>
          <w:color w:val="auto"/>
          <w:szCs w:val="21"/>
        </w:rPr>
        <w:t>处理。乙方拒绝更换货物的，</w:t>
      </w:r>
      <w:r>
        <w:rPr>
          <w:rFonts w:hint="eastAsia" w:ascii="仿宋" w:hAnsi="仿宋" w:eastAsia="仿宋"/>
          <w:color w:val="auto"/>
          <w:szCs w:val="21"/>
        </w:rPr>
        <w:t>甲方有权单方面终止或解除合同并不给乙方任何补偿，乙方承担全部违约责任及相应的法律责任。</w:t>
      </w:r>
    </w:p>
    <w:p w14:paraId="7B97A783">
      <w:pPr>
        <w:pStyle w:val="28"/>
        <w:snapToGrid w:val="0"/>
        <w:spacing w:line="420" w:lineRule="exact"/>
        <w:rPr>
          <w:rFonts w:ascii="仿宋" w:hAnsi="仿宋" w:eastAsia="仿宋"/>
          <w:color w:val="auto"/>
          <w:szCs w:val="21"/>
        </w:rPr>
      </w:pPr>
      <w:r>
        <w:rPr>
          <w:rFonts w:hint="eastAsia" w:ascii="仿宋" w:hAnsi="仿宋" w:eastAsia="仿宋"/>
          <w:color w:val="auto"/>
          <w:szCs w:val="21"/>
        </w:rPr>
        <w:t>13.7</w:t>
      </w:r>
      <w:r>
        <w:rPr>
          <w:rFonts w:ascii="仿宋" w:hAnsi="仿宋" w:eastAsia="仿宋"/>
          <w:color w:val="auto"/>
          <w:szCs w:val="21"/>
        </w:rPr>
        <w:t>乙方因逾期交</w:t>
      </w:r>
      <w:r>
        <w:rPr>
          <w:rFonts w:hint="eastAsia" w:ascii="仿宋" w:hAnsi="仿宋" w:eastAsia="仿宋"/>
          <w:color w:val="auto"/>
          <w:szCs w:val="21"/>
        </w:rPr>
        <w:t>货</w:t>
      </w:r>
      <w:r>
        <w:rPr>
          <w:rFonts w:ascii="仿宋" w:hAnsi="仿宋" w:eastAsia="仿宋"/>
          <w:color w:val="auto"/>
          <w:szCs w:val="21"/>
        </w:rPr>
        <w:t>或因其他违约行为导致甲方</w:t>
      </w:r>
      <w:r>
        <w:rPr>
          <w:rFonts w:hint="eastAsia" w:ascii="仿宋" w:hAnsi="仿宋" w:eastAsia="仿宋"/>
          <w:color w:val="auto"/>
          <w:szCs w:val="21"/>
        </w:rPr>
        <w:t>单方面终止或</w:t>
      </w:r>
      <w:r>
        <w:rPr>
          <w:rFonts w:ascii="仿宋" w:hAnsi="仿宋" w:eastAsia="仿宋"/>
          <w:color w:val="auto"/>
          <w:szCs w:val="21"/>
        </w:rPr>
        <w:t>解除合同的，</w:t>
      </w:r>
      <w:r>
        <w:rPr>
          <w:rFonts w:hint="eastAsia" w:ascii="仿宋" w:hAnsi="仿宋" w:eastAsia="仿宋"/>
          <w:color w:val="auto"/>
          <w:szCs w:val="21"/>
        </w:rPr>
        <w:t>乙方须向甲方支付合同金额20%的违约金，且甲方不给乙方任何补偿。给甲方造成的损失超过违约金的，甲方有权依法追究乙方的赔偿责任（</w:t>
      </w:r>
      <w:r>
        <w:rPr>
          <w:rFonts w:hint="eastAsia" w:ascii="仿宋" w:hAnsi="仿宋" w:eastAsia="仿宋"/>
          <w:b/>
          <w:color w:val="auto"/>
          <w:szCs w:val="21"/>
        </w:rPr>
        <w:t>注：</w:t>
      </w:r>
      <w:r>
        <w:rPr>
          <w:rFonts w:hint="eastAsia" w:ascii="仿宋" w:hAnsi="仿宋" w:eastAsia="仿宋"/>
          <w:color w:val="auto"/>
          <w:szCs w:val="21"/>
        </w:rPr>
        <w:t>若存在剩余预付款，乙方必须无条件退还本项目余下的预付款，否则甲方将追究其法律责任）</w:t>
      </w:r>
      <w:r>
        <w:rPr>
          <w:rFonts w:ascii="仿宋" w:hAnsi="仿宋" w:eastAsia="仿宋"/>
          <w:color w:val="auto"/>
          <w:szCs w:val="21"/>
        </w:rPr>
        <w:t xml:space="preserve">。 </w:t>
      </w:r>
    </w:p>
    <w:p w14:paraId="108F5B03">
      <w:pPr>
        <w:pStyle w:val="28"/>
        <w:snapToGrid w:val="0"/>
        <w:spacing w:line="420" w:lineRule="exact"/>
        <w:rPr>
          <w:rFonts w:ascii="仿宋" w:hAnsi="仿宋" w:eastAsia="仿宋"/>
          <w:b/>
          <w:color w:val="auto"/>
          <w:szCs w:val="21"/>
        </w:rPr>
      </w:pPr>
      <w:r>
        <w:rPr>
          <w:rFonts w:ascii="仿宋" w:hAnsi="仿宋" w:eastAsia="仿宋"/>
          <w:b/>
          <w:color w:val="auto"/>
          <w:szCs w:val="21"/>
        </w:rPr>
        <w:t>十</w:t>
      </w:r>
      <w:r>
        <w:rPr>
          <w:rFonts w:hint="eastAsia" w:ascii="仿宋" w:hAnsi="仿宋" w:eastAsia="仿宋"/>
          <w:b/>
          <w:color w:val="auto"/>
          <w:szCs w:val="21"/>
        </w:rPr>
        <w:t>四</w:t>
      </w:r>
      <w:r>
        <w:rPr>
          <w:rFonts w:ascii="仿宋" w:hAnsi="仿宋" w:eastAsia="仿宋"/>
          <w:b/>
          <w:color w:val="auto"/>
          <w:szCs w:val="21"/>
        </w:rPr>
        <w:t>、不可抗力事件处理</w:t>
      </w:r>
      <w:r>
        <w:rPr>
          <w:rFonts w:hint="eastAsia" w:ascii="仿宋" w:hAnsi="仿宋" w:eastAsia="仿宋"/>
          <w:b/>
          <w:color w:val="auto"/>
          <w:szCs w:val="21"/>
        </w:rPr>
        <w:t>：</w:t>
      </w:r>
    </w:p>
    <w:p w14:paraId="7EA1D040">
      <w:pPr>
        <w:pStyle w:val="28"/>
        <w:snapToGrid w:val="0"/>
        <w:spacing w:line="420" w:lineRule="exact"/>
        <w:rPr>
          <w:rFonts w:ascii="仿宋" w:hAnsi="仿宋" w:eastAsia="仿宋"/>
          <w:color w:val="auto"/>
          <w:szCs w:val="21"/>
        </w:rPr>
      </w:pPr>
      <w:r>
        <w:rPr>
          <w:rFonts w:hint="eastAsia" w:ascii="仿宋" w:hAnsi="仿宋" w:eastAsia="仿宋"/>
          <w:color w:val="auto"/>
          <w:szCs w:val="21"/>
        </w:rPr>
        <w:t>14.1</w:t>
      </w:r>
      <w:r>
        <w:rPr>
          <w:rFonts w:ascii="仿宋" w:hAnsi="仿宋" w:eastAsia="仿宋"/>
          <w:color w:val="auto"/>
          <w:szCs w:val="21"/>
        </w:rPr>
        <w:t>在合同有效期内，任何一方因不可抗力事件导致不能履行合同，则合同履行期可延长，其延长期与不可抗力影响期相同。</w:t>
      </w:r>
    </w:p>
    <w:p w14:paraId="5EAAFDDF">
      <w:pPr>
        <w:pStyle w:val="28"/>
        <w:snapToGrid w:val="0"/>
        <w:spacing w:line="420" w:lineRule="exact"/>
        <w:rPr>
          <w:rFonts w:ascii="仿宋" w:hAnsi="仿宋" w:eastAsia="仿宋"/>
          <w:color w:val="auto"/>
          <w:szCs w:val="21"/>
        </w:rPr>
      </w:pPr>
      <w:r>
        <w:rPr>
          <w:rFonts w:hint="eastAsia" w:ascii="仿宋" w:hAnsi="仿宋" w:eastAsia="仿宋"/>
          <w:color w:val="auto"/>
          <w:szCs w:val="21"/>
        </w:rPr>
        <w:t xml:space="preserve">14.2 </w:t>
      </w:r>
      <w:r>
        <w:rPr>
          <w:rFonts w:ascii="仿宋" w:hAnsi="仿宋" w:eastAsia="仿宋"/>
          <w:color w:val="auto"/>
          <w:szCs w:val="21"/>
        </w:rPr>
        <w:t>不可抗力事件发生后，应立即通知对方，并寄送有关权威机构出具的证明。</w:t>
      </w:r>
    </w:p>
    <w:p w14:paraId="70CF8548">
      <w:pPr>
        <w:pStyle w:val="28"/>
        <w:snapToGrid w:val="0"/>
        <w:spacing w:line="420" w:lineRule="exact"/>
        <w:rPr>
          <w:rFonts w:ascii="仿宋" w:hAnsi="仿宋" w:eastAsia="仿宋"/>
          <w:color w:val="auto"/>
          <w:szCs w:val="21"/>
        </w:rPr>
      </w:pPr>
      <w:r>
        <w:rPr>
          <w:rFonts w:hint="eastAsia" w:ascii="仿宋" w:hAnsi="仿宋" w:eastAsia="仿宋"/>
          <w:color w:val="auto"/>
          <w:szCs w:val="21"/>
        </w:rPr>
        <w:t xml:space="preserve">14.3 </w:t>
      </w:r>
      <w:r>
        <w:rPr>
          <w:rFonts w:ascii="仿宋" w:hAnsi="仿宋" w:eastAsia="仿宋"/>
          <w:color w:val="auto"/>
          <w:szCs w:val="21"/>
        </w:rPr>
        <w:t>不可抗力事件延续120天以上，双方应通过友好协商，确定是否继续履行合同。</w:t>
      </w:r>
    </w:p>
    <w:p w14:paraId="214E2878">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十五、特别约定：</w:t>
      </w:r>
    </w:p>
    <w:p w14:paraId="0D5D4A76">
      <w:pPr>
        <w:pStyle w:val="28"/>
        <w:snapToGrid w:val="0"/>
        <w:spacing w:line="420" w:lineRule="exact"/>
        <w:rPr>
          <w:rFonts w:ascii="仿宋" w:hAnsi="仿宋" w:eastAsia="仿宋"/>
          <w:color w:val="auto"/>
          <w:szCs w:val="21"/>
        </w:rPr>
      </w:pPr>
      <w:r>
        <w:rPr>
          <w:rFonts w:hint="eastAsia" w:ascii="仿宋" w:hAnsi="仿宋" w:eastAsia="仿宋"/>
          <w:color w:val="auto"/>
          <w:szCs w:val="21"/>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3017B6F8">
      <w:pPr>
        <w:pStyle w:val="28"/>
        <w:snapToGrid w:val="0"/>
        <w:spacing w:line="420" w:lineRule="exact"/>
        <w:rPr>
          <w:rFonts w:ascii="仿宋" w:hAnsi="仿宋" w:eastAsia="仿宋"/>
          <w:b/>
          <w:color w:val="auto"/>
          <w:szCs w:val="21"/>
        </w:rPr>
      </w:pPr>
      <w:r>
        <w:rPr>
          <w:rFonts w:ascii="仿宋" w:hAnsi="仿宋" w:eastAsia="仿宋"/>
          <w:b/>
          <w:color w:val="auto"/>
          <w:szCs w:val="21"/>
        </w:rPr>
        <w:t>十</w:t>
      </w:r>
      <w:r>
        <w:rPr>
          <w:rFonts w:hint="eastAsia" w:ascii="仿宋" w:hAnsi="仿宋" w:eastAsia="仿宋"/>
          <w:b/>
          <w:color w:val="auto"/>
          <w:szCs w:val="21"/>
        </w:rPr>
        <w:t>六</w:t>
      </w:r>
      <w:r>
        <w:rPr>
          <w:rFonts w:ascii="仿宋" w:hAnsi="仿宋" w:eastAsia="仿宋"/>
          <w:b/>
          <w:color w:val="auto"/>
          <w:szCs w:val="21"/>
        </w:rPr>
        <w:t>、</w:t>
      </w:r>
      <w:r>
        <w:rPr>
          <w:rFonts w:hint="eastAsia" w:ascii="仿宋" w:hAnsi="仿宋" w:eastAsia="仿宋"/>
          <w:b/>
          <w:color w:val="auto"/>
          <w:szCs w:val="21"/>
        </w:rPr>
        <w:t>争议解决办法：</w:t>
      </w:r>
    </w:p>
    <w:p w14:paraId="67AF0987">
      <w:pPr>
        <w:pStyle w:val="28"/>
        <w:snapToGrid w:val="0"/>
        <w:spacing w:line="420" w:lineRule="exact"/>
        <w:rPr>
          <w:rFonts w:ascii="仿宋" w:hAnsi="仿宋" w:eastAsia="仿宋"/>
          <w:color w:val="auto"/>
          <w:szCs w:val="21"/>
        </w:rPr>
      </w:pPr>
      <w:r>
        <w:rPr>
          <w:rFonts w:ascii="仿宋" w:hAnsi="仿宋" w:eastAsia="仿宋"/>
          <w:color w:val="auto"/>
          <w:szCs w:val="21"/>
        </w:rPr>
        <w:t>双方在执行合同中所发生的一切争议，应通过协商解决。如协商不成，可向</w:t>
      </w:r>
      <w:r>
        <w:rPr>
          <w:rFonts w:hint="eastAsia" w:ascii="仿宋" w:hAnsi="仿宋" w:eastAsia="仿宋"/>
          <w:color w:val="auto"/>
          <w:szCs w:val="21"/>
        </w:rPr>
        <w:t>甲方所在</w:t>
      </w:r>
      <w:r>
        <w:rPr>
          <w:rFonts w:ascii="仿宋" w:hAnsi="仿宋" w:eastAsia="仿宋"/>
          <w:color w:val="auto"/>
          <w:szCs w:val="21"/>
        </w:rPr>
        <w:t>地法院起诉。</w:t>
      </w:r>
    </w:p>
    <w:p w14:paraId="5ECD6413">
      <w:pPr>
        <w:pStyle w:val="28"/>
        <w:snapToGrid w:val="0"/>
        <w:spacing w:line="420" w:lineRule="exact"/>
        <w:rPr>
          <w:rFonts w:ascii="仿宋" w:hAnsi="仿宋" w:eastAsia="仿宋"/>
          <w:b/>
          <w:color w:val="auto"/>
          <w:szCs w:val="21"/>
        </w:rPr>
      </w:pPr>
      <w:r>
        <w:rPr>
          <w:rFonts w:hint="eastAsia" w:ascii="仿宋" w:hAnsi="仿宋" w:eastAsia="仿宋"/>
          <w:b/>
          <w:color w:val="auto"/>
          <w:szCs w:val="21"/>
        </w:rPr>
        <w:t>十七</w:t>
      </w:r>
      <w:r>
        <w:rPr>
          <w:rFonts w:ascii="仿宋" w:hAnsi="仿宋" w:eastAsia="仿宋"/>
          <w:b/>
          <w:color w:val="auto"/>
          <w:szCs w:val="21"/>
        </w:rPr>
        <w:t>、合同生效及其它</w:t>
      </w:r>
      <w:r>
        <w:rPr>
          <w:rFonts w:hint="eastAsia" w:ascii="仿宋" w:hAnsi="仿宋" w:eastAsia="仿宋"/>
          <w:b/>
          <w:color w:val="auto"/>
          <w:szCs w:val="21"/>
        </w:rPr>
        <w:t>：</w:t>
      </w:r>
    </w:p>
    <w:p w14:paraId="3C1D536A">
      <w:pPr>
        <w:spacing w:line="420" w:lineRule="exact"/>
        <w:rPr>
          <w:rFonts w:ascii="仿宋" w:hAnsi="仿宋" w:eastAsia="仿宋" w:cs="宋体"/>
          <w:color w:val="auto"/>
          <w:kern w:val="0"/>
        </w:rPr>
      </w:pPr>
      <w:r>
        <w:rPr>
          <w:rFonts w:hint="eastAsia" w:ascii="仿宋" w:hAnsi="仿宋" w:eastAsia="仿宋" w:cs="宋体"/>
          <w:color w:val="auto"/>
          <w:kern w:val="0"/>
        </w:rPr>
        <w:t>17.1招标文件、投标文件及评标过程中的澄清、修改均为合同的有效组成部分。</w:t>
      </w:r>
    </w:p>
    <w:p w14:paraId="371C7488">
      <w:pPr>
        <w:spacing w:line="420" w:lineRule="exact"/>
        <w:rPr>
          <w:rFonts w:ascii="仿宋" w:hAnsi="仿宋" w:eastAsia="仿宋" w:cs="宋体"/>
          <w:color w:val="auto"/>
          <w:kern w:val="0"/>
        </w:rPr>
      </w:pPr>
      <w:r>
        <w:rPr>
          <w:rFonts w:hint="eastAsia" w:ascii="仿宋" w:hAnsi="仿宋" w:eastAsia="仿宋" w:cs="宋体"/>
          <w:color w:val="auto"/>
          <w:kern w:val="0"/>
        </w:rPr>
        <w:t>17.2</w:t>
      </w:r>
      <w:r>
        <w:rPr>
          <w:rFonts w:ascii="仿宋" w:hAnsi="仿宋" w:eastAsia="仿宋" w:cs="宋体"/>
          <w:color w:val="auto"/>
          <w:kern w:val="0"/>
        </w:rPr>
        <w:t>合同经双方法定代表人（或单位负责人或经营者）或授权代表签字并加盖单位公章后生效。</w:t>
      </w:r>
    </w:p>
    <w:p w14:paraId="03727822">
      <w:pPr>
        <w:spacing w:line="420" w:lineRule="exact"/>
        <w:rPr>
          <w:rFonts w:ascii="仿宋" w:hAnsi="仿宋" w:eastAsia="仿宋" w:cs="宋体"/>
          <w:color w:val="auto"/>
          <w:kern w:val="0"/>
        </w:rPr>
      </w:pPr>
      <w:r>
        <w:rPr>
          <w:rFonts w:hint="eastAsia" w:ascii="仿宋" w:hAnsi="仿宋" w:eastAsia="仿宋" w:cs="宋体"/>
          <w:color w:val="auto"/>
          <w:kern w:val="0"/>
        </w:rPr>
        <w:t>17.3</w:t>
      </w:r>
      <w:r>
        <w:rPr>
          <w:rFonts w:ascii="仿宋" w:hAnsi="仿宋" w:eastAsia="仿宋" w:cs="宋体"/>
          <w:color w:val="auto"/>
          <w:kern w:val="0"/>
        </w:rPr>
        <w:t>合同执行中涉及采购资金</w:t>
      </w:r>
      <w:r>
        <w:rPr>
          <w:rFonts w:hint="eastAsia" w:ascii="仿宋" w:hAnsi="仿宋" w:eastAsia="仿宋" w:cs="宋体"/>
          <w:color w:val="auto"/>
          <w:kern w:val="0"/>
        </w:rPr>
        <w:t>追加</w:t>
      </w:r>
      <w:r>
        <w:rPr>
          <w:rFonts w:ascii="仿宋" w:hAnsi="仿宋" w:eastAsia="仿宋" w:cs="宋体"/>
          <w:color w:val="auto"/>
          <w:kern w:val="0"/>
        </w:rPr>
        <w:t>的，须</w:t>
      </w:r>
      <w:r>
        <w:rPr>
          <w:rFonts w:hint="eastAsia" w:ascii="仿宋" w:hAnsi="仿宋" w:eastAsia="仿宋" w:cs="宋体"/>
          <w:color w:val="auto"/>
          <w:kern w:val="0"/>
        </w:rPr>
        <w:t>按照相关规定办理</w:t>
      </w:r>
      <w:r>
        <w:rPr>
          <w:rFonts w:ascii="仿宋" w:hAnsi="仿宋" w:eastAsia="仿宋" w:cs="宋体"/>
          <w:color w:val="auto"/>
          <w:kern w:val="0"/>
        </w:rPr>
        <w:t>。</w:t>
      </w:r>
    </w:p>
    <w:p w14:paraId="045D6AD4">
      <w:pPr>
        <w:spacing w:line="420" w:lineRule="exact"/>
        <w:rPr>
          <w:rFonts w:ascii="仿宋" w:hAnsi="仿宋" w:eastAsia="仿宋" w:cs="宋体"/>
          <w:color w:val="auto"/>
          <w:kern w:val="0"/>
        </w:rPr>
      </w:pPr>
      <w:r>
        <w:rPr>
          <w:rFonts w:hint="eastAsia" w:ascii="仿宋" w:hAnsi="仿宋" w:eastAsia="仿宋" w:cs="宋体"/>
          <w:color w:val="auto"/>
          <w:kern w:val="0"/>
        </w:rPr>
        <w:t>17.4合同变更应符合</w:t>
      </w:r>
      <w:r>
        <w:rPr>
          <w:rFonts w:hint="eastAsia" w:ascii="仿宋" w:hAnsi="仿宋" w:eastAsia="仿宋"/>
          <w:snapToGrid w:val="0"/>
          <w:color w:val="auto"/>
        </w:rPr>
        <w:t>《浙江省政府采购合同暂行办法》(浙财采监[2017]11号)文件的规定。</w:t>
      </w:r>
    </w:p>
    <w:p w14:paraId="47EF656B">
      <w:pPr>
        <w:spacing w:line="420" w:lineRule="exact"/>
        <w:rPr>
          <w:rFonts w:ascii="仿宋" w:hAnsi="仿宋" w:eastAsia="仿宋" w:cs="宋体"/>
          <w:color w:val="auto"/>
          <w:kern w:val="0"/>
        </w:rPr>
      </w:pPr>
      <w:r>
        <w:rPr>
          <w:rFonts w:hint="eastAsia" w:ascii="仿宋" w:hAnsi="仿宋" w:eastAsia="仿宋" w:cs="宋体"/>
          <w:color w:val="auto"/>
          <w:kern w:val="0"/>
        </w:rPr>
        <w:t>17.5</w:t>
      </w:r>
      <w:r>
        <w:rPr>
          <w:rFonts w:ascii="仿宋" w:hAnsi="仿宋" w:eastAsia="仿宋" w:cs="宋体"/>
          <w:color w:val="auto"/>
          <w:kern w:val="0"/>
        </w:rPr>
        <w:t>本合同未尽事宜，遵照《</w:t>
      </w:r>
      <w:r>
        <w:rPr>
          <w:rFonts w:hint="eastAsia" w:ascii="仿宋" w:hAnsi="仿宋" w:eastAsia="仿宋" w:cs="宋体"/>
          <w:color w:val="auto"/>
          <w:kern w:val="0"/>
        </w:rPr>
        <w:t>中华人民共和国民法典</w:t>
      </w:r>
      <w:r>
        <w:rPr>
          <w:rFonts w:ascii="仿宋" w:hAnsi="仿宋" w:eastAsia="仿宋" w:cs="宋体"/>
          <w:color w:val="auto"/>
          <w:kern w:val="0"/>
        </w:rPr>
        <w:t>》有关条文执行。</w:t>
      </w:r>
    </w:p>
    <w:p w14:paraId="0C036EEA">
      <w:pPr>
        <w:spacing w:line="420" w:lineRule="exact"/>
        <w:rPr>
          <w:rFonts w:ascii="仿宋" w:hAnsi="仿宋" w:eastAsia="仿宋" w:cs="宋体"/>
          <w:color w:val="auto"/>
          <w:kern w:val="0"/>
        </w:rPr>
      </w:pPr>
      <w:r>
        <w:rPr>
          <w:rFonts w:hint="eastAsia" w:ascii="仿宋" w:hAnsi="仿宋" w:eastAsia="仿宋" w:cs="宋体"/>
          <w:color w:val="auto"/>
          <w:kern w:val="0"/>
        </w:rPr>
        <w:t xml:space="preserve">17.6 </w:t>
      </w:r>
      <w:r>
        <w:rPr>
          <w:rFonts w:ascii="仿宋" w:hAnsi="仿宋" w:eastAsia="仿宋" w:cs="宋体"/>
          <w:color w:val="auto"/>
          <w:kern w:val="0"/>
        </w:rPr>
        <w:t>本合同一式</w:t>
      </w:r>
      <w:r>
        <w:rPr>
          <w:rFonts w:hint="eastAsia" w:ascii="仿宋" w:hAnsi="仿宋" w:eastAsia="仿宋" w:cs="宋体"/>
          <w:color w:val="auto"/>
          <w:kern w:val="0"/>
        </w:rPr>
        <w:t>肆</w:t>
      </w:r>
      <w:r>
        <w:rPr>
          <w:rFonts w:ascii="仿宋" w:hAnsi="仿宋" w:eastAsia="仿宋" w:cs="宋体"/>
          <w:color w:val="auto"/>
          <w:kern w:val="0"/>
        </w:rPr>
        <w:t>份，具有同等法律效力，甲乙双方各执贰份。</w:t>
      </w:r>
    </w:p>
    <w:p w14:paraId="5DBFE221">
      <w:pPr>
        <w:spacing w:line="660" w:lineRule="exact"/>
        <w:rPr>
          <w:rFonts w:ascii="仿宋" w:hAnsi="仿宋" w:eastAsia="仿宋"/>
          <w:color w:val="auto"/>
        </w:rPr>
      </w:pPr>
      <w:r>
        <w:rPr>
          <w:rFonts w:hint="eastAsia" w:ascii="仿宋" w:hAnsi="仿宋" w:eastAsia="仿宋"/>
          <w:color w:val="auto"/>
        </w:rPr>
        <w:t>甲方（盖章）</w:t>
      </w:r>
      <w:r>
        <w:rPr>
          <w:rFonts w:ascii="仿宋" w:hAnsi="仿宋" w:eastAsia="仿宋"/>
          <w:color w:val="auto"/>
        </w:rPr>
        <w:t>：　　　　　　</w:t>
      </w:r>
      <w:r>
        <w:rPr>
          <w:rFonts w:hint="eastAsia" w:ascii="仿宋" w:hAnsi="仿宋" w:eastAsia="仿宋"/>
          <w:color w:val="auto"/>
        </w:rPr>
        <w:t xml:space="preserve">                乙方（盖章）</w:t>
      </w:r>
      <w:r>
        <w:rPr>
          <w:rFonts w:ascii="仿宋" w:hAnsi="仿宋" w:eastAsia="仿宋"/>
          <w:color w:val="auto"/>
        </w:rPr>
        <w:t>：</w:t>
      </w:r>
    </w:p>
    <w:p w14:paraId="2750EEEB">
      <w:pPr>
        <w:tabs>
          <w:tab w:val="left" w:pos="2310"/>
        </w:tabs>
        <w:spacing w:line="660" w:lineRule="exact"/>
        <w:rPr>
          <w:rFonts w:ascii="仿宋" w:hAnsi="仿宋" w:eastAsia="仿宋"/>
          <w:color w:val="auto"/>
        </w:rPr>
      </w:pPr>
      <w:r>
        <w:rPr>
          <w:rFonts w:hint="eastAsia" w:ascii="仿宋" w:hAnsi="仿宋" w:eastAsia="仿宋"/>
          <w:color w:val="auto"/>
        </w:rPr>
        <w:t xml:space="preserve">单位负责人                                法定代表人（或负责人或经营者）                 </w:t>
      </w:r>
    </w:p>
    <w:p w14:paraId="1E54CE8C">
      <w:pPr>
        <w:snapToGrid w:val="0"/>
        <w:spacing w:line="660" w:lineRule="exact"/>
        <w:rPr>
          <w:rFonts w:ascii="仿宋" w:hAnsi="仿宋" w:eastAsia="仿宋"/>
          <w:color w:val="auto"/>
        </w:rPr>
      </w:pPr>
      <w:r>
        <w:rPr>
          <w:rFonts w:hint="eastAsia" w:ascii="仿宋" w:hAnsi="仿宋" w:eastAsia="仿宋"/>
          <w:color w:val="auto"/>
        </w:rPr>
        <w:t xml:space="preserve">或委托代理人  </w:t>
      </w:r>
      <w:r>
        <w:rPr>
          <w:rFonts w:hint="eastAsia" w:ascii="仿宋" w:hAnsi="仿宋" w:eastAsia="仿宋"/>
          <w:color w:val="auto"/>
          <w:position w:val="30"/>
        </w:rPr>
        <w:t>（签字）：</w:t>
      </w:r>
      <w:r>
        <w:rPr>
          <w:rFonts w:hint="eastAsia" w:ascii="仿宋" w:hAnsi="仿宋" w:eastAsia="仿宋"/>
          <w:color w:val="auto"/>
        </w:rPr>
        <w:t xml:space="preserve">                  或委托代理人          </w:t>
      </w:r>
      <w:r>
        <w:rPr>
          <w:rFonts w:hint="eastAsia" w:ascii="仿宋" w:hAnsi="仿宋" w:eastAsia="仿宋"/>
          <w:color w:val="auto"/>
          <w:position w:val="30"/>
        </w:rPr>
        <w:t xml:space="preserve">（签字）：     </w:t>
      </w:r>
    </w:p>
    <w:p w14:paraId="1E7DC25F">
      <w:pPr>
        <w:spacing w:line="660" w:lineRule="exact"/>
        <w:rPr>
          <w:rFonts w:ascii="仿宋" w:hAnsi="仿宋" w:eastAsia="仿宋"/>
          <w:color w:val="auto"/>
        </w:rPr>
      </w:pPr>
      <w:r>
        <w:rPr>
          <w:rFonts w:hint="eastAsia" w:ascii="仿宋" w:hAnsi="仿宋" w:eastAsia="仿宋"/>
          <w:color w:val="auto"/>
        </w:rPr>
        <w:t xml:space="preserve">电  话：                                  电  话：                   </w:t>
      </w:r>
    </w:p>
    <w:p w14:paraId="707F7102">
      <w:pPr>
        <w:spacing w:line="660" w:lineRule="exact"/>
        <w:rPr>
          <w:rFonts w:ascii="仿宋" w:hAnsi="仿宋" w:eastAsia="仿宋"/>
          <w:color w:val="auto"/>
        </w:rPr>
      </w:pPr>
      <w:r>
        <w:rPr>
          <w:rFonts w:hint="eastAsia" w:ascii="仿宋" w:hAnsi="仿宋" w:eastAsia="仿宋"/>
          <w:color w:val="auto"/>
        </w:rPr>
        <w:t>开户银行：                                开户银行：</w:t>
      </w:r>
    </w:p>
    <w:p w14:paraId="6E184931">
      <w:pPr>
        <w:spacing w:line="660" w:lineRule="exact"/>
        <w:rPr>
          <w:rFonts w:ascii="仿宋" w:hAnsi="仿宋" w:eastAsia="仿宋"/>
          <w:color w:val="auto"/>
        </w:rPr>
      </w:pPr>
      <w:r>
        <w:rPr>
          <w:rFonts w:hint="eastAsia" w:ascii="仿宋" w:hAnsi="仿宋" w:eastAsia="仿宋"/>
          <w:color w:val="auto"/>
        </w:rPr>
        <w:t>帐  号：                                  帐  号：</w:t>
      </w:r>
    </w:p>
    <w:p w14:paraId="6A639F2A">
      <w:pPr>
        <w:spacing w:line="660" w:lineRule="exact"/>
        <w:rPr>
          <w:rFonts w:ascii="仿宋" w:hAnsi="仿宋" w:eastAsia="仿宋"/>
          <w:color w:val="auto"/>
        </w:rPr>
      </w:pPr>
      <w:r>
        <w:rPr>
          <w:rFonts w:hint="eastAsia" w:ascii="仿宋" w:hAnsi="仿宋" w:eastAsia="仿宋"/>
          <w:color w:val="auto"/>
        </w:rPr>
        <w:t>单位地址：                                单位地址：</w:t>
      </w:r>
    </w:p>
    <w:p w14:paraId="476232F0">
      <w:pPr>
        <w:spacing w:line="660" w:lineRule="exact"/>
        <w:rPr>
          <w:rFonts w:ascii="仿宋" w:hAnsi="仿宋" w:eastAsia="仿宋"/>
          <w:color w:val="auto"/>
        </w:rPr>
      </w:pPr>
      <w:r>
        <w:rPr>
          <w:rFonts w:hint="eastAsia" w:ascii="仿宋" w:hAnsi="仿宋" w:eastAsia="仿宋"/>
          <w:color w:val="auto"/>
        </w:rPr>
        <w:t xml:space="preserve">签订地点：                                签订时间：   年    月  </w:t>
      </w:r>
    </w:p>
    <w:p w14:paraId="2CCA73FA">
      <w:pPr>
        <w:spacing w:line="660" w:lineRule="exact"/>
        <w:rPr>
          <w:rFonts w:ascii="仿宋" w:hAnsi="仿宋" w:eastAsia="仿宋"/>
          <w:color w:val="auto"/>
        </w:rPr>
      </w:pPr>
    </w:p>
    <w:p w14:paraId="6F6253B5">
      <w:pPr>
        <w:widowControl/>
        <w:jc w:val="left"/>
        <w:rPr>
          <w:rFonts w:ascii="仿宋" w:hAnsi="仿宋" w:eastAsia="仿宋" w:cs="仿宋"/>
          <w:b/>
          <w:color w:val="auto"/>
          <w:sz w:val="24"/>
        </w:rPr>
      </w:pPr>
      <w:r>
        <w:rPr>
          <w:rFonts w:ascii="仿宋" w:hAnsi="仿宋" w:eastAsia="仿宋" w:cs="仿宋"/>
          <w:b/>
          <w:color w:val="auto"/>
          <w:sz w:val="24"/>
        </w:rPr>
        <w:br w:type="page"/>
      </w:r>
    </w:p>
    <w:p w14:paraId="56128561">
      <w:pPr>
        <w:widowControl/>
        <w:jc w:val="center"/>
        <w:rPr>
          <w:rFonts w:ascii="仿宋" w:hAnsi="仿宋" w:eastAsia="仿宋" w:cs="仿宋"/>
          <w:b/>
          <w:color w:val="auto"/>
          <w:sz w:val="24"/>
        </w:rPr>
      </w:pPr>
      <w:r>
        <w:rPr>
          <w:rFonts w:hint="eastAsia" w:ascii="仿宋" w:hAnsi="仿宋" w:eastAsia="仿宋" w:cs="仿宋"/>
          <w:b/>
          <w:color w:val="auto"/>
          <w:sz w:val="24"/>
        </w:rPr>
        <w:t>第四章  采购内容及要求</w:t>
      </w:r>
      <w:bookmarkStart w:id="2" w:name="_Toc432776699"/>
    </w:p>
    <w:bookmarkEnd w:id="2"/>
    <w:p w14:paraId="75F32633">
      <w:pPr>
        <w:spacing w:line="360" w:lineRule="auto"/>
        <w:rPr>
          <w:rFonts w:ascii="仿宋" w:hAnsi="仿宋" w:eastAsia="仿宋"/>
          <w:b/>
          <w:color w:val="auto"/>
        </w:rPr>
      </w:pPr>
      <w:r>
        <w:rPr>
          <w:rFonts w:ascii="仿宋" w:hAnsi="仿宋" w:eastAsia="仿宋"/>
          <w:b/>
          <w:color w:val="auto"/>
          <w:sz w:val="24"/>
        </w:rPr>
        <w:t>一、</w:t>
      </w:r>
      <w:r>
        <w:rPr>
          <w:rFonts w:hint="eastAsia" w:ascii="仿宋" w:hAnsi="仿宋" w:eastAsia="仿宋"/>
          <w:b/>
          <w:color w:val="auto"/>
          <w:sz w:val="24"/>
        </w:rPr>
        <w:t>采购</w:t>
      </w:r>
      <w:r>
        <w:rPr>
          <w:rFonts w:ascii="仿宋" w:hAnsi="仿宋" w:eastAsia="仿宋"/>
          <w:b/>
          <w:color w:val="auto"/>
          <w:sz w:val="24"/>
        </w:rPr>
        <w:t>项目内容：</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694"/>
        <w:gridCol w:w="2881"/>
        <w:gridCol w:w="2436"/>
      </w:tblGrid>
      <w:tr w14:paraId="1877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vAlign w:val="center"/>
          </w:tcPr>
          <w:p w14:paraId="1A6B816A">
            <w:pPr>
              <w:adjustRightInd w:val="0"/>
              <w:snapToGrid w:val="0"/>
              <w:spacing w:line="360" w:lineRule="exact"/>
              <w:jc w:val="center"/>
              <w:rPr>
                <w:rFonts w:ascii="仿宋" w:hAnsi="仿宋" w:eastAsia="仿宋"/>
                <w:b/>
                <w:color w:val="auto"/>
              </w:rPr>
            </w:pPr>
            <w:r>
              <w:rPr>
                <w:rFonts w:hint="eastAsia" w:ascii="仿宋" w:hAnsi="仿宋" w:eastAsia="仿宋"/>
                <w:b/>
                <w:color w:val="auto"/>
              </w:rPr>
              <w:t>序号</w:t>
            </w:r>
          </w:p>
        </w:tc>
        <w:tc>
          <w:tcPr>
            <w:tcW w:w="2694" w:type="dxa"/>
            <w:vAlign w:val="center"/>
          </w:tcPr>
          <w:p w14:paraId="1E62EE82">
            <w:pPr>
              <w:adjustRightInd w:val="0"/>
              <w:snapToGrid w:val="0"/>
              <w:spacing w:line="360" w:lineRule="exact"/>
              <w:jc w:val="center"/>
              <w:rPr>
                <w:rFonts w:ascii="仿宋" w:hAnsi="仿宋" w:eastAsia="仿宋"/>
                <w:b/>
                <w:color w:val="auto"/>
              </w:rPr>
            </w:pPr>
            <w:r>
              <w:rPr>
                <w:rFonts w:hint="eastAsia" w:ascii="仿宋" w:hAnsi="仿宋" w:eastAsia="仿宋"/>
                <w:b/>
                <w:color w:val="auto"/>
              </w:rPr>
              <w:t>项目概要</w:t>
            </w:r>
          </w:p>
        </w:tc>
        <w:tc>
          <w:tcPr>
            <w:tcW w:w="2881" w:type="dxa"/>
            <w:vAlign w:val="center"/>
          </w:tcPr>
          <w:p w14:paraId="00FD0E7D">
            <w:pPr>
              <w:adjustRightInd w:val="0"/>
              <w:snapToGrid w:val="0"/>
              <w:spacing w:line="360" w:lineRule="exact"/>
              <w:ind w:firstLine="211" w:firstLineChars="100"/>
              <w:jc w:val="center"/>
              <w:rPr>
                <w:rFonts w:ascii="仿宋" w:hAnsi="仿宋" w:eastAsia="仿宋"/>
                <w:b/>
                <w:color w:val="auto"/>
              </w:rPr>
            </w:pPr>
            <w:r>
              <w:rPr>
                <w:rFonts w:hint="eastAsia" w:ascii="仿宋" w:hAnsi="仿宋" w:eastAsia="仿宋"/>
                <w:b/>
                <w:color w:val="auto"/>
              </w:rPr>
              <w:t>供货期限</w:t>
            </w:r>
          </w:p>
        </w:tc>
        <w:tc>
          <w:tcPr>
            <w:tcW w:w="2436" w:type="dxa"/>
            <w:vAlign w:val="center"/>
          </w:tcPr>
          <w:p w14:paraId="0F187788">
            <w:pPr>
              <w:adjustRightInd w:val="0"/>
              <w:snapToGrid w:val="0"/>
              <w:spacing w:line="360" w:lineRule="exact"/>
              <w:jc w:val="center"/>
              <w:rPr>
                <w:rFonts w:ascii="仿宋" w:hAnsi="仿宋" w:eastAsia="仿宋"/>
                <w:b/>
                <w:color w:val="auto"/>
              </w:rPr>
            </w:pPr>
            <w:r>
              <w:rPr>
                <w:rFonts w:hint="eastAsia" w:ascii="仿宋" w:hAnsi="仿宋" w:eastAsia="仿宋"/>
                <w:b/>
                <w:color w:val="auto"/>
              </w:rPr>
              <w:t>预算金额/最高限价</w:t>
            </w:r>
          </w:p>
        </w:tc>
      </w:tr>
      <w:tr w14:paraId="0038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83" w:type="dxa"/>
            <w:vAlign w:val="center"/>
          </w:tcPr>
          <w:p w14:paraId="2A31B69B">
            <w:pPr>
              <w:adjustRightInd w:val="0"/>
              <w:snapToGrid w:val="0"/>
              <w:spacing w:line="360" w:lineRule="exact"/>
              <w:jc w:val="center"/>
              <w:rPr>
                <w:rFonts w:ascii="仿宋" w:hAnsi="仿宋" w:eastAsia="仿宋"/>
                <w:color w:val="auto"/>
              </w:rPr>
            </w:pPr>
            <w:r>
              <w:rPr>
                <w:rFonts w:hint="eastAsia" w:ascii="仿宋" w:hAnsi="仿宋" w:eastAsia="仿宋"/>
                <w:color w:val="auto"/>
              </w:rPr>
              <w:t>1</w:t>
            </w:r>
          </w:p>
        </w:tc>
        <w:tc>
          <w:tcPr>
            <w:tcW w:w="2694" w:type="dxa"/>
            <w:vAlign w:val="center"/>
          </w:tcPr>
          <w:p w14:paraId="50F1DB25">
            <w:pPr>
              <w:adjustRightInd w:val="0"/>
              <w:snapToGrid w:val="0"/>
              <w:spacing w:line="360" w:lineRule="exact"/>
              <w:jc w:val="center"/>
              <w:rPr>
                <w:rFonts w:hint="eastAsia" w:ascii="仿宋" w:hAnsi="仿宋" w:eastAsia="仿宋"/>
                <w:color w:val="auto"/>
                <w:lang w:eastAsia="zh-CN"/>
              </w:rPr>
            </w:pPr>
            <w:r>
              <w:rPr>
                <w:rFonts w:hint="eastAsia" w:ascii="仿宋" w:hAnsi="仿宋" w:eastAsia="仿宋"/>
                <w:color w:val="auto"/>
                <w:lang w:eastAsia="zh-CN"/>
              </w:rPr>
              <w:t>梁弄镇白水冲村P2.5彩LED显示屏及音响设备采购项目</w:t>
            </w:r>
          </w:p>
        </w:tc>
        <w:tc>
          <w:tcPr>
            <w:tcW w:w="2881" w:type="dxa"/>
            <w:vAlign w:val="center"/>
          </w:tcPr>
          <w:p w14:paraId="1160627C">
            <w:pPr>
              <w:adjustRightInd w:val="0"/>
              <w:snapToGrid w:val="0"/>
              <w:spacing w:line="360" w:lineRule="exact"/>
              <w:jc w:val="center"/>
              <w:rPr>
                <w:rFonts w:hint="eastAsia" w:ascii="仿宋" w:hAnsi="仿宋" w:eastAsia="仿宋"/>
                <w:color w:val="auto"/>
                <w:lang w:eastAsia="zh-CN"/>
              </w:rPr>
            </w:pPr>
            <w:r>
              <w:rPr>
                <w:rFonts w:hint="eastAsia" w:ascii="仿宋" w:hAnsi="仿宋" w:eastAsia="仿宋"/>
                <w:color w:val="auto"/>
                <w:lang w:eastAsia="zh-CN"/>
              </w:rPr>
              <w:t>合同签订之日起20日历天内完成供货、安装且通过验收</w:t>
            </w:r>
          </w:p>
        </w:tc>
        <w:tc>
          <w:tcPr>
            <w:tcW w:w="2436" w:type="dxa"/>
            <w:vAlign w:val="center"/>
          </w:tcPr>
          <w:p w14:paraId="3124C0CF">
            <w:pPr>
              <w:adjustRightInd w:val="0"/>
              <w:snapToGrid w:val="0"/>
              <w:spacing w:line="360" w:lineRule="exact"/>
              <w:jc w:val="center"/>
              <w:rPr>
                <w:rFonts w:ascii="仿宋" w:hAnsi="仿宋" w:eastAsia="仿宋"/>
                <w:color w:val="auto"/>
              </w:rPr>
            </w:pPr>
            <w:r>
              <w:rPr>
                <w:rFonts w:hint="eastAsia" w:ascii="仿宋" w:hAnsi="仿宋" w:eastAsia="仿宋"/>
                <w:color w:val="auto"/>
                <w:lang w:eastAsia="zh-CN"/>
              </w:rPr>
              <w:t>137300</w:t>
            </w:r>
            <w:r>
              <w:rPr>
                <w:rFonts w:ascii="仿宋" w:hAnsi="仿宋" w:eastAsia="仿宋"/>
                <w:color w:val="auto"/>
              </w:rPr>
              <w:t>元</w:t>
            </w:r>
          </w:p>
        </w:tc>
      </w:tr>
    </w:tbl>
    <w:p w14:paraId="1315F3ED">
      <w:pPr>
        <w:spacing w:line="360" w:lineRule="auto"/>
        <w:ind w:firstLine="420" w:firstLineChars="200"/>
        <w:outlineLvl w:val="1"/>
        <w:rPr>
          <w:rFonts w:ascii="仿宋" w:hAnsi="仿宋" w:eastAsia="仿宋" w:cs="宋体"/>
          <w:color w:val="auto"/>
        </w:rPr>
      </w:pPr>
    </w:p>
    <w:p w14:paraId="6A44ADD3">
      <w:pPr>
        <w:spacing w:line="360" w:lineRule="auto"/>
        <w:rPr>
          <w:rFonts w:ascii="仿宋" w:hAnsi="仿宋" w:eastAsia="仿宋"/>
          <w:b/>
          <w:color w:val="auto"/>
          <w:sz w:val="24"/>
        </w:rPr>
      </w:pPr>
      <w:r>
        <w:rPr>
          <w:rFonts w:hint="eastAsia" w:ascii="仿宋" w:hAnsi="仿宋" w:eastAsia="仿宋"/>
          <w:b/>
          <w:color w:val="auto"/>
          <w:sz w:val="24"/>
        </w:rPr>
        <w:t>二、采购清单</w:t>
      </w:r>
    </w:p>
    <w:p w14:paraId="18015633">
      <w:pPr>
        <w:rPr>
          <w:rFonts w:hint="eastAsia" w:ascii="新宋体" w:hAnsi="新宋体" w:eastAsia="新宋体"/>
          <w:b/>
          <w:bCs/>
          <w:color w:val="auto"/>
          <w:sz w:val="24"/>
        </w:rPr>
      </w:pPr>
      <w:r>
        <w:rPr>
          <w:rFonts w:hint="eastAsia" w:ascii="新宋体" w:hAnsi="新宋体" w:eastAsia="新宋体"/>
          <w:b/>
          <w:bCs/>
          <w:color w:val="auto"/>
          <w:sz w:val="24"/>
        </w:rPr>
        <w:t>显示面积5.12*2.72=13.93平方米</w:t>
      </w:r>
    </w:p>
    <w:p w14:paraId="7ED7ACFF">
      <w:pPr>
        <w:rPr>
          <w:rFonts w:hint="eastAsia" w:ascii="新宋体" w:hAnsi="新宋体" w:eastAsia="新宋体"/>
          <w:b/>
          <w:bCs/>
          <w:color w:val="auto"/>
          <w:sz w:val="24"/>
        </w:rPr>
      </w:pPr>
      <w:r>
        <w:rPr>
          <w:rFonts w:hint="eastAsia" w:ascii="新宋体" w:hAnsi="新宋体" w:eastAsia="新宋体"/>
          <w:b/>
          <w:bCs/>
          <w:color w:val="auto"/>
          <w:sz w:val="24"/>
        </w:rPr>
        <w:t>屏分辨率2048*1088</w:t>
      </w:r>
    </w:p>
    <w:tbl>
      <w:tblPr>
        <w:tblStyle w:val="49"/>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596"/>
        <w:gridCol w:w="1261"/>
        <w:gridCol w:w="1362"/>
        <w:gridCol w:w="850"/>
        <w:gridCol w:w="892"/>
        <w:gridCol w:w="915"/>
        <w:gridCol w:w="36"/>
        <w:gridCol w:w="1192"/>
        <w:gridCol w:w="272"/>
        <w:gridCol w:w="1368"/>
      </w:tblGrid>
      <w:tr w14:paraId="0696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5B4A4BF5">
            <w:pPr>
              <w:jc w:val="center"/>
              <w:rPr>
                <w:rFonts w:hint="eastAsia" w:ascii="新宋体" w:hAnsi="新宋体" w:eastAsia="新宋体"/>
                <w:b/>
                <w:color w:val="auto"/>
                <w:sz w:val="24"/>
              </w:rPr>
            </w:pPr>
            <w:r>
              <w:rPr>
                <w:rFonts w:hint="eastAsia" w:ascii="新宋体" w:hAnsi="新宋体" w:eastAsia="新宋体"/>
                <w:b/>
                <w:color w:val="auto"/>
                <w:sz w:val="24"/>
              </w:rPr>
              <w:t>序号</w:t>
            </w:r>
          </w:p>
        </w:tc>
        <w:tc>
          <w:tcPr>
            <w:tcW w:w="1596" w:type="dxa"/>
            <w:tcBorders>
              <w:top w:val="single" w:color="auto" w:sz="4" w:space="0"/>
              <w:left w:val="single" w:color="auto" w:sz="4" w:space="0"/>
              <w:bottom w:val="single" w:color="auto" w:sz="4" w:space="0"/>
              <w:right w:val="single" w:color="auto" w:sz="4" w:space="0"/>
            </w:tcBorders>
            <w:vAlign w:val="center"/>
          </w:tcPr>
          <w:p w14:paraId="4EC08695">
            <w:pPr>
              <w:jc w:val="center"/>
              <w:rPr>
                <w:rFonts w:hint="eastAsia" w:ascii="新宋体" w:hAnsi="新宋体" w:eastAsia="新宋体"/>
                <w:b/>
                <w:color w:val="auto"/>
                <w:sz w:val="24"/>
              </w:rPr>
            </w:pPr>
            <w:r>
              <w:rPr>
                <w:rFonts w:hint="eastAsia" w:ascii="新宋体" w:hAnsi="新宋体" w:eastAsia="新宋体"/>
                <w:b/>
                <w:color w:val="auto"/>
                <w:sz w:val="24"/>
              </w:rPr>
              <w:t>产品名称</w:t>
            </w:r>
          </w:p>
        </w:tc>
        <w:tc>
          <w:tcPr>
            <w:tcW w:w="1261" w:type="dxa"/>
            <w:tcBorders>
              <w:top w:val="single" w:color="auto" w:sz="4" w:space="0"/>
              <w:left w:val="single" w:color="auto" w:sz="4" w:space="0"/>
              <w:bottom w:val="single" w:color="auto" w:sz="4" w:space="0"/>
              <w:right w:val="single" w:color="auto" w:sz="4" w:space="0"/>
            </w:tcBorders>
            <w:vAlign w:val="center"/>
          </w:tcPr>
          <w:p w14:paraId="341C6AB4">
            <w:pPr>
              <w:jc w:val="center"/>
              <w:rPr>
                <w:rFonts w:hint="eastAsia" w:ascii="新宋体" w:hAnsi="新宋体" w:eastAsia="新宋体"/>
                <w:b/>
                <w:color w:val="auto"/>
                <w:sz w:val="24"/>
              </w:rPr>
            </w:pPr>
            <w:r>
              <w:rPr>
                <w:rFonts w:hint="eastAsia" w:ascii="新宋体" w:hAnsi="新宋体" w:eastAsia="新宋体"/>
                <w:b/>
                <w:color w:val="auto"/>
                <w:sz w:val="24"/>
              </w:rPr>
              <w:t>型号</w:t>
            </w:r>
          </w:p>
        </w:tc>
        <w:tc>
          <w:tcPr>
            <w:tcW w:w="1362" w:type="dxa"/>
            <w:tcBorders>
              <w:top w:val="single" w:color="auto" w:sz="4" w:space="0"/>
              <w:left w:val="single" w:color="auto" w:sz="4" w:space="0"/>
              <w:bottom w:val="single" w:color="auto" w:sz="4" w:space="0"/>
              <w:right w:val="single" w:color="auto" w:sz="4" w:space="0"/>
            </w:tcBorders>
            <w:vAlign w:val="center"/>
          </w:tcPr>
          <w:p w14:paraId="37F7CEA0">
            <w:pPr>
              <w:jc w:val="center"/>
              <w:rPr>
                <w:rFonts w:hint="eastAsia" w:ascii="新宋体" w:hAnsi="新宋体" w:eastAsia="新宋体"/>
                <w:b/>
                <w:color w:val="auto"/>
                <w:sz w:val="24"/>
              </w:rPr>
            </w:pPr>
            <w:r>
              <w:rPr>
                <w:rFonts w:hint="eastAsia" w:ascii="新宋体" w:hAnsi="新宋体" w:eastAsia="新宋体"/>
                <w:b/>
                <w:color w:val="auto"/>
                <w:sz w:val="24"/>
              </w:rPr>
              <w:t>产地</w:t>
            </w:r>
            <w:r>
              <w:rPr>
                <w:rFonts w:hint="eastAsia" w:ascii="新宋体" w:hAnsi="新宋体" w:eastAsia="新宋体"/>
                <w:b/>
                <w:color w:val="auto"/>
                <w:sz w:val="24"/>
              </w:rPr>
              <w:br w:type="textWrapping"/>
            </w:r>
            <w:r>
              <w:rPr>
                <w:rFonts w:hint="eastAsia" w:ascii="新宋体" w:hAnsi="新宋体" w:eastAsia="新宋体"/>
                <w:b/>
                <w:color w:val="auto"/>
                <w:sz w:val="24"/>
              </w:rPr>
              <w:t>品牌</w:t>
            </w:r>
          </w:p>
        </w:tc>
        <w:tc>
          <w:tcPr>
            <w:tcW w:w="850" w:type="dxa"/>
            <w:tcBorders>
              <w:top w:val="single" w:color="auto" w:sz="4" w:space="0"/>
              <w:left w:val="single" w:color="auto" w:sz="4" w:space="0"/>
              <w:bottom w:val="single" w:color="auto" w:sz="4" w:space="0"/>
              <w:right w:val="single" w:color="auto" w:sz="4" w:space="0"/>
            </w:tcBorders>
            <w:vAlign w:val="center"/>
          </w:tcPr>
          <w:p w14:paraId="6FDB3A6D">
            <w:pPr>
              <w:jc w:val="center"/>
              <w:rPr>
                <w:rFonts w:hint="eastAsia" w:ascii="新宋体" w:hAnsi="新宋体" w:eastAsia="新宋体"/>
                <w:b/>
                <w:color w:val="auto"/>
                <w:sz w:val="24"/>
              </w:rPr>
            </w:pPr>
            <w:r>
              <w:rPr>
                <w:rFonts w:hint="eastAsia" w:ascii="新宋体" w:hAnsi="新宋体" w:eastAsia="新宋体"/>
                <w:b/>
                <w:color w:val="auto"/>
                <w:sz w:val="24"/>
              </w:rPr>
              <w:t>数量</w:t>
            </w:r>
          </w:p>
        </w:tc>
        <w:tc>
          <w:tcPr>
            <w:tcW w:w="892" w:type="dxa"/>
            <w:tcBorders>
              <w:top w:val="single" w:color="auto" w:sz="4" w:space="0"/>
              <w:left w:val="single" w:color="auto" w:sz="4" w:space="0"/>
              <w:bottom w:val="single" w:color="auto" w:sz="4" w:space="0"/>
              <w:right w:val="single" w:color="auto" w:sz="4" w:space="0"/>
            </w:tcBorders>
            <w:vAlign w:val="center"/>
          </w:tcPr>
          <w:p w14:paraId="7ECF3E0C">
            <w:pPr>
              <w:jc w:val="center"/>
              <w:rPr>
                <w:rFonts w:hint="eastAsia" w:ascii="新宋体" w:hAnsi="新宋体" w:eastAsia="新宋体"/>
                <w:b/>
                <w:color w:val="auto"/>
                <w:sz w:val="24"/>
              </w:rPr>
            </w:pPr>
            <w:r>
              <w:rPr>
                <w:rFonts w:hint="eastAsia" w:ascii="新宋体" w:hAnsi="新宋体" w:eastAsia="新宋体"/>
                <w:b/>
                <w:color w:val="auto"/>
                <w:sz w:val="24"/>
              </w:rPr>
              <w:t>单位</w:t>
            </w:r>
          </w:p>
        </w:tc>
        <w:tc>
          <w:tcPr>
            <w:tcW w:w="951" w:type="dxa"/>
            <w:gridSpan w:val="2"/>
            <w:tcBorders>
              <w:top w:val="single" w:color="auto" w:sz="4" w:space="0"/>
              <w:left w:val="single" w:color="auto" w:sz="4" w:space="0"/>
              <w:bottom w:val="single" w:color="auto" w:sz="4" w:space="0"/>
              <w:right w:val="single" w:color="auto" w:sz="4" w:space="0"/>
            </w:tcBorders>
            <w:vAlign w:val="center"/>
          </w:tcPr>
          <w:p w14:paraId="1D12D7DD">
            <w:pPr>
              <w:jc w:val="center"/>
              <w:rPr>
                <w:rFonts w:hint="eastAsia" w:ascii="新宋体" w:hAnsi="新宋体" w:eastAsia="新宋体"/>
                <w:b/>
                <w:color w:val="auto"/>
                <w:sz w:val="24"/>
              </w:rPr>
            </w:pPr>
            <w:r>
              <w:rPr>
                <w:rFonts w:hint="eastAsia" w:ascii="新宋体" w:hAnsi="新宋体" w:eastAsia="新宋体"/>
                <w:b/>
                <w:color w:val="auto"/>
                <w:sz w:val="24"/>
              </w:rPr>
              <w:t>单价（元）</w:t>
            </w:r>
          </w:p>
        </w:tc>
        <w:tc>
          <w:tcPr>
            <w:tcW w:w="1192" w:type="dxa"/>
            <w:tcBorders>
              <w:top w:val="single" w:color="auto" w:sz="4" w:space="0"/>
              <w:left w:val="single" w:color="auto" w:sz="4" w:space="0"/>
              <w:bottom w:val="single" w:color="auto" w:sz="4" w:space="0"/>
              <w:right w:val="single" w:color="auto" w:sz="4" w:space="0"/>
            </w:tcBorders>
            <w:vAlign w:val="center"/>
          </w:tcPr>
          <w:p w14:paraId="328B8C39">
            <w:pPr>
              <w:jc w:val="center"/>
              <w:rPr>
                <w:rFonts w:hint="eastAsia" w:ascii="新宋体" w:hAnsi="新宋体" w:eastAsia="新宋体"/>
                <w:b/>
                <w:color w:val="auto"/>
                <w:sz w:val="24"/>
              </w:rPr>
            </w:pPr>
            <w:r>
              <w:rPr>
                <w:rFonts w:hint="eastAsia" w:ascii="新宋体" w:hAnsi="新宋体" w:eastAsia="新宋体"/>
                <w:b/>
                <w:color w:val="auto"/>
                <w:sz w:val="24"/>
              </w:rPr>
              <w:t>总价（元）</w:t>
            </w: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612A55EE">
            <w:pPr>
              <w:jc w:val="center"/>
              <w:rPr>
                <w:rFonts w:hint="eastAsia" w:ascii="新宋体" w:hAnsi="新宋体" w:eastAsia="新宋体"/>
                <w:b/>
                <w:color w:val="auto"/>
                <w:sz w:val="24"/>
              </w:rPr>
            </w:pPr>
            <w:r>
              <w:rPr>
                <w:rFonts w:hint="eastAsia" w:ascii="新宋体" w:hAnsi="新宋体" w:eastAsia="新宋体"/>
                <w:b/>
                <w:color w:val="auto"/>
                <w:sz w:val="24"/>
              </w:rPr>
              <w:t>备注</w:t>
            </w:r>
          </w:p>
        </w:tc>
      </w:tr>
      <w:tr w14:paraId="55AD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10200" w:type="dxa"/>
            <w:gridSpan w:val="11"/>
            <w:tcBorders>
              <w:top w:val="single" w:color="auto" w:sz="4" w:space="0"/>
              <w:left w:val="single" w:color="auto" w:sz="4" w:space="0"/>
              <w:bottom w:val="single" w:color="auto" w:sz="4" w:space="0"/>
              <w:right w:val="single" w:color="auto" w:sz="4" w:space="0"/>
            </w:tcBorders>
            <w:vAlign w:val="center"/>
          </w:tcPr>
          <w:p w14:paraId="393D6F78">
            <w:pPr>
              <w:jc w:val="center"/>
              <w:rPr>
                <w:rFonts w:hint="eastAsia" w:ascii="新宋体" w:hAnsi="新宋体" w:eastAsia="新宋体"/>
                <w:b/>
                <w:color w:val="auto"/>
                <w:sz w:val="24"/>
              </w:rPr>
            </w:pPr>
            <w:r>
              <w:rPr>
                <w:rFonts w:hint="eastAsia" w:ascii="新宋体" w:hAnsi="新宋体" w:eastAsia="新宋体"/>
                <w:b/>
                <w:color w:val="auto"/>
                <w:sz w:val="24"/>
              </w:rPr>
              <w:t>屏体部分</w:t>
            </w:r>
          </w:p>
        </w:tc>
      </w:tr>
      <w:tr w14:paraId="077C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5B0C7764">
            <w:pPr>
              <w:jc w:val="center"/>
              <w:rPr>
                <w:rFonts w:hint="eastAsia" w:ascii="新宋体" w:hAnsi="新宋体" w:eastAsia="新宋体"/>
                <w:color w:val="auto"/>
                <w:sz w:val="24"/>
              </w:rPr>
            </w:pPr>
            <w:r>
              <w:rPr>
                <w:rFonts w:hint="eastAsia" w:ascii="新宋体" w:hAnsi="新宋体" w:eastAsia="新宋体"/>
                <w:color w:val="auto"/>
                <w:sz w:val="24"/>
              </w:rPr>
              <w:t>1</w:t>
            </w:r>
          </w:p>
          <w:p w14:paraId="4F2B40AA">
            <w:pPr>
              <w:jc w:val="center"/>
              <w:rPr>
                <w:rFonts w:hint="eastAsia" w:ascii="新宋体" w:hAnsi="新宋体" w:eastAsia="新宋体"/>
                <w:color w:val="auto"/>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1CC53FD8">
            <w:pPr>
              <w:jc w:val="center"/>
              <w:rPr>
                <w:rFonts w:hint="eastAsia" w:ascii="新宋体" w:hAnsi="新宋体" w:eastAsia="新宋体"/>
                <w:b/>
                <w:color w:val="auto"/>
                <w:sz w:val="24"/>
              </w:rPr>
            </w:pPr>
            <w:r>
              <w:rPr>
                <w:rFonts w:hint="eastAsia" w:ascii="新宋体" w:hAnsi="新宋体" w:eastAsia="新宋体"/>
                <w:b/>
                <w:color w:val="auto"/>
                <w:sz w:val="24"/>
              </w:rPr>
              <w:t>室内P2.5h表贴三合一全彩屏</w:t>
            </w:r>
          </w:p>
        </w:tc>
        <w:tc>
          <w:tcPr>
            <w:tcW w:w="1261" w:type="dxa"/>
            <w:tcBorders>
              <w:top w:val="single" w:color="auto" w:sz="4" w:space="0"/>
              <w:left w:val="single" w:color="auto" w:sz="4" w:space="0"/>
              <w:bottom w:val="single" w:color="auto" w:sz="4" w:space="0"/>
              <w:right w:val="single" w:color="auto" w:sz="4" w:space="0"/>
            </w:tcBorders>
            <w:vAlign w:val="center"/>
          </w:tcPr>
          <w:p w14:paraId="462EEE31">
            <w:pPr>
              <w:jc w:val="center"/>
              <w:rPr>
                <w:rFonts w:hint="eastAsia" w:ascii="新宋体" w:hAnsi="新宋体" w:eastAsia="新宋体"/>
                <w:color w:val="auto"/>
                <w:sz w:val="24"/>
              </w:rPr>
            </w:pPr>
            <w:r>
              <w:rPr>
                <w:rFonts w:hint="eastAsia" w:ascii="新宋体" w:hAnsi="新宋体" w:eastAsia="新宋体"/>
                <w:color w:val="auto"/>
                <w:sz w:val="24"/>
              </w:rPr>
              <w:t>全彩</w:t>
            </w:r>
          </w:p>
        </w:tc>
        <w:tc>
          <w:tcPr>
            <w:tcW w:w="1362" w:type="dxa"/>
            <w:tcBorders>
              <w:top w:val="single" w:color="auto" w:sz="4" w:space="0"/>
              <w:left w:val="single" w:color="auto" w:sz="4" w:space="0"/>
              <w:bottom w:val="single" w:color="auto" w:sz="4" w:space="0"/>
              <w:right w:val="single" w:color="auto" w:sz="4" w:space="0"/>
            </w:tcBorders>
            <w:vAlign w:val="center"/>
          </w:tcPr>
          <w:p w14:paraId="692ABB1C">
            <w:pPr>
              <w:jc w:val="center"/>
              <w:rPr>
                <w:rFonts w:hint="eastAsia" w:ascii="新宋体" w:hAnsi="新宋体" w:eastAsia="新宋体"/>
                <w:color w:val="auto"/>
                <w:sz w:val="24"/>
              </w:rPr>
            </w:pPr>
            <w:r>
              <w:rPr>
                <w:rFonts w:hint="eastAsia" w:ascii="新宋体" w:hAnsi="新宋体" w:eastAsia="新宋体"/>
                <w:color w:val="auto"/>
                <w:sz w:val="24"/>
              </w:rPr>
              <w:t>强力</w:t>
            </w:r>
          </w:p>
        </w:tc>
        <w:tc>
          <w:tcPr>
            <w:tcW w:w="850" w:type="dxa"/>
            <w:tcBorders>
              <w:top w:val="single" w:color="auto" w:sz="4" w:space="0"/>
              <w:left w:val="single" w:color="auto" w:sz="4" w:space="0"/>
              <w:bottom w:val="single" w:color="auto" w:sz="4" w:space="0"/>
              <w:right w:val="single" w:color="auto" w:sz="4" w:space="0"/>
            </w:tcBorders>
            <w:vAlign w:val="center"/>
          </w:tcPr>
          <w:p w14:paraId="4D03CD95">
            <w:pPr>
              <w:jc w:val="center"/>
              <w:rPr>
                <w:rFonts w:hint="eastAsia" w:ascii="新宋体" w:hAnsi="新宋体" w:eastAsia="新宋体"/>
                <w:color w:val="auto"/>
                <w:sz w:val="24"/>
              </w:rPr>
            </w:pPr>
            <w:r>
              <w:rPr>
                <w:rFonts w:hint="eastAsia" w:ascii="新宋体" w:hAnsi="新宋体" w:eastAsia="新宋体"/>
                <w:color w:val="auto"/>
                <w:sz w:val="24"/>
              </w:rPr>
              <w:t>13.93</w:t>
            </w:r>
          </w:p>
        </w:tc>
        <w:tc>
          <w:tcPr>
            <w:tcW w:w="892" w:type="dxa"/>
            <w:tcBorders>
              <w:top w:val="single" w:color="auto" w:sz="4" w:space="0"/>
              <w:left w:val="single" w:color="auto" w:sz="4" w:space="0"/>
              <w:bottom w:val="single" w:color="auto" w:sz="4" w:space="0"/>
              <w:right w:val="single" w:color="auto" w:sz="4" w:space="0"/>
            </w:tcBorders>
            <w:vAlign w:val="center"/>
          </w:tcPr>
          <w:p w14:paraId="4C05B188">
            <w:pPr>
              <w:jc w:val="center"/>
              <w:rPr>
                <w:rFonts w:hint="eastAsia" w:ascii="新宋体" w:hAnsi="新宋体" w:eastAsia="新宋体"/>
                <w:color w:val="auto"/>
                <w:sz w:val="24"/>
              </w:rPr>
            </w:pPr>
            <w:r>
              <w:rPr>
                <w:rFonts w:hint="eastAsia" w:ascii="新宋体" w:hAnsi="新宋体" w:eastAsia="新宋体"/>
                <w:color w:val="auto"/>
                <w:sz w:val="24"/>
              </w:rPr>
              <w:t>㎡</w:t>
            </w:r>
          </w:p>
        </w:tc>
        <w:tc>
          <w:tcPr>
            <w:tcW w:w="915" w:type="dxa"/>
            <w:tcBorders>
              <w:top w:val="single" w:color="auto" w:sz="4" w:space="0"/>
              <w:left w:val="single" w:color="auto" w:sz="4" w:space="0"/>
              <w:bottom w:val="single" w:color="auto" w:sz="4" w:space="0"/>
              <w:right w:val="single" w:color="auto" w:sz="4" w:space="0"/>
            </w:tcBorders>
            <w:vAlign w:val="center"/>
          </w:tcPr>
          <w:p w14:paraId="436031C7">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0CA88D8B">
            <w:pPr>
              <w:ind w:firstLine="330" w:firstLineChars="150"/>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2ABE956C">
            <w:pPr>
              <w:jc w:val="center"/>
              <w:rPr>
                <w:rFonts w:hint="eastAsia" w:ascii="新宋体" w:hAnsi="新宋体" w:eastAsia="新宋体"/>
                <w:color w:val="auto"/>
                <w:sz w:val="22"/>
                <w:szCs w:val="22"/>
              </w:rPr>
            </w:pPr>
          </w:p>
        </w:tc>
      </w:tr>
      <w:tr w14:paraId="60FF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27257EEC">
            <w:pPr>
              <w:jc w:val="center"/>
              <w:rPr>
                <w:rFonts w:hint="eastAsia" w:ascii="新宋体" w:hAnsi="新宋体" w:eastAsia="新宋体"/>
                <w:color w:val="auto"/>
                <w:sz w:val="24"/>
              </w:rPr>
            </w:pPr>
            <w:r>
              <w:rPr>
                <w:rFonts w:hint="eastAsia" w:ascii="新宋体" w:hAnsi="新宋体" w:eastAsia="新宋体"/>
                <w:color w:val="auto"/>
                <w:sz w:val="24"/>
              </w:rPr>
              <w:t>2</w:t>
            </w:r>
          </w:p>
        </w:tc>
        <w:tc>
          <w:tcPr>
            <w:tcW w:w="1596" w:type="dxa"/>
            <w:tcBorders>
              <w:top w:val="single" w:color="auto" w:sz="4" w:space="0"/>
              <w:left w:val="single" w:color="auto" w:sz="4" w:space="0"/>
              <w:bottom w:val="single" w:color="auto" w:sz="4" w:space="0"/>
              <w:right w:val="single" w:color="auto" w:sz="4" w:space="0"/>
            </w:tcBorders>
            <w:vAlign w:val="center"/>
          </w:tcPr>
          <w:p w14:paraId="0FE8444E">
            <w:pPr>
              <w:jc w:val="center"/>
              <w:rPr>
                <w:rFonts w:hint="eastAsia" w:ascii="新宋体" w:hAnsi="新宋体" w:eastAsia="新宋体"/>
                <w:b/>
                <w:color w:val="auto"/>
                <w:sz w:val="24"/>
              </w:rPr>
            </w:pPr>
            <w:r>
              <w:rPr>
                <w:rFonts w:hint="eastAsia" w:ascii="新宋体" w:hAnsi="新宋体" w:eastAsia="新宋体"/>
                <w:b/>
                <w:color w:val="auto"/>
                <w:sz w:val="24"/>
              </w:rPr>
              <w:t>LED显示屏控制系统</w:t>
            </w:r>
          </w:p>
        </w:tc>
        <w:tc>
          <w:tcPr>
            <w:tcW w:w="1261" w:type="dxa"/>
            <w:tcBorders>
              <w:top w:val="single" w:color="auto" w:sz="4" w:space="0"/>
              <w:left w:val="single" w:color="auto" w:sz="4" w:space="0"/>
              <w:bottom w:val="single" w:color="auto" w:sz="4" w:space="0"/>
              <w:right w:val="single" w:color="auto" w:sz="4" w:space="0"/>
            </w:tcBorders>
            <w:vAlign w:val="center"/>
          </w:tcPr>
          <w:p w14:paraId="68448C27">
            <w:pPr>
              <w:jc w:val="center"/>
              <w:rPr>
                <w:rFonts w:hint="eastAsia" w:ascii="新宋体" w:hAnsi="新宋体" w:eastAsia="新宋体"/>
                <w:color w:val="auto"/>
                <w:sz w:val="24"/>
              </w:rPr>
            </w:pPr>
            <w:r>
              <w:rPr>
                <w:rFonts w:hint="eastAsia" w:ascii="新宋体" w:hAnsi="新宋体" w:eastAsia="新宋体"/>
                <w:color w:val="auto"/>
                <w:sz w:val="24"/>
              </w:rPr>
              <w:t>7512S</w:t>
            </w:r>
          </w:p>
        </w:tc>
        <w:tc>
          <w:tcPr>
            <w:tcW w:w="1362" w:type="dxa"/>
            <w:tcBorders>
              <w:top w:val="single" w:color="auto" w:sz="4" w:space="0"/>
              <w:left w:val="single" w:color="auto" w:sz="4" w:space="0"/>
              <w:bottom w:val="single" w:color="auto" w:sz="4" w:space="0"/>
              <w:right w:val="single" w:color="auto" w:sz="4" w:space="0"/>
            </w:tcBorders>
            <w:vAlign w:val="center"/>
          </w:tcPr>
          <w:p w14:paraId="62E75571">
            <w:pPr>
              <w:jc w:val="center"/>
              <w:rPr>
                <w:rFonts w:hint="eastAsia" w:ascii="新宋体" w:hAnsi="新宋体" w:eastAsia="新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DE74ABA">
            <w:pPr>
              <w:jc w:val="center"/>
              <w:rPr>
                <w:rFonts w:hint="eastAsia" w:ascii="新宋体" w:hAnsi="新宋体" w:eastAsia="新宋体"/>
                <w:color w:val="auto"/>
                <w:sz w:val="24"/>
              </w:rPr>
            </w:pPr>
            <w:r>
              <w:rPr>
                <w:rFonts w:hint="eastAsia" w:ascii="新宋体" w:hAnsi="新宋体" w:eastAsia="新宋体"/>
                <w:color w:val="auto"/>
                <w:sz w:val="24"/>
              </w:rPr>
              <w:t>32</w:t>
            </w:r>
          </w:p>
        </w:tc>
        <w:tc>
          <w:tcPr>
            <w:tcW w:w="892" w:type="dxa"/>
            <w:tcBorders>
              <w:top w:val="single" w:color="auto" w:sz="4" w:space="0"/>
              <w:left w:val="single" w:color="auto" w:sz="4" w:space="0"/>
              <w:bottom w:val="single" w:color="auto" w:sz="4" w:space="0"/>
              <w:right w:val="single" w:color="auto" w:sz="4" w:space="0"/>
            </w:tcBorders>
            <w:vAlign w:val="center"/>
          </w:tcPr>
          <w:p w14:paraId="4E7DE23D">
            <w:pPr>
              <w:jc w:val="center"/>
              <w:rPr>
                <w:rFonts w:hint="eastAsia" w:ascii="新宋体" w:hAnsi="新宋体" w:eastAsia="新宋体"/>
                <w:color w:val="auto"/>
                <w:sz w:val="24"/>
              </w:rPr>
            </w:pPr>
            <w:r>
              <w:rPr>
                <w:rFonts w:hint="eastAsia" w:ascii="新宋体" w:hAnsi="新宋体" w:eastAsia="新宋体"/>
                <w:color w:val="auto"/>
                <w:sz w:val="24"/>
              </w:rPr>
              <w:t>张</w:t>
            </w:r>
          </w:p>
        </w:tc>
        <w:tc>
          <w:tcPr>
            <w:tcW w:w="915" w:type="dxa"/>
            <w:tcBorders>
              <w:top w:val="single" w:color="auto" w:sz="4" w:space="0"/>
              <w:left w:val="single" w:color="auto" w:sz="4" w:space="0"/>
              <w:bottom w:val="single" w:color="auto" w:sz="4" w:space="0"/>
              <w:right w:val="single" w:color="auto" w:sz="4" w:space="0"/>
            </w:tcBorders>
            <w:vAlign w:val="center"/>
          </w:tcPr>
          <w:p w14:paraId="5A82AD19">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04D56746">
            <w:pPr>
              <w:jc w:val="center"/>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58FB3E16">
            <w:pPr>
              <w:jc w:val="center"/>
              <w:rPr>
                <w:rFonts w:hint="eastAsia" w:ascii="新宋体" w:hAnsi="新宋体" w:eastAsia="新宋体"/>
                <w:color w:val="auto"/>
                <w:sz w:val="22"/>
                <w:szCs w:val="22"/>
              </w:rPr>
            </w:pPr>
          </w:p>
        </w:tc>
      </w:tr>
      <w:tr w14:paraId="7B59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070891E5">
            <w:pPr>
              <w:jc w:val="center"/>
              <w:rPr>
                <w:rFonts w:hint="eastAsia" w:ascii="新宋体" w:hAnsi="新宋体" w:eastAsia="新宋体"/>
                <w:color w:val="auto"/>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75BD1122">
            <w:pPr>
              <w:jc w:val="center"/>
              <w:rPr>
                <w:rFonts w:hint="eastAsia" w:ascii="新宋体" w:hAnsi="新宋体" w:eastAsia="新宋体"/>
                <w:b/>
                <w:color w:val="auto"/>
                <w:sz w:val="24"/>
              </w:rPr>
            </w:pPr>
            <w:r>
              <w:rPr>
                <w:rFonts w:hint="eastAsia" w:ascii="新宋体" w:hAnsi="新宋体" w:eastAsia="新宋体"/>
                <w:b/>
                <w:color w:val="auto"/>
                <w:sz w:val="24"/>
              </w:rPr>
              <w:t>电源线</w:t>
            </w:r>
          </w:p>
        </w:tc>
        <w:tc>
          <w:tcPr>
            <w:tcW w:w="1261" w:type="dxa"/>
            <w:tcBorders>
              <w:top w:val="single" w:color="auto" w:sz="4" w:space="0"/>
              <w:left w:val="single" w:color="auto" w:sz="4" w:space="0"/>
              <w:bottom w:val="single" w:color="auto" w:sz="4" w:space="0"/>
              <w:right w:val="single" w:color="auto" w:sz="4" w:space="0"/>
            </w:tcBorders>
            <w:vAlign w:val="center"/>
          </w:tcPr>
          <w:p w14:paraId="211E534B">
            <w:pPr>
              <w:jc w:val="center"/>
              <w:rPr>
                <w:rFonts w:hint="eastAsia" w:ascii="新宋体" w:hAnsi="新宋体" w:eastAsia="新宋体"/>
                <w:color w:val="auto"/>
                <w:sz w:val="24"/>
              </w:rPr>
            </w:pPr>
          </w:p>
        </w:tc>
        <w:tc>
          <w:tcPr>
            <w:tcW w:w="1362" w:type="dxa"/>
            <w:tcBorders>
              <w:top w:val="single" w:color="auto" w:sz="4" w:space="0"/>
              <w:left w:val="single" w:color="auto" w:sz="4" w:space="0"/>
              <w:bottom w:val="single" w:color="auto" w:sz="4" w:space="0"/>
              <w:right w:val="single" w:color="auto" w:sz="4" w:space="0"/>
            </w:tcBorders>
            <w:vAlign w:val="center"/>
          </w:tcPr>
          <w:p w14:paraId="7962B650">
            <w:pPr>
              <w:jc w:val="center"/>
              <w:rPr>
                <w:rFonts w:hint="eastAsia" w:ascii="新宋体" w:hAnsi="新宋体" w:eastAsia="新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371784B">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892" w:type="dxa"/>
            <w:tcBorders>
              <w:top w:val="single" w:color="auto" w:sz="4" w:space="0"/>
              <w:left w:val="single" w:color="auto" w:sz="4" w:space="0"/>
              <w:bottom w:val="single" w:color="auto" w:sz="4" w:space="0"/>
              <w:right w:val="single" w:color="auto" w:sz="4" w:space="0"/>
            </w:tcBorders>
            <w:vAlign w:val="center"/>
          </w:tcPr>
          <w:p w14:paraId="1CFA366C">
            <w:pPr>
              <w:jc w:val="center"/>
              <w:rPr>
                <w:rFonts w:hint="eastAsia" w:ascii="新宋体" w:hAnsi="新宋体" w:eastAsia="新宋体"/>
                <w:color w:val="auto"/>
                <w:sz w:val="24"/>
              </w:rPr>
            </w:pPr>
            <w:r>
              <w:rPr>
                <w:rFonts w:hint="eastAsia" w:ascii="新宋体" w:hAnsi="新宋体" w:eastAsia="新宋体"/>
                <w:color w:val="auto"/>
                <w:sz w:val="24"/>
              </w:rPr>
              <w:t>批</w:t>
            </w:r>
          </w:p>
        </w:tc>
        <w:tc>
          <w:tcPr>
            <w:tcW w:w="915" w:type="dxa"/>
            <w:tcBorders>
              <w:top w:val="single" w:color="auto" w:sz="4" w:space="0"/>
              <w:left w:val="single" w:color="auto" w:sz="4" w:space="0"/>
              <w:bottom w:val="single" w:color="auto" w:sz="4" w:space="0"/>
              <w:right w:val="single" w:color="auto" w:sz="4" w:space="0"/>
            </w:tcBorders>
            <w:vAlign w:val="center"/>
          </w:tcPr>
          <w:p w14:paraId="6C37822E">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5E50E5B4">
            <w:pPr>
              <w:jc w:val="center"/>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18A2229F">
            <w:pPr>
              <w:jc w:val="center"/>
              <w:rPr>
                <w:rFonts w:hint="eastAsia" w:ascii="新宋体" w:hAnsi="新宋体" w:eastAsia="新宋体"/>
                <w:color w:val="auto"/>
                <w:sz w:val="22"/>
                <w:szCs w:val="22"/>
              </w:rPr>
            </w:pPr>
          </w:p>
        </w:tc>
      </w:tr>
      <w:tr w14:paraId="52C8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0F448425">
            <w:pPr>
              <w:jc w:val="center"/>
              <w:rPr>
                <w:rFonts w:hint="eastAsia" w:ascii="新宋体" w:hAnsi="新宋体" w:eastAsia="新宋体"/>
                <w:color w:val="auto"/>
                <w:sz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104CDA1C">
            <w:pPr>
              <w:jc w:val="center"/>
              <w:rPr>
                <w:rFonts w:hint="eastAsia" w:ascii="新宋体" w:hAnsi="新宋体" w:eastAsia="新宋体"/>
                <w:b/>
                <w:color w:val="auto"/>
                <w:sz w:val="24"/>
              </w:rPr>
            </w:pPr>
            <w:r>
              <w:rPr>
                <w:rFonts w:hint="eastAsia" w:ascii="新宋体" w:hAnsi="新宋体" w:eastAsia="新宋体"/>
                <w:b/>
                <w:color w:val="auto"/>
                <w:sz w:val="24"/>
              </w:rPr>
              <w:t>数据线</w:t>
            </w:r>
          </w:p>
        </w:tc>
        <w:tc>
          <w:tcPr>
            <w:tcW w:w="1261" w:type="dxa"/>
            <w:tcBorders>
              <w:top w:val="single" w:color="auto" w:sz="4" w:space="0"/>
              <w:left w:val="single" w:color="auto" w:sz="4" w:space="0"/>
              <w:bottom w:val="single" w:color="auto" w:sz="4" w:space="0"/>
              <w:right w:val="single" w:color="auto" w:sz="4" w:space="0"/>
            </w:tcBorders>
            <w:vAlign w:val="center"/>
          </w:tcPr>
          <w:p w14:paraId="40C645D8">
            <w:pPr>
              <w:jc w:val="center"/>
              <w:rPr>
                <w:rFonts w:hint="eastAsia" w:ascii="新宋体" w:hAnsi="新宋体" w:eastAsia="新宋体"/>
                <w:color w:val="auto"/>
                <w:sz w:val="24"/>
              </w:rPr>
            </w:pPr>
          </w:p>
        </w:tc>
        <w:tc>
          <w:tcPr>
            <w:tcW w:w="1362" w:type="dxa"/>
            <w:tcBorders>
              <w:top w:val="single" w:color="auto" w:sz="4" w:space="0"/>
              <w:left w:val="single" w:color="auto" w:sz="4" w:space="0"/>
              <w:bottom w:val="single" w:color="auto" w:sz="4" w:space="0"/>
              <w:right w:val="single" w:color="auto" w:sz="4" w:space="0"/>
            </w:tcBorders>
            <w:vAlign w:val="center"/>
          </w:tcPr>
          <w:p w14:paraId="5562F2BE">
            <w:pPr>
              <w:jc w:val="center"/>
              <w:rPr>
                <w:rFonts w:hint="eastAsia" w:ascii="新宋体" w:hAnsi="新宋体" w:eastAsia="新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F089AF1">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892" w:type="dxa"/>
            <w:tcBorders>
              <w:top w:val="single" w:color="auto" w:sz="4" w:space="0"/>
              <w:left w:val="single" w:color="auto" w:sz="4" w:space="0"/>
              <w:bottom w:val="single" w:color="auto" w:sz="4" w:space="0"/>
              <w:right w:val="single" w:color="auto" w:sz="4" w:space="0"/>
            </w:tcBorders>
            <w:vAlign w:val="center"/>
          </w:tcPr>
          <w:p w14:paraId="640C166B">
            <w:pPr>
              <w:jc w:val="center"/>
              <w:rPr>
                <w:rFonts w:hint="eastAsia" w:ascii="新宋体" w:hAnsi="新宋体" w:eastAsia="新宋体"/>
                <w:color w:val="auto"/>
                <w:sz w:val="24"/>
              </w:rPr>
            </w:pPr>
            <w:r>
              <w:rPr>
                <w:rFonts w:hint="eastAsia" w:ascii="新宋体" w:hAnsi="新宋体" w:eastAsia="新宋体"/>
                <w:color w:val="auto"/>
                <w:sz w:val="24"/>
              </w:rPr>
              <w:t>批</w:t>
            </w:r>
          </w:p>
        </w:tc>
        <w:tc>
          <w:tcPr>
            <w:tcW w:w="915" w:type="dxa"/>
            <w:tcBorders>
              <w:top w:val="single" w:color="auto" w:sz="4" w:space="0"/>
              <w:left w:val="single" w:color="auto" w:sz="4" w:space="0"/>
              <w:bottom w:val="single" w:color="auto" w:sz="4" w:space="0"/>
              <w:right w:val="single" w:color="auto" w:sz="4" w:space="0"/>
            </w:tcBorders>
            <w:vAlign w:val="center"/>
          </w:tcPr>
          <w:p w14:paraId="01F19A6C">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2635FC69">
            <w:pPr>
              <w:jc w:val="center"/>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55758080">
            <w:pPr>
              <w:jc w:val="center"/>
              <w:rPr>
                <w:rFonts w:hint="eastAsia" w:ascii="新宋体" w:hAnsi="新宋体" w:eastAsia="新宋体"/>
                <w:color w:val="auto"/>
                <w:sz w:val="22"/>
                <w:szCs w:val="22"/>
              </w:rPr>
            </w:pPr>
          </w:p>
        </w:tc>
      </w:tr>
      <w:tr w14:paraId="509E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3365AA86">
            <w:pPr>
              <w:jc w:val="center"/>
              <w:rPr>
                <w:rFonts w:hint="eastAsia" w:ascii="新宋体" w:hAnsi="新宋体" w:eastAsia="新宋体"/>
                <w:b/>
                <w:color w:val="auto"/>
                <w:sz w:val="24"/>
              </w:rPr>
            </w:pPr>
            <w:r>
              <w:rPr>
                <w:rFonts w:hint="eastAsia" w:ascii="新宋体" w:hAnsi="新宋体" w:eastAsia="新宋体"/>
                <w:b/>
                <w:color w:val="auto"/>
                <w:sz w:val="24"/>
              </w:rPr>
              <w:t>3</w:t>
            </w:r>
          </w:p>
        </w:tc>
        <w:tc>
          <w:tcPr>
            <w:tcW w:w="1596" w:type="dxa"/>
            <w:tcBorders>
              <w:top w:val="single" w:color="auto" w:sz="4" w:space="0"/>
              <w:left w:val="single" w:color="auto" w:sz="4" w:space="0"/>
              <w:bottom w:val="single" w:color="auto" w:sz="4" w:space="0"/>
              <w:right w:val="single" w:color="auto" w:sz="4" w:space="0"/>
            </w:tcBorders>
            <w:vAlign w:val="center"/>
          </w:tcPr>
          <w:p w14:paraId="3D988D74">
            <w:pPr>
              <w:jc w:val="center"/>
              <w:rPr>
                <w:rFonts w:hint="eastAsia" w:ascii="新宋体" w:hAnsi="新宋体" w:eastAsia="新宋体"/>
                <w:b/>
                <w:color w:val="auto"/>
                <w:sz w:val="24"/>
              </w:rPr>
            </w:pPr>
            <w:r>
              <w:rPr>
                <w:rFonts w:hint="eastAsia" w:ascii="新宋体" w:hAnsi="新宋体" w:eastAsia="新宋体"/>
                <w:b/>
                <w:color w:val="auto"/>
                <w:sz w:val="24"/>
              </w:rPr>
              <w:t>LED视频处理器</w:t>
            </w:r>
          </w:p>
        </w:tc>
        <w:tc>
          <w:tcPr>
            <w:tcW w:w="2623" w:type="dxa"/>
            <w:gridSpan w:val="2"/>
            <w:tcBorders>
              <w:top w:val="single" w:color="auto" w:sz="4" w:space="0"/>
              <w:left w:val="single" w:color="auto" w:sz="4" w:space="0"/>
              <w:bottom w:val="single" w:color="auto" w:sz="4" w:space="0"/>
              <w:right w:val="single" w:color="auto" w:sz="4" w:space="0"/>
            </w:tcBorders>
            <w:vAlign w:val="center"/>
          </w:tcPr>
          <w:p w14:paraId="75885208">
            <w:pPr>
              <w:ind w:firstLine="960" w:firstLineChars="400"/>
              <w:rPr>
                <w:rFonts w:hint="eastAsia" w:ascii="新宋体" w:hAnsi="新宋体" w:eastAsia="新宋体"/>
                <w:color w:val="auto"/>
                <w:sz w:val="24"/>
              </w:rPr>
            </w:pPr>
            <w:r>
              <w:rPr>
                <w:rFonts w:hint="eastAsia" w:ascii="新宋体" w:hAnsi="新宋体" w:eastAsia="新宋体"/>
                <w:color w:val="auto"/>
                <w:sz w:val="24"/>
              </w:rPr>
              <w:t>X4M</w:t>
            </w:r>
          </w:p>
        </w:tc>
        <w:tc>
          <w:tcPr>
            <w:tcW w:w="850" w:type="dxa"/>
            <w:tcBorders>
              <w:top w:val="single" w:color="auto" w:sz="4" w:space="0"/>
              <w:left w:val="single" w:color="auto" w:sz="4" w:space="0"/>
              <w:bottom w:val="single" w:color="auto" w:sz="4" w:space="0"/>
              <w:right w:val="single" w:color="auto" w:sz="4" w:space="0"/>
            </w:tcBorders>
            <w:vAlign w:val="center"/>
          </w:tcPr>
          <w:p w14:paraId="553083A9">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892" w:type="dxa"/>
            <w:tcBorders>
              <w:top w:val="single" w:color="auto" w:sz="4" w:space="0"/>
              <w:left w:val="single" w:color="auto" w:sz="4" w:space="0"/>
              <w:bottom w:val="single" w:color="auto" w:sz="4" w:space="0"/>
              <w:right w:val="single" w:color="auto" w:sz="4" w:space="0"/>
            </w:tcBorders>
            <w:vAlign w:val="center"/>
          </w:tcPr>
          <w:p w14:paraId="0204AEB4">
            <w:pPr>
              <w:jc w:val="center"/>
              <w:rPr>
                <w:rFonts w:hint="eastAsia" w:ascii="新宋体" w:hAnsi="新宋体" w:eastAsia="新宋体"/>
                <w:color w:val="auto"/>
                <w:sz w:val="24"/>
              </w:rPr>
            </w:pPr>
            <w:r>
              <w:rPr>
                <w:rFonts w:hint="eastAsia" w:ascii="新宋体" w:hAnsi="新宋体" w:eastAsia="新宋体"/>
                <w:color w:val="auto"/>
                <w:sz w:val="24"/>
              </w:rPr>
              <w:t>台</w:t>
            </w:r>
          </w:p>
        </w:tc>
        <w:tc>
          <w:tcPr>
            <w:tcW w:w="915" w:type="dxa"/>
            <w:tcBorders>
              <w:top w:val="single" w:color="auto" w:sz="4" w:space="0"/>
              <w:left w:val="single" w:color="auto" w:sz="4" w:space="0"/>
              <w:bottom w:val="single" w:color="auto" w:sz="4" w:space="0"/>
              <w:right w:val="single" w:color="auto" w:sz="4" w:space="0"/>
            </w:tcBorders>
            <w:vAlign w:val="center"/>
          </w:tcPr>
          <w:p w14:paraId="45BC9E73">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04B93114">
            <w:pPr>
              <w:jc w:val="center"/>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30760219">
            <w:pPr>
              <w:jc w:val="center"/>
              <w:rPr>
                <w:rFonts w:hint="eastAsia" w:ascii="新宋体" w:hAnsi="新宋体" w:eastAsia="新宋体"/>
                <w:color w:val="auto"/>
                <w:sz w:val="22"/>
                <w:szCs w:val="22"/>
              </w:rPr>
            </w:pPr>
          </w:p>
        </w:tc>
      </w:tr>
      <w:tr w14:paraId="4DEE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6DA0BC98">
            <w:pPr>
              <w:jc w:val="center"/>
              <w:rPr>
                <w:rFonts w:hint="eastAsia" w:ascii="新宋体" w:hAnsi="新宋体" w:eastAsia="新宋体"/>
                <w:color w:val="auto"/>
                <w:sz w:val="24"/>
              </w:rPr>
            </w:pPr>
            <w:r>
              <w:rPr>
                <w:rFonts w:hint="eastAsia" w:ascii="新宋体" w:hAnsi="新宋体" w:eastAsia="新宋体"/>
                <w:color w:val="auto"/>
                <w:sz w:val="24"/>
              </w:rPr>
              <w:t>4</w:t>
            </w:r>
          </w:p>
        </w:tc>
        <w:tc>
          <w:tcPr>
            <w:tcW w:w="1596" w:type="dxa"/>
            <w:tcBorders>
              <w:top w:val="single" w:color="auto" w:sz="4" w:space="0"/>
              <w:left w:val="single" w:color="auto" w:sz="4" w:space="0"/>
              <w:bottom w:val="single" w:color="auto" w:sz="4" w:space="0"/>
              <w:right w:val="single" w:color="auto" w:sz="4" w:space="0"/>
            </w:tcBorders>
            <w:vAlign w:val="center"/>
          </w:tcPr>
          <w:p w14:paraId="0966ADD0">
            <w:pPr>
              <w:jc w:val="center"/>
              <w:rPr>
                <w:rFonts w:hint="eastAsia" w:ascii="新宋体" w:hAnsi="新宋体" w:eastAsia="新宋体"/>
                <w:b/>
                <w:color w:val="auto"/>
                <w:sz w:val="24"/>
              </w:rPr>
            </w:pPr>
            <w:r>
              <w:rPr>
                <w:rFonts w:hint="eastAsia" w:ascii="新宋体" w:hAnsi="新宋体" w:eastAsia="新宋体"/>
                <w:b/>
                <w:color w:val="auto"/>
                <w:sz w:val="24"/>
              </w:rPr>
              <w:t>LED播放软件</w:t>
            </w:r>
          </w:p>
        </w:tc>
        <w:tc>
          <w:tcPr>
            <w:tcW w:w="1261" w:type="dxa"/>
            <w:tcBorders>
              <w:top w:val="single" w:color="auto" w:sz="4" w:space="0"/>
              <w:left w:val="single" w:color="auto" w:sz="4" w:space="0"/>
              <w:bottom w:val="single" w:color="auto" w:sz="4" w:space="0"/>
              <w:right w:val="single" w:color="auto" w:sz="4" w:space="0"/>
            </w:tcBorders>
            <w:vAlign w:val="center"/>
          </w:tcPr>
          <w:p w14:paraId="04632F88">
            <w:pPr>
              <w:jc w:val="center"/>
              <w:rPr>
                <w:rFonts w:hint="eastAsia" w:ascii="新宋体" w:hAnsi="新宋体" w:eastAsia="新宋体"/>
                <w:color w:val="auto"/>
                <w:sz w:val="24"/>
              </w:rPr>
            </w:pPr>
            <w:r>
              <w:rPr>
                <w:rFonts w:hint="eastAsia" w:ascii="新宋体" w:hAnsi="新宋体" w:eastAsia="新宋体"/>
                <w:color w:val="auto"/>
                <w:sz w:val="24"/>
              </w:rPr>
              <w:t>全彩</w:t>
            </w:r>
          </w:p>
        </w:tc>
        <w:tc>
          <w:tcPr>
            <w:tcW w:w="1362" w:type="dxa"/>
            <w:tcBorders>
              <w:top w:val="single" w:color="auto" w:sz="4" w:space="0"/>
              <w:left w:val="single" w:color="auto" w:sz="4" w:space="0"/>
              <w:bottom w:val="single" w:color="auto" w:sz="4" w:space="0"/>
              <w:right w:val="single" w:color="auto" w:sz="4" w:space="0"/>
            </w:tcBorders>
            <w:vAlign w:val="center"/>
          </w:tcPr>
          <w:p w14:paraId="77AA5501">
            <w:pPr>
              <w:jc w:val="center"/>
              <w:rPr>
                <w:rFonts w:hint="eastAsia" w:ascii="新宋体" w:hAnsi="新宋体" w:eastAsia="新宋体"/>
                <w:color w:val="auto"/>
                <w:sz w:val="24"/>
              </w:rPr>
            </w:pPr>
            <w:r>
              <w:rPr>
                <w:rFonts w:hint="eastAsia" w:ascii="新宋体" w:hAnsi="新宋体" w:eastAsia="新宋体"/>
                <w:color w:val="auto"/>
                <w:sz w:val="24"/>
              </w:rPr>
              <w:t>LED演播室</w:t>
            </w:r>
          </w:p>
        </w:tc>
        <w:tc>
          <w:tcPr>
            <w:tcW w:w="850" w:type="dxa"/>
            <w:tcBorders>
              <w:top w:val="single" w:color="auto" w:sz="4" w:space="0"/>
              <w:left w:val="single" w:color="auto" w:sz="4" w:space="0"/>
              <w:bottom w:val="single" w:color="auto" w:sz="4" w:space="0"/>
              <w:right w:val="single" w:color="auto" w:sz="4" w:space="0"/>
            </w:tcBorders>
            <w:vAlign w:val="center"/>
          </w:tcPr>
          <w:p w14:paraId="3C35848D">
            <w:pPr>
              <w:jc w:val="center"/>
              <w:rPr>
                <w:rFonts w:hint="eastAsia" w:ascii="新宋体" w:hAnsi="新宋体" w:eastAsia="新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270DD137">
            <w:pPr>
              <w:jc w:val="center"/>
              <w:rPr>
                <w:rFonts w:hint="eastAsia" w:ascii="新宋体" w:hAnsi="新宋体" w:eastAsia="新宋体"/>
                <w:color w:val="auto"/>
                <w:sz w:val="24"/>
              </w:rPr>
            </w:pPr>
            <w:r>
              <w:rPr>
                <w:rFonts w:hint="eastAsia" w:ascii="新宋体" w:hAnsi="新宋体" w:eastAsia="新宋体"/>
                <w:color w:val="auto"/>
                <w:sz w:val="24"/>
              </w:rPr>
              <w:t>套</w:t>
            </w:r>
          </w:p>
        </w:tc>
        <w:tc>
          <w:tcPr>
            <w:tcW w:w="915" w:type="dxa"/>
            <w:tcBorders>
              <w:top w:val="single" w:color="auto" w:sz="4" w:space="0"/>
              <w:left w:val="single" w:color="auto" w:sz="4" w:space="0"/>
              <w:bottom w:val="single" w:color="auto" w:sz="4" w:space="0"/>
              <w:right w:val="single" w:color="auto" w:sz="4" w:space="0"/>
            </w:tcBorders>
            <w:vAlign w:val="center"/>
          </w:tcPr>
          <w:p w14:paraId="0BA67DD5">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378CC004">
            <w:pPr>
              <w:jc w:val="center"/>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0EF7B930">
            <w:pPr>
              <w:jc w:val="center"/>
              <w:rPr>
                <w:rFonts w:hint="eastAsia" w:ascii="新宋体" w:hAnsi="新宋体" w:eastAsia="新宋体"/>
                <w:color w:val="auto"/>
                <w:sz w:val="22"/>
                <w:szCs w:val="22"/>
                <w:lang w:eastAsia="zh-CN"/>
              </w:rPr>
            </w:pPr>
            <w:r>
              <w:rPr>
                <w:rFonts w:hint="eastAsia" w:ascii="新宋体" w:hAnsi="新宋体" w:eastAsia="新宋体"/>
                <w:color w:val="auto"/>
                <w:sz w:val="22"/>
                <w:szCs w:val="22"/>
                <w:lang w:val="en-US" w:eastAsia="zh-CN"/>
              </w:rPr>
              <w:t xml:space="preserve"> </w:t>
            </w:r>
          </w:p>
        </w:tc>
      </w:tr>
      <w:tr w14:paraId="1A49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200" w:type="dxa"/>
            <w:gridSpan w:val="11"/>
            <w:tcBorders>
              <w:top w:val="single" w:color="auto" w:sz="4" w:space="0"/>
              <w:left w:val="single" w:color="auto" w:sz="4" w:space="0"/>
              <w:bottom w:val="single" w:color="auto" w:sz="4" w:space="0"/>
              <w:right w:val="single" w:color="auto" w:sz="4" w:space="0"/>
            </w:tcBorders>
            <w:vAlign w:val="center"/>
          </w:tcPr>
          <w:p w14:paraId="07EEF3B5">
            <w:pPr>
              <w:jc w:val="center"/>
              <w:rPr>
                <w:rFonts w:hint="eastAsia" w:ascii="新宋体" w:hAnsi="新宋体" w:eastAsia="新宋体"/>
                <w:color w:val="auto"/>
                <w:sz w:val="22"/>
                <w:szCs w:val="22"/>
              </w:rPr>
            </w:pPr>
            <w:r>
              <w:rPr>
                <w:rFonts w:hint="eastAsia" w:ascii="新宋体" w:hAnsi="新宋体" w:eastAsia="新宋体"/>
                <w:b/>
                <w:color w:val="auto"/>
                <w:sz w:val="22"/>
                <w:szCs w:val="22"/>
              </w:rPr>
              <w:t>周围设备（价格供参考）</w:t>
            </w:r>
          </w:p>
        </w:tc>
      </w:tr>
      <w:tr w14:paraId="79D4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7559A270">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14:paraId="76092A20">
            <w:pPr>
              <w:jc w:val="center"/>
              <w:rPr>
                <w:rFonts w:hint="eastAsia" w:ascii="新宋体" w:hAnsi="新宋体" w:eastAsia="新宋体"/>
                <w:b/>
                <w:color w:val="auto"/>
                <w:sz w:val="24"/>
              </w:rPr>
            </w:pPr>
            <w:r>
              <w:rPr>
                <w:rFonts w:hint="eastAsia" w:ascii="新宋体" w:hAnsi="新宋体" w:eastAsia="新宋体"/>
                <w:b/>
                <w:color w:val="auto"/>
                <w:sz w:val="24"/>
              </w:rPr>
              <w:t>控制计算机</w:t>
            </w:r>
          </w:p>
        </w:tc>
        <w:tc>
          <w:tcPr>
            <w:tcW w:w="1261" w:type="dxa"/>
            <w:tcBorders>
              <w:top w:val="single" w:color="auto" w:sz="4" w:space="0"/>
              <w:left w:val="single" w:color="auto" w:sz="4" w:space="0"/>
              <w:bottom w:val="single" w:color="auto" w:sz="4" w:space="0"/>
              <w:right w:val="single" w:color="auto" w:sz="4" w:space="0"/>
            </w:tcBorders>
            <w:vAlign w:val="center"/>
          </w:tcPr>
          <w:p w14:paraId="46779327">
            <w:pPr>
              <w:jc w:val="center"/>
              <w:rPr>
                <w:rFonts w:hint="eastAsia" w:ascii="新宋体" w:hAnsi="新宋体" w:eastAsia="新宋体"/>
                <w:color w:val="auto"/>
                <w:sz w:val="24"/>
              </w:rPr>
            </w:pPr>
            <w:r>
              <w:rPr>
                <w:rFonts w:hint="eastAsia" w:ascii="新宋体" w:hAnsi="新宋体" w:eastAsia="新宋体"/>
                <w:color w:val="auto"/>
                <w:sz w:val="24"/>
              </w:rPr>
              <w:t>Lenovo</w:t>
            </w:r>
          </w:p>
        </w:tc>
        <w:tc>
          <w:tcPr>
            <w:tcW w:w="1362" w:type="dxa"/>
            <w:tcBorders>
              <w:top w:val="single" w:color="auto" w:sz="4" w:space="0"/>
              <w:left w:val="single" w:color="auto" w:sz="4" w:space="0"/>
              <w:bottom w:val="single" w:color="auto" w:sz="4" w:space="0"/>
              <w:right w:val="single" w:color="auto" w:sz="4" w:space="0"/>
            </w:tcBorders>
            <w:vAlign w:val="center"/>
          </w:tcPr>
          <w:p w14:paraId="5CC6C8B7">
            <w:pPr>
              <w:jc w:val="center"/>
              <w:rPr>
                <w:rFonts w:hint="eastAsia" w:ascii="新宋体" w:hAnsi="新宋体" w:eastAsia="新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E21F4C1">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892" w:type="dxa"/>
            <w:tcBorders>
              <w:top w:val="single" w:color="auto" w:sz="4" w:space="0"/>
              <w:left w:val="single" w:color="auto" w:sz="4" w:space="0"/>
              <w:bottom w:val="single" w:color="auto" w:sz="4" w:space="0"/>
              <w:right w:val="single" w:color="auto" w:sz="4" w:space="0"/>
            </w:tcBorders>
            <w:vAlign w:val="center"/>
          </w:tcPr>
          <w:p w14:paraId="1D7A29DD">
            <w:pPr>
              <w:jc w:val="center"/>
              <w:rPr>
                <w:rFonts w:hint="eastAsia" w:ascii="新宋体" w:hAnsi="新宋体" w:eastAsia="新宋体"/>
                <w:color w:val="auto"/>
                <w:sz w:val="24"/>
              </w:rPr>
            </w:pPr>
            <w:r>
              <w:rPr>
                <w:rFonts w:hint="eastAsia" w:ascii="新宋体" w:hAnsi="新宋体" w:eastAsia="新宋体"/>
                <w:color w:val="auto"/>
                <w:sz w:val="24"/>
              </w:rPr>
              <w:t>台</w:t>
            </w:r>
          </w:p>
        </w:tc>
        <w:tc>
          <w:tcPr>
            <w:tcW w:w="915" w:type="dxa"/>
            <w:tcBorders>
              <w:top w:val="single" w:color="auto" w:sz="4" w:space="0"/>
              <w:left w:val="single" w:color="auto" w:sz="4" w:space="0"/>
              <w:bottom w:val="single" w:color="auto" w:sz="4" w:space="0"/>
              <w:right w:val="single" w:color="auto" w:sz="4" w:space="0"/>
            </w:tcBorders>
            <w:vAlign w:val="center"/>
          </w:tcPr>
          <w:p w14:paraId="53CCF033">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2283110B">
            <w:pPr>
              <w:jc w:val="center"/>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3815CA56">
            <w:pPr>
              <w:jc w:val="center"/>
              <w:rPr>
                <w:rFonts w:hint="eastAsia" w:ascii="新宋体" w:hAnsi="新宋体" w:eastAsia="新宋体"/>
                <w:color w:val="auto"/>
                <w:sz w:val="22"/>
                <w:szCs w:val="22"/>
              </w:rPr>
            </w:pPr>
          </w:p>
        </w:tc>
      </w:tr>
      <w:tr w14:paraId="2B50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757C9EF6">
            <w:pPr>
              <w:jc w:val="center"/>
              <w:rPr>
                <w:rFonts w:hint="eastAsia" w:ascii="新宋体" w:hAnsi="新宋体" w:eastAsia="新宋体"/>
                <w:color w:val="auto"/>
                <w:sz w:val="24"/>
              </w:rPr>
            </w:pPr>
            <w:r>
              <w:rPr>
                <w:rFonts w:hint="eastAsia" w:ascii="新宋体" w:hAnsi="新宋体" w:eastAsia="新宋体"/>
                <w:color w:val="auto"/>
                <w:sz w:val="24"/>
              </w:rPr>
              <w:t>2</w:t>
            </w:r>
          </w:p>
        </w:tc>
        <w:tc>
          <w:tcPr>
            <w:tcW w:w="1596" w:type="dxa"/>
            <w:tcBorders>
              <w:top w:val="single" w:color="auto" w:sz="4" w:space="0"/>
              <w:left w:val="single" w:color="auto" w:sz="4" w:space="0"/>
              <w:bottom w:val="single" w:color="auto" w:sz="4" w:space="0"/>
              <w:right w:val="single" w:color="auto" w:sz="4" w:space="0"/>
            </w:tcBorders>
            <w:vAlign w:val="center"/>
          </w:tcPr>
          <w:p w14:paraId="1469ABEC">
            <w:pPr>
              <w:jc w:val="center"/>
              <w:rPr>
                <w:rFonts w:hint="eastAsia" w:ascii="新宋体" w:hAnsi="新宋体" w:eastAsia="新宋体"/>
                <w:b/>
                <w:color w:val="auto"/>
                <w:sz w:val="24"/>
              </w:rPr>
            </w:pPr>
            <w:r>
              <w:rPr>
                <w:rFonts w:hint="eastAsia" w:ascii="新宋体" w:hAnsi="新宋体" w:eastAsia="新宋体"/>
                <w:b/>
                <w:color w:val="auto"/>
                <w:sz w:val="24"/>
              </w:rPr>
              <w:t>机柜</w:t>
            </w:r>
          </w:p>
        </w:tc>
        <w:tc>
          <w:tcPr>
            <w:tcW w:w="1261" w:type="dxa"/>
            <w:tcBorders>
              <w:top w:val="single" w:color="auto" w:sz="4" w:space="0"/>
              <w:left w:val="single" w:color="auto" w:sz="4" w:space="0"/>
              <w:bottom w:val="single" w:color="auto" w:sz="4" w:space="0"/>
              <w:right w:val="single" w:color="auto" w:sz="4" w:space="0"/>
            </w:tcBorders>
            <w:vAlign w:val="center"/>
          </w:tcPr>
          <w:p w14:paraId="16A93B8E">
            <w:pPr>
              <w:jc w:val="center"/>
              <w:rPr>
                <w:rFonts w:hint="eastAsia" w:ascii="新宋体" w:hAnsi="新宋体" w:eastAsia="新宋体"/>
                <w:color w:val="auto"/>
                <w:sz w:val="24"/>
              </w:rPr>
            </w:pPr>
          </w:p>
        </w:tc>
        <w:tc>
          <w:tcPr>
            <w:tcW w:w="1362" w:type="dxa"/>
            <w:tcBorders>
              <w:top w:val="single" w:color="auto" w:sz="4" w:space="0"/>
              <w:left w:val="single" w:color="auto" w:sz="4" w:space="0"/>
              <w:bottom w:val="single" w:color="auto" w:sz="4" w:space="0"/>
              <w:right w:val="single" w:color="auto" w:sz="4" w:space="0"/>
            </w:tcBorders>
            <w:vAlign w:val="center"/>
          </w:tcPr>
          <w:p w14:paraId="352536DB">
            <w:pPr>
              <w:jc w:val="center"/>
              <w:rPr>
                <w:rFonts w:hint="eastAsia" w:ascii="新宋体" w:hAnsi="新宋体" w:eastAsia="新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79F11E0">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892" w:type="dxa"/>
            <w:tcBorders>
              <w:top w:val="single" w:color="auto" w:sz="4" w:space="0"/>
              <w:left w:val="single" w:color="auto" w:sz="4" w:space="0"/>
              <w:bottom w:val="single" w:color="auto" w:sz="4" w:space="0"/>
              <w:right w:val="single" w:color="auto" w:sz="4" w:space="0"/>
            </w:tcBorders>
            <w:vAlign w:val="center"/>
          </w:tcPr>
          <w:p w14:paraId="60D462DB">
            <w:pPr>
              <w:jc w:val="center"/>
              <w:rPr>
                <w:rFonts w:hint="eastAsia" w:ascii="新宋体" w:hAnsi="新宋体" w:eastAsia="新宋体"/>
                <w:color w:val="auto"/>
                <w:sz w:val="24"/>
              </w:rPr>
            </w:pPr>
            <w:r>
              <w:rPr>
                <w:rFonts w:hint="eastAsia" w:ascii="新宋体" w:hAnsi="新宋体" w:eastAsia="新宋体"/>
                <w:color w:val="auto"/>
                <w:sz w:val="24"/>
              </w:rPr>
              <w:t>只</w:t>
            </w:r>
          </w:p>
        </w:tc>
        <w:tc>
          <w:tcPr>
            <w:tcW w:w="915" w:type="dxa"/>
            <w:tcBorders>
              <w:top w:val="single" w:color="auto" w:sz="4" w:space="0"/>
              <w:left w:val="single" w:color="auto" w:sz="4" w:space="0"/>
              <w:bottom w:val="single" w:color="auto" w:sz="4" w:space="0"/>
              <w:right w:val="single" w:color="auto" w:sz="4" w:space="0"/>
            </w:tcBorders>
            <w:vAlign w:val="center"/>
          </w:tcPr>
          <w:p w14:paraId="23C644B5">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748588B1">
            <w:pPr>
              <w:jc w:val="center"/>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64A005D2">
            <w:pPr>
              <w:jc w:val="center"/>
              <w:rPr>
                <w:rFonts w:hint="eastAsia" w:ascii="新宋体" w:hAnsi="新宋体" w:eastAsia="新宋体"/>
                <w:color w:val="auto"/>
                <w:sz w:val="22"/>
                <w:szCs w:val="22"/>
              </w:rPr>
            </w:pPr>
          </w:p>
        </w:tc>
      </w:tr>
      <w:tr w14:paraId="3913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324A0D09">
            <w:pPr>
              <w:jc w:val="center"/>
              <w:rPr>
                <w:rFonts w:hint="eastAsia" w:ascii="新宋体" w:hAnsi="新宋体" w:eastAsia="新宋体"/>
                <w:color w:val="auto"/>
                <w:sz w:val="24"/>
              </w:rPr>
            </w:pPr>
            <w:r>
              <w:rPr>
                <w:rFonts w:hint="eastAsia" w:ascii="新宋体" w:hAnsi="新宋体" w:eastAsia="新宋体"/>
                <w:color w:val="auto"/>
                <w:sz w:val="24"/>
              </w:rPr>
              <w:t>3</w:t>
            </w:r>
          </w:p>
        </w:tc>
        <w:tc>
          <w:tcPr>
            <w:tcW w:w="1596" w:type="dxa"/>
            <w:tcBorders>
              <w:top w:val="single" w:color="auto" w:sz="4" w:space="0"/>
              <w:left w:val="single" w:color="auto" w:sz="4" w:space="0"/>
              <w:bottom w:val="single" w:color="auto" w:sz="4" w:space="0"/>
              <w:right w:val="single" w:color="auto" w:sz="4" w:space="0"/>
            </w:tcBorders>
            <w:vAlign w:val="center"/>
          </w:tcPr>
          <w:p w14:paraId="0EACEEC8">
            <w:pPr>
              <w:jc w:val="center"/>
              <w:rPr>
                <w:rFonts w:hint="eastAsia" w:ascii="新宋体" w:hAnsi="新宋体" w:eastAsia="新宋体"/>
                <w:b/>
                <w:color w:val="auto"/>
                <w:sz w:val="24"/>
              </w:rPr>
            </w:pPr>
            <w:r>
              <w:rPr>
                <w:rFonts w:hint="eastAsia" w:ascii="新宋体" w:hAnsi="新宋体" w:eastAsia="新宋体"/>
                <w:b/>
                <w:color w:val="auto"/>
                <w:sz w:val="24"/>
              </w:rPr>
              <w:t>音响设备</w:t>
            </w:r>
          </w:p>
        </w:tc>
        <w:tc>
          <w:tcPr>
            <w:tcW w:w="1261" w:type="dxa"/>
            <w:tcBorders>
              <w:top w:val="single" w:color="auto" w:sz="4" w:space="0"/>
              <w:left w:val="single" w:color="auto" w:sz="4" w:space="0"/>
              <w:bottom w:val="single" w:color="auto" w:sz="4" w:space="0"/>
              <w:right w:val="single" w:color="auto" w:sz="4" w:space="0"/>
            </w:tcBorders>
            <w:vAlign w:val="center"/>
          </w:tcPr>
          <w:p w14:paraId="5A19CDF6">
            <w:pPr>
              <w:jc w:val="center"/>
              <w:rPr>
                <w:rFonts w:hint="eastAsia" w:ascii="新宋体" w:hAnsi="新宋体" w:eastAsia="新宋体"/>
                <w:color w:val="auto"/>
                <w:sz w:val="24"/>
              </w:rPr>
            </w:pPr>
          </w:p>
        </w:tc>
        <w:tc>
          <w:tcPr>
            <w:tcW w:w="1362" w:type="dxa"/>
            <w:tcBorders>
              <w:top w:val="single" w:color="auto" w:sz="4" w:space="0"/>
              <w:left w:val="single" w:color="auto" w:sz="4" w:space="0"/>
              <w:bottom w:val="single" w:color="auto" w:sz="4" w:space="0"/>
              <w:right w:val="single" w:color="auto" w:sz="4" w:space="0"/>
            </w:tcBorders>
            <w:vAlign w:val="center"/>
          </w:tcPr>
          <w:p w14:paraId="79FB16F2">
            <w:pPr>
              <w:jc w:val="center"/>
              <w:rPr>
                <w:rFonts w:hint="eastAsia" w:ascii="新宋体" w:hAnsi="新宋体" w:eastAsia="新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2B386B9">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892" w:type="dxa"/>
            <w:tcBorders>
              <w:top w:val="single" w:color="auto" w:sz="4" w:space="0"/>
              <w:left w:val="single" w:color="auto" w:sz="4" w:space="0"/>
              <w:bottom w:val="single" w:color="auto" w:sz="4" w:space="0"/>
              <w:right w:val="single" w:color="auto" w:sz="4" w:space="0"/>
            </w:tcBorders>
            <w:vAlign w:val="center"/>
          </w:tcPr>
          <w:p w14:paraId="777EF4D0">
            <w:pPr>
              <w:jc w:val="center"/>
              <w:rPr>
                <w:rFonts w:hint="eastAsia" w:ascii="新宋体" w:hAnsi="新宋体" w:eastAsia="新宋体"/>
                <w:color w:val="auto"/>
                <w:sz w:val="24"/>
              </w:rPr>
            </w:pPr>
            <w:r>
              <w:rPr>
                <w:rFonts w:hint="eastAsia" w:ascii="新宋体" w:hAnsi="新宋体" w:eastAsia="新宋体"/>
                <w:color w:val="auto"/>
                <w:sz w:val="24"/>
              </w:rPr>
              <w:t>套</w:t>
            </w:r>
          </w:p>
        </w:tc>
        <w:tc>
          <w:tcPr>
            <w:tcW w:w="915" w:type="dxa"/>
            <w:tcBorders>
              <w:top w:val="single" w:color="auto" w:sz="4" w:space="0"/>
              <w:left w:val="single" w:color="auto" w:sz="4" w:space="0"/>
              <w:bottom w:val="single" w:color="auto" w:sz="4" w:space="0"/>
              <w:right w:val="single" w:color="auto" w:sz="4" w:space="0"/>
            </w:tcBorders>
            <w:vAlign w:val="center"/>
          </w:tcPr>
          <w:p w14:paraId="3D233280">
            <w:pPr>
              <w:jc w:val="center"/>
              <w:rPr>
                <w:rFonts w:hint="eastAsia" w:ascii="新宋体" w:hAnsi="新宋体" w:eastAsia="新宋体"/>
                <w:color w:val="auto"/>
                <w:sz w:val="22"/>
                <w:szCs w:val="22"/>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14:paraId="64FF5A94">
            <w:pPr>
              <w:jc w:val="center"/>
              <w:rPr>
                <w:rFonts w:hint="eastAsia" w:ascii="新宋体" w:hAnsi="新宋体" w:eastAsia="新宋体"/>
                <w:color w:val="auto"/>
                <w:sz w:val="22"/>
                <w:szCs w:val="22"/>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14:paraId="77D4D255">
            <w:pPr>
              <w:jc w:val="center"/>
              <w:rPr>
                <w:rFonts w:hint="eastAsia" w:ascii="新宋体" w:hAnsi="新宋体" w:eastAsia="新宋体"/>
                <w:color w:val="auto"/>
                <w:sz w:val="22"/>
                <w:szCs w:val="22"/>
              </w:rPr>
            </w:pPr>
            <w:r>
              <w:rPr>
                <w:rFonts w:hint="eastAsia" w:ascii="新宋体" w:hAnsi="新宋体" w:eastAsia="新宋体"/>
                <w:color w:val="auto"/>
                <w:sz w:val="22"/>
                <w:szCs w:val="22"/>
              </w:rPr>
              <w:t>壁挂音响四个，一拖二无线话筒一套，音响功放一台，音响线一批，调音台一台，其它音频配件一批。</w:t>
            </w:r>
          </w:p>
        </w:tc>
      </w:tr>
      <w:tr w14:paraId="4428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00" w:type="dxa"/>
            <w:gridSpan w:val="11"/>
            <w:tcBorders>
              <w:top w:val="single" w:color="auto" w:sz="4" w:space="0"/>
              <w:left w:val="single" w:color="auto" w:sz="4" w:space="0"/>
              <w:bottom w:val="single" w:color="auto" w:sz="4" w:space="0"/>
              <w:right w:val="single" w:color="auto" w:sz="4" w:space="0"/>
            </w:tcBorders>
            <w:vAlign w:val="center"/>
          </w:tcPr>
          <w:p w14:paraId="66CC89E1">
            <w:pPr>
              <w:jc w:val="center"/>
              <w:rPr>
                <w:rFonts w:hint="eastAsia" w:ascii="新宋体" w:hAnsi="新宋体" w:eastAsia="新宋体"/>
                <w:b/>
                <w:color w:val="auto"/>
                <w:sz w:val="22"/>
                <w:szCs w:val="22"/>
              </w:rPr>
            </w:pPr>
            <w:r>
              <w:rPr>
                <w:rFonts w:hint="eastAsia" w:ascii="新宋体" w:hAnsi="新宋体" w:eastAsia="新宋体"/>
                <w:b/>
                <w:color w:val="auto"/>
                <w:sz w:val="22"/>
                <w:szCs w:val="22"/>
              </w:rPr>
              <w:t>钢构与安装</w:t>
            </w:r>
          </w:p>
        </w:tc>
      </w:tr>
      <w:tr w14:paraId="5786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62FCE4F5">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1596" w:type="dxa"/>
            <w:tcBorders>
              <w:top w:val="single" w:color="auto" w:sz="4" w:space="0"/>
              <w:left w:val="single" w:color="auto" w:sz="4" w:space="0"/>
              <w:bottom w:val="single" w:color="auto" w:sz="4" w:space="0"/>
              <w:right w:val="single" w:color="auto" w:sz="4" w:space="0"/>
            </w:tcBorders>
            <w:vAlign w:val="center"/>
          </w:tcPr>
          <w:p w14:paraId="73233476">
            <w:pPr>
              <w:jc w:val="center"/>
              <w:rPr>
                <w:rFonts w:hint="eastAsia" w:ascii="新宋体" w:hAnsi="新宋体" w:eastAsia="新宋体"/>
                <w:b/>
                <w:color w:val="auto"/>
                <w:sz w:val="24"/>
              </w:rPr>
            </w:pPr>
            <w:r>
              <w:rPr>
                <w:rFonts w:hint="eastAsia" w:ascii="新宋体" w:hAnsi="新宋体" w:eastAsia="新宋体"/>
                <w:b/>
                <w:color w:val="auto"/>
                <w:sz w:val="24"/>
              </w:rPr>
              <w:t>屏体钢结构</w:t>
            </w:r>
          </w:p>
        </w:tc>
        <w:tc>
          <w:tcPr>
            <w:tcW w:w="2623" w:type="dxa"/>
            <w:gridSpan w:val="2"/>
            <w:tcBorders>
              <w:top w:val="single" w:color="auto" w:sz="4" w:space="0"/>
              <w:left w:val="single" w:color="auto" w:sz="4" w:space="0"/>
              <w:bottom w:val="single" w:color="auto" w:sz="4" w:space="0"/>
              <w:right w:val="single" w:color="auto" w:sz="4" w:space="0"/>
            </w:tcBorders>
            <w:vAlign w:val="center"/>
          </w:tcPr>
          <w:p w14:paraId="6351A80F">
            <w:pPr>
              <w:jc w:val="center"/>
              <w:rPr>
                <w:rFonts w:hint="eastAsia" w:ascii="新宋体" w:hAnsi="新宋体" w:eastAsia="新宋体"/>
                <w:color w:val="auto"/>
                <w:sz w:val="24"/>
              </w:rPr>
            </w:pPr>
            <w:r>
              <w:rPr>
                <w:rFonts w:hint="eastAsia" w:ascii="新宋体" w:hAnsi="新宋体" w:eastAsia="新宋体"/>
                <w:color w:val="auto"/>
                <w:sz w:val="24"/>
              </w:rPr>
              <w:t>包含304不锈钢包边</w:t>
            </w:r>
          </w:p>
        </w:tc>
        <w:tc>
          <w:tcPr>
            <w:tcW w:w="850" w:type="dxa"/>
            <w:tcBorders>
              <w:top w:val="single" w:color="auto" w:sz="4" w:space="0"/>
              <w:left w:val="single" w:color="auto" w:sz="4" w:space="0"/>
              <w:bottom w:val="single" w:color="auto" w:sz="4" w:space="0"/>
              <w:right w:val="single" w:color="auto" w:sz="4" w:space="0"/>
            </w:tcBorders>
            <w:vAlign w:val="center"/>
          </w:tcPr>
          <w:p w14:paraId="3DEC9476">
            <w:pPr>
              <w:jc w:val="center"/>
              <w:rPr>
                <w:rFonts w:hint="eastAsia" w:ascii="新宋体" w:hAnsi="新宋体" w:eastAsia="新宋体"/>
                <w:color w:val="auto"/>
                <w:sz w:val="24"/>
              </w:rPr>
            </w:pPr>
            <w:r>
              <w:rPr>
                <w:rFonts w:hint="eastAsia" w:ascii="新宋体" w:hAnsi="新宋体" w:eastAsia="新宋体"/>
                <w:bCs/>
                <w:color w:val="auto"/>
                <w:sz w:val="24"/>
              </w:rPr>
              <w:t>13.93</w:t>
            </w:r>
          </w:p>
        </w:tc>
        <w:tc>
          <w:tcPr>
            <w:tcW w:w="892" w:type="dxa"/>
            <w:tcBorders>
              <w:top w:val="single" w:color="auto" w:sz="4" w:space="0"/>
              <w:left w:val="single" w:color="auto" w:sz="4" w:space="0"/>
              <w:bottom w:val="single" w:color="auto" w:sz="4" w:space="0"/>
              <w:right w:val="single" w:color="auto" w:sz="4" w:space="0"/>
            </w:tcBorders>
            <w:vAlign w:val="center"/>
          </w:tcPr>
          <w:p w14:paraId="038DAD0C">
            <w:pPr>
              <w:jc w:val="center"/>
              <w:rPr>
                <w:rFonts w:hint="eastAsia" w:ascii="新宋体" w:hAnsi="新宋体" w:eastAsia="新宋体"/>
                <w:color w:val="auto"/>
                <w:sz w:val="24"/>
              </w:rPr>
            </w:pPr>
            <w:r>
              <w:rPr>
                <w:rFonts w:hint="eastAsia" w:ascii="新宋体" w:hAnsi="新宋体" w:eastAsia="新宋体"/>
                <w:color w:val="auto"/>
                <w:sz w:val="24"/>
              </w:rPr>
              <w:t>㎡</w:t>
            </w:r>
          </w:p>
        </w:tc>
        <w:tc>
          <w:tcPr>
            <w:tcW w:w="915" w:type="dxa"/>
            <w:tcBorders>
              <w:top w:val="single" w:color="auto" w:sz="4" w:space="0"/>
              <w:left w:val="single" w:color="auto" w:sz="4" w:space="0"/>
              <w:bottom w:val="single" w:color="auto" w:sz="4" w:space="0"/>
              <w:right w:val="single" w:color="auto" w:sz="4" w:space="0"/>
            </w:tcBorders>
            <w:vAlign w:val="center"/>
          </w:tcPr>
          <w:p w14:paraId="2F4A1605">
            <w:pPr>
              <w:jc w:val="center"/>
              <w:rPr>
                <w:rFonts w:hint="eastAsia" w:ascii="新宋体" w:hAnsi="新宋体" w:eastAsia="新宋体"/>
                <w:color w:val="auto"/>
                <w:sz w:val="22"/>
                <w:szCs w:val="22"/>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556CC171">
            <w:pPr>
              <w:jc w:val="center"/>
              <w:rPr>
                <w:rFonts w:hint="eastAsia" w:ascii="新宋体" w:hAnsi="新宋体" w:eastAsia="新宋体"/>
                <w:color w:val="auto"/>
                <w:sz w:val="22"/>
                <w:szCs w:val="22"/>
              </w:rPr>
            </w:pPr>
          </w:p>
        </w:tc>
        <w:tc>
          <w:tcPr>
            <w:tcW w:w="1368" w:type="dxa"/>
            <w:tcBorders>
              <w:top w:val="single" w:color="auto" w:sz="4" w:space="0"/>
              <w:left w:val="single" w:color="auto" w:sz="4" w:space="0"/>
              <w:bottom w:val="single" w:color="auto" w:sz="4" w:space="0"/>
              <w:right w:val="single" w:color="auto" w:sz="4" w:space="0"/>
            </w:tcBorders>
            <w:vAlign w:val="center"/>
          </w:tcPr>
          <w:p w14:paraId="575D18AD">
            <w:pPr>
              <w:rPr>
                <w:rFonts w:hint="eastAsia" w:ascii="新宋体" w:hAnsi="新宋体" w:eastAsia="新宋体"/>
                <w:color w:val="auto"/>
                <w:sz w:val="24"/>
              </w:rPr>
            </w:pPr>
          </w:p>
        </w:tc>
      </w:tr>
      <w:tr w14:paraId="6741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48C280EF">
            <w:pPr>
              <w:jc w:val="center"/>
              <w:rPr>
                <w:rFonts w:hint="eastAsia" w:ascii="新宋体" w:hAnsi="新宋体" w:eastAsia="新宋体"/>
                <w:color w:val="auto"/>
                <w:sz w:val="24"/>
              </w:rPr>
            </w:pPr>
            <w:r>
              <w:rPr>
                <w:rFonts w:hint="eastAsia" w:ascii="新宋体" w:hAnsi="新宋体" w:eastAsia="新宋体"/>
                <w:color w:val="auto"/>
                <w:sz w:val="24"/>
              </w:rPr>
              <w:t>3</w:t>
            </w:r>
          </w:p>
        </w:tc>
        <w:tc>
          <w:tcPr>
            <w:tcW w:w="1596" w:type="dxa"/>
            <w:tcBorders>
              <w:top w:val="single" w:color="auto" w:sz="4" w:space="0"/>
              <w:left w:val="single" w:color="auto" w:sz="4" w:space="0"/>
              <w:bottom w:val="single" w:color="auto" w:sz="4" w:space="0"/>
              <w:right w:val="single" w:color="auto" w:sz="4" w:space="0"/>
            </w:tcBorders>
            <w:vAlign w:val="center"/>
          </w:tcPr>
          <w:p w14:paraId="6C3109CE">
            <w:pPr>
              <w:jc w:val="center"/>
              <w:rPr>
                <w:rFonts w:hint="eastAsia" w:ascii="新宋体" w:hAnsi="新宋体" w:eastAsia="新宋体"/>
                <w:b/>
                <w:color w:val="auto"/>
                <w:sz w:val="24"/>
              </w:rPr>
            </w:pPr>
            <w:r>
              <w:rPr>
                <w:rFonts w:hint="eastAsia" w:ascii="新宋体" w:hAnsi="新宋体" w:eastAsia="新宋体"/>
                <w:b/>
                <w:color w:val="auto"/>
                <w:sz w:val="24"/>
              </w:rPr>
              <w:t>配电柜</w:t>
            </w:r>
          </w:p>
        </w:tc>
        <w:tc>
          <w:tcPr>
            <w:tcW w:w="1261" w:type="dxa"/>
            <w:tcBorders>
              <w:top w:val="single" w:color="auto" w:sz="4" w:space="0"/>
              <w:left w:val="single" w:color="auto" w:sz="4" w:space="0"/>
              <w:bottom w:val="single" w:color="auto" w:sz="4" w:space="0"/>
              <w:right w:val="single" w:color="auto" w:sz="4" w:space="0"/>
            </w:tcBorders>
            <w:vAlign w:val="center"/>
          </w:tcPr>
          <w:p w14:paraId="75C6FCD0">
            <w:pPr>
              <w:jc w:val="center"/>
              <w:rPr>
                <w:rFonts w:hint="eastAsia" w:ascii="新宋体" w:hAnsi="新宋体" w:eastAsia="新宋体"/>
                <w:color w:val="auto"/>
                <w:sz w:val="24"/>
              </w:rPr>
            </w:pPr>
            <w:r>
              <w:rPr>
                <w:rFonts w:hint="eastAsia" w:ascii="新宋体" w:hAnsi="新宋体" w:eastAsia="新宋体"/>
                <w:color w:val="auto"/>
                <w:sz w:val="24"/>
              </w:rPr>
              <w:t>10ＫＷ</w:t>
            </w:r>
          </w:p>
        </w:tc>
        <w:tc>
          <w:tcPr>
            <w:tcW w:w="1362" w:type="dxa"/>
            <w:tcBorders>
              <w:top w:val="single" w:color="auto" w:sz="4" w:space="0"/>
              <w:left w:val="single" w:color="auto" w:sz="4" w:space="0"/>
              <w:bottom w:val="single" w:color="auto" w:sz="4" w:space="0"/>
              <w:right w:val="single" w:color="auto" w:sz="4" w:space="0"/>
            </w:tcBorders>
            <w:vAlign w:val="center"/>
          </w:tcPr>
          <w:p w14:paraId="2F5B5557">
            <w:pPr>
              <w:ind w:firstLine="240" w:firstLineChars="100"/>
              <w:jc w:val="center"/>
              <w:rPr>
                <w:rFonts w:hint="eastAsia" w:ascii="新宋体" w:hAnsi="新宋体" w:eastAsia="新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0EFEE04">
            <w:pPr>
              <w:jc w:val="center"/>
              <w:rPr>
                <w:rFonts w:hint="eastAsia" w:ascii="新宋体" w:hAnsi="新宋体" w:eastAsia="新宋体"/>
                <w:color w:val="auto"/>
                <w:sz w:val="24"/>
              </w:rPr>
            </w:pPr>
            <w:r>
              <w:rPr>
                <w:rFonts w:hint="eastAsia" w:ascii="新宋体" w:hAnsi="新宋体" w:eastAsia="新宋体"/>
                <w:color w:val="auto"/>
                <w:sz w:val="24"/>
              </w:rPr>
              <w:t>1</w:t>
            </w:r>
          </w:p>
        </w:tc>
        <w:tc>
          <w:tcPr>
            <w:tcW w:w="892" w:type="dxa"/>
            <w:tcBorders>
              <w:top w:val="single" w:color="auto" w:sz="4" w:space="0"/>
              <w:left w:val="single" w:color="auto" w:sz="4" w:space="0"/>
              <w:bottom w:val="single" w:color="auto" w:sz="4" w:space="0"/>
              <w:right w:val="single" w:color="auto" w:sz="4" w:space="0"/>
            </w:tcBorders>
            <w:vAlign w:val="center"/>
          </w:tcPr>
          <w:p w14:paraId="39CA11AC">
            <w:pPr>
              <w:jc w:val="center"/>
              <w:rPr>
                <w:rFonts w:hint="eastAsia" w:ascii="新宋体" w:hAnsi="新宋体" w:eastAsia="新宋体"/>
                <w:color w:val="auto"/>
                <w:sz w:val="24"/>
              </w:rPr>
            </w:pPr>
            <w:r>
              <w:rPr>
                <w:rFonts w:hint="eastAsia" w:ascii="新宋体" w:hAnsi="新宋体" w:eastAsia="新宋体"/>
                <w:color w:val="auto"/>
                <w:sz w:val="24"/>
              </w:rPr>
              <w:t>套</w:t>
            </w:r>
          </w:p>
        </w:tc>
        <w:tc>
          <w:tcPr>
            <w:tcW w:w="915" w:type="dxa"/>
            <w:tcBorders>
              <w:top w:val="single" w:color="auto" w:sz="4" w:space="0"/>
              <w:left w:val="single" w:color="auto" w:sz="4" w:space="0"/>
              <w:bottom w:val="single" w:color="auto" w:sz="4" w:space="0"/>
              <w:right w:val="single" w:color="auto" w:sz="4" w:space="0"/>
            </w:tcBorders>
            <w:vAlign w:val="center"/>
          </w:tcPr>
          <w:p w14:paraId="26CB9E52">
            <w:pPr>
              <w:jc w:val="center"/>
              <w:rPr>
                <w:rFonts w:hint="eastAsia" w:ascii="新宋体" w:hAnsi="新宋体" w:eastAsia="新宋体"/>
                <w:color w:val="auto"/>
                <w:sz w:val="22"/>
                <w:szCs w:val="22"/>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0FBAA9E8">
            <w:pPr>
              <w:jc w:val="center"/>
              <w:rPr>
                <w:rFonts w:hint="eastAsia" w:ascii="新宋体" w:hAnsi="新宋体" w:eastAsia="新宋体"/>
                <w:color w:val="auto"/>
                <w:sz w:val="22"/>
                <w:szCs w:val="22"/>
              </w:rPr>
            </w:pPr>
          </w:p>
        </w:tc>
        <w:tc>
          <w:tcPr>
            <w:tcW w:w="1368" w:type="dxa"/>
            <w:tcBorders>
              <w:top w:val="single" w:color="auto" w:sz="4" w:space="0"/>
              <w:left w:val="single" w:color="auto" w:sz="4" w:space="0"/>
              <w:bottom w:val="single" w:color="auto" w:sz="4" w:space="0"/>
              <w:right w:val="single" w:color="auto" w:sz="4" w:space="0"/>
            </w:tcBorders>
            <w:vAlign w:val="center"/>
          </w:tcPr>
          <w:p w14:paraId="55F896E2">
            <w:pPr>
              <w:jc w:val="center"/>
              <w:rPr>
                <w:rFonts w:hint="eastAsia" w:ascii="新宋体" w:hAnsi="新宋体" w:eastAsia="新宋体"/>
                <w:color w:val="auto"/>
                <w:sz w:val="24"/>
              </w:rPr>
            </w:pPr>
          </w:p>
        </w:tc>
      </w:tr>
      <w:tr w14:paraId="2D9B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0C33255D">
            <w:pPr>
              <w:jc w:val="center"/>
              <w:rPr>
                <w:rFonts w:hint="eastAsia" w:ascii="新宋体" w:hAnsi="新宋体" w:eastAsia="新宋体"/>
                <w:color w:val="auto"/>
                <w:sz w:val="24"/>
              </w:rPr>
            </w:pPr>
            <w:r>
              <w:rPr>
                <w:rFonts w:hint="eastAsia" w:ascii="新宋体" w:hAnsi="新宋体" w:eastAsia="新宋体"/>
                <w:color w:val="auto"/>
                <w:sz w:val="24"/>
              </w:rPr>
              <w:t>4</w:t>
            </w:r>
          </w:p>
        </w:tc>
        <w:tc>
          <w:tcPr>
            <w:tcW w:w="1596" w:type="dxa"/>
            <w:tcBorders>
              <w:top w:val="single" w:color="auto" w:sz="4" w:space="0"/>
              <w:left w:val="single" w:color="auto" w:sz="4" w:space="0"/>
              <w:bottom w:val="single" w:color="auto" w:sz="4" w:space="0"/>
              <w:right w:val="single" w:color="auto" w:sz="4" w:space="0"/>
            </w:tcBorders>
            <w:vAlign w:val="center"/>
          </w:tcPr>
          <w:p w14:paraId="4D892433">
            <w:pPr>
              <w:jc w:val="center"/>
              <w:rPr>
                <w:rFonts w:hint="eastAsia" w:ascii="新宋体" w:hAnsi="新宋体" w:eastAsia="新宋体"/>
                <w:b/>
                <w:color w:val="auto"/>
                <w:sz w:val="24"/>
              </w:rPr>
            </w:pPr>
            <w:r>
              <w:rPr>
                <w:rFonts w:hint="eastAsia" w:ascii="新宋体" w:hAnsi="新宋体" w:eastAsia="新宋体"/>
                <w:b/>
                <w:color w:val="auto"/>
                <w:sz w:val="24"/>
              </w:rPr>
              <w:t>电源线</w:t>
            </w:r>
          </w:p>
        </w:tc>
        <w:tc>
          <w:tcPr>
            <w:tcW w:w="1261" w:type="dxa"/>
            <w:tcBorders>
              <w:top w:val="single" w:color="auto" w:sz="4" w:space="0"/>
              <w:left w:val="single" w:color="auto" w:sz="4" w:space="0"/>
              <w:bottom w:val="single" w:color="auto" w:sz="4" w:space="0"/>
              <w:right w:val="single" w:color="auto" w:sz="4" w:space="0"/>
            </w:tcBorders>
            <w:vAlign w:val="center"/>
          </w:tcPr>
          <w:p w14:paraId="52C0B341">
            <w:pPr>
              <w:jc w:val="center"/>
              <w:rPr>
                <w:rFonts w:hint="eastAsia" w:ascii="新宋体" w:hAnsi="新宋体" w:eastAsia="新宋体"/>
                <w:color w:val="auto"/>
                <w:sz w:val="24"/>
              </w:rPr>
            </w:pPr>
            <w:r>
              <w:rPr>
                <w:rFonts w:hint="eastAsia" w:ascii="新宋体" w:hAnsi="新宋体" w:eastAsia="新宋体"/>
                <w:color w:val="auto"/>
                <w:sz w:val="24"/>
              </w:rPr>
              <w:t>国标</w:t>
            </w:r>
          </w:p>
        </w:tc>
        <w:tc>
          <w:tcPr>
            <w:tcW w:w="5519" w:type="dxa"/>
            <w:gridSpan w:val="7"/>
            <w:tcBorders>
              <w:top w:val="single" w:color="auto" w:sz="4" w:space="0"/>
              <w:left w:val="single" w:color="auto" w:sz="4" w:space="0"/>
              <w:bottom w:val="single" w:color="auto" w:sz="4" w:space="0"/>
              <w:right w:val="single" w:color="auto" w:sz="4" w:space="0"/>
            </w:tcBorders>
            <w:vAlign w:val="center"/>
          </w:tcPr>
          <w:p w14:paraId="66B2F9A6">
            <w:pPr>
              <w:jc w:val="center"/>
              <w:rPr>
                <w:rFonts w:hint="eastAsia" w:ascii="新宋体" w:hAnsi="新宋体" w:eastAsia="新宋体"/>
                <w:color w:val="auto"/>
                <w:sz w:val="24"/>
              </w:rPr>
            </w:pPr>
            <w:r>
              <w:rPr>
                <w:rFonts w:hint="eastAsia" w:ascii="新宋体" w:hAnsi="新宋体" w:eastAsia="新宋体"/>
                <w:color w:val="auto"/>
                <w:sz w:val="24"/>
              </w:rPr>
              <w:t>6平方五芯电源线</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14:paraId="73AD73D2">
            <w:pPr>
              <w:jc w:val="center"/>
              <w:rPr>
                <w:rFonts w:hint="eastAsia" w:ascii="新宋体" w:hAnsi="新宋体" w:eastAsia="新宋体"/>
                <w:color w:val="auto"/>
                <w:sz w:val="24"/>
              </w:rPr>
            </w:pPr>
            <w:r>
              <w:rPr>
                <w:rFonts w:hint="eastAsia" w:ascii="新宋体" w:hAnsi="新宋体" w:eastAsia="新宋体"/>
                <w:color w:val="auto"/>
                <w:sz w:val="24"/>
              </w:rPr>
              <w:t>三相五线制</w:t>
            </w:r>
          </w:p>
          <w:p w14:paraId="6630BAFB">
            <w:pPr>
              <w:jc w:val="center"/>
              <w:rPr>
                <w:rFonts w:hint="eastAsia" w:ascii="新宋体" w:hAnsi="新宋体" w:eastAsia="新宋体"/>
                <w:color w:val="auto"/>
                <w:sz w:val="24"/>
              </w:rPr>
            </w:pPr>
            <w:r>
              <w:rPr>
                <w:rFonts w:hint="eastAsia" w:ascii="新宋体" w:hAnsi="新宋体" w:eastAsia="新宋体"/>
                <w:color w:val="auto"/>
                <w:sz w:val="24"/>
              </w:rPr>
              <w:t>客户提供</w:t>
            </w:r>
          </w:p>
        </w:tc>
      </w:tr>
      <w:tr w14:paraId="4886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5722491A">
            <w:pPr>
              <w:jc w:val="center"/>
              <w:rPr>
                <w:rFonts w:hint="eastAsia" w:ascii="新宋体" w:hAnsi="新宋体" w:eastAsia="新宋体"/>
                <w:color w:val="auto"/>
                <w:sz w:val="24"/>
              </w:rPr>
            </w:pPr>
            <w:r>
              <w:rPr>
                <w:rFonts w:hint="eastAsia" w:ascii="新宋体" w:hAnsi="新宋体" w:eastAsia="新宋体"/>
                <w:color w:val="auto"/>
                <w:sz w:val="24"/>
              </w:rPr>
              <w:t>5</w:t>
            </w:r>
          </w:p>
        </w:tc>
        <w:tc>
          <w:tcPr>
            <w:tcW w:w="1596" w:type="dxa"/>
            <w:tcBorders>
              <w:top w:val="single" w:color="auto" w:sz="4" w:space="0"/>
              <w:left w:val="single" w:color="auto" w:sz="4" w:space="0"/>
              <w:bottom w:val="single" w:color="auto" w:sz="4" w:space="0"/>
              <w:right w:val="single" w:color="auto" w:sz="4" w:space="0"/>
            </w:tcBorders>
            <w:vAlign w:val="center"/>
          </w:tcPr>
          <w:p w14:paraId="651E3D0C">
            <w:pPr>
              <w:jc w:val="center"/>
              <w:rPr>
                <w:rFonts w:hint="eastAsia" w:ascii="新宋体" w:hAnsi="新宋体" w:eastAsia="新宋体"/>
                <w:b/>
                <w:color w:val="auto"/>
                <w:sz w:val="24"/>
              </w:rPr>
            </w:pPr>
            <w:r>
              <w:rPr>
                <w:rFonts w:hint="eastAsia" w:ascii="新宋体" w:hAnsi="新宋体" w:eastAsia="新宋体"/>
                <w:b/>
                <w:color w:val="auto"/>
                <w:sz w:val="24"/>
              </w:rPr>
              <w:t>网线</w:t>
            </w:r>
          </w:p>
        </w:tc>
        <w:tc>
          <w:tcPr>
            <w:tcW w:w="1261" w:type="dxa"/>
            <w:tcBorders>
              <w:top w:val="single" w:color="auto" w:sz="4" w:space="0"/>
              <w:left w:val="single" w:color="auto" w:sz="4" w:space="0"/>
              <w:bottom w:val="single" w:color="auto" w:sz="4" w:space="0"/>
              <w:right w:val="single" w:color="auto" w:sz="4" w:space="0"/>
            </w:tcBorders>
            <w:vAlign w:val="center"/>
          </w:tcPr>
          <w:p w14:paraId="39DAB1A3">
            <w:pPr>
              <w:jc w:val="center"/>
              <w:rPr>
                <w:rFonts w:hint="eastAsia" w:ascii="新宋体" w:hAnsi="新宋体" w:eastAsia="新宋体"/>
                <w:color w:val="auto"/>
                <w:sz w:val="24"/>
              </w:rPr>
            </w:pPr>
            <w:r>
              <w:rPr>
                <w:rFonts w:hint="eastAsia" w:ascii="新宋体" w:hAnsi="新宋体" w:eastAsia="新宋体"/>
                <w:color w:val="auto"/>
                <w:sz w:val="24"/>
              </w:rPr>
              <w:t>超六类</w:t>
            </w:r>
          </w:p>
        </w:tc>
        <w:tc>
          <w:tcPr>
            <w:tcW w:w="5519" w:type="dxa"/>
            <w:gridSpan w:val="7"/>
            <w:tcBorders>
              <w:top w:val="single" w:color="auto" w:sz="4" w:space="0"/>
              <w:left w:val="single" w:color="auto" w:sz="4" w:space="0"/>
              <w:bottom w:val="single" w:color="auto" w:sz="4" w:space="0"/>
              <w:right w:val="single" w:color="auto" w:sz="4" w:space="0"/>
            </w:tcBorders>
            <w:vAlign w:val="center"/>
          </w:tcPr>
          <w:p w14:paraId="0478D9C9">
            <w:pPr>
              <w:jc w:val="center"/>
              <w:rPr>
                <w:rFonts w:hint="eastAsia" w:ascii="新宋体" w:hAnsi="新宋体" w:eastAsia="新宋体"/>
                <w:color w:val="auto"/>
                <w:sz w:val="24"/>
              </w:rPr>
            </w:pPr>
            <w:r>
              <w:rPr>
                <w:rFonts w:hint="eastAsia" w:ascii="新宋体" w:hAnsi="新宋体" w:eastAsia="新宋体"/>
                <w:color w:val="auto"/>
                <w:sz w:val="24"/>
              </w:rPr>
              <w:t xml:space="preserve">6根网线   </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78E761AD">
            <w:pPr>
              <w:widowControl/>
              <w:jc w:val="left"/>
              <w:rPr>
                <w:rFonts w:hint="eastAsia" w:ascii="新宋体" w:hAnsi="新宋体" w:eastAsia="新宋体"/>
                <w:color w:val="auto"/>
                <w:sz w:val="24"/>
              </w:rPr>
            </w:pPr>
          </w:p>
        </w:tc>
      </w:tr>
      <w:tr w14:paraId="2AE7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6325B084">
            <w:pPr>
              <w:jc w:val="center"/>
              <w:rPr>
                <w:rFonts w:hint="eastAsia" w:ascii="新宋体" w:hAnsi="新宋体" w:eastAsia="新宋体"/>
                <w:color w:val="auto"/>
                <w:sz w:val="24"/>
              </w:rPr>
            </w:pPr>
            <w:r>
              <w:rPr>
                <w:rFonts w:hint="eastAsia" w:ascii="新宋体" w:hAnsi="新宋体" w:eastAsia="新宋体"/>
                <w:color w:val="auto"/>
                <w:sz w:val="24"/>
              </w:rPr>
              <w:t>7</w:t>
            </w:r>
          </w:p>
        </w:tc>
        <w:tc>
          <w:tcPr>
            <w:tcW w:w="1596" w:type="dxa"/>
            <w:tcBorders>
              <w:top w:val="single" w:color="auto" w:sz="4" w:space="0"/>
              <w:left w:val="single" w:color="auto" w:sz="4" w:space="0"/>
              <w:bottom w:val="single" w:color="auto" w:sz="4" w:space="0"/>
              <w:right w:val="single" w:color="auto" w:sz="4" w:space="0"/>
            </w:tcBorders>
            <w:vAlign w:val="center"/>
          </w:tcPr>
          <w:p w14:paraId="53816B16">
            <w:pPr>
              <w:jc w:val="center"/>
              <w:rPr>
                <w:rFonts w:hint="eastAsia" w:ascii="新宋体" w:hAnsi="新宋体" w:eastAsia="新宋体"/>
                <w:b/>
                <w:color w:val="auto"/>
                <w:sz w:val="24"/>
              </w:rPr>
            </w:pPr>
            <w:r>
              <w:rPr>
                <w:rFonts w:hint="eastAsia" w:ascii="新宋体" w:hAnsi="新宋体" w:eastAsia="新宋体"/>
                <w:b/>
                <w:color w:val="auto"/>
                <w:sz w:val="24"/>
              </w:rPr>
              <w:t>安装\调试\售后</w:t>
            </w:r>
          </w:p>
        </w:tc>
        <w:tc>
          <w:tcPr>
            <w:tcW w:w="1261" w:type="dxa"/>
            <w:tcBorders>
              <w:top w:val="single" w:color="auto" w:sz="4" w:space="0"/>
              <w:left w:val="single" w:color="auto" w:sz="4" w:space="0"/>
              <w:bottom w:val="single" w:color="auto" w:sz="4" w:space="0"/>
              <w:right w:val="single" w:color="auto" w:sz="4" w:space="0"/>
            </w:tcBorders>
            <w:vAlign w:val="center"/>
          </w:tcPr>
          <w:p w14:paraId="19927C99">
            <w:pPr>
              <w:jc w:val="center"/>
              <w:rPr>
                <w:rFonts w:hint="eastAsia" w:ascii="新宋体" w:hAnsi="新宋体" w:eastAsia="新宋体"/>
                <w:color w:val="auto"/>
                <w:sz w:val="24"/>
              </w:rPr>
            </w:pPr>
          </w:p>
        </w:tc>
        <w:tc>
          <w:tcPr>
            <w:tcW w:w="1362" w:type="dxa"/>
            <w:tcBorders>
              <w:top w:val="single" w:color="auto" w:sz="4" w:space="0"/>
              <w:left w:val="single" w:color="auto" w:sz="4" w:space="0"/>
              <w:bottom w:val="single" w:color="auto" w:sz="4" w:space="0"/>
              <w:right w:val="single" w:color="auto" w:sz="4" w:space="0"/>
            </w:tcBorders>
            <w:vAlign w:val="center"/>
          </w:tcPr>
          <w:p w14:paraId="12514714">
            <w:pPr>
              <w:jc w:val="center"/>
              <w:rPr>
                <w:rFonts w:hint="eastAsia" w:ascii="新宋体" w:hAnsi="新宋体" w:eastAsia="新宋体"/>
                <w:color w:val="auto"/>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459A5D0">
            <w:pPr>
              <w:jc w:val="center"/>
              <w:rPr>
                <w:rFonts w:hint="eastAsia" w:ascii="新宋体" w:hAnsi="新宋体" w:eastAsia="新宋体"/>
                <w:color w:val="auto"/>
                <w:sz w:val="24"/>
              </w:rPr>
            </w:pPr>
            <w:r>
              <w:rPr>
                <w:rFonts w:hint="eastAsia" w:ascii="新宋体" w:hAnsi="新宋体" w:eastAsia="新宋体"/>
                <w:bCs/>
                <w:color w:val="auto"/>
                <w:sz w:val="24"/>
              </w:rPr>
              <w:t>13.96</w:t>
            </w:r>
          </w:p>
        </w:tc>
        <w:tc>
          <w:tcPr>
            <w:tcW w:w="892" w:type="dxa"/>
            <w:tcBorders>
              <w:top w:val="single" w:color="auto" w:sz="4" w:space="0"/>
              <w:left w:val="single" w:color="auto" w:sz="4" w:space="0"/>
              <w:bottom w:val="single" w:color="auto" w:sz="4" w:space="0"/>
              <w:right w:val="single" w:color="auto" w:sz="4" w:space="0"/>
            </w:tcBorders>
            <w:vAlign w:val="center"/>
          </w:tcPr>
          <w:p w14:paraId="6C9530BD">
            <w:pPr>
              <w:jc w:val="center"/>
              <w:rPr>
                <w:rFonts w:hint="eastAsia" w:ascii="新宋体" w:hAnsi="新宋体" w:eastAsia="新宋体"/>
                <w:color w:val="auto"/>
                <w:sz w:val="24"/>
              </w:rPr>
            </w:pPr>
            <w:r>
              <w:rPr>
                <w:rFonts w:hint="eastAsia" w:ascii="新宋体" w:hAnsi="新宋体" w:eastAsia="新宋体"/>
                <w:color w:val="auto"/>
                <w:sz w:val="24"/>
              </w:rPr>
              <w:t>㎡</w:t>
            </w:r>
          </w:p>
        </w:tc>
        <w:tc>
          <w:tcPr>
            <w:tcW w:w="915" w:type="dxa"/>
            <w:tcBorders>
              <w:top w:val="single" w:color="auto" w:sz="4" w:space="0"/>
              <w:left w:val="single" w:color="auto" w:sz="4" w:space="0"/>
              <w:bottom w:val="single" w:color="auto" w:sz="4" w:space="0"/>
              <w:right w:val="single" w:color="auto" w:sz="4" w:space="0"/>
            </w:tcBorders>
            <w:vAlign w:val="center"/>
          </w:tcPr>
          <w:p w14:paraId="0848BD02">
            <w:pPr>
              <w:jc w:val="center"/>
              <w:rPr>
                <w:rFonts w:hint="eastAsia" w:ascii="新宋体" w:hAnsi="新宋体" w:eastAsia="新宋体"/>
                <w:color w:val="auto"/>
                <w:sz w:val="24"/>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1590A18F">
            <w:pPr>
              <w:jc w:val="center"/>
              <w:rPr>
                <w:rFonts w:hint="eastAsia" w:ascii="新宋体" w:hAnsi="新宋体" w:eastAsia="新宋体"/>
                <w:color w:val="auto"/>
                <w:sz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77531A9C">
            <w:pPr>
              <w:jc w:val="center"/>
              <w:rPr>
                <w:rFonts w:hint="eastAsia" w:ascii="新宋体" w:hAnsi="新宋体" w:eastAsia="新宋体"/>
                <w:color w:val="auto"/>
                <w:sz w:val="24"/>
              </w:rPr>
            </w:pPr>
          </w:p>
        </w:tc>
      </w:tr>
      <w:tr w14:paraId="065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14:paraId="4169D297">
            <w:pPr>
              <w:jc w:val="center"/>
              <w:rPr>
                <w:rFonts w:hint="eastAsia" w:ascii="新宋体" w:hAnsi="新宋体" w:eastAsia="新宋体"/>
                <w:color w:val="auto"/>
                <w:sz w:val="24"/>
              </w:rPr>
            </w:pPr>
            <w:r>
              <w:rPr>
                <w:rFonts w:hint="eastAsia" w:ascii="新宋体" w:hAnsi="新宋体" w:eastAsia="新宋体"/>
                <w:color w:val="auto"/>
                <w:sz w:val="24"/>
              </w:rPr>
              <w:t>8</w:t>
            </w:r>
          </w:p>
        </w:tc>
        <w:tc>
          <w:tcPr>
            <w:tcW w:w="1596" w:type="dxa"/>
            <w:tcBorders>
              <w:top w:val="single" w:color="auto" w:sz="4" w:space="0"/>
              <w:left w:val="single" w:color="auto" w:sz="4" w:space="0"/>
              <w:bottom w:val="single" w:color="auto" w:sz="4" w:space="0"/>
              <w:right w:val="single" w:color="auto" w:sz="4" w:space="0"/>
            </w:tcBorders>
            <w:vAlign w:val="center"/>
          </w:tcPr>
          <w:p w14:paraId="496143F7">
            <w:pPr>
              <w:jc w:val="center"/>
              <w:rPr>
                <w:rFonts w:hint="eastAsia" w:ascii="新宋体" w:hAnsi="新宋体" w:eastAsia="新宋体"/>
                <w:bCs/>
                <w:color w:val="auto"/>
                <w:sz w:val="24"/>
              </w:rPr>
            </w:pPr>
            <w:r>
              <w:rPr>
                <w:rFonts w:hint="eastAsia" w:ascii="新宋体" w:hAnsi="新宋体" w:eastAsia="新宋体"/>
                <w:color w:val="auto"/>
                <w:sz w:val="24"/>
              </w:rPr>
              <w:t>总价</w:t>
            </w:r>
            <w:r>
              <w:rPr>
                <w:rFonts w:hint="eastAsia" w:ascii="新宋体" w:hAnsi="新宋体" w:eastAsia="新宋体"/>
                <w:bCs/>
                <w:color w:val="auto"/>
                <w:sz w:val="24"/>
              </w:rPr>
              <w:t>合计</w:t>
            </w:r>
          </w:p>
        </w:tc>
        <w:tc>
          <w:tcPr>
            <w:tcW w:w="8148" w:type="dxa"/>
            <w:gridSpan w:val="9"/>
            <w:tcBorders>
              <w:top w:val="single" w:color="auto" w:sz="4" w:space="0"/>
              <w:left w:val="single" w:color="auto" w:sz="4" w:space="0"/>
              <w:bottom w:val="single" w:color="auto" w:sz="4" w:space="0"/>
              <w:right w:val="single" w:color="auto" w:sz="4" w:space="0"/>
            </w:tcBorders>
            <w:vAlign w:val="center"/>
          </w:tcPr>
          <w:p w14:paraId="3CD7D4D1">
            <w:pPr>
              <w:jc w:val="center"/>
              <w:rPr>
                <w:rFonts w:hint="eastAsia" w:ascii="新宋体" w:hAnsi="新宋体" w:eastAsia="新宋体"/>
                <w:color w:val="auto"/>
                <w:sz w:val="24"/>
              </w:rPr>
            </w:pPr>
            <w:r>
              <w:rPr>
                <w:rFonts w:hint="eastAsia" w:ascii="新宋体" w:hAnsi="新宋体" w:eastAsia="新宋体"/>
                <w:color w:val="auto"/>
                <w:sz w:val="24"/>
              </w:rPr>
              <w:t xml:space="preserve">    小写：      </w:t>
            </w:r>
          </w:p>
        </w:tc>
      </w:tr>
    </w:tbl>
    <w:p w14:paraId="68AFF1F5">
      <w:pPr>
        <w:spacing w:line="360" w:lineRule="auto"/>
        <w:outlineLvl w:val="1"/>
        <w:rPr>
          <w:rFonts w:ascii="仿宋" w:hAnsi="仿宋" w:eastAsia="仿宋"/>
          <w:color w:val="auto"/>
        </w:rPr>
      </w:pPr>
    </w:p>
    <w:p w14:paraId="1B3C85BF">
      <w:pPr>
        <w:spacing w:line="360" w:lineRule="auto"/>
        <w:outlineLvl w:val="1"/>
        <w:rPr>
          <w:rFonts w:ascii="仿宋" w:hAnsi="仿宋" w:eastAsia="仿宋"/>
          <w:b/>
          <w:color w:val="auto"/>
        </w:rPr>
      </w:pPr>
      <w:r>
        <w:rPr>
          <w:rFonts w:hint="eastAsia" w:ascii="仿宋" w:hAnsi="仿宋" w:eastAsia="仿宋"/>
          <w:b/>
          <w:color w:val="auto"/>
        </w:rPr>
        <w:t>三、项目实施要求</w:t>
      </w:r>
    </w:p>
    <w:p w14:paraId="5F912D83">
      <w:pPr>
        <w:spacing w:line="360" w:lineRule="auto"/>
        <w:ind w:firstLine="422" w:firstLineChars="200"/>
        <w:rPr>
          <w:rFonts w:ascii="仿宋" w:hAnsi="仿宋" w:eastAsia="仿宋"/>
          <w:bCs/>
          <w:color w:val="auto"/>
        </w:rPr>
      </w:pPr>
      <w:r>
        <w:rPr>
          <w:rFonts w:hint="eastAsia" w:ascii="仿宋" w:hAnsi="仿宋" w:eastAsia="仿宋"/>
          <w:b/>
          <w:color w:val="auto"/>
        </w:rPr>
        <w:t>1、</w:t>
      </w:r>
      <w:r>
        <w:rPr>
          <w:rFonts w:ascii="仿宋" w:hAnsi="仿宋" w:eastAsia="仿宋"/>
          <w:b/>
          <w:color w:val="auto"/>
        </w:rPr>
        <w:t>交货时间</w:t>
      </w:r>
      <w:r>
        <w:rPr>
          <w:rFonts w:hint="eastAsia" w:ascii="仿宋" w:hAnsi="仿宋" w:eastAsia="仿宋"/>
          <w:b/>
          <w:color w:val="auto"/>
        </w:rPr>
        <w:t>：</w:t>
      </w:r>
      <w:r>
        <w:rPr>
          <w:rFonts w:hint="eastAsia" w:ascii="仿宋" w:hAnsi="仿宋" w:eastAsia="仿宋"/>
          <w:bCs/>
          <w:color w:val="auto"/>
          <w:lang w:eastAsia="zh-CN"/>
        </w:rPr>
        <w:t>合同签订之日起20日历天内完成供货、安装且通过验收</w:t>
      </w:r>
      <w:r>
        <w:rPr>
          <w:rFonts w:hint="eastAsia" w:ascii="仿宋" w:hAnsi="仿宋" w:eastAsia="仿宋"/>
          <w:bCs/>
          <w:color w:val="auto"/>
        </w:rPr>
        <w:t>。</w:t>
      </w:r>
    </w:p>
    <w:p w14:paraId="317AE69B">
      <w:pPr>
        <w:spacing w:line="360" w:lineRule="auto"/>
        <w:ind w:firstLine="422" w:firstLineChars="200"/>
        <w:rPr>
          <w:rFonts w:ascii="仿宋" w:hAnsi="仿宋" w:eastAsia="仿宋"/>
          <w:b/>
          <w:color w:val="auto"/>
        </w:rPr>
      </w:pPr>
      <w:r>
        <w:rPr>
          <w:rFonts w:hint="eastAsia" w:ascii="仿宋" w:hAnsi="仿宋" w:eastAsia="仿宋"/>
          <w:b/>
          <w:color w:val="auto"/>
          <w:cs/>
        </w:rPr>
        <w:t>2</w:t>
      </w:r>
      <w:r>
        <w:rPr>
          <w:rFonts w:hint="eastAsia" w:ascii="仿宋" w:hAnsi="仿宋" w:eastAsia="仿宋"/>
          <w:b/>
          <w:color w:val="auto"/>
        </w:rPr>
        <w:t>、质量保证</w:t>
      </w:r>
    </w:p>
    <w:p w14:paraId="19BF46AE">
      <w:pPr>
        <w:spacing w:line="360" w:lineRule="auto"/>
        <w:ind w:firstLine="420" w:firstLineChars="200"/>
        <w:rPr>
          <w:rFonts w:ascii="仿宋" w:hAnsi="仿宋" w:eastAsia="仿宋"/>
          <w:bCs/>
          <w:color w:val="auto"/>
        </w:rPr>
      </w:pPr>
      <w:r>
        <w:rPr>
          <w:rFonts w:hint="eastAsia" w:ascii="仿宋" w:hAnsi="仿宋" w:eastAsia="仿宋"/>
          <w:bCs/>
          <w:color w:val="auto"/>
        </w:rPr>
        <w:t>1）所投产品及主要部件均须为非停产设备；</w:t>
      </w:r>
    </w:p>
    <w:p w14:paraId="3E5969A4">
      <w:pPr>
        <w:spacing w:line="360" w:lineRule="auto"/>
        <w:ind w:firstLine="420" w:firstLineChars="200"/>
        <w:rPr>
          <w:rFonts w:ascii="仿宋" w:hAnsi="仿宋" w:eastAsia="仿宋"/>
          <w:bCs/>
          <w:color w:val="auto"/>
        </w:rPr>
      </w:pPr>
      <w:r>
        <w:rPr>
          <w:rFonts w:hint="eastAsia" w:ascii="仿宋" w:hAnsi="仿宋" w:eastAsia="仿宋"/>
          <w:bCs/>
          <w:color w:val="auto"/>
        </w:rPr>
        <w:t>2）所投产品须符合国家技术规范和质量标准，通过国家有关部门检测合格的原产地产品，未曾开箱使用；</w:t>
      </w:r>
    </w:p>
    <w:p w14:paraId="050F52C1">
      <w:pPr>
        <w:spacing w:line="360" w:lineRule="auto"/>
        <w:ind w:firstLine="422" w:firstLineChars="200"/>
        <w:rPr>
          <w:rFonts w:ascii="仿宋" w:hAnsi="仿宋" w:eastAsia="仿宋"/>
          <w:b/>
          <w:color w:val="auto"/>
        </w:rPr>
      </w:pPr>
      <w:r>
        <w:rPr>
          <w:rFonts w:hint="eastAsia" w:ascii="仿宋" w:hAnsi="仿宋" w:eastAsia="仿宋"/>
          <w:b/>
          <w:color w:val="auto"/>
        </w:rPr>
        <w:t>3、售后要求</w:t>
      </w:r>
    </w:p>
    <w:p w14:paraId="2E2D1480">
      <w:pPr>
        <w:snapToGrid w:val="0"/>
        <w:spacing w:line="360" w:lineRule="auto"/>
        <w:ind w:firstLine="424" w:firstLineChars="202"/>
        <w:rPr>
          <w:rFonts w:ascii="仿宋" w:hAnsi="仿宋" w:eastAsia="仿宋"/>
          <w:color w:val="auto"/>
        </w:rPr>
      </w:pPr>
      <w:r>
        <w:rPr>
          <w:rFonts w:hint="eastAsia" w:ascii="仿宋" w:hAnsi="仿宋" w:eastAsia="仿宋"/>
          <w:color w:val="auto"/>
        </w:rPr>
        <w:t>（1）各设备设施的质量保证期为一年，时间自项目终验合格之日起计算。</w:t>
      </w:r>
    </w:p>
    <w:p w14:paraId="277E94A8">
      <w:pPr>
        <w:snapToGrid w:val="0"/>
        <w:spacing w:line="360" w:lineRule="auto"/>
        <w:ind w:firstLine="424" w:firstLineChars="202"/>
        <w:rPr>
          <w:rFonts w:ascii="仿宋" w:hAnsi="仿宋" w:eastAsia="仿宋"/>
          <w:color w:val="auto"/>
        </w:rPr>
      </w:pPr>
      <w:r>
        <w:rPr>
          <w:rFonts w:hint="eastAsia" w:ascii="仿宋" w:hAnsi="仿宋" w:eastAsia="仿宋"/>
          <w:color w:val="auto"/>
        </w:rPr>
        <w:t>（2）确保全年7*24小时设有报修电话，确保1小时内予以响应反馈，4小时内到达现场进行维修；</w:t>
      </w:r>
    </w:p>
    <w:p w14:paraId="26AF4A48">
      <w:pPr>
        <w:spacing w:line="360" w:lineRule="auto"/>
        <w:ind w:firstLine="420" w:firstLineChars="200"/>
        <w:rPr>
          <w:rFonts w:ascii="仿宋" w:hAnsi="仿宋" w:eastAsia="仿宋"/>
          <w:color w:val="auto"/>
        </w:rPr>
      </w:pPr>
      <w:r>
        <w:rPr>
          <w:rFonts w:hint="eastAsia" w:ascii="仿宋" w:hAnsi="仿宋" w:eastAsia="仿宋"/>
          <w:color w:val="auto"/>
        </w:rPr>
        <w:t>（3）中标人须安排专门的技术服务人员提供技术支持和维护，并根据采购人需求提供上门技术服务，确保所供货物安全、正常运行使用。</w:t>
      </w:r>
    </w:p>
    <w:p w14:paraId="59400AF3">
      <w:pPr>
        <w:spacing w:line="360" w:lineRule="auto"/>
        <w:ind w:firstLine="420" w:firstLineChars="200"/>
        <w:rPr>
          <w:rFonts w:ascii="仿宋" w:hAnsi="仿宋" w:eastAsia="仿宋"/>
          <w:color w:val="auto"/>
        </w:rPr>
      </w:pPr>
      <w:r>
        <w:rPr>
          <w:rFonts w:hint="eastAsia" w:ascii="仿宋" w:hAnsi="仿宋" w:eastAsia="仿宋"/>
          <w:color w:val="auto"/>
        </w:rPr>
        <w:t>（4）中标单位</w:t>
      </w:r>
      <w:r>
        <w:rPr>
          <w:rFonts w:ascii="仿宋" w:hAnsi="仿宋" w:eastAsia="仿宋"/>
          <w:color w:val="auto"/>
        </w:rPr>
        <w:t>应按招标文件规定的货物性能、技术要求、质量标准向甲方提供未经使用的全新产品。</w:t>
      </w:r>
    </w:p>
    <w:p w14:paraId="456C1DF7">
      <w:pPr>
        <w:spacing w:line="360" w:lineRule="auto"/>
        <w:ind w:firstLine="420" w:firstLineChars="200"/>
        <w:rPr>
          <w:rFonts w:ascii="仿宋" w:hAnsi="仿宋" w:eastAsia="仿宋"/>
          <w:color w:val="auto"/>
        </w:rPr>
      </w:pPr>
      <w:r>
        <w:rPr>
          <w:rFonts w:ascii="仿宋" w:hAnsi="仿宋" w:eastAsia="仿宋"/>
          <w:color w:val="auto"/>
        </w:rPr>
        <w:t>因产品本身的质量发生问题时，应负责免费更换。</w:t>
      </w:r>
    </w:p>
    <w:p w14:paraId="20A10F99">
      <w:pPr>
        <w:spacing w:line="360" w:lineRule="auto"/>
        <w:ind w:firstLine="420" w:firstLineChars="200"/>
        <w:rPr>
          <w:rFonts w:ascii="仿宋" w:hAnsi="仿宋" w:eastAsia="仿宋"/>
          <w:color w:val="auto"/>
        </w:rPr>
      </w:pPr>
      <w:r>
        <w:rPr>
          <w:rFonts w:hint="eastAsia" w:ascii="仿宋" w:hAnsi="仿宋" w:eastAsia="仿宋"/>
          <w:color w:val="auto"/>
        </w:rPr>
        <w:t>对达不到技术要求者，根据实际情况，经双方协商，可按以下办法处理：</w:t>
      </w:r>
    </w:p>
    <w:p w14:paraId="22B1D944">
      <w:pPr>
        <w:spacing w:line="360" w:lineRule="auto"/>
        <w:ind w:firstLine="420" w:firstLineChars="200"/>
        <w:rPr>
          <w:rFonts w:ascii="仿宋" w:hAnsi="仿宋" w:eastAsia="仿宋"/>
          <w:color w:val="auto"/>
        </w:rPr>
      </w:pPr>
      <w:r>
        <w:rPr>
          <w:rFonts w:hint="eastAsia" w:ascii="仿宋" w:hAnsi="仿宋" w:eastAsia="仿宋"/>
          <w:color w:val="auto"/>
        </w:rPr>
        <w:t>1）更换：由乙方承担所发生的全部费用。</w:t>
      </w:r>
    </w:p>
    <w:p w14:paraId="508B3C80">
      <w:pPr>
        <w:spacing w:line="360" w:lineRule="auto"/>
        <w:ind w:firstLine="420" w:firstLineChars="200"/>
        <w:rPr>
          <w:rFonts w:ascii="仿宋" w:hAnsi="仿宋" w:eastAsia="仿宋"/>
          <w:color w:val="auto"/>
        </w:rPr>
      </w:pPr>
      <w:r>
        <w:rPr>
          <w:rFonts w:hint="eastAsia" w:ascii="仿宋" w:hAnsi="仿宋" w:eastAsia="仿宋"/>
          <w:color w:val="auto"/>
        </w:rPr>
        <w:t>2）退货处理：乙方应退还甲方支付的合同款，同时应承担该货物的直接费用（运输、保险、检验、货款利息及银行手续费等）。</w:t>
      </w:r>
    </w:p>
    <w:p w14:paraId="483C8DC2">
      <w:pPr>
        <w:spacing w:line="360" w:lineRule="auto"/>
        <w:ind w:firstLine="422" w:firstLineChars="200"/>
        <w:rPr>
          <w:rFonts w:ascii="仿宋" w:hAnsi="仿宋" w:eastAsia="仿宋"/>
          <w:b/>
          <w:color w:val="auto"/>
        </w:rPr>
      </w:pPr>
      <w:r>
        <w:rPr>
          <w:rFonts w:hint="eastAsia" w:ascii="仿宋" w:hAnsi="仿宋" w:eastAsia="仿宋"/>
          <w:b/>
          <w:color w:val="auto"/>
        </w:rPr>
        <w:t>4、项目验收要求</w:t>
      </w:r>
    </w:p>
    <w:p w14:paraId="31CEEEBE">
      <w:pPr>
        <w:snapToGrid w:val="0"/>
        <w:spacing w:line="360" w:lineRule="auto"/>
        <w:ind w:firstLine="420"/>
        <w:rPr>
          <w:rFonts w:ascii="仿宋" w:hAnsi="仿宋" w:eastAsia="仿宋"/>
          <w:color w:val="auto"/>
        </w:rPr>
      </w:pPr>
      <w:r>
        <w:rPr>
          <w:rFonts w:hint="eastAsia" w:ascii="仿宋" w:hAnsi="仿宋" w:eastAsia="仿宋"/>
          <w:color w:val="auto"/>
        </w:rPr>
        <w:t>由采购人自行组织验收，所产生的费用由中标单位支付。</w:t>
      </w:r>
    </w:p>
    <w:p w14:paraId="7BAD4E24">
      <w:pPr>
        <w:spacing w:line="360" w:lineRule="auto"/>
        <w:outlineLvl w:val="1"/>
        <w:rPr>
          <w:rFonts w:ascii="仿宋" w:hAnsi="仿宋" w:eastAsia="仿宋"/>
          <w:b/>
          <w:color w:val="auto"/>
        </w:rPr>
      </w:pPr>
      <w:r>
        <w:rPr>
          <w:rFonts w:hint="eastAsia" w:ascii="仿宋" w:hAnsi="仿宋" w:eastAsia="仿宋"/>
          <w:b/>
          <w:color w:val="auto"/>
        </w:rPr>
        <w:t>四、商务条款</w:t>
      </w:r>
    </w:p>
    <w:p w14:paraId="3A549872">
      <w:pPr>
        <w:spacing w:line="360" w:lineRule="auto"/>
        <w:ind w:firstLine="422" w:firstLineChars="200"/>
        <w:rPr>
          <w:rFonts w:ascii="仿宋" w:hAnsi="仿宋" w:eastAsia="仿宋"/>
          <w:b/>
          <w:bCs/>
          <w:color w:val="auto"/>
        </w:rPr>
      </w:pPr>
      <w:r>
        <w:rPr>
          <w:rFonts w:hint="eastAsia" w:ascii="仿宋" w:hAnsi="仿宋" w:eastAsia="仿宋"/>
          <w:b/>
          <w:bCs/>
          <w:color w:val="auto"/>
        </w:rPr>
        <w:t>1、质保期：</w:t>
      </w:r>
      <w:r>
        <w:rPr>
          <w:rFonts w:hint="eastAsia" w:ascii="仿宋" w:hAnsi="仿宋" w:eastAsia="仿宋"/>
          <w:bCs/>
          <w:color w:val="auto"/>
        </w:rPr>
        <w:t>质保期一年（自最终验收合格之日起算一年）。</w:t>
      </w:r>
    </w:p>
    <w:p w14:paraId="6AE597F9">
      <w:pPr>
        <w:spacing w:line="360" w:lineRule="auto"/>
        <w:ind w:firstLine="422" w:firstLineChars="200"/>
        <w:rPr>
          <w:rFonts w:ascii="仿宋" w:hAnsi="仿宋" w:eastAsia="仿宋"/>
          <w:bCs/>
          <w:color w:val="auto"/>
        </w:rPr>
      </w:pPr>
      <w:r>
        <w:rPr>
          <w:rFonts w:hint="eastAsia" w:ascii="仿宋" w:hAnsi="仿宋" w:eastAsia="仿宋"/>
          <w:b/>
          <w:bCs/>
          <w:color w:val="auto"/>
        </w:rPr>
        <w:t>2、付款方式：</w:t>
      </w:r>
      <w:r>
        <w:rPr>
          <w:rFonts w:hint="eastAsia" w:ascii="仿宋" w:hAnsi="仿宋" w:eastAsia="仿宋"/>
          <w:color w:val="auto"/>
        </w:rPr>
        <w:t>项目经采购单位组织验收通过后支付至合同价的100%</w:t>
      </w:r>
      <w:r>
        <w:rPr>
          <w:rFonts w:hint="eastAsia" w:ascii="仿宋" w:hAnsi="仿宋" w:eastAsia="仿宋"/>
          <w:bCs/>
          <w:color w:val="auto"/>
        </w:rPr>
        <w:t>。</w:t>
      </w:r>
    </w:p>
    <w:p w14:paraId="4FBA02B0">
      <w:pPr>
        <w:ind w:firstLine="411" w:firstLineChars="196"/>
        <w:rPr>
          <w:rFonts w:ascii="仿宋" w:hAnsi="仿宋" w:eastAsia="仿宋"/>
          <w:bCs/>
          <w:color w:val="auto"/>
        </w:rPr>
      </w:pPr>
    </w:p>
    <w:p w14:paraId="084352B6">
      <w:pPr>
        <w:widowControl/>
        <w:jc w:val="left"/>
        <w:rPr>
          <w:rFonts w:ascii="仿宋" w:hAnsi="仿宋" w:eastAsia="仿宋" w:cs="仿宋"/>
          <w:b/>
          <w:color w:val="auto"/>
          <w:sz w:val="24"/>
        </w:rPr>
      </w:pPr>
    </w:p>
    <w:p w14:paraId="0137701A">
      <w:pPr>
        <w:widowControl/>
        <w:jc w:val="left"/>
        <w:rPr>
          <w:rFonts w:ascii="仿宋" w:hAnsi="仿宋" w:eastAsia="仿宋" w:cs="仿宋"/>
          <w:b/>
          <w:color w:val="auto"/>
          <w:sz w:val="24"/>
        </w:rPr>
      </w:pPr>
      <w:r>
        <w:rPr>
          <w:rFonts w:ascii="仿宋" w:hAnsi="仿宋" w:eastAsia="仿宋" w:cs="仿宋"/>
          <w:b/>
          <w:color w:val="auto"/>
          <w:sz w:val="24"/>
        </w:rPr>
        <w:br w:type="page"/>
      </w:r>
    </w:p>
    <w:p w14:paraId="02544D7E">
      <w:pPr>
        <w:widowControl/>
        <w:jc w:val="center"/>
        <w:rPr>
          <w:rFonts w:ascii="仿宋" w:hAnsi="仿宋" w:eastAsia="仿宋" w:cs="仿宋"/>
          <w:b/>
          <w:color w:val="auto"/>
        </w:rPr>
      </w:pPr>
      <w:r>
        <w:rPr>
          <w:rFonts w:hint="eastAsia" w:ascii="仿宋" w:hAnsi="仿宋" w:eastAsia="仿宋" w:cs="仿宋"/>
          <w:b/>
          <w:color w:val="auto"/>
          <w:sz w:val="24"/>
        </w:rPr>
        <w:t>第五章 比价谈判响应文件格式</w:t>
      </w:r>
    </w:p>
    <w:p w14:paraId="1D82601A">
      <w:pPr>
        <w:jc w:val="center"/>
        <w:rPr>
          <w:rFonts w:ascii="仿宋" w:hAnsi="仿宋" w:eastAsia="仿宋" w:cs="仿宋"/>
          <w:color w:val="auto"/>
          <w:sz w:val="24"/>
        </w:rPr>
      </w:pPr>
    </w:p>
    <w:p w14:paraId="325DF28F">
      <w:pPr>
        <w:jc w:val="center"/>
        <w:rPr>
          <w:rFonts w:ascii="仿宋" w:hAnsi="仿宋" w:eastAsia="仿宋" w:cs="仿宋"/>
          <w:color w:val="auto"/>
          <w:sz w:val="24"/>
        </w:rPr>
      </w:pPr>
    </w:p>
    <w:p w14:paraId="1C39CC5C">
      <w:pPr>
        <w:jc w:val="right"/>
        <w:rPr>
          <w:rFonts w:ascii="仿宋" w:hAnsi="仿宋" w:eastAsia="仿宋" w:cs="仿宋"/>
          <w:color w:val="auto"/>
          <w:sz w:val="24"/>
        </w:rPr>
      </w:pPr>
      <w:r>
        <w:rPr>
          <w:rFonts w:hint="eastAsia" w:ascii="仿宋" w:hAnsi="仿宋" w:eastAsia="仿宋" w:cs="仿宋"/>
          <w:color w:val="auto"/>
          <w:sz w:val="24"/>
        </w:rPr>
        <w:t>价格部分封面</w:t>
      </w:r>
    </w:p>
    <w:p w14:paraId="3C6C2DDB">
      <w:pPr>
        <w:spacing w:line="1000" w:lineRule="exact"/>
        <w:jc w:val="center"/>
        <w:rPr>
          <w:rFonts w:ascii="仿宋" w:hAnsi="仿宋" w:eastAsia="仿宋" w:cs="仿宋"/>
          <w:color w:val="auto"/>
          <w:sz w:val="24"/>
        </w:rPr>
      </w:pPr>
      <w:r>
        <w:rPr>
          <w:rFonts w:hint="eastAsia" w:ascii="仿宋" w:hAnsi="仿宋" w:eastAsia="仿宋" w:cs="仿宋"/>
          <w:color w:val="auto"/>
          <w:sz w:val="24"/>
        </w:rPr>
        <w:t>比价谈判响应文件（价格部分）</w:t>
      </w:r>
    </w:p>
    <w:p w14:paraId="26A6D649">
      <w:pPr>
        <w:jc w:val="center"/>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注明正本或副本</w:t>
      </w:r>
      <w:r>
        <w:rPr>
          <w:rFonts w:hint="eastAsia" w:ascii="仿宋" w:hAnsi="仿宋" w:eastAsia="仿宋" w:cs="仿宋"/>
          <w:color w:val="auto"/>
          <w:sz w:val="24"/>
        </w:rPr>
        <w:t>）</w:t>
      </w:r>
    </w:p>
    <w:p w14:paraId="015A5436">
      <w:pPr>
        <w:jc w:val="center"/>
        <w:rPr>
          <w:rFonts w:ascii="仿宋" w:hAnsi="仿宋" w:eastAsia="仿宋" w:cs="仿宋"/>
          <w:color w:val="auto"/>
          <w:sz w:val="24"/>
        </w:rPr>
      </w:pPr>
    </w:p>
    <w:p w14:paraId="3ED23AF3">
      <w:pPr>
        <w:jc w:val="center"/>
        <w:rPr>
          <w:rFonts w:ascii="仿宋" w:hAnsi="仿宋" w:eastAsia="仿宋" w:cs="仿宋"/>
          <w:color w:val="auto"/>
          <w:sz w:val="24"/>
        </w:rPr>
      </w:pPr>
    </w:p>
    <w:p w14:paraId="289A9B3F">
      <w:pPr>
        <w:jc w:val="center"/>
        <w:rPr>
          <w:rFonts w:ascii="仿宋" w:hAnsi="仿宋" w:eastAsia="仿宋" w:cs="仿宋"/>
          <w:color w:val="auto"/>
          <w:sz w:val="24"/>
        </w:rPr>
      </w:pPr>
    </w:p>
    <w:p w14:paraId="32FCBED6">
      <w:pPr>
        <w:jc w:val="center"/>
        <w:rPr>
          <w:rFonts w:ascii="仿宋" w:hAnsi="仿宋" w:eastAsia="仿宋" w:cs="仿宋"/>
          <w:color w:val="auto"/>
          <w:sz w:val="24"/>
        </w:rPr>
      </w:pPr>
    </w:p>
    <w:p w14:paraId="3FE08C9C">
      <w:pPr>
        <w:tabs>
          <w:tab w:val="left" w:pos="6930"/>
        </w:tabs>
        <w:rPr>
          <w:rFonts w:ascii="仿宋" w:hAnsi="仿宋" w:eastAsia="仿宋" w:cs="仿宋"/>
          <w:color w:val="auto"/>
          <w:sz w:val="24"/>
        </w:rPr>
      </w:pPr>
      <w:r>
        <w:rPr>
          <w:rFonts w:hint="eastAsia" w:ascii="仿宋" w:hAnsi="仿宋" w:eastAsia="仿宋" w:cs="仿宋"/>
          <w:color w:val="auto"/>
          <w:sz w:val="24"/>
        </w:rPr>
        <w:t xml:space="preserve">                项目编号：</w:t>
      </w:r>
    </w:p>
    <w:p w14:paraId="3116BEA1">
      <w:pPr>
        <w:rPr>
          <w:rFonts w:ascii="仿宋" w:hAnsi="仿宋" w:eastAsia="仿宋" w:cs="仿宋"/>
          <w:color w:val="auto"/>
          <w:sz w:val="24"/>
        </w:rPr>
      </w:pPr>
    </w:p>
    <w:p w14:paraId="2DC1C3D7">
      <w:pPr>
        <w:tabs>
          <w:tab w:val="left" w:pos="7350"/>
        </w:tabs>
        <w:ind w:firstLine="960" w:firstLineChars="400"/>
        <w:rPr>
          <w:rFonts w:ascii="仿宋" w:hAnsi="仿宋" w:eastAsia="仿宋" w:cs="仿宋"/>
          <w:color w:val="auto"/>
          <w:sz w:val="24"/>
          <w:u w:val="single"/>
        </w:rPr>
      </w:pPr>
      <w:r>
        <w:rPr>
          <w:rFonts w:hint="eastAsia" w:ascii="仿宋" w:hAnsi="仿宋" w:eastAsia="仿宋" w:cs="仿宋"/>
          <w:color w:val="auto"/>
          <w:sz w:val="24"/>
        </w:rPr>
        <w:t xml:space="preserve">        项目名称：</w:t>
      </w:r>
    </w:p>
    <w:p w14:paraId="3F2A1780">
      <w:pPr>
        <w:rPr>
          <w:rFonts w:ascii="仿宋" w:hAnsi="仿宋" w:eastAsia="仿宋" w:cs="仿宋"/>
          <w:color w:val="auto"/>
          <w:sz w:val="24"/>
        </w:rPr>
      </w:pPr>
    </w:p>
    <w:p w14:paraId="45E7E823">
      <w:pPr>
        <w:ind w:firstLine="960" w:firstLineChars="400"/>
        <w:rPr>
          <w:rFonts w:ascii="仿宋" w:hAnsi="仿宋" w:eastAsia="仿宋" w:cs="仿宋"/>
          <w:color w:val="auto"/>
          <w:sz w:val="24"/>
          <w:u w:val="single"/>
        </w:rPr>
      </w:pPr>
      <w:r>
        <w:rPr>
          <w:rFonts w:hint="eastAsia" w:ascii="仿宋" w:hAnsi="仿宋" w:eastAsia="仿宋" w:cs="仿宋"/>
          <w:color w:val="auto"/>
          <w:sz w:val="24"/>
        </w:rPr>
        <w:t xml:space="preserve">        供 应 商：</w:t>
      </w:r>
    </w:p>
    <w:p w14:paraId="5130A716">
      <w:pPr>
        <w:rPr>
          <w:rFonts w:ascii="仿宋" w:hAnsi="仿宋" w:eastAsia="仿宋" w:cs="仿宋"/>
          <w:color w:val="auto"/>
          <w:sz w:val="24"/>
        </w:rPr>
      </w:pPr>
    </w:p>
    <w:p w14:paraId="14A08613">
      <w:pPr>
        <w:rPr>
          <w:rFonts w:ascii="仿宋" w:hAnsi="仿宋" w:eastAsia="仿宋" w:cs="仿宋"/>
          <w:color w:val="auto"/>
          <w:sz w:val="24"/>
        </w:rPr>
      </w:pPr>
    </w:p>
    <w:p w14:paraId="2E6A9A66">
      <w:pPr>
        <w:rPr>
          <w:rFonts w:ascii="仿宋" w:hAnsi="仿宋" w:eastAsia="仿宋" w:cs="仿宋"/>
          <w:color w:val="auto"/>
          <w:sz w:val="24"/>
        </w:rPr>
      </w:pPr>
    </w:p>
    <w:p w14:paraId="395CBD4C">
      <w:pPr>
        <w:jc w:val="center"/>
        <w:rPr>
          <w:rFonts w:ascii="仿宋" w:hAnsi="仿宋" w:eastAsia="仿宋" w:cs="仿宋"/>
          <w:color w:val="auto"/>
          <w:sz w:val="24"/>
        </w:rPr>
      </w:pPr>
      <w:r>
        <w:rPr>
          <w:rFonts w:hint="eastAsia" w:ascii="仿宋" w:hAnsi="仿宋" w:eastAsia="仿宋" w:cs="仿宋"/>
          <w:color w:val="auto"/>
          <w:sz w:val="24"/>
          <w:lang w:eastAsia="zh-CN"/>
        </w:rPr>
        <w:t xml:space="preserve">二○二  </w:t>
      </w:r>
      <w:r>
        <w:rPr>
          <w:rFonts w:hint="eastAsia" w:ascii="仿宋" w:hAnsi="仿宋" w:eastAsia="仿宋" w:cs="仿宋"/>
          <w:color w:val="auto"/>
          <w:sz w:val="24"/>
        </w:rPr>
        <w:t>年   月    日</w:t>
      </w:r>
    </w:p>
    <w:p w14:paraId="76F8ABE4">
      <w:pPr>
        <w:jc w:val="center"/>
        <w:rPr>
          <w:rFonts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b/>
          <w:color w:val="auto"/>
          <w:sz w:val="24"/>
        </w:rPr>
        <w:t>一、价格部分目录</w:t>
      </w:r>
    </w:p>
    <w:p w14:paraId="2AC86A9E">
      <w:pPr>
        <w:jc w:val="center"/>
        <w:rPr>
          <w:rFonts w:ascii="仿宋" w:hAnsi="仿宋" w:eastAsia="仿宋" w:cs="仿宋"/>
          <w:color w:val="auto"/>
          <w:sz w:val="24"/>
        </w:rPr>
      </w:pPr>
    </w:p>
    <w:tbl>
      <w:tblPr>
        <w:tblStyle w:val="4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633"/>
        <w:gridCol w:w="2843"/>
      </w:tblGrid>
      <w:tr w14:paraId="62B7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237D5972">
            <w:pPr>
              <w:jc w:val="center"/>
              <w:rPr>
                <w:rFonts w:ascii="仿宋" w:hAnsi="仿宋" w:eastAsia="仿宋" w:cs="仿宋"/>
                <w:color w:val="auto"/>
              </w:rPr>
            </w:pPr>
            <w:r>
              <w:rPr>
                <w:rFonts w:hint="eastAsia" w:ascii="仿宋" w:hAnsi="仿宋" w:eastAsia="仿宋" w:cs="仿宋"/>
                <w:color w:val="auto"/>
              </w:rPr>
              <w:t>序号</w:t>
            </w:r>
          </w:p>
        </w:tc>
        <w:tc>
          <w:tcPr>
            <w:tcW w:w="4633" w:type="dxa"/>
            <w:vAlign w:val="center"/>
          </w:tcPr>
          <w:p w14:paraId="3BC981C3">
            <w:pPr>
              <w:jc w:val="center"/>
              <w:rPr>
                <w:rFonts w:ascii="仿宋" w:hAnsi="仿宋" w:eastAsia="仿宋" w:cs="仿宋"/>
                <w:color w:val="auto"/>
              </w:rPr>
            </w:pPr>
            <w:r>
              <w:rPr>
                <w:rFonts w:hint="eastAsia" w:ascii="仿宋" w:hAnsi="仿宋" w:eastAsia="仿宋" w:cs="仿宋"/>
                <w:color w:val="auto"/>
              </w:rPr>
              <w:t>材料名称</w:t>
            </w:r>
          </w:p>
        </w:tc>
        <w:tc>
          <w:tcPr>
            <w:tcW w:w="2843" w:type="dxa"/>
            <w:vAlign w:val="center"/>
          </w:tcPr>
          <w:p w14:paraId="44D54668">
            <w:pPr>
              <w:jc w:val="center"/>
              <w:rPr>
                <w:rFonts w:ascii="仿宋" w:hAnsi="仿宋" w:eastAsia="仿宋" w:cs="仿宋"/>
                <w:color w:val="auto"/>
              </w:rPr>
            </w:pPr>
            <w:r>
              <w:rPr>
                <w:rFonts w:hint="eastAsia" w:ascii="仿宋" w:hAnsi="仿宋" w:eastAsia="仿宋" w:cs="仿宋"/>
                <w:color w:val="auto"/>
              </w:rPr>
              <w:t>说  明</w:t>
            </w:r>
          </w:p>
        </w:tc>
      </w:tr>
      <w:tr w14:paraId="29F2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4063E7A3">
            <w:pPr>
              <w:jc w:val="center"/>
              <w:rPr>
                <w:rFonts w:ascii="仿宋" w:hAnsi="仿宋" w:eastAsia="仿宋" w:cs="仿宋"/>
                <w:color w:val="auto"/>
              </w:rPr>
            </w:pPr>
            <w:r>
              <w:rPr>
                <w:rFonts w:hint="eastAsia" w:ascii="仿宋" w:hAnsi="仿宋" w:eastAsia="仿宋" w:cs="仿宋"/>
                <w:color w:val="auto"/>
              </w:rPr>
              <w:t>1</w:t>
            </w:r>
          </w:p>
        </w:tc>
        <w:tc>
          <w:tcPr>
            <w:tcW w:w="4633" w:type="dxa"/>
            <w:vAlign w:val="center"/>
          </w:tcPr>
          <w:p w14:paraId="30BCB396">
            <w:pPr>
              <w:jc w:val="center"/>
              <w:rPr>
                <w:rFonts w:ascii="仿宋" w:hAnsi="仿宋" w:eastAsia="仿宋" w:cs="仿宋"/>
                <w:color w:val="auto"/>
              </w:rPr>
            </w:pPr>
            <w:r>
              <w:rPr>
                <w:rFonts w:hint="eastAsia" w:ascii="仿宋" w:hAnsi="仿宋" w:eastAsia="仿宋" w:cs="仿宋"/>
                <w:color w:val="auto"/>
              </w:rPr>
              <w:t>比价谈判响应函</w:t>
            </w:r>
          </w:p>
        </w:tc>
        <w:tc>
          <w:tcPr>
            <w:tcW w:w="2843" w:type="dxa"/>
            <w:vAlign w:val="center"/>
          </w:tcPr>
          <w:p w14:paraId="3FBF0169">
            <w:pPr>
              <w:jc w:val="center"/>
              <w:rPr>
                <w:rFonts w:ascii="仿宋" w:hAnsi="仿宋" w:eastAsia="仿宋" w:cs="仿宋"/>
                <w:color w:val="auto"/>
              </w:rPr>
            </w:pPr>
            <w:r>
              <w:rPr>
                <w:rFonts w:hint="eastAsia" w:ascii="仿宋" w:hAnsi="仿宋" w:eastAsia="仿宋" w:cs="仿宋"/>
                <w:color w:val="auto"/>
              </w:rPr>
              <w:t>附件一</w:t>
            </w:r>
          </w:p>
        </w:tc>
      </w:tr>
      <w:tr w14:paraId="221E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5EF89EF3">
            <w:pPr>
              <w:jc w:val="center"/>
              <w:rPr>
                <w:rFonts w:ascii="仿宋" w:hAnsi="仿宋" w:eastAsia="仿宋" w:cs="仿宋"/>
                <w:color w:val="auto"/>
              </w:rPr>
            </w:pPr>
            <w:r>
              <w:rPr>
                <w:rFonts w:hint="eastAsia" w:ascii="仿宋" w:hAnsi="仿宋" w:eastAsia="仿宋" w:cs="仿宋"/>
                <w:color w:val="auto"/>
              </w:rPr>
              <w:t>2</w:t>
            </w:r>
          </w:p>
        </w:tc>
        <w:tc>
          <w:tcPr>
            <w:tcW w:w="4633" w:type="dxa"/>
            <w:vAlign w:val="center"/>
          </w:tcPr>
          <w:p w14:paraId="147C9F97">
            <w:pPr>
              <w:jc w:val="center"/>
              <w:rPr>
                <w:rFonts w:ascii="仿宋" w:hAnsi="仿宋" w:eastAsia="仿宋" w:cs="仿宋"/>
                <w:color w:val="auto"/>
              </w:rPr>
            </w:pPr>
            <w:r>
              <w:rPr>
                <w:rFonts w:hint="eastAsia" w:ascii="仿宋" w:hAnsi="仿宋" w:eastAsia="仿宋" w:cs="仿宋"/>
                <w:color w:val="auto"/>
              </w:rPr>
              <w:t>初次报价一览表</w:t>
            </w:r>
          </w:p>
        </w:tc>
        <w:tc>
          <w:tcPr>
            <w:tcW w:w="2843" w:type="dxa"/>
            <w:vAlign w:val="center"/>
          </w:tcPr>
          <w:p w14:paraId="383F72F3">
            <w:pPr>
              <w:jc w:val="center"/>
              <w:rPr>
                <w:rFonts w:ascii="仿宋" w:hAnsi="仿宋" w:eastAsia="仿宋" w:cs="仿宋"/>
                <w:color w:val="auto"/>
              </w:rPr>
            </w:pPr>
            <w:r>
              <w:rPr>
                <w:rFonts w:hint="eastAsia" w:ascii="仿宋" w:hAnsi="仿宋" w:eastAsia="仿宋" w:cs="仿宋"/>
                <w:color w:val="auto"/>
              </w:rPr>
              <w:t>附件二</w:t>
            </w:r>
          </w:p>
        </w:tc>
      </w:tr>
      <w:tr w14:paraId="5918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6CD4F15A">
            <w:pPr>
              <w:jc w:val="center"/>
              <w:rPr>
                <w:rFonts w:ascii="仿宋" w:hAnsi="仿宋" w:eastAsia="仿宋" w:cs="仿宋"/>
                <w:color w:val="auto"/>
              </w:rPr>
            </w:pPr>
            <w:r>
              <w:rPr>
                <w:rFonts w:hint="eastAsia" w:ascii="仿宋" w:hAnsi="仿宋" w:eastAsia="仿宋" w:cs="仿宋"/>
                <w:color w:val="auto"/>
              </w:rPr>
              <w:t>3</w:t>
            </w:r>
          </w:p>
        </w:tc>
        <w:tc>
          <w:tcPr>
            <w:tcW w:w="4633" w:type="dxa"/>
            <w:vAlign w:val="center"/>
          </w:tcPr>
          <w:p w14:paraId="1388E852">
            <w:pPr>
              <w:jc w:val="center"/>
              <w:rPr>
                <w:rFonts w:ascii="仿宋" w:hAnsi="仿宋" w:eastAsia="仿宋" w:cs="仿宋"/>
                <w:color w:val="auto"/>
              </w:rPr>
            </w:pPr>
            <w:r>
              <w:rPr>
                <w:rFonts w:hint="eastAsia" w:ascii="仿宋" w:hAnsi="仿宋" w:eastAsia="仿宋" w:cs="仿宋"/>
                <w:color w:val="auto"/>
              </w:rPr>
              <w:t>报价明细表</w:t>
            </w:r>
          </w:p>
        </w:tc>
        <w:tc>
          <w:tcPr>
            <w:tcW w:w="2843" w:type="dxa"/>
            <w:vAlign w:val="center"/>
          </w:tcPr>
          <w:p w14:paraId="6BA156DA">
            <w:pPr>
              <w:jc w:val="center"/>
              <w:rPr>
                <w:rFonts w:ascii="仿宋" w:hAnsi="仿宋" w:eastAsia="仿宋" w:cs="仿宋"/>
                <w:color w:val="auto"/>
              </w:rPr>
            </w:pPr>
            <w:r>
              <w:rPr>
                <w:rFonts w:hint="eastAsia" w:ascii="仿宋" w:hAnsi="仿宋" w:eastAsia="仿宋" w:cs="仿宋"/>
                <w:color w:val="auto"/>
              </w:rPr>
              <w:t>附件三</w:t>
            </w:r>
          </w:p>
        </w:tc>
      </w:tr>
      <w:tr w14:paraId="66C4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39B8126E">
            <w:pPr>
              <w:jc w:val="center"/>
              <w:rPr>
                <w:rFonts w:ascii="仿宋" w:hAnsi="仿宋" w:eastAsia="仿宋" w:cs="仿宋"/>
                <w:color w:val="auto"/>
              </w:rPr>
            </w:pPr>
            <w:r>
              <w:rPr>
                <w:rFonts w:hint="eastAsia" w:ascii="仿宋" w:hAnsi="仿宋" w:eastAsia="仿宋" w:cs="仿宋"/>
                <w:color w:val="auto"/>
              </w:rPr>
              <w:t>4</w:t>
            </w:r>
          </w:p>
        </w:tc>
        <w:tc>
          <w:tcPr>
            <w:tcW w:w="4633" w:type="dxa"/>
            <w:vAlign w:val="center"/>
          </w:tcPr>
          <w:p w14:paraId="22FC585E">
            <w:pPr>
              <w:jc w:val="center"/>
              <w:rPr>
                <w:rFonts w:ascii="仿宋" w:hAnsi="仿宋" w:eastAsia="仿宋" w:cs="仿宋"/>
                <w:color w:val="auto"/>
              </w:rPr>
            </w:pPr>
            <w:r>
              <w:rPr>
                <w:rFonts w:hint="eastAsia" w:ascii="仿宋" w:hAnsi="仿宋" w:eastAsia="仿宋" w:cs="仿宋"/>
                <w:color w:val="auto"/>
              </w:rPr>
              <w:t>小微企业相关证明资料。小微企业的相关证明材料：企业从业人员、营业收入、资产总额等指标的证明资料；第三方机构审计确认的财务会计报告和劳动部门提供的年度社会保障基金缴纳清单，或者相关行业管理部门出具的“小微企业”资格确认证明。如有，请提供相关资料。</w:t>
            </w:r>
          </w:p>
        </w:tc>
        <w:tc>
          <w:tcPr>
            <w:tcW w:w="2843" w:type="dxa"/>
            <w:vAlign w:val="center"/>
          </w:tcPr>
          <w:p w14:paraId="6B93EA1A">
            <w:pPr>
              <w:jc w:val="center"/>
              <w:rPr>
                <w:rFonts w:ascii="仿宋" w:hAnsi="仿宋" w:eastAsia="仿宋" w:cs="仿宋"/>
                <w:color w:val="auto"/>
              </w:rPr>
            </w:pPr>
            <w:r>
              <w:rPr>
                <w:rFonts w:hint="eastAsia" w:ascii="仿宋" w:hAnsi="仿宋" w:eastAsia="仿宋" w:cs="仿宋"/>
                <w:color w:val="auto"/>
              </w:rPr>
              <w:t>附件四</w:t>
            </w:r>
          </w:p>
        </w:tc>
      </w:tr>
      <w:tr w14:paraId="75D7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14:paraId="4E120ADF">
            <w:pPr>
              <w:jc w:val="center"/>
              <w:rPr>
                <w:rFonts w:ascii="仿宋" w:hAnsi="仿宋" w:eastAsia="仿宋" w:cs="仿宋"/>
                <w:color w:val="auto"/>
              </w:rPr>
            </w:pPr>
            <w:r>
              <w:rPr>
                <w:rFonts w:hint="eastAsia" w:ascii="仿宋" w:hAnsi="仿宋" w:eastAsia="仿宋" w:cs="仿宋"/>
                <w:color w:val="auto"/>
              </w:rPr>
              <w:t>6</w:t>
            </w:r>
          </w:p>
        </w:tc>
        <w:tc>
          <w:tcPr>
            <w:tcW w:w="4633" w:type="dxa"/>
            <w:vAlign w:val="center"/>
          </w:tcPr>
          <w:p w14:paraId="1DFF7C2B">
            <w:pPr>
              <w:jc w:val="center"/>
              <w:rPr>
                <w:rFonts w:ascii="仿宋" w:hAnsi="仿宋" w:eastAsia="仿宋" w:cs="仿宋"/>
                <w:color w:val="auto"/>
              </w:rPr>
            </w:pPr>
            <w:r>
              <w:rPr>
                <w:rFonts w:hint="eastAsia" w:ascii="仿宋" w:hAnsi="仿宋" w:eastAsia="仿宋" w:cs="仿宋"/>
                <w:color w:val="auto"/>
              </w:rPr>
              <w:t>其他需提供的资料</w:t>
            </w:r>
          </w:p>
        </w:tc>
        <w:tc>
          <w:tcPr>
            <w:tcW w:w="2843" w:type="dxa"/>
            <w:vAlign w:val="center"/>
          </w:tcPr>
          <w:p w14:paraId="55B40A77">
            <w:pPr>
              <w:jc w:val="center"/>
              <w:rPr>
                <w:rFonts w:ascii="仿宋" w:hAnsi="仿宋" w:eastAsia="仿宋" w:cs="仿宋"/>
                <w:color w:val="auto"/>
              </w:rPr>
            </w:pPr>
            <w:r>
              <w:rPr>
                <w:rFonts w:hint="eastAsia" w:ascii="仿宋" w:hAnsi="仿宋" w:eastAsia="仿宋" w:cs="仿宋"/>
                <w:color w:val="auto"/>
              </w:rPr>
              <w:t>加盖单位公章</w:t>
            </w:r>
          </w:p>
        </w:tc>
      </w:tr>
    </w:tbl>
    <w:p w14:paraId="15D07A08">
      <w:pPr>
        <w:rPr>
          <w:rFonts w:ascii="仿宋" w:hAnsi="仿宋" w:eastAsia="仿宋" w:cs="仿宋"/>
          <w:color w:val="auto"/>
          <w:sz w:val="24"/>
        </w:rPr>
      </w:pPr>
    </w:p>
    <w:p w14:paraId="021897F0">
      <w:pPr>
        <w:rPr>
          <w:rFonts w:ascii="仿宋" w:hAnsi="仿宋" w:eastAsia="仿宋" w:cs="仿宋"/>
          <w:color w:val="auto"/>
          <w:sz w:val="24"/>
        </w:rPr>
      </w:pPr>
      <w:r>
        <w:rPr>
          <w:rFonts w:hint="eastAsia" w:ascii="仿宋" w:hAnsi="仿宋" w:eastAsia="仿宋" w:cs="仿宋"/>
          <w:color w:val="auto"/>
          <w:sz w:val="24"/>
        </w:rPr>
        <w:t>建议按照本目录顺序制作比价谈判响应文件，并注明页码，方便比价谈判小组评审。</w:t>
      </w:r>
    </w:p>
    <w:p w14:paraId="0C28F613">
      <w:pPr>
        <w:rPr>
          <w:rFonts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color w:val="auto"/>
          <w:sz w:val="24"/>
        </w:rPr>
        <w:t>附件一</w:t>
      </w:r>
    </w:p>
    <w:p w14:paraId="4A460D71">
      <w:pPr>
        <w:spacing w:line="40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比价谈判响应函</w:t>
      </w:r>
    </w:p>
    <w:p w14:paraId="3B007E6D">
      <w:pPr>
        <w:spacing w:line="400" w:lineRule="exact"/>
        <w:rPr>
          <w:rFonts w:ascii="仿宋" w:hAnsi="仿宋" w:eastAsia="仿宋" w:cs="仿宋"/>
          <w:color w:val="auto"/>
          <w:sz w:val="24"/>
        </w:rPr>
      </w:pPr>
      <w:r>
        <w:rPr>
          <w:rStyle w:val="52"/>
          <w:rFonts w:hint="eastAsia" w:ascii="仿宋" w:hAnsi="仿宋" w:eastAsia="仿宋" w:cs="仿宋"/>
          <w:b w:val="0"/>
          <w:color w:val="auto"/>
          <w:sz w:val="24"/>
          <w:u w:val="single"/>
          <w:lang w:eastAsia="zh-CN"/>
        </w:rPr>
        <w:t>余姚市梁弄镇白水冲村股份经济合作社</w:t>
      </w:r>
      <w:r>
        <w:rPr>
          <w:rFonts w:hint="eastAsia" w:ascii="仿宋" w:hAnsi="仿宋" w:eastAsia="仿宋" w:cs="仿宋"/>
          <w:color w:val="auto"/>
          <w:sz w:val="24"/>
        </w:rPr>
        <w:t xml:space="preserve">： </w:t>
      </w:r>
    </w:p>
    <w:p w14:paraId="6B85DFC5">
      <w:pPr>
        <w:wordWrap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u w:val="single"/>
        </w:rPr>
        <w:t>（供应商全称）</w:t>
      </w:r>
      <w:r>
        <w:rPr>
          <w:rFonts w:hint="eastAsia" w:ascii="仿宋" w:hAnsi="仿宋" w:eastAsia="仿宋" w:cs="仿宋"/>
          <w:color w:val="auto"/>
          <w:sz w:val="24"/>
        </w:rPr>
        <w:t>授权</w:t>
      </w:r>
      <w:r>
        <w:rPr>
          <w:rFonts w:hint="eastAsia" w:ascii="仿宋" w:hAnsi="仿宋" w:eastAsia="仿宋" w:cs="仿宋"/>
          <w:color w:val="auto"/>
          <w:sz w:val="24"/>
          <w:u w:val="single"/>
        </w:rPr>
        <w:t xml:space="preserve">  （其委托代理人姓名）（职务、职称）</w:t>
      </w:r>
      <w:r>
        <w:rPr>
          <w:rFonts w:hint="eastAsia" w:ascii="仿宋" w:hAnsi="仿宋" w:eastAsia="仿宋" w:cs="仿宋"/>
          <w:color w:val="auto"/>
          <w:sz w:val="24"/>
        </w:rPr>
        <w:t>为其委托代理人，参加贵方组织的</w:t>
      </w:r>
      <w:r>
        <w:rPr>
          <w:rFonts w:hint="eastAsia" w:ascii="仿宋" w:hAnsi="仿宋" w:eastAsia="仿宋" w:cs="仿宋"/>
          <w:color w:val="auto"/>
          <w:sz w:val="24"/>
          <w:u w:val="single"/>
        </w:rPr>
        <w:t>（采购编号、项目名称）</w:t>
      </w:r>
      <w:r>
        <w:rPr>
          <w:rFonts w:hint="eastAsia" w:ascii="仿宋" w:hAnsi="仿宋" w:eastAsia="仿宋" w:cs="仿宋"/>
          <w:color w:val="auto"/>
          <w:sz w:val="24"/>
        </w:rPr>
        <w:t>比价谈判的有关活动，并对本项目进行比价谈判。为此：</w:t>
      </w:r>
    </w:p>
    <w:p w14:paraId="6F6CBB0F">
      <w:pPr>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1.提供比价谈判须知规定的全部比价谈判响应文件：</w:t>
      </w:r>
    </w:p>
    <w:p w14:paraId="22878A3A">
      <w:pPr>
        <w:tabs>
          <w:tab w:val="left" w:pos="945"/>
          <w:tab w:val="left" w:pos="1260"/>
        </w:tabs>
        <w:spacing w:line="400" w:lineRule="exact"/>
        <w:ind w:left="675"/>
        <w:rPr>
          <w:rFonts w:ascii="仿宋" w:hAnsi="仿宋" w:eastAsia="仿宋" w:cs="仿宋"/>
          <w:color w:val="auto"/>
          <w:sz w:val="24"/>
        </w:rPr>
      </w:pPr>
      <w:r>
        <w:rPr>
          <w:rFonts w:hint="eastAsia" w:ascii="仿宋" w:hAnsi="仿宋" w:eastAsia="仿宋" w:cs="仿宋"/>
          <w:color w:val="auto"/>
          <w:sz w:val="24"/>
        </w:rPr>
        <w:t>（1）价格部分正本1份，副本4份；</w:t>
      </w:r>
    </w:p>
    <w:p w14:paraId="38B87B21">
      <w:pPr>
        <w:tabs>
          <w:tab w:val="left" w:pos="945"/>
          <w:tab w:val="left" w:pos="1260"/>
        </w:tabs>
        <w:spacing w:line="400" w:lineRule="exact"/>
        <w:ind w:left="675"/>
        <w:rPr>
          <w:rFonts w:ascii="仿宋" w:hAnsi="仿宋" w:eastAsia="仿宋" w:cs="仿宋"/>
          <w:color w:val="auto"/>
          <w:sz w:val="24"/>
        </w:rPr>
      </w:pPr>
      <w:r>
        <w:rPr>
          <w:rFonts w:hint="eastAsia" w:ascii="仿宋" w:hAnsi="仿宋" w:eastAsia="仿宋" w:cs="仿宋"/>
          <w:color w:val="auto"/>
          <w:sz w:val="24"/>
        </w:rPr>
        <w:t>（2）资信技术部分正本1份，副本4份；</w:t>
      </w:r>
    </w:p>
    <w:p w14:paraId="46AE5860">
      <w:pPr>
        <w:tabs>
          <w:tab w:val="left" w:pos="945"/>
          <w:tab w:val="left" w:pos="1260"/>
        </w:tabs>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2.比价谈判项目的总报价为（大写）：元人民币；</w:t>
      </w:r>
    </w:p>
    <w:p w14:paraId="68C8D874">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3.保证遵守比价谈判文件中的有关规定和收费标准。</w:t>
      </w:r>
    </w:p>
    <w:p w14:paraId="7FA92CB2">
      <w:pPr>
        <w:ind w:firstLine="480" w:firstLineChars="200"/>
        <w:rPr>
          <w:rFonts w:ascii="仿宋" w:hAnsi="仿宋" w:eastAsia="仿宋" w:cs="仿宋"/>
          <w:color w:val="auto"/>
          <w:sz w:val="24"/>
        </w:rPr>
      </w:pPr>
      <w:r>
        <w:rPr>
          <w:rFonts w:hint="eastAsia" w:ascii="仿宋" w:hAnsi="仿宋" w:eastAsia="仿宋" w:cs="仿宋"/>
          <w:color w:val="auto"/>
          <w:sz w:val="24"/>
        </w:rPr>
        <w:t>4.保证忠实地执行买卖双方所签署的经济合同，并承担合同规定的责任义务。</w:t>
      </w:r>
    </w:p>
    <w:p w14:paraId="3C7D1EF5">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5.愿意向贵方提供任何与该项目比价谈判有关的数据、情况和技术资料。并保证其真实性、合法性。</w:t>
      </w:r>
    </w:p>
    <w:p w14:paraId="4D7AD61B">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6.本比价谈判响应文件自比价谈判之日起</w:t>
      </w:r>
      <w:r>
        <w:rPr>
          <w:rFonts w:hint="eastAsia" w:ascii="仿宋" w:hAnsi="仿宋" w:eastAsia="仿宋" w:cs="仿宋"/>
          <w:color w:val="auto"/>
          <w:sz w:val="24"/>
          <w:u w:val="single"/>
        </w:rPr>
        <w:t xml:space="preserve">  60  </w:t>
      </w:r>
      <w:r>
        <w:rPr>
          <w:rFonts w:hint="eastAsia" w:ascii="仿宋" w:hAnsi="仿宋" w:eastAsia="仿宋" w:cs="仿宋"/>
          <w:color w:val="auto"/>
          <w:sz w:val="24"/>
        </w:rPr>
        <w:t>天内有效。</w:t>
      </w:r>
    </w:p>
    <w:p w14:paraId="00444544">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7.与本比价谈判有关的一切往来通讯请寄：</w:t>
      </w:r>
    </w:p>
    <w:p w14:paraId="098F314B">
      <w:pPr>
        <w:spacing w:line="400" w:lineRule="exact"/>
        <w:ind w:left="525"/>
        <w:rPr>
          <w:rFonts w:ascii="仿宋" w:hAnsi="仿宋" w:eastAsia="仿宋" w:cs="仿宋"/>
          <w:color w:val="auto"/>
          <w:sz w:val="24"/>
        </w:rPr>
      </w:pPr>
      <w:r>
        <w:rPr>
          <w:rFonts w:hint="eastAsia" w:ascii="仿宋" w:hAnsi="仿宋" w:eastAsia="仿宋" w:cs="仿宋"/>
          <w:color w:val="auto"/>
          <w:sz w:val="24"/>
        </w:rPr>
        <w:t>名  称：</w:t>
      </w:r>
    </w:p>
    <w:p w14:paraId="3197C070">
      <w:pPr>
        <w:spacing w:line="400" w:lineRule="exact"/>
        <w:ind w:left="525"/>
        <w:rPr>
          <w:rFonts w:ascii="仿宋" w:hAnsi="仿宋" w:eastAsia="仿宋" w:cs="仿宋"/>
          <w:color w:val="auto"/>
          <w:sz w:val="24"/>
        </w:rPr>
      </w:pPr>
      <w:r>
        <w:rPr>
          <w:rFonts w:hint="eastAsia" w:ascii="仿宋" w:hAnsi="仿宋" w:eastAsia="仿宋" w:cs="仿宋"/>
          <w:color w:val="auto"/>
          <w:sz w:val="24"/>
        </w:rPr>
        <w:t>地  址：邮  编：</w:t>
      </w:r>
    </w:p>
    <w:p w14:paraId="5F57EAF3">
      <w:pPr>
        <w:spacing w:line="400" w:lineRule="exact"/>
        <w:ind w:left="525"/>
        <w:rPr>
          <w:rFonts w:ascii="仿宋" w:hAnsi="仿宋" w:eastAsia="仿宋" w:cs="仿宋"/>
          <w:color w:val="auto"/>
          <w:sz w:val="24"/>
          <w:u w:val="single"/>
        </w:rPr>
      </w:pPr>
      <w:r>
        <w:rPr>
          <w:rFonts w:hint="eastAsia" w:ascii="仿宋" w:hAnsi="仿宋" w:eastAsia="仿宋" w:cs="仿宋"/>
          <w:color w:val="auto"/>
          <w:sz w:val="24"/>
        </w:rPr>
        <w:t>联系人：电  话：传  真：</w:t>
      </w:r>
    </w:p>
    <w:p w14:paraId="431114A5">
      <w:pPr>
        <w:spacing w:line="400" w:lineRule="exact"/>
        <w:ind w:left="525"/>
        <w:rPr>
          <w:rFonts w:ascii="仿宋" w:hAnsi="仿宋" w:eastAsia="仿宋" w:cs="仿宋"/>
          <w:color w:val="auto"/>
          <w:sz w:val="24"/>
        </w:rPr>
      </w:pPr>
      <w:r>
        <w:rPr>
          <w:rFonts w:hint="eastAsia" w:ascii="仿宋" w:hAnsi="仿宋" w:eastAsia="仿宋" w:cs="仿宋"/>
          <w:color w:val="auto"/>
          <w:sz w:val="24"/>
        </w:rPr>
        <w:t>手  机：电子邮箱：</w:t>
      </w:r>
    </w:p>
    <w:p w14:paraId="3ED85558">
      <w:pPr>
        <w:spacing w:line="400" w:lineRule="exact"/>
        <w:rPr>
          <w:rFonts w:ascii="仿宋" w:hAnsi="仿宋" w:eastAsia="仿宋" w:cs="仿宋"/>
          <w:color w:val="auto"/>
          <w:sz w:val="24"/>
        </w:rPr>
      </w:pPr>
    </w:p>
    <w:p w14:paraId="273ECDDB">
      <w:pPr>
        <w:spacing w:line="400" w:lineRule="exact"/>
        <w:ind w:firstLine="3600" w:firstLineChars="1500"/>
        <w:rPr>
          <w:rFonts w:ascii="仿宋" w:hAnsi="仿宋" w:eastAsia="仿宋" w:cs="仿宋"/>
          <w:color w:val="auto"/>
          <w:sz w:val="24"/>
        </w:rPr>
      </w:pPr>
    </w:p>
    <w:p w14:paraId="10B8A3B4">
      <w:pPr>
        <w:spacing w:line="400" w:lineRule="exact"/>
        <w:ind w:firstLine="3360" w:firstLineChars="1400"/>
        <w:rPr>
          <w:rFonts w:ascii="仿宋" w:hAnsi="仿宋" w:eastAsia="仿宋" w:cs="仿宋"/>
          <w:color w:val="auto"/>
          <w:sz w:val="24"/>
        </w:rPr>
      </w:pPr>
      <w:r>
        <w:rPr>
          <w:rFonts w:hint="eastAsia" w:ascii="仿宋" w:hAnsi="仿宋" w:eastAsia="仿宋" w:cs="仿宋"/>
          <w:color w:val="auto"/>
          <w:sz w:val="24"/>
        </w:rPr>
        <w:t>供应商（单位公章）：</w:t>
      </w:r>
    </w:p>
    <w:p w14:paraId="34C56490">
      <w:pPr>
        <w:spacing w:line="400" w:lineRule="exact"/>
        <w:ind w:firstLine="3360" w:firstLineChars="1400"/>
        <w:rPr>
          <w:rFonts w:ascii="仿宋" w:hAnsi="仿宋" w:eastAsia="仿宋" w:cs="仿宋"/>
          <w:color w:val="auto"/>
          <w:sz w:val="24"/>
        </w:rPr>
      </w:pPr>
      <w:r>
        <w:rPr>
          <w:rFonts w:hint="eastAsia" w:ascii="仿宋" w:hAnsi="仿宋" w:eastAsia="仿宋" w:cs="仿宋"/>
          <w:color w:val="auto"/>
          <w:sz w:val="24"/>
        </w:rPr>
        <w:t>法定代表人（或企业负责人或经营者）</w:t>
      </w:r>
    </w:p>
    <w:p w14:paraId="7F23A9FA">
      <w:pPr>
        <w:spacing w:line="400" w:lineRule="exact"/>
        <w:ind w:firstLine="3360" w:firstLineChars="1400"/>
        <w:rPr>
          <w:rFonts w:ascii="仿宋" w:hAnsi="仿宋" w:eastAsia="仿宋" w:cs="仿宋"/>
          <w:color w:val="auto"/>
          <w:sz w:val="24"/>
        </w:rPr>
      </w:pPr>
      <w:r>
        <w:rPr>
          <w:rFonts w:hint="eastAsia" w:ascii="仿宋" w:hAnsi="仿宋" w:eastAsia="仿宋" w:cs="仿宋"/>
          <w:color w:val="auto"/>
          <w:sz w:val="24"/>
        </w:rPr>
        <w:t>或其委托代理人（签字或盖章）：</w:t>
      </w:r>
    </w:p>
    <w:p w14:paraId="31826A69">
      <w:pPr>
        <w:spacing w:line="400" w:lineRule="exact"/>
        <w:ind w:firstLine="3360" w:firstLineChars="1400"/>
        <w:rPr>
          <w:rFonts w:ascii="仿宋" w:hAnsi="仿宋" w:eastAsia="仿宋" w:cs="仿宋"/>
          <w:color w:val="auto"/>
          <w:sz w:val="24"/>
        </w:rPr>
      </w:pPr>
      <w:r>
        <w:rPr>
          <w:rFonts w:hint="eastAsia" w:ascii="仿宋" w:hAnsi="仿宋" w:eastAsia="仿宋" w:cs="仿宋"/>
          <w:color w:val="auto"/>
          <w:sz w:val="24"/>
          <w:lang w:eastAsia="zh-CN"/>
        </w:rPr>
        <w:t xml:space="preserve">二○二  </w:t>
      </w:r>
      <w:r>
        <w:rPr>
          <w:rFonts w:hint="eastAsia" w:ascii="仿宋" w:hAnsi="仿宋" w:eastAsia="仿宋" w:cs="仿宋"/>
          <w:color w:val="auto"/>
          <w:sz w:val="24"/>
        </w:rPr>
        <w:t>年   月   日</w:t>
      </w:r>
    </w:p>
    <w:p w14:paraId="7CA6F495">
      <w:pPr>
        <w:spacing w:line="360" w:lineRule="auto"/>
        <w:rPr>
          <w:rFonts w:ascii="仿宋" w:hAnsi="仿宋" w:eastAsia="仿宋"/>
          <w:color w:val="auto"/>
          <w:sz w:val="24"/>
          <w:szCs w:val="24"/>
        </w:rPr>
      </w:pPr>
      <w:r>
        <w:rPr>
          <w:rFonts w:ascii="仿宋" w:hAnsi="仿宋" w:eastAsia="仿宋" w:cs="仿宋"/>
          <w:color w:val="auto"/>
          <w:sz w:val="24"/>
        </w:rPr>
        <w:br w:type="page"/>
      </w:r>
      <w:r>
        <w:rPr>
          <w:rFonts w:hint="eastAsia" w:ascii="仿宋" w:hAnsi="仿宋" w:eastAsia="仿宋"/>
          <w:color w:val="auto"/>
          <w:sz w:val="24"/>
          <w:szCs w:val="24"/>
        </w:rPr>
        <w:t>附件二</w:t>
      </w:r>
    </w:p>
    <w:p w14:paraId="420C135C">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初次报价一览表</w:t>
      </w:r>
    </w:p>
    <w:p w14:paraId="791E20AD">
      <w:pPr>
        <w:spacing w:line="360" w:lineRule="auto"/>
        <w:rPr>
          <w:rFonts w:ascii="仿宋" w:hAnsi="仿宋" w:eastAsia="仿宋"/>
          <w:color w:val="auto"/>
          <w:sz w:val="24"/>
          <w:szCs w:val="24"/>
        </w:rPr>
      </w:pPr>
    </w:p>
    <w:tbl>
      <w:tblPr>
        <w:tblStyle w:val="4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521"/>
        <w:gridCol w:w="1985"/>
        <w:gridCol w:w="850"/>
        <w:gridCol w:w="2553"/>
        <w:gridCol w:w="1165"/>
      </w:tblGrid>
      <w:tr w14:paraId="0732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60EED41">
            <w:pPr>
              <w:adjustRightInd w:val="0"/>
              <w:jc w:val="center"/>
              <w:rPr>
                <w:rFonts w:ascii="仿宋" w:hAnsi="仿宋" w:eastAsia="仿宋"/>
                <w:color w:val="auto"/>
              </w:rPr>
            </w:pPr>
            <w:r>
              <w:rPr>
                <w:rFonts w:hint="eastAsia" w:ascii="仿宋" w:hAnsi="仿宋" w:eastAsia="仿宋"/>
                <w:color w:val="auto"/>
              </w:rPr>
              <w:t>序号</w:t>
            </w:r>
          </w:p>
        </w:tc>
        <w:tc>
          <w:tcPr>
            <w:tcW w:w="2521" w:type="dxa"/>
            <w:tcBorders>
              <w:top w:val="single" w:color="auto" w:sz="4" w:space="0"/>
              <w:left w:val="nil"/>
              <w:bottom w:val="single" w:color="auto" w:sz="4" w:space="0"/>
              <w:right w:val="single" w:color="auto" w:sz="4" w:space="0"/>
            </w:tcBorders>
            <w:vAlign w:val="center"/>
          </w:tcPr>
          <w:p w14:paraId="4953BE6D">
            <w:pPr>
              <w:adjustRightInd w:val="0"/>
              <w:jc w:val="center"/>
              <w:rPr>
                <w:rFonts w:ascii="仿宋" w:hAnsi="仿宋" w:eastAsia="仿宋"/>
                <w:color w:val="auto"/>
              </w:rPr>
            </w:pPr>
            <w:r>
              <w:rPr>
                <w:rFonts w:hint="eastAsia" w:ascii="仿宋" w:hAnsi="仿宋" w:eastAsia="仿宋"/>
                <w:color w:val="auto"/>
              </w:rPr>
              <w:t>项目名称</w:t>
            </w:r>
          </w:p>
        </w:tc>
        <w:tc>
          <w:tcPr>
            <w:tcW w:w="1985" w:type="dxa"/>
            <w:tcBorders>
              <w:top w:val="single" w:color="auto" w:sz="4" w:space="0"/>
              <w:left w:val="nil"/>
              <w:bottom w:val="single" w:color="auto" w:sz="4" w:space="0"/>
              <w:right w:val="single" w:color="auto" w:sz="4" w:space="0"/>
            </w:tcBorders>
            <w:vAlign w:val="center"/>
          </w:tcPr>
          <w:p w14:paraId="4D4A13DD">
            <w:pPr>
              <w:adjustRightInd w:val="0"/>
              <w:jc w:val="center"/>
              <w:rPr>
                <w:rFonts w:ascii="仿宋" w:hAnsi="仿宋" w:eastAsia="仿宋"/>
                <w:color w:val="auto"/>
              </w:rPr>
            </w:pPr>
            <w:r>
              <w:rPr>
                <w:rFonts w:hint="eastAsia" w:ascii="仿宋" w:hAnsi="仿宋" w:eastAsia="仿宋"/>
                <w:color w:val="auto"/>
              </w:rPr>
              <w:t>服务内容</w:t>
            </w:r>
          </w:p>
        </w:tc>
        <w:tc>
          <w:tcPr>
            <w:tcW w:w="850" w:type="dxa"/>
            <w:tcBorders>
              <w:top w:val="single" w:color="auto" w:sz="4" w:space="0"/>
              <w:left w:val="nil"/>
              <w:bottom w:val="single" w:color="auto" w:sz="4" w:space="0"/>
              <w:right w:val="single" w:color="auto" w:sz="4" w:space="0"/>
            </w:tcBorders>
            <w:vAlign w:val="center"/>
          </w:tcPr>
          <w:p w14:paraId="35B28916">
            <w:pPr>
              <w:adjustRightInd w:val="0"/>
              <w:snapToGrid w:val="0"/>
              <w:spacing w:line="360" w:lineRule="exact"/>
              <w:jc w:val="center"/>
              <w:rPr>
                <w:rFonts w:ascii="仿宋" w:hAnsi="仿宋" w:eastAsia="仿宋"/>
                <w:color w:val="auto"/>
              </w:rPr>
            </w:pPr>
            <w:r>
              <w:rPr>
                <w:rFonts w:hint="eastAsia" w:ascii="仿宋" w:hAnsi="仿宋" w:eastAsia="仿宋"/>
                <w:color w:val="auto"/>
              </w:rPr>
              <w:t>数量</w:t>
            </w:r>
          </w:p>
        </w:tc>
        <w:tc>
          <w:tcPr>
            <w:tcW w:w="2553" w:type="dxa"/>
            <w:tcBorders>
              <w:top w:val="single" w:color="auto" w:sz="4" w:space="0"/>
              <w:left w:val="nil"/>
              <w:bottom w:val="single" w:color="auto" w:sz="4" w:space="0"/>
              <w:right w:val="single" w:color="auto" w:sz="4" w:space="0"/>
            </w:tcBorders>
            <w:vAlign w:val="center"/>
          </w:tcPr>
          <w:p w14:paraId="0E07D2A2">
            <w:pPr>
              <w:adjustRightInd w:val="0"/>
              <w:jc w:val="center"/>
              <w:rPr>
                <w:rFonts w:ascii="仿宋" w:hAnsi="仿宋" w:eastAsia="仿宋"/>
                <w:color w:val="auto"/>
              </w:rPr>
            </w:pPr>
            <w:r>
              <w:rPr>
                <w:rFonts w:hint="eastAsia" w:ascii="仿宋" w:hAnsi="仿宋" w:eastAsia="仿宋"/>
                <w:color w:val="auto"/>
              </w:rPr>
              <w:t>总价（元）</w:t>
            </w:r>
          </w:p>
        </w:tc>
        <w:tc>
          <w:tcPr>
            <w:tcW w:w="1165" w:type="dxa"/>
            <w:tcBorders>
              <w:top w:val="single" w:color="auto" w:sz="4" w:space="0"/>
              <w:left w:val="nil"/>
              <w:bottom w:val="single" w:color="auto" w:sz="4" w:space="0"/>
              <w:right w:val="single" w:color="auto" w:sz="4" w:space="0"/>
            </w:tcBorders>
            <w:vAlign w:val="center"/>
          </w:tcPr>
          <w:p w14:paraId="7CBD2300">
            <w:pPr>
              <w:adjustRightInd w:val="0"/>
              <w:jc w:val="center"/>
              <w:rPr>
                <w:rFonts w:ascii="仿宋" w:hAnsi="仿宋" w:eastAsia="仿宋"/>
                <w:color w:val="auto"/>
              </w:rPr>
            </w:pPr>
            <w:r>
              <w:rPr>
                <w:rFonts w:hint="eastAsia" w:ascii="仿宋" w:hAnsi="仿宋" w:eastAsia="仿宋"/>
                <w:color w:val="auto"/>
              </w:rPr>
              <w:t>备注</w:t>
            </w:r>
          </w:p>
        </w:tc>
      </w:tr>
      <w:tr w14:paraId="5BBB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57CFFAE">
            <w:pPr>
              <w:adjustRightInd w:val="0"/>
              <w:jc w:val="center"/>
              <w:rPr>
                <w:rFonts w:ascii="仿宋" w:hAnsi="仿宋" w:eastAsia="仿宋"/>
                <w:color w:val="auto"/>
              </w:rPr>
            </w:pPr>
            <w:r>
              <w:rPr>
                <w:rFonts w:hint="eastAsia" w:ascii="仿宋" w:hAnsi="仿宋" w:eastAsia="仿宋"/>
                <w:color w:val="auto"/>
              </w:rPr>
              <w:t>1</w:t>
            </w:r>
          </w:p>
        </w:tc>
        <w:tc>
          <w:tcPr>
            <w:tcW w:w="2521" w:type="dxa"/>
            <w:tcBorders>
              <w:top w:val="single" w:color="auto" w:sz="4" w:space="0"/>
              <w:left w:val="nil"/>
              <w:bottom w:val="single" w:color="auto" w:sz="4" w:space="0"/>
              <w:right w:val="single" w:color="auto" w:sz="4" w:space="0"/>
            </w:tcBorders>
            <w:vAlign w:val="center"/>
          </w:tcPr>
          <w:p w14:paraId="1EDDE536">
            <w:pPr>
              <w:adjustRightInd w:val="0"/>
              <w:jc w:val="center"/>
              <w:rPr>
                <w:rFonts w:hint="eastAsia" w:ascii="仿宋" w:hAnsi="仿宋" w:eastAsia="仿宋"/>
                <w:color w:val="auto"/>
                <w:lang w:eastAsia="zh-CN"/>
              </w:rPr>
            </w:pPr>
            <w:r>
              <w:rPr>
                <w:rFonts w:hint="eastAsia" w:ascii="仿宋" w:hAnsi="仿宋" w:eastAsia="仿宋"/>
                <w:color w:val="auto"/>
                <w:lang w:eastAsia="zh-CN"/>
              </w:rPr>
              <w:t>梁弄镇白水冲村P2.5彩LED显示屏及音响设备采购项目</w:t>
            </w:r>
          </w:p>
        </w:tc>
        <w:tc>
          <w:tcPr>
            <w:tcW w:w="1985" w:type="dxa"/>
            <w:tcBorders>
              <w:top w:val="single" w:color="auto" w:sz="4" w:space="0"/>
              <w:left w:val="nil"/>
              <w:bottom w:val="single" w:color="auto" w:sz="4" w:space="0"/>
              <w:right w:val="single" w:color="auto" w:sz="4" w:space="0"/>
            </w:tcBorders>
            <w:vAlign w:val="center"/>
          </w:tcPr>
          <w:p w14:paraId="64041B25">
            <w:pPr>
              <w:adjustRightInd w:val="0"/>
              <w:jc w:val="center"/>
              <w:rPr>
                <w:rFonts w:ascii="仿宋" w:hAnsi="仿宋" w:eastAsia="仿宋"/>
                <w:color w:val="auto"/>
              </w:rPr>
            </w:pPr>
            <w:r>
              <w:rPr>
                <w:rFonts w:hint="eastAsia" w:ascii="仿宋" w:hAnsi="仿宋" w:eastAsia="仿宋"/>
                <w:color w:val="auto"/>
              </w:rPr>
              <w:t>响应采购文件要求</w:t>
            </w:r>
          </w:p>
        </w:tc>
        <w:tc>
          <w:tcPr>
            <w:tcW w:w="850" w:type="dxa"/>
            <w:tcBorders>
              <w:top w:val="single" w:color="auto" w:sz="4" w:space="0"/>
              <w:left w:val="nil"/>
              <w:bottom w:val="single" w:color="auto" w:sz="4" w:space="0"/>
              <w:right w:val="single" w:color="auto" w:sz="4" w:space="0"/>
            </w:tcBorders>
            <w:vAlign w:val="center"/>
          </w:tcPr>
          <w:p w14:paraId="1839145E">
            <w:pPr>
              <w:adjustRightInd w:val="0"/>
              <w:snapToGrid w:val="0"/>
              <w:spacing w:line="360" w:lineRule="exact"/>
              <w:jc w:val="center"/>
              <w:rPr>
                <w:rFonts w:ascii="仿宋" w:hAnsi="仿宋" w:eastAsia="仿宋"/>
                <w:color w:val="auto"/>
              </w:rPr>
            </w:pPr>
            <w:r>
              <w:rPr>
                <w:rFonts w:hint="eastAsia" w:ascii="仿宋" w:hAnsi="仿宋" w:eastAsia="仿宋"/>
                <w:color w:val="auto"/>
              </w:rPr>
              <w:t>1项</w:t>
            </w:r>
          </w:p>
        </w:tc>
        <w:tc>
          <w:tcPr>
            <w:tcW w:w="2553" w:type="dxa"/>
            <w:tcBorders>
              <w:top w:val="single" w:color="auto" w:sz="4" w:space="0"/>
              <w:left w:val="nil"/>
              <w:bottom w:val="single" w:color="auto" w:sz="4" w:space="0"/>
              <w:right w:val="single" w:color="auto" w:sz="4" w:space="0"/>
            </w:tcBorders>
            <w:vAlign w:val="center"/>
          </w:tcPr>
          <w:p w14:paraId="67613094">
            <w:pPr>
              <w:adjustRightInd w:val="0"/>
              <w:jc w:val="center"/>
              <w:rPr>
                <w:rFonts w:ascii="仿宋" w:hAnsi="仿宋" w:eastAsia="仿宋"/>
                <w:color w:val="auto"/>
              </w:rPr>
            </w:pPr>
          </w:p>
        </w:tc>
        <w:tc>
          <w:tcPr>
            <w:tcW w:w="1165" w:type="dxa"/>
            <w:tcBorders>
              <w:top w:val="single" w:color="auto" w:sz="4" w:space="0"/>
              <w:left w:val="nil"/>
              <w:bottom w:val="single" w:color="auto" w:sz="4" w:space="0"/>
              <w:right w:val="single" w:color="auto" w:sz="4" w:space="0"/>
            </w:tcBorders>
            <w:vAlign w:val="center"/>
          </w:tcPr>
          <w:p w14:paraId="4155095D">
            <w:pPr>
              <w:adjustRightInd w:val="0"/>
              <w:jc w:val="center"/>
              <w:rPr>
                <w:rFonts w:ascii="仿宋" w:hAnsi="仿宋" w:eastAsia="仿宋"/>
                <w:color w:val="auto"/>
              </w:rPr>
            </w:pPr>
          </w:p>
        </w:tc>
      </w:tr>
      <w:tr w14:paraId="3AE6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182" w:type="dxa"/>
            <w:gridSpan w:val="3"/>
            <w:tcBorders>
              <w:top w:val="single" w:color="auto" w:sz="4" w:space="0"/>
              <w:left w:val="single" w:color="auto" w:sz="4" w:space="0"/>
              <w:bottom w:val="single" w:color="auto" w:sz="4" w:space="0"/>
              <w:right w:val="single" w:color="auto" w:sz="4" w:space="0"/>
            </w:tcBorders>
            <w:vAlign w:val="center"/>
          </w:tcPr>
          <w:p w14:paraId="31F050E6">
            <w:pPr>
              <w:ind w:right="105" w:rightChars="50"/>
              <w:jc w:val="center"/>
              <w:rPr>
                <w:rFonts w:ascii="仿宋" w:hAnsi="仿宋" w:eastAsia="仿宋"/>
                <w:color w:val="auto"/>
              </w:rPr>
            </w:pPr>
            <w:r>
              <w:rPr>
                <w:rFonts w:hint="eastAsia" w:ascii="仿宋" w:hAnsi="仿宋" w:eastAsia="仿宋"/>
                <w:color w:val="auto"/>
              </w:rPr>
              <w:t>总报价(大写)</w:t>
            </w:r>
          </w:p>
        </w:tc>
        <w:tc>
          <w:tcPr>
            <w:tcW w:w="4568" w:type="dxa"/>
            <w:gridSpan w:val="3"/>
            <w:tcBorders>
              <w:top w:val="single" w:color="auto" w:sz="4" w:space="0"/>
              <w:left w:val="nil"/>
              <w:bottom w:val="single" w:color="auto" w:sz="4" w:space="0"/>
              <w:right w:val="single" w:color="auto" w:sz="4" w:space="0"/>
            </w:tcBorders>
            <w:vAlign w:val="center"/>
          </w:tcPr>
          <w:p w14:paraId="57D9978F">
            <w:pPr>
              <w:adjustRightInd w:val="0"/>
              <w:jc w:val="center"/>
              <w:rPr>
                <w:rFonts w:ascii="仿宋" w:hAnsi="仿宋" w:eastAsia="仿宋"/>
                <w:color w:val="auto"/>
              </w:rPr>
            </w:pPr>
          </w:p>
        </w:tc>
      </w:tr>
    </w:tbl>
    <w:p w14:paraId="6856173C">
      <w:pPr>
        <w:spacing w:line="400" w:lineRule="exact"/>
        <w:ind w:left="1"/>
        <w:rPr>
          <w:rFonts w:ascii="仿宋" w:hAnsi="仿宋" w:eastAsia="仿宋"/>
          <w:color w:val="auto"/>
          <w:sz w:val="24"/>
          <w:szCs w:val="24"/>
        </w:rPr>
      </w:pPr>
    </w:p>
    <w:p w14:paraId="44942A2E">
      <w:pPr>
        <w:adjustRightInd w:val="0"/>
        <w:spacing w:line="480" w:lineRule="auto"/>
        <w:jc w:val="left"/>
        <w:rPr>
          <w:rFonts w:ascii="仿宋" w:hAnsi="仿宋" w:eastAsia="仿宋"/>
          <w:b/>
          <w:color w:val="auto"/>
        </w:rPr>
      </w:pPr>
      <w:r>
        <w:rPr>
          <w:rFonts w:hint="eastAsia" w:ascii="仿宋" w:hAnsi="仿宋" w:eastAsia="仿宋"/>
          <w:b/>
          <w:color w:val="auto"/>
        </w:rPr>
        <w:t>注：1、报价包含了人员工资及差旅费、补助费、设备费、保险费、管理费、税金、利润及其他与完成本项目相关的所有费用。</w:t>
      </w:r>
    </w:p>
    <w:p w14:paraId="1603AD30">
      <w:pPr>
        <w:adjustRightInd w:val="0"/>
        <w:spacing w:line="480" w:lineRule="auto"/>
        <w:ind w:firstLine="422" w:firstLineChars="200"/>
        <w:jc w:val="left"/>
        <w:rPr>
          <w:rFonts w:ascii="仿宋" w:hAnsi="仿宋" w:eastAsia="仿宋"/>
          <w:b/>
          <w:color w:val="auto"/>
        </w:rPr>
      </w:pPr>
      <w:r>
        <w:rPr>
          <w:rFonts w:hint="eastAsia" w:ascii="仿宋" w:hAnsi="仿宋" w:eastAsia="仿宋"/>
          <w:b/>
          <w:color w:val="auto"/>
        </w:rPr>
        <w:t>2、附件一二应在比价谈判后要进行最后报价，此报价只作为初次报价。（最后报价可不签章，但需有代理人签字）</w:t>
      </w:r>
    </w:p>
    <w:p w14:paraId="1A3B7987">
      <w:pPr>
        <w:spacing w:line="400" w:lineRule="exact"/>
        <w:ind w:firstLine="3960" w:firstLineChars="1650"/>
        <w:rPr>
          <w:rFonts w:ascii="仿宋" w:hAnsi="仿宋" w:eastAsia="仿宋"/>
          <w:color w:val="auto"/>
          <w:sz w:val="24"/>
          <w:szCs w:val="24"/>
        </w:rPr>
      </w:pPr>
    </w:p>
    <w:p w14:paraId="29E71F65">
      <w:pPr>
        <w:spacing w:line="400" w:lineRule="exact"/>
        <w:ind w:firstLine="3360" w:firstLineChars="1400"/>
        <w:rPr>
          <w:rFonts w:ascii="仿宋" w:hAnsi="仿宋" w:eastAsia="仿宋"/>
          <w:color w:val="auto"/>
          <w:sz w:val="24"/>
          <w:szCs w:val="24"/>
        </w:rPr>
      </w:pPr>
      <w:r>
        <w:rPr>
          <w:rFonts w:hint="eastAsia" w:ascii="仿宋" w:hAnsi="仿宋" w:eastAsia="仿宋"/>
          <w:color w:val="auto"/>
          <w:sz w:val="24"/>
          <w:szCs w:val="24"/>
        </w:rPr>
        <w:t xml:space="preserve">  供应商（单位公章）：</w:t>
      </w:r>
    </w:p>
    <w:p w14:paraId="62C5B5BC">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法定代表人（或企业负责人或经营者）</w:t>
      </w:r>
    </w:p>
    <w:p w14:paraId="578B1638">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或其委托代理人（签字或盖章）：</w:t>
      </w:r>
    </w:p>
    <w:p w14:paraId="431A42F0">
      <w:pPr>
        <w:spacing w:line="400" w:lineRule="exact"/>
        <w:ind w:firstLine="3600" w:firstLineChars="1500"/>
        <w:rPr>
          <w:rFonts w:ascii="仿宋" w:hAnsi="仿宋" w:eastAsia="仿宋" w:cs="仿宋"/>
          <w:color w:val="auto"/>
          <w:sz w:val="24"/>
        </w:rPr>
        <w:sectPr>
          <w:footerReference r:id="rId4" w:type="default"/>
          <w:pgSz w:w="11907" w:h="16840"/>
          <w:pgMar w:top="1440" w:right="1440" w:bottom="1440" w:left="1440" w:header="851" w:footer="992" w:gutter="0"/>
          <w:cols w:space="720" w:num="1"/>
          <w:docGrid w:linePitch="312" w:charSpace="0"/>
        </w:sectPr>
      </w:pPr>
      <w:r>
        <w:rPr>
          <w:rFonts w:hint="eastAsia" w:ascii="仿宋" w:hAnsi="仿宋" w:eastAsia="仿宋"/>
          <w:color w:val="auto"/>
          <w:sz w:val="24"/>
          <w:szCs w:val="24"/>
          <w:lang w:eastAsia="zh-CN"/>
        </w:rPr>
        <w:t xml:space="preserve">二○二  </w:t>
      </w:r>
      <w:r>
        <w:rPr>
          <w:rFonts w:hint="eastAsia" w:ascii="仿宋" w:hAnsi="仿宋" w:eastAsia="仿宋"/>
          <w:color w:val="auto"/>
          <w:sz w:val="24"/>
          <w:szCs w:val="24"/>
        </w:rPr>
        <w:t>年   月   日</w:t>
      </w:r>
      <w:r>
        <w:rPr>
          <w:rFonts w:ascii="仿宋" w:hAnsi="仿宋" w:eastAsia="仿宋" w:cs="仿宋"/>
          <w:color w:val="auto"/>
          <w:sz w:val="24"/>
        </w:rPr>
        <w:br w:type="page"/>
      </w:r>
    </w:p>
    <w:p w14:paraId="69E0C367">
      <w:pPr>
        <w:rPr>
          <w:rFonts w:ascii="仿宋" w:hAnsi="仿宋" w:eastAsia="仿宋" w:cs="仿宋"/>
          <w:color w:val="auto"/>
          <w:sz w:val="24"/>
          <w:szCs w:val="24"/>
        </w:rPr>
      </w:pPr>
      <w:r>
        <w:rPr>
          <w:rFonts w:hint="eastAsia" w:ascii="仿宋" w:hAnsi="仿宋" w:eastAsia="仿宋" w:cs="仿宋"/>
          <w:color w:val="auto"/>
          <w:sz w:val="24"/>
          <w:szCs w:val="24"/>
        </w:rPr>
        <w:t>附件三</w:t>
      </w:r>
    </w:p>
    <w:p w14:paraId="64E2DE5A">
      <w:pPr>
        <w:jc w:val="center"/>
        <w:rPr>
          <w:rFonts w:hint="default" w:ascii="仿宋" w:hAnsi="仿宋" w:eastAsia="仿宋" w:cs="仿宋"/>
          <w:b/>
          <w:color w:val="auto"/>
          <w:lang w:val="en-US" w:eastAsia="zh-CN"/>
        </w:rPr>
      </w:pPr>
      <w:r>
        <w:rPr>
          <w:rFonts w:hint="eastAsia" w:ascii="仿宋" w:hAnsi="仿宋" w:eastAsia="仿宋" w:cs="仿宋"/>
          <w:b/>
          <w:color w:val="auto"/>
          <w:sz w:val="24"/>
          <w:szCs w:val="24"/>
        </w:rPr>
        <w:t>报价明细表</w:t>
      </w:r>
      <w:r>
        <w:rPr>
          <w:rFonts w:hint="eastAsia" w:ascii="仿宋" w:hAnsi="仿宋" w:eastAsia="仿宋" w:cs="仿宋"/>
          <w:b/>
          <w:color w:val="auto"/>
          <w:sz w:val="24"/>
          <w:szCs w:val="24"/>
          <w:lang w:val="en-US" w:eastAsia="zh-CN"/>
        </w:rPr>
        <w:t>(格式不限，自拟）</w:t>
      </w:r>
    </w:p>
    <w:p w14:paraId="6C9897D3">
      <w:pPr>
        <w:pStyle w:val="28"/>
        <w:snapToGrid w:val="0"/>
        <w:spacing w:before="120" w:after="120"/>
        <w:rPr>
          <w:rFonts w:ascii="仿宋" w:hAnsi="仿宋" w:eastAsia="仿宋" w:cs="仿宋"/>
          <w:color w:val="auto"/>
          <w:spacing w:val="-4"/>
          <w:sz w:val="24"/>
          <w:szCs w:val="24"/>
        </w:rPr>
      </w:pPr>
    </w:p>
    <w:tbl>
      <w:tblPr>
        <w:tblStyle w:val="49"/>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75"/>
        <w:gridCol w:w="780"/>
        <w:gridCol w:w="720"/>
        <w:gridCol w:w="1530"/>
        <w:gridCol w:w="1361"/>
        <w:gridCol w:w="1045"/>
      </w:tblGrid>
      <w:tr w14:paraId="5090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AA51743">
            <w:pPr>
              <w:widowControl/>
              <w:adjustRightInd w:val="0"/>
              <w:snapToGrid w:val="0"/>
              <w:jc w:val="center"/>
              <w:rPr>
                <w:rFonts w:ascii="仿宋" w:hAnsi="仿宋" w:eastAsia="仿宋" w:cs="仿宋"/>
                <w:color w:val="auto"/>
              </w:rPr>
            </w:pPr>
            <w:r>
              <w:rPr>
                <w:rFonts w:hint="eastAsia" w:ascii="仿宋" w:hAnsi="仿宋" w:eastAsia="仿宋" w:cs="仿宋"/>
                <w:color w:val="auto"/>
              </w:rPr>
              <w:t>序号</w:t>
            </w:r>
          </w:p>
        </w:tc>
        <w:tc>
          <w:tcPr>
            <w:tcW w:w="2775" w:type="dxa"/>
            <w:vAlign w:val="center"/>
          </w:tcPr>
          <w:p w14:paraId="263FFE4A">
            <w:pPr>
              <w:widowControl/>
              <w:adjustRightInd w:val="0"/>
              <w:snapToGrid w:val="0"/>
              <w:jc w:val="center"/>
              <w:rPr>
                <w:rFonts w:ascii="仿宋" w:hAnsi="仿宋" w:eastAsia="仿宋" w:cs="仿宋"/>
                <w:color w:val="auto"/>
              </w:rPr>
            </w:pPr>
            <w:r>
              <w:rPr>
                <w:rFonts w:hint="eastAsia" w:ascii="仿宋" w:hAnsi="仿宋" w:eastAsia="仿宋" w:cs="仿宋"/>
                <w:color w:val="auto"/>
              </w:rPr>
              <w:t>名  称</w:t>
            </w:r>
          </w:p>
        </w:tc>
        <w:tc>
          <w:tcPr>
            <w:tcW w:w="780" w:type="dxa"/>
            <w:vAlign w:val="center"/>
          </w:tcPr>
          <w:p w14:paraId="593C2279">
            <w:pPr>
              <w:widowControl/>
              <w:adjustRightInd w:val="0"/>
              <w:snapToGrid w:val="0"/>
              <w:jc w:val="center"/>
              <w:rPr>
                <w:rFonts w:ascii="仿宋" w:hAnsi="仿宋" w:eastAsia="仿宋" w:cs="仿宋"/>
                <w:color w:val="auto"/>
              </w:rPr>
            </w:pPr>
            <w:r>
              <w:rPr>
                <w:rFonts w:hint="eastAsia" w:ascii="仿宋" w:hAnsi="仿宋" w:eastAsia="仿宋" w:cs="仿宋"/>
                <w:color w:val="auto"/>
              </w:rPr>
              <w:t>单位</w:t>
            </w:r>
          </w:p>
        </w:tc>
        <w:tc>
          <w:tcPr>
            <w:tcW w:w="720" w:type="dxa"/>
            <w:vAlign w:val="center"/>
          </w:tcPr>
          <w:p w14:paraId="358E5B71">
            <w:pPr>
              <w:widowControl/>
              <w:adjustRightInd w:val="0"/>
              <w:snapToGrid w:val="0"/>
              <w:jc w:val="center"/>
              <w:rPr>
                <w:rFonts w:ascii="仿宋" w:hAnsi="仿宋" w:eastAsia="仿宋" w:cs="仿宋"/>
                <w:color w:val="auto"/>
              </w:rPr>
            </w:pPr>
            <w:r>
              <w:rPr>
                <w:rFonts w:hint="eastAsia" w:ascii="仿宋" w:hAnsi="仿宋" w:eastAsia="仿宋" w:cs="仿宋"/>
                <w:color w:val="auto"/>
              </w:rPr>
              <w:t>数量</w:t>
            </w:r>
          </w:p>
        </w:tc>
        <w:tc>
          <w:tcPr>
            <w:tcW w:w="1530" w:type="dxa"/>
            <w:vAlign w:val="center"/>
          </w:tcPr>
          <w:p w14:paraId="4B9EA73B">
            <w:pPr>
              <w:widowControl/>
              <w:adjustRightInd w:val="0"/>
              <w:snapToGrid w:val="0"/>
              <w:jc w:val="center"/>
              <w:rPr>
                <w:rFonts w:ascii="仿宋" w:hAnsi="仿宋" w:eastAsia="仿宋" w:cs="仿宋"/>
                <w:color w:val="auto"/>
              </w:rPr>
            </w:pPr>
            <w:r>
              <w:rPr>
                <w:rFonts w:hint="eastAsia" w:ascii="仿宋" w:hAnsi="仿宋" w:eastAsia="仿宋" w:cs="仿宋"/>
                <w:color w:val="auto"/>
              </w:rPr>
              <w:t>单价（元）</w:t>
            </w:r>
          </w:p>
        </w:tc>
        <w:tc>
          <w:tcPr>
            <w:tcW w:w="1361" w:type="dxa"/>
            <w:vAlign w:val="center"/>
          </w:tcPr>
          <w:p w14:paraId="171D8ECF">
            <w:pPr>
              <w:widowControl/>
              <w:adjustRightInd w:val="0"/>
              <w:snapToGrid w:val="0"/>
              <w:jc w:val="center"/>
              <w:rPr>
                <w:rFonts w:ascii="仿宋" w:hAnsi="仿宋" w:eastAsia="仿宋" w:cs="仿宋"/>
                <w:color w:val="auto"/>
              </w:rPr>
            </w:pPr>
            <w:r>
              <w:rPr>
                <w:rFonts w:hint="eastAsia" w:ascii="仿宋" w:hAnsi="仿宋" w:eastAsia="仿宋" w:cs="仿宋"/>
                <w:color w:val="auto"/>
              </w:rPr>
              <w:t>金额（元）</w:t>
            </w:r>
          </w:p>
        </w:tc>
        <w:tc>
          <w:tcPr>
            <w:tcW w:w="1045" w:type="dxa"/>
            <w:vAlign w:val="center"/>
          </w:tcPr>
          <w:p w14:paraId="673AF2CF">
            <w:pPr>
              <w:widowControl/>
              <w:adjustRightInd w:val="0"/>
              <w:snapToGrid w:val="0"/>
              <w:jc w:val="center"/>
              <w:rPr>
                <w:rFonts w:ascii="仿宋" w:hAnsi="仿宋" w:eastAsia="仿宋" w:cs="仿宋"/>
                <w:color w:val="auto"/>
              </w:rPr>
            </w:pPr>
            <w:r>
              <w:rPr>
                <w:rFonts w:hint="eastAsia" w:ascii="仿宋" w:hAnsi="仿宋" w:eastAsia="仿宋" w:cs="仿宋"/>
                <w:color w:val="auto"/>
              </w:rPr>
              <w:t>备注</w:t>
            </w:r>
          </w:p>
        </w:tc>
      </w:tr>
      <w:tr w14:paraId="0E6D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tcPr>
          <w:p w14:paraId="2F1CBDAB">
            <w:pPr>
              <w:spacing w:line="5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2775" w:type="dxa"/>
            <w:shd w:val="clear" w:color="FFFFFF" w:fill="auto"/>
          </w:tcPr>
          <w:p w14:paraId="269796C4">
            <w:pPr>
              <w:jc w:val="left"/>
              <w:rPr>
                <w:rFonts w:ascii="仿宋" w:hAnsi="仿宋" w:eastAsia="仿宋" w:cs="仿宋"/>
                <w:color w:val="auto"/>
              </w:rPr>
            </w:pPr>
          </w:p>
        </w:tc>
        <w:tc>
          <w:tcPr>
            <w:tcW w:w="780" w:type="dxa"/>
            <w:shd w:val="clear" w:color="FFFFFF" w:fill="auto"/>
          </w:tcPr>
          <w:p w14:paraId="7BB3E592">
            <w:pPr>
              <w:spacing w:line="500" w:lineRule="exact"/>
              <w:jc w:val="center"/>
              <w:rPr>
                <w:rFonts w:ascii="仿宋" w:hAnsi="仿宋" w:eastAsia="仿宋" w:cs="仿宋"/>
                <w:color w:val="auto"/>
              </w:rPr>
            </w:pPr>
          </w:p>
        </w:tc>
        <w:tc>
          <w:tcPr>
            <w:tcW w:w="720" w:type="dxa"/>
            <w:shd w:val="clear" w:color="FFFFFF" w:fill="auto"/>
          </w:tcPr>
          <w:p w14:paraId="60EA8D8E">
            <w:pPr>
              <w:spacing w:line="500" w:lineRule="exact"/>
              <w:jc w:val="center"/>
              <w:rPr>
                <w:rFonts w:ascii="仿宋" w:hAnsi="仿宋" w:eastAsia="仿宋" w:cs="仿宋"/>
                <w:color w:val="auto"/>
              </w:rPr>
            </w:pPr>
          </w:p>
        </w:tc>
        <w:tc>
          <w:tcPr>
            <w:tcW w:w="1530" w:type="dxa"/>
            <w:vAlign w:val="center"/>
          </w:tcPr>
          <w:p w14:paraId="55E4B434">
            <w:pPr>
              <w:widowControl/>
              <w:adjustRightInd w:val="0"/>
              <w:snapToGrid w:val="0"/>
              <w:jc w:val="center"/>
              <w:rPr>
                <w:rFonts w:ascii="仿宋" w:hAnsi="仿宋" w:eastAsia="仿宋" w:cs="仿宋"/>
                <w:color w:val="auto"/>
              </w:rPr>
            </w:pPr>
          </w:p>
        </w:tc>
        <w:tc>
          <w:tcPr>
            <w:tcW w:w="1361" w:type="dxa"/>
            <w:vAlign w:val="center"/>
          </w:tcPr>
          <w:p w14:paraId="706B3DA8">
            <w:pPr>
              <w:widowControl/>
              <w:adjustRightInd w:val="0"/>
              <w:snapToGrid w:val="0"/>
              <w:jc w:val="center"/>
              <w:rPr>
                <w:rFonts w:ascii="仿宋" w:hAnsi="仿宋" w:eastAsia="仿宋" w:cs="仿宋"/>
                <w:color w:val="auto"/>
              </w:rPr>
            </w:pPr>
          </w:p>
        </w:tc>
        <w:tc>
          <w:tcPr>
            <w:tcW w:w="1045" w:type="dxa"/>
            <w:vAlign w:val="center"/>
          </w:tcPr>
          <w:p w14:paraId="1A9167F9">
            <w:pPr>
              <w:widowControl/>
              <w:adjustRightInd w:val="0"/>
              <w:snapToGrid w:val="0"/>
              <w:jc w:val="center"/>
              <w:rPr>
                <w:rFonts w:ascii="仿宋" w:hAnsi="仿宋" w:eastAsia="仿宋" w:cs="仿宋"/>
                <w:color w:val="auto"/>
              </w:rPr>
            </w:pPr>
          </w:p>
        </w:tc>
      </w:tr>
      <w:tr w14:paraId="55A8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shd w:val="clear" w:color="FFFFFF" w:fill="auto"/>
          </w:tcPr>
          <w:p w14:paraId="448B92AD">
            <w:pPr>
              <w:spacing w:line="5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2775" w:type="dxa"/>
            <w:shd w:val="clear" w:color="FFFFFF" w:fill="auto"/>
          </w:tcPr>
          <w:p w14:paraId="7F81326F">
            <w:pPr>
              <w:spacing w:line="500" w:lineRule="exact"/>
              <w:jc w:val="left"/>
              <w:rPr>
                <w:rFonts w:ascii="仿宋" w:hAnsi="仿宋" w:eastAsia="仿宋" w:cs="仿宋"/>
                <w:color w:val="auto"/>
              </w:rPr>
            </w:pPr>
          </w:p>
        </w:tc>
        <w:tc>
          <w:tcPr>
            <w:tcW w:w="780" w:type="dxa"/>
            <w:shd w:val="clear" w:color="FFFFFF" w:fill="auto"/>
          </w:tcPr>
          <w:p w14:paraId="1951FBCA">
            <w:pPr>
              <w:spacing w:line="500" w:lineRule="exact"/>
              <w:jc w:val="center"/>
              <w:rPr>
                <w:rFonts w:ascii="仿宋" w:hAnsi="仿宋" w:eastAsia="仿宋" w:cs="仿宋"/>
                <w:color w:val="auto"/>
              </w:rPr>
            </w:pPr>
          </w:p>
        </w:tc>
        <w:tc>
          <w:tcPr>
            <w:tcW w:w="720" w:type="dxa"/>
            <w:shd w:val="clear" w:color="FFFFFF" w:fill="auto"/>
          </w:tcPr>
          <w:p w14:paraId="7EA33928">
            <w:pPr>
              <w:spacing w:line="500" w:lineRule="exact"/>
              <w:jc w:val="center"/>
              <w:rPr>
                <w:rFonts w:ascii="仿宋" w:hAnsi="仿宋" w:eastAsia="仿宋" w:cs="仿宋"/>
                <w:color w:val="auto"/>
              </w:rPr>
            </w:pPr>
          </w:p>
        </w:tc>
        <w:tc>
          <w:tcPr>
            <w:tcW w:w="1530" w:type="dxa"/>
            <w:vAlign w:val="center"/>
          </w:tcPr>
          <w:p w14:paraId="3E8DC39A">
            <w:pPr>
              <w:widowControl/>
              <w:adjustRightInd w:val="0"/>
              <w:snapToGrid w:val="0"/>
              <w:jc w:val="center"/>
              <w:rPr>
                <w:rFonts w:ascii="仿宋" w:hAnsi="仿宋" w:eastAsia="仿宋" w:cs="仿宋"/>
                <w:color w:val="auto"/>
              </w:rPr>
            </w:pPr>
          </w:p>
        </w:tc>
        <w:tc>
          <w:tcPr>
            <w:tcW w:w="1361" w:type="dxa"/>
            <w:vAlign w:val="center"/>
          </w:tcPr>
          <w:p w14:paraId="7301F82E">
            <w:pPr>
              <w:widowControl/>
              <w:adjustRightInd w:val="0"/>
              <w:snapToGrid w:val="0"/>
              <w:jc w:val="center"/>
              <w:rPr>
                <w:rFonts w:ascii="仿宋" w:hAnsi="仿宋" w:eastAsia="仿宋" w:cs="仿宋"/>
                <w:color w:val="auto"/>
              </w:rPr>
            </w:pPr>
          </w:p>
        </w:tc>
        <w:tc>
          <w:tcPr>
            <w:tcW w:w="1045" w:type="dxa"/>
            <w:vAlign w:val="center"/>
          </w:tcPr>
          <w:p w14:paraId="4B86D1BE">
            <w:pPr>
              <w:widowControl/>
              <w:adjustRightInd w:val="0"/>
              <w:snapToGrid w:val="0"/>
              <w:jc w:val="center"/>
              <w:rPr>
                <w:rFonts w:ascii="仿宋" w:hAnsi="仿宋" w:eastAsia="仿宋" w:cs="仿宋"/>
                <w:color w:val="auto"/>
              </w:rPr>
            </w:pPr>
          </w:p>
        </w:tc>
      </w:tr>
      <w:tr w14:paraId="5E21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1071C1F0">
            <w:pPr>
              <w:spacing w:line="500" w:lineRule="exact"/>
              <w:jc w:val="center"/>
              <w:rPr>
                <w:rFonts w:ascii="仿宋" w:hAnsi="仿宋" w:eastAsia="仿宋" w:cs="仿宋"/>
                <w:color w:val="auto"/>
              </w:rPr>
            </w:pPr>
            <w:r>
              <w:rPr>
                <w:rFonts w:hint="eastAsia" w:ascii="仿宋" w:hAnsi="仿宋" w:eastAsia="仿宋" w:cs="仿宋"/>
                <w:color w:val="auto"/>
              </w:rPr>
              <w:t>3</w:t>
            </w:r>
          </w:p>
        </w:tc>
        <w:tc>
          <w:tcPr>
            <w:tcW w:w="2775" w:type="dxa"/>
            <w:shd w:val="clear" w:color="FFFFFF" w:fill="auto"/>
            <w:vAlign w:val="center"/>
          </w:tcPr>
          <w:p w14:paraId="4A92EECD">
            <w:pPr>
              <w:spacing w:line="500" w:lineRule="exact"/>
              <w:jc w:val="left"/>
              <w:rPr>
                <w:rFonts w:ascii="仿宋" w:hAnsi="仿宋" w:eastAsia="仿宋" w:cs="仿宋"/>
                <w:color w:val="auto"/>
              </w:rPr>
            </w:pPr>
          </w:p>
        </w:tc>
        <w:tc>
          <w:tcPr>
            <w:tcW w:w="780" w:type="dxa"/>
            <w:shd w:val="clear" w:color="FFFFFF" w:fill="auto"/>
            <w:vAlign w:val="center"/>
          </w:tcPr>
          <w:p w14:paraId="69DDD9FD">
            <w:pPr>
              <w:spacing w:line="500" w:lineRule="exact"/>
              <w:jc w:val="center"/>
              <w:rPr>
                <w:rFonts w:ascii="仿宋" w:hAnsi="仿宋" w:eastAsia="仿宋" w:cs="仿宋"/>
                <w:color w:val="auto"/>
              </w:rPr>
            </w:pPr>
          </w:p>
        </w:tc>
        <w:tc>
          <w:tcPr>
            <w:tcW w:w="720" w:type="dxa"/>
            <w:shd w:val="clear" w:color="FFFFFF" w:fill="auto"/>
            <w:vAlign w:val="center"/>
          </w:tcPr>
          <w:p w14:paraId="1780DA8E">
            <w:pPr>
              <w:spacing w:line="500" w:lineRule="exact"/>
              <w:jc w:val="center"/>
              <w:rPr>
                <w:rFonts w:ascii="仿宋" w:hAnsi="仿宋" w:eastAsia="仿宋" w:cs="仿宋"/>
                <w:color w:val="auto"/>
              </w:rPr>
            </w:pPr>
          </w:p>
        </w:tc>
        <w:tc>
          <w:tcPr>
            <w:tcW w:w="1530" w:type="dxa"/>
            <w:vAlign w:val="center"/>
          </w:tcPr>
          <w:p w14:paraId="205C2DB9">
            <w:pPr>
              <w:widowControl/>
              <w:adjustRightInd w:val="0"/>
              <w:snapToGrid w:val="0"/>
              <w:jc w:val="center"/>
              <w:rPr>
                <w:rFonts w:ascii="仿宋" w:hAnsi="仿宋" w:eastAsia="仿宋" w:cs="仿宋"/>
                <w:color w:val="auto"/>
              </w:rPr>
            </w:pPr>
          </w:p>
        </w:tc>
        <w:tc>
          <w:tcPr>
            <w:tcW w:w="1361" w:type="dxa"/>
            <w:vAlign w:val="center"/>
          </w:tcPr>
          <w:p w14:paraId="371E7219">
            <w:pPr>
              <w:widowControl/>
              <w:adjustRightInd w:val="0"/>
              <w:snapToGrid w:val="0"/>
              <w:jc w:val="center"/>
              <w:rPr>
                <w:rFonts w:ascii="仿宋" w:hAnsi="仿宋" w:eastAsia="仿宋" w:cs="仿宋"/>
                <w:color w:val="auto"/>
              </w:rPr>
            </w:pPr>
          </w:p>
        </w:tc>
        <w:tc>
          <w:tcPr>
            <w:tcW w:w="1045" w:type="dxa"/>
            <w:vAlign w:val="center"/>
          </w:tcPr>
          <w:p w14:paraId="2F02F1E6">
            <w:pPr>
              <w:widowControl/>
              <w:adjustRightInd w:val="0"/>
              <w:snapToGrid w:val="0"/>
              <w:jc w:val="center"/>
              <w:rPr>
                <w:rFonts w:ascii="仿宋" w:hAnsi="仿宋" w:eastAsia="仿宋" w:cs="仿宋"/>
                <w:color w:val="auto"/>
              </w:rPr>
            </w:pPr>
          </w:p>
        </w:tc>
      </w:tr>
      <w:tr w14:paraId="3FE3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0CAAE7C8">
            <w:pPr>
              <w:spacing w:line="500" w:lineRule="exact"/>
              <w:jc w:val="center"/>
              <w:rPr>
                <w:rFonts w:ascii="仿宋" w:hAnsi="仿宋" w:eastAsia="仿宋" w:cs="仿宋"/>
                <w:color w:val="auto"/>
              </w:rPr>
            </w:pPr>
            <w:r>
              <w:rPr>
                <w:rFonts w:hint="eastAsia" w:ascii="仿宋" w:hAnsi="仿宋" w:eastAsia="仿宋" w:cs="仿宋"/>
                <w:color w:val="auto"/>
              </w:rPr>
              <w:t>4</w:t>
            </w:r>
          </w:p>
        </w:tc>
        <w:tc>
          <w:tcPr>
            <w:tcW w:w="2775" w:type="dxa"/>
            <w:shd w:val="clear" w:color="FFFFFF" w:fill="auto"/>
            <w:vAlign w:val="center"/>
          </w:tcPr>
          <w:p w14:paraId="06B2DC95">
            <w:pPr>
              <w:spacing w:line="500" w:lineRule="exact"/>
              <w:jc w:val="left"/>
              <w:rPr>
                <w:rFonts w:ascii="仿宋" w:hAnsi="仿宋" w:eastAsia="仿宋" w:cs="仿宋"/>
                <w:color w:val="auto"/>
              </w:rPr>
            </w:pPr>
          </w:p>
        </w:tc>
        <w:tc>
          <w:tcPr>
            <w:tcW w:w="780" w:type="dxa"/>
            <w:shd w:val="clear" w:color="FFFFFF" w:fill="auto"/>
            <w:vAlign w:val="center"/>
          </w:tcPr>
          <w:p w14:paraId="54F7F6F6">
            <w:pPr>
              <w:spacing w:line="500" w:lineRule="exact"/>
              <w:jc w:val="center"/>
              <w:rPr>
                <w:rFonts w:ascii="仿宋" w:hAnsi="仿宋" w:eastAsia="仿宋" w:cs="仿宋"/>
                <w:color w:val="auto"/>
              </w:rPr>
            </w:pPr>
          </w:p>
        </w:tc>
        <w:tc>
          <w:tcPr>
            <w:tcW w:w="720" w:type="dxa"/>
            <w:shd w:val="clear" w:color="FFFFFF" w:fill="auto"/>
            <w:vAlign w:val="center"/>
          </w:tcPr>
          <w:p w14:paraId="60B809E4">
            <w:pPr>
              <w:spacing w:line="500" w:lineRule="exact"/>
              <w:jc w:val="center"/>
              <w:rPr>
                <w:rFonts w:ascii="仿宋" w:hAnsi="仿宋" w:eastAsia="仿宋" w:cs="仿宋"/>
                <w:color w:val="auto"/>
              </w:rPr>
            </w:pPr>
          </w:p>
        </w:tc>
        <w:tc>
          <w:tcPr>
            <w:tcW w:w="1530" w:type="dxa"/>
            <w:vAlign w:val="center"/>
          </w:tcPr>
          <w:p w14:paraId="1AF8FBBB">
            <w:pPr>
              <w:widowControl/>
              <w:adjustRightInd w:val="0"/>
              <w:snapToGrid w:val="0"/>
              <w:jc w:val="center"/>
              <w:rPr>
                <w:rFonts w:ascii="仿宋" w:hAnsi="仿宋" w:eastAsia="仿宋" w:cs="仿宋"/>
                <w:color w:val="auto"/>
              </w:rPr>
            </w:pPr>
          </w:p>
        </w:tc>
        <w:tc>
          <w:tcPr>
            <w:tcW w:w="1361" w:type="dxa"/>
            <w:vAlign w:val="center"/>
          </w:tcPr>
          <w:p w14:paraId="2564216F">
            <w:pPr>
              <w:widowControl/>
              <w:adjustRightInd w:val="0"/>
              <w:snapToGrid w:val="0"/>
              <w:jc w:val="center"/>
              <w:rPr>
                <w:rFonts w:ascii="仿宋" w:hAnsi="仿宋" w:eastAsia="仿宋" w:cs="仿宋"/>
                <w:color w:val="auto"/>
              </w:rPr>
            </w:pPr>
          </w:p>
        </w:tc>
        <w:tc>
          <w:tcPr>
            <w:tcW w:w="1045" w:type="dxa"/>
            <w:vAlign w:val="center"/>
          </w:tcPr>
          <w:p w14:paraId="767E3C44">
            <w:pPr>
              <w:widowControl/>
              <w:adjustRightInd w:val="0"/>
              <w:snapToGrid w:val="0"/>
              <w:jc w:val="center"/>
              <w:rPr>
                <w:rFonts w:ascii="仿宋" w:hAnsi="仿宋" w:eastAsia="仿宋" w:cs="仿宋"/>
                <w:color w:val="auto"/>
              </w:rPr>
            </w:pPr>
          </w:p>
        </w:tc>
      </w:tr>
      <w:tr w14:paraId="5A86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308D8EB6">
            <w:pPr>
              <w:spacing w:line="500" w:lineRule="exact"/>
              <w:jc w:val="center"/>
              <w:rPr>
                <w:rFonts w:ascii="仿宋" w:hAnsi="仿宋" w:eastAsia="仿宋" w:cs="仿宋"/>
                <w:color w:val="auto"/>
              </w:rPr>
            </w:pPr>
            <w:r>
              <w:rPr>
                <w:rFonts w:hint="eastAsia" w:ascii="仿宋" w:hAnsi="仿宋" w:eastAsia="仿宋" w:cs="仿宋"/>
                <w:color w:val="auto"/>
              </w:rPr>
              <w:t>5</w:t>
            </w:r>
          </w:p>
        </w:tc>
        <w:tc>
          <w:tcPr>
            <w:tcW w:w="2775" w:type="dxa"/>
            <w:shd w:val="clear" w:color="FFFFFF" w:fill="auto"/>
            <w:vAlign w:val="center"/>
          </w:tcPr>
          <w:p w14:paraId="2150EC28">
            <w:pPr>
              <w:spacing w:line="500" w:lineRule="exact"/>
              <w:jc w:val="left"/>
              <w:rPr>
                <w:rFonts w:ascii="仿宋" w:hAnsi="仿宋" w:eastAsia="仿宋" w:cs="仿宋"/>
                <w:color w:val="auto"/>
              </w:rPr>
            </w:pPr>
          </w:p>
        </w:tc>
        <w:tc>
          <w:tcPr>
            <w:tcW w:w="780" w:type="dxa"/>
            <w:shd w:val="clear" w:color="FFFFFF" w:fill="auto"/>
            <w:vAlign w:val="center"/>
          </w:tcPr>
          <w:p w14:paraId="095A70E3">
            <w:pPr>
              <w:spacing w:line="500" w:lineRule="exact"/>
              <w:jc w:val="center"/>
              <w:rPr>
                <w:rFonts w:ascii="仿宋" w:hAnsi="仿宋" w:eastAsia="仿宋" w:cs="仿宋"/>
                <w:color w:val="auto"/>
              </w:rPr>
            </w:pPr>
          </w:p>
        </w:tc>
        <w:tc>
          <w:tcPr>
            <w:tcW w:w="720" w:type="dxa"/>
            <w:shd w:val="clear" w:color="FFFFFF" w:fill="auto"/>
            <w:vAlign w:val="center"/>
          </w:tcPr>
          <w:p w14:paraId="643A1A11">
            <w:pPr>
              <w:spacing w:line="500" w:lineRule="exact"/>
              <w:jc w:val="center"/>
              <w:rPr>
                <w:rFonts w:ascii="仿宋" w:hAnsi="仿宋" w:eastAsia="仿宋" w:cs="仿宋"/>
                <w:color w:val="auto"/>
              </w:rPr>
            </w:pPr>
          </w:p>
        </w:tc>
        <w:tc>
          <w:tcPr>
            <w:tcW w:w="1530" w:type="dxa"/>
            <w:vAlign w:val="center"/>
          </w:tcPr>
          <w:p w14:paraId="02E6D3F8">
            <w:pPr>
              <w:widowControl/>
              <w:adjustRightInd w:val="0"/>
              <w:snapToGrid w:val="0"/>
              <w:jc w:val="center"/>
              <w:rPr>
                <w:rFonts w:ascii="仿宋" w:hAnsi="仿宋" w:eastAsia="仿宋" w:cs="仿宋"/>
                <w:color w:val="auto"/>
              </w:rPr>
            </w:pPr>
          </w:p>
        </w:tc>
        <w:tc>
          <w:tcPr>
            <w:tcW w:w="1361" w:type="dxa"/>
            <w:vAlign w:val="center"/>
          </w:tcPr>
          <w:p w14:paraId="594F10FF">
            <w:pPr>
              <w:widowControl/>
              <w:adjustRightInd w:val="0"/>
              <w:snapToGrid w:val="0"/>
              <w:jc w:val="center"/>
              <w:rPr>
                <w:rFonts w:ascii="仿宋" w:hAnsi="仿宋" w:eastAsia="仿宋" w:cs="仿宋"/>
                <w:color w:val="auto"/>
              </w:rPr>
            </w:pPr>
          </w:p>
        </w:tc>
        <w:tc>
          <w:tcPr>
            <w:tcW w:w="1045" w:type="dxa"/>
            <w:vAlign w:val="center"/>
          </w:tcPr>
          <w:p w14:paraId="3D807B12">
            <w:pPr>
              <w:widowControl/>
              <w:adjustRightInd w:val="0"/>
              <w:snapToGrid w:val="0"/>
              <w:jc w:val="center"/>
              <w:rPr>
                <w:rFonts w:ascii="仿宋" w:hAnsi="仿宋" w:eastAsia="仿宋" w:cs="仿宋"/>
                <w:color w:val="auto"/>
              </w:rPr>
            </w:pPr>
          </w:p>
        </w:tc>
      </w:tr>
      <w:tr w14:paraId="1B16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2DA6231E">
            <w:pPr>
              <w:spacing w:line="500" w:lineRule="exact"/>
              <w:jc w:val="center"/>
              <w:rPr>
                <w:rFonts w:ascii="仿宋" w:hAnsi="仿宋" w:eastAsia="仿宋" w:cs="仿宋"/>
                <w:color w:val="auto"/>
              </w:rPr>
            </w:pPr>
            <w:r>
              <w:rPr>
                <w:rFonts w:hint="eastAsia" w:ascii="仿宋" w:hAnsi="仿宋" w:eastAsia="仿宋" w:cs="仿宋"/>
                <w:color w:val="auto"/>
              </w:rPr>
              <w:t>6</w:t>
            </w:r>
          </w:p>
        </w:tc>
        <w:tc>
          <w:tcPr>
            <w:tcW w:w="2775" w:type="dxa"/>
            <w:shd w:val="clear" w:color="FFFFFF" w:fill="auto"/>
            <w:vAlign w:val="center"/>
          </w:tcPr>
          <w:p w14:paraId="04D44B61">
            <w:pPr>
              <w:spacing w:line="500" w:lineRule="exact"/>
              <w:jc w:val="left"/>
              <w:rPr>
                <w:rFonts w:ascii="仿宋" w:hAnsi="仿宋" w:eastAsia="仿宋" w:cs="仿宋"/>
                <w:color w:val="auto"/>
              </w:rPr>
            </w:pPr>
          </w:p>
        </w:tc>
        <w:tc>
          <w:tcPr>
            <w:tcW w:w="780" w:type="dxa"/>
            <w:shd w:val="clear" w:color="FFFFFF" w:fill="auto"/>
            <w:vAlign w:val="center"/>
          </w:tcPr>
          <w:p w14:paraId="1E64314E">
            <w:pPr>
              <w:spacing w:line="500" w:lineRule="exact"/>
              <w:jc w:val="center"/>
              <w:rPr>
                <w:rFonts w:ascii="仿宋" w:hAnsi="仿宋" w:eastAsia="仿宋" w:cs="仿宋"/>
                <w:color w:val="auto"/>
              </w:rPr>
            </w:pPr>
          </w:p>
        </w:tc>
        <w:tc>
          <w:tcPr>
            <w:tcW w:w="720" w:type="dxa"/>
            <w:shd w:val="clear" w:color="FFFFFF" w:fill="auto"/>
            <w:vAlign w:val="center"/>
          </w:tcPr>
          <w:p w14:paraId="568E27CE">
            <w:pPr>
              <w:spacing w:line="500" w:lineRule="exact"/>
              <w:jc w:val="center"/>
              <w:rPr>
                <w:rFonts w:ascii="仿宋" w:hAnsi="仿宋" w:eastAsia="仿宋" w:cs="仿宋"/>
                <w:color w:val="auto"/>
              </w:rPr>
            </w:pPr>
          </w:p>
        </w:tc>
        <w:tc>
          <w:tcPr>
            <w:tcW w:w="1530" w:type="dxa"/>
            <w:vAlign w:val="center"/>
          </w:tcPr>
          <w:p w14:paraId="67B32FD3">
            <w:pPr>
              <w:widowControl/>
              <w:adjustRightInd w:val="0"/>
              <w:snapToGrid w:val="0"/>
              <w:jc w:val="center"/>
              <w:rPr>
                <w:rFonts w:ascii="仿宋" w:hAnsi="仿宋" w:eastAsia="仿宋" w:cs="仿宋"/>
                <w:color w:val="auto"/>
              </w:rPr>
            </w:pPr>
          </w:p>
        </w:tc>
        <w:tc>
          <w:tcPr>
            <w:tcW w:w="1361" w:type="dxa"/>
            <w:vAlign w:val="center"/>
          </w:tcPr>
          <w:p w14:paraId="136DBB05">
            <w:pPr>
              <w:widowControl/>
              <w:adjustRightInd w:val="0"/>
              <w:snapToGrid w:val="0"/>
              <w:jc w:val="center"/>
              <w:rPr>
                <w:rFonts w:ascii="仿宋" w:hAnsi="仿宋" w:eastAsia="仿宋" w:cs="仿宋"/>
                <w:color w:val="auto"/>
              </w:rPr>
            </w:pPr>
          </w:p>
        </w:tc>
        <w:tc>
          <w:tcPr>
            <w:tcW w:w="1045" w:type="dxa"/>
            <w:vAlign w:val="center"/>
          </w:tcPr>
          <w:p w14:paraId="612D286F">
            <w:pPr>
              <w:widowControl/>
              <w:adjustRightInd w:val="0"/>
              <w:snapToGrid w:val="0"/>
              <w:jc w:val="center"/>
              <w:rPr>
                <w:rFonts w:ascii="仿宋" w:hAnsi="仿宋" w:eastAsia="仿宋" w:cs="仿宋"/>
                <w:color w:val="auto"/>
              </w:rPr>
            </w:pPr>
          </w:p>
        </w:tc>
      </w:tr>
      <w:tr w14:paraId="61A4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vAlign w:val="center"/>
          </w:tcPr>
          <w:p w14:paraId="7C74C9DA">
            <w:pPr>
              <w:spacing w:line="500" w:lineRule="exact"/>
              <w:jc w:val="center"/>
              <w:rPr>
                <w:rFonts w:ascii="仿宋" w:hAnsi="仿宋" w:eastAsia="仿宋" w:cs="仿宋"/>
                <w:color w:val="auto"/>
              </w:rPr>
            </w:pPr>
            <w:r>
              <w:rPr>
                <w:rFonts w:hint="eastAsia" w:ascii="仿宋" w:hAnsi="仿宋" w:eastAsia="仿宋" w:cs="仿宋"/>
                <w:color w:val="auto"/>
              </w:rPr>
              <w:t>7</w:t>
            </w:r>
          </w:p>
        </w:tc>
        <w:tc>
          <w:tcPr>
            <w:tcW w:w="2775" w:type="dxa"/>
            <w:shd w:val="clear" w:color="FFFFFF" w:fill="auto"/>
            <w:vAlign w:val="center"/>
          </w:tcPr>
          <w:p w14:paraId="5A1E15C5">
            <w:pPr>
              <w:spacing w:line="500" w:lineRule="exact"/>
              <w:jc w:val="left"/>
              <w:rPr>
                <w:rFonts w:ascii="仿宋" w:hAnsi="仿宋" w:eastAsia="仿宋" w:cs="仿宋"/>
                <w:color w:val="auto"/>
              </w:rPr>
            </w:pPr>
          </w:p>
        </w:tc>
        <w:tc>
          <w:tcPr>
            <w:tcW w:w="780" w:type="dxa"/>
            <w:shd w:val="clear" w:color="FFFFFF" w:fill="auto"/>
            <w:vAlign w:val="center"/>
          </w:tcPr>
          <w:p w14:paraId="17DB3168">
            <w:pPr>
              <w:spacing w:line="500" w:lineRule="exact"/>
              <w:jc w:val="center"/>
              <w:rPr>
                <w:rFonts w:ascii="仿宋" w:hAnsi="仿宋" w:eastAsia="仿宋" w:cs="仿宋"/>
                <w:color w:val="auto"/>
              </w:rPr>
            </w:pPr>
          </w:p>
        </w:tc>
        <w:tc>
          <w:tcPr>
            <w:tcW w:w="720" w:type="dxa"/>
            <w:shd w:val="clear" w:color="FFFFFF" w:fill="auto"/>
            <w:vAlign w:val="center"/>
          </w:tcPr>
          <w:p w14:paraId="69AE861E">
            <w:pPr>
              <w:spacing w:line="500" w:lineRule="exact"/>
              <w:jc w:val="center"/>
              <w:rPr>
                <w:rFonts w:ascii="仿宋" w:hAnsi="仿宋" w:eastAsia="仿宋" w:cs="仿宋"/>
                <w:color w:val="auto"/>
              </w:rPr>
            </w:pPr>
          </w:p>
        </w:tc>
        <w:tc>
          <w:tcPr>
            <w:tcW w:w="1530" w:type="dxa"/>
            <w:vAlign w:val="center"/>
          </w:tcPr>
          <w:p w14:paraId="06A29102">
            <w:pPr>
              <w:widowControl/>
              <w:adjustRightInd w:val="0"/>
              <w:snapToGrid w:val="0"/>
              <w:jc w:val="center"/>
              <w:rPr>
                <w:rFonts w:ascii="仿宋" w:hAnsi="仿宋" w:eastAsia="仿宋" w:cs="仿宋"/>
                <w:color w:val="auto"/>
              </w:rPr>
            </w:pPr>
          </w:p>
        </w:tc>
        <w:tc>
          <w:tcPr>
            <w:tcW w:w="1361" w:type="dxa"/>
            <w:vAlign w:val="center"/>
          </w:tcPr>
          <w:p w14:paraId="0AA1EC0A">
            <w:pPr>
              <w:widowControl/>
              <w:adjustRightInd w:val="0"/>
              <w:snapToGrid w:val="0"/>
              <w:jc w:val="center"/>
              <w:rPr>
                <w:rFonts w:ascii="仿宋" w:hAnsi="仿宋" w:eastAsia="仿宋" w:cs="仿宋"/>
                <w:color w:val="auto"/>
              </w:rPr>
            </w:pPr>
          </w:p>
        </w:tc>
        <w:tc>
          <w:tcPr>
            <w:tcW w:w="1045" w:type="dxa"/>
            <w:vAlign w:val="center"/>
          </w:tcPr>
          <w:p w14:paraId="328777CD">
            <w:pPr>
              <w:widowControl/>
              <w:adjustRightInd w:val="0"/>
              <w:snapToGrid w:val="0"/>
              <w:jc w:val="center"/>
              <w:rPr>
                <w:rFonts w:ascii="仿宋" w:hAnsi="仿宋" w:eastAsia="仿宋" w:cs="仿宋"/>
                <w:color w:val="auto"/>
              </w:rPr>
            </w:pPr>
          </w:p>
        </w:tc>
      </w:tr>
      <w:tr w14:paraId="358A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tcPr>
          <w:p w14:paraId="602B9A71">
            <w:pPr>
              <w:spacing w:line="500" w:lineRule="exact"/>
              <w:jc w:val="center"/>
              <w:rPr>
                <w:rFonts w:ascii="仿宋" w:hAnsi="仿宋" w:eastAsia="仿宋" w:cs="仿宋"/>
                <w:color w:val="auto"/>
              </w:rPr>
            </w:pPr>
            <w:r>
              <w:rPr>
                <w:rFonts w:hint="eastAsia" w:ascii="仿宋" w:hAnsi="仿宋" w:eastAsia="仿宋" w:cs="仿宋"/>
                <w:color w:val="auto"/>
              </w:rPr>
              <w:t>8</w:t>
            </w:r>
          </w:p>
        </w:tc>
        <w:tc>
          <w:tcPr>
            <w:tcW w:w="2775" w:type="dxa"/>
            <w:shd w:val="clear" w:color="FFFFFF" w:fill="auto"/>
          </w:tcPr>
          <w:p w14:paraId="06F26068">
            <w:pPr>
              <w:spacing w:line="500" w:lineRule="exact"/>
              <w:jc w:val="left"/>
              <w:rPr>
                <w:rFonts w:ascii="仿宋" w:hAnsi="仿宋" w:eastAsia="仿宋" w:cs="仿宋"/>
                <w:color w:val="auto"/>
              </w:rPr>
            </w:pPr>
          </w:p>
        </w:tc>
        <w:tc>
          <w:tcPr>
            <w:tcW w:w="780" w:type="dxa"/>
            <w:shd w:val="clear" w:color="FFFFFF" w:fill="auto"/>
          </w:tcPr>
          <w:p w14:paraId="176CECBE">
            <w:pPr>
              <w:spacing w:line="500" w:lineRule="exact"/>
              <w:jc w:val="center"/>
              <w:rPr>
                <w:rFonts w:ascii="仿宋" w:hAnsi="仿宋" w:eastAsia="仿宋" w:cs="仿宋"/>
                <w:color w:val="auto"/>
              </w:rPr>
            </w:pPr>
          </w:p>
        </w:tc>
        <w:tc>
          <w:tcPr>
            <w:tcW w:w="720" w:type="dxa"/>
            <w:shd w:val="clear" w:color="FFFFFF" w:fill="auto"/>
          </w:tcPr>
          <w:p w14:paraId="7D9A5247">
            <w:pPr>
              <w:spacing w:line="500" w:lineRule="exact"/>
              <w:jc w:val="center"/>
              <w:rPr>
                <w:rFonts w:ascii="仿宋" w:hAnsi="仿宋" w:eastAsia="仿宋" w:cs="仿宋"/>
                <w:color w:val="auto"/>
              </w:rPr>
            </w:pPr>
          </w:p>
        </w:tc>
        <w:tc>
          <w:tcPr>
            <w:tcW w:w="1530" w:type="dxa"/>
            <w:vAlign w:val="center"/>
          </w:tcPr>
          <w:p w14:paraId="31397D8C">
            <w:pPr>
              <w:widowControl/>
              <w:adjustRightInd w:val="0"/>
              <w:snapToGrid w:val="0"/>
              <w:jc w:val="center"/>
              <w:rPr>
                <w:rFonts w:ascii="仿宋" w:hAnsi="仿宋" w:eastAsia="仿宋" w:cs="仿宋"/>
                <w:color w:val="auto"/>
              </w:rPr>
            </w:pPr>
          </w:p>
        </w:tc>
        <w:tc>
          <w:tcPr>
            <w:tcW w:w="1361" w:type="dxa"/>
            <w:vAlign w:val="center"/>
          </w:tcPr>
          <w:p w14:paraId="7FB9E7CE">
            <w:pPr>
              <w:widowControl/>
              <w:adjustRightInd w:val="0"/>
              <w:snapToGrid w:val="0"/>
              <w:jc w:val="center"/>
              <w:rPr>
                <w:rFonts w:ascii="仿宋" w:hAnsi="仿宋" w:eastAsia="仿宋" w:cs="仿宋"/>
                <w:color w:val="auto"/>
              </w:rPr>
            </w:pPr>
          </w:p>
        </w:tc>
        <w:tc>
          <w:tcPr>
            <w:tcW w:w="1045" w:type="dxa"/>
            <w:vAlign w:val="center"/>
          </w:tcPr>
          <w:p w14:paraId="149006DB">
            <w:pPr>
              <w:widowControl/>
              <w:adjustRightInd w:val="0"/>
              <w:snapToGrid w:val="0"/>
              <w:jc w:val="center"/>
              <w:rPr>
                <w:rFonts w:ascii="仿宋" w:hAnsi="仿宋" w:eastAsia="仿宋" w:cs="仿宋"/>
                <w:color w:val="auto"/>
              </w:rPr>
            </w:pPr>
          </w:p>
        </w:tc>
      </w:tr>
      <w:tr w14:paraId="0431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tcPr>
          <w:p w14:paraId="3C20C6E7">
            <w:pPr>
              <w:spacing w:line="500" w:lineRule="exact"/>
              <w:jc w:val="center"/>
              <w:rPr>
                <w:rFonts w:ascii="仿宋" w:hAnsi="仿宋" w:eastAsia="仿宋" w:cs="仿宋"/>
                <w:color w:val="auto"/>
              </w:rPr>
            </w:pPr>
            <w:r>
              <w:rPr>
                <w:rFonts w:hint="eastAsia" w:ascii="仿宋" w:hAnsi="仿宋" w:eastAsia="仿宋" w:cs="仿宋"/>
                <w:color w:val="auto"/>
              </w:rPr>
              <w:t>9</w:t>
            </w:r>
          </w:p>
        </w:tc>
        <w:tc>
          <w:tcPr>
            <w:tcW w:w="2775" w:type="dxa"/>
            <w:shd w:val="clear" w:color="FFFFFF" w:fill="auto"/>
            <w:vAlign w:val="center"/>
          </w:tcPr>
          <w:p w14:paraId="57432A9F">
            <w:pPr>
              <w:spacing w:line="500" w:lineRule="exact"/>
              <w:jc w:val="left"/>
              <w:rPr>
                <w:rFonts w:ascii="仿宋" w:hAnsi="仿宋" w:eastAsia="仿宋" w:cs="仿宋"/>
                <w:color w:val="auto"/>
              </w:rPr>
            </w:pPr>
          </w:p>
        </w:tc>
        <w:tc>
          <w:tcPr>
            <w:tcW w:w="780" w:type="dxa"/>
            <w:shd w:val="clear" w:color="FFFFFF" w:fill="auto"/>
            <w:vAlign w:val="center"/>
          </w:tcPr>
          <w:p w14:paraId="4FD35517">
            <w:pPr>
              <w:spacing w:line="500" w:lineRule="exact"/>
              <w:jc w:val="center"/>
              <w:rPr>
                <w:rFonts w:ascii="仿宋" w:hAnsi="仿宋" w:eastAsia="仿宋" w:cs="仿宋"/>
                <w:color w:val="auto"/>
              </w:rPr>
            </w:pPr>
          </w:p>
        </w:tc>
        <w:tc>
          <w:tcPr>
            <w:tcW w:w="720" w:type="dxa"/>
            <w:shd w:val="clear" w:color="FFFFFF" w:fill="auto"/>
            <w:vAlign w:val="center"/>
          </w:tcPr>
          <w:p w14:paraId="6924B710">
            <w:pPr>
              <w:spacing w:line="500" w:lineRule="exact"/>
              <w:jc w:val="center"/>
              <w:rPr>
                <w:rFonts w:ascii="仿宋" w:hAnsi="仿宋" w:eastAsia="仿宋" w:cs="仿宋"/>
                <w:color w:val="auto"/>
              </w:rPr>
            </w:pPr>
          </w:p>
        </w:tc>
        <w:tc>
          <w:tcPr>
            <w:tcW w:w="1530" w:type="dxa"/>
            <w:vAlign w:val="center"/>
          </w:tcPr>
          <w:p w14:paraId="2B6FA408">
            <w:pPr>
              <w:widowControl/>
              <w:adjustRightInd w:val="0"/>
              <w:snapToGrid w:val="0"/>
              <w:jc w:val="center"/>
              <w:rPr>
                <w:rFonts w:ascii="仿宋" w:hAnsi="仿宋" w:eastAsia="仿宋" w:cs="仿宋"/>
                <w:color w:val="auto"/>
              </w:rPr>
            </w:pPr>
          </w:p>
        </w:tc>
        <w:tc>
          <w:tcPr>
            <w:tcW w:w="1361" w:type="dxa"/>
            <w:vAlign w:val="center"/>
          </w:tcPr>
          <w:p w14:paraId="7F096FEB">
            <w:pPr>
              <w:widowControl/>
              <w:adjustRightInd w:val="0"/>
              <w:snapToGrid w:val="0"/>
              <w:jc w:val="center"/>
              <w:rPr>
                <w:rFonts w:ascii="仿宋" w:hAnsi="仿宋" w:eastAsia="仿宋" w:cs="仿宋"/>
                <w:color w:val="auto"/>
              </w:rPr>
            </w:pPr>
          </w:p>
        </w:tc>
        <w:tc>
          <w:tcPr>
            <w:tcW w:w="1045" w:type="dxa"/>
            <w:vAlign w:val="center"/>
          </w:tcPr>
          <w:p w14:paraId="7F895742">
            <w:pPr>
              <w:widowControl/>
              <w:adjustRightInd w:val="0"/>
              <w:snapToGrid w:val="0"/>
              <w:jc w:val="center"/>
              <w:rPr>
                <w:rFonts w:ascii="仿宋" w:hAnsi="仿宋" w:eastAsia="仿宋" w:cs="仿宋"/>
                <w:color w:val="auto"/>
              </w:rPr>
            </w:pPr>
          </w:p>
        </w:tc>
      </w:tr>
      <w:tr w14:paraId="3AED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tcPr>
          <w:p w14:paraId="691FD956">
            <w:pPr>
              <w:spacing w:line="500" w:lineRule="exact"/>
              <w:jc w:val="center"/>
              <w:rPr>
                <w:rFonts w:ascii="仿宋" w:hAnsi="仿宋" w:eastAsia="仿宋" w:cs="仿宋"/>
                <w:color w:val="auto"/>
              </w:rPr>
            </w:pPr>
            <w:r>
              <w:rPr>
                <w:rFonts w:hint="eastAsia" w:ascii="仿宋" w:hAnsi="仿宋" w:eastAsia="仿宋" w:cs="仿宋"/>
                <w:color w:val="auto"/>
              </w:rPr>
              <w:t>10</w:t>
            </w:r>
          </w:p>
        </w:tc>
        <w:tc>
          <w:tcPr>
            <w:tcW w:w="2775" w:type="dxa"/>
            <w:shd w:val="clear" w:color="FFFFFF" w:fill="auto"/>
          </w:tcPr>
          <w:p w14:paraId="1E275AFB">
            <w:pPr>
              <w:spacing w:line="500" w:lineRule="exact"/>
              <w:jc w:val="left"/>
              <w:rPr>
                <w:rFonts w:ascii="仿宋" w:hAnsi="仿宋" w:eastAsia="仿宋" w:cs="仿宋"/>
                <w:color w:val="auto"/>
              </w:rPr>
            </w:pPr>
          </w:p>
        </w:tc>
        <w:tc>
          <w:tcPr>
            <w:tcW w:w="780" w:type="dxa"/>
            <w:shd w:val="clear" w:color="FFFFFF" w:fill="auto"/>
          </w:tcPr>
          <w:p w14:paraId="5BE6CCC7">
            <w:pPr>
              <w:spacing w:line="500" w:lineRule="exact"/>
              <w:jc w:val="center"/>
              <w:rPr>
                <w:rFonts w:ascii="仿宋" w:hAnsi="仿宋" w:eastAsia="仿宋" w:cs="仿宋"/>
                <w:color w:val="auto"/>
              </w:rPr>
            </w:pPr>
          </w:p>
        </w:tc>
        <w:tc>
          <w:tcPr>
            <w:tcW w:w="720" w:type="dxa"/>
            <w:shd w:val="clear" w:color="FFFFFF" w:fill="auto"/>
          </w:tcPr>
          <w:p w14:paraId="041D3C85">
            <w:pPr>
              <w:spacing w:line="500" w:lineRule="exact"/>
              <w:jc w:val="center"/>
              <w:rPr>
                <w:rFonts w:ascii="仿宋" w:hAnsi="仿宋" w:eastAsia="仿宋" w:cs="仿宋"/>
                <w:color w:val="auto"/>
              </w:rPr>
            </w:pPr>
          </w:p>
        </w:tc>
        <w:tc>
          <w:tcPr>
            <w:tcW w:w="1530" w:type="dxa"/>
            <w:vAlign w:val="center"/>
          </w:tcPr>
          <w:p w14:paraId="23E92C40">
            <w:pPr>
              <w:widowControl/>
              <w:adjustRightInd w:val="0"/>
              <w:snapToGrid w:val="0"/>
              <w:jc w:val="center"/>
              <w:rPr>
                <w:rFonts w:ascii="仿宋" w:hAnsi="仿宋" w:eastAsia="仿宋" w:cs="仿宋"/>
                <w:color w:val="auto"/>
              </w:rPr>
            </w:pPr>
          </w:p>
        </w:tc>
        <w:tc>
          <w:tcPr>
            <w:tcW w:w="1361" w:type="dxa"/>
            <w:vAlign w:val="center"/>
          </w:tcPr>
          <w:p w14:paraId="4BEBC343">
            <w:pPr>
              <w:widowControl/>
              <w:adjustRightInd w:val="0"/>
              <w:snapToGrid w:val="0"/>
              <w:jc w:val="center"/>
              <w:rPr>
                <w:rFonts w:ascii="仿宋" w:hAnsi="仿宋" w:eastAsia="仿宋" w:cs="仿宋"/>
                <w:color w:val="auto"/>
              </w:rPr>
            </w:pPr>
          </w:p>
        </w:tc>
        <w:tc>
          <w:tcPr>
            <w:tcW w:w="1045" w:type="dxa"/>
            <w:vAlign w:val="center"/>
          </w:tcPr>
          <w:p w14:paraId="4594B2B0">
            <w:pPr>
              <w:widowControl/>
              <w:adjustRightInd w:val="0"/>
              <w:snapToGrid w:val="0"/>
              <w:jc w:val="center"/>
              <w:rPr>
                <w:rFonts w:ascii="仿宋" w:hAnsi="仿宋" w:eastAsia="仿宋" w:cs="仿宋"/>
                <w:color w:val="auto"/>
              </w:rPr>
            </w:pPr>
          </w:p>
        </w:tc>
      </w:tr>
      <w:tr w14:paraId="6434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tcPr>
          <w:p w14:paraId="5077F022">
            <w:pPr>
              <w:spacing w:line="500" w:lineRule="exact"/>
              <w:jc w:val="center"/>
              <w:rPr>
                <w:rFonts w:ascii="仿宋" w:hAnsi="仿宋" w:eastAsia="仿宋" w:cs="仿宋"/>
                <w:color w:val="auto"/>
              </w:rPr>
            </w:pPr>
            <w:r>
              <w:rPr>
                <w:rFonts w:hint="eastAsia" w:ascii="仿宋" w:hAnsi="仿宋" w:eastAsia="仿宋" w:cs="仿宋"/>
                <w:color w:val="auto"/>
              </w:rPr>
              <w:t>11</w:t>
            </w:r>
          </w:p>
        </w:tc>
        <w:tc>
          <w:tcPr>
            <w:tcW w:w="2775" w:type="dxa"/>
            <w:shd w:val="clear" w:color="FFFFFF" w:fill="auto"/>
            <w:vAlign w:val="center"/>
          </w:tcPr>
          <w:p w14:paraId="43FAC9F0">
            <w:pPr>
              <w:snapToGrid w:val="0"/>
              <w:jc w:val="left"/>
              <w:rPr>
                <w:rFonts w:ascii="仿宋" w:hAnsi="仿宋" w:eastAsia="仿宋" w:cs="仿宋"/>
                <w:color w:val="auto"/>
              </w:rPr>
            </w:pPr>
          </w:p>
        </w:tc>
        <w:tc>
          <w:tcPr>
            <w:tcW w:w="780" w:type="dxa"/>
            <w:shd w:val="clear" w:color="FFFFFF" w:fill="auto"/>
            <w:vAlign w:val="center"/>
          </w:tcPr>
          <w:p w14:paraId="500E4197">
            <w:pPr>
              <w:spacing w:line="500" w:lineRule="exact"/>
              <w:jc w:val="center"/>
              <w:rPr>
                <w:rFonts w:ascii="仿宋" w:hAnsi="仿宋" w:eastAsia="仿宋" w:cs="仿宋"/>
                <w:color w:val="auto"/>
              </w:rPr>
            </w:pPr>
          </w:p>
        </w:tc>
        <w:tc>
          <w:tcPr>
            <w:tcW w:w="720" w:type="dxa"/>
            <w:shd w:val="clear" w:color="FFFFFF" w:fill="auto"/>
            <w:vAlign w:val="center"/>
          </w:tcPr>
          <w:p w14:paraId="35B77319">
            <w:pPr>
              <w:spacing w:line="500" w:lineRule="exact"/>
              <w:jc w:val="center"/>
              <w:rPr>
                <w:rFonts w:ascii="仿宋" w:hAnsi="仿宋" w:eastAsia="仿宋" w:cs="仿宋"/>
                <w:color w:val="auto"/>
              </w:rPr>
            </w:pPr>
          </w:p>
        </w:tc>
        <w:tc>
          <w:tcPr>
            <w:tcW w:w="1530" w:type="dxa"/>
            <w:vAlign w:val="center"/>
          </w:tcPr>
          <w:p w14:paraId="7372E24A">
            <w:pPr>
              <w:widowControl/>
              <w:adjustRightInd w:val="0"/>
              <w:snapToGrid w:val="0"/>
              <w:jc w:val="center"/>
              <w:rPr>
                <w:rFonts w:ascii="仿宋" w:hAnsi="仿宋" w:eastAsia="仿宋" w:cs="仿宋"/>
                <w:color w:val="auto"/>
              </w:rPr>
            </w:pPr>
          </w:p>
        </w:tc>
        <w:tc>
          <w:tcPr>
            <w:tcW w:w="1361" w:type="dxa"/>
            <w:vAlign w:val="center"/>
          </w:tcPr>
          <w:p w14:paraId="0C065158">
            <w:pPr>
              <w:widowControl/>
              <w:adjustRightInd w:val="0"/>
              <w:snapToGrid w:val="0"/>
              <w:jc w:val="center"/>
              <w:rPr>
                <w:rFonts w:ascii="仿宋" w:hAnsi="仿宋" w:eastAsia="仿宋" w:cs="仿宋"/>
                <w:color w:val="auto"/>
              </w:rPr>
            </w:pPr>
          </w:p>
        </w:tc>
        <w:tc>
          <w:tcPr>
            <w:tcW w:w="1045" w:type="dxa"/>
            <w:vAlign w:val="center"/>
          </w:tcPr>
          <w:p w14:paraId="3024097F">
            <w:pPr>
              <w:widowControl/>
              <w:adjustRightInd w:val="0"/>
              <w:snapToGrid w:val="0"/>
              <w:jc w:val="center"/>
              <w:rPr>
                <w:rFonts w:ascii="仿宋" w:hAnsi="仿宋" w:eastAsia="仿宋" w:cs="仿宋"/>
                <w:color w:val="auto"/>
              </w:rPr>
            </w:pPr>
          </w:p>
        </w:tc>
      </w:tr>
      <w:tr w14:paraId="0DE6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2" w:type="dxa"/>
            <w:shd w:val="clear" w:color="FFFFFF" w:fill="auto"/>
          </w:tcPr>
          <w:p w14:paraId="1420E1C8">
            <w:pPr>
              <w:spacing w:line="500" w:lineRule="exact"/>
              <w:jc w:val="center"/>
              <w:rPr>
                <w:rFonts w:ascii="仿宋" w:hAnsi="仿宋" w:eastAsia="仿宋" w:cs="仿宋"/>
                <w:color w:val="auto"/>
              </w:rPr>
            </w:pPr>
            <w:bookmarkStart w:id="3" w:name="OLE_LINK7"/>
            <w:r>
              <w:rPr>
                <w:rFonts w:hint="eastAsia" w:ascii="仿宋" w:hAnsi="仿宋" w:eastAsia="仿宋" w:cs="仿宋"/>
                <w:color w:val="auto"/>
              </w:rPr>
              <w:t>12</w:t>
            </w:r>
          </w:p>
        </w:tc>
        <w:tc>
          <w:tcPr>
            <w:tcW w:w="2775" w:type="dxa"/>
            <w:shd w:val="clear" w:color="FFFFFF" w:fill="auto"/>
            <w:vAlign w:val="center"/>
          </w:tcPr>
          <w:p w14:paraId="37D84B1E">
            <w:pPr>
              <w:snapToGrid w:val="0"/>
              <w:jc w:val="left"/>
              <w:rPr>
                <w:rFonts w:ascii="仿宋" w:hAnsi="仿宋" w:eastAsia="仿宋" w:cs="仿宋"/>
                <w:color w:val="auto"/>
              </w:rPr>
            </w:pPr>
          </w:p>
        </w:tc>
        <w:tc>
          <w:tcPr>
            <w:tcW w:w="780" w:type="dxa"/>
            <w:shd w:val="clear" w:color="FFFFFF" w:fill="auto"/>
            <w:vAlign w:val="center"/>
          </w:tcPr>
          <w:p w14:paraId="4E501483">
            <w:pPr>
              <w:spacing w:line="500" w:lineRule="exact"/>
              <w:jc w:val="center"/>
              <w:rPr>
                <w:rFonts w:ascii="仿宋" w:hAnsi="仿宋" w:eastAsia="仿宋" w:cs="仿宋"/>
                <w:color w:val="auto"/>
              </w:rPr>
            </w:pPr>
          </w:p>
        </w:tc>
        <w:tc>
          <w:tcPr>
            <w:tcW w:w="720" w:type="dxa"/>
            <w:shd w:val="clear" w:color="FFFFFF" w:fill="auto"/>
            <w:vAlign w:val="center"/>
          </w:tcPr>
          <w:p w14:paraId="3CA68996">
            <w:pPr>
              <w:spacing w:line="500" w:lineRule="exact"/>
              <w:jc w:val="center"/>
              <w:rPr>
                <w:rFonts w:ascii="仿宋" w:hAnsi="仿宋" w:eastAsia="仿宋" w:cs="仿宋"/>
                <w:color w:val="auto"/>
              </w:rPr>
            </w:pPr>
          </w:p>
        </w:tc>
        <w:tc>
          <w:tcPr>
            <w:tcW w:w="1530" w:type="dxa"/>
            <w:vAlign w:val="center"/>
          </w:tcPr>
          <w:p w14:paraId="1B19DA3D">
            <w:pPr>
              <w:widowControl/>
              <w:adjustRightInd w:val="0"/>
              <w:snapToGrid w:val="0"/>
              <w:jc w:val="center"/>
              <w:rPr>
                <w:rFonts w:ascii="仿宋" w:hAnsi="仿宋" w:eastAsia="仿宋" w:cs="仿宋"/>
                <w:color w:val="auto"/>
              </w:rPr>
            </w:pPr>
          </w:p>
        </w:tc>
        <w:tc>
          <w:tcPr>
            <w:tcW w:w="1361" w:type="dxa"/>
            <w:vAlign w:val="center"/>
          </w:tcPr>
          <w:p w14:paraId="01566961">
            <w:pPr>
              <w:widowControl/>
              <w:adjustRightInd w:val="0"/>
              <w:snapToGrid w:val="0"/>
              <w:jc w:val="center"/>
              <w:rPr>
                <w:rFonts w:ascii="仿宋" w:hAnsi="仿宋" w:eastAsia="仿宋" w:cs="仿宋"/>
                <w:color w:val="auto"/>
              </w:rPr>
            </w:pPr>
          </w:p>
        </w:tc>
        <w:tc>
          <w:tcPr>
            <w:tcW w:w="1045" w:type="dxa"/>
            <w:vAlign w:val="center"/>
          </w:tcPr>
          <w:p w14:paraId="69422720">
            <w:pPr>
              <w:widowControl/>
              <w:adjustRightInd w:val="0"/>
              <w:snapToGrid w:val="0"/>
              <w:jc w:val="center"/>
              <w:rPr>
                <w:rFonts w:ascii="仿宋" w:hAnsi="仿宋" w:eastAsia="仿宋" w:cs="仿宋"/>
                <w:color w:val="auto"/>
              </w:rPr>
            </w:pPr>
          </w:p>
        </w:tc>
      </w:tr>
      <w:tr w14:paraId="7B27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tcPr>
          <w:p w14:paraId="52451E20">
            <w:pPr>
              <w:spacing w:line="500" w:lineRule="exact"/>
              <w:jc w:val="center"/>
              <w:rPr>
                <w:rFonts w:ascii="仿宋" w:hAnsi="仿宋" w:eastAsia="仿宋" w:cs="仿宋"/>
                <w:color w:val="auto"/>
              </w:rPr>
            </w:pPr>
            <w:r>
              <w:rPr>
                <w:rFonts w:hint="eastAsia" w:ascii="仿宋" w:hAnsi="仿宋" w:eastAsia="仿宋" w:cs="仿宋"/>
                <w:color w:val="auto"/>
              </w:rPr>
              <w:t>13</w:t>
            </w:r>
          </w:p>
        </w:tc>
        <w:tc>
          <w:tcPr>
            <w:tcW w:w="2775" w:type="dxa"/>
            <w:shd w:val="clear" w:color="FFFFFF" w:fill="auto"/>
            <w:vAlign w:val="center"/>
          </w:tcPr>
          <w:p w14:paraId="026F448E">
            <w:pPr>
              <w:snapToGrid w:val="0"/>
              <w:rPr>
                <w:rFonts w:ascii="仿宋" w:hAnsi="仿宋" w:eastAsia="仿宋" w:cs="仿宋"/>
                <w:color w:val="auto"/>
              </w:rPr>
            </w:pPr>
          </w:p>
        </w:tc>
        <w:tc>
          <w:tcPr>
            <w:tcW w:w="780" w:type="dxa"/>
            <w:shd w:val="clear" w:color="FFFFFF" w:fill="auto"/>
            <w:vAlign w:val="center"/>
          </w:tcPr>
          <w:p w14:paraId="648A655B">
            <w:pPr>
              <w:spacing w:line="500" w:lineRule="exact"/>
              <w:jc w:val="center"/>
              <w:rPr>
                <w:rFonts w:ascii="仿宋" w:hAnsi="仿宋" w:eastAsia="仿宋" w:cs="仿宋"/>
                <w:color w:val="auto"/>
              </w:rPr>
            </w:pPr>
          </w:p>
        </w:tc>
        <w:tc>
          <w:tcPr>
            <w:tcW w:w="720" w:type="dxa"/>
            <w:shd w:val="clear" w:color="FFFFFF" w:fill="auto"/>
            <w:vAlign w:val="center"/>
          </w:tcPr>
          <w:p w14:paraId="7EE30060">
            <w:pPr>
              <w:spacing w:line="500" w:lineRule="exact"/>
              <w:jc w:val="center"/>
              <w:rPr>
                <w:rFonts w:ascii="仿宋" w:hAnsi="仿宋" w:eastAsia="仿宋" w:cs="仿宋"/>
                <w:color w:val="auto"/>
              </w:rPr>
            </w:pPr>
          </w:p>
        </w:tc>
        <w:tc>
          <w:tcPr>
            <w:tcW w:w="1530" w:type="dxa"/>
            <w:vAlign w:val="center"/>
          </w:tcPr>
          <w:p w14:paraId="0FA6BE7D">
            <w:pPr>
              <w:widowControl/>
              <w:adjustRightInd w:val="0"/>
              <w:snapToGrid w:val="0"/>
              <w:jc w:val="center"/>
              <w:rPr>
                <w:rFonts w:ascii="仿宋" w:hAnsi="仿宋" w:eastAsia="仿宋" w:cs="仿宋"/>
                <w:color w:val="auto"/>
              </w:rPr>
            </w:pPr>
          </w:p>
        </w:tc>
        <w:tc>
          <w:tcPr>
            <w:tcW w:w="1361" w:type="dxa"/>
            <w:vAlign w:val="center"/>
          </w:tcPr>
          <w:p w14:paraId="0D28DE46">
            <w:pPr>
              <w:widowControl/>
              <w:adjustRightInd w:val="0"/>
              <w:snapToGrid w:val="0"/>
              <w:jc w:val="center"/>
              <w:rPr>
                <w:rFonts w:ascii="仿宋" w:hAnsi="仿宋" w:eastAsia="仿宋" w:cs="仿宋"/>
                <w:color w:val="auto"/>
              </w:rPr>
            </w:pPr>
          </w:p>
        </w:tc>
        <w:tc>
          <w:tcPr>
            <w:tcW w:w="1045" w:type="dxa"/>
            <w:vAlign w:val="center"/>
          </w:tcPr>
          <w:p w14:paraId="61C7CC78">
            <w:pPr>
              <w:widowControl/>
              <w:adjustRightInd w:val="0"/>
              <w:snapToGrid w:val="0"/>
              <w:jc w:val="center"/>
              <w:rPr>
                <w:rFonts w:ascii="仿宋" w:hAnsi="仿宋" w:eastAsia="仿宋" w:cs="仿宋"/>
                <w:color w:val="auto"/>
              </w:rPr>
            </w:pPr>
          </w:p>
        </w:tc>
      </w:tr>
      <w:bookmarkEnd w:id="3"/>
      <w:tr w14:paraId="1AC7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577" w:type="dxa"/>
            <w:gridSpan w:val="5"/>
            <w:vAlign w:val="center"/>
          </w:tcPr>
          <w:p w14:paraId="452BD69D">
            <w:pPr>
              <w:widowControl/>
              <w:adjustRightInd w:val="0"/>
              <w:snapToGrid w:val="0"/>
              <w:jc w:val="center"/>
              <w:rPr>
                <w:rFonts w:ascii="仿宋" w:hAnsi="仿宋" w:eastAsia="仿宋" w:cs="仿宋"/>
                <w:color w:val="auto"/>
              </w:rPr>
            </w:pPr>
            <w:r>
              <w:rPr>
                <w:rFonts w:hint="eastAsia" w:ascii="仿宋" w:hAnsi="仿宋" w:eastAsia="仿宋" w:cs="仿宋"/>
                <w:color w:val="auto"/>
              </w:rPr>
              <w:t>投标总价（元）</w:t>
            </w:r>
          </w:p>
        </w:tc>
        <w:tc>
          <w:tcPr>
            <w:tcW w:w="1361" w:type="dxa"/>
            <w:vAlign w:val="center"/>
          </w:tcPr>
          <w:p w14:paraId="678BD10D">
            <w:pPr>
              <w:widowControl/>
              <w:adjustRightInd w:val="0"/>
              <w:snapToGrid w:val="0"/>
              <w:jc w:val="center"/>
              <w:rPr>
                <w:rFonts w:ascii="仿宋" w:hAnsi="仿宋" w:eastAsia="仿宋" w:cs="仿宋"/>
                <w:color w:val="auto"/>
              </w:rPr>
            </w:pPr>
          </w:p>
        </w:tc>
        <w:tc>
          <w:tcPr>
            <w:tcW w:w="1045" w:type="dxa"/>
            <w:vAlign w:val="center"/>
          </w:tcPr>
          <w:p w14:paraId="530CCD2D">
            <w:pPr>
              <w:widowControl/>
              <w:adjustRightInd w:val="0"/>
              <w:snapToGrid w:val="0"/>
              <w:jc w:val="center"/>
              <w:rPr>
                <w:rFonts w:ascii="仿宋" w:hAnsi="仿宋" w:eastAsia="仿宋" w:cs="仿宋"/>
                <w:color w:val="auto"/>
              </w:rPr>
            </w:pPr>
          </w:p>
        </w:tc>
      </w:tr>
    </w:tbl>
    <w:p w14:paraId="548D5C12">
      <w:pPr>
        <w:tabs>
          <w:tab w:val="left" w:pos="1418"/>
        </w:tabs>
        <w:snapToGrid w:val="0"/>
        <w:spacing w:before="50" w:after="50"/>
        <w:rPr>
          <w:rFonts w:ascii="仿宋" w:hAnsi="仿宋" w:eastAsia="仿宋" w:cs="仿宋"/>
          <w:color w:val="auto"/>
        </w:rPr>
      </w:pPr>
      <w:r>
        <w:rPr>
          <w:rFonts w:hint="eastAsia" w:ascii="仿宋" w:hAnsi="仿宋" w:eastAsia="仿宋" w:cs="仿宋"/>
          <w:color w:val="auto"/>
        </w:rPr>
        <w:t>注：格式供参考，可自行编制报价分析明细表。</w:t>
      </w:r>
    </w:p>
    <w:p w14:paraId="0C282513">
      <w:pPr>
        <w:rPr>
          <w:rFonts w:ascii="仿宋" w:hAnsi="仿宋" w:eastAsia="仿宋" w:cs="仿宋"/>
          <w:color w:val="auto"/>
          <w:sz w:val="24"/>
          <w:szCs w:val="24"/>
        </w:rPr>
      </w:pPr>
    </w:p>
    <w:p w14:paraId="257C781F">
      <w:pPr>
        <w:ind w:left="3685" w:leftChars="1755"/>
        <w:rPr>
          <w:rFonts w:ascii="仿宋" w:hAnsi="仿宋" w:eastAsia="仿宋" w:cs="仿宋"/>
          <w:color w:val="auto"/>
          <w:sz w:val="24"/>
          <w:szCs w:val="24"/>
        </w:rPr>
      </w:pPr>
    </w:p>
    <w:p w14:paraId="5E01643B">
      <w:pPr>
        <w:ind w:left="3685" w:leftChars="1755"/>
        <w:rPr>
          <w:rFonts w:ascii="仿宋" w:hAnsi="仿宋" w:eastAsia="仿宋" w:cs="仿宋"/>
          <w:color w:val="auto"/>
          <w:sz w:val="24"/>
          <w:szCs w:val="24"/>
        </w:rPr>
      </w:pPr>
    </w:p>
    <w:p w14:paraId="3B54C9C2">
      <w:pPr>
        <w:ind w:left="3685" w:leftChars="1755"/>
        <w:rPr>
          <w:rFonts w:ascii="仿宋" w:hAnsi="仿宋" w:eastAsia="仿宋" w:cs="仿宋"/>
          <w:color w:val="auto"/>
        </w:rPr>
      </w:pPr>
      <w:r>
        <w:rPr>
          <w:rFonts w:hint="eastAsia" w:ascii="仿宋" w:hAnsi="仿宋" w:eastAsia="仿宋" w:cs="仿宋"/>
          <w:color w:val="auto"/>
        </w:rPr>
        <w:t>供应商（单位公章）：</w:t>
      </w:r>
    </w:p>
    <w:p w14:paraId="48DF484F">
      <w:pPr>
        <w:ind w:left="3685" w:leftChars="1755"/>
        <w:rPr>
          <w:rFonts w:ascii="仿宋" w:hAnsi="仿宋" w:eastAsia="仿宋" w:cs="仿宋"/>
          <w:color w:val="auto"/>
        </w:rPr>
      </w:pPr>
      <w:r>
        <w:rPr>
          <w:rFonts w:hint="eastAsia" w:ascii="仿宋" w:hAnsi="仿宋" w:eastAsia="仿宋" w:cs="仿宋"/>
          <w:color w:val="auto"/>
        </w:rPr>
        <w:t>法定代表人（或企业负责人或经营者）</w:t>
      </w:r>
    </w:p>
    <w:p w14:paraId="4E05BC10">
      <w:pPr>
        <w:ind w:left="3685" w:leftChars="1755"/>
        <w:rPr>
          <w:rFonts w:ascii="仿宋" w:hAnsi="仿宋" w:eastAsia="仿宋" w:cs="仿宋"/>
          <w:color w:val="auto"/>
        </w:rPr>
      </w:pPr>
      <w:r>
        <w:rPr>
          <w:rFonts w:hint="eastAsia" w:ascii="仿宋" w:hAnsi="仿宋" w:eastAsia="仿宋" w:cs="仿宋"/>
          <w:color w:val="auto"/>
        </w:rPr>
        <w:t>或其委托代理人（签字或盖章）：</w:t>
      </w:r>
    </w:p>
    <w:p w14:paraId="184CC176">
      <w:pPr>
        <w:ind w:left="3685" w:leftChars="1755"/>
        <w:rPr>
          <w:rFonts w:ascii="仿宋" w:hAnsi="仿宋" w:eastAsia="仿宋" w:cs="仿宋"/>
          <w:color w:val="auto"/>
        </w:rPr>
      </w:pPr>
      <w:r>
        <w:rPr>
          <w:rFonts w:hint="eastAsia" w:ascii="仿宋" w:hAnsi="仿宋" w:eastAsia="仿宋" w:cs="仿宋"/>
          <w:color w:val="auto"/>
          <w:lang w:eastAsia="zh-CN"/>
        </w:rPr>
        <w:t xml:space="preserve">二○二  </w:t>
      </w:r>
      <w:r>
        <w:rPr>
          <w:rFonts w:hint="eastAsia" w:ascii="仿宋" w:hAnsi="仿宋" w:eastAsia="仿宋" w:cs="仿宋"/>
          <w:color w:val="auto"/>
        </w:rPr>
        <w:t>年  月   日</w:t>
      </w:r>
    </w:p>
    <w:p w14:paraId="1F0ADDBB">
      <w:pPr>
        <w:rPr>
          <w:rFonts w:ascii="仿宋" w:hAnsi="仿宋" w:eastAsia="仿宋" w:cs="仿宋"/>
          <w:color w:val="auto"/>
          <w:sz w:val="24"/>
          <w:szCs w:val="24"/>
        </w:rPr>
      </w:pPr>
      <w:bookmarkStart w:id="4" w:name="_Toc480903684"/>
    </w:p>
    <w:p w14:paraId="2D89BD80">
      <w:pPr>
        <w:rPr>
          <w:rFonts w:ascii="仿宋" w:hAnsi="仿宋" w:eastAsia="仿宋" w:cs="仿宋"/>
          <w:color w:val="auto"/>
          <w:sz w:val="24"/>
          <w:szCs w:val="24"/>
        </w:rPr>
      </w:pPr>
    </w:p>
    <w:p w14:paraId="108E0202">
      <w:pPr>
        <w:rPr>
          <w:rFonts w:ascii="仿宋" w:hAnsi="仿宋" w:eastAsia="仿宋" w:cs="仿宋"/>
          <w:color w:val="auto"/>
          <w:sz w:val="24"/>
          <w:szCs w:val="24"/>
        </w:rPr>
      </w:pPr>
    </w:p>
    <w:p w14:paraId="549FB066">
      <w:pPr>
        <w:rPr>
          <w:rFonts w:ascii="仿宋" w:hAnsi="仿宋" w:eastAsia="仿宋" w:cs="仿宋"/>
          <w:color w:val="auto"/>
          <w:sz w:val="24"/>
          <w:szCs w:val="24"/>
        </w:rPr>
      </w:pPr>
    </w:p>
    <w:p w14:paraId="3A8BD5CE">
      <w:pPr>
        <w:rPr>
          <w:rFonts w:ascii="仿宋" w:hAnsi="仿宋" w:eastAsia="仿宋" w:cs="仿宋"/>
          <w:color w:val="auto"/>
          <w:sz w:val="24"/>
          <w:szCs w:val="24"/>
        </w:rPr>
      </w:pPr>
      <w:r>
        <w:rPr>
          <w:rFonts w:hint="eastAsia" w:ascii="仿宋" w:hAnsi="仿宋" w:eastAsia="仿宋" w:cs="仿宋"/>
          <w:color w:val="auto"/>
          <w:sz w:val="24"/>
          <w:szCs w:val="24"/>
        </w:rPr>
        <w:t>附件四</w:t>
      </w:r>
    </w:p>
    <w:bookmarkEnd w:id="4"/>
    <w:p w14:paraId="59DC9711">
      <w:pPr>
        <w:spacing w:line="360" w:lineRule="auto"/>
        <w:jc w:val="center"/>
        <w:rPr>
          <w:rFonts w:ascii="仿宋" w:hAnsi="仿宋" w:eastAsia="仿宋" w:cs="仿宋"/>
          <w:b/>
          <w:color w:val="auto"/>
          <w:sz w:val="24"/>
        </w:rPr>
      </w:pPr>
      <w:r>
        <w:rPr>
          <w:rFonts w:hint="eastAsia" w:ascii="仿宋" w:hAnsi="仿宋" w:eastAsia="仿宋" w:cs="仿宋"/>
          <w:b/>
          <w:color w:val="auto"/>
          <w:sz w:val="24"/>
        </w:rPr>
        <w:t>中小企业声明函（如满足要求则提供）</w:t>
      </w:r>
    </w:p>
    <w:p w14:paraId="785317AA">
      <w:pPr>
        <w:spacing w:line="360" w:lineRule="auto"/>
        <w:ind w:firstLine="424" w:firstLineChars="193"/>
        <w:rPr>
          <w:rFonts w:ascii="仿宋" w:hAnsi="仿宋" w:eastAsia="仿宋" w:cs="仿宋"/>
          <w:color w:val="auto"/>
          <w:sz w:val="22"/>
        </w:rPr>
      </w:pPr>
      <w:r>
        <w:rPr>
          <w:rFonts w:hint="eastAsia" w:ascii="仿宋" w:hAnsi="仿宋" w:eastAsia="仿宋" w:cs="仿宋"/>
          <w:color w:val="auto"/>
          <w:sz w:val="22"/>
        </w:rPr>
        <w:t>本公司（联合体）郑重声明，根据《政府采购促进中小企业发展管理办法》（财库﹝2020﹞46 号）的规定，本公司（联合体）参加</w:t>
      </w:r>
      <w:r>
        <w:rPr>
          <w:rFonts w:hint="eastAsia" w:ascii="仿宋" w:hAnsi="仿宋" w:eastAsia="仿宋" w:cs="仿宋"/>
          <w:color w:val="auto"/>
          <w:sz w:val="22"/>
          <w:u w:val="single"/>
          <w:lang w:eastAsia="zh-CN"/>
        </w:rPr>
        <w:t>余姚市梁弄镇白水冲村股份经济合作社</w:t>
      </w:r>
      <w:r>
        <w:rPr>
          <w:rFonts w:hint="eastAsia" w:ascii="仿宋" w:hAnsi="仿宋" w:eastAsia="仿宋" w:cs="仿宋"/>
          <w:color w:val="auto"/>
          <w:sz w:val="22"/>
        </w:rPr>
        <w:t xml:space="preserve"> 的 </w:t>
      </w:r>
      <w:r>
        <w:rPr>
          <w:rFonts w:hint="eastAsia" w:ascii="仿宋" w:hAnsi="仿宋" w:eastAsia="仿宋" w:cs="仿宋"/>
          <w:color w:val="auto"/>
          <w:sz w:val="22"/>
          <w:u w:val="single"/>
          <w:lang w:eastAsia="zh-CN"/>
        </w:rPr>
        <w:t>梁弄镇白水冲村P2.5彩LED显示屏及音响设备采购项目</w:t>
      </w:r>
      <w:r>
        <w:rPr>
          <w:rFonts w:hint="eastAsia" w:ascii="仿宋" w:hAnsi="仿宋" w:eastAsia="仿宋" w:cs="仿宋"/>
          <w:color w:val="auto"/>
          <w:sz w:val="22"/>
        </w:rPr>
        <w:t>采购活动</w:t>
      </w:r>
      <w:r>
        <w:rPr>
          <w:rFonts w:hint="eastAsia" w:ascii="仿宋" w:hAnsi="仿宋" w:eastAsia="仿宋" w:cs="仿宋"/>
          <w:b/>
          <w:color w:val="auto"/>
          <w:sz w:val="22"/>
        </w:rPr>
        <w:t>，提供的货物全部由符合政策要求的中小企业制造</w:t>
      </w:r>
      <w:r>
        <w:rPr>
          <w:rFonts w:hint="eastAsia" w:ascii="仿宋" w:hAnsi="仿宋" w:eastAsia="仿宋" w:cs="仿宋"/>
          <w:color w:val="auto"/>
          <w:sz w:val="22"/>
        </w:rPr>
        <w:t xml:space="preserve">。相关企业（含联合体中的中小企业、签订分包意向协议的中小企业）的具体情况如下：                                                                               </w:t>
      </w:r>
    </w:p>
    <w:p w14:paraId="309F25B4">
      <w:pPr>
        <w:spacing w:line="360" w:lineRule="auto"/>
        <w:ind w:firstLine="440" w:firstLineChars="200"/>
        <w:jc w:val="left"/>
        <w:rPr>
          <w:rFonts w:ascii="仿宋" w:hAnsi="仿宋" w:eastAsia="仿宋" w:cs="仿宋"/>
          <w:color w:val="auto"/>
          <w:sz w:val="22"/>
          <w:u w:val="single"/>
        </w:rPr>
      </w:pPr>
      <w:r>
        <w:rPr>
          <w:rFonts w:hint="eastAsia" w:ascii="仿宋" w:hAnsi="仿宋" w:eastAsia="仿宋" w:cs="仿宋"/>
          <w:color w:val="auto"/>
          <w:sz w:val="22"/>
        </w:rPr>
        <w:t>1.</w:t>
      </w:r>
      <w:r>
        <w:rPr>
          <w:rFonts w:hint="eastAsia" w:ascii="仿宋" w:hAnsi="仿宋" w:eastAsia="仿宋" w:cs="仿宋"/>
          <w:color w:val="auto"/>
          <w:sz w:val="22"/>
          <w:u w:val="single"/>
        </w:rPr>
        <w:t xml:space="preserve">   （标的名称）  </w:t>
      </w:r>
      <w:r>
        <w:rPr>
          <w:rFonts w:hint="eastAsia" w:ascii="仿宋" w:hAnsi="仿宋" w:eastAsia="仿宋" w:cs="仿宋"/>
          <w:color w:val="auto"/>
          <w:sz w:val="22"/>
        </w:rPr>
        <w:t xml:space="preserve"> ，属于</w:t>
      </w:r>
      <w:r>
        <w:rPr>
          <w:rFonts w:hint="eastAsia" w:ascii="仿宋" w:hAnsi="仿宋" w:eastAsia="仿宋" w:cs="仿宋"/>
          <w:color w:val="auto"/>
          <w:sz w:val="22"/>
          <w:u w:val="single"/>
        </w:rPr>
        <w:t xml:space="preserve">  工业</w:t>
      </w:r>
      <w:r>
        <w:rPr>
          <w:rFonts w:hint="eastAsia" w:ascii="仿宋" w:hAnsi="仿宋" w:eastAsia="仿宋" w:cs="仿宋"/>
          <w:color w:val="auto"/>
          <w:sz w:val="22"/>
        </w:rPr>
        <w:t xml:space="preserve">  ；制造商为</w:t>
      </w:r>
      <w:r>
        <w:rPr>
          <w:rFonts w:hint="eastAsia" w:ascii="仿宋" w:hAnsi="仿宋" w:eastAsia="仿宋" w:cs="仿宋"/>
          <w:color w:val="auto"/>
          <w:sz w:val="22"/>
          <w:u w:val="single"/>
        </w:rPr>
        <w:t xml:space="preserve">    （企业名称）  </w:t>
      </w:r>
      <w:r>
        <w:rPr>
          <w:rFonts w:hint="eastAsia" w:ascii="仿宋" w:hAnsi="仿宋" w:eastAsia="仿宋" w:cs="仿宋"/>
          <w:color w:val="auto"/>
          <w:sz w:val="22"/>
        </w:rPr>
        <w:t xml:space="preserve"> ，从业人员人，营业收入为万元，资产总额为万元 ，属于</w:t>
      </w:r>
      <w:r>
        <w:rPr>
          <w:rFonts w:hint="eastAsia" w:ascii="仿宋" w:hAnsi="仿宋" w:eastAsia="仿宋" w:cs="仿宋"/>
          <w:color w:val="auto"/>
          <w:sz w:val="22"/>
          <w:u w:val="single"/>
        </w:rPr>
        <w:t xml:space="preserve">        （中型企业、小型企业、微型企业）  ；</w:t>
      </w:r>
    </w:p>
    <w:p w14:paraId="26499693">
      <w:pPr>
        <w:spacing w:line="360" w:lineRule="auto"/>
        <w:ind w:firstLine="440" w:firstLineChars="200"/>
        <w:jc w:val="left"/>
        <w:rPr>
          <w:rFonts w:ascii="仿宋" w:hAnsi="仿宋" w:eastAsia="仿宋" w:cs="仿宋"/>
          <w:color w:val="auto"/>
          <w:sz w:val="22"/>
          <w:u w:val="single"/>
        </w:rPr>
      </w:pPr>
      <w:r>
        <w:rPr>
          <w:rFonts w:hint="eastAsia" w:ascii="仿宋" w:hAnsi="仿宋" w:eastAsia="仿宋" w:cs="仿宋"/>
          <w:color w:val="auto"/>
          <w:sz w:val="22"/>
        </w:rPr>
        <w:t>2.</w:t>
      </w:r>
      <w:r>
        <w:rPr>
          <w:rFonts w:hint="eastAsia" w:ascii="仿宋" w:hAnsi="仿宋" w:eastAsia="仿宋" w:cs="仿宋"/>
          <w:color w:val="auto"/>
          <w:sz w:val="22"/>
          <w:u w:val="single"/>
        </w:rPr>
        <w:t xml:space="preserve">   （标的名称）   </w:t>
      </w:r>
      <w:r>
        <w:rPr>
          <w:rFonts w:hint="eastAsia" w:ascii="仿宋" w:hAnsi="仿宋" w:eastAsia="仿宋" w:cs="仿宋"/>
          <w:color w:val="auto"/>
          <w:sz w:val="22"/>
        </w:rPr>
        <w:t>，属于</w:t>
      </w:r>
      <w:r>
        <w:rPr>
          <w:rFonts w:hint="eastAsia" w:ascii="仿宋" w:hAnsi="仿宋" w:eastAsia="仿宋" w:cs="仿宋"/>
          <w:color w:val="auto"/>
          <w:sz w:val="22"/>
          <w:u w:val="single"/>
        </w:rPr>
        <w:t xml:space="preserve">  工业 </w:t>
      </w:r>
      <w:r>
        <w:rPr>
          <w:rFonts w:hint="eastAsia" w:ascii="仿宋" w:hAnsi="仿宋" w:eastAsia="仿宋" w:cs="仿宋"/>
          <w:color w:val="auto"/>
          <w:sz w:val="22"/>
        </w:rPr>
        <w:t xml:space="preserve">  ；制造商为</w:t>
      </w:r>
      <w:r>
        <w:rPr>
          <w:rFonts w:hint="eastAsia" w:ascii="仿宋" w:hAnsi="仿宋" w:eastAsia="仿宋" w:cs="仿宋"/>
          <w:color w:val="auto"/>
          <w:sz w:val="22"/>
          <w:u w:val="single"/>
        </w:rPr>
        <w:t xml:space="preserve">    （企业名称）    </w:t>
      </w:r>
      <w:r>
        <w:rPr>
          <w:rFonts w:hint="eastAsia" w:ascii="仿宋" w:hAnsi="仿宋" w:eastAsia="仿宋" w:cs="仿宋"/>
          <w:color w:val="auto"/>
          <w:sz w:val="22"/>
        </w:rPr>
        <w:t>，从业人员人，营业收入为万元，资产总额为万元 ，属于</w:t>
      </w:r>
      <w:r>
        <w:rPr>
          <w:rFonts w:hint="eastAsia" w:ascii="仿宋" w:hAnsi="仿宋" w:eastAsia="仿宋" w:cs="仿宋"/>
          <w:color w:val="auto"/>
          <w:sz w:val="22"/>
          <w:u w:val="single"/>
        </w:rPr>
        <w:t xml:space="preserve">       （中型企业、小型企业、微型企业）  ；</w:t>
      </w:r>
    </w:p>
    <w:p w14:paraId="239CFF8E">
      <w:pPr>
        <w:spacing w:line="360" w:lineRule="auto"/>
        <w:ind w:firstLine="440" w:firstLineChars="200"/>
        <w:jc w:val="left"/>
        <w:rPr>
          <w:rFonts w:ascii="仿宋" w:hAnsi="仿宋" w:eastAsia="仿宋" w:cs="仿宋"/>
          <w:color w:val="auto"/>
          <w:sz w:val="22"/>
        </w:rPr>
      </w:pPr>
      <w:r>
        <w:rPr>
          <w:rFonts w:hint="eastAsia" w:ascii="仿宋" w:hAnsi="仿宋" w:eastAsia="仿宋" w:cs="仿宋"/>
          <w:color w:val="auto"/>
          <w:sz w:val="22"/>
        </w:rPr>
        <w:t>以上企业，不属于大企业的分支机构，不存在控股股东为大企业的情形，也不存在与大企业的负责人为同一人的情形。</w:t>
      </w:r>
    </w:p>
    <w:p w14:paraId="46DCC2FE">
      <w:pPr>
        <w:spacing w:line="360" w:lineRule="auto"/>
        <w:ind w:firstLine="440" w:firstLineChars="200"/>
        <w:jc w:val="left"/>
        <w:rPr>
          <w:rFonts w:ascii="仿宋" w:hAnsi="仿宋" w:eastAsia="仿宋" w:cs="仿宋"/>
          <w:color w:val="auto"/>
          <w:sz w:val="22"/>
        </w:rPr>
      </w:pPr>
      <w:r>
        <w:rPr>
          <w:rFonts w:hint="eastAsia" w:ascii="仿宋" w:hAnsi="仿宋" w:eastAsia="仿宋" w:cs="仿宋"/>
          <w:color w:val="auto"/>
          <w:sz w:val="22"/>
        </w:rPr>
        <w:t>本企业对上述声明内容的真实性负责。如有虚假，将依法承担相应责任。</w:t>
      </w:r>
    </w:p>
    <w:p w14:paraId="17101200">
      <w:pPr>
        <w:spacing w:line="360" w:lineRule="auto"/>
        <w:ind w:firstLine="420" w:firstLineChars="200"/>
        <w:jc w:val="left"/>
        <w:rPr>
          <w:rFonts w:ascii="仿宋" w:hAnsi="仿宋" w:eastAsia="仿宋" w:cs="仿宋"/>
          <w:color w:val="auto"/>
        </w:rPr>
      </w:pPr>
    </w:p>
    <w:p w14:paraId="3AFA9B3E">
      <w:pPr>
        <w:pStyle w:val="45"/>
        <w:widowControl w:val="0"/>
        <w:spacing w:before="0" w:beforeAutospacing="0" w:after="120" w:afterAutospacing="0"/>
        <w:ind w:left="420" w:leftChars="200" w:firstLine="360" w:firstLineChars="200"/>
        <w:jc w:val="both"/>
        <w:rPr>
          <w:rFonts w:ascii="仿宋" w:hAnsi="仿宋" w:eastAsia="仿宋" w:cs="仿宋"/>
          <w:color w:val="auto"/>
          <w:sz w:val="18"/>
          <w:szCs w:val="18"/>
        </w:rPr>
      </w:pPr>
    </w:p>
    <w:p w14:paraId="7F36DB20">
      <w:pPr>
        <w:pStyle w:val="45"/>
        <w:spacing w:before="0" w:after="0"/>
        <w:jc w:val="right"/>
        <w:rPr>
          <w:rFonts w:ascii="仿宋" w:hAnsi="仿宋" w:eastAsia="仿宋" w:cs="仿宋"/>
          <w:color w:val="auto"/>
          <w:sz w:val="18"/>
          <w:szCs w:val="18"/>
        </w:rPr>
      </w:pPr>
    </w:p>
    <w:p w14:paraId="79490D23">
      <w:pPr>
        <w:pStyle w:val="45"/>
        <w:spacing w:before="0" w:after="0"/>
        <w:jc w:val="right"/>
        <w:rPr>
          <w:rFonts w:ascii="仿宋" w:hAnsi="仿宋" w:eastAsia="仿宋" w:cs="仿宋"/>
          <w:color w:val="auto"/>
          <w:sz w:val="18"/>
          <w:szCs w:val="18"/>
        </w:rPr>
      </w:pPr>
    </w:p>
    <w:p w14:paraId="67FB3DD2">
      <w:pPr>
        <w:pStyle w:val="45"/>
        <w:spacing w:before="0" w:after="0"/>
        <w:jc w:val="right"/>
        <w:rPr>
          <w:rFonts w:ascii="仿宋" w:hAnsi="仿宋" w:eastAsia="仿宋" w:cs="仿宋"/>
          <w:color w:val="auto"/>
          <w:sz w:val="18"/>
          <w:szCs w:val="18"/>
        </w:rPr>
      </w:pPr>
    </w:p>
    <w:p w14:paraId="756E66AC">
      <w:pPr>
        <w:wordWrap w:val="0"/>
        <w:spacing w:line="360" w:lineRule="auto"/>
        <w:ind w:firstLine="2880" w:firstLineChars="1200"/>
        <w:rPr>
          <w:rFonts w:ascii="仿宋" w:hAnsi="仿宋" w:eastAsia="仿宋" w:cs="仿宋"/>
          <w:color w:val="auto"/>
          <w:sz w:val="24"/>
          <w:szCs w:val="24"/>
        </w:rPr>
      </w:pPr>
      <w:r>
        <w:rPr>
          <w:rFonts w:hint="eastAsia" w:ascii="仿宋" w:hAnsi="仿宋" w:eastAsia="仿宋" w:cs="仿宋"/>
          <w:color w:val="auto"/>
          <w:sz w:val="24"/>
          <w:szCs w:val="24"/>
        </w:rPr>
        <w:t>供应商名称（盖公章）：</w:t>
      </w:r>
    </w:p>
    <w:p w14:paraId="150E9B7D">
      <w:pPr>
        <w:wordWrap w:val="0"/>
        <w:spacing w:line="360" w:lineRule="auto"/>
        <w:ind w:firstLine="2880" w:firstLineChars="1200"/>
        <w:rPr>
          <w:rFonts w:ascii="仿宋" w:hAnsi="仿宋" w:eastAsia="仿宋" w:cs="仿宋"/>
          <w:color w:val="auto"/>
          <w:sz w:val="24"/>
          <w:szCs w:val="24"/>
        </w:rPr>
      </w:pPr>
      <w:r>
        <w:rPr>
          <w:rFonts w:hint="eastAsia" w:ascii="仿宋" w:hAnsi="仿宋" w:eastAsia="仿宋" w:cs="仿宋"/>
          <w:color w:val="auto"/>
          <w:sz w:val="24"/>
          <w:szCs w:val="24"/>
        </w:rPr>
        <w:t>日  期：</w:t>
      </w:r>
    </w:p>
    <w:p w14:paraId="3FE20A1E">
      <w:pPr>
        <w:widowControl/>
        <w:rPr>
          <w:rFonts w:ascii="仿宋" w:hAnsi="仿宋" w:eastAsia="仿宋" w:cs="仿宋"/>
          <w:color w:val="auto"/>
        </w:rPr>
      </w:pPr>
      <w:r>
        <w:rPr>
          <w:rFonts w:hint="eastAsia" w:ascii="仿宋" w:hAnsi="仿宋" w:eastAsia="仿宋" w:cs="仿宋"/>
          <w:color w:val="auto"/>
        </w:rPr>
        <w:t>。</w:t>
      </w:r>
    </w:p>
    <w:p w14:paraId="1ABCAFEE">
      <w:pPr>
        <w:pStyle w:val="326"/>
        <w:rPr>
          <w:rFonts w:ascii="仿宋" w:hAnsi="仿宋" w:eastAsia="仿宋" w:cs="仿宋"/>
          <w:color w:val="auto"/>
          <w:sz w:val="21"/>
          <w:szCs w:val="21"/>
        </w:rPr>
      </w:pPr>
    </w:p>
    <w:p w14:paraId="63489796">
      <w:pPr>
        <w:spacing w:beforeLines="200" w:afterLines="200" w:line="360" w:lineRule="auto"/>
        <w:rPr>
          <w:rFonts w:ascii="仿宋" w:hAnsi="仿宋" w:eastAsia="仿宋" w:cs="仿宋"/>
          <w:color w:val="auto"/>
        </w:rPr>
      </w:pPr>
    </w:p>
    <w:p w14:paraId="5638724C">
      <w:pPr>
        <w:spacing w:beforeLines="200" w:afterLines="200" w:line="360" w:lineRule="auto"/>
        <w:rPr>
          <w:rFonts w:ascii="仿宋" w:hAnsi="仿宋" w:eastAsia="仿宋" w:cs="仿宋"/>
          <w:color w:val="auto"/>
        </w:rPr>
      </w:pPr>
    </w:p>
    <w:p w14:paraId="43B376F8">
      <w:pPr>
        <w:spacing w:beforeLines="200" w:afterLines="200" w:line="360" w:lineRule="auto"/>
        <w:rPr>
          <w:rFonts w:ascii="仿宋" w:hAnsi="仿宋" w:eastAsia="仿宋" w:cs="仿宋"/>
          <w:color w:val="auto"/>
        </w:rPr>
      </w:pPr>
    </w:p>
    <w:p w14:paraId="2BB328B2">
      <w:pPr>
        <w:widowControl/>
        <w:jc w:val="left"/>
        <w:rPr>
          <w:rFonts w:ascii="仿宋" w:hAnsi="仿宋" w:eastAsia="仿宋" w:cs="仿宋"/>
          <w:color w:val="auto"/>
        </w:rPr>
      </w:pPr>
      <w:r>
        <w:rPr>
          <w:rFonts w:ascii="仿宋" w:hAnsi="仿宋" w:eastAsia="仿宋" w:cs="仿宋"/>
          <w:color w:val="auto"/>
        </w:rPr>
        <w:br w:type="page"/>
      </w:r>
    </w:p>
    <w:p w14:paraId="47427BE5">
      <w:pPr>
        <w:spacing w:beforeLines="200" w:afterLines="200" w:line="360" w:lineRule="auto"/>
        <w:rPr>
          <w:rFonts w:ascii="仿宋" w:hAnsi="仿宋" w:eastAsia="仿宋" w:cs="仿宋"/>
          <w:color w:val="auto"/>
        </w:rPr>
      </w:pPr>
      <w:r>
        <w:rPr>
          <w:rFonts w:hint="eastAsia" w:ascii="仿宋" w:hAnsi="仿宋" w:eastAsia="仿宋" w:cs="仿宋"/>
          <w:color w:val="auto"/>
        </w:rPr>
        <w:t>填写说明：</w:t>
      </w:r>
      <w:r>
        <w:rPr>
          <w:rFonts w:hint="eastAsia" w:ascii="仿宋" w:hAnsi="仿宋" w:eastAsia="仿宋" w:cs="仿宋"/>
          <w:color w:val="auto"/>
        </w:rPr>
        <w:br w:type="textWrapping"/>
      </w:r>
      <w:r>
        <w:rPr>
          <w:rFonts w:hint="eastAsia" w:ascii="仿宋" w:hAnsi="仿宋" w:eastAsia="仿宋" w:cs="仿宋"/>
          <w:color w:val="auto"/>
        </w:rPr>
        <w:t>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r>
        <w:rPr>
          <w:rFonts w:hint="eastAsia" w:ascii="仿宋" w:hAnsi="仿宋" w:eastAsia="仿宋" w:cs="仿宋"/>
          <w:color w:val="auto"/>
        </w:rPr>
        <w:br w:type="textWrapping"/>
      </w:r>
      <w:r>
        <w:rPr>
          <w:rFonts w:hint="eastAsia" w:ascii="仿宋" w:hAnsi="仿宋" w:eastAsia="仿宋" w:cs="仿宋"/>
          <w:color w:val="auto"/>
        </w:rPr>
        <w:t>2、第1条宁波政府采购网（</w:t>
      </w:r>
      <w:r>
        <w:rPr>
          <w:rFonts w:hint="eastAsia" w:ascii="仿宋" w:hAnsi="仿宋" w:eastAsia="仿宋" w:cs="仿宋"/>
          <w:color w:val="auto"/>
        </w:rPr>
        <w:drawing>
          <wp:inline distT="0" distB="0" distL="0" distR="0">
            <wp:extent cx="190500" cy="142875"/>
            <wp:effectExtent l="0" t="0" r="0" b="0"/>
            <wp:docPr id="3" name="图片 3"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UQ[BL(6~BS2JV6W}N6[%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rPr>
        <w:t>www.nbzfcg.cn）注册的企业供应商须根据上年财务报表等，登录进入网上供应商平台中“供应商账户管理”-“单位信息”模块，对照前款说明，可选择“所属行业”，如实填写修改上年末从业人员____人、上年营业收入____万元、上年资产总额____万元等数据，新成立企业暂以当前实际数据填报，重新点击会自动显示修改后企业划型信息，事业社团其他类型供应商不划型。</w:t>
      </w:r>
      <w:r>
        <w:rPr>
          <w:rFonts w:hint="eastAsia" w:ascii="仿宋" w:hAnsi="仿宋" w:eastAsia="仿宋" w:cs="仿宋"/>
          <w:color w:val="auto"/>
        </w:rPr>
        <w:br w:type="textWrapping"/>
      </w:r>
      <w:r>
        <w:rPr>
          <w:rFonts w:hint="eastAsia" w:ascii="仿宋" w:hAnsi="仿宋" w:eastAsia="仿宋" w:cs="仿宋"/>
          <w:color w:val="auto"/>
        </w:rPr>
        <w:t>3、第2条有多个标包的，须按每个标包分别填写，无此分类货物金额的应填“零”。</w:t>
      </w:r>
      <w:r>
        <w:rPr>
          <w:rFonts w:hint="eastAsia" w:ascii="仿宋" w:hAnsi="仿宋" w:eastAsia="仿宋" w:cs="仿宋"/>
          <w:color w:val="auto"/>
        </w:rPr>
        <w:br w:type="textWrapping"/>
      </w:r>
      <w:r>
        <w:rPr>
          <w:rFonts w:hint="eastAsia" w:ascii="仿宋" w:hAnsi="仿宋" w:eastAsia="仿宋" w:cs="仿宋"/>
          <w:color w:val="auto"/>
        </w:rPr>
        <w:t>4、联合体投标的，由联合体主办方提供本表。</w:t>
      </w:r>
      <w:r>
        <w:rPr>
          <w:rFonts w:hint="eastAsia" w:ascii="仿宋" w:hAnsi="仿宋" w:eastAsia="仿宋" w:cs="仿宋"/>
          <w:color w:val="auto"/>
        </w:rPr>
        <w:br w:type="textWrapping"/>
      </w:r>
      <w:r>
        <w:rPr>
          <w:rFonts w:hint="eastAsia" w:ascii="仿宋" w:hAnsi="仿宋" w:eastAsia="仿宋" w:cs="仿宋"/>
          <w:color w:val="auto"/>
        </w:rPr>
        <w:t>5、资格入围式项目（一个标包由多家中标入围）：采购人公布项目预算的，第2条有关金额按市场预估总价、投标预估总价除以入围数量填写；未公布预算的或入围数量的，投标人无需填写。</w:t>
      </w:r>
      <w:r>
        <w:rPr>
          <w:rFonts w:hint="eastAsia" w:ascii="仿宋" w:hAnsi="仿宋" w:eastAsia="仿宋" w:cs="仿宋"/>
          <w:color w:val="auto"/>
        </w:rPr>
        <w:br w:type="textWrapping"/>
      </w:r>
      <w:r>
        <w:rPr>
          <w:rFonts w:hint="eastAsia" w:ascii="仿宋" w:hAnsi="仿宋" w:eastAsia="仿宋" w:cs="仿宋"/>
          <w:color w:val="auto"/>
        </w:rPr>
        <w:t>6、投标价格为费率的项目、中标价格按单价执行的项目：采购人公布项目预算的，第2条有关金额按市场预估总价、投标预估总价填写；未公布预算的，投标人无需填写。</w:t>
      </w:r>
      <w:r>
        <w:rPr>
          <w:rFonts w:hint="eastAsia" w:ascii="仿宋" w:hAnsi="仿宋" w:eastAsia="仿宋" w:cs="仿宋"/>
          <w:color w:val="auto"/>
        </w:rPr>
        <w:br w:type="textWrapping"/>
      </w:r>
      <w:r>
        <w:rPr>
          <w:rFonts w:hint="eastAsia" w:ascii="仿宋" w:hAnsi="仿宋" w:eastAsia="仿宋" w:cs="仿宋"/>
          <w:color w:val="auto"/>
        </w:rPr>
        <w:t>7、列入国家节能产品清单、环保产品清单的产品以中国政府采购网(</w:t>
      </w:r>
      <w:r>
        <w:rPr>
          <w:rFonts w:hint="eastAsia" w:ascii="仿宋" w:hAnsi="仿宋" w:eastAsia="仿宋" w:cs="仿宋"/>
          <w:color w:val="auto"/>
        </w:rPr>
        <w:drawing>
          <wp:inline distT="0" distB="0" distL="0" distR="0">
            <wp:extent cx="190500" cy="142875"/>
            <wp:effectExtent l="0" t="0" r="0" b="0"/>
            <wp:docPr id="2" name="图片 2"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UQ[BL(6~BS2JV6W}N6[%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color w:val="auto"/>
        </w:rPr>
        <w:t>www.ccgp.gov.cn)上财政部发布的文件为准。</w:t>
      </w:r>
    </w:p>
    <w:p w14:paraId="06CA8378">
      <w:pPr>
        <w:pStyle w:val="17"/>
        <w:spacing w:line="360" w:lineRule="auto"/>
        <w:rPr>
          <w:rFonts w:ascii="仿宋" w:hAnsi="仿宋" w:eastAsia="仿宋" w:cs="仿宋"/>
          <w:color w:val="auto"/>
        </w:rPr>
      </w:pPr>
      <w:r>
        <w:rPr>
          <w:rFonts w:hint="eastAsia" w:ascii="仿宋" w:hAnsi="仿宋" w:eastAsia="仿宋" w:cs="仿宋"/>
          <w:color w:val="auto"/>
        </w:rPr>
        <w:t>关于中小企业相关政策：</w:t>
      </w:r>
      <w:r>
        <w:rPr>
          <w:rFonts w:ascii="仿宋" w:hAnsi="仿宋" w:eastAsia="仿宋" w:cs="仿宋"/>
          <w:color w:val="auto"/>
        </w:rPr>
        <w:br w:type="textWrapping"/>
      </w:r>
      <w:r>
        <w:rPr>
          <w:rFonts w:hint="eastAsia" w:ascii="仿宋" w:hAnsi="仿宋" w:eastAsia="仿宋" w:cs="仿宋"/>
          <w:color w:val="auto"/>
        </w:rPr>
        <w:t>根据《政府采购促进中小企业发展管理办法》（财库〔2020〕46号）和《财政部关于进一步加大政府采购支持中小企业力度的通知》（财库〔2022〕19号）有关规定， 对符合规定的小微企业报价上按最高优惠幅度10%给予扣除，用扣除后的价格参加评审</w:t>
      </w:r>
    </w:p>
    <w:p w14:paraId="0144E7E0">
      <w:pPr>
        <w:pStyle w:val="17"/>
        <w:rPr>
          <w:rFonts w:ascii="仿宋" w:hAnsi="仿宋" w:eastAsia="仿宋" w:cs="仿宋"/>
          <w:color w:val="auto"/>
        </w:rPr>
      </w:pPr>
    </w:p>
    <w:p w14:paraId="65350B13">
      <w:pPr>
        <w:widowControl/>
        <w:jc w:val="left"/>
        <w:rPr>
          <w:rFonts w:ascii="仿宋" w:hAnsi="仿宋" w:eastAsia="仿宋" w:cs="仿宋"/>
          <w:color w:val="auto"/>
          <w:sz w:val="24"/>
        </w:rPr>
      </w:pPr>
      <w:r>
        <w:rPr>
          <w:rFonts w:ascii="仿宋" w:hAnsi="仿宋" w:eastAsia="仿宋" w:cs="仿宋"/>
          <w:color w:val="auto"/>
          <w:sz w:val="24"/>
        </w:rPr>
        <w:br w:type="page"/>
      </w:r>
    </w:p>
    <w:p w14:paraId="548AD8C7">
      <w:pPr>
        <w:spacing w:line="400" w:lineRule="exact"/>
        <w:jc w:val="left"/>
        <w:outlineLvl w:val="1"/>
        <w:rPr>
          <w:rFonts w:ascii="仿宋" w:hAnsi="仿宋" w:eastAsia="仿宋" w:cs="仿宋"/>
          <w:color w:val="auto"/>
          <w:sz w:val="24"/>
        </w:rPr>
      </w:pPr>
      <w:r>
        <w:rPr>
          <w:rFonts w:hint="eastAsia" w:ascii="仿宋" w:hAnsi="仿宋" w:eastAsia="仿宋" w:cs="仿宋"/>
          <w:color w:val="auto"/>
          <w:sz w:val="24"/>
        </w:rPr>
        <w:t>资格证明部分封面</w:t>
      </w:r>
    </w:p>
    <w:p w14:paraId="4056F55A">
      <w:pPr>
        <w:spacing w:line="1000" w:lineRule="exact"/>
        <w:jc w:val="center"/>
        <w:rPr>
          <w:rFonts w:ascii="仿宋" w:hAnsi="仿宋" w:eastAsia="仿宋" w:cs="仿宋"/>
          <w:color w:val="auto"/>
          <w:sz w:val="24"/>
        </w:rPr>
      </w:pPr>
      <w:r>
        <w:rPr>
          <w:rFonts w:hint="eastAsia" w:ascii="仿宋" w:hAnsi="仿宋" w:eastAsia="仿宋" w:cs="仿宋"/>
          <w:color w:val="auto"/>
          <w:sz w:val="24"/>
        </w:rPr>
        <w:t>比价谈判响应文件（资格证明部分）</w:t>
      </w:r>
    </w:p>
    <w:p w14:paraId="21626771">
      <w:pPr>
        <w:jc w:val="center"/>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正本</w:t>
      </w:r>
      <w:r>
        <w:rPr>
          <w:rFonts w:hint="eastAsia" w:ascii="仿宋" w:hAnsi="仿宋" w:eastAsia="仿宋" w:cs="仿宋"/>
          <w:color w:val="auto"/>
          <w:sz w:val="24"/>
        </w:rPr>
        <w:t>）</w:t>
      </w:r>
    </w:p>
    <w:p w14:paraId="69E8804F">
      <w:pPr>
        <w:jc w:val="center"/>
        <w:rPr>
          <w:rFonts w:ascii="仿宋" w:hAnsi="仿宋" w:eastAsia="仿宋" w:cs="仿宋"/>
          <w:color w:val="auto"/>
          <w:sz w:val="24"/>
        </w:rPr>
      </w:pPr>
    </w:p>
    <w:p w14:paraId="6039C3B0">
      <w:pPr>
        <w:jc w:val="center"/>
        <w:rPr>
          <w:rFonts w:ascii="仿宋" w:hAnsi="仿宋" w:eastAsia="仿宋" w:cs="仿宋"/>
          <w:color w:val="auto"/>
          <w:sz w:val="24"/>
        </w:rPr>
      </w:pPr>
    </w:p>
    <w:p w14:paraId="4BAF27CF">
      <w:pPr>
        <w:jc w:val="center"/>
        <w:rPr>
          <w:rFonts w:ascii="仿宋" w:hAnsi="仿宋" w:eastAsia="仿宋" w:cs="仿宋"/>
          <w:color w:val="auto"/>
          <w:sz w:val="24"/>
        </w:rPr>
      </w:pPr>
    </w:p>
    <w:p w14:paraId="6BA7A39B">
      <w:pPr>
        <w:tabs>
          <w:tab w:val="left" w:pos="6930"/>
        </w:tabs>
        <w:spacing w:line="360" w:lineRule="auto"/>
        <w:rPr>
          <w:rFonts w:ascii="仿宋" w:hAnsi="仿宋" w:eastAsia="仿宋" w:cs="仿宋"/>
          <w:color w:val="auto"/>
          <w:sz w:val="24"/>
        </w:rPr>
      </w:pPr>
      <w:r>
        <w:rPr>
          <w:rFonts w:hint="eastAsia" w:ascii="仿宋" w:hAnsi="仿宋" w:eastAsia="仿宋" w:cs="仿宋"/>
          <w:color w:val="auto"/>
          <w:sz w:val="24"/>
        </w:rPr>
        <w:t xml:space="preserve">        项目编号:</w:t>
      </w:r>
    </w:p>
    <w:p w14:paraId="726691F5">
      <w:pPr>
        <w:tabs>
          <w:tab w:val="left" w:pos="7350"/>
        </w:tabs>
        <w:spacing w:line="360"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项目名称：</w:t>
      </w:r>
    </w:p>
    <w:p w14:paraId="7166B383">
      <w:pPr>
        <w:spacing w:line="360"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供应商：</w:t>
      </w:r>
    </w:p>
    <w:p w14:paraId="105E0AF9">
      <w:pPr>
        <w:rPr>
          <w:rFonts w:ascii="仿宋" w:hAnsi="仿宋" w:eastAsia="仿宋" w:cs="仿宋"/>
          <w:color w:val="auto"/>
          <w:sz w:val="24"/>
        </w:rPr>
      </w:pPr>
    </w:p>
    <w:p w14:paraId="0AD85A18">
      <w:pPr>
        <w:rPr>
          <w:rFonts w:ascii="仿宋" w:hAnsi="仿宋" w:eastAsia="仿宋" w:cs="仿宋"/>
          <w:color w:val="auto"/>
          <w:sz w:val="24"/>
        </w:rPr>
      </w:pPr>
    </w:p>
    <w:p w14:paraId="7935630D">
      <w:pPr>
        <w:rPr>
          <w:rFonts w:ascii="仿宋" w:hAnsi="仿宋" w:eastAsia="仿宋" w:cs="仿宋"/>
          <w:color w:val="auto"/>
          <w:sz w:val="24"/>
        </w:rPr>
      </w:pPr>
    </w:p>
    <w:p w14:paraId="7FEA26D8">
      <w:pPr>
        <w:ind w:left="2100" w:leftChars="1000" w:firstLine="228" w:firstLineChars="95"/>
        <w:rPr>
          <w:rFonts w:ascii="仿宋" w:hAnsi="仿宋" w:eastAsia="仿宋" w:cs="仿宋"/>
          <w:color w:val="auto"/>
          <w:sz w:val="24"/>
        </w:rPr>
      </w:pPr>
      <w:r>
        <w:rPr>
          <w:rFonts w:hint="eastAsia" w:ascii="仿宋" w:hAnsi="仿宋" w:eastAsia="仿宋" w:cs="仿宋"/>
          <w:color w:val="auto"/>
          <w:sz w:val="24"/>
        </w:rPr>
        <w:t>二○二</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年月日</w:t>
      </w:r>
    </w:p>
    <w:p w14:paraId="1D7BABCE">
      <w:pPr>
        <w:rPr>
          <w:rFonts w:ascii="仿宋" w:hAnsi="仿宋" w:eastAsia="仿宋" w:cs="仿宋"/>
          <w:color w:val="auto"/>
          <w:sz w:val="24"/>
        </w:rPr>
      </w:pPr>
    </w:p>
    <w:p w14:paraId="02C7F398">
      <w:pPr>
        <w:rPr>
          <w:rFonts w:ascii="仿宋" w:hAnsi="仿宋" w:eastAsia="仿宋" w:cs="仿宋"/>
          <w:color w:val="auto"/>
          <w:sz w:val="24"/>
        </w:rPr>
      </w:pPr>
    </w:p>
    <w:p w14:paraId="3EB49131">
      <w:pPr>
        <w:rPr>
          <w:rFonts w:ascii="仿宋" w:hAnsi="仿宋" w:eastAsia="仿宋" w:cs="仿宋"/>
          <w:color w:val="auto"/>
          <w:sz w:val="24"/>
        </w:rPr>
      </w:pPr>
    </w:p>
    <w:p w14:paraId="445A0B90">
      <w:pPr>
        <w:rPr>
          <w:rFonts w:ascii="仿宋" w:hAnsi="仿宋" w:eastAsia="仿宋" w:cs="仿宋"/>
          <w:color w:val="auto"/>
          <w:sz w:val="24"/>
        </w:rPr>
      </w:pPr>
    </w:p>
    <w:p w14:paraId="2ED74311">
      <w:pPr>
        <w:rPr>
          <w:rFonts w:ascii="仿宋" w:hAnsi="仿宋" w:eastAsia="仿宋" w:cs="仿宋"/>
          <w:color w:val="auto"/>
          <w:sz w:val="24"/>
        </w:rPr>
      </w:pPr>
    </w:p>
    <w:p w14:paraId="35128C00">
      <w:pPr>
        <w:rPr>
          <w:rFonts w:ascii="仿宋" w:hAnsi="仿宋" w:eastAsia="仿宋" w:cs="仿宋"/>
          <w:color w:val="auto"/>
          <w:sz w:val="24"/>
        </w:rPr>
      </w:pPr>
    </w:p>
    <w:p w14:paraId="16004FF0">
      <w:pPr>
        <w:rPr>
          <w:rFonts w:ascii="仿宋" w:hAnsi="仿宋" w:eastAsia="仿宋" w:cs="仿宋"/>
          <w:color w:val="auto"/>
          <w:sz w:val="24"/>
        </w:rPr>
      </w:pPr>
    </w:p>
    <w:p w14:paraId="39382D17">
      <w:pPr>
        <w:rPr>
          <w:rFonts w:ascii="仿宋" w:hAnsi="仿宋" w:eastAsia="仿宋" w:cs="仿宋"/>
          <w:color w:val="auto"/>
          <w:sz w:val="24"/>
        </w:rPr>
      </w:pPr>
    </w:p>
    <w:p w14:paraId="42F7CB4A">
      <w:pPr>
        <w:rPr>
          <w:rFonts w:ascii="仿宋" w:hAnsi="仿宋" w:eastAsia="仿宋" w:cs="仿宋"/>
          <w:color w:val="auto"/>
          <w:sz w:val="24"/>
        </w:rPr>
      </w:pPr>
    </w:p>
    <w:p w14:paraId="3A361E07">
      <w:pPr>
        <w:rPr>
          <w:rFonts w:ascii="仿宋" w:hAnsi="仿宋" w:eastAsia="仿宋" w:cs="仿宋"/>
          <w:color w:val="auto"/>
          <w:sz w:val="24"/>
        </w:rPr>
      </w:pPr>
    </w:p>
    <w:p w14:paraId="6FBEAA88">
      <w:pPr>
        <w:rPr>
          <w:rFonts w:ascii="仿宋" w:hAnsi="仿宋" w:eastAsia="仿宋" w:cs="仿宋"/>
          <w:color w:val="auto"/>
          <w:sz w:val="24"/>
        </w:rPr>
      </w:pPr>
    </w:p>
    <w:p w14:paraId="242125B1">
      <w:pPr>
        <w:rPr>
          <w:rFonts w:ascii="仿宋" w:hAnsi="仿宋" w:eastAsia="仿宋" w:cs="仿宋"/>
          <w:color w:val="auto"/>
          <w:sz w:val="24"/>
        </w:rPr>
      </w:pPr>
    </w:p>
    <w:p w14:paraId="0BEC572A">
      <w:pPr>
        <w:rPr>
          <w:rFonts w:ascii="仿宋" w:hAnsi="仿宋" w:eastAsia="仿宋" w:cs="仿宋"/>
          <w:color w:val="auto"/>
          <w:sz w:val="24"/>
        </w:rPr>
      </w:pPr>
    </w:p>
    <w:p w14:paraId="2A16AB59">
      <w:pPr>
        <w:rPr>
          <w:rFonts w:ascii="仿宋" w:hAnsi="仿宋" w:eastAsia="仿宋" w:cs="仿宋"/>
          <w:color w:val="auto"/>
          <w:sz w:val="24"/>
        </w:rPr>
      </w:pPr>
    </w:p>
    <w:p w14:paraId="65AA9D3D">
      <w:pPr>
        <w:rPr>
          <w:rFonts w:ascii="仿宋" w:hAnsi="仿宋" w:eastAsia="仿宋" w:cs="仿宋"/>
          <w:color w:val="auto"/>
          <w:sz w:val="24"/>
        </w:rPr>
      </w:pPr>
    </w:p>
    <w:p w14:paraId="0B24B197">
      <w:pPr>
        <w:rPr>
          <w:rFonts w:ascii="仿宋" w:hAnsi="仿宋" w:eastAsia="仿宋" w:cs="仿宋"/>
          <w:color w:val="auto"/>
          <w:sz w:val="24"/>
        </w:rPr>
      </w:pPr>
    </w:p>
    <w:p w14:paraId="5AE53F1C">
      <w:pPr>
        <w:rPr>
          <w:rFonts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color w:val="auto"/>
          <w:sz w:val="24"/>
        </w:rPr>
        <w:t>二、资格证明材料部分目录</w:t>
      </w:r>
    </w:p>
    <w:p w14:paraId="5F95A851">
      <w:pPr>
        <w:pStyle w:val="20"/>
        <w:ind w:left="420" w:firstLine="400"/>
        <w:rPr>
          <w:rFonts w:ascii="仿宋" w:hAnsi="仿宋" w:eastAsia="仿宋" w:cs="仿宋"/>
          <w:color w:val="auto"/>
        </w:rPr>
      </w:pPr>
    </w:p>
    <w:tbl>
      <w:tblPr>
        <w:tblStyle w:val="49"/>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170"/>
        <w:gridCol w:w="2126"/>
        <w:gridCol w:w="1217"/>
      </w:tblGrid>
      <w:tr w14:paraId="4376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6FDB6929">
            <w:pPr>
              <w:spacing w:line="276" w:lineRule="auto"/>
              <w:jc w:val="left"/>
              <w:rPr>
                <w:rFonts w:ascii="仿宋" w:hAnsi="仿宋" w:eastAsia="仿宋" w:cs="仿宋"/>
                <w:color w:val="auto"/>
              </w:rPr>
            </w:pPr>
            <w:r>
              <w:rPr>
                <w:rFonts w:hint="eastAsia" w:ascii="仿宋" w:hAnsi="仿宋" w:eastAsia="仿宋" w:cs="仿宋"/>
                <w:color w:val="auto"/>
              </w:rPr>
              <w:t>序号</w:t>
            </w:r>
          </w:p>
        </w:tc>
        <w:tc>
          <w:tcPr>
            <w:tcW w:w="4170" w:type="dxa"/>
            <w:vAlign w:val="center"/>
          </w:tcPr>
          <w:p w14:paraId="2FF33E25">
            <w:pPr>
              <w:spacing w:line="276" w:lineRule="auto"/>
              <w:jc w:val="left"/>
              <w:rPr>
                <w:rFonts w:ascii="仿宋" w:hAnsi="仿宋" w:eastAsia="仿宋" w:cs="仿宋"/>
                <w:color w:val="auto"/>
              </w:rPr>
            </w:pPr>
            <w:r>
              <w:rPr>
                <w:rFonts w:hint="eastAsia" w:ascii="仿宋" w:hAnsi="仿宋" w:eastAsia="仿宋" w:cs="仿宋"/>
                <w:color w:val="auto"/>
              </w:rPr>
              <w:t>材料名称</w:t>
            </w:r>
          </w:p>
        </w:tc>
        <w:tc>
          <w:tcPr>
            <w:tcW w:w="2126" w:type="dxa"/>
            <w:vAlign w:val="center"/>
          </w:tcPr>
          <w:p w14:paraId="03BDF128">
            <w:pPr>
              <w:spacing w:line="276" w:lineRule="auto"/>
              <w:jc w:val="left"/>
              <w:rPr>
                <w:rFonts w:ascii="仿宋" w:hAnsi="仿宋" w:eastAsia="仿宋" w:cs="仿宋"/>
                <w:color w:val="auto"/>
              </w:rPr>
            </w:pPr>
            <w:r>
              <w:rPr>
                <w:rFonts w:hint="eastAsia" w:ascii="仿宋" w:hAnsi="仿宋" w:eastAsia="仿宋" w:cs="仿宋"/>
                <w:color w:val="auto"/>
              </w:rPr>
              <w:t>说  明</w:t>
            </w:r>
          </w:p>
        </w:tc>
        <w:tc>
          <w:tcPr>
            <w:tcW w:w="1217" w:type="dxa"/>
            <w:vAlign w:val="center"/>
          </w:tcPr>
          <w:p w14:paraId="0546C88E">
            <w:pPr>
              <w:spacing w:line="276" w:lineRule="auto"/>
              <w:jc w:val="left"/>
              <w:rPr>
                <w:rFonts w:ascii="仿宋" w:hAnsi="仿宋" w:eastAsia="仿宋" w:cs="仿宋"/>
                <w:color w:val="auto"/>
              </w:rPr>
            </w:pPr>
            <w:r>
              <w:rPr>
                <w:rFonts w:hint="eastAsia" w:ascii="仿宋" w:hAnsi="仿宋" w:eastAsia="仿宋" w:cs="仿宋"/>
                <w:color w:val="auto"/>
              </w:rPr>
              <w:t>对应页码</w:t>
            </w:r>
          </w:p>
        </w:tc>
      </w:tr>
      <w:tr w14:paraId="775F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3A434511">
            <w:pPr>
              <w:spacing w:line="276" w:lineRule="auto"/>
              <w:jc w:val="left"/>
              <w:rPr>
                <w:rFonts w:ascii="仿宋" w:hAnsi="仿宋" w:eastAsia="仿宋" w:cs="仿宋"/>
                <w:color w:val="auto"/>
              </w:rPr>
            </w:pPr>
            <w:r>
              <w:rPr>
                <w:rFonts w:hint="eastAsia" w:ascii="仿宋" w:hAnsi="仿宋" w:eastAsia="仿宋" w:cs="仿宋"/>
                <w:color w:val="auto"/>
              </w:rPr>
              <w:t>1</w:t>
            </w:r>
          </w:p>
        </w:tc>
        <w:tc>
          <w:tcPr>
            <w:tcW w:w="4170" w:type="dxa"/>
            <w:vAlign w:val="center"/>
          </w:tcPr>
          <w:p w14:paraId="479974E6">
            <w:pPr>
              <w:spacing w:line="276" w:lineRule="auto"/>
              <w:jc w:val="left"/>
              <w:rPr>
                <w:rFonts w:ascii="仿宋" w:hAnsi="仿宋" w:eastAsia="仿宋" w:cs="仿宋"/>
                <w:color w:val="auto"/>
              </w:rPr>
            </w:pPr>
            <w:r>
              <w:rPr>
                <w:rFonts w:hint="eastAsia" w:ascii="仿宋" w:hAnsi="仿宋" w:eastAsia="仿宋" w:cs="仿宋"/>
                <w:color w:val="auto"/>
              </w:rPr>
              <w:t>有效的企业营业执照副本复印件或相关登记证复印件</w:t>
            </w:r>
          </w:p>
        </w:tc>
        <w:tc>
          <w:tcPr>
            <w:tcW w:w="2126" w:type="dxa"/>
            <w:vAlign w:val="center"/>
          </w:tcPr>
          <w:p w14:paraId="2AA2F5BD">
            <w:pPr>
              <w:spacing w:line="276" w:lineRule="auto"/>
              <w:jc w:val="left"/>
              <w:rPr>
                <w:rFonts w:ascii="仿宋" w:hAnsi="仿宋" w:eastAsia="仿宋" w:cs="仿宋"/>
                <w:color w:val="auto"/>
              </w:rPr>
            </w:pPr>
            <w:r>
              <w:rPr>
                <w:rFonts w:hint="eastAsia" w:ascii="仿宋" w:hAnsi="仿宋" w:eastAsia="仿宋" w:cs="仿宋"/>
                <w:color w:val="auto"/>
              </w:rPr>
              <w:t>加盖单位公章</w:t>
            </w:r>
          </w:p>
        </w:tc>
        <w:tc>
          <w:tcPr>
            <w:tcW w:w="1217" w:type="dxa"/>
          </w:tcPr>
          <w:p w14:paraId="06F3281B">
            <w:pPr>
              <w:spacing w:line="276" w:lineRule="auto"/>
              <w:jc w:val="left"/>
              <w:rPr>
                <w:rFonts w:ascii="仿宋" w:hAnsi="仿宋" w:eastAsia="仿宋" w:cs="仿宋"/>
                <w:color w:val="auto"/>
              </w:rPr>
            </w:pPr>
          </w:p>
        </w:tc>
      </w:tr>
      <w:tr w14:paraId="6286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3E20AA17">
            <w:pPr>
              <w:spacing w:line="276" w:lineRule="auto"/>
              <w:jc w:val="left"/>
              <w:rPr>
                <w:rFonts w:ascii="仿宋" w:hAnsi="仿宋" w:eastAsia="仿宋" w:cs="仿宋"/>
                <w:color w:val="auto"/>
              </w:rPr>
            </w:pPr>
            <w:r>
              <w:rPr>
                <w:rFonts w:hint="eastAsia" w:ascii="仿宋" w:hAnsi="仿宋" w:eastAsia="仿宋" w:cs="仿宋"/>
                <w:color w:val="auto"/>
              </w:rPr>
              <w:t>2</w:t>
            </w:r>
          </w:p>
        </w:tc>
        <w:tc>
          <w:tcPr>
            <w:tcW w:w="4170" w:type="dxa"/>
            <w:vAlign w:val="center"/>
          </w:tcPr>
          <w:p w14:paraId="7F45D6B5">
            <w:pPr>
              <w:spacing w:line="276" w:lineRule="auto"/>
              <w:jc w:val="left"/>
              <w:rPr>
                <w:rFonts w:ascii="仿宋" w:hAnsi="仿宋" w:eastAsia="仿宋" w:cs="仿宋"/>
                <w:color w:val="auto"/>
              </w:rPr>
            </w:pPr>
            <w:r>
              <w:rPr>
                <w:rFonts w:hint="eastAsia" w:ascii="仿宋" w:hAnsi="仿宋" w:eastAsia="仿宋" w:cs="仿宋"/>
                <w:color w:val="auto"/>
              </w:rPr>
              <w:t>具有良好的商业信誉和健全的财务会计制度的声明书</w:t>
            </w:r>
          </w:p>
        </w:tc>
        <w:tc>
          <w:tcPr>
            <w:tcW w:w="2126" w:type="dxa"/>
            <w:vAlign w:val="center"/>
          </w:tcPr>
          <w:p w14:paraId="5A1FF014">
            <w:pPr>
              <w:spacing w:line="276" w:lineRule="auto"/>
              <w:jc w:val="left"/>
              <w:rPr>
                <w:rFonts w:ascii="仿宋" w:hAnsi="仿宋" w:eastAsia="仿宋" w:cs="仿宋"/>
                <w:color w:val="auto"/>
              </w:rPr>
            </w:pPr>
            <w:r>
              <w:rPr>
                <w:rFonts w:hint="eastAsia" w:ascii="仿宋" w:hAnsi="仿宋" w:eastAsia="仿宋" w:cs="仿宋"/>
                <w:color w:val="auto"/>
              </w:rPr>
              <w:t>附件五-1</w:t>
            </w:r>
          </w:p>
        </w:tc>
        <w:tc>
          <w:tcPr>
            <w:tcW w:w="1217" w:type="dxa"/>
          </w:tcPr>
          <w:p w14:paraId="43EC0A89">
            <w:pPr>
              <w:spacing w:line="276" w:lineRule="auto"/>
              <w:jc w:val="left"/>
              <w:rPr>
                <w:rFonts w:ascii="仿宋" w:hAnsi="仿宋" w:eastAsia="仿宋" w:cs="仿宋"/>
                <w:color w:val="auto"/>
              </w:rPr>
            </w:pPr>
          </w:p>
        </w:tc>
      </w:tr>
      <w:tr w14:paraId="00CF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0132CF7">
            <w:pPr>
              <w:spacing w:line="276" w:lineRule="auto"/>
              <w:jc w:val="left"/>
              <w:rPr>
                <w:rFonts w:ascii="仿宋" w:hAnsi="仿宋" w:eastAsia="仿宋" w:cs="仿宋"/>
                <w:color w:val="auto"/>
              </w:rPr>
            </w:pPr>
            <w:r>
              <w:rPr>
                <w:rFonts w:hint="eastAsia" w:ascii="仿宋" w:hAnsi="仿宋" w:eastAsia="仿宋" w:cs="仿宋"/>
                <w:color w:val="auto"/>
              </w:rPr>
              <w:t>3</w:t>
            </w:r>
          </w:p>
        </w:tc>
        <w:tc>
          <w:tcPr>
            <w:tcW w:w="4170" w:type="dxa"/>
            <w:vAlign w:val="center"/>
          </w:tcPr>
          <w:p w14:paraId="6B1EEB4E">
            <w:pPr>
              <w:spacing w:line="276" w:lineRule="auto"/>
              <w:jc w:val="left"/>
              <w:rPr>
                <w:rFonts w:ascii="仿宋" w:hAnsi="仿宋" w:eastAsia="仿宋" w:cs="仿宋"/>
                <w:color w:val="auto"/>
              </w:rPr>
            </w:pPr>
            <w:r>
              <w:rPr>
                <w:rFonts w:hint="eastAsia" w:ascii="仿宋" w:hAnsi="仿宋" w:eastAsia="仿宋" w:cs="仿宋"/>
                <w:color w:val="auto"/>
              </w:rPr>
              <w:t>具有履行合同所必需的设备和专业技术能力的声明书</w:t>
            </w:r>
          </w:p>
        </w:tc>
        <w:tc>
          <w:tcPr>
            <w:tcW w:w="2126" w:type="dxa"/>
            <w:vAlign w:val="center"/>
          </w:tcPr>
          <w:p w14:paraId="153FE676">
            <w:pPr>
              <w:spacing w:line="276" w:lineRule="auto"/>
              <w:jc w:val="left"/>
              <w:rPr>
                <w:rFonts w:ascii="仿宋" w:hAnsi="仿宋" w:eastAsia="仿宋" w:cs="仿宋"/>
                <w:color w:val="auto"/>
              </w:rPr>
            </w:pPr>
            <w:r>
              <w:rPr>
                <w:rFonts w:hint="eastAsia" w:ascii="仿宋" w:hAnsi="仿宋" w:eastAsia="仿宋" w:cs="仿宋"/>
                <w:color w:val="auto"/>
              </w:rPr>
              <w:t>附件五-2</w:t>
            </w:r>
          </w:p>
        </w:tc>
        <w:tc>
          <w:tcPr>
            <w:tcW w:w="1217" w:type="dxa"/>
          </w:tcPr>
          <w:p w14:paraId="4FBED2BB">
            <w:pPr>
              <w:spacing w:line="276" w:lineRule="auto"/>
              <w:jc w:val="left"/>
              <w:rPr>
                <w:rFonts w:ascii="仿宋" w:hAnsi="仿宋" w:eastAsia="仿宋" w:cs="仿宋"/>
                <w:color w:val="auto"/>
              </w:rPr>
            </w:pPr>
          </w:p>
        </w:tc>
      </w:tr>
      <w:tr w14:paraId="4839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3B42D42">
            <w:pPr>
              <w:spacing w:line="276" w:lineRule="auto"/>
              <w:jc w:val="left"/>
              <w:rPr>
                <w:rFonts w:ascii="仿宋" w:hAnsi="仿宋" w:eastAsia="仿宋" w:cs="仿宋"/>
                <w:color w:val="auto"/>
              </w:rPr>
            </w:pPr>
            <w:r>
              <w:rPr>
                <w:rFonts w:hint="eastAsia" w:ascii="仿宋" w:hAnsi="仿宋" w:eastAsia="仿宋" w:cs="仿宋"/>
                <w:color w:val="auto"/>
              </w:rPr>
              <w:t>4</w:t>
            </w:r>
          </w:p>
        </w:tc>
        <w:tc>
          <w:tcPr>
            <w:tcW w:w="4170" w:type="dxa"/>
            <w:vAlign w:val="center"/>
          </w:tcPr>
          <w:p w14:paraId="0D732C9E">
            <w:pPr>
              <w:spacing w:line="276" w:lineRule="auto"/>
              <w:jc w:val="left"/>
              <w:rPr>
                <w:rFonts w:ascii="仿宋" w:hAnsi="仿宋" w:eastAsia="仿宋" w:cs="仿宋"/>
                <w:color w:val="auto"/>
              </w:rPr>
            </w:pPr>
            <w:r>
              <w:rPr>
                <w:rFonts w:hint="eastAsia" w:ascii="仿宋" w:hAnsi="仿宋" w:eastAsia="仿宋" w:cs="仿宋"/>
                <w:color w:val="auto"/>
              </w:rPr>
              <w:t>有依法缴纳税收和社会保障资金的良好记录的声明书</w:t>
            </w:r>
          </w:p>
        </w:tc>
        <w:tc>
          <w:tcPr>
            <w:tcW w:w="2126" w:type="dxa"/>
            <w:vAlign w:val="center"/>
          </w:tcPr>
          <w:p w14:paraId="0BF86EC0">
            <w:pPr>
              <w:spacing w:line="276" w:lineRule="auto"/>
              <w:jc w:val="left"/>
              <w:rPr>
                <w:rFonts w:ascii="仿宋" w:hAnsi="仿宋" w:eastAsia="仿宋" w:cs="仿宋"/>
                <w:color w:val="auto"/>
              </w:rPr>
            </w:pPr>
            <w:r>
              <w:rPr>
                <w:rFonts w:hint="eastAsia" w:ascii="仿宋" w:hAnsi="仿宋" w:eastAsia="仿宋" w:cs="仿宋"/>
                <w:color w:val="auto"/>
              </w:rPr>
              <w:t>附件五-3</w:t>
            </w:r>
          </w:p>
        </w:tc>
        <w:tc>
          <w:tcPr>
            <w:tcW w:w="1217" w:type="dxa"/>
          </w:tcPr>
          <w:p w14:paraId="3140E2DD">
            <w:pPr>
              <w:spacing w:line="276" w:lineRule="auto"/>
              <w:jc w:val="left"/>
              <w:rPr>
                <w:rFonts w:ascii="仿宋" w:hAnsi="仿宋" w:eastAsia="仿宋" w:cs="仿宋"/>
                <w:color w:val="auto"/>
              </w:rPr>
            </w:pPr>
          </w:p>
        </w:tc>
      </w:tr>
      <w:tr w14:paraId="2791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F6B79AB">
            <w:pPr>
              <w:spacing w:line="276" w:lineRule="auto"/>
              <w:jc w:val="left"/>
              <w:rPr>
                <w:rFonts w:ascii="仿宋" w:hAnsi="仿宋" w:eastAsia="仿宋" w:cs="仿宋"/>
                <w:color w:val="auto"/>
              </w:rPr>
            </w:pPr>
            <w:r>
              <w:rPr>
                <w:rFonts w:hint="eastAsia" w:ascii="仿宋" w:hAnsi="仿宋" w:eastAsia="仿宋" w:cs="仿宋"/>
                <w:color w:val="auto"/>
              </w:rPr>
              <w:t>5</w:t>
            </w:r>
          </w:p>
        </w:tc>
        <w:tc>
          <w:tcPr>
            <w:tcW w:w="4170" w:type="dxa"/>
            <w:vAlign w:val="center"/>
          </w:tcPr>
          <w:p w14:paraId="74093439">
            <w:pPr>
              <w:spacing w:line="276" w:lineRule="auto"/>
              <w:jc w:val="left"/>
              <w:rPr>
                <w:rFonts w:ascii="仿宋" w:hAnsi="仿宋" w:eastAsia="仿宋" w:cs="仿宋"/>
                <w:color w:val="auto"/>
              </w:rPr>
            </w:pPr>
            <w:r>
              <w:rPr>
                <w:rFonts w:hint="eastAsia" w:ascii="仿宋" w:hAnsi="仿宋" w:eastAsia="仿宋" w:cs="仿宋"/>
                <w:color w:val="auto"/>
              </w:rPr>
              <w:t>参加采购活动前三年内，在经营活动中没有重大违法记录的声明书</w:t>
            </w:r>
          </w:p>
        </w:tc>
        <w:tc>
          <w:tcPr>
            <w:tcW w:w="2126" w:type="dxa"/>
            <w:vAlign w:val="center"/>
          </w:tcPr>
          <w:p w14:paraId="45829DD4">
            <w:pPr>
              <w:spacing w:line="276" w:lineRule="auto"/>
              <w:jc w:val="left"/>
              <w:rPr>
                <w:rFonts w:ascii="仿宋" w:hAnsi="仿宋" w:eastAsia="仿宋" w:cs="仿宋"/>
                <w:color w:val="auto"/>
              </w:rPr>
            </w:pPr>
            <w:r>
              <w:rPr>
                <w:rFonts w:hint="eastAsia" w:ascii="仿宋" w:hAnsi="仿宋" w:eastAsia="仿宋" w:cs="仿宋"/>
                <w:color w:val="auto"/>
              </w:rPr>
              <w:t>附件五-4</w:t>
            </w:r>
          </w:p>
        </w:tc>
        <w:tc>
          <w:tcPr>
            <w:tcW w:w="1217" w:type="dxa"/>
          </w:tcPr>
          <w:p w14:paraId="43DAE3C6">
            <w:pPr>
              <w:spacing w:line="276" w:lineRule="auto"/>
              <w:jc w:val="left"/>
              <w:rPr>
                <w:rFonts w:ascii="仿宋" w:hAnsi="仿宋" w:eastAsia="仿宋" w:cs="仿宋"/>
                <w:color w:val="auto"/>
              </w:rPr>
            </w:pPr>
          </w:p>
        </w:tc>
      </w:tr>
      <w:tr w14:paraId="3335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610C9A96">
            <w:pPr>
              <w:spacing w:line="276" w:lineRule="auto"/>
              <w:jc w:val="left"/>
              <w:rPr>
                <w:rFonts w:ascii="仿宋" w:hAnsi="仿宋" w:eastAsia="仿宋" w:cs="仿宋"/>
                <w:color w:val="auto"/>
              </w:rPr>
            </w:pPr>
            <w:r>
              <w:rPr>
                <w:rFonts w:hint="eastAsia" w:ascii="仿宋" w:hAnsi="仿宋" w:eastAsia="仿宋" w:cs="仿宋"/>
                <w:color w:val="auto"/>
              </w:rPr>
              <w:t>6</w:t>
            </w:r>
          </w:p>
        </w:tc>
        <w:tc>
          <w:tcPr>
            <w:tcW w:w="4170" w:type="dxa"/>
            <w:vAlign w:val="center"/>
          </w:tcPr>
          <w:p w14:paraId="6EABC253">
            <w:pPr>
              <w:spacing w:line="276" w:lineRule="auto"/>
              <w:jc w:val="left"/>
              <w:rPr>
                <w:rFonts w:ascii="仿宋" w:hAnsi="仿宋" w:eastAsia="仿宋" w:cs="仿宋"/>
                <w:color w:val="auto"/>
              </w:rPr>
            </w:pPr>
            <w:r>
              <w:rPr>
                <w:rFonts w:hint="eastAsia" w:ascii="仿宋" w:hAnsi="仿宋" w:eastAsia="仿宋" w:cs="仿宋"/>
                <w:color w:val="auto"/>
                <w:lang w:eastAsia="ar-SA"/>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rPr>
              <w:t>的声明书</w:t>
            </w:r>
          </w:p>
        </w:tc>
        <w:tc>
          <w:tcPr>
            <w:tcW w:w="2126" w:type="dxa"/>
            <w:vAlign w:val="center"/>
          </w:tcPr>
          <w:p w14:paraId="7A7845FB">
            <w:pPr>
              <w:spacing w:line="276" w:lineRule="auto"/>
              <w:jc w:val="left"/>
              <w:rPr>
                <w:rFonts w:ascii="仿宋" w:hAnsi="仿宋" w:eastAsia="仿宋" w:cs="仿宋"/>
                <w:color w:val="auto"/>
              </w:rPr>
            </w:pPr>
            <w:r>
              <w:rPr>
                <w:rFonts w:hint="eastAsia" w:ascii="仿宋" w:hAnsi="仿宋" w:eastAsia="仿宋" w:cs="仿宋"/>
                <w:color w:val="auto"/>
              </w:rPr>
              <w:t>附件五-5</w:t>
            </w:r>
          </w:p>
        </w:tc>
        <w:tc>
          <w:tcPr>
            <w:tcW w:w="1217" w:type="dxa"/>
          </w:tcPr>
          <w:p w14:paraId="53FC23D8">
            <w:pPr>
              <w:spacing w:line="276" w:lineRule="auto"/>
              <w:jc w:val="left"/>
              <w:rPr>
                <w:rFonts w:ascii="仿宋" w:hAnsi="仿宋" w:eastAsia="仿宋" w:cs="仿宋"/>
                <w:color w:val="auto"/>
              </w:rPr>
            </w:pPr>
          </w:p>
        </w:tc>
      </w:tr>
      <w:tr w14:paraId="5EA0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166BDBF">
            <w:pPr>
              <w:spacing w:line="276" w:lineRule="auto"/>
              <w:jc w:val="left"/>
              <w:rPr>
                <w:rFonts w:ascii="仿宋" w:hAnsi="仿宋" w:eastAsia="仿宋" w:cs="仿宋"/>
                <w:color w:val="auto"/>
              </w:rPr>
            </w:pPr>
            <w:r>
              <w:rPr>
                <w:rFonts w:hint="eastAsia" w:ascii="仿宋" w:hAnsi="仿宋" w:eastAsia="仿宋" w:cs="仿宋"/>
                <w:color w:val="auto"/>
              </w:rPr>
              <w:t>7</w:t>
            </w:r>
          </w:p>
        </w:tc>
        <w:tc>
          <w:tcPr>
            <w:tcW w:w="4170" w:type="dxa"/>
            <w:vAlign w:val="center"/>
          </w:tcPr>
          <w:p w14:paraId="61651D4A">
            <w:pPr>
              <w:spacing w:line="276" w:lineRule="auto"/>
              <w:jc w:val="left"/>
              <w:rPr>
                <w:rFonts w:ascii="仿宋" w:hAnsi="仿宋" w:eastAsia="仿宋" w:cs="仿宋"/>
                <w:color w:val="auto"/>
              </w:rPr>
            </w:pPr>
            <w:r>
              <w:rPr>
                <w:rFonts w:hint="eastAsia" w:ascii="仿宋" w:hAnsi="仿宋" w:eastAsia="仿宋" w:cs="仿宋"/>
                <w:color w:val="auto"/>
              </w:rPr>
              <w:t>法定代表人（或企业负责人或经营者）的身份证明</w:t>
            </w:r>
          </w:p>
        </w:tc>
        <w:tc>
          <w:tcPr>
            <w:tcW w:w="2126" w:type="dxa"/>
            <w:vAlign w:val="center"/>
          </w:tcPr>
          <w:p w14:paraId="2353FCC8">
            <w:pPr>
              <w:spacing w:line="276" w:lineRule="auto"/>
              <w:jc w:val="left"/>
              <w:rPr>
                <w:rFonts w:ascii="仿宋" w:hAnsi="仿宋" w:eastAsia="仿宋" w:cs="仿宋"/>
                <w:color w:val="auto"/>
              </w:rPr>
            </w:pPr>
            <w:r>
              <w:rPr>
                <w:rFonts w:hint="eastAsia" w:ascii="仿宋" w:hAnsi="仿宋" w:eastAsia="仿宋" w:cs="仿宋"/>
                <w:color w:val="auto"/>
              </w:rPr>
              <w:t>附件六-1</w:t>
            </w:r>
          </w:p>
        </w:tc>
        <w:tc>
          <w:tcPr>
            <w:tcW w:w="1217" w:type="dxa"/>
          </w:tcPr>
          <w:p w14:paraId="76061DF0">
            <w:pPr>
              <w:spacing w:line="276" w:lineRule="auto"/>
              <w:jc w:val="left"/>
              <w:rPr>
                <w:rFonts w:ascii="仿宋" w:hAnsi="仿宋" w:eastAsia="仿宋" w:cs="仿宋"/>
                <w:color w:val="auto"/>
              </w:rPr>
            </w:pPr>
          </w:p>
        </w:tc>
      </w:tr>
      <w:tr w14:paraId="5FD6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4E9174A">
            <w:pPr>
              <w:spacing w:line="276" w:lineRule="auto"/>
              <w:jc w:val="left"/>
              <w:rPr>
                <w:rFonts w:ascii="仿宋" w:hAnsi="仿宋" w:eastAsia="仿宋" w:cs="仿宋"/>
                <w:color w:val="auto"/>
              </w:rPr>
            </w:pPr>
            <w:r>
              <w:rPr>
                <w:rFonts w:hint="eastAsia" w:ascii="仿宋" w:hAnsi="仿宋" w:eastAsia="仿宋" w:cs="仿宋"/>
                <w:color w:val="auto"/>
              </w:rPr>
              <w:t>8</w:t>
            </w:r>
          </w:p>
        </w:tc>
        <w:tc>
          <w:tcPr>
            <w:tcW w:w="4170" w:type="dxa"/>
            <w:vAlign w:val="center"/>
          </w:tcPr>
          <w:p w14:paraId="6DBE5D21">
            <w:pPr>
              <w:spacing w:line="276" w:lineRule="auto"/>
              <w:jc w:val="left"/>
              <w:rPr>
                <w:rFonts w:ascii="仿宋" w:hAnsi="仿宋" w:eastAsia="仿宋" w:cs="仿宋"/>
                <w:color w:val="auto"/>
              </w:rPr>
            </w:pPr>
            <w:r>
              <w:rPr>
                <w:rFonts w:hint="eastAsia" w:ascii="仿宋" w:hAnsi="仿宋" w:eastAsia="仿宋" w:cs="仿宋"/>
                <w:color w:val="auto"/>
              </w:rPr>
              <w:t>供应商的代表若非法定代表人（或企业负责人或经营者）的须提交法定代表人（或企业负责人或经营者）授权书</w:t>
            </w:r>
          </w:p>
        </w:tc>
        <w:tc>
          <w:tcPr>
            <w:tcW w:w="2126" w:type="dxa"/>
            <w:vAlign w:val="center"/>
          </w:tcPr>
          <w:p w14:paraId="21C93174">
            <w:pPr>
              <w:spacing w:line="276" w:lineRule="auto"/>
              <w:jc w:val="left"/>
              <w:rPr>
                <w:rFonts w:ascii="仿宋" w:hAnsi="仿宋" w:eastAsia="仿宋" w:cs="仿宋"/>
                <w:color w:val="auto"/>
              </w:rPr>
            </w:pPr>
            <w:r>
              <w:rPr>
                <w:rFonts w:hint="eastAsia" w:ascii="仿宋" w:hAnsi="仿宋" w:eastAsia="仿宋" w:cs="仿宋"/>
                <w:color w:val="auto"/>
              </w:rPr>
              <w:t>附件六-2</w:t>
            </w:r>
          </w:p>
        </w:tc>
        <w:tc>
          <w:tcPr>
            <w:tcW w:w="1217" w:type="dxa"/>
          </w:tcPr>
          <w:p w14:paraId="2906BD93">
            <w:pPr>
              <w:spacing w:line="276" w:lineRule="auto"/>
              <w:jc w:val="left"/>
              <w:rPr>
                <w:rFonts w:ascii="仿宋" w:hAnsi="仿宋" w:eastAsia="仿宋" w:cs="仿宋"/>
                <w:color w:val="auto"/>
              </w:rPr>
            </w:pPr>
          </w:p>
        </w:tc>
      </w:tr>
    </w:tbl>
    <w:p w14:paraId="553DAD2F">
      <w:pPr>
        <w:tabs>
          <w:tab w:val="left" w:pos="720"/>
        </w:tabs>
        <w:ind w:left="720"/>
        <w:jc w:val="center"/>
        <w:outlineLvl w:val="1"/>
        <w:rPr>
          <w:rFonts w:ascii="仿宋" w:hAnsi="仿宋" w:eastAsia="仿宋" w:cs="仿宋"/>
          <w:color w:val="auto"/>
          <w:sz w:val="24"/>
        </w:rPr>
      </w:pPr>
    </w:p>
    <w:p w14:paraId="4C09B128">
      <w:pPr>
        <w:tabs>
          <w:tab w:val="left" w:pos="720"/>
        </w:tabs>
        <w:ind w:left="720"/>
        <w:jc w:val="center"/>
        <w:outlineLvl w:val="1"/>
        <w:rPr>
          <w:rFonts w:ascii="仿宋" w:hAnsi="仿宋" w:eastAsia="仿宋" w:cs="仿宋"/>
          <w:color w:val="auto"/>
          <w:sz w:val="24"/>
        </w:rPr>
        <w:sectPr>
          <w:footerReference r:id="rId5" w:type="default"/>
          <w:footerReference r:id="rId6" w:type="even"/>
          <w:pgSz w:w="11907" w:h="16840"/>
          <w:pgMar w:top="1440" w:right="1440" w:bottom="1440" w:left="1440" w:header="851" w:footer="992" w:gutter="0"/>
          <w:cols w:space="720" w:num="1"/>
          <w:docGrid w:linePitch="312" w:charSpace="0"/>
        </w:sectPr>
      </w:pPr>
    </w:p>
    <w:p w14:paraId="3FEEC9C5">
      <w:pPr>
        <w:pStyle w:val="326"/>
        <w:rPr>
          <w:rFonts w:ascii="仿宋" w:hAnsi="仿宋" w:eastAsia="仿宋" w:cs="仿宋"/>
          <w:color w:val="auto"/>
        </w:rPr>
      </w:pPr>
    </w:p>
    <w:p w14:paraId="4DDD72EF">
      <w:pPr>
        <w:spacing w:line="360" w:lineRule="auto"/>
        <w:outlineLvl w:val="1"/>
        <w:rPr>
          <w:rFonts w:ascii="仿宋" w:hAnsi="仿宋" w:eastAsia="仿宋" w:cs="仿宋"/>
          <w:color w:val="auto"/>
        </w:rPr>
      </w:pPr>
      <w:r>
        <w:rPr>
          <w:rFonts w:hint="eastAsia" w:ascii="仿宋" w:hAnsi="仿宋" w:eastAsia="仿宋" w:cs="仿宋"/>
          <w:color w:val="auto"/>
        </w:rPr>
        <w:t>附件五-1</w:t>
      </w:r>
    </w:p>
    <w:p w14:paraId="19765016">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具有良好的商业信誉和健全的财务会计制度的声明书</w:t>
      </w:r>
    </w:p>
    <w:p w14:paraId="0069A673">
      <w:pPr>
        <w:spacing w:line="360" w:lineRule="auto"/>
        <w:jc w:val="left"/>
        <w:rPr>
          <w:rFonts w:ascii="仿宋" w:hAnsi="仿宋" w:eastAsia="仿宋" w:cs="仿宋"/>
          <w:color w:val="auto"/>
        </w:rPr>
      </w:pPr>
      <w:r>
        <w:rPr>
          <w:rFonts w:hint="eastAsia" w:ascii="仿宋" w:hAnsi="仿宋" w:eastAsia="仿宋" w:cs="仿宋"/>
          <w:color w:val="auto"/>
        </w:rPr>
        <w:t>致：（采购单位名称）：</w:t>
      </w:r>
    </w:p>
    <w:p w14:paraId="7CB1A0A8">
      <w:pPr>
        <w:spacing w:line="360" w:lineRule="auto"/>
        <w:jc w:val="center"/>
        <w:rPr>
          <w:rFonts w:ascii="仿宋" w:hAnsi="仿宋" w:eastAsia="仿宋" w:cs="仿宋"/>
          <w:color w:val="auto"/>
        </w:rPr>
      </w:pPr>
      <w:r>
        <w:rPr>
          <w:rFonts w:hint="eastAsia" w:ascii="仿宋" w:hAnsi="仿宋" w:eastAsia="仿宋" w:cs="仿宋"/>
          <w:color w:val="auto"/>
        </w:rPr>
        <w:t>我单位具有良好的商业信誉和健全的财务会计制度，特此声明！附相关证明资料（如有）。</w:t>
      </w:r>
    </w:p>
    <w:p w14:paraId="497BD7FD">
      <w:pPr>
        <w:pStyle w:val="326"/>
        <w:rPr>
          <w:rFonts w:ascii="仿宋" w:hAnsi="仿宋" w:eastAsia="仿宋" w:cs="仿宋"/>
          <w:color w:val="auto"/>
        </w:rPr>
      </w:pPr>
    </w:p>
    <w:p w14:paraId="786C7FCB">
      <w:pPr>
        <w:pStyle w:val="326"/>
        <w:rPr>
          <w:rFonts w:ascii="仿宋" w:hAnsi="仿宋" w:eastAsia="仿宋" w:cs="仿宋"/>
          <w:color w:val="auto"/>
        </w:rPr>
      </w:pPr>
    </w:p>
    <w:p w14:paraId="419EB374">
      <w:pPr>
        <w:spacing w:line="360" w:lineRule="auto"/>
        <w:jc w:val="center"/>
        <w:rPr>
          <w:rFonts w:ascii="仿宋" w:hAnsi="仿宋" w:eastAsia="仿宋" w:cs="仿宋"/>
          <w:color w:val="auto"/>
        </w:rPr>
      </w:pPr>
      <w:r>
        <w:rPr>
          <w:rFonts w:hint="eastAsia" w:ascii="仿宋" w:hAnsi="仿宋" w:eastAsia="仿宋" w:cs="仿宋"/>
          <w:color w:val="auto"/>
        </w:rPr>
        <w:t>供应商（公章）：</w:t>
      </w:r>
    </w:p>
    <w:p w14:paraId="3E5040ED">
      <w:pPr>
        <w:spacing w:line="360" w:lineRule="auto"/>
        <w:jc w:val="center"/>
        <w:rPr>
          <w:rFonts w:ascii="仿宋" w:hAnsi="仿宋" w:eastAsia="仿宋" w:cs="仿宋"/>
          <w:color w:val="auto"/>
        </w:rPr>
      </w:pPr>
    </w:p>
    <w:p w14:paraId="5BDED154">
      <w:pPr>
        <w:spacing w:line="360" w:lineRule="auto"/>
        <w:jc w:val="center"/>
        <w:rPr>
          <w:rFonts w:ascii="仿宋" w:hAnsi="仿宋" w:eastAsia="仿宋" w:cs="仿宋"/>
          <w:color w:val="auto"/>
        </w:rPr>
      </w:pPr>
      <w:r>
        <w:rPr>
          <w:rFonts w:hint="eastAsia" w:ascii="仿宋" w:hAnsi="仿宋" w:eastAsia="仿宋" w:cs="仿宋"/>
          <w:color w:val="auto"/>
        </w:rPr>
        <w:t>二○二</w:t>
      </w:r>
      <w:r>
        <w:rPr>
          <w:rFonts w:hint="eastAsia" w:ascii="仿宋" w:hAnsi="仿宋" w:eastAsia="仿宋" w:cs="仿宋"/>
          <w:color w:val="auto"/>
          <w:lang w:val="en-US" w:eastAsia="zh-CN"/>
        </w:rPr>
        <w:t xml:space="preserve"> </w:t>
      </w:r>
      <w:r>
        <w:rPr>
          <w:rFonts w:hint="eastAsia" w:ascii="仿宋" w:hAnsi="仿宋" w:eastAsia="仿宋" w:cs="仿宋"/>
          <w:color w:val="auto"/>
        </w:rPr>
        <w:t>年月日</w:t>
      </w:r>
    </w:p>
    <w:p w14:paraId="17E13DD4">
      <w:pPr>
        <w:pStyle w:val="326"/>
        <w:rPr>
          <w:rFonts w:ascii="仿宋" w:hAnsi="仿宋" w:eastAsia="仿宋" w:cs="仿宋"/>
          <w:color w:val="auto"/>
        </w:rPr>
      </w:pPr>
    </w:p>
    <w:p w14:paraId="5944C402">
      <w:pPr>
        <w:rPr>
          <w:rFonts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rPr>
        <w:t>相关证明资料由供应商自行提供，不作为强制性资格要求。</w:t>
      </w:r>
    </w:p>
    <w:p w14:paraId="01A8B3D5">
      <w:pPr>
        <w:pStyle w:val="326"/>
        <w:rPr>
          <w:rFonts w:ascii="仿宋" w:hAnsi="仿宋" w:eastAsia="仿宋" w:cs="仿宋"/>
          <w:color w:val="auto"/>
        </w:rPr>
      </w:pPr>
    </w:p>
    <w:p w14:paraId="0F965E8B">
      <w:pPr>
        <w:pStyle w:val="326"/>
        <w:rPr>
          <w:rFonts w:ascii="仿宋" w:hAnsi="仿宋" w:eastAsia="仿宋" w:cs="仿宋"/>
          <w:color w:val="auto"/>
        </w:rPr>
      </w:pPr>
    </w:p>
    <w:p w14:paraId="47C7A508">
      <w:pPr>
        <w:spacing w:line="360" w:lineRule="auto"/>
        <w:outlineLvl w:val="1"/>
        <w:rPr>
          <w:rFonts w:ascii="仿宋" w:hAnsi="仿宋" w:eastAsia="仿宋" w:cs="仿宋"/>
          <w:color w:val="auto"/>
        </w:rPr>
        <w:sectPr>
          <w:pgSz w:w="11907" w:h="16840"/>
          <w:pgMar w:top="1440" w:right="1440" w:bottom="1440" w:left="1440" w:header="851" w:footer="992" w:gutter="0"/>
          <w:cols w:space="720" w:num="1"/>
          <w:docGrid w:linePitch="312" w:charSpace="0"/>
        </w:sectPr>
      </w:pPr>
    </w:p>
    <w:p w14:paraId="63A631CF">
      <w:pPr>
        <w:spacing w:line="360" w:lineRule="auto"/>
        <w:outlineLvl w:val="1"/>
        <w:rPr>
          <w:rFonts w:ascii="仿宋" w:hAnsi="仿宋" w:eastAsia="仿宋" w:cs="仿宋"/>
          <w:color w:val="auto"/>
        </w:rPr>
      </w:pPr>
      <w:r>
        <w:rPr>
          <w:rFonts w:hint="eastAsia" w:ascii="仿宋" w:hAnsi="仿宋" w:eastAsia="仿宋" w:cs="仿宋"/>
          <w:color w:val="auto"/>
        </w:rPr>
        <w:t>附件五-2</w:t>
      </w:r>
    </w:p>
    <w:p w14:paraId="67ADF51E">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具有履行合同所必需的设备和专业技术能力的声明书</w:t>
      </w:r>
    </w:p>
    <w:p w14:paraId="38914C3C">
      <w:pPr>
        <w:spacing w:line="360" w:lineRule="auto"/>
        <w:jc w:val="left"/>
        <w:rPr>
          <w:rFonts w:ascii="仿宋" w:hAnsi="仿宋" w:eastAsia="仿宋" w:cs="仿宋"/>
          <w:color w:val="auto"/>
        </w:rPr>
      </w:pPr>
      <w:r>
        <w:rPr>
          <w:rFonts w:hint="eastAsia" w:ascii="仿宋" w:hAnsi="仿宋" w:eastAsia="仿宋" w:cs="仿宋"/>
          <w:color w:val="auto"/>
        </w:rPr>
        <w:t>致：（采购单位名称）：</w:t>
      </w:r>
    </w:p>
    <w:p w14:paraId="210DEFA7">
      <w:pPr>
        <w:spacing w:line="360" w:lineRule="auto"/>
        <w:jc w:val="center"/>
        <w:rPr>
          <w:rFonts w:ascii="仿宋" w:hAnsi="仿宋" w:eastAsia="仿宋" w:cs="仿宋"/>
          <w:color w:val="auto"/>
        </w:rPr>
      </w:pPr>
      <w:r>
        <w:rPr>
          <w:rFonts w:hint="eastAsia" w:ascii="仿宋" w:hAnsi="仿宋" w:eastAsia="仿宋" w:cs="仿宋"/>
          <w:color w:val="auto"/>
        </w:rPr>
        <w:t>我单位具有履行合同所必需的设备和专业技术能力，特此声明！附相关证明资料（如有）。</w:t>
      </w:r>
    </w:p>
    <w:p w14:paraId="1C33DB22">
      <w:pPr>
        <w:pStyle w:val="326"/>
        <w:rPr>
          <w:rFonts w:ascii="仿宋" w:hAnsi="仿宋" w:eastAsia="仿宋" w:cs="仿宋"/>
          <w:color w:val="auto"/>
        </w:rPr>
      </w:pPr>
    </w:p>
    <w:p w14:paraId="11E57C5E">
      <w:pPr>
        <w:pStyle w:val="326"/>
        <w:rPr>
          <w:rFonts w:ascii="仿宋" w:hAnsi="仿宋" w:eastAsia="仿宋" w:cs="仿宋"/>
          <w:color w:val="auto"/>
        </w:rPr>
      </w:pPr>
    </w:p>
    <w:p w14:paraId="2E522D54">
      <w:pPr>
        <w:pStyle w:val="326"/>
        <w:rPr>
          <w:rFonts w:ascii="仿宋" w:hAnsi="仿宋" w:eastAsia="仿宋" w:cs="仿宋"/>
          <w:color w:val="auto"/>
        </w:rPr>
      </w:pPr>
    </w:p>
    <w:p w14:paraId="46523D7B">
      <w:pPr>
        <w:spacing w:line="360" w:lineRule="auto"/>
        <w:jc w:val="center"/>
        <w:rPr>
          <w:rFonts w:ascii="仿宋" w:hAnsi="仿宋" w:eastAsia="仿宋" w:cs="仿宋"/>
          <w:color w:val="auto"/>
        </w:rPr>
      </w:pPr>
      <w:r>
        <w:rPr>
          <w:rFonts w:hint="eastAsia" w:ascii="仿宋" w:hAnsi="仿宋" w:eastAsia="仿宋" w:cs="仿宋"/>
          <w:color w:val="auto"/>
        </w:rPr>
        <w:t>供应商（公章）：</w:t>
      </w:r>
    </w:p>
    <w:p w14:paraId="4297D225">
      <w:pPr>
        <w:spacing w:line="360" w:lineRule="auto"/>
        <w:jc w:val="center"/>
        <w:rPr>
          <w:rFonts w:ascii="仿宋" w:hAnsi="仿宋" w:eastAsia="仿宋" w:cs="仿宋"/>
          <w:color w:val="auto"/>
        </w:rPr>
      </w:pPr>
    </w:p>
    <w:p w14:paraId="6C34E93B">
      <w:pPr>
        <w:spacing w:line="360" w:lineRule="auto"/>
        <w:jc w:val="center"/>
        <w:rPr>
          <w:rFonts w:ascii="仿宋" w:hAnsi="仿宋" w:eastAsia="仿宋" w:cs="仿宋"/>
          <w:color w:val="auto"/>
        </w:rPr>
      </w:pPr>
      <w:r>
        <w:rPr>
          <w:rFonts w:hint="eastAsia" w:ascii="仿宋" w:hAnsi="仿宋" w:eastAsia="仿宋" w:cs="仿宋"/>
          <w:color w:val="auto"/>
        </w:rPr>
        <w:t>二○二</w:t>
      </w:r>
      <w:r>
        <w:rPr>
          <w:rFonts w:hint="eastAsia" w:ascii="仿宋" w:hAnsi="仿宋" w:eastAsia="仿宋" w:cs="仿宋"/>
          <w:color w:val="auto"/>
          <w:lang w:val="en-US" w:eastAsia="zh-CN"/>
        </w:rPr>
        <w:t xml:space="preserve">  </w:t>
      </w:r>
      <w:r>
        <w:rPr>
          <w:rFonts w:hint="eastAsia" w:ascii="仿宋" w:hAnsi="仿宋" w:eastAsia="仿宋" w:cs="仿宋"/>
          <w:color w:val="auto"/>
        </w:rPr>
        <w:t>年月日</w:t>
      </w:r>
    </w:p>
    <w:p w14:paraId="2ED111D9">
      <w:pPr>
        <w:pStyle w:val="326"/>
        <w:rPr>
          <w:rFonts w:ascii="仿宋" w:hAnsi="仿宋" w:eastAsia="仿宋" w:cs="仿宋"/>
          <w:color w:val="auto"/>
        </w:rPr>
      </w:pPr>
    </w:p>
    <w:p w14:paraId="499965EE">
      <w:pPr>
        <w:rPr>
          <w:rFonts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rPr>
        <w:t>相关证明资料由供应商自行提供，不作为强制性资格要求。</w:t>
      </w:r>
    </w:p>
    <w:p w14:paraId="7972332A">
      <w:pPr>
        <w:pStyle w:val="326"/>
        <w:rPr>
          <w:rFonts w:ascii="仿宋" w:hAnsi="仿宋" w:eastAsia="仿宋" w:cs="仿宋"/>
          <w:color w:val="auto"/>
        </w:rPr>
      </w:pPr>
    </w:p>
    <w:p w14:paraId="5C81890A">
      <w:pPr>
        <w:pStyle w:val="326"/>
        <w:rPr>
          <w:rFonts w:ascii="仿宋" w:hAnsi="仿宋" w:eastAsia="仿宋" w:cs="仿宋"/>
          <w:color w:val="auto"/>
        </w:rPr>
      </w:pPr>
    </w:p>
    <w:p w14:paraId="0AB6BDD7">
      <w:pPr>
        <w:pStyle w:val="326"/>
        <w:rPr>
          <w:rFonts w:ascii="仿宋" w:hAnsi="仿宋" w:eastAsia="仿宋" w:cs="仿宋"/>
          <w:color w:val="auto"/>
        </w:rPr>
        <w:sectPr>
          <w:pgSz w:w="11907" w:h="16840"/>
          <w:pgMar w:top="1440" w:right="1440" w:bottom="1440" w:left="1440" w:header="851" w:footer="992" w:gutter="0"/>
          <w:cols w:space="720" w:num="1"/>
          <w:docGrid w:linePitch="312" w:charSpace="0"/>
        </w:sectPr>
      </w:pPr>
    </w:p>
    <w:p w14:paraId="37B58468">
      <w:pPr>
        <w:spacing w:line="360" w:lineRule="auto"/>
        <w:outlineLvl w:val="1"/>
        <w:rPr>
          <w:rFonts w:ascii="仿宋" w:hAnsi="仿宋" w:eastAsia="仿宋" w:cs="仿宋"/>
          <w:color w:val="auto"/>
        </w:rPr>
      </w:pPr>
      <w:r>
        <w:rPr>
          <w:rFonts w:hint="eastAsia" w:ascii="仿宋" w:hAnsi="仿宋" w:eastAsia="仿宋" w:cs="仿宋"/>
          <w:color w:val="auto"/>
        </w:rPr>
        <w:t>附件五-3</w:t>
      </w:r>
    </w:p>
    <w:p w14:paraId="301B2B5E">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有依法缴纳税收和社会保障资金的良好记录的声明书</w:t>
      </w:r>
    </w:p>
    <w:p w14:paraId="3F3D6D55">
      <w:pPr>
        <w:spacing w:line="360" w:lineRule="auto"/>
        <w:jc w:val="left"/>
        <w:rPr>
          <w:rFonts w:ascii="仿宋" w:hAnsi="仿宋" w:eastAsia="仿宋" w:cs="仿宋"/>
          <w:color w:val="auto"/>
        </w:rPr>
      </w:pPr>
      <w:r>
        <w:rPr>
          <w:rFonts w:hint="eastAsia" w:ascii="仿宋" w:hAnsi="仿宋" w:eastAsia="仿宋" w:cs="仿宋"/>
          <w:color w:val="auto"/>
        </w:rPr>
        <w:t>致：（采购单位名称）：</w:t>
      </w:r>
    </w:p>
    <w:p w14:paraId="31203DC1">
      <w:pPr>
        <w:spacing w:line="360" w:lineRule="auto"/>
        <w:jc w:val="center"/>
        <w:rPr>
          <w:rFonts w:ascii="仿宋" w:hAnsi="仿宋" w:eastAsia="仿宋" w:cs="仿宋"/>
          <w:color w:val="auto"/>
        </w:rPr>
      </w:pPr>
      <w:r>
        <w:rPr>
          <w:rFonts w:hint="eastAsia" w:ascii="仿宋" w:hAnsi="仿宋" w:eastAsia="仿宋" w:cs="仿宋"/>
          <w:color w:val="auto"/>
        </w:rPr>
        <w:t>我单位有依法缴纳税收和社会保障资金的良好记录，特此声明！附相关证明资料（如有）。</w:t>
      </w:r>
    </w:p>
    <w:p w14:paraId="44C839E0">
      <w:pPr>
        <w:pStyle w:val="326"/>
        <w:rPr>
          <w:rFonts w:ascii="仿宋" w:hAnsi="仿宋" w:eastAsia="仿宋" w:cs="仿宋"/>
          <w:color w:val="auto"/>
        </w:rPr>
      </w:pPr>
    </w:p>
    <w:p w14:paraId="290A02C1">
      <w:pPr>
        <w:pStyle w:val="326"/>
        <w:rPr>
          <w:rFonts w:ascii="仿宋" w:hAnsi="仿宋" w:eastAsia="仿宋" w:cs="仿宋"/>
          <w:color w:val="auto"/>
        </w:rPr>
      </w:pPr>
    </w:p>
    <w:p w14:paraId="6E75EA10">
      <w:pPr>
        <w:pStyle w:val="326"/>
        <w:rPr>
          <w:rFonts w:ascii="仿宋" w:hAnsi="仿宋" w:eastAsia="仿宋" w:cs="仿宋"/>
          <w:color w:val="auto"/>
        </w:rPr>
      </w:pPr>
    </w:p>
    <w:p w14:paraId="3509A14C">
      <w:pPr>
        <w:spacing w:line="360" w:lineRule="auto"/>
        <w:jc w:val="center"/>
        <w:rPr>
          <w:rFonts w:ascii="仿宋" w:hAnsi="仿宋" w:eastAsia="仿宋" w:cs="仿宋"/>
          <w:color w:val="auto"/>
        </w:rPr>
      </w:pPr>
      <w:r>
        <w:rPr>
          <w:rFonts w:hint="eastAsia" w:ascii="仿宋" w:hAnsi="仿宋" w:eastAsia="仿宋" w:cs="仿宋"/>
          <w:color w:val="auto"/>
        </w:rPr>
        <w:t>供应商（公章）：</w:t>
      </w:r>
    </w:p>
    <w:p w14:paraId="5E0567C4">
      <w:pPr>
        <w:spacing w:line="360" w:lineRule="auto"/>
        <w:jc w:val="center"/>
        <w:rPr>
          <w:rFonts w:ascii="仿宋" w:hAnsi="仿宋" w:eastAsia="仿宋" w:cs="仿宋"/>
          <w:color w:val="auto"/>
        </w:rPr>
      </w:pPr>
    </w:p>
    <w:p w14:paraId="1F19B858">
      <w:pPr>
        <w:spacing w:line="360" w:lineRule="auto"/>
        <w:jc w:val="center"/>
        <w:rPr>
          <w:rFonts w:ascii="仿宋" w:hAnsi="仿宋" w:eastAsia="仿宋" w:cs="仿宋"/>
          <w:color w:val="auto"/>
        </w:rPr>
      </w:pPr>
      <w:r>
        <w:rPr>
          <w:rFonts w:hint="eastAsia" w:ascii="仿宋" w:hAnsi="仿宋" w:eastAsia="仿宋" w:cs="仿宋"/>
          <w:color w:val="auto"/>
        </w:rPr>
        <w:t>二○二</w:t>
      </w:r>
      <w:r>
        <w:rPr>
          <w:rFonts w:hint="eastAsia" w:ascii="仿宋" w:hAnsi="仿宋" w:eastAsia="仿宋" w:cs="仿宋"/>
          <w:color w:val="auto"/>
          <w:lang w:val="en-US" w:eastAsia="zh-CN"/>
        </w:rPr>
        <w:t xml:space="preserve">  </w:t>
      </w:r>
      <w:r>
        <w:rPr>
          <w:rFonts w:hint="eastAsia" w:ascii="仿宋" w:hAnsi="仿宋" w:eastAsia="仿宋" w:cs="仿宋"/>
          <w:color w:val="auto"/>
        </w:rPr>
        <w:t>年月日</w:t>
      </w:r>
    </w:p>
    <w:p w14:paraId="010A7B14">
      <w:pPr>
        <w:pStyle w:val="326"/>
        <w:rPr>
          <w:rFonts w:ascii="仿宋" w:hAnsi="仿宋" w:eastAsia="仿宋" w:cs="仿宋"/>
          <w:color w:val="auto"/>
        </w:rPr>
      </w:pPr>
    </w:p>
    <w:p w14:paraId="468EB481">
      <w:pPr>
        <w:rPr>
          <w:rFonts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rPr>
        <w:t>相关证明资料由供应商自行提供，不作为强制性资格要求。</w:t>
      </w:r>
    </w:p>
    <w:p w14:paraId="72E2D45C">
      <w:pPr>
        <w:pStyle w:val="326"/>
        <w:rPr>
          <w:rFonts w:ascii="仿宋" w:hAnsi="仿宋" w:eastAsia="仿宋" w:cs="仿宋"/>
          <w:color w:val="auto"/>
        </w:rPr>
      </w:pPr>
    </w:p>
    <w:p w14:paraId="44EA7683">
      <w:pPr>
        <w:pStyle w:val="326"/>
        <w:rPr>
          <w:rFonts w:ascii="仿宋" w:hAnsi="仿宋" w:eastAsia="仿宋" w:cs="仿宋"/>
          <w:color w:val="auto"/>
        </w:rPr>
      </w:pPr>
    </w:p>
    <w:p w14:paraId="1059CFAA">
      <w:pPr>
        <w:pStyle w:val="326"/>
        <w:rPr>
          <w:rFonts w:ascii="仿宋" w:hAnsi="仿宋" w:eastAsia="仿宋" w:cs="仿宋"/>
          <w:color w:val="auto"/>
        </w:rPr>
        <w:sectPr>
          <w:pgSz w:w="11907" w:h="16840"/>
          <w:pgMar w:top="1440" w:right="1440" w:bottom="1440" w:left="1440" w:header="851" w:footer="992" w:gutter="0"/>
          <w:cols w:space="720" w:num="1"/>
          <w:docGrid w:linePitch="312" w:charSpace="0"/>
        </w:sectPr>
      </w:pPr>
    </w:p>
    <w:p w14:paraId="1AA844E8">
      <w:pPr>
        <w:spacing w:line="360" w:lineRule="auto"/>
        <w:outlineLvl w:val="1"/>
        <w:rPr>
          <w:rFonts w:ascii="仿宋" w:hAnsi="仿宋" w:eastAsia="仿宋" w:cs="仿宋"/>
          <w:color w:val="auto"/>
        </w:rPr>
      </w:pPr>
      <w:r>
        <w:rPr>
          <w:rFonts w:hint="eastAsia" w:ascii="仿宋" w:hAnsi="仿宋" w:eastAsia="仿宋" w:cs="仿宋"/>
          <w:color w:val="auto"/>
        </w:rPr>
        <w:t>附件五-4</w:t>
      </w:r>
    </w:p>
    <w:p w14:paraId="7B3973DF">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在经营活动中没有重大违法记录的声明书</w:t>
      </w:r>
    </w:p>
    <w:p w14:paraId="3DFED7F5">
      <w:pPr>
        <w:spacing w:line="360" w:lineRule="auto"/>
        <w:jc w:val="left"/>
        <w:rPr>
          <w:rFonts w:ascii="仿宋" w:hAnsi="仿宋" w:eastAsia="仿宋" w:cs="仿宋"/>
          <w:color w:val="auto"/>
        </w:rPr>
      </w:pPr>
      <w:r>
        <w:rPr>
          <w:rFonts w:hint="eastAsia" w:ascii="仿宋" w:hAnsi="仿宋" w:eastAsia="仿宋" w:cs="仿宋"/>
          <w:color w:val="auto"/>
        </w:rPr>
        <w:t>致：（采购单位名称）：</w:t>
      </w:r>
    </w:p>
    <w:p w14:paraId="395829C6">
      <w:pPr>
        <w:spacing w:line="360" w:lineRule="auto"/>
        <w:ind w:firstLine="420" w:firstLineChars="200"/>
        <w:jc w:val="left"/>
        <w:rPr>
          <w:rFonts w:ascii="仿宋" w:hAnsi="仿宋" w:eastAsia="仿宋" w:cs="仿宋"/>
          <w:color w:val="auto"/>
        </w:rPr>
      </w:pPr>
      <w:r>
        <w:rPr>
          <w:rFonts w:hint="eastAsia" w:ascii="仿宋" w:hAnsi="仿宋" w:eastAsia="仿宋" w:cs="仿宋"/>
          <w:color w:val="auto"/>
        </w:rPr>
        <w:t>我单位参加采购活动前三年内，在经营活动中没有重大违法记录，特此声明！附相关证明资料（如有）。</w:t>
      </w:r>
    </w:p>
    <w:p w14:paraId="2030E9DA">
      <w:pPr>
        <w:pStyle w:val="326"/>
        <w:rPr>
          <w:rFonts w:ascii="仿宋" w:hAnsi="仿宋" w:eastAsia="仿宋" w:cs="仿宋"/>
          <w:color w:val="auto"/>
        </w:rPr>
      </w:pPr>
    </w:p>
    <w:p w14:paraId="188E8A5C">
      <w:pPr>
        <w:pStyle w:val="326"/>
        <w:rPr>
          <w:rFonts w:ascii="仿宋" w:hAnsi="仿宋" w:eastAsia="仿宋" w:cs="仿宋"/>
          <w:color w:val="auto"/>
        </w:rPr>
      </w:pPr>
    </w:p>
    <w:p w14:paraId="3E39BF27">
      <w:pPr>
        <w:pStyle w:val="326"/>
        <w:rPr>
          <w:rFonts w:ascii="仿宋" w:hAnsi="仿宋" w:eastAsia="仿宋" w:cs="仿宋"/>
          <w:color w:val="auto"/>
        </w:rPr>
      </w:pPr>
    </w:p>
    <w:p w14:paraId="6A587DF5">
      <w:pPr>
        <w:spacing w:line="360" w:lineRule="auto"/>
        <w:jc w:val="center"/>
        <w:rPr>
          <w:rFonts w:ascii="仿宋" w:hAnsi="仿宋" w:eastAsia="仿宋" w:cs="仿宋"/>
          <w:color w:val="auto"/>
        </w:rPr>
      </w:pPr>
      <w:r>
        <w:rPr>
          <w:rFonts w:hint="eastAsia" w:ascii="仿宋" w:hAnsi="仿宋" w:eastAsia="仿宋" w:cs="仿宋"/>
          <w:color w:val="auto"/>
        </w:rPr>
        <w:t>供应商（公章）：</w:t>
      </w:r>
    </w:p>
    <w:p w14:paraId="2B7186E4">
      <w:pPr>
        <w:spacing w:line="360" w:lineRule="auto"/>
        <w:jc w:val="center"/>
        <w:rPr>
          <w:rFonts w:ascii="仿宋" w:hAnsi="仿宋" w:eastAsia="仿宋" w:cs="仿宋"/>
          <w:color w:val="auto"/>
        </w:rPr>
      </w:pPr>
    </w:p>
    <w:p w14:paraId="01B4A76B">
      <w:pPr>
        <w:spacing w:line="360" w:lineRule="auto"/>
        <w:jc w:val="center"/>
        <w:rPr>
          <w:rFonts w:ascii="仿宋" w:hAnsi="仿宋" w:eastAsia="仿宋" w:cs="仿宋"/>
          <w:color w:val="auto"/>
        </w:rPr>
      </w:pPr>
      <w:r>
        <w:rPr>
          <w:rFonts w:hint="eastAsia" w:ascii="仿宋" w:hAnsi="仿宋" w:eastAsia="仿宋" w:cs="仿宋"/>
          <w:color w:val="auto"/>
        </w:rPr>
        <w:t>二○二</w:t>
      </w:r>
      <w:r>
        <w:rPr>
          <w:rFonts w:hint="eastAsia" w:ascii="仿宋" w:hAnsi="仿宋" w:eastAsia="仿宋" w:cs="仿宋"/>
          <w:color w:val="auto"/>
          <w:lang w:val="en-US" w:eastAsia="zh-CN"/>
        </w:rPr>
        <w:t xml:space="preserve">  </w:t>
      </w:r>
      <w:r>
        <w:rPr>
          <w:rFonts w:hint="eastAsia" w:ascii="仿宋" w:hAnsi="仿宋" w:eastAsia="仿宋" w:cs="仿宋"/>
          <w:color w:val="auto"/>
        </w:rPr>
        <w:t>年月日</w:t>
      </w:r>
    </w:p>
    <w:p w14:paraId="48619019">
      <w:pPr>
        <w:pStyle w:val="326"/>
        <w:rPr>
          <w:rFonts w:ascii="仿宋" w:hAnsi="仿宋" w:eastAsia="仿宋" w:cs="仿宋"/>
          <w:color w:val="auto"/>
        </w:rPr>
      </w:pPr>
    </w:p>
    <w:p w14:paraId="037F8A33">
      <w:pPr>
        <w:rPr>
          <w:rFonts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rPr>
        <w:t>相关证明资料由供应商自行提供，不作为强制性资格要求。</w:t>
      </w:r>
    </w:p>
    <w:p w14:paraId="4D2EF692">
      <w:pPr>
        <w:pStyle w:val="326"/>
        <w:rPr>
          <w:rFonts w:ascii="仿宋" w:hAnsi="仿宋" w:eastAsia="仿宋" w:cs="仿宋"/>
          <w:color w:val="auto"/>
        </w:rPr>
      </w:pPr>
    </w:p>
    <w:p w14:paraId="320638FF">
      <w:pPr>
        <w:pStyle w:val="326"/>
        <w:rPr>
          <w:rFonts w:ascii="仿宋" w:hAnsi="仿宋" w:eastAsia="仿宋" w:cs="仿宋"/>
          <w:color w:val="auto"/>
        </w:rPr>
      </w:pPr>
    </w:p>
    <w:p w14:paraId="350D3D6C">
      <w:pPr>
        <w:pStyle w:val="326"/>
        <w:rPr>
          <w:rFonts w:ascii="仿宋" w:hAnsi="仿宋" w:eastAsia="仿宋" w:cs="仿宋"/>
          <w:color w:val="auto"/>
        </w:rPr>
        <w:sectPr>
          <w:pgSz w:w="11907" w:h="16840"/>
          <w:pgMar w:top="1440" w:right="1440" w:bottom="1440" w:left="1440" w:header="851" w:footer="992" w:gutter="0"/>
          <w:cols w:space="720" w:num="1"/>
          <w:docGrid w:linePitch="312" w:charSpace="0"/>
        </w:sectPr>
      </w:pPr>
    </w:p>
    <w:p w14:paraId="2BD7C158">
      <w:pPr>
        <w:spacing w:line="360" w:lineRule="auto"/>
        <w:outlineLvl w:val="1"/>
        <w:rPr>
          <w:rFonts w:ascii="仿宋" w:hAnsi="仿宋" w:eastAsia="仿宋" w:cs="仿宋"/>
          <w:color w:val="auto"/>
        </w:rPr>
      </w:pPr>
      <w:r>
        <w:rPr>
          <w:rFonts w:hint="eastAsia" w:ascii="仿宋" w:hAnsi="仿宋" w:eastAsia="仿宋" w:cs="仿宋"/>
          <w:color w:val="auto"/>
        </w:rPr>
        <w:t>附件五-5</w:t>
      </w:r>
    </w:p>
    <w:p w14:paraId="0EFBCF1E">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信用声明书</w:t>
      </w:r>
    </w:p>
    <w:p w14:paraId="416E86EF">
      <w:pPr>
        <w:spacing w:line="360" w:lineRule="auto"/>
        <w:jc w:val="left"/>
        <w:rPr>
          <w:rFonts w:ascii="仿宋" w:hAnsi="仿宋" w:eastAsia="仿宋" w:cs="仿宋"/>
          <w:color w:val="auto"/>
        </w:rPr>
      </w:pPr>
      <w:r>
        <w:rPr>
          <w:rFonts w:hint="eastAsia" w:ascii="仿宋" w:hAnsi="仿宋" w:eastAsia="仿宋" w:cs="仿宋"/>
          <w:color w:val="auto"/>
        </w:rPr>
        <w:t>致：（采购单位名称）：</w:t>
      </w:r>
    </w:p>
    <w:p w14:paraId="064A5DF7">
      <w:pPr>
        <w:spacing w:line="360" w:lineRule="auto"/>
        <w:ind w:firstLine="420" w:firstLineChars="200"/>
        <w:jc w:val="left"/>
        <w:rPr>
          <w:rFonts w:ascii="仿宋" w:hAnsi="仿宋" w:eastAsia="仿宋" w:cs="仿宋"/>
          <w:color w:val="auto"/>
        </w:rPr>
      </w:pPr>
      <w:r>
        <w:rPr>
          <w:rFonts w:hint="eastAsia" w:ascii="仿宋" w:hAnsi="仿宋" w:eastAsia="仿宋" w:cs="仿宋"/>
          <w:color w:val="auto"/>
        </w:rPr>
        <w:t>我单位未被“信用中国”（www.creditchina.gov.cn）、中国政府采购网（www.ccgp.gov.cn）列入失信被执行人、重大税收违法案件当事人名单、政府采购严重违法失信行为记录名单，特此声明！附相关证明资料（如有）。</w:t>
      </w:r>
    </w:p>
    <w:p w14:paraId="23D07DFA">
      <w:pPr>
        <w:pStyle w:val="326"/>
        <w:rPr>
          <w:rFonts w:ascii="仿宋" w:hAnsi="仿宋" w:eastAsia="仿宋" w:cs="仿宋"/>
          <w:color w:val="auto"/>
        </w:rPr>
      </w:pPr>
    </w:p>
    <w:p w14:paraId="03750D5B">
      <w:pPr>
        <w:pStyle w:val="326"/>
        <w:rPr>
          <w:rFonts w:ascii="仿宋" w:hAnsi="仿宋" w:eastAsia="仿宋" w:cs="仿宋"/>
          <w:color w:val="auto"/>
        </w:rPr>
      </w:pPr>
    </w:p>
    <w:p w14:paraId="34745A41">
      <w:pPr>
        <w:pStyle w:val="326"/>
        <w:rPr>
          <w:rFonts w:ascii="仿宋" w:hAnsi="仿宋" w:eastAsia="仿宋" w:cs="仿宋"/>
          <w:color w:val="auto"/>
        </w:rPr>
      </w:pPr>
    </w:p>
    <w:p w14:paraId="0DED907F">
      <w:pPr>
        <w:spacing w:line="360" w:lineRule="auto"/>
        <w:jc w:val="center"/>
        <w:rPr>
          <w:rFonts w:ascii="仿宋" w:hAnsi="仿宋" w:eastAsia="仿宋" w:cs="仿宋"/>
          <w:color w:val="auto"/>
        </w:rPr>
      </w:pPr>
      <w:r>
        <w:rPr>
          <w:rFonts w:hint="eastAsia" w:ascii="仿宋" w:hAnsi="仿宋" w:eastAsia="仿宋" w:cs="仿宋"/>
          <w:color w:val="auto"/>
        </w:rPr>
        <w:t>供应商（公章）：</w:t>
      </w:r>
    </w:p>
    <w:p w14:paraId="54B65E84">
      <w:pPr>
        <w:spacing w:line="360" w:lineRule="auto"/>
        <w:jc w:val="center"/>
        <w:rPr>
          <w:rFonts w:ascii="仿宋" w:hAnsi="仿宋" w:eastAsia="仿宋" w:cs="仿宋"/>
          <w:color w:val="auto"/>
        </w:rPr>
      </w:pPr>
    </w:p>
    <w:p w14:paraId="323A548D">
      <w:pPr>
        <w:spacing w:line="360" w:lineRule="auto"/>
        <w:jc w:val="center"/>
        <w:rPr>
          <w:rFonts w:ascii="仿宋" w:hAnsi="仿宋" w:eastAsia="仿宋" w:cs="仿宋"/>
          <w:color w:val="auto"/>
        </w:rPr>
      </w:pPr>
      <w:r>
        <w:rPr>
          <w:rFonts w:hint="eastAsia" w:ascii="仿宋" w:hAnsi="仿宋" w:eastAsia="仿宋" w:cs="仿宋"/>
          <w:color w:val="auto"/>
        </w:rPr>
        <w:t>二○二</w:t>
      </w:r>
      <w:r>
        <w:rPr>
          <w:rFonts w:hint="eastAsia" w:ascii="仿宋" w:hAnsi="仿宋" w:eastAsia="仿宋" w:cs="仿宋"/>
          <w:color w:val="auto"/>
          <w:lang w:val="en-US" w:eastAsia="zh-CN"/>
        </w:rPr>
        <w:t xml:space="preserve">  </w:t>
      </w:r>
      <w:r>
        <w:rPr>
          <w:rFonts w:hint="eastAsia" w:ascii="仿宋" w:hAnsi="仿宋" w:eastAsia="仿宋" w:cs="仿宋"/>
          <w:color w:val="auto"/>
        </w:rPr>
        <w:t>年月日</w:t>
      </w:r>
    </w:p>
    <w:p w14:paraId="6CB0B82F">
      <w:pPr>
        <w:pStyle w:val="326"/>
        <w:rPr>
          <w:rFonts w:ascii="仿宋" w:hAnsi="仿宋" w:eastAsia="仿宋" w:cs="仿宋"/>
          <w:color w:val="auto"/>
        </w:rPr>
      </w:pPr>
    </w:p>
    <w:p w14:paraId="557C19B6">
      <w:pPr>
        <w:rPr>
          <w:rFonts w:ascii="仿宋" w:hAnsi="仿宋" w:eastAsia="仿宋" w:cs="仿宋"/>
          <w:color w:val="auto"/>
          <w:sz w:val="24"/>
        </w:rPr>
        <w:sectPr>
          <w:pgSz w:w="11907" w:h="16840"/>
          <w:pgMar w:top="1440" w:right="1440" w:bottom="1440" w:left="1440" w:header="851" w:footer="992" w:gutter="0"/>
          <w:cols w:space="720" w:num="1"/>
          <w:docGrid w:linePitch="312" w:charSpace="0"/>
        </w:sectPr>
      </w:pPr>
      <w:r>
        <w:rPr>
          <w:rFonts w:hint="eastAsia" w:ascii="仿宋" w:hAnsi="仿宋" w:eastAsia="仿宋" w:cs="仿宋"/>
          <w:color w:val="auto"/>
          <w:sz w:val="24"/>
        </w:rPr>
        <w:t>注：</w:t>
      </w:r>
      <w:r>
        <w:rPr>
          <w:rFonts w:hint="eastAsia" w:ascii="仿宋" w:hAnsi="仿宋" w:eastAsia="仿宋" w:cs="仿宋"/>
          <w:color w:val="auto"/>
        </w:rPr>
        <w:t>相关证明资料由供应商自行提供，不作为强制性资格要求。</w:t>
      </w:r>
    </w:p>
    <w:p w14:paraId="647A26DE">
      <w:pPr>
        <w:outlineLvl w:val="1"/>
        <w:rPr>
          <w:rFonts w:ascii="仿宋" w:hAnsi="仿宋" w:eastAsia="仿宋" w:cs="仿宋"/>
          <w:color w:val="auto"/>
          <w:sz w:val="24"/>
        </w:rPr>
      </w:pPr>
      <w:r>
        <w:rPr>
          <w:rFonts w:hint="eastAsia" w:ascii="仿宋" w:hAnsi="仿宋" w:eastAsia="仿宋" w:cs="仿宋"/>
          <w:color w:val="auto"/>
          <w:sz w:val="24"/>
        </w:rPr>
        <w:t>附件六-1</w:t>
      </w:r>
    </w:p>
    <w:p w14:paraId="3E8A91D2">
      <w:pPr>
        <w:spacing w:line="720" w:lineRule="exact"/>
        <w:jc w:val="center"/>
        <w:rPr>
          <w:rFonts w:ascii="仿宋" w:hAnsi="仿宋" w:eastAsia="仿宋" w:cs="仿宋"/>
          <w:b/>
          <w:color w:val="auto"/>
          <w:spacing w:val="80"/>
          <w:sz w:val="24"/>
        </w:rPr>
      </w:pPr>
    </w:p>
    <w:p w14:paraId="31FC4C48">
      <w:pPr>
        <w:tabs>
          <w:tab w:val="left" w:pos="1575"/>
        </w:tabs>
        <w:spacing w:line="500" w:lineRule="exact"/>
        <w:jc w:val="center"/>
        <w:rPr>
          <w:rFonts w:ascii="仿宋" w:hAnsi="仿宋" w:eastAsia="仿宋" w:cs="仿宋"/>
          <w:b/>
          <w:color w:val="auto"/>
          <w:spacing w:val="80"/>
          <w:sz w:val="24"/>
        </w:rPr>
      </w:pPr>
      <w:r>
        <w:rPr>
          <w:rFonts w:hint="eastAsia" w:ascii="仿宋" w:hAnsi="仿宋" w:eastAsia="仿宋" w:cs="仿宋"/>
          <w:b/>
          <w:color w:val="auto"/>
          <w:sz w:val="24"/>
        </w:rPr>
        <w:t>法定代表人（或企业负责人或经营者）身份证明书</w:t>
      </w:r>
    </w:p>
    <w:p w14:paraId="7BCE3B82">
      <w:pPr>
        <w:spacing w:line="720" w:lineRule="exact"/>
        <w:rPr>
          <w:rFonts w:ascii="仿宋" w:hAnsi="仿宋" w:eastAsia="仿宋" w:cs="仿宋"/>
          <w:color w:val="auto"/>
          <w:sz w:val="24"/>
        </w:rPr>
      </w:pPr>
    </w:p>
    <w:p w14:paraId="3E5F3C0C">
      <w:pPr>
        <w:spacing w:line="720" w:lineRule="exact"/>
        <w:ind w:firstLine="480" w:firstLineChars="200"/>
        <w:rPr>
          <w:rFonts w:ascii="仿宋" w:hAnsi="仿宋" w:eastAsia="仿宋" w:cs="仿宋"/>
          <w:color w:val="auto"/>
          <w:sz w:val="24"/>
        </w:rPr>
      </w:pPr>
      <w:r>
        <w:rPr>
          <w:rFonts w:hint="eastAsia" w:ascii="仿宋" w:hAnsi="仿宋" w:eastAsia="仿宋" w:cs="仿宋"/>
          <w:color w:val="auto"/>
          <w:sz w:val="24"/>
        </w:rPr>
        <w:t>同志；在我单位任职务，系我单位法定代表人（或企业负责人或经营者），特此证明。</w:t>
      </w:r>
      <w:r>
        <w:rPr>
          <w:rFonts w:hint="eastAsia" w:ascii="仿宋" w:hAnsi="仿宋" w:eastAsia="仿宋" w:cs="仿宋"/>
          <w:b/>
          <w:color w:val="auto"/>
          <w:sz w:val="24"/>
        </w:rPr>
        <w:t>附法定代表人（或企业负责人或经营者）身份证复印件。</w:t>
      </w:r>
    </w:p>
    <w:p w14:paraId="267313D7">
      <w:pPr>
        <w:spacing w:line="720" w:lineRule="exact"/>
        <w:ind w:firstLine="3120" w:firstLineChars="1300"/>
        <w:rPr>
          <w:rFonts w:ascii="仿宋" w:hAnsi="仿宋" w:eastAsia="仿宋" w:cs="仿宋"/>
          <w:color w:val="auto"/>
          <w:sz w:val="24"/>
        </w:rPr>
      </w:pPr>
    </w:p>
    <w:p w14:paraId="54D5E68A">
      <w:pPr>
        <w:spacing w:line="720" w:lineRule="exact"/>
        <w:ind w:firstLine="3120" w:firstLineChars="1300"/>
        <w:rPr>
          <w:rFonts w:ascii="仿宋" w:hAnsi="仿宋" w:eastAsia="仿宋" w:cs="仿宋"/>
          <w:color w:val="auto"/>
          <w:sz w:val="24"/>
        </w:rPr>
      </w:pPr>
    </w:p>
    <w:p w14:paraId="57C1858B">
      <w:pPr>
        <w:spacing w:line="720" w:lineRule="exact"/>
        <w:ind w:firstLine="3120" w:firstLineChars="1300"/>
        <w:rPr>
          <w:rFonts w:ascii="仿宋" w:hAnsi="仿宋" w:eastAsia="仿宋" w:cs="仿宋"/>
          <w:color w:val="auto"/>
          <w:sz w:val="24"/>
        </w:rPr>
      </w:pPr>
      <w:r>
        <w:rPr>
          <w:rFonts w:hint="eastAsia" w:ascii="仿宋" w:hAnsi="仿宋" w:eastAsia="仿宋" w:cs="仿宋"/>
          <w:color w:val="auto"/>
          <w:sz w:val="24"/>
        </w:rPr>
        <w:t>供应商（单位公章）：</w:t>
      </w:r>
    </w:p>
    <w:p w14:paraId="22E9E618">
      <w:pPr>
        <w:spacing w:line="720" w:lineRule="exact"/>
        <w:rPr>
          <w:rFonts w:ascii="仿宋" w:hAnsi="仿宋" w:eastAsia="仿宋" w:cs="仿宋"/>
          <w:color w:val="auto"/>
          <w:sz w:val="24"/>
        </w:rPr>
      </w:pPr>
      <w:r>
        <w:rPr>
          <w:rFonts w:hint="eastAsia" w:ascii="仿宋" w:hAnsi="仿宋" w:eastAsia="仿宋" w:cs="仿宋"/>
          <w:color w:val="auto"/>
          <w:sz w:val="24"/>
          <w:lang w:eastAsia="zh-CN"/>
        </w:rPr>
        <w:t xml:space="preserve">二○二  </w:t>
      </w:r>
      <w:r>
        <w:rPr>
          <w:rFonts w:hint="eastAsia" w:ascii="仿宋" w:hAnsi="仿宋" w:eastAsia="仿宋" w:cs="仿宋"/>
          <w:color w:val="auto"/>
          <w:sz w:val="24"/>
        </w:rPr>
        <w:t>年  月  日</w:t>
      </w:r>
    </w:p>
    <w:p w14:paraId="644201C7">
      <w:pPr>
        <w:spacing w:line="720" w:lineRule="exact"/>
        <w:rPr>
          <w:rFonts w:ascii="仿宋" w:hAnsi="仿宋" w:eastAsia="仿宋" w:cs="仿宋"/>
          <w:color w:val="auto"/>
          <w:sz w:val="24"/>
        </w:rPr>
      </w:pPr>
    </w:p>
    <w:p w14:paraId="72B226E3">
      <w:pPr>
        <w:spacing w:line="720" w:lineRule="exact"/>
        <w:rPr>
          <w:rFonts w:ascii="仿宋" w:hAnsi="仿宋" w:eastAsia="仿宋" w:cs="仿宋"/>
          <w:color w:val="auto"/>
          <w:sz w:val="24"/>
        </w:rPr>
      </w:pPr>
      <w:r>
        <w:rPr>
          <w:rFonts w:hint="eastAsia" w:ascii="仿宋" w:hAnsi="仿宋" w:eastAsia="仿宋" w:cs="仿宋"/>
          <w:color w:val="auto"/>
          <w:sz w:val="24"/>
        </w:rPr>
        <w:t>附注：法定代表人（或企业负责人或经营者）身份证号码：</w:t>
      </w:r>
    </w:p>
    <w:p w14:paraId="2AC37507">
      <w:pPr>
        <w:rPr>
          <w:rFonts w:ascii="仿宋" w:hAnsi="仿宋" w:eastAsia="仿宋" w:cs="仿宋"/>
          <w:color w:val="auto"/>
          <w:sz w:val="24"/>
          <w:u w:val="single"/>
        </w:rPr>
      </w:pPr>
      <w:r>
        <w:rPr>
          <w:rFonts w:hint="eastAsia" w:ascii="仿宋" w:hAnsi="仿宋" w:eastAsia="仿宋" w:cs="仿宋"/>
          <w:color w:val="auto"/>
          <w:sz w:val="24"/>
        </w:rPr>
        <w:t>联系电话：</w:t>
      </w:r>
    </w:p>
    <w:p w14:paraId="5E600FE4">
      <w:pPr>
        <w:rPr>
          <w:rFonts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color w:val="auto"/>
          <w:sz w:val="24"/>
        </w:rPr>
        <w:t>附件六-2</w:t>
      </w:r>
    </w:p>
    <w:p w14:paraId="28063660">
      <w:pPr>
        <w:tabs>
          <w:tab w:val="left" w:pos="1575"/>
        </w:tabs>
        <w:spacing w:line="500" w:lineRule="exact"/>
        <w:jc w:val="center"/>
        <w:rPr>
          <w:rFonts w:ascii="仿宋" w:hAnsi="仿宋" w:eastAsia="仿宋" w:cs="仿宋"/>
          <w:b/>
          <w:color w:val="auto"/>
          <w:sz w:val="24"/>
        </w:rPr>
      </w:pPr>
      <w:r>
        <w:rPr>
          <w:rFonts w:hint="eastAsia" w:ascii="仿宋" w:hAnsi="仿宋" w:eastAsia="仿宋" w:cs="仿宋"/>
          <w:b/>
          <w:color w:val="auto"/>
          <w:sz w:val="24"/>
        </w:rPr>
        <w:t>法定代表人（或企业负责人或经营者）授权书</w:t>
      </w:r>
    </w:p>
    <w:p w14:paraId="5D241195">
      <w:pPr>
        <w:spacing w:line="500" w:lineRule="exact"/>
        <w:rPr>
          <w:rFonts w:ascii="仿宋" w:hAnsi="仿宋" w:eastAsia="仿宋" w:cs="仿宋"/>
          <w:color w:val="auto"/>
          <w:sz w:val="24"/>
        </w:rPr>
      </w:pPr>
    </w:p>
    <w:p w14:paraId="45AFB8CD">
      <w:pPr>
        <w:wordWrap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（供应商全称）法定代表人（或企业负责人或经营者）授权（其委托代理人姓名）为其委托代理人，参加贵处组织的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项目名称）（采购编号）比价谈判活动，全权处理比价谈判活动中的一切事宜。</w:t>
      </w:r>
      <w:r>
        <w:rPr>
          <w:rFonts w:hint="eastAsia" w:ascii="仿宋" w:hAnsi="仿宋" w:eastAsia="仿宋" w:cs="仿宋"/>
          <w:b/>
          <w:color w:val="auto"/>
          <w:sz w:val="24"/>
        </w:rPr>
        <w:t>附委托代理人身份证复印件。</w:t>
      </w:r>
    </w:p>
    <w:p w14:paraId="324359E9">
      <w:pPr>
        <w:spacing w:line="500" w:lineRule="exact"/>
        <w:rPr>
          <w:rFonts w:ascii="仿宋" w:hAnsi="仿宋" w:eastAsia="仿宋" w:cs="仿宋"/>
          <w:color w:val="auto"/>
          <w:sz w:val="24"/>
        </w:rPr>
      </w:pPr>
    </w:p>
    <w:p w14:paraId="25AF6A0D">
      <w:pPr>
        <w:spacing w:line="500" w:lineRule="exact"/>
        <w:ind w:firstLine="2640" w:firstLineChars="1100"/>
        <w:rPr>
          <w:rFonts w:ascii="仿宋" w:hAnsi="仿宋" w:eastAsia="仿宋" w:cs="仿宋"/>
          <w:color w:val="auto"/>
          <w:sz w:val="24"/>
        </w:rPr>
      </w:pPr>
    </w:p>
    <w:p w14:paraId="29FAB344">
      <w:pPr>
        <w:spacing w:line="500" w:lineRule="exact"/>
        <w:ind w:firstLine="2640" w:firstLineChars="1100"/>
        <w:rPr>
          <w:rFonts w:ascii="仿宋" w:hAnsi="仿宋" w:eastAsia="仿宋" w:cs="仿宋"/>
          <w:color w:val="auto"/>
          <w:sz w:val="24"/>
        </w:rPr>
      </w:pPr>
      <w:r>
        <w:rPr>
          <w:rFonts w:hint="eastAsia" w:ascii="仿宋" w:hAnsi="仿宋" w:eastAsia="仿宋" w:cs="仿宋"/>
          <w:color w:val="auto"/>
          <w:sz w:val="24"/>
        </w:rPr>
        <w:t xml:space="preserve">供应商（单位公章）： </w:t>
      </w:r>
    </w:p>
    <w:p w14:paraId="1322F772">
      <w:pPr>
        <w:spacing w:line="500" w:lineRule="exact"/>
        <w:ind w:firstLine="2640" w:firstLineChars="1100"/>
        <w:rPr>
          <w:rFonts w:ascii="仿宋" w:hAnsi="仿宋" w:eastAsia="仿宋" w:cs="仿宋"/>
          <w:color w:val="auto"/>
          <w:sz w:val="24"/>
        </w:rPr>
      </w:pPr>
      <w:r>
        <w:rPr>
          <w:rFonts w:hint="eastAsia" w:ascii="仿宋" w:hAnsi="仿宋" w:eastAsia="仿宋" w:cs="仿宋"/>
          <w:color w:val="auto"/>
          <w:sz w:val="24"/>
        </w:rPr>
        <w:t>法定代表人（或企业负责人或经营者）（签字或盖章）：</w:t>
      </w:r>
    </w:p>
    <w:p w14:paraId="593B64EE">
      <w:pPr>
        <w:spacing w:line="500" w:lineRule="exact"/>
        <w:ind w:firstLine="2640" w:firstLineChars="1100"/>
        <w:jc w:val="left"/>
        <w:rPr>
          <w:rFonts w:ascii="仿宋" w:hAnsi="仿宋" w:eastAsia="仿宋" w:cs="仿宋"/>
          <w:color w:val="auto"/>
          <w:sz w:val="24"/>
        </w:rPr>
      </w:pPr>
      <w:r>
        <w:rPr>
          <w:rFonts w:hint="eastAsia" w:ascii="仿宋" w:hAnsi="仿宋" w:eastAsia="仿宋" w:cs="仿宋"/>
          <w:color w:val="auto"/>
          <w:sz w:val="24"/>
          <w:lang w:eastAsia="zh-CN"/>
        </w:rPr>
        <w:t xml:space="preserve">二○二  </w:t>
      </w:r>
      <w:r>
        <w:rPr>
          <w:rFonts w:hint="eastAsia" w:ascii="仿宋" w:hAnsi="仿宋" w:eastAsia="仿宋" w:cs="仿宋"/>
          <w:color w:val="auto"/>
          <w:sz w:val="24"/>
        </w:rPr>
        <w:t>年  月  日</w:t>
      </w:r>
    </w:p>
    <w:p w14:paraId="32ABC839">
      <w:pPr>
        <w:spacing w:line="500" w:lineRule="exact"/>
        <w:rPr>
          <w:rFonts w:ascii="仿宋" w:hAnsi="仿宋" w:eastAsia="仿宋" w:cs="仿宋"/>
          <w:color w:val="auto"/>
          <w:sz w:val="24"/>
        </w:rPr>
      </w:pPr>
      <w:r>
        <w:rPr>
          <w:rFonts w:hint="eastAsia" w:ascii="仿宋" w:hAnsi="仿宋" w:eastAsia="仿宋" w:cs="仿宋"/>
          <w:color w:val="auto"/>
          <w:sz w:val="24"/>
        </w:rPr>
        <w:t>附：</w:t>
      </w:r>
    </w:p>
    <w:p w14:paraId="6D1B3130">
      <w:pPr>
        <w:spacing w:line="560" w:lineRule="exact"/>
        <w:rPr>
          <w:rFonts w:ascii="仿宋" w:hAnsi="仿宋" w:eastAsia="仿宋" w:cs="仿宋"/>
          <w:color w:val="auto"/>
          <w:sz w:val="24"/>
        </w:rPr>
      </w:pPr>
      <w:r>
        <w:rPr>
          <w:rFonts w:hint="eastAsia" w:ascii="仿宋" w:hAnsi="仿宋" w:eastAsia="仿宋" w:cs="仿宋"/>
          <w:color w:val="auto"/>
          <w:sz w:val="24"/>
        </w:rPr>
        <w:t xml:space="preserve">    委托代理人姓名（签字或盖章）： </w:t>
      </w:r>
    </w:p>
    <w:p w14:paraId="58AD300B">
      <w:pPr>
        <w:spacing w:line="560" w:lineRule="exact"/>
        <w:rPr>
          <w:rFonts w:ascii="仿宋" w:hAnsi="仿宋" w:eastAsia="仿宋" w:cs="仿宋"/>
          <w:color w:val="auto"/>
          <w:sz w:val="24"/>
        </w:rPr>
      </w:pPr>
      <w:r>
        <w:rPr>
          <w:rFonts w:hint="eastAsia" w:ascii="仿宋" w:hAnsi="仿宋" w:eastAsia="仿宋" w:cs="仿宋"/>
          <w:color w:val="auto"/>
          <w:sz w:val="24"/>
        </w:rPr>
        <w:t xml:space="preserve">    职    务：</w:t>
      </w:r>
    </w:p>
    <w:p w14:paraId="766D7B7B">
      <w:pPr>
        <w:spacing w:line="560" w:lineRule="exact"/>
        <w:rPr>
          <w:rFonts w:ascii="仿宋" w:hAnsi="仿宋" w:eastAsia="仿宋" w:cs="仿宋"/>
          <w:color w:val="auto"/>
          <w:sz w:val="24"/>
        </w:rPr>
      </w:pPr>
      <w:r>
        <w:rPr>
          <w:rFonts w:hint="eastAsia" w:ascii="仿宋" w:hAnsi="仿宋" w:eastAsia="仿宋" w:cs="仿宋"/>
          <w:color w:val="auto"/>
          <w:sz w:val="24"/>
        </w:rPr>
        <w:t xml:space="preserve">    通讯地址：</w:t>
      </w:r>
    </w:p>
    <w:p w14:paraId="53806C3C">
      <w:pPr>
        <w:spacing w:line="560" w:lineRule="exact"/>
        <w:rPr>
          <w:rFonts w:ascii="仿宋" w:hAnsi="仿宋" w:eastAsia="仿宋" w:cs="仿宋"/>
          <w:color w:val="auto"/>
          <w:sz w:val="24"/>
        </w:rPr>
      </w:pPr>
      <w:r>
        <w:rPr>
          <w:rFonts w:hint="eastAsia" w:ascii="仿宋" w:hAnsi="仿宋" w:eastAsia="仿宋" w:cs="仿宋"/>
          <w:color w:val="auto"/>
          <w:sz w:val="24"/>
        </w:rPr>
        <w:t xml:space="preserve">    身份证号码：</w:t>
      </w:r>
    </w:p>
    <w:p w14:paraId="06B6D0B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电    话：</w:t>
      </w:r>
    </w:p>
    <w:p w14:paraId="4B4A72D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传    真：</w:t>
      </w:r>
    </w:p>
    <w:p w14:paraId="45ABBE4C">
      <w:pPr>
        <w:widowControl/>
        <w:jc w:val="left"/>
        <w:rPr>
          <w:rFonts w:ascii="仿宋" w:hAnsi="仿宋" w:eastAsia="仿宋" w:cs="仿宋"/>
          <w:color w:val="auto"/>
          <w:sz w:val="24"/>
        </w:rPr>
      </w:pPr>
      <w:r>
        <w:rPr>
          <w:rFonts w:ascii="仿宋" w:hAnsi="仿宋" w:eastAsia="仿宋" w:cs="仿宋"/>
          <w:color w:val="auto"/>
          <w:sz w:val="24"/>
        </w:rPr>
        <w:br w:type="page"/>
      </w:r>
    </w:p>
    <w:p w14:paraId="4765973B">
      <w:pPr>
        <w:widowControl/>
        <w:jc w:val="left"/>
        <w:rPr>
          <w:rFonts w:ascii="仿宋" w:hAnsi="仿宋" w:eastAsia="仿宋" w:cs="仿宋"/>
          <w:b/>
          <w:color w:val="auto"/>
          <w:sz w:val="24"/>
        </w:rPr>
      </w:pPr>
    </w:p>
    <w:p w14:paraId="37958DC1">
      <w:pPr>
        <w:widowControl/>
        <w:jc w:val="left"/>
        <w:rPr>
          <w:rFonts w:ascii="仿宋" w:hAnsi="仿宋" w:eastAsia="仿宋" w:cs="仿宋"/>
          <w:b/>
          <w:color w:val="auto"/>
          <w:sz w:val="24"/>
        </w:rPr>
      </w:pPr>
    </w:p>
    <w:p w14:paraId="0FC1C314">
      <w:pPr>
        <w:widowControl/>
        <w:jc w:val="left"/>
        <w:rPr>
          <w:rFonts w:ascii="仿宋" w:hAnsi="仿宋" w:eastAsia="仿宋" w:cs="仿宋"/>
          <w:color w:val="auto"/>
          <w:sz w:val="24"/>
        </w:rPr>
      </w:pPr>
      <w:r>
        <w:rPr>
          <w:rFonts w:hint="eastAsia" w:ascii="仿宋" w:hAnsi="仿宋" w:eastAsia="仿宋" w:cs="仿宋"/>
          <w:color w:val="auto"/>
          <w:sz w:val="24"/>
        </w:rPr>
        <w:t>商务技术部分封面</w:t>
      </w:r>
    </w:p>
    <w:p w14:paraId="7AA28DA4">
      <w:pPr>
        <w:spacing w:line="1000" w:lineRule="exact"/>
        <w:jc w:val="center"/>
        <w:rPr>
          <w:rFonts w:ascii="仿宋" w:hAnsi="仿宋" w:eastAsia="仿宋" w:cs="仿宋"/>
          <w:color w:val="auto"/>
          <w:sz w:val="24"/>
        </w:rPr>
      </w:pPr>
      <w:r>
        <w:rPr>
          <w:rFonts w:hint="eastAsia" w:ascii="仿宋" w:hAnsi="仿宋" w:eastAsia="仿宋" w:cs="仿宋"/>
          <w:color w:val="auto"/>
          <w:sz w:val="24"/>
        </w:rPr>
        <w:t>比价谈判响应文件（商务技术部分）</w:t>
      </w:r>
    </w:p>
    <w:p w14:paraId="6C55997C">
      <w:pPr>
        <w:jc w:val="center"/>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正本</w:t>
      </w:r>
      <w:r>
        <w:rPr>
          <w:rFonts w:hint="eastAsia" w:ascii="仿宋" w:hAnsi="仿宋" w:eastAsia="仿宋" w:cs="仿宋"/>
          <w:color w:val="auto"/>
          <w:sz w:val="24"/>
        </w:rPr>
        <w:t>）</w:t>
      </w:r>
    </w:p>
    <w:p w14:paraId="39EF9DF8">
      <w:pPr>
        <w:jc w:val="center"/>
        <w:rPr>
          <w:rFonts w:ascii="仿宋" w:hAnsi="仿宋" w:eastAsia="仿宋" w:cs="仿宋"/>
          <w:color w:val="auto"/>
          <w:sz w:val="24"/>
        </w:rPr>
      </w:pPr>
    </w:p>
    <w:p w14:paraId="7EB966BD">
      <w:pPr>
        <w:jc w:val="center"/>
        <w:rPr>
          <w:rFonts w:ascii="仿宋" w:hAnsi="仿宋" w:eastAsia="仿宋" w:cs="仿宋"/>
          <w:color w:val="auto"/>
          <w:sz w:val="24"/>
        </w:rPr>
      </w:pPr>
    </w:p>
    <w:p w14:paraId="5C1E7596">
      <w:pPr>
        <w:jc w:val="center"/>
        <w:rPr>
          <w:rFonts w:ascii="仿宋" w:hAnsi="仿宋" w:eastAsia="仿宋" w:cs="仿宋"/>
          <w:color w:val="auto"/>
          <w:sz w:val="24"/>
        </w:rPr>
      </w:pPr>
    </w:p>
    <w:p w14:paraId="226C0635">
      <w:pPr>
        <w:tabs>
          <w:tab w:val="left" w:pos="6930"/>
        </w:tabs>
        <w:spacing w:line="360" w:lineRule="auto"/>
        <w:rPr>
          <w:rFonts w:ascii="仿宋" w:hAnsi="仿宋" w:eastAsia="仿宋" w:cs="仿宋"/>
          <w:color w:val="auto"/>
          <w:sz w:val="24"/>
        </w:rPr>
      </w:pPr>
      <w:r>
        <w:rPr>
          <w:rFonts w:hint="eastAsia" w:ascii="仿宋" w:hAnsi="仿宋" w:eastAsia="仿宋" w:cs="仿宋"/>
          <w:color w:val="auto"/>
          <w:sz w:val="24"/>
        </w:rPr>
        <w:t xml:space="preserve">        项目编号:</w:t>
      </w:r>
    </w:p>
    <w:p w14:paraId="13DC7382">
      <w:pPr>
        <w:tabs>
          <w:tab w:val="left" w:pos="7350"/>
        </w:tabs>
        <w:spacing w:line="360"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项目名称：</w:t>
      </w:r>
    </w:p>
    <w:p w14:paraId="670B44AF">
      <w:pPr>
        <w:spacing w:line="360"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供应商：</w:t>
      </w:r>
    </w:p>
    <w:p w14:paraId="38FB91D4">
      <w:pPr>
        <w:rPr>
          <w:rFonts w:ascii="仿宋" w:hAnsi="仿宋" w:eastAsia="仿宋" w:cs="仿宋"/>
          <w:color w:val="auto"/>
          <w:sz w:val="24"/>
        </w:rPr>
      </w:pPr>
    </w:p>
    <w:p w14:paraId="0AFA4506">
      <w:pPr>
        <w:rPr>
          <w:rFonts w:ascii="仿宋" w:hAnsi="仿宋" w:eastAsia="仿宋" w:cs="仿宋"/>
          <w:color w:val="auto"/>
          <w:sz w:val="24"/>
        </w:rPr>
      </w:pPr>
    </w:p>
    <w:p w14:paraId="50B0D347">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p w14:paraId="2EF253AC">
      <w:pPr>
        <w:ind w:left="2100" w:leftChars="1000" w:firstLine="228" w:firstLineChars="95"/>
        <w:rPr>
          <w:rFonts w:ascii="仿宋" w:hAnsi="仿宋" w:eastAsia="仿宋" w:cs="仿宋"/>
          <w:color w:val="auto"/>
          <w:sz w:val="24"/>
        </w:rPr>
      </w:pPr>
      <w:r>
        <w:rPr>
          <w:rFonts w:hint="eastAsia" w:ascii="仿宋" w:hAnsi="仿宋" w:eastAsia="仿宋" w:cs="仿宋"/>
          <w:color w:val="auto"/>
          <w:sz w:val="24"/>
        </w:rPr>
        <w:t>二○二</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年月日</w:t>
      </w:r>
    </w:p>
    <w:p w14:paraId="76A26476">
      <w:pPr>
        <w:rPr>
          <w:rFonts w:ascii="仿宋" w:hAnsi="仿宋" w:eastAsia="仿宋" w:cs="仿宋"/>
          <w:color w:val="auto"/>
          <w:sz w:val="24"/>
        </w:rPr>
      </w:pPr>
    </w:p>
    <w:p w14:paraId="719E91BD">
      <w:pPr>
        <w:rPr>
          <w:rFonts w:ascii="仿宋" w:hAnsi="仿宋" w:eastAsia="仿宋" w:cs="仿宋"/>
          <w:color w:val="auto"/>
          <w:sz w:val="24"/>
        </w:rPr>
      </w:pPr>
    </w:p>
    <w:p w14:paraId="34A8D839">
      <w:pPr>
        <w:rPr>
          <w:rFonts w:ascii="仿宋" w:hAnsi="仿宋" w:eastAsia="仿宋" w:cs="仿宋"/>
          <w:color w:val="auto"/>
          <w:sz w:val="24"/>
        </w:rPr>
      </w:pPr>
    </w:p>
    <w:p w14:paraId="5AB7A521">
      <w:pPr>
        <w:rPr>
          <w:rFonts w:ascii="仿宋" w:hAnsi="仿宋" w:eastAsia="仿宋" w:cs="仿宋"/>
          <w:color w:val="auto"/>
          <w:sz w:val="24"/>
        </w:rPr>
      </w:pPr>
    </w:p>
    <w:p w14:paraId="7A3BE542">
      <w:pPr>
        <w:pStyle w:val="20"/>
        <w:ind w:left="420" w:firstLine="400"/>
        <w:rPr>
          <w:rFonts w:ascii="仿宋" w:hAnsi="仿宋" w:eastAsia="仿宋" w:cs="仿宋"/>
          <w:color w:val="auto"/>
        </w:rPr>
      </w:pPr>
    </w:p>
    <w:p w14:paraId="41C82A09">
      <w:pPr>
        <w:pStyle w:val="20"/>
        <w:ind w:left="420" w:firstLine="400"/>
        <w:rPr>
          <w:rFonts w:ascii="仿宋" w:hAnsi="仿宋" w:eastAsia="仿宋" w:cs="仿宋"/>
          <w:color w:val="auto"/>
        </w:rPr>
      </w:pPr>
    </w:p>
    <w:p w14:paraId="7504C0B7">
      <w:pPr>
        <w:pStyle w:val="20"/>
        <w:ind w:left="420" w:firstLine="400"/>
        <w:rPr>
          <w:rFonts w:ascii="仿宋" w:hAnsi="仿宋" w:eastAsia="仿宋" w:cs="仿宋"/>
          <w:color w:val="auto"/>
        </w:rPr>
      </w:pPr>
    </w:p>
    <w:p w14:paraId="36514D72">
      <w:pPr>
        <w:pStyle w:val="20"/>
        <w:ind w:left="420" w:firstLine="400"/>
        <w:rPr>
          <w:rFonts w:ascii="仿宋" w:hAnsi="仿宋" w:eastAsia="仿宋" w:cs="仿宋"/>
          <w:color w:val="auto"/>
        </w:rPr>
      </w:pPr>
    </w:p>
    <w:p w14:paraId="69DD499C">
      <w:pPr>
        <w:pStyle w:val="20"/>
        <w:ind w:left="420" w:firstLine="400"/>
        <w:rPr>
          <w:rFonts w:ascii="仿宋" w:hAnsi="仿宋" w:eastAsia="仿宋" w:cs="仿宋"/>
          <w:color w:val="auto"/>
        </w:rPr>
      </w:pPr>
    </w:p>
    <w:p w14:paraId="648478E4">
      <w:pPr>
        <w:pStyle w:val="20"/>
        <w:ind w:left="420" w:firstLine="400"/>
        <w:rPr>
          <w:rFonts w:ascii="仿宋" w:hAnsi="仿宋" w:eastAsia="仿宋" w:cs="仿宋"/>
          <w:color w:val="auto"/>
        </w:rPr>
      </w:pPr>
    </w:p>
    <w:p w14:paraId="2FE87B0B">
      <w:pPr>
        <w:pStyle w:val="20"/>
        <w:ind w:left="420" w:firstLine="400"/>
        <w:rPr>
          <w:rFonts w:ascii="仿宋" w:hAnsi="仿宋" w:eastAsia="仿宋" w:cs="仿宋"/>
          <w:color w:val="auto"/>
        </w:rPr>
      </w:pPr>
    </w:p>
    <w:p w14:paraId="74E6A6FA">
      <w:pPr>
        <w:pStyle w:val="20"/>
        <w:ind w:left="420" w:firstLine="400"/>
        <w:rPr>
          <w:rFonts w:ascii="仿宋" w:hAnsi="仿宋" w:eastAsia="仿宋" w:cs="仿宋"/>
          <w:color w:val="auto"/>
        </w:rPr>
      </w:pPr>
    </w:p>
    <w:p w14:paraId="7F614A0A">
      <w:pPr>
        <w:pStyle w:val="20"/>
        <w:ind w:left="420" w:firstLine="400"/>
        <w:rPr>
          <w:rFonts w:ascii="仿宋" w:hAnsi="仿宋" w:eastAsia="仿宋" w:cs="仿宋"/>
          <w:color w:val="auto"/>
        </w:rPr>
      </w:pPr>
    </w:p>
    <w:p w14:paraId="47EA6ED9">
      <w:pPr>
        <w:pStyle w:val="20"/>
        <w:ind w:left="420" w:firstLine="400"/>
        <w:rPr>
          <w:rFonts w:ascii="仿宋" w:hAnsi="仿宋" w:eastAsia="仿宋" w:cs="仿宋"/>
          <w:color w:val="auto"/>
        </w:rPr>
      </w:pPr>
    </w:p>
    <w:p w14:paraId="2A888543">
      <w:pPr>
        <w:pStyle w:val="20"/>
        <w:ind w:left="420" w:firstLine="400"/>
        <w:rPr>
          <w:rFonts w:ascii="仿宋" w:hAnsi="仿宋" w:eastAsia="仿宋" w:cs="仿宋"/>
          <w:color w:val="auto"/>
        </w:rPr>
      </w:pPr>
    </w:p>
    <w:p w14:paraId="42C82C0E">
      <w:pPr>
        <w:pStyle w:val="20"/>
        <w:ind w:left="420" w:firstLine="400"/>
        <w:rPr>
          <w:rFonts w:ascii="仿宋" w:hAnsi="仿宋" w:eastAsia="仿宋" w:cs="仿宋"/>
          <w:color w:val="auto"/>
        </w:rPr>
      </w:pPr>
    </w:p>
    <w:p w14:paraId="3AB5EA44">
      <w:pPr>
        <w:pStyle w:val="20"/>
        <w:ind w:left="420" w:firstLine="400"/>
        <w:rPr>
          <w:rFonts w:ascii="仿宋" w:hAnsi="仿宋" w:eastAsia="仿宋" w:cs="仿宋"/>
          <w:color w:val="auto"/>
        </w:rPr>
      </w:pPr>
    </w:p>
    <w:p w14:paraId="6AEF6084">
      <w:pPr>
        <w:pStyle w:val="20"/>
        <w:ind w:left="420" w:firstLine="400"/>
        <w:rPr>
          <w:rFonts w:ascii="仿宋" w:hAnsi="仿宋" w:eastAsia="仿宋" w:cs="仿宋"/>
          <w:color w:val="auto"/>
        </w:rPr>
      </w:pPr>
    </w:p>
    <w:p w14:paraId="2708EF2F">
      <w:pPr>
        <w:pStyle w:val="20"/>
        <w:ind w:left="420" w:firstLine="400"/>
        <w:rPr>
          <w:rFonts w:ascii="仿宋" w:hAnsi="仿宋" w:eastAsia="仿宋" w:cs="仿宋"/>
          <w:color w:val="auto"/>
        </w:rPr>
      </w:pPr>
    </w:p>
    <w:p w14:paraId="2F1E8972">
      <w:pPr>
        <w:pStyle w:val="20"/>
        <w:ind w:left="420" w:firstLine="400"/>
        <w:rPr>
          <w:rFonts w:ascii="仿宋" w:hAnsi="仿宋" w:eastAsia="仿宋" w:cs="仿宋"/>
          <w:color w:val="auto"/>
        </w:rPr>
      </w:pPr>
    </w:p>
    <w:p w14:paraId="0C3E0908">
      <w:pPr>
        <w:pStyle w:val="20"/>
        <w:ind w:left="420" w:firstLine="400"/>
        <w:rPr>
          <w:rFonts w:ascii="仿宋" w:hAnsi="仿宋" w:eastAsia="仿宋" w:cs="仿宋"/>
          <w:color w:val="auto"/>
        </w:rPr>
      </w:pPr>
    </w:p>
    <w:p w14:paraId="1C8D0189">
      <w:pPr>
        <w:pStyle w:val="20"/>
        <w:ind w:left="420" w:firstLine="400"/>
        <w:rPr>
          <w:rFonts w:ascii="仿宋" w:hAnsi="仿宋" w:eastAsia="仿宋" w:cs="仿宋"/>
          <w:color w:val="auto"/>
        </w:rPr>
      </w:pPr>
    </w:p>
    <w:p w14:paraId="554D0CD7">
      <w:pPr>
        <w:pStyle w:val="20"/>
        <w:ind w:left="420" w:firstLine="400"/>
        <w:rPr>
          <w:rFonts w:ascii="仿宋" w:hAnsi="仿宋" w:eastAsia="仿宋" w:cs="仿宋"/>
          <w:color w:val="auto"/>
        </w:rPr>
      </w:pPr>
    </w:p>
    <w:p w14:paraId="639A7A8B">
      <w:pPr>
        <w:pStyle w:val="20"/>
        <w:ind w:left="420" w:firstLine="400"/>
        <w:rPr>
          <w:rFonts w:ascii="仿宋" w:hAnsi="仿宋" w:eastAsia="仿宋" w:cs="仿宋"/>
          <w:color w:val="auto"/>
        </w:rPr>
      </w:pPr>
    </w:p>
    <w:p w14:paraId="4837908E">
      <w:pPr>
        <w:rPr>
          <w:rFonts w:ascii="仿宋" w:hAnsi="仿宋" w:eastAsia="仿宋" w:cs="仿宋"/>
          <w:color w:val="auto"/>
          <w:sz w:val="24"/>
        </w:rPr>
      </w:pPr>
    </w:p>
    <w:p w14:paraId="1561893D">
      <w:pPr>
        <w:tabs>
          <w:tab w:val="left" w:pos="720"/>
        </w:tabs>
        <w:ind w:left="720" w:hanging="720"/>
        <w:jc w:val="center"/>
        <w:outlineLvl w:val="1"/>
        <w:rPr>
          <w:rFonts w:ascii="仿宋" w:hAnsi="仿宋" w:eastAsia="仿宋" w:cs="仿宋"/>
          <w:color w:val="auto"/>
          <w:sz w:val="24"/>
        </w:rPr>
      </w:pPr>
      <w:r>
        <w:rPr>
          <w:rFonts w:hint="eastAsia" w:ascii="仿宋" w:hAnsi="仿宋" w:eastAsia="仿宋" w:cs="仿宋"/>
          <w:color w:val="auto"/>
          <w:sz w:val="24"/>
        </w:rPr>
        <w:t>三、商务技术部分目录</w:t>
      </w:r>
    </w:p>
    <w:p w14:paraId="7F9C4284">
      <w:pPr>
        <w:outlineLvl w:val="1"/>
        <w:rPr>
          <w:rFonts w:ascii="仿宋" w:hAnsi="仿宋" w:eastAsia="仿宋" w:cs="仿宋"/>
          <w:b/>
          <w:color w:val="auto"/>
        </w:rPr>
      </w:pPr>
    </w:p>
    <w:p w14:paraId="59873445">
      <w:pPr>
        <w:snapToGrid w:val="0"/>
        <w:spacing w:line="360" w:lineRule="auto"/>
        <w:rPr>
          <w:rFonts w:ascii="仿宋" w:hAnsi="仿宋" w:eastAsia="仿宋" w:cs="仿宋"/>
          <w:b/>
          <w:bCs/>
          <w:color w:val="auto"/>
          <w:sz w:val="24"/>
        </w:rPr>
      </w:pPr>
      <w:r>
        <w:rPr>
          <w:rFonts w:hint="eastAsia" w:ascii="仿宋" w:hAnsi="仿宋" w:eastAsia="仿宋" w:cs="仿宋"/>
          <w:b/>
          <w:bCs/>
          <w:color w:val="auto"/>
          <w:sz w:val="24"/>
        </w:rPr>
        <w:t>7.3商务技术部分：</w:t>
      </w:r>
    </w:p>
    <w:p w14:paraId="4459D6BA">
      <w:pPr>
        <w:snapToGrid w:val="0"/>
        <w:spacing w:line="360" w:lineRule="auto"/>
        <w:rPr>
          <w:rFonts w:ascii="仿宋" w:hAnsi="仿宋" w:eastAsia="仿宋" w:cs="仿宋"/>
          <w:color w:val="auto"/>
          <w:sz w:val="24"/>
        </w:rPr>
      </w:pPr>
      <w:r>
        <w:rPr>
          <w:rFonts w:hint="eastAsia" w:ascii="仿宋" w:hAnsi="仿宋" w:eastAsia="仿宋" w:cs="仿宋"/>
          <w:color w:val="auto"/>
          <w:sz w:val="24"/>
        </w:rPr>
        <w:t>7.3.1商务技术部分封面（格式自拟）；</w:t>
      </w:r>
    </w:p>
    <w:p w14:paraId="046D6784">
      <w:pPr>
        <w:snapToGrid w:val="0"/>
        <w:spacing w:line="360" w:lineRule="auto"/>
        <w:rPr>
          <w:rFonts w:ascii="仿宋" w:hAnsi="仿宋" w:eastAsia="仿宋" w:cs="仿宋"/>
          <w:color w:val="auto"/>
          <w:sz w:val="24"/>
        </w:rPr>
      </w:pPr>
      <w:r>
        <w:rPr>
          <w:rFonts w:hint="eastAsia" w:ascii="仿宋" w:hAnsi="仿宋" w:eastAsia="仿宋" w:cs="仿宋"/>
          <w:color w:val="auto"/>
          <w:sz w:val="24"/>
        </w:rPr>
        <w:t>7.3.2商务技术部分目录（格式自拟）；</w:t>
      </w:r>
    </w:p>
    <w:p w14:paraId="34BD7023">
      <w:pPr>
        <w:snapToGrid w:val="0"/>
        <w:spacing w:line="360" w:lineRule="auto"/>
        <w:rPr>
          <w:rFonts w:ascii="仿宋" w:hAnsi="仿宋" w:eastAsia="仿宋" w:cs="仿宋"/>
          <w:color w:val="auto"/>
          <w:sz w:val="24"/>
        </w:rPr>
      </w:pPr>
      <w:r>
        <w:rPr>
          <w:rFonts w:hint="eastAsia" w:ascii="仿宋" w:hAnsi="仿宋" w:eastAsia="仿宋" w:cs="仿宋"/>
          <w:color w:val="auto"/>
          <w:sz w:val="24"/>
        </w:rPr>
        <w:t>7.3.3▲供应商情况表（附件七）；</w:t>
      </w:r>
    </w:p>
    <w:p w14:paraId="426E4B41">
      <w:pPr>
        <w:snapToGrid w:val="0"/>
        <w:spacing w:line="360" w:lineRule="auto"/>
        <w:rPr>
          <w:rFonts w:ascii="仿宋" w:hAnsi="仿宋" w:eastAsia="仿宋" w:cs="仿宋"/>
          <w:color w:val="auto"/>
          <w:sz w:val="24"/>
        </w:rPr>
      </w:pPr>
      <w:r>
        <w:rPr>
          <w:rFonts w:hint="eastAsia" w:ascii="仿宋" w:hAnsi="仿宋" w:eastAsia="仿宋" w:cs="仿宋"/>
          <w:color w:val="auto"/>
          <w:sz w:val="24"/>
        </w:rPr>
        <w:t>7.3.4▲服务要求与合同条款偏离表（附件八）；</w:t>
      </w:r>
    </w:p>
    <w:p w14:paraId="571BD6E0">
      <w:pPr>
        <w:snapToGrid w:val="0"/>
        <w:spacing w:line="360" w:lineRule="auto"/>
        <w:rPr>
          <w:rFonts w:ascii="仿宋" w:hAnsi="仿宋" w:eastAsia="仿宋" w:cs="仿宋"/>
          <w:color w:val="auto"/>
          <w:sz w:val="24"/>
        </w:rPr>
      </w:pPr>
      <w:r>
        <w:rPr>
          <w:rFonts w:hint="eastAsia" w:ascii="仿宋" w:hAnsi="仿宋" w:eastAsia="仿宋" w:cs="仿宋"/>
          <w:color w:val="auto"/>
          <w:sz w:val="24"/>
        </w:rPr>
        <w:t>7.2.5为满足评审标准得分而需提供的资料（如有需提供）；</w:t>
      </w:r>
    </w:p>
    <w:p w14:paraId="41405146">
      <w:pPr>
        <w:snapToGrid w:val="0"/>
        <w:spacing w:line="360" w:lineRule="auto"/>
        <w:rPr>
          <w:rFonts w:ascii="仿宋" w:hAnsi="仿宋" w:eastAsia="仿宋" w:cs="仿宋"/>
          <w:color w:val="auto"/>
          <w:sz w:val="24"/>
        </w:rPr>
      </w:pPr>
      <w:r>
        <w:rPr>
          <w:rFonts w:hint="eastAsia" w:ascii="仿宋" w:hAnsi="仿宋" w:eastAsia="仿宋" w:cs="仿宋"/>
          <w:color w:val="auto"/>
          <w:sz w:val="24"/>
        </w:rPr>
        <w:t>7.2.6其他需提供的资料。</w:t>
      </w:r>
    </w:p>
    <w:p w14:paraId="3D82CA53">
      <w:pPr>
        <w:outlineLvl w:val="1"/>
        <w:rPr>
          <w:rFonts w:ascii="仿宋" w:hAnsi="仿宋" w:eastAsia="仿宋" w:cs="仿宋"/>
          <w:color w:val="auto"/>
          <w:sz w:val="24"/>
        </w:rPr>
        <w:sectPr>
          <w:pgSz w:w="11907" w:h="16840"/>
          <w:pgMar w:top="1440" w:right="1440" w:bottom="1440" w:left="1440" w:header="851" w:footer="992" w:gutter="0"/>
          <w:cols w:space="720" w:num="1"/>
          <w:docGrid w:linePitch="312" w:charSpace="0"/>
        </w:sectPr>
      </w:pPr>
      <w:r>
        <w:rPr>
          <w:rFonts w:hint="eastAsia" w:ascii="仿宋" w:hAnsi="仿宋" w:eastAsia="仿宋" w:cs="仿宋"/>
          <w:b/>
          <w:color w:val="auto"/>
        </w:rPr>
        <w:t>重要提示：请自行完善目录与页码（目录可自行编制），便于阅读与查阅。因编制混乱，导致漏读误读，责任由供应商承担。</w:t>
      </w:r>
    </w:p>
    <w:p w14:paraId="78BB4639">
      <w:pPr>
        <w:outlineLvl w:val="1"/>
        <w:rPr>
          <w:rFonts w:ascii="仿宋" w:hAnsi="仿宋" w:eastAsia="仿宋" w:cs="仿宋"/>
          <w:color w:val="auto"/>
          <w:sz w:val="24"/>
        </w:rPr>
      </w:pPr>
      <w:r>
        <w:rPr>
          <w:rFonts w:hint="eastAsia" w:ascii="仿宋" w:hAnsi="仿宋" w:eastAsia="仿宋" w:cs="仿宋"/>
          <w:color w:val="auto"/>
          <w:sz w:val="24"/>
        </w:rPr>
        <w:t xml:space="preserve">附件七                            </w:t>
      </w:r>
    </w:p>
    <w:p w14:paraId="08AD0A51">
      <w:pPr>
        <w:jc w:val="center"/>
        <w:rPr>
          <w:rFonts w:ascii="仿宋" w:hAnsi="仿宋" w:eastAsia="仿宋" w:cs="仿宋"/>
          <w:bCs/>
          <w:color w:val="auto"/>
          <w:sz w:val="24"/>
        </w:rPr>
      </w:pPr>
      <w:r>
        <w:rPr>
          <w:rFonts w:hint="eastAsia" w:ascii="仿宋" w:hAnsi="仿宋" w:eastAsia="仿宋" w:cs="仿宋"/>
          <w:bCs/>
          <w:color w:val="auto"/>
          <w:sz w:val="24"/>
        </w:rPr>
        <w:t>供应商情况表</w:t>
      </w:r>
    </w:p>
    <w:p w14:paraId="66318BF2">
      <w:pPr>
        <w:rPr>
          <w:rFonts w:ascii="仿宋" w:hAnsi="仿宋" w:eastAsia="仿宋" w:cs="仿宋"/>
          <w:color w:val="auto"/>
          <w:sz w:val="24"/>
        </w:rPr>
      </w:pPr>
    </w:p>
    <w:tbl>
      <w:tblPr>
        <w:tblStyle w:val="49"/>
        <w:tblW w:w="9073"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5D46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52C37148">
            <w:pPr>
              <w:spacing w:line="360" w:lineRule="auto"/>
              <w:rPr>
                <w:rFonts w:ascii="仿宋" w:hAnsi="仿宋" w:eastAsia="仿宋" w:cs="仿宋"/>
                <w:color w:val="auto"/>
              </w:rPr>
            </w:pPr>
            <w:r>
              <w:rPr>
                <w:rFonts w:hint="eastAsia" w:ascii="仿宋" w:hAnsi="仿宋" w:eastAsia="仿宋" w:cs="仿宋"/>
                <w:color w:val="auto"/>
              </w:rPr>
              <w:t>供应商名称</w:t>
            </w:r>
          </w:p>
        </w:tc>
        <w:tc>
          <w:tcPr>
            <w:tcW w:w="7302" w:type="dxa"/>
            <w:gridSpan w:val="10"/>
            <w:vAlign w:val="center"/>
          </w:tcPr>
          <w:p w14:paraId="4BB41599">
            <w:pPr>
              <w:spacing w:line="360" w:lineRule="auto"/>
              <w:rPr>
                <w:rFonts w:ascii="仿宋" w:hAnsi="仿宋" w:eastAsia="仿宋" w:cs="仿宋"/>
                <w:color w:val="auto"/>
              </w:rPr>
            </w:pPr>
          </w:p>
        </w:tc>
      </w:tr>
      <w:tr w14:paraId="21C9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56B4E324">
            <w:pPr>
              <w:spacing w:line="360" w:lineRule="auto"/>
              <w:rPr>
                <w:rFonts w:ascii="仿宋" w:hAnsi="仿宋" w:eastAsia="仿宋" w:cs="仿宋"/>
                <w:color w:val="auto"/>
              </w:rPr>
            </w:pPr>
            <w:r>
              <w:rPr>
                <w:rFonts w:hint="eastAsia" w:ascii="仿宋" w:hAnsi="仿宋" w:eastAsia="仿宋" w:cs="仿宋"/>
                <w:color w:val="auto"/>
              </w:rPr>
              <w:t>注册地址</w:t>
            </w:r>
          </w:p>
        </w:tc>
        <w:tc>
          <w:tcPr>
            <w:tcW w:w="3647" w:type="dxa"/>
            <w:gridSpan w:val="4"/>
            <w:vAlign w:val="center"/>
          </w:tcPr>
          <w:p w14:paraId="7DB78B1A">
            <w:pPr>
              <w:spacing w:line="360" w:lineRule="auto"/>
              <w:rPr>
                <w:rFonts w:ascii="仿宋" w:hAnsi="仿宋" w:eastAsia="仿宋" w:cs="仿宋"/>
                <w:color w:val="auto"/>
              </w:rPr>
            </w:pPr>
          </w:p>
        </w:tc>
        <w:tc>
          <w:tcPr>
            <w:tcW w:w="1602" w:type="dxa"/>
            <w:gridSpan w:val="3"/>
            <w:vAlign w:val="center"/>
          </w:tcPr>
          <w:p w14:paraId="06F39814">
            <w:pPr>
              <w:spacing w:line="360" w:lineRule="auto"/>
              <w:rPr>
                <w:rFonts w:ascii="仿宋" w:hAnsi="仿宋" w:eastAsia="仿宋" w:cs="仿宋"/>
                <w:color w:val="auto"/>
              </w:rPr>
            </w:pPr>
            <w:r>
              <w:rPr>
                <w:rFonts w:hint="eastAsia" w:ascii="仿宋" w:hAnsi="仿宋" w:eastAsia="仿宋" w:cs="仿宋"/>
                <w:color w:val="auto"/>
              </w:rPr>
              <w:t>邮政编码</w:t>
            </w:r>
          </w:p>
        </w:tc>
        <w:tc>
          <w:tcPr>
            <w:tcW w:w="2053" w:type="dxa"/>
            <w:gridSpan w:val="3"/>
            <w:vAlign w:val="center"/>
          </w:tcPr>
          <w:p w14:paraId="75FB0537">
            <w:pPr>
              <w:spacing w:line="360" w:lineRule="auto"/>
              <w:rPr>
                <w:rFonts w:ascii="仿宋" w:hAnsi="仿宋" w:eastAsia="仿宋" w:cs="仿宋"/>
                <w:color w:val="auto"/>
              </w:rPr>
            </w:pPr>
          </w:p>
        </w:tc>
      </w:tr>
      <w:tr w14:paraId="796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Merge w:val="restart"/>
            <w:vAlign w:val="center"/>
          </w:tcPr>
          <w:p w14:paraId="7A6DCCB6">
            <w:pPr>
              <w:spacing w:line="360" w:lineRule="auto"/>
              <w:rPr>
                <w:rFonts w:ascii="仿宋" w:hAnsi="仿宋" w:eastAsia="仿宋" w:cs="仿宋"/>
                <w:color w:val="auto"/>
              </w:rPr>
            </w:pPr>
            <w:r>
              <w:rPr>
                <w:rFonts w:hint="eastAsia" w:ascii="仿宋" w:hAnsi="仿宋" w:eastAsia="仿宋" w:cs="仿宋"/>
                <w:color w:val="auto"/>
              </w:rPr>
              <w:t>联系方式</w:t>
            </w:r>
          </w:p>
        </w:tc>
        <w:tc>
          <w:tcPr>
            <w:tcW w:w="1283" w:type="dxa"/>
            <w:gridSpan w:val="2"/>
            <w:vAlign w:val="center"/>
          </w:tcPr>
          <w:p w14:paraId="690A8420">
            <w:pPr>
              <w:spacing w:line="360" w:lineRule="auto"/>
              <w:rPr>
                <w:rFonts w:ascii="仿宋" w:hAnsi="仿宋" w:eastAsia="仿宋" w:cs="仿宋"/>
                <w:color w:val="auto"/>
              </w:rPr>
            </w:pPr>
            <w:r>
              <w:rPr>
                <w:rFonts w:hint="eastAsia" w:ascii="仿宋" w:hAnsi="仿宋" w:eastAsia="仿宋" w:cs="仿宋"/>
                <w:color w:val="auto"/>
              </w:rPr>
              <w:t>联系人</w:t>
            </w:r>
          </w:p>
        </w:tc>
        <w:tc>
          <w:tcPr>
            <w:tcW w:w="2364" w:type="dxa"/>
            <w:gridSpan w:val="2"/>
            <w:vAlign w:val="center"/>
          </w:tcPr>
          <w:p w14:paraId="0B3F39BA">
            <w:pPr>
              <w:spacing w:line="360" w:lineRule="auto"/>
              <w:rPr>
                <w:rFonts w:ascii="仿宋" w:hAnsi="仿宋" w:eastAsia="仿宋" w:cs="仿宋"/>
                <w:color w:val="auto"/>
              </w:rPr>
            </w:pPr>
          </w:p>
        </w:tc>
        <w:tc>
          <w:tcPr>
            <w:tcW w:w="1602" w:type="dxa"/>
            <w:gridSpan w:val="3"/>
            <w:vAlign w:val="center"/>
          </w:tcPr>
          <w:p w14:paraId="109A8628">
            <w:pPr>
              <w:spacing w:line="360" w:lineRule="auto"/>
              <w:rPr>
                <w:rFonts w:ascii="仿宋" w:hAnsi="仿宋" w:eastAsia="仿宋" w:cs="仿宋"/>
                <w:color w:val="auto"/>
              </w:rPr>
            </w:pPr>
            <w:r>
              <w:rPr>
                <w:rFonts w:hint="eastAsia" w:ascii="仿宋" w:hAnsi="仿宋" w:eastAsia="仿宋" w:cs="仿宋"/>
                <w:color w:val="auto"/>
              </w:rPr>
              <w:t>电话</w:t>
            </w:r>
          </w:p>
        </w:tc>
        <w:tc>
          <w:tcPr>
            <w:tcW w:w="2053" w:type="dxa"/>
            <w:gridSpan w:val="3"/>
            <w:vAlign w:val="center"/>
          </w:tcPr>
          <w:p w14:paraId="1D495D52">
            <w:pPr>
              <w:spacing w:line="360" w:lineRule="auto"/>
              <w:rPr>
                <w:rFonts w:ascii="仿宋" w:hAnsi="仿宋" w:eastAsia="仿宋" w:cs="仿宋"/>
                <w:color w:val="auto"/>
              </w:rPr>
            </w:pPr>
          </w:p>
        </w:tc>
      </w:tr>
      <w:tr w14:paraId="301D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Merge w:val="continue"/>
            <w:vAlign w:val="center"/>
          </w:tcPr>
          <w:p w14:paraId="396422CF">
            <w:pPr>
              <w:spacing w:line="360" w:lineRule="auto"/>
              <w:rPr>
                <w:rFonts w:ascii="仿宋" w:hAnsi="仿宋" w:eastAsia="仿宋" w:cs="仿宋"/>
                <w:color w:val="auto"/>
              </w:rPr>
            </w:pPr>
          </w:p>
        </w:tc>
        <w:tc>
          <w:tcPr>
            <w:tcW w:w="1283" w:type="dxa"/>
            <w:gridSpan w:val="2"/>
            <w:vAlign w:val="center"/>
          </w:tcPr>
          <w:p w14:paraId="1806A486">
            <w:pPr>
              <w:spacing w:line="360" w:lineRule="auto"/>
              <w:rPr>
                <w:rFonts w:ascii="仿宋" w:hAnsi="仿宋" w:eastAsia="仿宋" w:cs="仿宋"/>
                <w:color w:val="auto"/>
              </w:rPr>
            </w:pPr>
            <w:r>
              <w:rPr>
                <w:rFonts w:hint="eastAsia" w:ascii="仿宋" w:hAnsi="仿宋" w:eastAsia="仿宋" w:cs="仿宋"/>
                <w:color w:val="auto"/>
              </w:rPr>
              <w:t>传真</w:t>
            </w:r>
          </w:p>
        </w:tc>
        <w:tc>
          <w:tcPr>
            <w:tcW w:w="2364" w:type="dxa"/>
            <w:gridSpan w:val="2"/>
            <w:vAlign w:val="center"/>
          </w:tcPr>
          <w:p w14:paraId="00AA3B1C">
            <w:pPr>
              <w:spacing w:line="360" w:lineRule="auto"/>
              <w:rPr>
                <w:rFonts w:ascii="仿宋" w:hAnsi="仿宋" w:eastAsia="仿宋" w:cs="仿宋"/>
                <w:color w:val="auto"/>
              </w:rPr>
            </w:pPr>
          </w:p>
        </w:tc>
        <w:tc>
          <w:tcPr>
            <w:tcW w:w="1602" w:type="dxa"/>
            <w:gridSpan w:val="3"/>
            <w:vAlign w:val="center"/>
          </w:tcPr>
          <w:p w14:paraId="55EA3EC9">
            <w:pPr>
              <w:spacing w:line="360" w:lineRule="auto"/>
              <w:rPr>
                <w:rFonts w:ascii="仿宋" w:hAnsi="仿宋" w:eastAsia="仿宋" w:cs="仿宋"/>
                <w:color w:val="auto"/>
              </w:rPr>
            </w:pPr>
            <w:r>
              <w:rPr>
                <w:rFonts w:hint="eastAsia" w:ascii="仿宋" w:hAnsi="仿宋" w:eastAsia="仿宋" w:cs="仿宋"/>
                <w:color w:val="auto"/>
              </w:rPr>
              <w:t>网址</w:t>
            </w:r>
          </w:p>
        </w:tc>
        <w:tc>
          <w:tcPr>
            <w:tcW w:w="2053" w:type="dxa"/>
            <w:gridSpan w:val="3"/>
            <w:vAlign w:val="center"/>
          </w:tcPr>
          <w:p w14:paraId="4098883B">
            <w:pPr>
              <w:spacing w:line="360" w:lineRule="auto"/>
              <w:rPr>
                <w:rFonts w:ascii="仿宋" w:hAnsi="仿宋" w:eastAsia="仿宋" w:cs="仿宋"/>
                <w:color w:val="auto"/>
              </w:rPr>
            </w:pPr>
          </w:p>
        </w:tc>
      </w:tr>
      <w:tr w14:paraId="16C4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5AC6A227">
            <w:pPr>
              <w:spacing w:line="360" w:lineRule="auto"/>
              <w:rPr>
                <w:rFonts w:ascii="仿宋" w:hAnsi="仿宋" w:eastAsia="仿宋" w:cs="仿宋"/>
                <w:color w:val="auto"/>
              </w:rPr>
            </w:pPr>
            <w:r>
              <w:rPr>
                <w:rFonts w:hint="eastAsia" w:ascii="仿宋" w:hAnsi="仿宋" w:eastAsia="仿宋" w:cs="仿宋"/>
                <w:color w:val="auto"/>
              </w:rPr>
              <w:t>组织结构</w:t>
            </w:r>
          </w:p>
        </w:tc>
        <w:tc>
          <w:tcPr>
            <w:tcW w:w="7302" w:type="dxa"/>
            <w:gridSpan w:val="10"/>
            <w:vAlign w:val="center"/>
          </w:tcPr>
          <w:p w14:paraId="4F4CD351">
            <w:pPr>
              <w:spacing w:line="360" w:lineRule="auto"/>
              <w:rPr>
                <w:rFonts w:ascii="仿宋" w:hAnsi="仿宋" w:eastAsia="仿宋" w:cs="仿宋"/>
                <w:color w:val="auto"/>
              </w:rPr>
            </w:pPr>
          </w:p>
        </w:tc>
      </w:tr>
      <w:tr w14:paraId="730A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1A662133">
            <w:pPr>
              <w:spacing w:line="360" w:lineRule="auto"/>
              <w:rPr>
                <w:rFonts w:ascii="仿宋" w:hAnsi="仿宋" w:eastAsia="仿宋" w:cs="仿宋"/>
                <w:color w:val="auto"/>
              </w:rPr>
            </w:pPr>
            <w:r>
              <w:rPr>
                <w:rFonts w:hint="eastAsia" w:ascii="仿宋" w:hAnsi="仿宋" w:eastAsia="仿宋" w:cs="仿宋"/>
                <w:color w:val="auto"/>
              </w:rPr>
              <w:t>法定代表人</w:t>
            </w:r>
          </w:p>
        </w:tc>
        <w:tc>
          <w:tcPr>
            <w:tcW w:w="974" w:type="dxa"/>
            <w:vAlign w:val="center"/>
          </w:tcPr>
          <w:p w14:paraId="177B3AFA">
            <w:pPr>
              <w:spacing w:line="360" w:lineRule="auto"/>
              <w:rPr>
                <w:rFonts w:ascii="仿宋" w:hAnsi="仿宋" w:eastAsia="仿宋" w:cs="仿宋"/>
                <w:color w:val="auto"/>
              </w:rPr>
            </w:pPr>
            <w:r>
              <w:rPr>
                <w:rFonts w:hint="eastAsia" w:ascii="仿宋" w:hAnsi="仿宋" w:eastAsia="仿宋" w:cs="仿宋"/>
                <w:color w:val="auto"/>
              </w:rPr>
              <w:t>姓名</w:t>
            </w:r>
          </w:p>
        </w:tc>
        <w:tc>
          <w:tcPr>
            <w:tcW w:w="1661" w:type="dxa"/>
            <w:gridSpan w:val="2"/>
            <w:vAlign w:val="center"/>
          </w:tcPr>
          <w:p w14:paraId="0CD5C83B">
            <w:pPr>
              <w:spacing w:line="360" w:lineRule="auto"/>
              <w:rPr>
                <w:rFonts w:ascii="仿宋" w:hAnsi="仿宋" w:eastAsia="仿宋" w:cs="仿宋"/>
                <w:color w:val="auto"/>
              </w:rPr>
            </w:pPr>
          </w:p>
        </w:tc>
        <w:tc>
          <w:tcPr>
            <w:tcW w:w="1361" w:type="dxa"/>
            <w:gridSpan w:val="2"/>
            <w:vAlign w:val="center"/>
          </w:tcPr>
          <w:p w14:paraId="316E2563">
            <w:pPr>
              <w:spacing w:line="360" w:lineRule="auto"/>
              <w:rPr>
                <w:rFonts w:ascii="仿宋" w:hAnsi="仿宋" w:eastAsia="仿宋" w:cs="仿宋"/>
                <w:color w:val="auto"/>
              </w:rPr>
            </w:pPr>
            <w:r>
              <w:rPr>
                <w:rFonts w:hint="eastAsia" w:ascii="仿宋" w:hAnsi="仿宋" w:eastAsia="仿宋" w:cs="仿宋"/>
                <w:color w:val="auto"/>
              </w:rPr>
              <w:t>技术职称</w:t>
            </w:r>
          </w:p>
        </w:tc>
        <w:tc>
          <w:tcPr>
            <w:tcW w:w="1074" w:type="dxa"/>
            <w:vAlign w:val="center"/>
          </w:tcPr>
          <w:p w14:paraId="5369DE5E">
            <w:pPr>
              <w:spacing w:line="360" w:lineRule="auto"/>
              <w:rPr>
                <w:rFonts w:ascii="仿宋" w:hAnsi="仿宋" w:eastAsia="仿宋" w:cs="仿宋"/>
                <w:color w:val="auto"/>
              </w:rPr>
            </w:pPr>
          </w:p>
        </w:tc>
        <w:tc>
          <w:tcPr>
            <w:tcW w:w="816" w:type="dxa"/>
            <w:gridSpan w:val="3"/>
            <w:vAlign w:val="center"/>
          </w:tcPr>
          <w:p w14:paraId="39FB0476">
            <w:pPr>
              <w:spacing w:line="360" w:lineRule="auto"/>
              <w:rPr>
                <w:rFonts w:ascii="仿宋" w:hAnsi="仿宋" w:eastAsia="仿宋" w:cs="仿宋"/>
                <w:color w:val="auto"/>
              </w:rPr>
            </w:pPr>
            <w:r>
              <w:rPr>
                <w:rFonts w:hint="eastAsia" w:ascii="仿宋" w:hAnsi="仿宋" w:eastAsia="仿宋" w:cs="仿宋"/>
                <w:color w:val="auto"/>
              </w:rPr>
              <w:t>电话</w:t>
            </w:r>
          </w:p>
        </w:tc>
        <w:tc>
          <w:tcPr>
            <w:tcW w:w="1416" w:type="dxa"/>
            <w:vAlign w:val="center"/>
          </w:tcPr>
          <w:p w14:paraId="694EE539">
            <w:pPr>
              <w:spacing w:line="360" w:lineRule="auto"/>
              <w:rPr>
                <w:rFonts w:ascii="仿宋" w:hAnsi="仿宋" w:eastAsia="仿宋" w:cs="仿宋"/>
                <w:color w:val="auto"/>
              </w:rPr>
            </w:pPr>
          </w:p>
        </w:tc>
      </w:tr>
      <w:tr w14:paraId="7195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44557C7E">
            <w:pPr>
              <w:spacing w:line="360" w:lineRule="auto"/>
              <w:rPr>
                <w:rFonts w:ascii="仿宋" w:hAnsi="仿宋" w:eastAsia="仿宋" w:cs="仿宋"/>
                <w:color w:val="auto"/>
              </w:rPr>
            </w:pPr>
            <w:r>
              <w:rPr>
                <w:rFonts w:hint="eastAsia" w:ascii="仿宋" w:hAnsi="仿宋" w:eastAsia="仿宋" w:cs="仿宋"/>
                <w:color w:val="auto"/>
              </w:rPr>
              <w:t>技术负责人</w:t>
            </w:r>
          </w:p>
        </w:tc>
        <w:tc>
          <w:tcPr>
            <w:tcW w:w="974" w:type="dxa"/>
            <w:vAlign w:val="center"/>
          </w:tcPr>
          <w:p w14:paraId="04FC915C">
            <w:pPr>
              <w:spacing w:line="360" w:lineRule="auto"/>
              <w:rPr>
                <w:rFonts w:ascii="仿宋" w:hAnsi="仿宋" w:eastAsia="仿宋" w:cs="仿宋"/>
                <w:color w:val="auto"/>
              </w:rPr>
            </w:pPr>
            <w:r>
              <w:rPr>
                <w:rFonts w:hint="eastAsia" w:ascii="仿宋" w:hAnsi="仿宋" w:eastAsia="仿宋" w:cs="仿宋"/>
                <w:color w:val="auto"/>
              </w:rPr>
              <w:t>姓名</w:t>
            </w:r>
          </w:p>
        </w:tc>
        <w:tc>
          <w:tcPr>
            <w:tcW w:w="1661" w:type="dxa"/>
            <w:gridSpan w:val="2"/>
            <w:vAlign w:val="center"/>
          </w:tcPr>
          <w:p w14:paraId="10458298">
            <w:pPr>
              <w:spacing w:line="360" w:lineRule="auto"/>
              <w:rPr>
                <w:rFonts w:ascii="仿宋" w:hAnsi="仿宋" w:eastAsia="仿宋" w:cs="仿宋"/>
                <w:color w:val="auto"/>
              </w:rPr>
            </w:pPr>
          </w:p>
        </w:tc>
        <w:tc>
          <w:tcPr>
            <w:tcW w:w="1361" w:type="dxa"/>
            <w:gridSpan w:val="2"/>
            <w:vAlign w:val="center"/>
          </w:tcPr>
          <w:p w14:paraId="55C53FA5">
            <w:pPr>
              <w:spacing w:line="360" w:lineRule="auto"/>
              <w:rPr>
                <w:rFonts w:ascii="仿宋" w:hAnsi="仿宋" w:eastAsia="仿宋" w:cs="仿宋"/>
                <w:color w:val="auto"/>
              </w:rPr>
            </w:pPr>
            <w:r>
              <w:rPr>
                <w:rFonts w:hint="eastAsia" w:ascii="仿宋" w:hAnsi="仿宋" w:eastAsia="仿宋" w:cs="仿宋"/>
                <w:color w:val="auto"/>
              </w:rPr>
              <w:t>技术职称</w:t>
            </w:r>
          </w:p>
        </w:tc>
        <w:tc>
          <w:tcPr>
            <w:tcW w:w="1074" w:type="dxa"/>
            <w:vAlign w:val="center"/>
          </w:tcPr>
          <w:p w14:paraId="7D1D66FD">
            <w:pPr>
              <w:spacing w:line="360" w:lineRule="auto"/>
              <w:rPr>
                <w:rFonts w:ascii="仿宋" w:hAnsi="仿宋" w:eastAsia="仿宋" w:cs="仿宋"/>
                <w:color w:val="auto"/>
              </w:rPr>
            </w:pPr>
          </w:p>
        </w:tc>
        <w:tc>
          <w:tcPr>
            <w:tcW w:w="816" w:type="dxa"/>
            <w:gridSpan w:val="3"/>
            <w:vAlign w:val="center"/>
          </w:tcPr>
          <w:p w14:paraId="463317C6">
            <w:pPr>
              <w:spacing w:line="360" w:lineRule="auto"/>
              <w:rPr>
                <w:rFonts w:ascii="仿宋" w:hAnsi="仿宋" w:eastAsia="仿宋" w:cs="仿宋"/>
                <w:color w:val="auto"/>
              </w:rPr>
            </w:pPr>
            <w:r>
              <w:rPr>
                <w:rFonts w:hint="eastAsia" w:ascii="仿宋" w:hAnsi="仿宋" w:eastAsia="仿宋" w:cs="仿宋"/>
                <w:color w:val="auto"/>
              </w:rPr>
              <w:t>电话</w:t>
            </w:r>
          </w:p>
        </w:tc>
        <w:tc>
          <w:tcPr>
            <w:tcW w:w="1416" w:type="dxa"/>
            <w:vAlign w:val="center"/>
          </w:tcPr>
          <w:p w14:paraId="56BD6E0E">
            <w:pPr>
              <w:spacing w:line="360" w:lineRule="auto"/>
              <w:rPr>
                <w:rFonts w:ascii="仿宋" w:hAnsi="仿宋" w:eastAsia="仿宋" w:cs="仿宋"/>
                <w:color w:val="auto"/>
              </w:rPr>
            </w:pPr>
          </w:p>
        </w:tc>
      </w:tr>
      <w:tr w14:paraId="00B2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17A248B0">
            <w:pPr>
              <w:spacing w:line="360" w:lineRule="auto"/>
              <w:rPr>
                <w:rFonts w:ascii="仿宋" w:hAnsi="仿宋" w:eastAsia="仿宋" w:cs="仿宋"/>
                <w:color w:val="auto"/>
              </w:rPr>
            </w:pPr>
            <w:r>
              <w:rPr>
                <w:rFonts w:hint="eastAsia" w:ascii="仿宋" w:hAnsi="仿宋" w:eastAsia="仿宋" w:cs="仿宋"/>
                <w:color w:val="auto"/>
              </w:rPr>
              <w:t>成立时间</w:t>
            </w:r>
          </w:p>
        </w:tc>
        <w:tc>
          <w:tcPr>
            <w:tcW w:w="2635" w:type="dxa"/>
            <w:gridSpan w:val="3"/>
            <w:vAlign w:val="center"/>
          </w:tcPr>
          <w:p w14:paraId="2391FAF2">
            <w:pPr>
              <w:spacing w:line="360" w:lineRule="auto"/>
              <w:rPr>
                <w:rFonts w:ascii="仿宋" w:hAnsi="仿宋" w:eastAsia="仿宋" w:cs="仿宋"/>
                <w:color w:val="auto"/>
              </w:rPr>
            </w:pPr>
          </w:p>
        </w:tc>
        <w:tc>
          <w:tcPr>
            <w:tcW w:w="4667" w:type="dxa"/>
            <w:gridSpan w:val="7"/>
            <w:vAlign w:val="center"/>
          </w:tcPr>
          <w:p w14:paraId="160B6F74">
            <w:pPr>
              <w:spacing w:line="360" w:lineRule="auto"/>
              <w:rPr>
                <w:rFonts w:ascii="仿宋" w:hAnsi="仿宋" w:eastAsia="仿宋" w:cs="仿宋"/>
                <w:color w:val="auto"/>
              </w:rPr>
            </w:pPr>
            <w:r>
              <w:rPr>
                <w:rFonts w:hint="eastAsia" w:ascii="仿宋" w:hAnsi="仿宋" w:eastAsia="仿宋" w:cs="仿宋"/>
                <w:color w:val="auto"/>
              </w:rPr>
              <w:t>员工总人数：</w:t>
            </w:r>
          </w:p>
        </w:tc>
      </w:tr>
      <w:tr w14:paraId="7CFB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58409BA2">
            <w:pPr>
              <w:spacing w:line="360" w:lineRule="auto"/>
              <w:rPr>
                <w:rFonts w:ascii="仿宋" w:hAnsi="仿宋" w:eastAsia="仿宋" w:cs="仿宋"/>
                <w:color w:val="auto"/>
              </w:rPr>
            </w:pPr>
            <w:r>
              <w:rPr>
                <w:rFonts w:hint="eastAsia" w:ascii="仿宋" w:hAnsi="仿宋" w:eastAsia="仿宋" w:cs="仿宋"/>
                <w:color w:val="auto"/>
              </w:rPr>
              <w:t>企业资质等级</w:t>
            </w:r>
          </w:p>
        </w:tc>
        <w:tc>
          <w:tcPr>
            <w:tcW w:w="2635" w:type="dxa"/>
            <w:gridSpan w:val="3"/>
            <w:vAlign w:val="center"/>
          </w:tcPr>
          <w:p w14:paraId="551522E0">
            <w:pPr>
              <w:spacing w:line="360" w:lineRule="auto"/>
              <w:rPr>
                <w:rFonts w:ascii="仿宋" w:hAnsi="仿宋" w:eastAsia="仿宋" w:cs="仿宋"/>
                <w:color w:val="auto"/>
              </w:rPr>
            </w:pPr>
          </w:p>
        </w:tc>
        <w:tc>
          <w:tcPr>
            <w:tcW w:w="1012" w:type="dxa"/>
            <w:vMerge w:val="restart"/>
            <w:vAlign w:val="center"/>
          </w:tcPr>
          <w:p w14:paraId="4F5D4A89">
            <w:pPr>
              <w:spacing w:line="360" w:lineRule="auto"/>
              <w:rPr>
                <w:rFonts w:ascii="仿宋" w:hAnsi="仿宋" w:eastAsia="仿宋" w:cs="仿宋"/>
                <w:color w:val="auto"/>
              </w:rPr>
            </w:pPr>
            <w:r>
              <w:rPr>
                <w:rFonts w:hint="eastAsia" w:ascii="仿宋" w:hAnsi="仿宋" w:eastAsia="仿宋" w:cs="仿宋"/>
                <w:color w:val="auto"/>
              </w:rPr>
              <w:t>其中</w:t>
            </w:r>
          </w:p>
        </w:tc>
        <w:tc>
          <w:tcPr>
            <w:tcW w:w="1954" w:type="dxa"/>
            <w:gridSpan w:val="4"/>
            <w:vAlign w:val="center"/>
          </w:tcPr>
          <w:p w14:paraId="6C7935D0">
            <w:pPr>
              <w:spacing w:line="360" w:lineRule="auto"/>
              <w:rPr>
                <w:rFonts w:ascii="仿宋" w:hAnsi="仿宋" w:eastAsia="仿宋" w:cs="仿宋"/>
                <w:color w:val="auto"/>
              </w:rPr>
            </w:pPr>
            <w:r>
              <w:rPr>
                <w:rFonts w:hint="eastAsia" w:ascii="仿宋" w:hAnsi="仿宋" w:eastAsia="仿宋" w:cs="仿宋"/>
                <w:color w:val="auto"/>
              </w:rPr>
              <w:t>高级职称人员</w:t>
            </w:r>
          </w:p>
        </w:tc>
        <w:tc>
          <w:tcPr>
            <w:tcW w:w="1701" w:type="dxa"/>
            <w:gridSpan w:val="2"/>
            <w:vAlign w:val="center"/>
          </w:tcPr>
          <w:p w14:paraId="0C7390ED">
            <w:pPr>
              <w:spacing w:line="360" w:lineRule="auto"/>
              <w:rPr>
                <w:rFonts w:ascii="仿宋" w:hAnsi="仿宋" w:eastAsia="仿宋" w:cs="仿宋"/>
                <w:color w:val="auto"/>
              </w:rPr>
            </w:pPr>
          </w:p>
        </w:tc>
      </w:tr>
      <w:tr w14:paraId="725A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75A4A59A">
            <w:pPr>
              <w:spacing w:line="360" w:lineRule="auto"/>
              <w:rPr>
                <w:rFonts w:ascii="仿宋" w:hAnsi="仿宋" w:eastAsia="仿宋" w:cs="仿宋"/>
                <w:color w:val="auto"/>
              </w:rPr>
            </w:pPr>
            <w:r>
              <w:rPr>
                <w:rFonts w:hint="eastAsia" w:ascii="仿宋" w:hAnsi="仿宋" w:eastAsia="仿宋" w:cs="仿宋"/>
                <w:color w:val="auto"/>
              </w:rPr>
              <w:t>营业执照号</w:t>
            </w:r>
          </w:p>
        </w:tc>
        <w:tc>
          <w:tcPr>
            <w:tcW w:w="2635" w:type="dxa"/>
            <w:gridSpan w:val="3"/>
            <w:vAlign w:val="center"/>
          </w:tcPr>
          <w:p w14:paraId="6F18AB3A">
            <w:pPr>
              <w:spacing w:line="360" w:lineRule="auto"/>
              <w:rPr>
                <w:rFonts w:ascii="仿宋" w:hAnsi="仿宋" w:eastAsia="仿宋" w:cs="仿宋"/>
                <w:color w:val="auto"/>
              </w:rPr>
            </w:pPr>
          </w:p>
        </w:tc>
        <w:tc>
          <w:tcPr>
            <w:tcW w:w="1012" w:type="dxa"/>
            <w:vMerge w:val="continue"/>
            <w:vAlign w:val="center"/>
          </w:tcPr>
          <w:p w14:paraId="00589F3B">
            <w:pPr>
              <w:spacing w:line="360" w:lineRule="auto"/>
              <w:rPr>
                <w:rFonts w:ascii="仿宋" w:hAnsi="仿宋" w:eastAsia="仿宋" w:cs="仿宋"/>
                <w:color w:val="auto"/>
              </w:rPr>
            </w:pPr>
          </w:p>
        </w:tc>
        <w:tc>
          <w:tcPr>
            <w:tcW w:w="1954" w:type="dxa"/>
            <w:gridSpan w:val="4"/>
            <w:vAlign w:val="center"/>
          </w:tcPr>
          <w:p w14:paraId="20C4F139">
            <w:pPr>
              <w:spacing w:line="360" w:lineRule="auto"/>
              <w:rPr>
                <w:rFonts w:ascii="仿宋" w:hAnsi="仿宋" w:eastAsia="仿宋" w:cs="仿宋"/>
                <w:color w:val="auto"/>
              </w:rPr>
            </w:pPr>
            <w:r>
              <w:rPr>
                <w:rFonts w:hint="eastAsia" w:ascii="仿宋" w:hAnsi="仿宋" w:eastAsia="仿宋" w:cs="仿宋"/>
                <w:color w:val="auto"/>
              </w:rPr>
              <w:t>中级职称人员</w:t>
            </w:r>
          </w:p>
        </w:tc>
        <w:tc>
          <w:tcPr>
            <w:tcW w:w="1701" w:type="dxa"/>
            <w:gridSpan w:val="2"/>
            <w:vAlign w:val="center"/>
          </w:tcPr>
          <w:p w14:paraId="21877E93">
            <w:pPr>
              <w:spacing w:line="360" w:lineRule="auto"/>
              <w:rPr>
                <w:rFonts w:ascii="仿宋" w:hAnsi="仿宋" w:eastAsia="仿宋" w:cs="仿宋"/>
                <w:color w:val="auto"/>
              </w:rPr>
            </w:pPr>
          </w:p>
        </w:tc>
      </w:tr>
      <w:tr w14:paraId="2A0E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1A8C8E6E">
            <w:pPr>
              <w:spacing w:line="360" w:lineRule="auto"/>
              <w:rPr>
                <w:rFonts w:ascii="仿宋" w:hAnsi="仿宋" w:eastAsia="仿宋" w:cs="仿宋"/>
                <w:color w:val="auto"/>
              </w:rPr>
            </w:pPr>
            <w:r>
              <w:rPr>
                <w:rFonts w:hint="eastAsia" w:ascii="仿宋" w:hAnsi="仿宋" w:eastAsia="仿宋" w:cs="仿宋"/>
                <w:color w:val="auto"/>
              </w:rPr>
              <w:t>注册资金</w:t>
            </w:r>
          </w:p>
        </w:tc>
        <w:tc>
          <w:tcPr>
            <w:tcW w:w="2635" w:type="dxa"/>
            <w:gridSpan w:val="3"/>
            <w:vAlign w:val="center"/>
          </w:tcPr>
          <w:p w14:paraId="487F7094">
            <w:pPr>
              <w:spacing w:line="360" w:lineRule="auto"/>
              <w:rPr>
                <w:rFonts w:ascii="仿宋" w:hAnsi="仿宋" w:eastAsia="仿宋" w:cs="仿宋"/>
                <w:color w:val="auto"/>
              </w:rPr>
            </w:pPr>
          </w:p>
        </w:tc>
        <w:tc>
          <w:tcPr>
            <w:tcW w:w="1012" w:type="dxa"/>
            <w:vMerge w:val="continue"/>
            <w:vAlign w:val="center"/>
          </w:tcPr>
          <w:p w14:paraId="619CCAFB">
            <w:pPr>
              <w:spacing w:line="360" w:lineRule="auto"/>
              <w:rPr>
                <w:rFonts w:ascii="仿宋" w:hAnsi="仿宋" w:eastAsia="仿宋" w:cs="仿宋"/>
                <w:color w:val="auto"/>
              </w:rPr>
            </w:pPr>
          </w:p>
        </w:tc>
        <w:tc>
          <w:tcPr>
            <w:tcW w:w="1954" w:type="dxa"/>
            <w:gridSpan w:val="4"/>
            <w:vAlign w:val="center"/>
          </w:tcPr>
          <w:p w14:paraId="5D31C990">
            <w:pPr>
              <w:spacing w:line="360" w:lineRule="auto"/>
              <w:rPr>
                <w:rFonts w:ascii="仿宋" w:hAnsi="仿宋" w:eastAsia="仿宋" w:cs="仿宋"/>
                <w:color w:val="auto"/>
              </w:rPr>
            </w:pPr>
            <w:r>
              <w:rPr>
                <w:rFonts w:hint="eastAsia" w:ascii="仿宋" w:hAnsi="仿宋" w:eastAsia="仿宋" w:cs="仿宋"/>
                <w:color w:val="auto"/>
              </w:rPr>
              <w:t>初级职称人员</w:t>
            </w:r>
          </w:p>
        </w:tc>
        <w:tc>
          <w:tcPr>
            <w:tcW w:w="1701" w:type="dxa"/>
            <w:gridSpan w:val="2"/>
            <w:vAlign w:val="center"/>
          </w:tcPr>
          <w:p w14:paraId="0C82C402">
            <w:pPr>
              <w:spacing w:line="360" w:lineRule="auto"/>
              <w:rPr>
                <w:rFonts w:ascii="仿宋" w:hAnsi="仿宋" w:eastAsia="仿宋" w:cs="仿宋"/>
                <w:color w:val="auto"/>
              </w:rPr>
            </w:pPr>
          </w:p>
        </w:tc>
      </w:tr>
      <w:tr w14:paraId="2E65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4B85025A">
            <w:pPr>
              <w:spacing w:line="360" w:lineRule="auto"/>
              <w:rPr>
                <w:rFonts w:ascii="仿宋" w:hAnsi="仿宋" w:eastAsia="仿宋" w:cs="仿宋"/>
                <w:color w:val="auto"/>
              </w:rPr>
            </w:pPr>
            <w:r>
              <w:rPr>
                <w:rFonts w:hint="eastAsia" w:ascii="仿宋" w:hAnsi="仿宋" w:eastAsia="仿宋" w:cs="仿宋"/>
                <w:color w:val="auto"/>
              </w:rPr>
              <w:t>开户银行</w:t>
            </w:r>
          </w:p>
        </w:tc>
        <w:tc>
          <w:tcPr>
            <w:tcW w:w="2635" w:type="dxa"/>
            <w:gridSpan w:val="3"/>
            <w:vAlign w:val="center"/>
          </w:tcPr>
          <w:p w14:paraId="42C1EC45">
            <w:pPr>
              <w:spacing w:line="360" w:lineRule="auto"/>
              <w:rPr>
                <w:rFonts w:ascii="仿宋" w:hAnsi="仿宋" w:eastAsia="仿宋" w:cs="仿宋"/>
                <w:color w:val="auto"/>
              </w:rPr>
            </w:pPr>
          </w:p>
        </w:tc>
        <w:tc>
          <w:tcPr>
            <w:tcW w:w="1012" w:type="dxa"/>
            <w:vMerge w:val="continue"/>
            <w:vAlign w:val="center"/>
          </w:tcPr>
          <w:p w14:paraId="6AF9CA94">
            <w:pPr>
              <w:spacing w:line="360" w:lineRule="auto"/>
              <w:rPr>
                <w:rFonts w:ascii="仿宋" w:hAnsi="仿宋" w:eastAsia="仿宋" w:cs="仿宋"/>
                <w:color w:val="auto"/>
              </w:rPr>
            </w:pPr>
          </w:p>
        </w:tc>
        <w:tc>
          <w:tcPr>
            <w:tcW w:w="1954" w:type="dxa"/>
            <w:gridSpan w:val="4"/>
            <w:vAlign w:val="center"/>
          </w:tcPr>
          <w:p w14:paraId="04A1E2AD">
            <w:pPr>
              <w:spacing w:line="360" w:lineRule="auto"/>
              <w:rPr>
                <w:rFonts w:ascii="仿宋" w:hAnsi="仿宋" w:eastAsia="仿宋" w:cs="仿宋"/>
                <w:color w:val="auto"/>
              </w:rPr>
            </w:pPr>
          </w:p>
        </w:tc>
        <w:tc>
          <w:tcPr>
            <w:tcW w:w="1701" w:type="dxa"/>
            <w:gridSpan w:val="2"/>
            <w:vAlign w:val="center"/>
          </w:tcPr>
          <w:p w14:paraId="117EFC30">
            <w:pPr>
              <w:spacing w:line="360" w:lineRule="auto"/>
              <w:rPr>
                <w:rFonts w:ascii="仿宋" w:hAnsi="仿宋" w:eastAsia="仿宋" w:cs="仿宋"/>
                <w:color w:val="auto"/>
              </w:rPr>
            </w:pPr>
          </w:p>
        </w:tc>
      </w:tr>
      <w:tr w14:paraId="5A7D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Align w:val="center"/>
          </w:tcPr>
          <w:p w14:paraId="23FF2614">
            <w:pPr>
              <w:spacing w:line="360" w:lineRule="auto"/>
              <w:rPr>
                <w:rFonts w:ascii="仿宋" w:hAnsi="仿宋" w:eastAsia="仿宋" w:cs="仿宋"/>
                <w:color w:val="auto"/>
              </w:rPr>
            </w:pPr>
            <w:r>
              <w:rPr>
                <w:rFonts w:hint="eastAsia" w:ascii="仿宋" w:hAnsi="仿宋" w:eastAsia="仿宋" w:cs="仿宋"/>
                <w:color w:val="auto"/>
              </w:rPr>
              <w:t>账号</w:t>
            </w:r>
          </w:p>
        </w:tc>
        <w:tc>
          <w:tcPr>
            <w:tcW w:w="2635" w:type="dxa"/>
            <w:gridSpan w:val="3"/>
            <w:vAlign w:val="center"/>
          </w:tcPr>
          <w:p w14:paraId="068EB1D1">
            <w:pPr>
              <w:spacing w:line="360" w:lineRule="auto"/>
              <w:rPr>
                <w:rFonts w:ascii="仿宋" w:hAnsi="仿宋" w:eastAsia="仿宋" w:cs="仿宋"/>
                <w:color w:val="auto"/>
              </w:rPr>
            </w:pPr>
          </w:p>
        </w:tc>
        <w:tc>
          <w:tcPr>
            <w:tcW w:w="1012" w:type="dxa"/>
            <w:vMerge w:val="continue"/>
            <w:vAlign w:val="center"/>
          </w:tcPr>
          <w:p w14:paraId="56839DD9">
            <w:pPr>
              <w:spacing w:line="360" w:lineRule="auto"/>
              <w:rPr>
                <w:rFonts w:ascii="仿宋" w:hAnsi="仿宋" w:eastAsia="仿宋" w:cs="仿宋"/>
                <w:color w:val="auto"/>
              </w:rPr>
            </w:pPr>
          </w:p>
        </w:tc>
        <w:tc>
          <w:tcPr>
            <w:tcW w:w="1954" w:type="dxa"/>
            <w:gridSpan w:val="4"/>
            <w:vAlign w:val="center"/>
          </w:tcPr>
          <w:p w14:paraId="3EB9BE3A">
            <w:pPr>
              <w:spacing w:line="360" w:lineRule="auto"/>
              <w:rPr>
                <w:rFonts w:ascii="仿宋" w:hAnsi="仿宋" w:eastAsia="仿宋" w:cs="仿宋"/>
                <w:color w:val="auto"/>
              </w:rPr>
            </w:pPr>
          </w:p>
        </w:tc>
        <w:tc>
          <w:tcPr>
            <w:tcW w:w="1701" w:type="dxa"/>
            <w:gridSpan w:val="2"/>
            <w:vAlign w:val="center"/>
          </w:tcPr>
          <w:p w14:paraId="1880162D">
            <w:pPr>
              <w:spacing w:line="360" w:lineRule="auto"/>
              <w:rPr>
                <w:rFonts w:ascii="仿宋" w:hAnsi="仿宋" w:eastAsia="仿宋" w:cs="仿宋"/>
                <w:color w:val="auto"/>
              </w:rPr>
            </w:pPr>
          </w:p>
        </w:tc>
      </w:tr>
      <w:tr w14:paraId="607A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771" w:type="dxa"/>
            <w:vAlign w:val="center"/>
          </w:tcPr>
          <w:p w14:paraId="3E736B7A">
            <w:pPr>
              <w:spacing w:line="360" w:lineRule="auto"/>
              <w:rPr>
                <w:rFonts w:ascii="仿宋" w:hAnsi="仿宋" w:eastAsia="仿宋" w:cs="仿宋"/>
                <w:color w:val="auto"/>
              </w:rPr>
            </w:pPr>
            <w:r>
              <w:rPr>
                <w:rFonts w:hint="eastAsia" w:ascii="仿宋" w:hAnsi="仿宋" w:eastAsia="仿宋" w:cs="仿宋"/>
                <w:color w:val="auto"/>
              </w:rPr>
              <w:t>经营范围</w:t>
            </w:r>
          </w:p>
        </w:tc>
        <w:tc>
          <w:tcPr>
            <w:tcW w:w="7302" w:type="dxa"/>
            <w:gridSpan w:val="10"/>
            <w:vAlign w:val="center"/>
          </w:tcPr>
          <w:p w14:paraId="0597DDFA">
            <w:pPr>
              <w:spacing w:line="360" w:lineRule="auto"/>
              <w:rPr>
                <w:rFonts w:ascii="仿宋" w:hAnsi="仿宋" w:eastAsia="仿宋" w:cs="仿宋"/>
                <w:color w:val="auto"/>
              </w:rPr>
            </w:pPr>
          </w:p>
        </w:tc>
      </w:tr>
      <w:tr w14:paraId="7957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71" w:type="dxa"/>
            <w:vAlign w:val="center"/>
          </w:tcPr>
          <w:p w14:paraId="238BF2EE">
            <w:pPr>
              <w:spacing w:line="360" w:lineRule="auto"/>
              <w:rPr>
                <w:rFonts w:ascii="仿宋" w:hAnsi="仿宋" w:eastAsia="仿宋" w:cs="仿宋"/>
                <w:color w:val="auto"/>
              </w:rPr>
            </w:pPr>
            <w:r>
              <w:rPr>
                <w:rFonts w:hint="eastAsia" w:ascii="仿宋" w:hAnsi="仿宋" w:eastAsia="仿宋" w:cs="仿宋"/>
                <w:color w:val="auto"/>
              </w:rPr>
              <w:t>备注</w:t>
            </w:r>
          </w:p>
        </w:tc>
        <w:tc>
          <w:tcPr>
            <w:tcW w:w="7302" w:type="dxa"/>
            <w:gridSpan w:val="10"/>
            <w:vAlign w:val="center"/>
          </w:tcPr>
          <w:p w14:paraId="1CA48A31">
            <w:pPr>
              <w:spacing w:line="360" w:lineRule="auto"/>
              <w:rPr>
                <w:rFonts w:ascii="仿宋" w:hAnsi="仿宋" w:eastAsia="仿宋" w:cs="仿宋"/>
                <w:color w:val="auto"/>
              </w:rPr>
            </w:pPr>
          </w:p>
        </w:tc>
      </w:tr>
    </w:tbl>
    <w:p w14:paraId="3ABC1C9F">
      <w:pPr>
        <w:spacing w:line="400" w:lineRule="exact"/>
        <w:ind w:left="525" w:leftChars="250" w:firstLine="2880" w:firstLineChars="1200"/>
        <w:rPr>
          <w:rFonts w:ascii="仿宋" w:hAnsi="仿宋" w:eastAsia="仿宋" w:cs="仿宋"/>
          <w:color w:val="auto"/>
          <w:sz w:val="24"/>
        </w:rPr>
      </w:pPr>
    </w:p>
    <w:p w14:paraId="26FB15EA">
      <w:pPr>
        <w:spacing w:line="400" w:lineRule="exact"/>
        <w:jc w:val="center"/>
        <w:rPr>
          <w:rFonts w:ascii="仿宋" w:hAnsi="仿宋" w:eastAsia="仿宋" w:cs="仿宋"/>
          <w:color w:val="auto"/>
          <w:sz w:val="24"/>
        </w:rPr>
      </w:pPr>
      <w:r>
        <w:rPr>
          <w:rFonts w:hint="eastAsia" w:ascii="仿宋" w:hAnsi="仿宋" w:eastAsia="仿宋" w:cs="仿宋"/>
          <w:color w:val="auto"/>
          <w:sz w:val="24"/>
        </w:rPr>
        <w:t>比价谈判响应人（公章）：</w:t>
      </w:r>
    </w:p>
    <w:p w14:paraId="1C69E2E0">
      <w:pPr>
        <w:spacing w:line="400" w:lineRule="exact"/>
        <w:jc w:val="center"/>
        <w:rPr>
          <w:rFonts w:ascii="仿宋" w:hAnsi="仿宋" w:eastAsia="仿宋" w:cs="仿宋"/>
          <w:color w:val="auto"/>
          <w:sz w:val="24"/>
        </w:rPr>
      </w:pPr>
    </w:p>
    <w:p w14:paraId="6E03FD63">
      <w:pPr>
        <w:ind w:right="240" w:firstLine="480" w:firstLineChars="200"/>
        <w:jc w:val="center"/>
        <w:rPr>
          <w:rFonts w:ascii="仿宋" w:hAnsi="仿宋" w:eastAsia="仿宋" w:cs="仿宋"/>
          <w:color w:val="auto"/>
          <w:sz w:val="24"/>
        </w:rPr>
        <w:sectPr>
          <w:pgSz w:w="11907" w:h="16840"/>
          <w:pgMar w:top="1440" w:right="1440" w:bottom="1440" w:left="1440" w:header="851" w:footer="992" w:gutter="0"/>
          <w:cols w:space="720" w:num="1"/>
          <w:docGrid w:linePitch="312" w:charSpace="0"/>
        </w:sectPr>
      </w:pPr>
      <w:r>
        <w:rPr>
          <w:rFonts w:hint="eastAsia" w:ascii="仿宋" w:hAnsi="仿宋" w:eastAsia="仿宋" w:cs="仿宋"/>
          <w:color w:val="auto"/>
          <w:sz w:val="24"/>
        </w:rPr>
        <w:t>二○二</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年月日</w:t>
      </w:r>
    </w:p>
    <w:p w14:paraId="736F1D88">
      <w:pPr>
        <w:spacing w:line="360" w:lineRule="auto"/>
        <w:outlineLvl w:val="1"/>
        <w:rPr>
          <w:rFonts w:ascii="仿宋" w:hAnsi="仿宋" w:eastAsia="仿宋" w:cs="仿宋"/>
          <w:color w:val="auto"/>
        </w:rPr>
      </w:pPr>
      <w:r>
        <w:rPr>
          <w:rFonts w:hint="eastAsia" w:ascii="仿宋" w:hAnsi="仿宋" w:eastAsia="仿宋" w:cs="仿宋"/>
          <w:bCs/>
          <w:snapToGrid w:val="0"/>
          <w:color w:val="auto"/>
          <w:kern w:val="0"/>
        </w:rPr>
        <w:t>附件八</w:t>
      </w:r>
    </w:p>
    <w:p w14:paraId="7B447603">
      <w:pPr>
        <w:spacing w:line="360" w:lineRule="auto"/>
        <w:jc w:val="center"/>
        <w:rPr>
          <w:rFonts w:ascii="仿宋" w:hAnsi="仿宋" w:eastAsia="仿宋" w:cs="仿宋"/>
          <w:b/>
          <w:color w:val="auto"/>
        </w:rPr>
      </w:pPr>
      <w:r>
        <w:rPr>
          <w:rFonts w:hint="eastAsia" w:ascii="仿宋" w:hAnsi="仿宋" w:eastAsia="仿宋" w:cs="仿宋"/>
          <w:b/>
          <w:color w:val="auto"/>
        </w:rPr>
        <w:t>服务要求与合同条款偏离表</w:t>
      </w:r>
    </w:p>
    <w:p w14:paraId="7215653E">
      <w:pPr>
        <w:spacing w:line="360" w:lineRule="auto"/>
        <w:rPr>
          <w:rFonts w:ascii="仿宋" w:hAnsi="仿宋" w:eastAsia="仿宋" w:cs="仿宋"/>
          <w:color w:val="auto"/>
          <w:u w:val="single"/>
        </w:rPr>
      </w:pPr>
      <w:r>
        <w:rPr>
          <w:rFonts w:hint="eastAsia" w:ascii="仿宋" w:hAnsi="仿宋" w:eastAsia="仿宋" w:cs="仿宋"/>
          <w:color w:val="auto"/>
          <w:u w:val="single"/>
        </w:rPr>
        <w:t xml:space="preserve">项目编号：               项目名称：                                            </w:t>
      </w:r>
    </w:p>
    <w:tbl>
      <w:tblPr>
        <w:tblStyle w:val="49"/>
        <w:tblW w:w="8353"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5"/>
        <w:gridCol w:w="2824"/>
        <w:gridCol w:w="2977"/>
        <w:gridCol w:w="1827"/>
      </w:tblGrid>
      <w:tr w14:paraId="20DDF5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Borders>
              <w:top w:val="single" w:color="auto" w:sz="4" w:space="0"/>
              <w:bottom w:val="single" w:color="auto" w:sz="4" w:space="0"/>
            </w:tcBorders>
            <w:tcMar>
              <w:left w:w="0" w:type="dxa"/>
              <w:right w:w="0" w:type="dxa"/>
            </w:tcMar>
            <w:vAlign w:val="center"/>
          </w:tcPr>
          <w:p w14:paraId="61709E15">
            <w:pPr>
              <w:spacing w:line="360" w:lineRule="auto"/>
              <w:rPr>
                <w:rFonts w:ascii="仿宋" w:hAnsi="仿宋" w:eastAsia="仿宋" w:cs="仿宋"/>
                <w:color w:val="auto"/>
              </w:rPr>
            </w:pPr>
            <w:r>
              <w:rPr>
                <w:rFonts w:hint="eastAsia" w:ascii="仿宋" w:hAnsi="仿宋" w:eastAsia="仿宋" w:cs="仿宋"/>
                <w:color w:val="auto"/>
              </w:rPr>
              <w:t>序号</w:t>
            </w:r>
          </w:p>
        </w:tc>
        <w:tc>
          <w:tcPr>
            <w:tcW w:w="2824" w:type="dxa"/>
            <w:tcBorders>
              <w:top w:val="single" w:color="auto" w:sz="4" w:space="0"/>
              <w:bottom w:val="single" w:color="auto" w:sz="4" w:space="0"/>
            </w:tcBorders>
            <w:tcMar>
              <w:left w:w="0" w:type="dxa"/>
              <w:right w:w="0" w:type="dxa"/>
            </w:tcMar>
            <w:vAlign w:val="center"/>
          </w:tcPr>
          <w:p w14:paraId="2D6ED7E1">
            <w:pPr>
              <w:spacing w:line="360" w:lineRule="auto"/>
              <w:rPr>
                <w:rFonts w:ascii="仿宋" w:hAnsi="仿宋" w:eastAsia="仿宋" w:cs="仿宋"/>
                <w:color w:val="auto"/>
              </w:rPr>
            </w:pPr>
            <w:r>
              <w:rPr>
                <w:rFonts w:hint="eastAsia" w:ascii="仿宋" w:hAnsi="仿宋" w:eastAsia="仿宋" w:cs="仿宋"/>
                <w:color w:val="auto"/>
              </w:rPr>
              <w:t>《采购文件》要求</w:t>
            </w:r>
          </w:p>
        </w:tc>
        <w:tc>
          <w:tcPr>
            <w:tcW w:w="2977" w:type="dxa"/>
            <w:tcBorders>
              <w:top w:val="single" w:color="auto" w:sz="4" w:space="0"/>
              <w:bottom w:val="single" w:color="auto" w:sz="4" w:space="0"/>
            </w:tcBorders>
            <w:tcMar>
              <w:left w:w="0" w:type="dxa"/>
              <w:right w:w="0" w:type="dxa"/>
            </w:tcMar>
            <w:vAlign w:val="center"/>
          </w:tcPr>
          <w:p w14:paraId="49BA56EF">
            <w:pPr>
              <w:spacing w:line="360" w:lineRule="auto"/>
              <w:rPr>
                <w:rFonts w:ascii="仿宋" w:hAnsi="仿宋" w:eastAsia="仿宋" w:cs="仿宋"/>
                <w:color w:val="auto"/>
              </w:rPr>
            </w:pPr>
            <w:r>
              <w:rPr>
                <w:rFonts w:hint="eastAsia" w:ascii="仿宋" w:hAnsi="仿宋" w:eastAsia="仿宋" w:cs="仿宋"/>
                <w:color w:val="auto"/>
              </w:rPr>
              <w:t>《响应文件》响应</w:t>
            </w:r>
          </w:p>
        </w:tc>
        <w:tc>
          <w:tcPr>
            <w:tcW w:w="1827" w:type="dxa"/>
            <w:tcBorders>
              <w:top w:val="single" w:color="auto" w:sz="4" w:space="0"/>
              <w:bottom w:val="single" w:color="auto" w:sz="4" w:space="0"/>
            </w:tcBorders>
            <w:tcMar>
              <w:left w:w="0" w:type="dxa"/>
              <w:right w:w="0" w:type="dxa"/>
            </w:tcMar>
            <w:vAlign w:val="center"/>
          </w:tcPr>
          <w:p w14:paraId="2D810353">
            <w:pPr>
              <w:spacing w:line="360" w:lineRule="auto"/>
              <w:rPr>
                <w:rFonts w:ascii="仿宋" w:hAnsi="仿宋" w:eastAsia="仿宋" w:cs="仿宋"/>
                <w:color w:val="auto"/>
              </w:rPr>
            </w:pPr>
            <w:r>
              <w:rPr>
                <w:rFonts w:hint="eastAsia" w:ascii="仿宋" w:hAnsi="仿宋" w:eastAsia="仿宋" w:cs="仿宋"/>
                <w:color w:val="auto"/>
              </w:rPr>
              <w:t>偏离项详细说明</w:t>
            </w:r>
          </w:p>
        </w:tc>
      </w:tr>
      <w:tr w14:paraId="6BD5CF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Borders>
              <w:top w:val="single" w:color="auto" w:sz="4" w:space="0"/>
            </w:tcBorders>
            <w:tcMar>
              <w:left w:w="0" w:type="dxa"/>
              <w:right w:w="0" w:type="dxa"/>
            </w:tcMar>
            <w:vAlign w:val="center"/>
          </w:tcPr>
          <w:p w14:paraId="588242DB">
            <w:pPr>
              <w:spacing w:line="360" w:lineRule="auto"/>
              <w:rPr>
                <w:rFonts w:ascii="仿宋" w:hAnsi="仿宋" w:eastAsia="仿宋" w:cs="仿宋"/>
                <w:color w:val="auto"/>
              </w:rPr>
            </w:pPr>
          </w:p>
        </w:tc>
        <w:tc>
          <w:tcPr>
            <w:tcW w:w="2824" w:type="dxa"/>
            <w:tcBorders>
              <w:top w:val="single" w:color="auto" w:sz="4" w:space="0"/>
            </w:tcBorders>
            <w:tcMar>
              <w:left w:w="0" w:type="dxa"/>
              <w:right w:w="0" w:type="dxa"/>
            </w:tcMar>
            <w:vAlign w:val="center"/>
          </w:tcPr>
          <w:p w14:paraId="719C06CA">
            <w:pPr>
              <w:spacing w:line="360" w:lineRule="auto"/>
              <w:rPr>
                <w:rFonts w:ascii="仿宋" w:hAnsi="仿宋" w:eastAsia="仿宋" w:cs="仿宋"/>
                <w:color w:val="auto"/>
              </w:rPr>
            </w:pPr>
          </w:p>
        </w:tc>
        <w:tc>
          <w:tcPr>
            <w:tcW w:w="2977" w:type="dxa"/>
            <w:tcBorders>
              <w:top w:val="single" w:color="auto" w:sz="4" w:space="0"/>
            </w:tcBorders>
            <w:tcMar>
              <w:left w:w="0" w:type="dxa"/>
              <w:right w:w="0" w:type="dxa"/>
            </w:tcMar>
            <w:vAlign w:val="center"/>
          </w:tcPr>
          <w:p w14:paraId="2B2D2450">
            <w:pPr>
              <w:spacing w:line="360" w:lineRule="auto"/>
              <w:rPr>
                <w:rFonts w:ascii="仿宋" w:hAnsi="仿宋" w:eastAsia="仿宋" w:cs="仿宋"/>
                <w:color w:val="auto"/>
              </w:rPr>
            </w:pPr>
          </w:p>
        </w:tc>
        <w:tc>
          <w:tcPr>
            <w:tcW w:w="1827" w:type="dxa"/>
            <w:tcBorders>
              <w:top w:val="single" w:color="auto" w:sz="4" w:space="0"/>
            </w:tcBorders>
            <w:tcMar>
              <w:left w:w="0" w:type="dxa"/>
              <w:right w:w="0" w:type="dxa"/>
            </w:tcMar>
            <w:vAlign w:val="center"/>
          </w:tcPr>
          <w:p w14:paraId="0D06B721">
            <w:pPr>
              <w:spacing w:line="360" w:lineRule="auto"/>
              <w:rPr>
                <w:rFonts w:ascii="仿宋" w:hAnsi="仿宋" w:eastAsia="仿宋" w:cs="仿宋"/>
                <w:color w:val="auto"/>
              </w:rPr>
            </w:pPr>
            <w:r>
              <w:rPr>
                <w:rFonts w:hint="eastAsia" w:ascii="仿宋" w:hAnsi="仿宋" w:eastAsia="仿宋" w:cs="仿宋"/>
                <w:color w:val="auto"/>
              </w:rPr>
              <w:t>（若存在偏离，注明偏离内容及正负）</w:t>
            </w:r>
          </w:p>
        </w:tc>
      </w:tr>
      <w:tr w14:paraId="47CD1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14:paraId="16EA4728">
            <w:pPr>
              <w:spacing w:line="360" w:lineRule="auto"/>
              <w:rPr>
                <w:rFonts w:ascii="仿宋" w:hAnsi="仿宋" w:eastAsia="仿宋" w:cs="仿宋"/>
                <w:color w:val="auto"/>
              </w:rPr>
            </w:pPr>
          </w:p>
        </w:tc>
        <w:tc>
          <w:tcPr>
            <w:tcW w:w="2824" w:type="dxa"/>
            <w:tcMar>
              <w:left w:w="0" w:type="dxa"/>
              <w:right w:w="0" w:type="dxa"/>
            </w:tcMar>
            <w:vAlign w:val="center"/>
          </w:tcPr>
          <w:p w14:paraId="29D5E734">
            <w:pPr>
              <w:spacing w:line="360" w:lineRule="auto"/>
              <w:rPr>
                <w:rFonts w:ascii="仿宋" w:hAnsi="仿宋" w:eastAsia="仿宋" w:cs="仿宋"/>
                <w:color w:val="auto"/>
              </w:rPr>
            </w:pPr>
          </w:p>
        </w:tc>
        <w:tc>
          <w:tcPr>
            <w:tcW w:w="2977" w:type="dxa"/>
            <w:tcMar>
              <w:left w:w="0" w:type="dxa"/>
              <w:right w:w="0" w:type="dxa"/>
            </w:tcMar>
            <w:vAlign w:val="center"/>
          </w:tcPr>
          <w:p w14:paraId="3484C290">
            <w:pPr>
              <w:spacing w:line="360" w:lineRule="auto"/>
              <w:rPr>
                <w:rFonts w:ascii="仿宋" w:hAnsi="仿宋" w:eastAsia="仿宋" w:cs="仿宋"/>
                <w:color w:val="auto"/>
              </w:rPr>
            </w:pPr>
          </w:p>
        </w:tc>
        <w:tc>
          <w:tcPr>
            <w:tcW w:w="1827" w:type="dxa"/>
            <w:tcMar>
              <w:left w:w="0" w:type="dxa"/>
              <w:right w:w="0" w:type="dxa"/>
            </w:tcMar>
            <w:vAlign w:val="center"/>
          </w:tcPr>
          <w:p w14:paraId="76A27AF4">
            <w:pPr>
              <w:spacing w:line="360" w:lineRule="auto"/>
              <w:rPr>
                <w:rFonts w:ascii="仿宋" w:hAnsi="仿宋" w:eastAsia="仿宋" w:cs="仿宋"/>
                <w:color w:val="auto"/>
              </w:rPr>
            </w:pPr>
            <w:r>
              <w:rPr>
                <w:rFonts w:hint="eastAsia" w:ascii="仿宋" w:hAnsi="仿宋" w:eastAsia="仿宋" w:cs="仿宋"/>
                <w:color w:val="auto"/>
              </w:rPr>
              <w:t>（无偏离时此处填写完全响应）</w:t>
            </w:r>
          </w:p>
        </w:tc>
      </w:tr>
      <w:tr w14:paraId="249528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14:paraId="10004623">
            <w:pPr>
              <w:spacing w:line="360" w:lineRule="auto"/>
              <w:rPr>
                <w:rFonts w:ascii="仿宋" w:hAnsi="仿宋" w:eastAsia="仿宋" w:cs="仿宋"/>
                <w:color w:val="auto"/>
              </w:rPr>
            </w:pPr>
          </w:p>
        </w:tc>
        <w:tc>
          <w:tcPr>
            <w:tcW w:w="2824" w:type="dxa"/>
            <w:tcMar>
              <w:left w:w="0" w:type="dxa"/>
              <w:right w:w="0" w:type="dxa"/>
            </w:tcMar>
            <w:vAlign w:val="center"/>
          </w:tcPr>
          <w:p w14:paraId="63A7FF3C">
            <w:pPr>
              <w:spacing w:line="360" w:lineRule="auto"/>
              <w:rPr>
                <w:rFonts w:ascii="仿宋" w:hAnsi="仿宋" w:eastAsia="仿宋" w:cs="仿宋"/>
                <w:color w:val="auto"/>
              </w:rPr>
            </w:pPr>
          </w:p>
        </w:tc>
        <w:tc>
          <w:tcPr>
            <w:tcW w:w="2977" w:type="dxa"/>
            <w:tcMar>
              <w:left w:w="0" w:type="dxa"/>
              <w:right w:w="0" w:type="dxa"/>
            </w:tcMar>
            <w:vAlign w:val="center"/>
          </w:tcPr>
          <w:p w14:paraId="7F6B1079">
            <w:pPr>
              <w:spacing w:line="360" w:lineRule="auto"/>
              <w:rPr>
                <w:rFonts w:ascii="仿宋" w:hAnsi="仿宋" w:eastAsia="仿宋" w:cs="仿宋"/>
                <w:color w:val="auto"/>
              </w:rPr>
            </w:pPr>
          </w:p>
        </w:tc>
        <w:tc>
          <w:tcPr>
            <w:tcW w:w="1827" w:type="dxa"/>
            <w:tcMar>
              <w:left w:w="0" w:type="dxa"/>
              <w:right w:w="0" w:type="dxa"/>
            </w:tcMar>
            <w:vAlign w:val="center"/>
          </w:tcPr>
          <w:p w14:paraId="4F086068">
            <w:pPr>
              <w:spacing w:line="360" w:lineRule="auto"/>
              <w:rPr>
                <w:rFonts w:ascii="仿宋" w:hAnsi="仿宋" w:eastAsia="仿宋" w:cs="仿宋"/>
                <w:color w:val="auto"/>
              </w:rPr>
            </w:pPr>
          </w:p>
        </w:tc>
      </w:tr>
      <w:tr w14:paraId="259496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14:paraId="0FAC164E">
            <w:pPr>
              <w:spacing w:line="360" w:lineRule="auto"/>
              <w:rPr>
                <w:rFonts w:ascii="仿宋" w:hAnsi="仿宋" w:eastAsia="仿宋" w:cs="仿宋"/>
                <w:color w:val="auto"/>
              </w:rPr>
            </w:pPr>
          </w:p>
        </w:tc>
        <w:tc>
          <w:tcPr>
            <w:tcW w:w="2824" w:type="dxa"/>
            <w:tcMar>
              <w:left w:w="0" w:type="dxa"/>
              <w:right w:w="0" w:type="dxa"/>
            </w:tcMar>
            <w:vAlign w:val="center"/>
          </w:tcPr>
          <w:p w14:paraId="6DCECAF3">
            <w:pPr>
              <w:spacing w:line="360" w:lineRule="auto"/>
              <w:rPr>
                <w:rFonts w:ascii="仿宋" w:hAnsi="仿宋" w:eastAsia="仿宋" w:cs="仿宋"/>
                <w:color w:val="auto"/>
              </w:rPr>
            </w:pPr>
          </w:p>
        </w:tc>
        <w:tc>
          <w:tcPr>
            <w:tcW w:w="2977" w:type="dxa"/>
            <w:tcMar>
              <w:left w:w="0" w:type="dxa"/>
              <w:right w:w="0" w:type="dxa"/>
            </w:tcMar>
            <w:vAlign w:val="center"/>
          </w:tcPr>
          <w:p w14:paraId="3F7F50C3">
            <w:pPr>
              <w:spacing w:line="360" w:lineRule="auto"/>
              <w:rPr>
                <w:rFonts w:ascii="仿宋" w:hAnsi="仿宋" w:eastAsia="仿宋" w:cs="仿宋"/>
                <w:color w:val="auto"/>
              </w:rPr>
            </w:pPr>
          </w:p>
        </w:tc>
        <w:tc>
          <w:tcPr>
            <w:tcW w:w="1827" w:type="dxa"/>
            <w:tcMar>
              <w:left w:w="0" w:type="dxa"/>
              <w:right w:w="0" w:type="dxa"/>
            </w:tcMar>
            <w:vAlign w:val="center"/>
          </w:tcPr>
          <w:p w14:paraId="4ECE051A">
            <w:pPr>
              <w:spacing w:line="360" w:lineRule="auto"/>
              <w:rPr>
                <w:rFonts w:ascii="仿宋" w:hAnsi="仿宋" w:eastAsia="仿宋" w:cs="仿宋"/>
                <w:color w:val="auto"/>
              </w:rPr>
            </w:pPr>
          </w:p>
        </w:tc>
      </w:tr>
      <w:tr w14:paraId="175910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14:paraId="31A1331E">
            <w:pPr>
              <w:spacing w:line="360" w:lineRule="auto"/>
              <w:rPr>
                <w:rFonts w:ascii="仿宋" w:hAnsi="仿宋" w:eastAsia="仿宋" w:cs="仿宋"/>
                <w:color w:val="auto"/>
              </w:rPr>
            </w:pPr>
          </w:p>
        </w:tc>
        <w:tc>
          <w:tcPr>
            <w:tcW w:w="2824" w:type="dxa"/>
            <w:tcMar>
              <w:left w:w="0" w:type="dxa"/>
              <w:right w:w="0" w:type="dxa"/>
            </w:tcMar>
            <w:vAlign w:val="center"/>
          </w:tcPr>
          <w:p w14:paraId="7A404857">
            <w:pPr>
              <w:spacing w:line="360" w:lineRule="auto"/>
              <w:rPr>
                <w:rFonts w:ascii="仿宋" w:hAnsi="仿宋" w:eastAsia="仿宋" w:cs="仿宋"/>
                <w:color w:val="auto"/>
              </w:rPr>
            </w:pPr>
          </w:p>
        </w:tc>
        <w:tc>
          <w:tcPr>
            <w:tcW w:w="2977" w:type="dxa"/>
            <w:tcMar>
              <w:left w:w="0" w:type="dxa"/>
              <w:right w:w="0" w:type="dxa"/>
            </w:tcMar>
            <w:vAlign w:val="center"/>
          </w:tcPr>
          <w:p w14:paraId="18396EE0">
            <w:pPr>
              <w:spacing w:line="360" w:lineRule="auto"/>
              <w:rPr>
                <w:rFonts w:ascii="仿宋" w:hAnsi="仿宋" w:eastAsia="仿宋" w:cs="仿宋"/>
                <w:color w:val="auto"/>
              </w:rPr>
            </w:pPr>
          </w:p>
        </w:tc>
        <w:tc>
          <w:tcPr>
            <w:tcW w:w="1827" w:type="dxa"/>
            <w:tcMar>
              <w:left w:w="0" w:type="dxa"/>
              <w:right w:w="0" w:type="dxa"/>
            </w:tcMar>
            <w:vAlign w:val="center"/>
          </w:tcPr>
          <w:p w14:paraId="3F98F66A">
            <w:pPr>
              <w:spacing w:line="360" w:lineRule="auto"/>
              <w:rPr>
                <w:rFonts w:ascii="仿宋" w:hAnsi="仿宋" w:eastAsia="仿宋" w:cs="仿宋"/>
                <w:color w:val="auto"/>
              </w:rPr>
            </w:pPr>
          </w:p>
        </w:tc>
      </w:tr>
      <w:tr w14:paraId="2807E7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14:paraId="593BFEEE">
            <w:pPr>
              <w:spacing w:line="360" w:lineRule="auto"/>
              <w:rPr>
                <w:rFonts w:ascii="仿宋" w:hAnsi="仿宋" w:eastAsia="仿宋" w:cs="仿宋"/>
                <w:color w:val="auto"/>
              </w:rPr>
            </w:pPr>
          </w:p>
        </w:tc>
        <w:tc>
          <w:tcPr>
            <w:tcW w:w="2824" w:type="dxa"/>
            <w:tcMar>
              <w:left w:w="0" w:type="dxa"/>
              <w:right w:w="0" w:type="dxa"/>
            </w:tcMar>
            <w:vAlign w:val="center"/>
          </w:tcPr>
          <w:p w14:paraId="7730ADB1">
            <w:pPr>
              <w:spacing w:line="360" w:lineRule="auto"/>
              <w:rPr>
                <w:rFonts w:ascii="仿宋" w:hAnsi="仿宋" w:eastAsia="仿宋" w:cs="仿宋"/>
                <w:color w:val="auto"/>
              </w:rPr>
            </w:pPr>
          </w:p>
        </w:tc>
        <w:tc>
          <w:tcPr>
            <w:tcW w:w="2977" w:type="dxa"/>
            <w:tcMar>
              <w:left w:w="0" w:type="dxa"/>
              <w:right w:w="0" w:type="dxa"/>
            </w:tcMar>
            <w:vAlign w:val="center"/>
          </w:tcPr>
          <w:p w14:paraId="130F1A6D">
            <w:pPr>
              <w:spacing w:line="360" w:lineRule="auto"/>
              <w:rPr>
                <w:rFonts w:ascii="仿宋" w:hAnsi="仿宋" w:eastAsia="仿宋" w:cs="仿宋"/>
                <w:color w:val="auto"/>
              </w:rPr>
            </w:pPr>
          </w:p>
        </w:tc>
        <w:tc>
          <w:tcPr>
            <w:tcW w:w="1827" w:type="dxa"/>
            <w:tcMar>
              <w:left w:w="0" w:type="dxa"/>
              <w:right w:w="0" w:type="dxa"/>
            </w:tcMar>
            <w:vAlign w:val="center"/>
          </w:tcPr>
          <w:p w14:paraId="67C53A19">
            <w:pPr>
              <w:spacing w:line="360" w:lineRule="auto"/>
              <w:rPr>
                <w:rFonts w:ascii="仿宋" w:hAnsi="仿宋" w:eastAsia="仿宋" w:cs="仿宋"/>
                <w:color w:val="auto"/>
              </w:rPr>
            </w:pPr>
          </w:p>
        </w:tc>
      </w:tr>
    </w:tbl>
    <w:p w14:paraId="1D819E12">
      <w:pPr>
        <w:spacing w:line="360" w:lineRule="auto"/>
        <w:rPr>
          <w:rFonts w:ascii="仿宋" w:hAnsi="仿宋" w:eastAsia="仿宋" w:cs="仿宋"/>
          <w:color w:val="auto"/>
        </w:rPr>
      </w:pPr>
      <w:r>
        <w:rPr>
          <w:rFonts w:hint="eastAsia" w:ascii="仿宋" w:hAnsi="仿宋" w:eastAsia="仿宋" w:cs="仿宋"/>
          <w:color w:val="auto"/>
        </w:rPr>
        <w:t>备注：1、如响应文件对本采购文件中的</w:t>
      </w:r>
      <w:r>
        <w:rPr>
          <w:rFonts w:hint="eastAsia" w:ascii="仿宋" w:hAnsi="仿宋" w:eastAsia="仿宋" w:cs="仿宋"/>
          <w:b/>
          <w:color w:val="auto"/>
        </w:rPr>
        <w:t>服务要求与合同条款</w:t>
      </w:r>
      <w:r>
        <w:rPr>
          <w:rFonts w:hint="eastAsia" w:ascii="仿宋" w:hAnsi="仿宋" w:eastAsia="仿宋" w:cs="仿宋"/>
          <w:color w:val="auto"/>
        </w:rPr>
        <w:t>有偏离的，在本表中列明，并注偏离情况说明</w:t>
      </w:r>
      <w:r>
        <w:rPr>
          <w:rFonts w:hint="eastAsia" w:ascii="仿宋" w:hAnsi="仿宋" w:eastAsia="仿宋" w:cs="仿宋"/>
          <w:b/>
          <w:color w:val="auto"/>
        </w:rPr>
        <w:t>。</w:t>
      </w:r>
    </w:p>
    <w:p w14:paraId="35334561">
      <w:pPr>
        <w:spacing w:line="360" w:lineRule="auto"/>
        <w:rPr>
          <w:rFonts w:ascii="仿宋" w:hAnsi="仿宋" w:eastAsia="仿宋" w:cs="仿宋"/>
          <w:b/>
          <w:color w:val="auto"/>
        </w:rPr>
      </w:pPr>
      <w:r>
        <w:rPr>
          <w:rFonts w:hint="eastAsia" w:ascii="仿宋" w:hAnsi="仿宋" w:eastAsia="仿宋" w:cs="仿宋"/>
          <w:b/>
          <w:color w:val="auto"/>
        </w:rPr>
        <w:t>2、未在本表中填写的，视为完全响应采购文件中的服务要求及合同条款。</w:t>
      </w:r>
    </w:p>
    <w:p w14:paraId="08D05803">
      <w:pPr>
        <w:spacing w:line="360" w:lineRule="auto"/>
        <w:rPr>
          <w:rFonts w:ascii="仿宋" w:hAnsi="仿宋" w:eastAsia="仿宋" w:cs="仿宋"/>
          <w:color w:val="auto"/>
        </w:rPr>
      </w:pPr>
    </w:p>
    <w:p w14:paraId="30B01BA2">
      <w:pPr>
        <w:spacing w:line="360" w:lineRule="auto"/>
        <w:jc w:val="center"/>
        <w:rPr>
          <w:rFonts w:ascii="仿宋" w:hAnsi="仿宋" w:eastAsia="仿宋" w:cs="仿宋"/>
          <w:color w:val="auto"/>
        </w:rPr>
      </w:pPr>
      <w:r>
        <w:rPr>
          <w:rFonts w:hint="eastAsia" w:ascii="仿宋" w:hAnsi="仿宋" w:eastAsia="仿宋" w:cs="仿宋"/>
          <w:color w:val="auto"/>
        </w:rPr>
        <w:t>单位盖章：</w:t>
      </w:r>
      <w:r>
        <w:rPr>
          <w:rFonts w:hint="eastAsia" w:ascii="仿宋" w:hAnsi="仿宋" w:eastAsia="仿宋" w:cs="仿宋"/>
          <w:color w:val="auto"/>
          <w:u w:val="single"/>
        </w:rPr>
        <w:t xml:space="preserve">   （公章）</w:t>
      </w:r>
    </w:p>
    <w:p w14:paraId="2D99A7D3">
      <w:pPr>
        <w:spacing w:line="360" w:lineRule="auto"/>
        <w:jc w:val="center"/>
        <w:rPr>
          <w:rFonts w:ascii="仿宋" w:hAnsi="仿宋" w:eastAsia="仿宋" w:cs="仿宋"/>
          <w:color w:val="auto"/>
        </w:rPr>
      </w:pPr>
    </w:p>
    <w:p w14:paraId="650BDDD1">
      <w:pPr>
        <w:spacing w:line="360" w:lineRule="auto"/>
        <w:jc w:val="center"/>
        <w:rPr>
          <w:rFonts w:ascii="仿宋" w:hAnsi="仿宋" w:eastAsia="仿宋" w:cs="仿宋"/>
          <w:color w:val="auto"/>
        </w:rPr>
      </w:pPr>
      <w:r>
        <w:rPr>
          <w:rFonts w:hint="eastAsia" w:ascii="仿宋" w:hAnsi="仿宋" w:eastAsia="仿宋" w:cs="仿宋"/>
          <w:color w:val="auto"/>
        </w:rPr>
        <w:t>年</w:t>
      </w:r>
      <w:r>
        <w:rPr>
          <w:rFonts w:hint="eastAsia" w:ascii="仿宋" w:hAnsi="仿宋" w:eastAsia="仿宋" w:cs="仿宋"/>
          <w:color w:val="auto"/>
          <w:lang w:val="en-US" w:eastAsia="zh-CN"/>
        </w:rPr>
        <w:t xml:space="preserve"> </w:t>
      </w:r>
      <w:r>
        <w:rPr>
          <w:rFonts w:hint="eastAsia" w:ascii="仿宋" w:hAnsi="仿宋" w:eastAsia="仿宋" w:cs="仿宋"/>
          <w:color w:val="auto"/>
        </w:rPr>
        <w:t>月</w:t>
      </w:r>
      <w:r>
        <w:rPr>
          <w:rFonts w:hint="eastAsia" w:ascii="仿宋" w:hAnsi="仿宋" w:eastAsia="仿宋" w:cs="仿宋"/>
          <w:color w:val="auto"/>
          <w:lang w:val="en-US" w:eastAsia="zh-CN"/>
        </w:rPr>
        <w:t xml:space="preserve"> </w:t>
      </w:r>
      <w:r>
        <w:rPr>
          <w:rFonts w:hint="eastAsia" w:ascii="仿宋" w:hAnsi="仿宋" w:eastAsia="仿宋" w:cs="仿宋"/>
          <w:color w:val="auto"/>
        </w:rPr>
        <w:t>日</w:t>
      </w:r>
    </w:p>
    <w:p w14:paraId="3393B637">
      <w:pPr>
        <w:rPr>
          <w:rFonts w:ascii="仿宋" w:hAnsi="仿宋" w:eastAsia="仿宋" w:cs="仿宋"/>
          <w:color w:val="auto"/>
        </w:rPr>
      </w:pPr>
    </w:p>
    <w:p w14:paraId="528A28E9">
      <w:pPr>
        <w:spacing w:line="360" w:lineRule="auto"/>
        <w:ind w:firstLine="420" w:firstLineChars="200"/>
        <w:rPr>
          <w:rFonts w:ascii="仿宋" w:hAnsi="仿宋" w:eastAsia="仿宋" w:cs="仿宋"/>
          <w:color w:val="auto"/>
        </w:rPr>
      </w:pPr>
    </w:p>
    <w:p w14:paraId="1D94C344">
      <w:pPr>
        <w:spacing w:line="360" w:lineRule="auto"/>
        <w:rPr>
          <w:rFonts w:ascii="仿宋" w:hAnsi="仿宋" w:eastAsia="仿宋" w:cs="仿宋"/>
          <w:color w:val="auto"/>
        </w:rPr>
      </w:pPr>
    </w:p>
    <w:p w14:paraId="56378DB5">
      <w:pPr>
        <w:pStyle w:val="28"/>
        <w:spacing w:line="360" w:lineRule="auto"/>
        <w:jc w:val="left"/>
        <w:rPr>
          <w:rFonts w:ascii="仿宋" w:hAnsi="仿宋" w:eastAsia="仿宋" w:cs="仿宋"/>
          <w:color w:val="auto"/>
        </w:rPr>
      </w:pPr>
      <w:r>
        <w:rPr>
          <w:rFonts w:hint="eastAsia" w:ascii="仿宋" w:hAnsi="仿宋" w:eastAsia="仿宋" w:cs="仿宋"/>
          <w:color w:val="auto"/>
          <w:szCs w:val="21"/>
        </w:rPr>
        <w:br w:type="page"/>
      </w:r>
    </w:p>
    <w:p w14:paraId="4F181338">
      <w:pPr>
        <w:spacing w:line="360" w:lineRule="auto"/>
        <w:rPr>
          <w:rFonts w:ascii="仿宋" w:hAnsi="仿宋" w:eastAsia="仿宋" w:cs="仿宋"/>
          <w:color w:val="auto"/>
        </w:rPr>
      </w:pPr>
      <w:r>
        <w:rPr>
          <w:rFonts w:hint="eastAsia" w:ascii="仿宋" w:hAnsi="仿宋" w:eastAsia="仿宋" w:cs="仿宋"/>
          <w:color w:val="auto"/>
        </w:rPr>
        <w:t>附表（开标现场单独携带，不做入投标书内）</w:t>
      </w:r>
    </w:p>
    <w:p w14:paraId="158AAC76">
      <w:pPr>
        <w:pStyle w:val="127"/>
        <w:snapToGrid w:val="0"/>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采购活动现场确认声明书</w:t>
      </w:r>
    </w:p>
    <w:p w14:paraId="2B06A0CD">
      <w:pPr>
        <w:pStyle w:val="334"/>
        <w:widowControl w:val="0"/>
        <w:snapToGrid w:val="0"/>
        <w:spacing w:line="440" w:lineRule="exact"/>
        <w:jc w:val="both"/>
        <w:rPr>
          <w:rFonts w:hint="default" w:ascii="仿宋" w:hAnsi="仿宋" w:eastAsia="仿宋"/>
          <w:b/>
          <w:color w:val="auto"/>
          <w:sz w:val="24"/>
          <w:szCs w:val="24"/>
        </w:rPr>
      </w:pPr>
      <w:r>
        <w:rPr>
          <w:rFonts w:hint="eastAsia" w:ascii="仿宋" w:hAnsi="仿宋" w:eastAsia="仿宋"/>
          <w:snapToGrid w:val="0"/>
          <w:color w:val="auto"/>
          <w:sz w:val="24"/>
          <w:u w:val="single"/>
          <w:lang w:eastAsia="zh-CN"/>
        </w:rPr>
        <w:t>宁波旭诚工程项目管理有限公司</w:t>
      </w:r>
      <w:r>
        <w:rPr>
          <w:rFonts w:ascii="仿宋" w:hAnsi="仿宋" w:eastAsia="仿宋"/>
          <w:color w:val="auto"/>
          <w:kern w:val="0"/>
          <w:sz w:val="24"/>
          <w:szCs w:val="24"/>
        </w:rPr>
        <w:t>（采购组织机构名称）：</w:t>
      </w:r>
    </w:p>
    <w:p w14:paraId="4C781744">
      <w:pPr>
        <w:pStyle w:val="334"/>
        <w:widowControl w:val="0"/>
        <w:snapToGrid w:val="0"/>
        <w:spacing w:line="440" w:lineRule="exact"/>
        <w:ind w:firstLine="504" w:firstLineChars="200"/>
        <w:jc w:val="both"/>
        <w:rPr>
          <w:rFonts w:hint="default" w:ascii="仿宋" w:hAnsi="仿宋" w:eastAsia="仿宋"/>
          <w:color w:val="auto"/>
          <w:spacing w:val="6"/>
          <w:sz w:val="24"/>
          <w:szCs w:val="24"/>
          <w:u w:val="single"/>
        </w:rPr>
      </w:pPr>
      <w:r>
        <w:rPr>
          <w:rFonts w:ascii="仿宋" w:hAnsi="仿宋" w:eastAsia="仿宋"/>
          <w:color w:val="auto"/>
          <w:spacing w:val="6"/>
          <w:sz w:val="24"/>
          <w:szCs w:val="24"/>
        </w:rPr>
        <w:t>本人（授权代表姓名），经由（单位）</w:t>
      </w:r>
    </w:p>
    <w:p w14:paraId="142EF416">
      <w:pPr>
        <w:pStyle w:val="334"/>
        <w:widowControl w:val="0"/>
        <w:snapToGrid w:val="0"/>
        <w:spacing w:line="440" w:lineRule="exact"/>
        <w:jc w:val="both"/>
        <w:rPr>
          <w:rFonts w:hint="default" w:ascii="仿宋" w:hAnsi="仿宋" w:eastAsia="仿宋"/>
          <w:color w:val="auto"/>
          <w:spacing w:val="6"/>
          <w:sz w:val="24"/>
          <w:szCs w:val="24"/>
        </w:rPr>
      </w:pPr>
      <w:r>
        <w:rPr>
          <w:rFonts w:ascii="仿宋" w:hAnsi="仿宋" w:eastAsia="仿宋"/>
          <w:color w:val="auto"/>
          <w:spacing w:val="6"/>
          <w:sz w:val="24"/>
          <w:szCs w:val="24"/>
        </w:rPr>
        <w:t>（法定代表人姓名）合法授权参加</w:t>
      </w:r>
      <w:r>
        <w:rPr>
          <w:rFonts w:hint="eastAsia" w:ascii="仿宋" w:hAnsi="仿宋" w:eastAsia="仿宋"/>
          <w:color w:val="auto"/>
          <w:sz w:val="24"/>
          <w:szCs w:val="24"/>
          <w:u w:val="single"/>
          <w:lang w:eastAsia="zh-CN"/>
        </w:rPr>
        <w:t>梁弄镇白水冲村P2.5彩LED显示屏及音响设备采购项目</w:t>
      </w:r>
      <w:r>
        <w:rPr>
          <w:rFonts w:ascii="仿宋" w:hAnsi="仿宋" w:eastAsia="仿宋"/>
          <w:color w:val="auto"/>
          <w:spacing w:val="6"/>
          <w:sz w:val="24"/>
          <w:szCs w:val="24"/>
        </w:rPr>
        <w:t>（编号：</w:t>
      </w:r>
      <w:r>
        <w:rPr>
          <w:rFonts w:hint="eastAsia" w:ascii="仿宋" w:hAnsi="仿宋" w:eastAsia="仿宋"/>
          <w:color w:val="auto"/>
          <w:sz w:val="24"/>
          <w:szCs w:val="24"/>
          <w:u w:val="single"/>
          <w:lang w:eastAsia="zh-CN"/>
        </w:rPr>
        <w:t>NBXC-2025-003</w:t>
      </w:r>
      <w:bookmarkStart w:id="5" w:name="_GoBack"/>
      <w:bookmarkEnd w:id="5"/>
      <w:r>
        <w:rPr>
          <w:rFonts w:ascii="仿宋" w:hAnsi="仿宋" w:eastAsia="仿宋"/>
          <w:color w:val="auto"/>
          <w:spacing w:val="6"/>
          <w:sz w:val="24"/>
          <w:szCs w:val="24"/>
        </w:rPr>
        <w:t xml:space="preserve">政府采购活动，经与本单位法人代表（负责人）联系确认，现就有关公平竞争事项郑重声明如下： </w:t>
      </w:r>
    </w:p>
    <w:p w14:paraId="7CB41221">
      <w:pPr>
        <w:pStyle w:val="333"/>
        <w:widowControl/>
        <w:numPr>
          <w:ilvl w:val="0"/>
          <w:numId w:val="2"/>
        </w:numPr>
        <w:snapToGrid w:val="0"/>
        <w:spacing w:line="440" w:lineRule="exact"/>
        <w:ind w:firstLine="453" w:firstLineChars="189"/>
        <w:rPr>
          <w:rFonts w:hint="default" w:ascii="仿宋" w:hAnsi="仿宋" w:eastAsia="仿宋"/>
          <w:color w:val="auto"/>
          <w:kern w:val="0"/>
          <w:sz w:val="24"/>
          <w:szCs w:val="24"/>
        </w:rPr>
      </w:pPr>
      <w:r>
        <w:rPr>
          <w:rFonts w:ascii="仿宋" w:hAnsi="仿宋" w:eastAsia="仿宋"/>
          <w:color w:val="auto"/>
          <w:kern w:val="0"/>
          <w:sz w:val="24"/>
          <w:szCs w:val="24"/>
        </w:rPr>
        <w:t xml:space="preserve">本单位与采购人之间 </w:t>
      </w:r>
      <w:r>
        <w:rPr>
          <w:rFonts w:ascii="仿宋" w:hAnsi="仿宋" w:eastAsia="仿宋" w:cs="宋体"/>
          <w:color w:val="auto"/>
          <w:kern w:val="0"/>
          <w:sz w:val="24"/>
          <w:szCs w:val="24"/>
        </w:rPr>
        <w:t>□</w:t>
      </w:r>
      <w:r>
        <w:rPr>
          <w:rFonts w:ascii="仿宋" w:hAnsi="仿宋" w:eastAsia="仿宋"/>
          <w:color w:val="auto"/>
          <w:kern w:val="0"/>
          <w:sz w:val="24"/>
          <w:szCs w:val="24"/>
        </w:rPr>
        <w:t>不存在利害关系</w:t>
      </w:r>
      <w:r>
        <w:rPr>
          <w:rFonts w:ascii="仿宋" w:hAnsi="仿宋" w:eastAsia="仿宋" w:cs="宋体"/>
          <w:color w:val="auto"/>
          <w:kern w:val="0"/>
          <w:sz w:val="24"/>
          <w:szCs w:val="24"/>
        </w:rPr>
        <w:t>□</w:t>
      </w:r>
      <w:r>
        <w:rPr>
          <w:rFonts w:ascii="仿宋" w:hAnsi="仿宋" w:eastAsia="仿宋"/>
          <w:color w:val="auto"/>
          <w:kern w:val="0"/>
          <w:sz w:val="24"/>
          <w:szCs w:val="24"/>
        </w:rPr>
        <w:t>存在下列利害关系：</w:t>
      </w:r>
    </w:p>
    <w:p w14:paraId="20AC6541">
      <w:pPr>
        <w:pStyle w:val="333"/>
        <w:widowControl/>
        <w:snapToGrid w:val="0"/>
        <w:spacing w:line="440" w:lineRule="exact"/>
        <w:rPr>
          <w:rFonts w:hint="default" w:ascii="仿宋" w:hAnsi="仿宋" w:eastAsia="仿宋"/>
          <w:color w:val="auto"/>
          <w:kern w:val="0"/>
          <w:sz w:val="24"/>
          <w:szCs w:val="24"/>
        </w:rPr>
      </w:pPr>
      <w:r>
        <w:rPr>
          <w:rFonts w:ascii="仿宋" w:hAnsi="仿宋" w:eastAsia="仿宋"/>
          <w:color w:val="auto"/>
          <w:kern w:val="0"/>
          <w:sz w:val="24"/>
          <w:szCs w:val="24"/>
        </w:rPr>
        <w:t xml:space="preserve">  A.投资关系    B.行政隶属关系    C.业务指导关系</w:t>
      </w:r>
    </w:p>
    <w:p w14:paraId="482CF971">
      <w:pPr>
        <w:pStyle w:val="333"/>
        <w:widowControl/>
        <w:snapToGrid w:val="0"/>
        <w:spacing w:line="440" w:lineRule="exact"/>
        <w:rPr>
          <w:rFonts w:hint="default" w:ascii="仿宋" w:hAnsi="仿宋" w:eastAsia="仿宋"/>
          <w:color w:val="auto"/>
          <w:kern w:val="0"/>
          <w:sz w:val="24"/>
          <w:szCs w:val="24"/>
        </w:rPr>
      </w:pPr>
      <w:r>
        <w:rPr>
          <w:rFonts w:ascii="仿宋" w:hAnsi="仿宋" w:eastAsia="仿宋"/>
          <w:color w:val="auto"/>
          <w:kern w:val="0"/>
          <w:sz w:val="24"/>
          <w:szCs w:val="24"/>
        </w:rPr>
        <w:t xml:space="preserve">  D.其他可能</w:t>
      </w:r>
      <w:r>
        <w:rPr>
          <w:rFonts w:ascii="仿宋" w:hAnsi="仿宋" w:eastAsia="仿宋"/>
          <w:color w:val="auto"/>
          <w:sz w:val="24"/>
          <w:szCs w:val="24"/>
        </w:rPr>
        <w:t>影响采购公正的</w:t>
      </w:r>
      <w:r>
        <w:rPr>
          <w:rFonts w:ascii="仿宋" w:hAnsi="仿宋" w:eastAsia="仿宋"/>
          <w:color w:val="auto"/>
          <w:kern w:val="0"/>
          <w:sz w:val="24"/>
          <w:szCs w:val="24"/>
        </w:rPr>
        <w:t>利害关系</w:t>
      </w:r>
      <w:r>
        <w:rPr>
          <w:rFonts w:ascii="仿宋" w:hAnsi="仿宋" w:eastAsia="仿宋"/>
          <w:color w:val="auto"/>
          <w:kern w:val="0"/>
          <w:sz w:val="24"/>
          <w:szCs w:val="24"/>
          <w:u w:val="single"/>
        </w:rPr>
        <w:t xml:space="preserve">（如有，请如实说明）                 </w:t>
      </w:r>
      <w:r>
        <w:rPr>
          <w:rFonts w:ascii="仿宋" w:hAnsi="仿宋" w:eastAsia="仿宋"/>
          <w:color w:val="auto"/>
          <w:kern w:val="0"/>
          <w:sz w:val="24"/>
          <w:szCs w:val="24"/>
        </w:rPr>
        <w:t>。</w:t>
      </w:r>
    </w:p>
    <w:p w14:paraId="3D153A7F">
      <w:pPr>
        <w:pStyle w:val="333"/>
        <w:widowControl/>
        <w:snapToGrid w:val="0"/>
        <w:spacing w:line="440" w:lineRule="exact"/>
        <w:rPr>
          <w:rFonts w:hint="default" w:ascii="仿宋" w:hAnsi="仿宋" w:eastAsia="仿宋"/>
          <w:color w:val="auto"/>
          <w:kern w:val="0"/>
          <w:sz w:val="24"/>
          <w:szCs w:val="24"/>
        </w:rPr>
      </w:pPr>
      <w:r>
        <w:rPr>
          <w:rFonts w:ascii="仿宋" w:hAnsi="仿宋" w:eastAsia="仿宋"/>
          <w:color w:val="auto"/>
          <w:spacing w:val="6"/>
          <w:sz w:val="24"/>
          <w:szCs w:val="24"/>
        </w:rPr>
        <w:t xml:space="preserve">  二、</w:t>
      </w:r>
      <w:r>
        <w:rPr>
          <w:rFonts w:ascii="仿宋" w:hAnsi="仿宋" w:eastAsia="仿宋"/>
          <w:color w:val="auto"/>
          <w:kern w:val="0"/>
          <w:sz w:val="24"/>
          <w:szCs w:val="24"/>
        </w:rPr>
        <w:t xml:space="preserve">现已清楚知道参加本项目采购活动的其他所有供应商名称，本单位 </w:t>
      </w:r>
      <w:r>
        <w:rPr>
          <w:rFonts w:ascii="仿宋" w:hAnsi="仿宋" w:eastAsia="仿宋" w:cs="宋体"/>
          <w:color w:val="auto"/>
          <w:kern w:val="0"/>
          <w:sz w:val="24"/>
          <w:szCs w:val="24"/>
        </w:rPr>
        <w:t>□与其他所有供应商之间均</w:t>
      </w:r>
      <w:r>
        <w:rPr>
          <w:rFonts w:ascii="仿宋" w:hAnsi="仿宋" w:eastAsia="仿宋"/>
          <w:color w:val="auto"/>
          <w:kern w:val="0"/>
          <w:sz w:val="24"/>
          <w:szCs w:val="24"/>
        </w:rPr>
        <w:t xml:space="preserve">不存在利害关系 </w:t>
      </w:r>
      <w:r>
        <w:rPr>
          <w:rFonts w:ascii="仿宋" w:hAnsi="仿宋" w:eastAsia="仿宋" w:cs="宋体"/>
          <w:color w:val="auto"/>
          <w:kern w:val="0"/>
          <w:sz w:val="24"/>
          <w:szCs w:val="24"/>
        </w:rPr>
        <w:t>□与</w:t>
      </w:r>
      <w:r>
        <w:rPr>
          <w:rFonts w:ascii="仿宋" w:hAnsi="仿宋" w:eastAsia="仿宋" w:cs="宋体"/>
          <w:color w:val="auto"/>
          <w:kern w:val="0"/>
          <w:sz w:val="24"/>
          <w:szCs w:val="24"/>
          <w:u w:val="single"/>
        </w:rPr>
        <w:t xml:space="preserve">           （供应商名称）</w:t>
      </w:r>
      <w:r>
        <w:rPr>
          <w:rFonts w:ascii="仿宋" w:hAnsi="仿宋" w:eastAsia="仿宋" w:cs="宋体"/>
          <w:color w:val="auto"/>
          <w:kern w:val="0"/>
          <w:sz w:val="24"/>
          <w:szCs w:val="24"/>
        </w:rPr>
        <w:t>之间</w:t>
      </w:r>
      <w:r>
        <w:rPr>
          <w:rFonts w:ascii="仿宋" w:hAnsi="仿宋" w:eastAsia="仿宋"/>
          <w:color w:val="auto"/>
          <w:kern w:val="0"/>
          <w:sz w:val="24"/>
          <w:szCs w:val="24"/>
        </w:rPr>
        <w:t>存在下列利害关系：</w:t>
      </w:r>
    </w:p>
    <w:p w14:paraId="2D15C1D1">
      <w:pPr>
        <w:pStyle w:val="334"/>
        <w:widowControl w:val="0"/>
        <w:snapToGrid w:val="0"/>
        <w:spacing w:line="440" w:lineRule="exact"/>
        <w:jc w:val="both"/>
        <w:rPr>
          <w:rFonts w:hint="default" w:ascii="仿宋" w:hAnsi="仿宋" w:eastAsia="仿宋"/>
          <w:color w:val="auto"/>
          <w:kern w:val="0"/>
          <w:sz w:val="24"/>
          <w:szCs w:val="24"/>
        </w:rPr>
      </w:pPr>
      <w:r>
        <w:rPr>
          <w:rFonts w:ascii="仿宋" w:hAnsi="仿宋" w:eastAsia="仿宋"/>
          <w:color w:val="auto"/>
          <w:kern w:val="0"/>
          <w:sz w:val="24"/>
          <w:szCs w:val="24"/>
        </w:rPr>
        <w:t xml:space="preserve">  A.法定代表人或负责人或实际控制人是同一人</w:t>
      </w:r>
    </w:p>
    <w:p w14:paraId="57F1879C">
      <w:pPr>
        <w:pStyle w:val="334"/>
        <w:widowControl w:val="0"/>
        <w:snapToGrid w:val="0"/>
        <w:spacing w:line="440" w:lineRule="exact"/>
        <w:jc w:val="both"/>
        <w:rPr>
          <w:rFonts w:hint="default" w:ascii="仿宋" w:hAnsi="仿宋" w:eastAsia="仿宋"/>
          <w:color w:val="auto"/>
          <w:spacing w:val="6"/>
          <w:sz w:val="24"/>
          <w:szCs w:val="24"/>
        </w:rPr>
      </w:pPr>
      <w:r>
        <w:rPr>
          <w:rFonts w:ascii="仿宋" w:hAnsi="仿宋" w:eastAsia="仿宋"/>
          <w:color w:val="auto"/>
          <w:kern w:val="0"/>
          <w:sz w:val="24"/>
          <w:szCs w:val="24"/>
        </w:rPr>
        <w:t xml:space="preserve">  B.法定代表人或负责人或实际控制人是夫妻关系</w:t>
      </w:r>
    </w:p>
    <w:p w14:paraId="7A8C0F93">
      <w:pPr>
        <w:pStyle w:val="334"/>
        <w:widowControl w:val="0"/>
        <w:snapToGrid w:val="0"/>
        <w:spacing w:line="440" w:lineRule="exact"/>
        <w:jc w:val="both"/>
        <w:rPr>
          <w:rFonts w:hint="default" w:ascii="仿宋" w:hAnsi="仿宋" w:eastAsia="仿宋"/>
          <w:color w:val="auto"/>
          <w:spacing w:val="6"/>
          <w:sz w:val="24"/>
          <w:szCs w:val="24"/>
        </w:rPr>
      </w:pPr>
      <w:r>
        <w:rPr>
          <w:rFonts w:ascii="仿宋" w:hAnsi="仿宋" w:eastAsia="仿宋"/>
          <w:color w:val="auto"/>
          <w:kern w:val="0"/>
          <w:sz w:val="24"/>
          <w:szCs w:val="24"/>
        </w:rPr>
        <w:t xml:space="preserve">  C.法定代表人或负责人或实际控制人是直系血亲关系</w:t>
      </w:r>
    </w:p>
    <w:p w14:paraId="5935DFDA">
      <w:pPr>
        <w:pStyle w:val="334"/>
        <w:widowControl w:val="0"/>
        <w:snapToGrid w:val="0"/>
        <w:spacing w:line="440" w:lineRule="exact"/>
        <w:jc w:val="both"/>
        <w:rPr>
          <w:rFonts w:hint="default" w:ascii="仿宋" w:hAnsi="仿宋" w:eastAsia="仿宋"/>
          <w:color w:val="auto"/>
          <w:spacing w:val="6"/>
          <w:sz w:val="24"/>
          <w:szCs w:val="24"/>
        </w:rPr>
      </w:pPr>
      <w:r>
        <w:rPr>
          <w:rFonts w:ascii="仿宋" w:hAnsi="仿宋" w:eastAsia="仿宋"/>
          <w:color w:val="auto"/>
          <w:kern w:val="0"/>
          <w:sz w:val="24"/>
          <w:szCs w:val="24"/>
        </w:rPr>
        <w:t xml:space="preserve">  D.法定代表人或负责人或实际控制人存在三代以内旁系血亲关系</w:t>
      </w:r>
    </w:p>
    <w:p w14:paraId="00FBFCC0">
      <w:pPr>
        <w:pStyle w:val="334"/>
        <w:widowControl w:val="0"/>
        <w:snapToGrid w:val="0"/>
        <w:spacing w:line="440" w:lineRule="exact"/>
        <w:jc w:val="both"/>
        <w:rPr>
          <w:rFonts w:hint="default" w:ascii="仿宋" w:hAnsi="仿宋" w:eastAsia="仿宋"/>
          <w:color w:val="auto"/>
          <w:kern w:val="0"/>
          <w:sz w:val="24"/>
          <w:szCs w:val="24"/>
        </w:rPr>
      </w:pPr>
      <w:r>
        <w:rPr>
          <w:rFonts w:ascii="仿宋" w:hAnsi="仿宋" w:eastAsia="仿宋"/>
          <w:color w:val="auto"/>
          <w:kern w:val="0"/>
          <w:sz w:val="24"/>
          <w:szCs w:val="24"/>
        </w:rPr>
        <w:t xml:space="preserve">  E.法定代表人或负责人或实际控制人存在近姻亲关系</w:t>
      </w:r>
    </w:p>
    <w:p w14:paraId="35701AE6">
      <w:pPr>
        <w:pStyle w:val="334"/>
        <w:widowControl w:val="0"/>
        <w:snapToGrid w:val="0"/>
        <w:spacing w:line="440" w:lineRule="exact"/>
        <w:jc w:val="both"/>
        <w:rPr>
          <w:rFonts w:hint="default" w:ascii="仿宋" w:hAnsi="仿宋" w:eastAsia="仿宋"/>
          <w:color w:val="auto"/>
          <w:kern w:val="0"/>
          <w:sz w:val="24"/>
          <w:szCs w:val="24"/>
        </w:rPr>
      </w:pPr>
      <w:r>
        <w:rPr>
          <w:rFonts w:ascii="仿宋" w:hAnsi="仿宋" w:eastAsia="仿宋"/>
          <w:color w:val="auto"/>
          <w:kern w:val="0"/>
          <w:sz w:val="24"/>
          <w:szCs w:val="24"/>
        </w:rPr>
        <w:t xml:space="preserve">  F.法定代表人或负责人或实际控制人存在股份控制或实际控制关系</w:t>
      </w:r>
    </w:p>
    <w:p w14:paraId="2E0FDEDE">
      <w:pPr>
        <w:pStyle w:val="334"/>
        <w:widowControl w:val="0"/>
        <w:snapToGrid w:val="0"/>
        <w:spacing w:line="440" w:lineRule="exact"/>
        <w:jc w:val="both"/>
        <w:outlineLvl w:val="0"/>
        <w:rPr>
          <w:rFonts w:hint="default" w:ascii="仿宋" w:hAnsi="仿宋" w:eastAsia="仿宋"/>
          <w:color w:val="auto"/>
          <w:kern w:val="0"/>
          <w:sz w:val="24"/>
          <w:szCs w:val="24"/>
        </w:rPr>
      </w:pPr>
      <w:r>
        <w:rPr>
          <w:rFonts w:ascii="仿宋" w:hAnsi="仿宋" w:eastAsia="仿宋"/>
          <w:color w:val="auto"/>
          <w:kern w:val="0"/>
          <w:sz w:val="24"/>
          <w:szCs w:val="24"/>
        </w:rPr>
        <w:t xml:space="preserve">  G.存在共同直接或间接投资设立子公司、联营企业和合营企业情况</w:t>
      </w:r>
    </w:p>
    <w:p w14:paraId="408578B4">
      <w:pPr>
        <w:pStyle w:val="334"/>
        <w:widowControl w:val="0"/>
        <w:snapToGrid w:val="0"/>
        <w:spacing w:line="440" w:lineRule="exact"/>
        <w:jc w:val="both"/>
        <w:rPr>
          <w:rFonts w:hint="default" w:ascii="仿宋" w:hAnsi="仿宋" w:eastAsia="仿宋"/>
          <w:color w:val="auto"/>
          <w:sz w:val="24"/>
          <w:szCs w:val="24"/>
        </w:rPr>
      </w:pPr>
      <w:r>
        <w:rPr>
          <w:rFonts w:ascii="仿宋" w:hAnsi="仿宋" w:eastAsia="仿宋"/>
          <w:color w:val="auto"/>
          <w:kern w:val="0"/>
          <w:sz w:val="24"/>
          <w:szCs w:val="24"/>
        </w:rPr>
        <w:t xml:space="preserve">  H.存在分级代理或代销关系、同一生产制造商关系、</w:t>
      </w:r>
      <w:r>
        <w:rPr>
          <w:rFonts w:ascii="仿宋" w:hAnsi="仿宋" w:eastAsia="仿宋"/>
          <w:color w:val="auto"/>
          <w:sz w:val="24"/>
          <w:szCs w:val="24"/>
        </w:rPr>
        <w:t>管理关系、重要业务（占主营业务收入50%以上）或重要财务往来关系（如融资）等其他实质性控制关系</w:t>
      </w:r>
    </w:p>
    <w:p w14:paraId="7F794269">
      <w:pPr>
        <w:pStyle w:val="334"/>
        <w:widowControl w:val="0"/>
        <w:snapToGrid w:val="0"/>
        <w:spacing w:line="440" w:lineRule="exact"/>
        <w:jc w:val="both"/>
        <w:rPr>
          <w:rFonts w:hint="default" w:ascii="仿宋" w:hAnsi="仿宋" w:eastAsia="仿宋"/>
          <w:color w:val="auto"/>
          <w:spacing w:val="6"/>
          <w:sz w:val="24"/>
          <w:szCs w:val="24"/>
        </w:rPr>
      </w:pPr>
      <w:r>
        <w:rPr>
          <w:rFonts w:ascii="仿宋" w:hAnsi="仿宋" w:eastAsia="仿宋"/>
          <w:color w:val="auto"/>
          <w:sz w:val="24"/>
          <w:szCs w:val="24"/>
        </w:rPr>
        <w:t xml:space="preserve">  I</w:t>
      </w:r>
      <w:r>
        <w:rPr>
          <w:rFonts w:ascii="仿宋" w:hAnsi="仿宋" w:eastAsia="仿宋"/>
          <w:color w:val="auto"/>
          <w:kern w:val="0"/>
          <w:sz w:val="24"/>
          <w:szCs w:val="24"/>
        </w:rPr>
        <w:t>.</w:t>
      </w:r>
      <w:r>
        <w:rPr>
          <w:rFonts w:ascii="仿宋" w:hAnsi="仿宋" w:eastAsia="仿宋"/>
          <w:color w:val="auto"/>
          <w:sz w:val="24"/>
          <w:szCs w:val="24"/>
        </w:rPr>
        <w:t>其他利害关系情况</w:t>
      </w:r>
      <w:r>
        <w:rPr>
          <w:rFonts w:ascii="仿宋" w:hAnsi="仿宋" w:eastAsia="仿宋"/>
          <w:color w:val="auto"/>
          <w:kern w:val="0"/>
          <w:sz w:val="24"/>
          <w:szCs w:val="24"/>
        </w:rPr>
        <w:t>。</w:t>
      </w:r>
    </w:p>
    <w:p w14:paraId="6C94ED97">
      <w:pPr>
        <w:pStyle w:val="333"/>
        <w:widowControl/>
        <w:numPr>
          <w:ilvl w:val="0"/>
          <w:numId w:val="3"/>
        </w:numPr>
        <w:snapToGrid w:val="0"/>
        <w:spacing w:line="440" w:lineRule="exact"/>
        <w:ind w:firstLine="453" w:firstLineChars="189"/>
        <w:rPr>
          <w:rFonts w:hint="default" w:ascii="仿宋" w:hAnsi="仿宋" w:eastAsia="仿宋"/>
          <w:color w:val="auto"/>
          <w:kern w:val="0"/>
          <w:sz w:val="24"/>
          <w:szCs w:val="24"/>
        </w:rPr>
      </w:pPr>
      <w:r>
        <w:rPr>
          <w:rFonts w:ascii="仿宋" w:hAnsi="仿宋" w:eastAsia="仿宋"/>
          <w:color w:val="auto"/>
          <w:sz w:val="24"/>
          <w:szCs w:val="24"/>
        </w:rPr>
        <w:t>现已清楚知道并</w:t>
      </w:r>
      <w:r>
        <w:rPr>
          <w:rFonts w:ascii="仿宋" w:hAnsi="仿宋" w:eastAsia="仿宋"/>
          <w:color w:val="auto"/>
          <w:kern w:val="0"/>
          <w:sz w:val="24"/>
          <w:szCs w:val="24"/>
        </w:rPr>
        <w:t>严格遵守政府采购法律法规和现场纪律。</w:t>
      </w:r>
    </w:p>
    <w:p w14:paraId="271FF8F5">
      <w:pPr>
        <w:pStyle w:val="333"/>
        <w:widowControl/>
        <w:numPr>
          <w:ilvl w:val="0"/>
          <w:numId w:val="3"/>
        </w:numPr>
        <w:snapToGrid w:val="0"/>
        <w:spacing w:line="440" w:lineRule="exact"/>
        <w:ind w:firstLine="453" w:firstLineChars="189"/>
        <w:rPr>
          <w:rFonts w:hint="default" w:ascii="仿宋" w:hAnsi="仿宋" w:eastAsia="仿宋"/>
          <w:color w:val="auto"/>
          <w:kern w:val="0"/>
          <w:sz w:val="24"/>
          <w:szCs w:val="24"/>
        </w:rPr>
      </w:pPr>
      <w:r>
        <w:rPr>
          <w:rFonts w:ascii="仿宋" w:hAnsi="仿宋" w:eastAsia="仿宋"/>
          <w:color w:val="auto"/>
          <w:kern w:val="0"/>
          <w:sz w:val="24"/>
          <w:szCs w:val="24"/>
        </w:rPr>
        <w:t>我发现供应商之间存在或可能存在上述第二条第项利害关系。</w:t>
      </w:r>
    </w:p>
    <w:p w14:paraId="3144CF9C">
      <w:pPr>
        <w:pStyle w:val="294"/>
        <w:widowControl/>
        <w:numPr>
          <w:ilvl w:val="0"/>
          <w:numId w:val="3"/>
        </w:numPr>
        <w:snapToGrid w:val="0"/>
        <w:spacing w:line="440" w:lineRule="exact"/>
        <w:ind w:firstLine="453" w:firstLineChars="189"/>
        <w:rPr>
          <w:rFonts w:hint="default" w:ascii="仿宋" w:hAnsi="仿宋" w:eastAsia="仿宋"/>
          <w:color w:val="auto"/>
          <w:sz w:val="24"/>
          <w:szCs w:val="24"/>
        </w:rPr>
      </w:pPr>
      <w:r>
        <w:rPr>
          <w:rFonts w:ascii="仿宋" w:hAnsi="仿宋" w:eastAsia="仿宋" w:cs="宋体"/>
          <w:color w:val="auto"/>
          <w:kern w:val="0"/>
          <w:sz w:val="24"/>
          <w:szCs w:val="24"/>
        </w:rPr>
        <w:t>经检查确认所有投标人投标文件 □ 不存在密封包装问题□存在密封包装问题（具体指出）。</w:t>
      </w:r>
    </w:p>
    <w:p w14:paraId="69A9B4D2">
      <w:pPr>
        <w:pStyle w:val="334"/>
        <w:widowControl w:val="0"/>
        <w:snapToGrid w:val="0"/>
        <w:spacing w:line="440" w:lineRule="exact"/>
        <w:ind w:firstLine="480" w:firstLineChars="200"/>
        <w:jc w:val="both"/>
        <w:rPr>
          <w:rFonts w:hint="default" w:ascii="仿宋" w:hAnsi="仿宋" w:eastAsia="仿宋"/>
          <w:color w:val="auto"/>
          <w:sz w:val="24"/>
          <w:szCs w:val="24"/>
        </w:rPr>
      </w:pPr>
      <w:r>
        <w:rPr>
          <w:rFonts w:ascii="仿宋" w:hAnsi="仿宋" w:eastAsia="仿宋"/>
          <w:color w:val="auto"/>
          <w:sz w:val="24"/>
          <w:szCs w:val="24"/>
        </w:rPr>
        <w:t xml:space="preserve">                                （供应商代表签名）</w:t>
      </w:r>
    </w:p>
    <w:p w14:paraId="7680AD81">
      <w:pPr>
        <w:pStyle w:val="334"/>
        <w:widowControl w:val="0"/>
        <w:snapToGrid w:val="0"/>
        <w:spacing w:line="440" w:lineRule="exact"/>
        <w:ind w:firstLine="480" w:firstLineChars="200"/>
        <w:jc w:val="both"/>
        <w:rPr>
          <w:rFonts w:hint="default" w:ascii="仿宋" w:hAnsi="仿宋" w:eastAsia="仿宋" w:cs="仿宋"/>
          <w:color w:val="auto"/>
        </w:rPr>
      </w:pPr>
      <w:r>
        <w:rPr>
          <w:rFonts w:ascii="仿宋" w:hAnsi="仿宋" w:eastAsia="仿宋"/>
          <w:color w:val="auto"/>
          <w:sz w:val="24"/>
          <w:szCs w:val="24"/>
        </w:rPr>
        <w:t xml:space="preserve">                                    年   月   日</w:t>
      </w:r>
    </w:p>
    <w:sectPr>
      <w:headerReference r:id="rId8" w:type="first"/>
      <w:footerReference r:id="rId10" w:type="first"/>
      <w:headerReference r:id="rId7" w:type="even"/>
      <w:footerReference r:id="rId9" w:type="even"/>
      <w:pgSz w:w="11907" w:h="16840"/>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FrutigerNext LT Light">
    <w:altName w:val="宋体"/>
    <w:panose1 w:val="00000000000000000000"/>
    <w:charset w:val="86"/>
    <w:family w:val="auto"/>
    <w:pitch w:val="default"/>
    <w:sig w:usb0="00000000" w:usb1="00000000" w:usb2="00000010" w:usb3="00000000" w:csb0="00040000" w:csb1="00000000"/>
  </w:font>
  <w:font w:name="FrutigerNext L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文鼎">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B278">
    <w:pPr>
      <w:pStyle w:val="33"/>
      <w:jc w:val="center"/>
    </w:pPr>
    <w:r>
      <w:fldChar w:fldCharType="begin"/>
    </w:r>
    <w:r>
      <w:rPr>
        <w:rStyle w:val="53"/>
      </w:rPr>
      <w:instrText xml:space="preserve"> PAGE </w:instrText>
    </w:r>
    <w:r>
      <w:fldChar w:fldCharType="separate"/>
    </w:r>
    <w:r>
      <w:rPr>
        <w:rStyle w:val="5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3B93">
    <w:pPr>
      <w:pStyle w:val="33"/>
      <w:jc w:val="center"/>
    </w:pPr>
    <w:r>
      <w:fldChar w:fldCharType="begin"/>
    </w:r>
    <w:r>
      <w:rPr>
        <w:rStyle w:val="53"/>
      </w:rPr>
      <w:instrText xml:space="preserve"> PAGE </w:instrText>
    </w:r>
    <w:r>
      <w:fldChar w:fldCharType="separate"/>
    </w:r>
    <w:r>
      <w:rPr>
        <w:rStyle w:val="53"/>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032A">
    <w:pPr>
      <w:pStyle w:val="33"/>
    </w:pPr>
    <w:r>
      <w:pict>
        <v:shape id="文本框2" o:spid="_x0000_s4097" o:spt="202" type="#_x0000_t202" style="position:absolute;left:0pt;height:10.35pt;width:9.05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">
          <v:path/>
          <v:fill on="f" focussize="0,0"/>
          <v:stroke on="f" joinstyle="miter"/>
          <v:imagedata o:title=""/>
          <o:lock v:ext="edit"/>
          <v:textbox inset="0mm,0mm,0mm,0mm" style="mso-fit-shape-to-text:t;">
            <w:txbxContent>
              <w:p w14:paraId="2972947E">
                <w:pPr>
                  <w:pStyle w:val="33"/>
                  <w:rPr>
                    <w:rStyle w:val="53"/>
                  </w:rPr>
                </w:pPr>
                <w:r>
                  <w:fldChar w:fldCharType="begin"/>
                </w:r>
                <w:r>
                  <w:rPr>
                    <w:rStyle w:val="53"/>
                  </w:rPr>
                  <w:instrText xml:space="preserve">PAGE  </w:instrText>
                </w:r>
                <w:r>
                  <w:fldChar w:fldCharType="separate"/>
                </w:r>
                <w:r>
                  <w:rPr>
                    <w:rStyle w:val="53"/>
                  </w:rPr>
                  <w:t>46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5B3E">
    <w:pPr>
      <w:pStyle w:val="33"/>
      <w:framePr w:wrap="around" w:vAnchor="text" w:hAnchor="margin" w:xAlign="center" w:y="1"/>
      <w:rPr>
        <w:rStyle w:val="53"/>
      </w:rPr>
    </w:pPr>
    <w:r>
      <w:fldChar w:fldCharType="begin"/>
    </w:r>
    <w:r>
      <w:rPr>
        <w:rStyle w:val="53"/>
      </w:rPr>
      <w:instrText xml:space="preserve">PAGE  </w:instrText>
    </w:r>
    <w:r>
      <w:fldChar w:fldCharType="end"/>
    </w:r>
  </w:p>
  <w:p w14:paraId="5EA5B7B6">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8699">
    <w:pPr>
      <w:pStyle w:val="33"/>
      <w:framePr w:wrap="around" w:vAnchor="text" w:hAnchor="margin" w:xAlign="center" w:y="1"/>
      <w:rPr>
        <w:rStyle w:val="53"/>
      </w:rPr>
    </w:pPr>
    <w:r>
      <w:fldChar w:fldCharType="begin"/>
    </w:r>
    <w:r>
      <w:rPr>
        <w:rStyle w:val="53"/>
      </w:rPr>
      <w:instrText xml:space="preserve">PAGE  </w:instrText>
    </w:r>
    <w:r>
      <w:fldChar w:fldCharType="end"/>
    </w:r>
  </w:p>
  <w:p w14:paraId="7109E944">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DFC8">
    <w:pPr>
      <w:pStyle w:val="33"/>
    </w:pPr>
    <w:r>
      <w:pict>
        <v:shape id="文本框7" o:spid="_x0000_s4098"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Y8e2cUBAABoAwAADgAAAAAAAAAAAAAAAAAuAgAA&#10;ZHJzL2Uyb0RvYy54bWxQSwECLQAUAAYACAAAACEADErw7tYAAAAFAQAADwAAAAAAAAAAAAAAAAAf&#10;BAAAZHJzL2Rvd25yZXYueG1sUEsFBgAAAAAEAAQA8wAAACIFAAAAAA==&#10;">
          <v:path/>
          <v:fill on="f" focussize="0,0"/>
          <v:stroke on="f" joinstyle="miter"/>
          <v:imagedata o:title=""/>
          <o:lock v:ext="edit"/>
          <v:textbox inset="0mm,0mm,0mm,0mm" style="mso-fit-shape-to-text:t;">
            <w:txbxContent>
              <w:p w14:paraId="5E21D45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A7C8">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6659">
    <w:pPr>
      <w:pStyle w:val="34"/>
    </w:pPr>
    <w:r>
      <w:rPr>
        <w:rFonts w:hint="eastAsia"/>
      </w:rPr>
      <w:t>余姚市中小学学生服装定点制作采购项目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26CF1"/>
    <w:multiLevelType w:val="singleLevel"/>
    <w:tmpl w:val="18C26CF1"/>
    <w:lvl w:ilvl="0" w:tentative="0">
      <w:start w:val="25"/>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BhNzY4NDg0NTUwYmRlZWNhMGE5NDY1MDA0OTI3OGMifQ=="/>
  </w:docVars>
  <w:rsids>
    <w:rsidRoot w:val="00172A27"/>
    <w:rsid w:val="000001CC"/>
    <w:rsid w:val="0000034B"/>
    <w:rsid w:val="000004BC"/>
    <w:rsid w:val="00000810"/>
    <w:rsid w:val="000009A6"/>
    <w:rsid w:val="0000111F"/>
    <w:rsid w:val="000011A3"/>
    <w:rsid w:val="00001794"/>
    <w:rsid w:val="00001C1F"/>
    <w:rsid w:val="0000217D"/>
    <w:rsid w:val="00003DD1"/>
    <w:rsid w:val="00004AA1"/>
    <w:rsid w:val="00005D8B"/>
    <w:rsid w:val="00007025"/>
    <w:rsid w:val="000072CA"/>
    <w:rsid w:val="000102E9"/>
    <w:rsid w:val="00010696"/>
    <w:rsid w:val="00010D49"/>
    <w:rsid w:val="00011246"/>
    <w:rsid w:val="000120B0"/>
    <w:rsid w:val="00012E4A"/>
    <w:rsid w:val="00012EA2"/>
    <w:rsid w:val="00013A11"/>
    <w:rsid w:val="000146F4"/>
    <w:rsid w:val="000166B0"/>
    <w:rsid w:val="00016A4D"/>
    <w:rsid w:val="00016B4B"/>
    <w:rsid w:val="000171C1"/>
    <w:rsid w:val="00017629"/>
    <w:rsid w:val="000201C1"/>
    <w:rsid w:val="00021F41"/>
    <w:rsid w:val="0002252C"/>
    <w:rsid w:val="000230B4"/>
    <w:rsid w:val="0002325E"/>
    <w:rsid w:val="000234B7"/>
    <w:rsid w:val="00023535"/>
    <w:rsid w:val="00023AD9"/>
    <w:rsid w:val="000244D1"/>
    <w:rsid w:val="00024BDE"/>
    <w:rsid w:val="00024BEF"/>
    <w:rsid w:val="00025262"/>
    <w:rsid w:val="00025778"/>
    <w:rsid w:val="00026073"/>
    <w:rsid w:val="0002694D"/>
    <w:rsid w:val="00026AE5"/>
    <w:rsid w:val="0003070A"/>
    <w:rsid w:val="00030AAC"/>
    <w:rsid w:val="000311ED"/>
    <w:rsid w:val="000317E2"/>
    <w:rsid w:val="00032303"/>
    <w:rsid w:val="00032808"/>
    <w:rsid w:val="0003346D"/>
    <w:rsid w:val="0003364B"/>
    <w:rsid w:val="00033726"/>
    <w:rsid w:val="00033E7B"/>
    <w:rsid w:val="00034E91"/>
    <w:rsid w:val="00034F30"/>
    <w:rsid w:val="00035866"/>
    <w:rsid w:val="000360F8"/>
    <w:rsid w:val="00036CD2"/>
    <w:rsid w:val="00037DEA"/>
    <w:rsid w:val="0004001D"/>
    <w:rsid w:val="000403EC"/>
    <w:rsid w:val="00041D84"/>
    <w:rsid w:val="00042385"/>
    <w:rsid w:val="000425B0"/>
    <w:rsid w:val="000425DC"/>
    <w:rsid w:val="00042D5C"/>
    <w:rsid w:val="00043740"/>
    <w:rsid w:val="00043B4B"/>
    <w:rsid w:val="00043C74"/>
    <w:rsid w:val="00043DEB"/>
    <w:rsid w:val="000443B7"/>
    <w:rsid w:val="0004460C"/>
    <w:rsid w:val="000447A8"/>
    <w:rsid w:val="00045C09"/>
    <w:rsid w:val="00045FF7"/>
    <w:rsid w:val="0004617D"/>
    <w:rsid w:val="0004645E"/>
    <w:rsid w:val="00047B92"/>
    <w:rsid w:val="0005000E"/>
    <w:rsid w:val="00051530"/>
    <w:rsid w:val="00051ACD"/>
    <w:rsid w:val="000520EC"/>
    <w:rsid w:val="0005249A"/>
    <w:rsid w:val="00053E41"/>
    <w:rsid w:val="0005428A"/>
    <w:rsid w:val="00054400"/>
    <w:rsid w:val="000552E2"/>
    <w:rsid w:val="00055925"/>
    <w:rsid w:val="00055C9A"/>
    <w:rsid w:val="000568DD"/>
    <w:rsid w:val="00056C33"/>
    <w:rsid w:val="00057DEA"/>
    <w:rsid w:val="00060A70"/>
    <w:rsid w:val="000614FB"/>
    <w:rsid w:val="00062431"/>
    <w:rsid w:val="00062677"/>
    <w:rsid w:val="00062E77"/>
    <w:rsid w:val="000634EB"/>
    <w:rsid w:val="00064870"/>
    <w:rsid w:val="00064CFF"/>
    <w:rsid w:val="0006572D"/>
    <w:rsid w:val="0006637F"/>
    <w:rsid w:val="00066C12"/>
    <w:rsid w:val="0006756F"/>
    <w:rsid w:val="00067698"/>
    <w:rsid w:val="000678A2"/>
    <w:rsid w:val="0007040D"/>
    <w:rsid w:val="00070927"/>
    <w:rsid w:val="000714C6"/>
    <w:rsid w:val="00071D40"/>
    <w:rsid w:val="00073650"/>
    <w:rsid w:val="00073FFF"/>
    <w:rsid w:val="000746A2"/>
    <w:rsid w:val="00074990"/>
    <w:rsid w:val="00074DD7"/>
    <w:rsid w:val="0007628A"/>
    <w:rsid w:val="00077BE1"/>
    <w:rsid w:val="000807CA"/>
    <w:rsid w:val="00081461"/>
    <w:rsid w:val="00081512"/>
    <w:rsid w:val="000816FE"/>
    <w:rsid w:val="00081BA6"/>
    <w:rsid w:val="00081E00"/>
    <w:rsid w:val="000822B7"/>
    <w:rsid w:val="000822E2"/>
    <w:rsid w:val="000823BA"/>
    <w:rsid w:val="00082434"/>
    <w:rsid w:val="00082B99"/>
    <w:rsid w:val="00082E58"/>
    <w:rsid w:val="00082E77"/>
    <w:rsid w:val="00082E8A"/>
    <w:rsid w:val="0008386B"/>
    <w:rsid w:val="00084368"/>
    <w:rsid w:val="0008456A"/>
    <w:rsid w:val="00084E75"/>
    <w:rsid w:val="00084ECA"/>
    <w:rsid w:val="000861F8"/>
    <w:rsid w:val="000862AB"/>
    <w:rsid w:val="00086519"/>
    <w:rsid w:val="00086C56"/>
    <w:rsid w:val="0008722F"/>
    <w:rsid w:val="00087235"/>
    <w:rsid w:val="00090FF3"/>
    <w:rsid w:val="0009152A"/>
    <w:rsid w:val="00091794"/>
    <w:rsid w:val="00092B54"/>
    <w:rsid w:val="00092CC6"/>
    <w:rsid w:val="00092D8B"/>
    <w:rsid w:val="00093632"/>
    <w:rsid w:val="00093B68"/>
    <w:rsid w:val="00093DB3"/>
    <w:rsid w:val="000943BB"/>
    <w:rsid w:val="000946E1"/>
    <w:rsid w:val="00094E53"/>
    <w:rsid w:val="00095001"/>
    <w:rsid w:val="00095462"/>
    <w:rsid w:val="00095995"/>
    <w:rsid w:val="000967FA"/>
    <w:rsid w:val="00096A2F"/>
    <w:rsid w:val="00096F49"/>
    <w:rsid w:val="000975D3"/>
    <w:rsid w:val="00097CE0"/>
    <w:rsid w:val="000A0232"/>
    <w:rsid w:val="000A1407"/>
    <w:rsid w:val="000A37AF"/>
    <w:rsid w:val="000A389A"/>
    <w:rsid w:val="000A3A05"/>
    <w:rsid w:val="000A3D82"/>
    <w:rsid w:val="000A48A9"/>
    <w:rsid w:val="000A4BF5"/>
    <w:rsid w:val="000A53BA"/>
    <w:rsid w:val="000A5EF6"/>
    <w:rsid w:val="000A606F"/>
    <w:rsid w:val="000A6668"/>
    <w:rsid w:val="000A7AF2"/>
    <w:rsid w:val="000A7B90"/>
    <w:rsid w:val="000B012D"/>
    <w:rsid w:val="000B02F3"/>
    <w:rsid w:val="000B0BE4"/>
    <w:rsid w:val="000B12DC"/>
    <w:rsid w:val="000B1973"/>
    <w:rsid w:val="000B1AE2"/>
    <w:rsid w:val="000B4DDE"/>
    <w:rsid w:val="000B4EE5"/>
    <w:rsid w:val="000B501F"/>
    <w:rsid w:val="000B5155"/>
    <w:rsid w:val="000B5763"/>
    <w:rsid w:val="000B65A9"/>
    <w:rsid w:val="000B6CF1"/>
    <w:rsid w:val="000B782C"/>
    <w:rsid w:val="000B7D1D"/>
    <w:rsid w:val="000B7F1E"/>
    <w:rsid w:val="000C0038"/>
    <w:rsid w:val="000C01B3"/>
    <w:rsid w:val="000C054C"/>
    <w:rsid w:val="000C060E"/>
    <w:rsid w:val="000C0B25"/>
    <w:rsid w:val="000C0E51"/>
    <w:rsid w:val="000C25DA"/>
    <w:rsid w:val="000C261B"/>
    <w:rsid w:val="000C26B9"/>
    <w:rsid w:val="000C2AB9"/>
    <w:rsid w:val="000C43D9"/>
    <w:rsid w:val="000C5248"/>
    <w:rsid w:val="000C5355"/>
    <w:rsid w:val="000C564A"/>
    <w:rsid w:val="000C5DB4"/>
    <w:rsid w:val="000C5ECC"/>
    <w:rsid w:val="000C649F"/>
    <w:rsid w:val="000D02FA"/>
    <w:rsid w:val="000D1925"/>
    <w:rsid w:val="000D2062"/>
    <w:rsid w:val="000D2D41"/>
    <w:rsid w:val="000D3031"/>
    <w:rsid w:val="000D33AC"/>
    <w:rsid w:val="000D3FE0"/>
    <w:rsid w:val="000D4309"/>
    <w:rsid w:val="000D4E1B"/>
    <w:rsid w:val="000D5239"/>
    <w:rsid w:val="000D597B"/>
    <w:rsid w:val="000D722A"/>
    <w:rsid w:val="000D72C0"/>
    <w:rsid w:val="000D7E47"/>
    <w:rsid w:val="000D7F45"/>
    <w:rsid w:val="000E04B5"/>
    <w:rsid w:val="000E0745"/>
    <w:rsid w:val="000E0AB8"/>
    <w:rsid w:val="000E266F"/>
    <w:rsid w:val="000E2E59"/>
    <w:rsid w:val="000E3CA4"/>
    <w:rsid w:val="000E426A"/>
    <w:rsid w:val="000E4669"/>
    <w:rsid w:val="000E4A5C"/>
    <w:rsid w:val="000E4D5D"/>
    <w:rsid w:val="000E5848"/>
    <w:rsid w:val="000E5B42"/>
    <w:rsid w:val="000E5F18"/>
    <w:rsid w:val="000E6F98"/>
    <w:rsid w:val="000E78B0"/>
    <w:rsid w:val="000E7DCA"/>
    <w:rsid w:val="000F0AE3"/>
    <w:rsid w:val="000F149A"/>
    <w:rsid w:val="000F248C"/>
    <w:rsid w:val="000F258D"/>
    <w:rsid w:val="000F2912"/>
    <w:rsid w:val="000F2B1A"/>
    <w:rsid w:val="000F38F6"/>
    <w:rsid w:val="000F392F"/>
    <w:rsid w:val="000F39C6"/>
    <w:rsid w:val="000F4A4F"/>
    <w:rsid w:val="000F5344"/>
    <w:rsid w:val="000F5AA0"/>
    <w:rsid w:val="000F6E24"/>
    <w:rsid w:val="000F7997"/>
    <w:rsid w:val="000F7E2C"/>
    <w:rsid w:val="00100BAB"/>
    <w:rsid w:val="00100D48"/>
    <w:rsid w:val="00100DE8"/>
    <w:rsid w:val="00100F8A"/>
    <w:rsid w:val="001011C5"/>
    <w:rsid w:val="00101403"/>
    <w:rsid w:val="00102536"/>
    <w:rsid w:val="001028C7"/>
    <w:rsid w:val="00103C17"/>
    <w:rsid w:val="00103CF9"/>
    <w:rsid w:val="00103E0B"/>
    <w:rsid w:val="00103F3F"/>
    <w:rsid w:val="001049F8"/>
    <w:rsid w:val="00105A4F"/>
    <w:rsid w:val="00105EA2"/>
    <w:rsid w:val="00106883"/>
    <w:rsid w:val="00106DE9"/>
    <w:rsid w:val="001070EC"/>
    <w:rsid w:val="00107A38"/>
    <w:rsid w:val="001104FD"/>
    <w:rsid w:val="0011163E"/>
    <w:rsid w:val="00112077"/>
    <w:rsid w:val="001135BB"/>
    <w:rsid w:val="001144F8"/>
    <w:rsid w:val="0011493B"/>
    <w:rsid w:val="00114FD5"/>
    <w:rsid w:val="00115FB7"/>
    <w:rsid w:val="00116B35"/>
    <w:rsid w:val="00116DED"/>
    <w:rsid w:val="00116E2A"/>
    <w:rsid w:val="00117A29"/>
    <w:rsid w:val="00117A9E"/>
    <w:rsid w:val="00117FAE"/>
    <w:rsid w:val="0012067B"/>
    <w:rsid w:val="0012099A"/>
    <w:rsid w:val="00120A7E"/>
    <w:rsid w:val="001211D1"/>
    <w:rsid w:val="001211E0"/>
    <w:rsid w:val="00122076"/>
    <w:rsid w:val="00122608"/>
    <w:rsid w:val="00122DB3"/>
    <w:rsid w:val="00123848"/>
    <w:rsid w:val="00123B04"/>
    <w:rsid w:val="001243F7"/>
    <w:rsid w:val="00125D70"/>
    <w:rsid w:val="0012678D"/>
    <w:rsid w:val="00126BC1"/>
    <w:rsid w:val="00127204"/>
    <w:rsid w:val="00127A40"/>
    <w:rsid w:val="0013084F"/>
    <w:rsid w:val="00130B45"/>
    <w:rsid w:val="00130C90"/>
    <w:rsid w:val="00131216"/>
    <w:rsid w:val="00131510"/>
    <w:rsid w:val="001338A0"/>
    <w:rsid w:val="00134638"/>
    <w:rsid w:val="001353F9"/>
    <w:rsid w:val="00136042"/>
    <w:rsid w:val="001361C0"/>
    <w:rsid w:val="00137172"/>
    <w:rsid w:val="00137288"/>
    <w:rsid w:val="00137411"/>
    <w:rsid w:val="00137F89"/>
    <w:rsid w:val="0014186A"/>
    <w:rsid w:val="001429BD"/>
    <w:rsid w:val="00144AEA"/>
    <w:rsid w:val="00146518"/>
    <w:rsid w:val="00146F21"/>
    <w:rsid w:val="001473C3"/>
    <w:rsid w:val="00147E34"/>
    <w:rsid w:val="00150B75"/>
    <w:rsid w:val="00151DA1"/>
    <w:rsid w:val="001521F0"/>
    <w:rsid w:val="001522F4"/>
    <w:rsid w:val="00152650"/>
    <w:rsid w:val="001533C3"/>
    <w:rsid w:val="00153923"/>
    <w:rsid w:val="0015414E"/>
    <w:rsid w:val="001552EA"/>
    <w:rsid w:val="00155AEE"/>
    <w:rsid w:val="0015602E"/>
    <w:rsid w:val="001562B5"/>
    <w:rsid w:val="001562F6"/>
    <w:rsid w:val="001578C7"/>
    <w:rsid w:val="001578CB"/>
    <w:rsid w:val="001612B2"/>
    <w:rsid w:val="001637E8"/>
    <w:rsid w:val="0016415B"/>
    <w:rsid w:val="0016431E"/>
    <w:rsid w:val="00164C0C"/>
    <w:rsid w:val="00164CD0"/>
    <w:rsid w:val="001665D5"/>
    <w:rsid w:val="0016699F"/>
    <w:rsid w:val="00166CCA"/>
    <w:rsid w:val="001671FD"/>
    <w:rsid w:val="00167432"/>
    <w:rsid w:val="00167AF9"/>
    <w:rsid w:val="00170839"/>
    <w:rsid w:val="00170BFA"/>
    <w:rsid w:val="001710DC"/>
    <w:rsid w:val="00171723"/>
    <w:rsid w:val="001722B7"/>
    <w:rsid w:val="00172A27"/>
    <w:rsid w:val="00172A93"/>
    <w:rsid w:val="001739C3"/>
    <w:rsid w:val="00173E30"/>
    <w:rsid w:val="001746E5"/>
    <w:rsid w:val="00174FA1"/>
    <w:rsid w:val="00176329"/>
    <w:rsid w:val="00176AE0"/>
    <w:rsid w:val="0017714F"/>
    <w:rsid w:val="001773A0"/>
    <w:rsid w:val="0017755D"/>
    <w:rsid w:val="00180237"/>
    <w:rsid w:val="00180345"/>
    <w:rsid w:val="00180682"/>
    <w:rsid w:val="00181927"/>
    <w:rsid w:val="001829C4"/>
    <w:rsid w:val="00182DED"/>
    <w:rsid w:val="001837F4"/>
    <w:rsid w:val="00183A56"/>
    <w:rsid w:val="001844CB"/>
    <w:rsid w:val="00184CD9"/>
    <w:rsid w:val="00186304"/>
    <w:rsid w:val="001866BB"/>
    <w:rsid w:val="00186EEF"/>
    <w:rsid w:val="0018759A"/>
    <w:rsid w:val="001901EB"/>
    <w:rsid w:val="00190BB0"/>
    <w:rsid w:val="00190F01"/>
    <w:rsid w:val="00190F1A"/>
    <w:rsid w:val="00191DB5"/>
    <w:rsid w:val="001922AD"/>
    <w:rsid w:val="00193028"/>
    <w:rsid w:val="001936F5"/>
    <w:rsid w:val="001938D3"/>
    <w:rsid w:val="00196F42"/>
    <w:rsid w:val="00197087"/>
    <w:rsid w:val="001973E0"/>
    <w:rsid w:val="001A0EA6"/>
    <w:rsid w:val="001A0F4E"/>
    <w:rsid w:val="001A1092"/>
    <w:rsid w:val="001A16D5"/>
    <w:rsid w:val="001A17C0"/>
    <w:rsid w:val="001A20C8"/>
    <w:rsid w:val="001A2219"/>
    <w:rsid w:val="001A288A"/>
    <w:rsid w:val="001A2C39"/>
    <w:rsid w:val="001A3A78"/>
    <w:rsid w:val="001A3FCB"/>
    <w:rsid w:val="001A4EE2"/>
    <w:rsid w:val="001A4FA5"/>
    <w:rsid w:val="001A5D85"/>
    <w:rsid w:val="001A6FE0"/>
    <w:rsid w:val="001A784C"/>
    <w:rsid w:val="001B084C"/>
    <w:rsid w:val="001B18C7"/>
    <w:rsid w:val="001B1BED"/>
    <w:rsid w:val="001B1EB5"/>
    <w:rsid w:val="001B3D12"/>
    <w:rsid w:val="001B3E3D"/>
    <w:rsid w:val="001B3F40"/>
    <w:rsid w:val="001B50CB"/>
    <w:rsid w:val="001B55A4"/>
    <w:rsid w:val="001B5C8D"/>
    <w:rsid w:val="001B5CCA"/>
    <w:rsid w:val="001B6CBE"/>
    <w:rsid w:val="001B7281"/>
    <w:rsid w:val="001B795B"/>
    <w:rsid w:val="001B7AF0"/>
    <w:rsid w:val="001C0056"/>
    <w:rsid w:val="001C0143"/>
    <w:rsid w:val="001C1122"/>
    <w:rsid w:val="001C2774"/>
    <w:rsid w:val="001C3257"/>
    <w:rsid w:val="001C38C4"/>
    <w:rsid w:val="001C3A61"/>
    <w:rsid w:val="001C3C7E"/>
    <w:rsid w:val="001C3DF6"/>
    <w:rsid w:val="001C410B"/>
    <w:rsid w:val="001C4D70"/>
    <w:rsid w:val="001C54B0"/>
    <w:rsid w:val="001C6818"/>
    <w:rsid w:val="001C6DB3"/>
    <w:rsid w:val="001C7C16"/>
    <w:rsid w:val="001C7F3C"/>
    <w:rsid w:val="001D04AA"/>
    <w:rsid w:val="001D099F"/>
    <w:rsid w:val="001D1538"/>
    <w:rsid w:val="001D269C"/>
    <w:rsid w:val="001D38ED"/>
    <w:rsid w:val="001D4EA7"/>
    <w:rsid w:val="001D5911"/>
    <w:rsid w:val="001D5A5D"/>
    <w:rsid w:val="001D6116"/>
    <w:rsid w:val="001D6A8B"/>
    <w:rsid w:val="001D718D"/>
    <w:rsid w:val="001D79B1"/>
    <w:rsid w:val="001D7F75"/>
    <w:rsid w:val="001E08A0"/>
    <w:rsid w:val="001E1374"/>
    <w:rsid w:val="001E1826"/>
    <w:rsid w:val="001E291B"/>
    <w:rsid w:val="001E3932"/>
    <w:rsid w:val="001E42A5"/>
    <w:rsid w:val="001E4E71"/>
    <w:rsid w:val="001E56B4"/>
    <w:rsid w:val="001E59C1"/>
    <w:rsid w:val="001E6F5E"/>
    <w:rsid w:val="001E7047"/>
    <w:rsid w:val="001E747C"/>
    <w:rsid w:val="001E7F52"/>
    <w:rsid w:val="001F0212"/>
    <w:rsid w:val="001F043D"/>
    <w:rsid w:val="001F0634"/>
    <w:rsid w:val="001F16DF"/>
    <w:rsid w:val="001F2587"/>
    <w:rsid w:val="001F305D"/>
    <w:rsid w:val="001F3603"/>
    <w:rsid w:val="001F3A53"/>
    <w:rsid w:val="001F3F86"/>
    <w:rsid w:val="001F4615"/>
    <w:rsid w:val="001F49DD"/>
    <w:rsid w:val="001F4ECE"/>
    <w:rsid w:val="001F5257"/>
    <w:rsid w:val="001F652F"/>
    <w:rsid w:val="001F6698"/>
    <w:rsid w:val="001F7C7F"/>
    <w:rsid w:val="00200633"/>
    <w:rsid w:val="0020114F"/>
    <w:rsid w:val="00201806"/>
    <w:rsid w:val="00201B5B"/>
    <w:rsid w:val="00201E1D"/>
    <w:rsid w:val="00201ECC"/>
    <w:rsid w:val="0020206B"/>
    <w:rsid w:val="00202C12"/>
    <w:rsid w:val="00203618"/>
    <w:rsid w:val="002039CE"/>
    <w:rsid w:val="00204D2D"/>
    <w:rsid w:val="00204F69"/>
    <w:rsid w:val="0020570A"/>
    <w:rsid w:val="00205D36"/>
    <w:rsid w:val="00206390"/>
    <w:rsid w:val="002063B3"/>
    <w:rsid w:val="002069E5"/>
    <w:rsid w:val="00206A06"/>
    <w:rsid w:val="00206AA7"/>
    <w:rsid w:val="00207C99"/>
    <w:rsid w:val="0021010E"/>
    <w:rsid w:val="00210B2D"/>
    <w:rsid w:val="00210E45"/>
    <w:rsid w:val="00212035"/>
    <w:rsid w:val="00213221"/>
    <w:rsid w:val="00213709"/>
    <w:rsid w:val="00213B91"/>
    <w:rsid w:val="0021507B"/>
    <w:rsid w:val="00215AA7"/>
    <w:rsid w:val="002167ED"/>
    <w:rsid w:val="00216901"/>
    <w:rsid w:val="00216D7D"/>
    <w:rsid w:val="002174E1"/>
    <w:rsid w:val="00223038"/>
    <w:rsid w:val="00223756"/>
    <w:rsid w:val="00224B64"/>
    <w:rsid w:val="00224CA4"/>
    <w:rsid w:val="00224E7C"/>
    <w:rsid w:val="002263CF"/>
    <w:rsid w:val="0022697D"/>
    <w:rsid w:val="00226AB7"/>
    <w:rsid w:val="002277BC"/>
    <w:rsid w:val="002300A5"/>
    <w:rsid w:val="002308C9"/>
    <w:rsid w:val="00230A2E"/>
    <w:rsid w:val="00230C98"/>
    <w:rsid w:val="00230CCC"/>
    <w:rsid w:val="00230DBE"/>
    <w:rsid w:val="00230FE7"/>
    <w:rsid w:val="00231DF2"/>
    <w:rsid w:val="00232146"/>
    <w:rsid w:val="002324EC"/>
    <w:rsid w:val="00232FEF"/>
    <w:rsid w:val="00233600"/>
    <w:rsid w:val="00233BCE"/>
    <w:rsid w:val="0023449E"/>
    <w:rsid w:val="00234D52"/>
    <w:rsid w:val="00234DCF"/>
    <w:rsid w:val="00235098"/>
    <w:rsid w:val="00235AB3"/>
    <w:rsid w:val="00235C21"/>
    <w:rsid w:val="002367BB"/>
    <w:rsid w:val="0023745A"/>
    <w:rsid w:val="00237679"/>
    <w:rsid w:val="00237E16"/>
    <w:rsid w:val="00240196"/>
    <w:rsid w:val="00240B50"/>
    <w:rsid w:val="002417ED"/>
    <w:rsid w:val="002419B7"/>
    <w:rsid w:val="002423B0"/>
    <w:rsid w:val="00242416"/>
    <w:rsid w:val="00242EA2"/>
    <w:rsid w:val="00242FD6"/>
    <w:rsid w:val="00243130"/>
    <w:rsid w:val="00244A36"/>
    <w:rsid w:val="00244E06"/>
    <w:rsid w:val="00245585"/>
    <w:rsid w:val="00245CF8"/>
    <w:rsid w:val="00246B71"/>
    <w:rsid w:val="00247025"/>
    <w:rsid w:val="00247C64"/>
    <w:rsid w:val="00247D94"/>
    <w:rsid w:val="002505DF"/>
    <w:rsid w:val="0025382F"/>
    <w:rsid w:val="00253A7F"/>
    <w:rsid w:val="00254312"/>
    <w:rsid w:val="0025449B"/>
    <w:rsid w:val="00254E8E"/>
    <w:rsid w:val="00255ED7"/>
    <w:rsid w:val="00256E59"/>
    <w:rsid w:val="00256ECF"/>
    <w:rsid w:val="0026005C"/>
    <w:rsid w:val="002606F7"/>
    <w:rsid w:val="0026156D"/>
    <w:rsid w:val="00261881"/>
    <w:rsid w:val="002628D3"/>
    <w:rsid w:val="00263565"/>
    <w:rsid w:val="0026383A"/>
    <w:rsid w:val="00263C55"/>
    <w:rsid w:val="00264004"/>
    <w:rsid w:val="002644E2"/>
    <w:rsid w:val="00264623"/>
    <w:rsid w:val="002650CD"/>
    <w:rsid w:val="002657D6"/>
    <w:rsid w:val="002660AE"/>
    <w:rsid w:val="00266E0E"/>
    <w:rsid w:val="00267021"/>
    <w:rsid w:val="00267942"/>
    <w:rsid w:val="0027028D"/>
    <w:rsid w:val="00271082"/>
    <w:rsid w:val="00271249"/>
    <w:rsid w:val="002713FB"/>
    <w:rsid w:val="002715AA"/>
    <w:rsid w:val="00273E4D"/>
    <w:rsid w:val="00273F4A"/>
    <w:rsid w:val="00274368"/>
    <w:rsid w:val="0027441D"/>
    <w:rsid w:val="00274BFF"/>
    <w:rsid w:val="00275099"/>
    <w:rsid w:val="002750BC"/>
    <w:rsid w:val="0027632B"/>
    <w:rsid w:val="00276FFA"/>
    <w:rsid w:val="00280042"/>
    <w:rsid w:val="002800A7"/>
    <w:rsid w:val="00281276"/>
    <w:rsid w:val="002824D2"/>
    <w:rsid w:val="0028253F"/>
    <w:rsid w:val="002833FF"/>
    <w:rsid w:val="002838C0"/>
    <w:rsid w:val="00283DB2"/>
    <w:rsid w:val="00284AED"/>
    <w:rsid w:val="0028691C"/>
    <w:rsid w:val="00286DAD"/>
    <w:rsid w:val="00287029"/>
    <w:rsid w:val="00287406"/>
    <w:rsid w:val="00290849"/>
    <w:rsid w:val="0029101B"/>
    <w:rsid w:val="00291945"/>
    <w:rsid w:val="00291A85"/>
    <w:rsid w:val="00291E7D"/>
    <w:rsid w:val="00291F40"/>
    <w:rsid w:val="00292CDA"/>
    <w:rsid w:val="00293692"/>
    <w:rsid w:val="00293890"/>
    <w:rsid w:val="00293ACD"/>
    <w:rsid w:val="0029464A"/>
    <w:rsid w:val="002948D9"/>
    <w:rsid w:val="0029583B"/>
    <w:rsid w:val="002959BA"/>
    <w:rsid w:val="0029656A"/>
    <w:rsid w:val="00296D2F"/>
    <w:rsid w:val="00297AB0"/>
    <w:rsid w:val="00297F14"/>
    <w:rsid w:val="002A095F"/>
    <w:rsid w:val="002A1AC3"/>
    <w:rsid w:val="002A2DA8"/>
    <w:rsid w:val="002A36B6"/>
    <w:rsid w:val="002A58A7"/>
    <w:rsid w:val="002A5AD9"/>
    <w:rsid w:val="002A5E22"/>
    <w:rsid w:val="002B02E3"/>
    <w:rsid w:val="002B052E"/>
    <w:rsid w:val="002B11E6"/>
    <w:rsid w:val="002B240A"/>
    <w:rsid w:val="002B398F"/>
    <w:rsid w:val="002B3B61"/>
    <w:rsid w:val="002B3E8F"/>
    <w:rsid w:val="002B45E7"/>
    <w:rsid w:val="002B47A3"/>
    <w:rsid w:val="002B5078"/>
    <w:rsid w:val="002B5B27"/>
    <w:rsid w:val="002B6451"/>
    <w:rsid w:val="002B7196"/>
    <w:rsid w:val="002C043A"/>
    <w:rsid w:val="002C068D"/>
    <w:rsid w:val="002C06F1"/>
    <w:rsid w:val="002C0722"/>
    <w:rsid w:val="002C31FE"/>
    <w:rsid w:val="002C3714"/>
    <w:rsid w:val="002C39F1"/>
    <w:rsid w:val="002C414F"/>
    <w:rsid w:val="002C4E92"/>
    <w:rsid w:val="002C518F"/>
    <w:rsid w:val="002C53A0"/>
    <w:rsid w:val="002C6CF5"/>
    <w:rsid w:val="002D0632"/>
    <w:rsid w:val="002D0793"/>
    <w:rsid w:val="002D27D7"/>
    <w:rsid w:val="002D33EA"/>
    <w:rsid w:val="002D35CC"/>
    <w:rsid w:val="002D3E92"/>
    <w:rsid w:val="002D48C6"/>
    <w:rsid w:val="002D5A5E"/>
    <w:rsid w:val="002D645F"/>
    <w:rsid w:val="002D64F7"/>
    <w:rsid w:val="002D6A5C"/>
    <w:rsid w:val="002E00CB"/>
    <w:rsid w:val="002E0290"/>
    <w:rsid w:val="002E02AB"/>
    <w:rsid w:val="002E0AE0"/>
    <w:rsid w:val="002E0E70"/>
    <w:rsid w:val="002E1157"/>
    <w:rsid w:val="002E117D"/>
    <w:rsid w:val="002E16CF"/>
    <w:rsid w:val="002E24DE"/>
    <w:rsid w:val="002E52C2"/>
    <w:rsid w:val="002E56CA"/>
    <w:rsid w:val="002E575D"/>
    <w:rsid w:val="002E6058"/>
    <w:rsid w:val="002E60D0"/>
    <w:rsid w:val="002E707D"/>
    <w:rsid w:val="002F09E3"/>
    <w:rsid w:val="002F24A9"/>
    <w:rsid w:val="002F2C09"/>
    <w:rsid w:val="002F57BC"/>
    <w:rsid w:val="002F6763"/>
    <w:rsid w:val="002F7959"/>
    <w:rsid w:val="00300BCE"/>
    <w:rsid w:val="003017F7"/>
    <w:rsid w:val="00302146"/>
    <w:rsid w:val="003025C0"/>
    <w:rsid w:val="003031C7"/>
    <w:rsid w:val="00305E47"/>
    <w:rsid w:val="003062CF"/>
    <w:rsid w:val="00306727"/>
    <w:rsid w:val="00306803"/>
    <w:rsid w:val="00306A82"/>
    <w:rsid w:val="00307239"/>
    <w:rsid w:val="003072A8"/>
    <w:rsid w:val="003073C6"/>
    <w:rsid w:val="00307AAF"/>
    <w:rsid w:val="003103C1"/>
    <w:rsid w:val="00310741"/>
    <w:rsid w:val="0031091D"/>
    <w:rsid w:val="00310A43"/>
    <w:rsid w:val="00310A54"/>
    <w:rsid w:val="00310E84"/>
    <w:rsid w:val="0031139B"/>
    <w:rsid w:val="00311A58"/>
    <w:rsid w:val="00311BF3"/>
    <w:rsid w:val="00311D4E"/>
    <w:rsid w:val="00311ECD"/>
    <w:rsid w:val="0031263F"/>
    <w:rsid w:val="00312714"/>
    <w:rsid w:val="00314DF4"/>
    <w:rsid w:val="003158CC"/>
    <w:rsid w:val="00316479"/>
    <w:rsid w:val="0031665E"/>
    <w:rsid w:val="00320183"/>
    <w:rsid w:val="003201B2"/>
    <w:rsid w:val="00321F54"/>
    <w:rsid w:val="00322620"/>
    <w:rsid w:val="00322727"/>
    <w:rsid w:val="00322CCD"/>
    <w:rsid w:val="003231C1"/>
    <w:rsid w:val="0032325F"/>
    <w:rsid w:val="0032452E"/>
    <w:rsid w:val="00324B7A"/>
    <w:rsid w:val="00325318"/>
    <w:rsid w:val="0032541C"/>
    <w:rsid w:val="00325A5D"/>
    <w:rsid w:val="00325A7B"/>
    <w:rsid w:val="00325FBE"/>
    <w:rsid w:val="003270BB"/>
    <w:rsid w:val="00327881"/>
    <w:rsid w:val="00327BF0"/>
    <w:rsid w:val="003303F9"/>
    <w:rsid w:val="003306A4"/>
    <w:rsid w:val="00330DB9"/>
    <w:rsid w:val="00330E9B"/>
    <w:rsid w:val="00331D15"/>
    <w:rsid w:val="00331F00"/>
    <w:rsid w:val="00331FB0"/>
    <w:rsid w:val="00332B30"/>
    <w:rsid w:val="003335F3"/>
    <w:rsid w:val="00333B24"/>
    <w:rsid w:val="00335C03"/>
    <w:rsid w:val="00335E73"/>
    <w:rsid w:val="00336458"/>
    <w:rsid w:val="0033674F"/>
    <w:rsid w:val="00337419"/>
    <w:rsid w:val="00337694"/>
    <w:rsid w:val="00337C37"/>
    <w:rsid w:val="00340788"/>
    <w:rsid w:val="00340C88"/>
    <w:rsid w:val="00340D75"/>
    <w:rsid w:val="00341C6D"/>
    <w:rsid w:val="00341C98"/>
    <w:rsid w:val="00342253"/>
    <w:rsid w:val="003426F9"/>
    <w:rsid w:val="00342BA8"/>
    <w:rsid w:val="00342E5F"/>
    <w:rsid w:val="00342F2B"/>
    <w:rsid w:val="00343764"/>
    <w:rsid w:val="00343966"/>
    <w:rsid w:val="00343E1D"/>
    <w:rsid w:val="00344882"/>
    <w:rsid w:val="003453F1"/>
    <w:rsid w:val="00345556"/>
    <w:rsid w:val="00345989"/>
    <w:rsid w:val="00345D1A"/>
    <w:rsid w:val="00346439"/>
    <w:rsid w:val="00346DEF"/>
    <w:rsid w:val="00347F77"/>
    <w:rsid w:val="00350416"/>
    <w:rsid w:val="00350D0B"/>
    <w:rsid w:val="00351740"/>
    <w:rsid w:val="00351891"/>
    <w:rsid w:val="0035248B"/>
    <w:rsid w:val="00352753"/>
    <w:rsid w:val="00353006"/>
    <w:rsid w:val="0035318E"/>
    <w:rsid w:val="0035410A"/>
    <w:rsid w:val="003541FD"/>
    <w:rsid w:val="0035467F"/>
    <w:rsid w:val="00354709"/>
    <w:rsid w:val="00354D5D"/>
    <w:rsid w:val="00355716"/>
    <w:rsid w:val="00355E44"/>
    <w:rsid w:val="00355F21"/>
    <w:rsid w:val="003563E5"/>
    <w:rsid w:val="00356C98"/>
    <w:rsid w:val="00356D61"/>
    <w:rsid w:val="00357001"/>
    <w:rsid w:val="003579DB"/>
    <w:rsid w:val="0036049A"/>
    <w:rsid w:val="003605D1"/>
    <w:rsid w:val="00361A33"/>
    <w:rsid w:val="00361C4E"/>
    <w:rsid w:val="00361EF5"/>
    <w:rsid w:val="00361F2B"/>
    <w:rsid w:val="00364201"/>
    <w:rsid w:val="0036498A"/>
    <w:rsid w:val="00364A94"/>
    <w:rsid w:val="00364CC4"/>
    <w:rsid w:val="00364E15"/>
    <w:rsid w:val="00364EAF"/>
    <w:rsid w:val="00365AB2"/>
    <w:rsid w:val="00366EB4"/>
    <w:rsid w:val="003703F8"/>
    <w:rsid w:val="00371669"/>
    <w:rsid w:val="003717BF"/>
    <w:rsid w:val="00371A4E"/>
    <w:rsid w:val="00371DC9"/>
    <w:rsid w:val="003722B6"/>
    <w:rsid w:val="00372933"/>
    <w:rsid w:val="00372B02"/>
    <w:rsid w:val="00372D56"/>
    <w:rsid w:val="00373604"/>
    <w:rsid w:val="003740B8"/>
    <w:rsid w:val="00374684"/>
    <w:rsid w:val="00375407"/>
    <w:rsid w:val="003762CC"/>
    <w:rsid w:val="00376C6E"/>
    <w:rsid w:val="00377B3A"/>
    <w:rsid w:val="00380705"/>
    <w:rsid w:val="00381002"/>
    <w:rsid w:val="00382DEE"/>
    <w:rsid w:val="00382DF2"/>
    <w:rsid w:val="00382FC1"/>
    <w:rsid w:val="0038347C"/>
    <w:rsid w:val="00384F4C"/>
    <w:rsid w:val="003854C8"/>
    <w:rsid w:val="003856E7"/>
    <w:rsid w:val="00386577"/>
    <w:rsid w:val="00386C89"/>
    <w:rsid w:val="003873FC"/>
    <w:rsid w:val="0038742E"/>
    <w:rsid w:val="00387534"/>
    <w:rsid w:val="00387986"/>
    <w:rsid w:val="00387B6A"/>
    <w:rsid w:val="00387D6E"/>
    <w:rsid w:val="00390146"/>
    <w:rsid w:val="00390983"/>
    <w:rsid w:val="00390E3D"/>
    <w:rsid w:val="00390ECF"/>
    <w:rsid w:val="0039155D"/>
    <w:rsid w:val="0039212C"/>
    <w:rsid w:val="00392DE6"/>
    <w:rsid w:val="003932FB"/>
    <w:rsid w:val="00393D09"/>
    <w:rsid w:val="00394C3D"/>
    <w:rsid w:val="0039509F"/>
    <w:rsid w:val="003953BB"/>
    <w:rsid w:val="00396192"/>
    <w:rsid w:val="00396AEB"/>
    <w:rsid w:val="00396E59"/>
    <w:rsid w:val="00397589"/>
    <w:rsid w:val="003A02AB"/>
    <w:rsid w:val="003A06F8"/>
    <w:rsid w:val="003A15C0"/>
    <w:rsid w:val="003A2D36"/>
    <w:rsid w:val="003A3007"/>
    <w:rsid w:val="003A3735"/>
    <w:rsid w:val="003A375E"/>
    <w:rsid w:val="003A379E"/>
    <w:rsid w:val="003A39E5"/>
    <w:rsid w:val="003A3D45"/>
    <w:rsid w:val="003A46D2"/>
    <w:rsid w:val="003A510C"/>
    <w:rsid w:val="003A54AD"/>
    <w:rsid w:val="003A5964"/>
    <w:rsid w:val="003A5A6C"/>
    <w:rsid w:val="003A5B71"/>
    <w:rsid w:val="003A60D2"/>
    <w:rsid w:val="003A6622"/>
    <w:rsid w:val="003A7303"/>
    <w:rsid w:val="003A742D"/>
    <w:rsid w:val="003A773C"/>
    <w:rsid w:val="003A7DDF"/>
    <w:rsid w:val="003B0029"/>
    <w:rsid w:val="003B08F6"/>
    <w:rsid w:val="003B0FF9"/>
    <w:rsid w:val="003B2DD8"/>
    <w:rsid w:val="003B2FF5"/>
    <w:rsid w:val="003B31BD"/>
    <w:rsid w:val="003B3405"/>
    <w:rsid w:val="003B3582"/>
    <w:rsid w:val="003B3667"/>
    <w:rsid w:val="003B3A1B"/>
    <w:rsid w:val="003B443C"/>
    <w:rsid w:val="003B5041"/>
    <w:rsid w:val="003B5CDB"/>
    <w:rsid w:val="003B5D98"/>
    <w:rsid w:val="003B5EA3"/>
    <w:rsid w:val="003B639F"/>
    <w:rsid w:val="003B7056"/>
    <w:rsid w:val="003B718C"/>
    <w:rsid w:val="003B7783"/>
    <w:rsid w:val="003B7B34"/>
    <w:rsid w:val="003B7E60"/>
    <w:rsid w:val="003C0376"/>
    <w:rsid w:val="003C0953"/>
    <w:rsid w:val="003C103B"/>
    <w:rsid w:val="003C13B4"/>
    <w:rsid w:val="003C19C7"/>
    <w:rsid w:val="003C1A5D"/>
    <w:rsid w:val="003C1E70"/>
    <w:rsid w:val="003C47AC"/>
    <w:rsid w:val="003C4A72"/>
    <w:rsid w:val="003C513A"/>
    <w:rsid w:val="003C51B2"/>
    <w:rsid w:val="003C5776"/>
    <w:rsid w:val="003C58F4"/>
    <w:rsid w:val="003C5B15"/>
    <w:rsid w:val="003C5E35"/>
    <w:rsid w:val="003D0708"/>
    <w:rsid w:val="003D09F5"/>
    <w:rsid w:val="003D14D2"/>
    <w:rsid w:val="003D1BD8"/>
    <w:rsid w:val="003D23A8"/>
    <w:rsid w:val="003D25E8"/>
    <w:rsid w:val="003D2759"/>
    <w:rsid w:val="003D279D"/>
    <w:rsid w:val="003D2C60"/>
    <w:rsid w:val="003D3883"/>
    <w:rsid w:val="003D50B9"/>
    <w:rsid w:val="003D58D3"/>
    <w:rsid w:val="003D597F"/>
    <w:rsid w:val="003D5A03"/>
    <w:rsid w:val="003D5E28"/>
    <w:rsid w:val="003D7631"/>
    <w:rsid w:val="003D7EB1"/>
    <w:rsid w:val="003D7F76"/>
    <w:rsid w:val="003E02B1"/>
    <w:rsid w:val="003E0E36"/>
    <w:rsid w:val="003E21A7"/>
    <w:rsid w:val="003E2277"/>
    <w:rsid w:val="003E23D2"/>
    <w:rsid w:val="003E2496"/>
    <w:rsid w:val="003E2611"/>
    <w:rsid w:val="003E2A08"/>
    <w:rsid w:val="003E2B87"/>
    <w:rsid w:val="003E3031"/>
    <w:rsid w:val="003E3637"/>
    <w:rsid w:val="003E4B73"/>
    <w:rsid w:val="003E517B"/>
    <w:rsid w:val="003E51A5"/>
    <w:rsid w:val="003E52BD"/>
    <w:rsid w:val="003E553D"/>
    <w:rsid w:val="003E5683"/>
    <w:rsid w:val="003E61BC"/>
    <w:rsid w:val="003E6265"/>
    <w:rsid w:val="003E651A"/>
    <w:rsid w:val="003E682E"/>
    <w:rsid w:val="003E7754"/>
    <w:rsid w:val="003F038D"/>
    <w:rsid w:val="003F1565"/>
    <w:rsid w:val="003F22DB"/>
    <w:rsid w:val="003F2E21"/>
    <w:rsid w:val="003F3DA8"/>
    <w:rsid w:val="003F4974"/>
    <w:rsid w:val="003F4CC7"/>
    <w:rsid w:val="003F6A57"/>
    <w:rsid w:val="003F6F39"/>
    <w:rsid w:val="003F784C"/>
    <w:rsid w:val="003F7D30"/>
    <w:rsid w:val="003F7E1E"/>
    <w:rsid w:val="00400076"/>
    <w:rsid w:val="004006F6"/>
    <w:rsid w:val="004009D5"/>
    <w:rsid w:val="00400B8B"/>
    <w:rsid w:val="00400C69"/>
    <w:rsid w:val="00400DD8"/>
    <w:rsid w:val="00400F31"/>
    <w:rsid w:val="004014AA"/>
    <w:rsid w:val="00401515"/>
    <w:rsid w:val="0040317B"/>
    <w:rsid w:val="00403E3C"/>
    <w:rsid w:val="0040433D"/>
    <w:rsid w:val="00404482"/>
    <w:rsid w:val="004044C6"/>
    <w:rsid w:val="004047A3"/>
    <w:rsid w:val="00406534"/>
    <w:rsid w:val="00406C56"/>
    <w:rsid w:val="00406CEF"/>
    <w:rsid w:val="00407215"/>
    <w:rsid w:val="00407484"/>
    <w:rsid w:val="004102EC"/>
    <w:rsid w:val="004109A9"/>
    <w:rsid w:val="00410D14"/>
    <w:rsid w:val="00411245"/>
    <w:rsid w:val="00411F92"/>
    <w:rsid w:val="0041213B"/>
    <w:rsid w:val="0041284E"/>
    <w:rsid w:val="00412CD2"/>
    <w:rsid w:val="0041385F"/>
    <w:rsid w:val="00413AB9"/>
    <w:rsid w:val="00414275"/>
    <w:rsid w:val="0041699B"/>
    <w:rsid w:val="00416AAC"/>
    <w:rsid w:val="00417479"/>
    <w:rsid w:val="00417D42"/>
    <w:rsid w:val="0042041F"/>
    <w:rsid w:val="0042100E"/>
    <w:rsid w:val="00421372"/>
    <w:rsid w:val="004213F5"/>
    <w:rsid w:val="00422B72"/>
    <w:rsid w:val="00422C20"/>
    <w:rsid w:val="00423198"/>
    <w:rsid w:val="004232CB"/>
    <w:rsid w:val="00423AC5"/>
    <w:rsid w:val="00424576"/>
    <w:rsid w:val="0042459A"/>
    <w:rsid w:val="00424665"/>
    <w:rsid w:val="0042541E"/>
    <w:rsid w:val="00425537"/>
    <w:rsid w:val="00425A9A"/>
    <w:rsid w:val="00425BCF"/>
    <w:rsid w:val="00426348"/>
    <w:rsid w:val="00426B4F"/>
    <w:rsid w:val="00430377"/>
    <w:rsid w:val="004304D7"/>
    <w:rsid w:val="00430AF6"/>
    <w:rsid w:val="00430EDD"/>
    <w:rsid w:val="0043235C"/>
    <w:rsid w:val="0043288C"/>
    <w:rsid w:val="00433381"/>
    <w:rsid w:val="00433A72"/>
    <w:rsid w:val="004345E6"/>
    <w:rsid w:val="004357C2"/>
    <w:rsid w:val="00435D32"/>
    <w:rsid w:val="00436494"/>
    <w:rsid w:val="0043691D"/>
    <w:rsid w:val="00437CBC"/>
    <w:rsid w:val="00437E3B"/>
    <w:rsid w:val="0044089A"/>
    <w:rsid w:val="00440BAB"/>
    <w:rsid w:val="00441361"/>
    <w:rsid w:val="00443B6D"/>
    <w:rsid w:val="004442B3"/>
    <w:rsid w:val="00444A1D"/>
    <w:rsid w:val="00445579"/>
    <w:rsid w:val="00445E5E"/>
    <w:rsid w:val="00446150"/>
    <w:rsid w:val="004465E2"/>
    <w:rsid w:val="00446D17"/>
    <w:rsid w:val="004474DD"/>
    <w:rsid w:val="00450279"/>
    <w:rsid w:val="00450443"/>
    <w:rsid w:val="00451320"/>
    <w:rsid w:val="004518AB"/>
    <w:rsid w:val="00452273"/>
    <w:rsid w:val="0045280A"/>
    <w:rsid w:val="00454758"/>
    <w:rsid w:val="004548C2"/>
    <w:rsid w:val="00455433"/>
    <w:rsid w:val="004554E0"/>
    <w:rsid w:val="004560BD"/>
    <w:rsid w:val="004603C1"/>
    <w:rsid w:val="00461A2B"/>
    <w:rsid w:val="0046244C"/>
    <w:rsid w:val="00462560"/>
    <w:rsid w:val="00463A1E"/>
    <w:rsid w:val="00463D1C"/>
    <w:rsid w:val="00463D29"/>
    <w:rsid w:val="00464164"/>
    <w:rsid w:val="00464631"/>
    <w:rsid w:val="0046493F"/>
    <w:rsid w:val="00464B42"/>
    <w:rsid w:val="00464C16"/>
    <w:rsid w:val="004654B7"/>
    <w:rsid w:val="004663B9"/>
    <w:rsid w:val="00466DA4"/>
    <w:rsid w:val="00467206"/>
    <w:rsid w:val="00467464"/>
    <w:rsid w:val="00467DDB"/>
    <w:rsid w:val="00470B79"/>
    <w:rsid w:val="0047150B"/>
    <w:rsid w:val="00471536"/>
    <w:rsid w:val="00471EE7"/>
    <w:rsid w:val="004732E7"/>
    <w:rsid w:val="00473FFB"/>
    <w:rsid w:val="004741C8"/>
    <w:rsid w:val="00474918"/>
    <w:rsid w:val="00474C9C"/>
    <w:rsid w:val="00474D97"/>
    <w:rsid w:val="00476C6A"/>
    <w:rsid w:val="004776E9"/>
    <w:rsid w:val="004779BC"/>
    <w:rsid w:val="00480013"/>
    <w:rsid w:val="004801CB"/>
    <w:rsid w:val="004801D3"/>
    <w:rsid w:val="00480E58"/>
    <w:rsid w:val="00482195"/>
    <w:rsid w:val="00482396"/>
    <w:rsid w:val="004847E7"/>
    <w:rsid w:val="00484A50"/>
    <w:rsid w:val="00485D93"/>
    <w:rsid w:val="00485E04"/>
    <w:rsid w:val="0048604E"/>
    <w:rsid w:val="004868BB"/>
    <w:rsid w:val="00487332"/>
    <w:rsid w:val="0048774C"/>
    <w:rsid w:val="004877C1"/>
    <w:rsid w:val="004908CB"/>
    <w:rsid w:val="0049363F"/>
    <w:rsid w:val="00493861"/>
    <w:rsid w:val="00493D13"/>
    <w:rsid w:val="00494350"/>
    <w:rsid w:val="00496E54"/>
    <w:rsid w:val="0049707B"/>
    <w:rsid w:val="004970C0"/>
    <w:rsid w:val="0049724A"/>
    <w:rsid w:val="004974B9"/>
    <w:rsid w:val="004977C0"/>
    <w:rsid w:val="00497C44"/>
    <w:rsid w:val="00497CC5"/>
    <w:rsid w:val="00497FA1"/>
    <w:rsid w:val="004A0C81"/>
    <w:rsid w:val="004A14DC"/>
    <w:rsid w:val="004A1FC6"/>
    <w:rsid w:val="004A2B5C"/>
    <w:rsid w:val="004A2F5C"/>
    <w:rsid w:val="004A3949"/>
    <w:rsid w:val="004A3E17"/>
    <w:rsid w:val="004A4035"/>
    <w:rsid w:val="004A4AA2"/>
    <w:rsid w:val="004A4CBD"/>
    <w:rsid w:val="004A5079"/>
    <w:rsid w:val="004A53F2"/>
    <w:rsid w:val="004A5504"/>
    <w:rsid w:val="004A562A"/>
    <w:rsid w:val="004A5859"/>
    <w:rsid w:val="004A64BA"/>
    <w:rsid w:val="004A69E5"/>
    <w:rsid w:val="004A6D91"/>
    <w:rsid w:val="004A6E3C"/>
    <w:rsid w:val="004A7038"/>
    <w:rsid w:val="004A7629"/>
    <w:rsid w:val="004A7B6E"/>
    <w:rsid w:val="004B0F06"/>
    <w:rsid w:val="004B17A5"/>
    <w:rsid w:val="004B2EF6"/>
    <w:rsid w:val="004B3EB9"/>
    <w:rsid w:val="004B3F47"/>
    <w:rsid w:val="004B49EE"/>
    <w:rsid w:val="004B505F"/>
    <w:rsid w:val="004B5089"/>
    <w:rsid w:val="004B5320"/>
    <w:rsid w:val="004B5EA5"/>
    <w:rsid w:val="004B5FB4"/>
    <w:rsid w:val="004B6CEF"/>
    <w:rsid w:val="004B7189"/>
    <w:rsid w:val="004B748B"/>
    <w:rsid w:val="004B7D9B"/>
    <w:rsid w:val="004B7E54"/>
    <w:rsid w:val="004C141B"/>
    <w:rsid w:val="004C1D1A"/>
    <w:rsid w:val="004C295E"/>
    <w:rsid w:val="004C309B"/>
    <w:rsid w:val="004C312E"/>
    <w:rsid w:val="004C3271"/>
    <w:rsid w:val="004C42C2"/>
    <w:rsid w:val="004C5C30"/>
    <w:rsid w:val="004C600F"/>
    <w:rsid w:val="004C7CC3"/>
    <w:rsid w:val="004C7F10"/>
    <w:rsid w:val="004D08F1"/>
    <w:rsid w:val="004D18DB"/>
    <w:rsid w:val="004D2042"/>
    <w:rsid w:val="004D245A"/>
    <w:rsid w:val="004D2544"/>
    <w:rsid w:val="004D30F2"/>
    <w:rsid w:val="004D3EFD"/>
    <w:rsid w:val="004D4B2B"/>
    <w:rsid w:val="004D501C"/>
    <w:rsid w:val="004D51C1"/>
    <w:rsid w:val="004D5B9E"/>
    <w:rsid w:val="004D62DA"/>
    <w:rsid w:val="004D655E"/>
    <w:rsid w:val="004D7AC8"/>
    <w:rsid w:val="004D7DBF"/>
    <w:rsid w:val="004E02CA"/>
    <w:rsid w:val="004E0780"/>
    <w:rsid w:val="004E0953"/>
    <w:rsid w:val="004E0AED"/>
    <w:rsid w:val="004E12A7"/>
    <w:rsid w:val="004E152E"/>
    <w:rsid w:val="004E192E"/>
    <w:rsid w:val="004E1F5C"/>
    <w:rsid w:val="004E2499"/>
    <w:rsid w:val="004E2629"/>
    <w:rsid w:val="004E2E74"/>
    <w:rsid w:val="004E33D3"/>
    <w:rsid w:val="004E37CB"/>
    <w:rsid w:val="004E3A1E"/>
    <w:rsid w:val="004E3D88"/>
    <w:rsid w:val="004E3FE9"/>
    <w:rsid w:val="004E574D"/>
    <w:rsid w:val="004E5B7F"/>
    <w:rsid w:val="004E61B4"/>
    <w:rsid w:val="004E68FC"/>
    <w:rsid w:val="004E6B81"/>
    <w:rsid w:val="004E6FAA"/>
    <w:rsid w:val="004E7100"/>
    <w:rsid w:val="004E7161"/>
    <w:rsid w:val="004E7C4C"/>
    <w:rsid w:val="004F0745"/>
    <w:rsid w:val="004F07A1"/>
    <w:rsid w:val="004F18B5"/>
    <w:rsid w:val="004F261D"/>
    <w:rsid w:val="004F2711"/>
    <w:rsid w:val="004F303C"/>
    <w:rsid w:val="004F4B5E"/>
    <w:rsid w:val="004F5660"/>
    <w:rsid w:val="004F5663"/>
    <w:rsid w:val="004F569D"/>
    <w:rsid w:val="004F5978"/>
    <w:rsid w:val="004F5AA6"/>
    <w:rsid w:val="004F5D06"/>
    <w:rsid w:val="004F60CE"/>
    <w:rsid w:val="004F6341"/>
    <w:rsid w:val="004F6F7C"/>
    <w:rsid w:val="004F7173"/>
    <w:rsid w:val="004F76FC"/>
    <w:rsid w:val="004F7BF2"/>
    <w:rsid w:val="004F7CDD"/>
    <w:rsid w:val="0050104B"/>
    <w:rsid w:val="0050123C"/>
    <w:rsid w:val="00502266"/>
    <w:rsid w:val="00502892"/>
    <w:rsid w:val="00502ECB"/>
    <w:rsid w:val="005031DE"/>
    <w:rsid w:val="005034B1"/>
    <w:rsid w:val="00504909"/>
    <w:rsid w:val="00504DFF"/>
    <w:rsid w:val="00505B43"/>
    <w:rsid w:val="00506B0B"/>
    <w:rsid w:val="00506CCD"/>
    <w:rsid w:val="005072A8"/>
    <w:rsid w:val="00507A90"/>
    <w:rsid w:val="0051011F"/>
    <w:rsid w:val="00510224"/>
    <w:rsid w:val="00510DC6"/>
    <w:rsid w:val="005110DC"/>
    <w:rsid w:val="005111D0"/>
    <w:rsid w:val="00512C67"/>
    <w:rsid w:val="00512E95"/>
    <w:rsid w:val="00513741"/>
    <w:rsid w:val="005137C8"/>
    <w:rsid w:val="0051402F"/>
    <w:rsid w:val="00514C5B"/>
    <w:rsid w:val="0051507D"/>
    <w:rsid w:val="00515202"/>
    <w:rsid w:val="005156EB"/>
    <w:rsid w:val="00516885"/>
    <w:rsid w:val="00516A84"/>
    <w:rsid w:val="00516DEB"/>
    <w:rsid w:val="005175F0"/>
    <w:rsid w:val="00517DD4"/>
    <w:rsid w:val="005204DA"/>
    <w:rsid w:val="00520908"/>
    <w:rsid w:val="00520B2A"/>
    <w:rsid w:val="0052132F"/>
    <w:rsid w:val="005215EE"/>
    <w:rsid w:val="00524671"/>
    <w:rsid w:val="00524A77"/>
    <w:rsid w:val="00524C7B"/>
    <w:rsid w:val="00524EEE"/>
    <w:rsid w:val="00524FB2"/>
    <w:rsid w:val="0052585D"/>
    <w:rsid w:val="005258B0"/>
    <w:rsid w:val="00525F1D"/>
    <w:rsid w:val="00527472"/>
    <w:rsid w:val="00527C0E"/>
    <w:rsid w:val="00527D6D"/>
    <w:rsid w:val="00530F45"/>
    <w:rsid w:val="005313DA"/>
    <w:rsid w:val="005317B3"/>
    <w:rsid w:val="00531A12"/>
    <w:rsid w:val="0053246E"/>
    <w:rsid w:val="00533634"/>
    <w:rsid w:val="00533F2F"/>
    <w:rsid w:val="005343D5"/>
    <w:rsid w:val="00534760"/>
    <w:rsid w:val="005349AA"/>
    <w:rsid w:val="00536496"/>
    <w:rsid w:val="005368E3"/>
    <w:rsid w:val="00536DDF"/>
    <w:rsid w:val="0053732B"/>
    <w:rsid w:val="00537372"/>
    <w:rsid w:val="005378BA"/>
    <w:rsid w:val="005402EA"/>
    <w:rsid w:val="005417AB"/>
    <w:rsid w:val="0054240A"/>
    <w:rsid w:val="00542785"/>
    <w:rsid w:val="00542869"/>
    <w:rsid w:val="0054447E"/>
    <w:rsid w:val="00544760"/>
    <w:rsid w:val="005447F1"/>
    <w:rsid w:val="00545434"/>
    <w:rsid w:val="00545F13"/>
    <w:rsid w:val="00546568"/>
    <w:rsid w:val="00546F3D"/>
    <w:rsid w:val="00547175"/>
    <w:rsid w:val="00547644"/>
    <w:rsid w:val="00547668"/>
    <w:rsid w:val="00547860"/>
    <w:rsid w:val="00547A43"/>
    <w:rsid w:val="00550D03"/>
    <w:rsid w:val="0055129A"/>
    <w:rsid w:val="0055145F"/>
    <w:rsid w:val="00551C3E"/>
    <w:rsid w:val="00551D28"/>
    <w:rsid w:val="005521AE"/>
    <w:rsid w:val="00552782"/>
    <w:rsid w:val="00552F7D"/>
    <w:rsid w:val="00553A39"/>
    <w:rsid w:val="00553BDE"/>
    <w:rsid w:val="00553ECB"/>
    <w:rsid w:val="005545BE"/>
    <w:rsid w:val="00554944"/>
    <w:rsid w:val="00555A1A"/>
    <w:rsid w:val="00555F42"/>
    <w:rsid w:val="0055602C"/>
    <w:rsid w:val="00556E8E"/>
    <w:rsid w:val="00556FD7"/>
    <w:rsid w:val="005572B9"/>
    <w:rsid w:val="005579AF"/>
    <w:rsid w:val="0056058C"/>
    <w:rsid w:val="005607C3"/>
    <w:rsid w:val="0056080B"/>
    <w:rsid w:val="005609AA"/>
    <w:rsid w:val="0056137B"/>
    <w:rsid w:val="005618F3"/>
    <w:rsid w:val="00561F2A"/>
    <w:rsid w:val="005625D7"/>
    <w:rsid w:val="00562EBA"/>
    <w:rsid w:val="0056327E"/>
    <w:rsid w:val="005638B1"/>
    <w:rsid w:val="00565106"/>
    <w:rsid w:val="00566121"/>
    <w:rsid w:val="0056701D"/>
    <w:rsid w:val="00567460"/>
    <w:rsid w:val="0056786F"/>
    <w:rsid w:val="0057001F"/>
    <w:rsid w:val="00570345"/>
    <w:rsid w:val="005716E9"/>
    <w:rsid w:val="00571BB1"/>
    <w:rsid w:val="00572514"/>
    <w:rsid w:val="0057306C"/>
    <w:rsid w:val="00573850"/>
    <w:rsid w:val="00573A32"/>
    <w:rsid w:val="00573FDA"/>
    <w:rsid w:val="00574B73"/>
    <w:rsid w:val="00574E5E"/>
    <w:rsid w:val="00576185"/>
    <w:rsid w:val="00576388"/>
    <w:rsid w:val="00576F1A"/>
    <w:rsid w:val="0057702F"/>
    <w:rsid w:val="0057740C"/>
    <w:rsid w:val="0057751D"/>
    <w:rsid w:val="00577C5A"/>
    <w:rsid w:val="00580E09"/>
    <w:rsid w:val="005819AD"/>
    <w:rsid w:val="00582B2F"/>
    <w:rsid w:val="005830A8"/>
    <w:rsid w:val="0058348E"/>
    <w:rsid w:val="00583E9F"/>
    <w:rsid w:val="00583F62"/>
    <w:rsid w:val="005846DD"/>
    <w:rsid w:val="00584917"/>
    <w:rsid w:val="00585C59"/>
    <w:rsid w:val="00586142"/>
    <w:rsid w:val="005862F5"/>
    <w:rsid w:val="00586593"/>
    <w:rsid w:val="00590122"/>
    <w:rsid w:val="00590907"/>
    <w:rsid w:val="00590CB3"/>
    <w:rsid w:val="00590F10"/>
    <w:rsid w:val="00591554"/>
    <w:rsid w:val="00592553"/>
    <w:rsid w:val="00593430"/>
    <w:rsid w:val="00593F07"/>
    <w:rsid w:val="00594CCE"/>
    <w:rsid w:val="0059543D"/>
    <w:rsid w:val="00595A6C"/>
    <w:rsid w:val="00596D8F"/>
    <w:rsid w:val="00596E95"/>
    <w:rsid w:val="00597539"/>
    <w:rsid w:val="00597B1C"/>
    <w:rsid w:val="00597BDC"/>
    <w:rsid w:val="005A089D"/>
    <w:rsid w:val="005A0B4D"/>
    <w:rsid w:val="005A0B59"/>
    <w:rsid w:val="005A2800"/>
    <w:rsid w:val="005A2C56"/>
    <w:rsid w:val="005A2EC6"/>
    <w:rsid w:val="005A3364"/>
    <w:rsid w:val="005A33D7"/>
    <w:rsid w:val="005A3FFF"/>
    <w:rsid w:val="005A4587"/>
    <w:rsid w:val="005A5E1D"/>
    <w:rsid w:val="005A6036"/>
    <w:rsid w:val="005A6F35"/>
    <w:rsid w:val="005A7D07"/>
    <w:rsid w:val="005B046B"/>
    <w:rsid w:val="005B0934"/>
    <w:rsid w:val="005B1005"/>
    <w:rsid w:val="005B15A5"/>
    <w:rsid w:val="005B1BB1"/>
    <w:rsid w:val="005B2257"/>
    <w:rsid w:val="005B257D"/>
    <w:rsid w:val="005B29F4"/>
    <w:rsid w:val="005B3B10"/>
    <w:rsid w:val="005B484A"/>
    <w:rsid w:val="005B4DA7"/>
    <w:rsid w:val="005B5B2A"/>
    <w:rsid w:val="005B6489"/>
    <w:rsid w:val="005B6700"/>
    <w:rsid w:val="005B67D5"/>
    <w:rsid w:val="005C01C8"/>
    <w:rsid w:val="005C0260"/>
    <w:rsid w:val="005C080B"/>
    <w:rsid w:val="005C0BF1"/>
    <w:rsid w:val="005C24AD"/>
    <w:rsid w:val="005C373A"/>
    <w:rsid w:val="005C4F67"/>
    <w:rsid w:val="005C5073"/>
    <w:rsid w:val="005C533A"/>
    <w:rsid w:val="005C55E5"/>
    <w:rsid w:val="005C59AF"/>
    <w:rsid w:val="005C5F53"/>
    <w:rsid w:val="005C651A"/>
    <w:rsid w:val="005D04CD"/>
    <w:rsid w:val="005D0954"/>
    <w:rsid w:val="005D0AAE"/>
    <w:rsid w:val="005D143C"/>
    <w:rsid w:val="005D16DE"/>
    <w:rsid w:val="005D1DB8"/>
    <w:rsid w:val="005D22DE"/>
    <w:rsid w:val="005D420E"/>
    <w:rsid w:val="005D428B"/>
    <w:rsid w:val="005D4B1A"/>
    <w:rsid w:val="005D4FFF"/>
    <w:rsid w:val="005D51CF"/>
    <w:rsid w:val="005D5C99"/>
    <w:rsid w:val="005D6253"/>
    <w:rsid w:val="005D7BD3"/>
    <w:rsid w:val="005D7F59"/>
    <w:rsid w:val="005E04BD"/>
    <w:rsid w:val="005E06CE"/>
    <w:rsid w:val="005E0A64"/>
    <w:rsid w:val="005E2941"/>
    <w:rsid w:val="005E2CEA"/>
    <w:rsid w:val="005E40B7"/>
    <w:rsid w:val="005E43FA"/>
    <w:rsid w:val="005E4C20"/>
    <w:rsid w:val="005E515D"/>
    <w:rsid w:val="005E5580"/>
    <w:rsid w:val="005E5A8F"/>
    <w:rsid w:val="005E6170"/>
    <w:rsid w:val="005E6812"/>
    <w:rsid w:val="005E690C"/>
    <w:rsid w:val="005E6EF0"/>
    <w:rsid w:val="005E7406"/>
    <w:rsid w:val="005E781D"/>
    <w:rsid w:val="005E7AD6"/>
    <w:rsid w:val="005F017A"/>
    <w:rsid w:val="005F02AA"/>
    <w:rsid w:val="005F03C4"/>
    <w:rsid w:val="005F1D46"/>
    <w:rsid w:val="005F2897"/>
    <w:rsid w:val="005F28EC"/>
    <w:rsid w:val="005F3424"/>
    <w:rsid w:val="005F368F"/>
    <w:rsid w:val="005F400B"/>
    <w:rsid w:val="005F5722"/>
    <w:rsid w:val="005F60B5"/>
    <w:rsid w:val="005F616E"/>
    <w:rsid w:val="005F61DC"/>
    <w:rsid w:val="005F66CD"/>
    <w:rsid w:val="005F6E79"/>
    <w:rsid w:val="005F72AC"/>
    <w:rsid w:val="005F78A1"/>
    <w:rsid w:val="006003C4"/>
    <w:rsid w:val="00600F1E"/>
    <w:rsid w:val="00601209"/>
    <w:rsid w:val="0060202B"/>
    <w:rsid w:val="00602E3B"/>
    <w:rsid w:val="00603A6C"/>
    <w:rsid w:val="00603C95"/>
    <w:rsid w:val="00604266"/>
    <w:rsid w:val="00604401"/>
    <w:rsid w:val="00604962"/>
    <w:rsid w:val="00604D28"/>
    <w:rsid w:val="00604E14"/>
    <w:rsid w:val="00606071"/>
    <w:rsid w:val="00606222"/>
    <w:rsid w:val="00606AD6"/>
    <w:rsid w:val="00606E48"/>
    <w:rsid w:val="006070D1"/>
    <w:rsid w:val="006073F0"/>
    <w:rsid w:val="00610B07"/>
    <w:rsid w:val="00610EF7"/>
    <w:rsid w:val="00612B08"/>
    <w:rsid w:val="00612B5E"/>
    <w:rsid w:val="00612D90"/>
    <w:rsid w:val="0061335E"/>
    <w:rsid w:val="006134B0"/>
    <w:rsid w:val="00614A27"/>
    <w:rsid w:val="006153BB"/>
    <w:rsid w:val="0061567B"/>
    <w:rsid w:val="00615A5C"/>
    <w:rsid w:val="00615BFF"/>
    <w:rsid w:val="00616B43"/>
    <w:rsid w:val="00617D30"/>
    <w:rsid w:val="00620817"/>
    <w:rsid w:val="006209BE"/>
    <w:rsid w:val="006212DE"/>
    <w:rsid w:val="00621B4C"/>
    <w:rsid w:val="006226E2"/>
    <w:rsid w:val="00622C00"/>
    <w:rsid w:val="006231B4"/>
    <w:rsid w:val="0062360F"/>
    <w:rsid w:val="006245BB"/>
    <w:rsid w:val="00624B1F"/>
    <w:rsid w:val="0062529C"/>
    <w:rsid w:val="00625E01"/>
    <w:rsid w:val="00627793"/>
    <w:rsid w:val="00631625"/>
    <w:rsid w:val="00632CDF"/>
    <w:rsid w:val="00633074"/>
    <w:rsid w:val="0063444E"/>
    <w:rsid w:val="006346D1"/>
    <w:rsid w:val="006353E1"/>
    <w:rsid w:val="0063599A"/>
    <w:rsid w:val="00635BF5"/>
    <w:rsid w:val="006363EB"/>
    <w:rsid w:val="00636638"/>
    <w:rsid w:val="00636B4F"/>
    <w:rsid w:val="00636E03"/>
    <w:rsid w:val="006405B5"/>
    <w:rsid w:val="00640ADC"/>
    <w:rsid w:val="00642239"/>
    <w:rsid w:val="00642B9A"/>
    <w:rsid w:val="00642FB7"/>
    <w:rsid w:val="00643286"/>
    <w:rsid w:val="006441D4"/>
    <w:rsid w:val="00644610"/>
    <w:rsid w:val="006446D4"/>
    <w:rsid w:val="00645368"/>
    <w:rsid w:val="00645FE8"/>
    <w:rsid w:val="00646813"/>
    <w:rsid w:val="006472CA"/>
    <w:rsid w:val="00647619"/>
    <w:rsid w:val="00647662"/>
    <w:rsid w:val="00647878"/>
    <w:rsid w:val="00647962"/>
    <w:rsid w:val="00650BDE"/>
    <w:rsid w:val="006521E9"/>
    <w:rsid w:val="0065303A"/>
    <w:rsid w:val="006536C2"/>
    <w:rsid w:val="00653722"/>
    <w:rsid w:val="00653732"/>
    <w:rsid w:val="00655483"/>
    <w:rsid w:val="006557BD"/>
    <w:rsid w:val="00655EC8"/>
    <w:rsid w:val="00655F9E"/>
    <w:rsid w:val="006572ED"/>
    <w:rsid w:val="00657D73"/>
    <w:rsid w:val="00657E82"/>
    <w:rsid w:val="00660F07"/>
    <w:rsid w:val="006612F3"/>
    <w:rsid w:val="00661312"/>
    <w:rsid w:val="00662515"/>
    <w:rsid w:val="00662B3B"/>
    <w:rsid w:val="00662D41"/>
    <w:rsid w:val="00663C95"/>
    <w:rsid w:val="00663D8C"/>
    <w:rsid w:val="006653EA"/>
    <w:rsid w:val="006663DB"/>
    <w:rsid w:val="00666671"/>
    <w:rsid w:val="00666C41"/>
    <w:rsid w:val="00666F39"/>
    <w:rsid w:val="00667715"/>
    <w:rsid w:val="00667928"/>
    <w:rsid w:val="0067265F"/>
    <w:rsid w:val="00672694"/>
    <w:rsid w:val="00673C4C"/>
    <w:rsid w:val="00673F98"/>
    <w:rsid w:val="00674E1E"/>
    <w:rsid w:val="00675164"/>
    <w:rsid w:val="00676852"/>
    <w:rsid w:val="00677AA3"/>
    <w:rsid w:val="00677CA4"/>
    <w:rsid w:val="00680124"/>
    <w:rsid w:val="0068151D"/>
    <w:rsid w:val="006819FB"/>
    <w:rsid w:val="00681D64"/>
    <w:rsid w:val="00682650"/>
    <w:rsid w:val="0068290E"/>
    <w:rsid w:val="00682B63"/>
    <w:rsid w:val="006839A4"/>
    <w:rsid w:val="00683A67"/>
    <w:rsid w:val="00683DC4"/>
    <w:rsid w:val="00684DE7"/>
    <w:rsid w:val="00686D48"/>
    <w:rsid w:val="00686D7D"/>
    <w:rsid w:val="006875B9"/>
    <w:rsid w:val="00687A36"/>
    <w:rsid w:val="00687F64"/>
    <w:rsid w:val="00687FD3"/>
    <w:rsid w:val="006913F6"/>
    <w:rsid w:val="006916AC"/>
    <w:rsid w:val="00691729"/>
    <w:rsid w:val="00691A5E"/>
    <w:rsid w:val="00692940"/>
    <w:rsid w:val="00693020"/>
    <w:rsid w:val="006933FD"/>
    <w:rsid w:val="00693457"/>
    <w:rsid w:val="00693492"/>
    <w:rsid w:val="006937F7"/>
    <w:rsid w:val="0069529A"/>
    <w:rsid w:val="0069531A"/>
    <w:rsid w:val="00695602"/>
    <w:rsid w:val="006961C9"/>
    <w:rsid w:val="006969F6"/>
    <w:rsid w:val="006972A9"/>
    <w:rsid w:val="006A02E1"/>
    <w:rsid w:val="006A055F"/>
    <w:rsid w:val="006A08DF"/>
    <w:rsid w:val="006A0F64"/>
    <w:rsid w:val="006A1373"/>
    <w:rsid w:val="006A2450"/>
    <w:rsid w:val="006A2EE9"/>
    <w:rsid w:val="006A3033"/>
    <w:rsid w:val="006A305B"/>
    <w:rsid w:val="006A35C7"/>
    <w:rsid w:val="006A430A"/>
    <w:rsid w:val="006A43AC"/>
    <w:rsid w:val="006A44A0"/>
    <w:rsid w:val="006A57CD"/>
    <w:rsid w:val="006A59AF"/>
    <w:rsid w:val="006A5BEA"/>
    <w:rsid w:val="006A72F5"/>
    <w:rsid w:val="006A73AC"/>
    <w:rsid w:val="006A757E"/>
    <w:rsid w:val="006A75F6"/>
    <w:rsid w:val="006A7E3D"/>
    <w:rsid w:val="006B00A3"/>
    <w:rsid w:val="006B06E0"/>
    <w:rsid w:val="006B0B1E"/>
    <w:rsid w:val="006B0CD8"/>
    <w:rsid w:val="006B0CE2"/>
    <w:rsid w:val="006B0F41"/>
    <w:rsid w:val="006B1716"/>
    <w:rsid w:val="006B22F7"/>
    <w:rsid w:val="006B2F68"/>
    <w:rsid w:val="006B3651"/>
    <w:rsid w:val="006B50EF"/>
    <w:rsid w:val="006B5E09"/>
    <w:rsid w:val="006B603E"/>
    <w:rsid w:val="006B64CD"/>
    <w:rsid w:val="006B69BD"/>
    <w:rsid w:val="006B6DAE"/>
    <w:rsid w:val="006B6FE9"/>
    <w:rsid w:val="006B7099"/>
    <w:rsid w:val="006B73C7"/>
    <w:rsid w:val="006B7CC6"/>
    <w:rsid w:val="006C030B"/>
    <w:rsid w:val="006C0FB5"/>
    <w:rsid w:val="006C11D1"/>
    <w:rsid w:val="006C154E"/>
    <w:rsid w:val="006C1B3C"/>
    <w:rsid w:val="006C1E55"/>
    <w:rsid w:val="006C1E7C"/>
    <w:rsid w:val="006C2F46"/>
    <w:rsid w:val="006C3105"/>
    <w:rsid w:val="006C3181"/>
    <w:rsid w:val="006C3B8B"/>
    <w:rsid w:val="006C3E54"/>
    <w:rsid w:val="006C40AC"/>
    <w:rsid w:val="006C419F"/>
    <w:rsid w:val="006C45FE"/>
    <w:rsid w:val="006C48C7"/>
    <w:rsid w:val="006C500A"/>
    <w:rsid w:val="006C5BC2"/>
    <w:rsid w:val="006C65A2"/>
    <w:rsid w:val="006C6E5D"/>
    <w:rsid w:val="006C7875"/>
    <w:rsid w:val="006C7E3F"/>
    <w:rsid w:val="006D08D8"/>
    <w:rsid w:val="006D16E2"/>
    <w:rsid w:val="006D18C2"/>
    <w:rsid w:val="006D210A"/>
    <w:rsid w:val="006D2A37"/>
    <w:rsid w:val="006D372A"/>
    <w:rsid w:val="006D3BAC"/>
    <w:rsid w:val="006D4157"/>
    <w:rsid w:val="006D4FE9"/>
    <w:rsid w:val="006D5557"/>
    <w:rsid w:val="006D55B7"/>
    <w:rsid w:val="006D6061"/>
    <w:rsid w:val="006D64A0"/>
    <w:rsid w:val="006D6C79"/>
    <w:rsid w:val="006D7828"/>
    <w:rsid w:val="006D7F06"/>
    <w:rsid w:val="006E0239"/>
    <w:rsid w:val="006E0738"/>
    <w:rsid w:val="006E095B"/>
    <w:rsid w:val="006E1353"/>
    <w:rsid w:val="006E1C2B"/>
    <w:rsid w:val="006E2344"/>
    <w:rsid w:val="006E254C"/>
    <w:rsid w:val="006E2611"/>
    <w:rsid w:val="006E269D"/>
    <w:rsid w:val="006E3518"/>
    <w:rsid w:val="006E3C45"/>
    <w:rsid w:val="006E443D"/>
    <w:rsid w:val="006E4B42"/>
    <w:rsid w:val="006E4E15"/>
    <w:rsid w:val="006E53A6"/>
    <w:rsid w:val="006E61A2"/>
    <w:rsid w:val="006E6500"/>
    <w:rsid w:val="006E65F3"/>
    <w:rsid w:val="006E6630"/>
    <w:rsid w:val="006F1515"/>
    <w:rsid w:val="006F1E0A"/>
    <w:rsid w:val="006F381A"/>
    <w:rsid w:val="006F6676"/>
    <w:rsid w:val="006F7064"/>
    <w:rsid w:val="006F747C"/>
    <w:rsid w:val="007004CB"/>
    <w:rsid w:val="00700637"/>
    <w:rsid w:val="00701479"/>
    <w:rsid w:val="00701E8A"/>
    <w:rsid w:val="00702AB0"/>
    <w:rsid w:val="00703F5C"/>
    <w:rsid w:val="00704058"/>
    <w:rsid w:val="00704BF3"/>
    <w:rsid w:val="00705ADE"/>
    <w:rsid w:val="00705F49"/>
    <w:rsid w:val="0070610E"/>
    <w:rsid w:val="00706177"/>
    <w:rsid w:val="00706D77"/>
    <w:rsid w:val="007076F9"/>
    <w:rsid w:val="00707A00"/>
    <w:rsid w:val="00710319"/>
    <w:rsid w:val="00710932"/>
    <w:rsid w:val="00710E4E"/>
    <w:rsid w:val="00710E97"/>
    <w:rsid w:val="00711217"/>
    <w:rsid w:val="00711365"/>
    <w:rsid w:val="00711AE3"/>
    <w:rsid w:val="00712BA8"/>
    <w:rsid w:val="00713479"/>
    <w:rsid w:val="00713628"/>
    <w:rsid w:val="00713738"/>
    <w:rsid w:val="00714F4E"/>
    <w:rsid w:val="00714FD5"/>
    <w:rsid w:val="0071592C"/>
    <w:rsid w:val="00716172"/>
    <w:rsid w:val="00716496"/>
    <w:rsid w:val="00720219"/>
    <w:rsid w:val="00720A32"/>
    <w:rsid w:val="00721A2B"/>
    <w:rsid w:val="00721D1D"/>
    <w:rsid w:val="00721E55"/>
    <w:rsid w:val="00722A02"/>
    <w:rsid w:val="00724788"/>
    <w:rsid w:val="007248D8"/>
    <w:rsid w:val="00724904"/>
    <w:rsid w:val="00724B5F"/>
    <w:rsid w:val="00725662"/>
    <w:rsid w:val="00725D66"/>
    <w:rsid w:val="00726B41"/>
    <w:rsid w:val="00727284"/>
    <w:rsid w:val="00727310"/>
    <w:rsid w:val="007274DB"/>
    <w:rsid w:val="00727F40"/>
    <w:rsid w:val="00730711"/>
    <w:rsid w:val="0073094F"/>
    <w:rsid w:val="00730F4C"/>
    <w:rsid w:val="007311F8"/>
    <w:rsid w:val="00732373"/>
    <w:rsid w:val="00732B87"/>
    <w:rsid w:val="00733633"/>
    <w:rsid w:val="00733830"/>
    <w:rsid w:val="00733F73"/>
    <w:rsid w:val="007348F7"/>
    <w:rsid w:val="00734E2E"/>
    <w:rsid w:val="0073541B"/>
    <w:rsid w:val="007354B5"/>
    <w:rsid w:val="007354E0"/>
    <w:rsid w:val="00735A08"/>
    <w:rsid w:val="00735B62"/>
    <w:rsid w:val="00735B9B"/>
    <w:rsid w:val="007360F4"/>
    <w:rsid w:val="007374B3"/>
    <w:rsid w:val="007379EE"/>
    <w:rsid w:val="00737CE8"/>
    <w:rsid w:val="00737CF8"/>
    <w:rsid w:val="007401CA"/>
    <w:rsid w:val="00740962"/>
    <w:rsid w:val="00740D5B"/>
    <w:rsid w:val="00741CA4"/>
    <w:rsid w:val="00741DA2"/>
    <w:rsid w:val="00742587"/>
    <w:rsid w:val="00742982"/>
    <w:rsid w:val="00744E50"/>
    <w:rsid w:val="00745128"/>
    <w:rsid w:val="00745B51"/>
    <w:rsid w:val="00746FDB"/>
    <w:rsid w:val="00747539"/>
    <w:rsid w:val="00747994"/>
    <w:rsid w:val="00747BBD"/>
    <w:rsid w:val="00747E94"/>
    <w:rsid w:val="00751A82"/>
    <w:rsid w:val="00751D0D"/>
    <w:rsid w:val="00751FBE"/>
    <w:rsid w:val="00752709"/>
    <w:rsid w:val="00752834"/>
    <w:rsid w:val="00754015"/>
    <w:rsid w:val="0075440A"/>
    <w:rsid w:val="007547C0"/>
    <w:rsid w:val="0075491B"/>
    <w:rsid w:val="00754BE6"/>
    <w:rsid w:val="007552ED"/>
    <w:rsid w:val="007557E7"/>
    <w:rsid w:val="00755BDF"/>
    <w:rsid w:val="00755E93"/>
    <w:rsid w:val="00755F67"/>
    <w:rsid w:val="007562CB"/>
    <w:rsid w:val="007567C8"/>
    <w:rsid w:val="007569B1"/>
    <w:rsid w:val="00756A2E"/>
    <w:rsid w:val="00756B6F"/>
    <w:rsid w:val="0075796D"/>
    <w:rsid w:val="00757CA5"/>
    <w:rsid w:val="00761125"/>
    <w:rsid w:val="007616BF"/>
    <w:rsid w:val="0076191D"/>
    <w:rsid w:val="00761AA6"/>
    <w:rsid w:val="00761F5F"/>
    <w:rsid w:val="00762098"/>
    <w:rsid w:val="00762600"/>
    <w:rsid w:val="007629F2"/>
    <w:rsid w:val="0076309D"/>
    <w:rsid w:val="00763E89"/>
    <w:rsid w:val="00764F5B"/>
    <w:rsid w:val="0076541D"/>
    <w:rsid w:val="00765B51"/>
    <w:rsid w:val="00767770"/>
    <w:rsid w:val="00767771"/>
    <w:rsid w:val="007704CF"/>
    <w:rsid w:val="0077072D"/>
    <w:rsid w:val="00770C7E"/>
    <w:rsid w:val="00770EFA"/>
    <w:rsid w:val="0077138F"/>
    <w:rsid w:val="00771543"/>
    <w:rsid w:val="00773533"/>
    <w:rsid w:val="007742A4"/>
    <w:rsid w:val="00774320"/>
    <w:rsid w:val="007743F2"/>
    <w:rsid w:val="007744A4"/>
    <w:rsid w:val="007744E5"/>
    <w:rsid w:val="00774C0F"/>
    <w:rsid w:val="00774D0B"/>
    <w:rsid w:val="00775848"/>
    <w:rsid w:val="00775AE3"/>
    <w:rsid w:val="00775CB7"/>
    <w:rsid w:val="00775D80"/>
    <w:rsid w:val="007771BE"/>
    <w:rsid w:val="007778E5"/>
    <w:rsid w:val="00777B0E"/>
    <w:rsid w:val="00780136"/>
    <w:rsid w:val="007806AA"/>
    <w:rsid w:val="007806C6"/>
    <w:rsid w:val="00780764"/>
    <w:rsid w:val="0078126D"/>
    <w:rsid w:val="007812FF"/>
    <w:rsid w:val="00781FCF"/>
    <w:rsid w:val="0078224C"/>
    <w:rsid w:val="00782665"/>
    <w:rsid w:val="007829B7"/>
    <w:rsid w:val="00784450"/>
    <w:rsid w:val="00784FDF"/>
    <w:rsid w:val="007852D3"/>
    <w:rsid w:val="007855D2"/>
    <w:rsid w:val="00787245"/>
    <w:rsid w:val="00787509"/>
    <w:rsid w:val="0079112A"/>
    <w:rsid w:val="007928BA"/>
    <w:rsid w:val="007928F3"/>
    <w:rsid w:val="00792949"/>
    <w:rsid w:val="00792BB6"/>
    <w:rsid w:val="007931E4"/>
    <w:rsid w:val="007932C6"/>
    <w:rsid w:val="007935E2"/>
    <w:rsid w:val="007937EA"/>
    <w:rsid w:val="007946B3"/>
    <w:rsid w:val="007950B6"/>
    <w:rsid w:val="00796121"/>
    <w:rsid w:val="00796206"/>
    <w:rsid w:val="0079678B"/>
    <w:rsid w:val="007A0131"/>
    <w:rsid w:val="007A095D"/>
    <w:rsid w:val="007A0A53"/>
    <w:rsid w:val="007A189A"/>
    <w:rsid w:val="007A19FE"/>
    <w:rsid w:val="007A25A3"/>
    <w:rsid w:val="007A2A75"/>
    <w:rsid w:val="007A2EC3"/>
    <w:rsid w:val="007A4191"/>
    <w:rsid w:val="007A4442"/>
    <w:rsid w:val="007A6023"/>
    <w:rsid w:val="007A7013"/>
    <w:rsid w:val="007A7ECC"/>
    <w:rsid w:val="007B09D4"/>
    <w:rsid w:val="007B197F"/>
    <w:rsid w:val="007B19F3"/>
    <w:rsid w:val="007B39CD"/>
    <w:rsid w:val="007B45D3"/>
    <w:rsid w:val="007B52DC"/>
    <w:rsid w:val="007B539A"/>
    <w:rsid w:val="007B5A33"/>
    <w:rsid w:val="007B5BF7"/>
    <w:rsid w:val="007B5C7E"/>
    <w:rsid w:val="007B684A"/>
    <w:rsid w:val="007B6AC9"/>
    <w:rsid w:val="007B782E"/>
    <w:rsid w:val="007B7F72"/>
    <w:rsid w:val="007C0AA4"/>
    <w:rsid w:val="007C2843"/>
    <w:rsid w:val="007C3671"/>
    <w:rsid w:val="007C3B67"/>
    <w:rsid w:val="007C50F2"/>
    <w:rsid w:val="007C55B5"/>
    <w:rsid w:val="007C5B91"/>
    <w:rsid w:val="007C61A7"/>
    <w:rsid w:val="007C64A8"/>
    <w:rsid w:val="007C685E"/>
    <w:rsid w:val="007D0019"/>
    <w:rsid w:val="007D0747"/>
    <w:rsid w:val="007D0A34"/>
    <w:rsid w:val="007D0D25"/>
    <w:rsid w:val="007D1097"/>
    <w:rsid w:val="007D12BE"/>
    <w:rsid w:val="007D1A3D"/>
    <w:rsid w:val="007D238C"/>
    <w:rsid w:val="007D2D1B"/>
    <w:rsid w:val="007D3514"/>
    <w:rsid w:val="007D387E"/>
    <w:rsid w:val="007D3E07"/>
    <w:rsid w:val="007D4611"/>
    <w:rsid w:val="007D49AB"/>
    <w:rsid w:val="007D5106"/>
    <w:rsid w:val="007D53B9"/>
    <w:rsid w:val="007D6748"/>
    <w:rsid w:val="007D6A18"/>
    <w:rsid w:val="007D7E31"/>
    <w:rsid w:val="007D7F69"/>
    <w:rsid w:val="007E0650"/>
    <w:rsid w:val="007E0D6E"/>
    <w:rsid w:val="007E1660"/>
    <w:rsid w:val="007E1CE5"/>
    <w:rsid w:val="007E251A"/>
    <w:rsid w:val="007E2E03"/>
    <w:rsid w:val="007E3235"/>
    <w:rsid w:val="007E4403"/>
    <w:rsid w:val="007E4850"/>
    <w:rsid w:val="007E5075"/>
    <w:rsid w:val="007E5D41"/>
    <w:rsid w:val="007E5E47"/>
    <w:rsid w:val="007E6116"/>
    <w:rsid w:val="007F05F7"/>
    <w:rsid w:val="007F1965"/>
    <w:rsid w:val="007F324E"/>
    <w:rsid w:val="007F382C"/>
    <w:rsid w:val="007F39AC"/>
    <w:rsid w:val="007F3ABE"/>
    <w:rsid w:val="007F57D5"/>
    <w:rsid w:val="007F5D16"/>
    <w:rsid w:val="007F5DF9"/>
    <w:rsid w:val="007F61FD"/>
    <w:rsid w:val="007F636D"/>
    <w:rsid w:val="007F6A52"/>
    <w:rsid w:val="007F73E5"/>
    <w:rsid w:val="007F7A25"/>
    <w:rsid w:val="007F7D5D"/>
    <w:rsid w:val="00800031"/>
    <w:rsid w:val="008002CC"/>
    <w:rsid w:val="00800A4E"/>
    <w:rsid w:val="00800CF1"/>
    <w:rsid w:val="00800D9B"/>
    <w:rsid w:val="008011F4"/>
    <w:rsid w:val="0080133D"/>
    <w:rsid w:val="00801B57"/>
    <w:rsid w:val="008028DF"/>
    <w:rsid w:val="00803165"/>
    <w:rsid w:val="008050D4"/>
    <w:rsid w:val="00805F35"/>
    <w:rsid w:val="008065FF"/>
    <w:rsid w:val="00806D24"/>
    <w:rsid w:val="00807700"/>
    <w:rsid w:val="00807EFC"/>
    <w:rsid w:val="00807F38"/>
    <w:rsid w:val="008105EF"/>
    <w:rsid w:val="00810C36"/>
    <w:rsid w:val="00811CA3"/>
    <w:rsid w:val="00812480"/>
    <w:rsid w:val="00812526"/>
    <w:rsid w:val="00813D6D"/>
    <w:rsid w:val="00813DCF"/>
    <w:rsid w:val="00815817"/>
    <w:rsid w:val="00815AE2"/>
    <w:rsid w:val="00816363"/>
    <w:rsid w:val="00816E79"/>
    <w:rsid w:val="0082042D"/>
    <w:rsid w:val="0082056D"/>
    <w:rsid w:val="008206B5"/>
    <w:rsid w:val="008209BF"/>
    <w:rsid w:val="00821E27"/>
    <w:rsid w:val="00822272"/>
    <w:rsid w:val="00822368"/>
    <w:rsid w:val="00822947"/>
    <w:rsid w:val="008229B7"/>
    <w:rsid w:val="008234A0"/>
    <w:rsid w:val="00823CA9"/>
    <w:rsid w:val="0082443E"/>
    <w:rsid w:val="00825B21"/>
    <w:rsid w:val="008260CC"/>
    <w:rsid w:val="00826240"/>
    <w:rsid w:val="008270B8"/>
    <w:rsid w:val="0082789A"/>
    <w:rsid w:val="00827C32"/>
    <w:rsid w:val="00827E3D"/>
    <w:rsid w:val="00827F99"/>
    <w:rsid w:val="0083199A"/>
    <w:rsid w:val="008324DC"/>
    <w:rsid w:val="00832663"/>
    <w:rsid w:val="008327D8"/>
    <w:rsid w:val="00832C0B"/>
    <w:rsid w:val="00834BA2"/>
    <w:rsid w:val="00834C75"/>
    <w:rsid w:val="00835D40"/>
    <w:rsid w:val="00835DBB"/>
    <w:rsid w:val="00835DED"/>
    <w:rsid w:val="008360B0"/>
    <w:rsid w:val="00836312"/>
    <w:rsid w:val="00837206"/>
    <w:rsid w:val="00837C38"/>
    <w:rsid w:val="008402CE"/>
    <w:rsid w:val="008408FD"/>
    <w:rsid w:val="00840F37"/>
    <w:rsid w:val="00841537"/>
    <w:rsid w:val="008425BA"/>
    <w:rsid w:val="00842886"/>
    <w:rsid w:val="008429A5"/>
    <w:rsid w:val="00843108"/>
    <w:rsid w:val="00843B55"/>
    <w:rsid w:val="00843CDD"/>
    <w:rsid w:val="00843FB3"/>
    <w:rsid w:val="00845348"/>
    <w:rsid w:val="0084555E"/>
    <w:rsid w:val="008458D1"/>
    <w:rsid w:val="00845D0D"/>
    <w:rsid w:val="00845FA1"/>
    <w:rsid w:val="00846742"/>
    <w:rsid w:val="00847A88"/>
    <w:rsid w:val="0085024D"/>
    <w:rsid w:val="00850AF8"/>
    <w:rsid w:val="00851422"/>
    <w:rsid w:val="008514F1"/>
    <w:rsid w:val="00851550"/>
    <w:rsid w:val="00851603"/>
    <w:rsid w:val="008518E6"/>
    <w:rsid w:val="00852168"/>
    <w:rsid w:val="00852177"/>
    <w:rsid w:val="0085232D"/>
    <w:rsid w:val="0085257E"/>
    <w:rsid w:val="0085290D"/>
    <w:rsid w:val="008532F3"/>
    <w:rsid w:val="00854995"/>
    <w:rsid w:val="00855128"/>
    <w:rsid w:val="0085565A"/>
    <w:rsid w:val="00855A65"/>
    <w:rsid w:val="00856074"/>
    <w:rsid w:val="008563EA"/>
    <w:rsid w:val="00856C4F"/>
    <w:rsid w:val="0085702F"/>
    <w:rsid w:val="00857A3E"/>
    <w:rsid w:val="00857D47"/>
    <w:rsid w:val="0086001E"/>
    <w:rsid w:val="008610F0"/>
    <w:rsid w:val="00861EFB"/>
    <w:rsid w:val="0086234A"/>
    <w:rsid w:val="00862993"/>
    <w:rsid w:val="00862B35"/>
    <w:rsid w:val="00862CBA"/>
    <w:rsid w:val="00863315"/>
    <w:rsid w:val="008635CB"/>
    <w:rsid w:val="00863692"/>
    <w:rsid w:val="00863B8F"/>
    <w:rsid w:val="00863BE1"/>
    <w:rsid w:val="00864F9B"/>
    <w:rsid w:val="00865C6C"/>
    <w:rsid w:val="008660A6"/>
    <w:rsid w:val="008660EB"/>
    <w:rsid w:val="0086689D"/>
    <w:rsid w:val="00867AC1"/>
    <w:rsid w:val="008704F8"/>
    <w:rsid w:val="00870C59"/>
    <w:rsid w:val="008717F2"/>
    <w:rsid w:val="00871A9F"/>
    <w:rsid w:val="00871B6F"/>
    <w:rsid w:val="008725A6"/>
    <w:rsid w:val="0087286B"/>
    <w:rsid w:val="00872A92"/>
    <w:rsid w:val="00872B12"/>
    <w:rsid w:val="00872BA3"/>
    <w:rsid w:val="00873EB2"/>
    <w:rsid w:val="00874539"/>
    <w:rsid w:val="00874D55"/>
    <w:rsid w:val="00875B4D"/>
    <w:rsid w:val="00876153"/>
    <w:rsid w:val="008762E1"/>
    <w:rsid w:val="0087681C"/>
    <w:rsid w:val="00876D52"/>
    <w:rsid w:val="00876ECA"/>
    <w:rsid w:val="00877273"/>
    <w:rsid w:val="0087731F"/>
    <w:rsid w:val="008773A9"/>
    <w:rsid w:val="008774AC"/>
    <w:rsid w:val="00877698"/>
    <w:rsid w:val="00877E87"/>
    <w:rsid w:val="008801DB"/>
    <w:rsid w:val="00880816"/>
    <w:rsid w:val="00881601"/>
    <w:rsid w:val="00882CFB"/>
    <w:rsid w:val="00883DB2"/>
    <w:rsid w:val="008846E9"/>
    <w:rsid w:val="00884795"/>
    <w:rsid w:val="008847AD"/>
    <w:rsid w:val="00884A7C"/>
    <w:rsid w:val="00884D9F"/>
    <w:rsid w:val="0088547D"/>
    <w:rsid w:val="00885E75"/>
    <w:rsid w:val="0088693A"/>
    <w:rsid w:val="0088797D"/>
    <w:rsid w:val="00890ADB"/>
    <w:rsid w:val="00890BC8"/>
    <w:rsid w:val="00890C44"/>
    <w:rsid w:val="008919A6"/>
    <w:rsid w:val="00891E79"/>
    <w:rsid w:val="00892206"/>
    <w:rsid w:val="008923CB"/>
    <w:rsid w:val="0089243C"/>
    <w:rsid w:val="00892598"/>
    <w:rsid w:val="008928BF"/>
    <w:rsid w:val="00893442"/>
    <w:rsid w:val="00893972"/>
    <w:rsid w:val="00896296"/>
    <w:rsid w:val="008968E1"/>
    <w:rsid w:val="00896DBD"/>
    <w:rsid w:val="0089713C"/>
    <w:rsid w:val="00897388"/>
    <w:rsid w:val="008A0C40"/>
    <w:rsid w:val="008A17C7"/>
    <w:rsid w:val="008A18B5"/>
    <w:rsid w:val="008A219F"/>
    <w:rsid w:val="008A3ED2"/>
    <w:rsid w:val="008A3F2F"/>
    <w:rsid w:val="008A435E"/>
    <w:rsid w:val="008A4399"/>
    <w:rsid w:val="008A4A86"/>
    <w:rsid w:val="008A4AB5"/>
    <w:rsid w:val="008A4DEF"/>
    <w:rsid w:val="008A4E8C"/>
    <w:rsid w:val="008A571E"/>
    <w:rsid w:val="008A5E41"/>
    <w:rsid w:val="008A73B9"/>
    <w:rsid w:val="008A74D9"/>
    <w:rsid w:val="008B0569"/>
    <w:rsid w:val="008B0892"/>
    <w:rsid w:val="008B0FB3"/>
    <w:rsid w:val="008B2682"/>
    <w:rsid w:val="008B2C1E"/>
    <w:rsid w:val="008B3367"/>
    <w:rsid w:val="008B3823"/>
    <w:rsid w:val="008B48C0"/>
    <w:rsid w:val="008B4938"/>
    <w:rsid w:val="008B5579"/>
    <w:rsid w:val="008B6A31"/>
    <w:rsid w:val="008B7AA3"/>
    <w:rsid w:val="008B7B8B"/>
    <w:rsid w:val="008C046D"/>
    <w:rsid w:val="008C0952"/>
    <w:rsid w:val="008C1343"/>
    <w:rsid w:val="008C2F9D"/>
    <w:rsid w:val="008C3F57"/>
    <w:rsid w:val="008C4E45"/>
    <w:rsid w:val="008C551A"/>
    <w:rsid w:val="008C5666"/>
    <w:rsid w:val="008C5DF4"/>
    <w:rsid w:val="008C6124"/>
    <w:rsid w:val="008C6670"/>
    <w:rsid w:val="008D1696"/>
    <w:rsid w:val="008D1C52"/>
    <w:rsid w:val="008D2058"/>
    <w:rsid w:val="008D28C7"/>
    <w:rsid w:val="008D2CE7"/>
    <w:rsid w:val="008D3255"/>
    <w:rsid w:val="008D3295"/>
    <w:rsid w:val="008D3558"/>
    <w:rsid w:val="008D37C5"/>
    <w:rsid w:val="008D38BC"/>
    <w:rsid w:val="008D452A"/>
    <w:rsid w:val="008D4BEA"/>
    <w:rsid w:val="008D4F87"/>
    <w:rsid w:val="008D5936"/>
    <w:rsid w:val="008D5981"/>
    <w:rsid w:val="008D5AE1"/>
    <w:rsid w:val="008D6A30"/>
    <w:rsid w:val="008D6D43"/>
    <w:rsid w:val="008D6F1D"/>
    <w:rsid w:val="008D7DFB"/>
    <w:rsid w:val="008E00C5"/>
    <w:rsid w:val="008E0E61"/>
    <w:rsid w:val="008E1066"/>
    <w:rsid w:val="008E30AE"/>
    <w:rsid w:val="008E44A5"/>
    <w:rsid w:val="008E5086"/>
    <w:rsid w:val="008E5538"/>
    <w:rsid w:val="008E5BEF"/>
    <w:rsid w:val="008E6911"/>
    <w:rsid w:val="008E6AA4"/>
    <w:rsid w:val="008E74C7"/>
    <w:rsid w:val="008E78B1"/>
    <w:rsid w:val="008F03C0"/>
    <w:rsid w:val="008F0450"/>
    <w:rsid w:val="008F08E8"/>
    <w:rsid w:val="008F0AB7"/>
    <w:rsid w:val="008F0DD8"/>
    <w:rsid w:val="008F1A1F"/>
    <w:rsid w:val="008F1CC4"/>
    <w:rsid w:val="008F2211"/>
    <w:rsid w:val="008F27DE"/>
    <w:rsid w:val="008F28BA"/>
    <w:rsid w:val="008F2E15"/>
    <w:rsid w:val="008F3573"/>
    <w:rsid w:val="008F440D"/>
    <w:rsid w:val="008F4E49"/>
    <w:rsid w:val="008F5FB2"/>
    <w:rsid w:val="008F6113"/>
    <w:rsid w:val="008F6E57"/>
    <w:rsid w:val="008F746B"/>
    <w:rsid w:val="00900966"/>
    <w:rsid w:val="00900ACB"/>
    <w:rsid w:val="009011D4"/>
    <w:rsid w:val="00901338"/>
    <w:rsid w:val="00901480"/>
    <w:rsid w:val="00901B38"/>
    <w:rsid w:val="00902063"/>
    <w:rsid w:val="009024AC"/>
    <w:rsid w:val="00902B8F"/>
    <w:rsid w:val="00903B8D"/>
    <w:rsid w:val="00903C27"/>
    <w:rsid w:val="00904E5D"/>
    <w:rsid w:val="00905665"/>
    <w:rsid w:val="00906298"/>
    <w:rsid w:val="00907137"/>
    <w:rsid w:val="009071F0"/>
    <w:rsid w:val="00907398"/>
    <w:rsid w:val="009116E0"/>
    <w:rsid w:val="00911901"/>
    <w:rsid w:val="0091268F"/>
    <w:rsid w:val="00912777"/>
    <w:rsid w:val="00912BB8"/>
    <w:rsid w:val="00912CD2"/>
    <w:rsid w:val="00913D0C"/>
    <w:rsid w:val="00914C3A"/>
    <w:rsid w:val="00915A18"/>
    <w:rsid w:val="0091652B"/>
    <w:rsid w:val="00916850"/>
    <w:rsid w:val="00916DBC"/>
    <w:rsid w:val="0091742D"/>
    <w:rsid w:val="0091764F"/>
    <w:rsid w:val="00917FEC"/>
    <w:rsid w:val="00920A7D"/>
    <w:rsid w:val="00921060"/>
    <w:rsid w:val="0092145A"/>
    <w:rsid w:val="00921540"/>
    <w:rsid w:val="0092187B"/>
    <w:rsid w:val="00922191"/>
    <w:rsid w:val="00922390"/>
    <w:rsid w:val="009223D2"/>
    <w:rsid w:val="00922A95"/>
    <w:rsid w:val="00923821"/>
    <w:rsid w:val="00923D14"/>
    <w:rsid w:val="00924148"/>
    <w:rsid w:val="0092452F"/>
    <w:rsid w:val="009246BB"/>
    <w:rsid w:val="00924B06"/>
    <w:rsid w:val="00924C33"/>
    <w:rsid w:val="0092789A"/>
    <w:rsid w:val="00930B0A"/>
    <w:rsid w:val="0093137E"/>
    <w:rsid w:val="00931952"/>
    <w:rsid w:val="00932180"/>
    <w:rsid w:val="00932923"/>
    <w:rsid w:val="00932B53"/>
    <w:rsid w:val="00932F13"/>
    <w:rsid w:val="0093350E"/>
    <w:rsid w:val="00933950"/>
    <w:rsid w:val="009346DD"/>
    <w:rsid w:val="00934C26"/>
    <w:rsid w:val="00935131"/>
    <w:rsid w:val="00935522"/>
    <w:rsid w:val="00935E21"/>
    <w:rsid w:val="0093613E"/>
    <w:rsid w:val="0093660B"/>
    <w:rsid w:val="00936DF5"/>
    <w:rsid w:val="00936E41"/>
    <w:rsid w:val="00937448"/>
    <w:rsid w:val="00937513"/>
    <w:rsid w:val="009377EA"/>
    <w:rsid w:val="009379F0"/>
    <w:rsid w:val="009400CF"/>
    <w:rsid w:val="00940F04"/>
    <w:rsid w:val="00942930"/>
    <w:rsid w:val="0094363E"/>
    <w:rsid w:val="009437E0"/>
    <w:rsid w:val="009439CD"/>
    <w:rsid w:val="0094479C"/>
    <w:rsid w:val="0094608B"/>
    <w:rsid w:val="00946DD3"/>
    <w:rsid w:val="00947332"/>
    <w:rsid w:val="009473FD"/>
    <w:rsid w:val="00947D91"/>
    <w:rsid w:val="009507D9"/>
    <w:rsid w:val="00951181"/>
    <w:rsid w:val="0095129E"/>
    <w:rsid w:val="00951327"/>
    <w:rsid w:val="00951B44"/>
    <w:rsid w:val="009524F9"/>
    <w:rsid w:val="009528F6"/>
    <w:rsid w:val="00952C3A"/>
    <w:rsid w:val="0095357A"/>
    <w:rsid w:val="0095519B"/>
    <w:rsid w:val="009556DF"/>
    <w:rsid w:val="009569D3"/>
    <w:rsid w:val="00957501"/>
    <w:rsid w:val="00957598"/>
    <w:rsid w:val="0095790F"/>
    <w:rsid w:val="00957EA8"/>
    <w:rsid w:val="009607B5"/>
    <w:rsid w:val="009615E8"/>
    <w:rsid w:val="00961737"/>
    <w:rsid w:val="00961FFB"/>
    <w:rsid w:val="009620A5"/>
    <w:rsid w:val="00962C22"/>
    <w:rsid w:val="00962CB9"/>
    <w:rsid w:val="00962CD2"/>
    <w:rsid w:val="00963761"/>
    <w:rsid w:val="0096473D"/>
    <w:rsid w:val="00964F5D"/>
    <w:rsid w:val="00964F9C"/>
    <w:rsid w:val="00966457"/>
    <w:rsid w:val="009667F8"/>
    <w:rsid w:val="00966928"/>
    <w:rsid w:val="00966BFE"/>
    <w:rsid w:val="00966F06"/>
    <w:rsid w:val="00967497"/>
    <w:rsid w:val="00967C75"/>
    <w:rsid w:val="00967E16"/>
    <w:rsid w:val="009706BF"/>
    <w:rsid w:val="00970819"/>
    <w:rsid w:val="00970887"/>
    <w:rsid w:val="00971C5A"/>
    <w:rsid w:val="00972015"/>
    <w:rsid w:val="00972A8F"/>
    <w:rsid w:val="00972B60"/>
    <w:rsid w:val="00973B0C"/>
    <w:rsid w:val="00974030"/>
    <w:rsid w:val="009741F7"/>
    <w:rsid w:val="0097519F"/>
    <w:rsid w:val="009756B9"/>
    <w:rsid w:val="00975C53"/>
    <w:rsid w:val="00975F2D"/>
    <w:rsid w:val="00975FEF"/>
    <w:rsid w:val="009764C2"/>
    <w:rsid w:val="00976831"/>
    <w:rsid w:val="00977015"/>
    <w:rsid w:val="00977183"/>
    <w:rsid w:val="0097737F"/>
    <w:rsid w:val="00977C01"/>
    <w:rsid w:val="0098033F"/>
    <w:rsid w:val="00980499"/>
    <w:rsid w:val="009808D4"/>
    <w:rsid w:val="00980FD0"/>
    <w:rsid w:val="0098113D"/>
    <w:rsid w:val="00981390"/>
    <w:rsid w:val="009817A1"/>
    <w:rsid w:val="00982801"/>
    <w:rsid w:val="0098280C"/>
    <w:rsid w:val="00982BA9"/>
    <w:rsid w:val="009834E1"/>
    <w:rsid w:val="00984404"/>
    <w:rsid w:val="00984ADB"/>
    <w:rsid w:val="00984BAE"/>
    <w:rsid w:val="0098502E"/>
    <w:rsid w:val="0098512A"/>
    <w:rsid w:val="00985449"/>
    <w:rsid w:val="009856B7"/>
    <w:rsid w:val="0098675E"/>
    <w:rsid w:val="009868AE"/>
    <w:rsid w:val="00986AB2"/>
    <w:rsid w:val="0099069D"/>
    <w:rsid w:val="00990DF9"/>
    <w:rsid w:val="00990FA2"/>
    <w:rsid w:val="00991248"/>
    <w:rsid w:val="00991EDB"/>
    <w:rsid w:val="0099267B"/>
    <w:rsid w:val="009949C2"/>
    <w:rsid w:val="00995A6B"/>
    <w:rsid w:val="00995BD3"/>
    <w:rsid w:val="00996FC0"/>
    <w:rsid w:val="00997005"/>
    <w:rsid w:val="009975A0"/>
    <w:rsid w:val="00997CA4"/>
    <w:rsid w:val="009A0087"/>
    <w:rsid w:val="009A05F2"/>
    <w:rsid w:val="009A1538"/>
    <w:rsid w:val="009A1BB3"/>
    <w:rsid w:val="009A2278"/>
    <w:rsid w:val="009A2350"/>
    <w:rsid w:val="009A2BDF"/>
    <w:rsid w:val="009A2ED7"/>
    <w:rsid w:val="009A3F3A"/>
    <w:rsid w:val="009A4372"/>
    <w:rsid w:val="009A4C03"/>
    <w:rsid w:val="009A4E85"/>
    <w:rsid w:val="009A4E95"/>
    <w:rsid w:val="009A5074"/>
    <w:rsid w:val="009A6209"/>
    <w:rsid w:val="009A66E6"/>
    <w:rsid w:val="009A7744"/>
    <w:rsid w:val="009B0A39"/>
    <w:rsid w:val="009B0A98"/>
    <w:rsid w:val="009B15F8"/>
    <w:rsid w:val="009B16B3"/>
    <w:rsid w:val="009B2349"/>
    <w:rsid w:val="009B24C1"/>
    <w:rsid w:val="009B276B"/>
    <w:rsid w:val="009B2EE7"/>
    <w:rsid w:val="009B316B"/>
    <w:rsid w:val="009B3CC0"/>
    <w:rsid w:val="009B45DF"/>
    <w:rsid w:val="009B4641"/>
    <w:rsid w:val="009B4703"/>
    <w:rsid w:val="009B4AF7"/>
    <w:rsid w:val="009B52F4"/>
    <w:rsid w:val="009B58C7"/>
    <w:rsid w:val="009B6057"/>
    <w:rsid w:val="009B6280"/>
    <w:rsid w:val="009B6ADD"/>
    <w:rsid w:val="009B6E69"/>
    <w:rsid w:val="009B75A2"/>
    <w:rsid w:val="009C02AB"/>
    <w:rsid w:val="009C0835"/>
    <w:rsid w:val="009C0C6E"/>
    <w:rsid w:val="009C0F6A"/>
    <w:rsid w:val="009C13ED"/>
    <w:rsid w:val="009C1BF9"/>
    <w:rsid w:val="009C1D3B"/>
    <w:rsid w:val="009C2159"/>
    <w:rsid w:val="009C3A3E"/>
    <w:rsid w:val="009C3CF1"/>
    <w:rsid w:val="009C51CA"/>
    <w:rsid w:val="009C5833"/>
    <w:rsid w:val="009C693E"/>
    <w:rsid w:val="009C6B8D"/>
    <w:rsid w:val="009C7468"/>
    <w:rsid w:val="009C7836"/>
    <w:rsid w:val="009C7E7E"/>
    <w:rsid w:val="009D1C72"/>
    <w:rsid w:val="009D217C"/>
    <w:rsid w:val="009D2C72"/>
    <w:rsid w:val="009D3809"/>
    <w:rsid w:val="009D3ADA"/>
    <w:rsid w:val="009D3E09"/>
    <w:rsid w:val="009D43CA"/>
    <w:rsid w:val="009D4BE7"/>
    <w:rsid w:val="009D4E2C"/>
    <w:rsid w:val="009D4ECA"/>
    <w:rsid w:val="009D58E6"/>
    <w:rsid w:val="009D5E18"/>
    <w:rsid w:val="009D6B83"/>
    <w:rsid w:val="009D6D68"/>
    <w:rsid w:val="009E1798"/>
    <w:rsid w:val="009E1F89"/>
    <w:rsid w:val="009E1F9F"/>
    <w:rsid w:val="009E21CE"/>
    <w:rsid w:val="009E22FB"/>
    <w:rsid w:val="009E233A"/>
    <w:rsid w:val="009E25FA"/>
    <w:rsid w:val="009E3350"/>
    <w:rsid w:val="009E3394"/>
    <w:rsid w:val="009E34D6"/>
    <w:rsid w:val="009E3D43"/>
    <w:rsid w:val="009E466E"/>
    <w:rsid w:val="009E4933"/>
    <w:rsid w:val="009E4B85"/>
    <w:rsid w:val="009E50E7"/>
    <w:rsid w:val="009E52F2"/>
    <w:rsid w:val="009E5970"/>
    <w:rsid w:val="009E5DE9"/>
    <w:rsid w:val="009E7B26"/>
    <w:rsid w:val="009F0C92"/>
    <w:rsid w:val="009F1125"/>
    <w:rsid w:val="009F1E7E"/>
    <w:rsid w:val="009F2A44"/>
    <w:rsid w:val="009F3713"/>
    <w:rsid w:val="009F382A"/>
    <w:rsid w:val="009F3A96"/>
    <w:rsid w:val="009F3BAD"/>
    <w:rsid w:val="009F4280"/>
    <w:rsid w:val="009F452B"/>
    <w:rsid w:val="009F4752"/>
    <w:rsid w:val="009F4F52"/>
    <w:rsid w:val="009F5B14"/>
    <w:rsid w:val="009F67A9"/>
    <w:rsid w:val="009F693B"/>
    <w:rsid w:val="009F6A47"/>
    <w:rsid w:val="009F6F07"/>
    <w:rsid w:val="009F7B84"/>
    <w:rsid w:val="00A008AF"/>
    <w:rsid w:val="00A00B3E"/>
    <w:rsid w:val="00A01755"/>
    <w:rsid w:val="00A02ADF"/>
    <w:rsid w:val="00A03044"/>
    <w:rsid w:val="00A036DB"/>
    <w:rsid w:val="00A04C7B"/>
    <w:rsid w:val="00A04E7E"/>
    <w:rsid w:val="00A05BA7"/>
    <w:rsid w:val="00A05E6F"/>
    <w:rsid w:val="00A06B00"/>
    <w:rsid w:val="00A06BCE"/>
    <w:rsid w:val="00A06CC1"/>
    <w:rsid w:val="00A07789"/>
    <w:rsid w:val="00A077F4"/>
    <w:rsid w:val="00A07E7F"/>
    <w:rsid w:val="00A07F48"/>
    <w:rsid w:val="00A102A1"/>
    <w:rsid w:val="00A106B7"/>
    <w:rsid w:val="00A12E65"/>
    <w:rsid w:val="00A146EA"/>
    <w:rsid w:val="00A147AC"/>
    <w:rsid w:val="00A14B1F"/>
    <w:rsid w:val="00A15503"/>
    <w:rsid w:val="00A159B7"/>
    <w:rsid w:val="00A163A7"/>
    <w:rsid w:val="00A1699F"/>
    <w:rsid w:val="00A170FB"/>
    <w:rsid w:val="00A17F2A"/>
    <w:rsid w:val="00A2005C"/>
    <w:rsid w:val="00A210D5"/>
    <w:rsid w:val="00A21B87"/>
    <w:rsid w:val="00A222B6"/>
    <w:rsid w:val="00A2273B"/>
    <w:rsid w:val="00A232AF"/>
    <w:rsid w:val="00A233EF"/>
    <w:rsid w:val="00A23558"/>
    <w:rsid w:val="00A23909"/>
    <w:rsid w:val="00A252A5"/>
    <w:rsid w:val="00A255DD"/>
    <w:rsid w:val="00A26A21"/>
    <w:rsid w:val="00A270BD"/>
    <w:rsid w:val="00A274BC"/>
    <w:rsid w:val="00A276C6"/>
    <w:rsid w:val="00A27C09"/>
    <w:rsid w:val="00A317DE"/>
    <w:rsid w:val="00A31D63"/>
    <w:rsid w:val="00A31D8D"/>
    <w:rsid w:val="00A31F39"/>
    <w:rsid w:val="00A32016"/>
    <w:rsid w:val="00A3267B"/>
    <w:rsid w:val="00A33168"/>
    <w:rsid w:val="00A3325C"/>
    <w:rsid w:val="00A336DC"/>
    <w:rsid w:val="00A33D04"/>
    <w:rsid w:val="00A34277"/>
    <w:rsid w:val="00A34401"/>
    <w:rsid w:val="00A347E2"/>
    <w:rsid w:val="00A3486C"/>
    <w:rsid w:val="00A35B6C"/>
    <w:rsid w:val="00A3632D"/>
    <w:rsid w:val="00A36602"/>
    <w:rsid w:val="00A406E5"/>
    <w:rsid w:val="00A407B1"/>
    <w:rsid w:val="00A409EE"/>
    <w:rsid w:val="00A410D9"/>
    <w:rsid w:val="00A41937"/>
    <w:rsid w:val="00A42002"/>
    <w:rsid w:val="00A423D2"/>
    <w:rsid w:val="00A425BD"/>
    <w:rsid w:val="00A42957"/>
    <w:rsid w:val="00A43291"/>
    <w:rsid w:val="00A43B2A"/>
    <w:rsid w:val="00A43F9B"/>
    <w:rsid w:val="00A450EA"/>
    <w:rsid w:val="00A451A0"/>
    <w:rsid w:val="00A45D84"/>
    <w:rsid w:val="00A46079"/>
    <w:rsid w:val="00A46BC0"/>
    <w:rsid w:val="00A472AD"/>
    <w:rsid w:val="00A47A2D"/>
    <w:rsid w:val="00A502C7"/>
    <w:rsid w:val="00A50B4D"/>
    <w:rsid w:val="00A50DF6"/>
    <w:rsid w:val="00A510A6"/>
    <w:rsid w:val="00A51E3F"/>
    <w:rsid w:val="00A525A2"/>
    <w:rsid w:val="00A52D3F"/>
    <w:rsid w:val="00A52FD8"/>
    <w:rsid w:val="00A53EB7"/>
    <w:rsid w:val="00A54FF9"/>
    <w:rsid w:val="00A5507A"/>
    <w:rsid w:val="00A551D0"/>
    <w:rsid w:val="00A553A7"/>
    <w:rsid w:val="00A55944"/>
    <w:rsid w:val="00A56152"/>
    <w:rsid w:val="00A56570"/>
    <w:rsid w:val="00A569B6"/>
    <w:rsid w:val="00A57F65"/>
    <w:rsid w:val="00A60180"/>
    <w:rsid w:val="00A605AC"/>
    <w:rsid w:val="00A60824"/>
    <w:rsid w:val="00A60BBB"/>
    <w:rsid w:val="00A60C89"/>
    <w:rsid w:val="00A60CE9"/>
    <w:rsid w:val="00A60F73"/>
    <w:rsid w:val="00A6107D"/>
    <w:rsid w:val="00A6166C"/>
    <w:rsid w:val="00A6199E"/>
    <w:rsid w:val="00A61AF6"/>
    <w:rsid w:val="00A61FED"/>
    <w:rsid w:val="00A625A2"/>
    <w:rsid w:val="00A641BD"/>
    <w:rsid w:val="00A64832"/>
    <w:rsid w:val="00A6503A"/>
    <w:rsid w:val="00A65344"/>
    <w:rsid w:val="00A65377"/>
    <w:rsid w:val="00A65798"/>
    <w:rsid w:val="00A65E6E"/>
    <w:rsid w:val="00A6688C"/>
    <w:rsid w:val="00A676C3"/>
    <w:rsid w:val="00A70360"/>
    <w:rsid w:val="00A714B9"/>
    <w:rsid w:val="00A7193B"/>
    <w:rsid w:val="00A71F3F"/>
    <w:rsid w:val="00A73A70"/>
    <w:rsid w:val="00A73DA8"/>
    <w:rsid w:val="00A7439D"/>
    <w:rsid w:val="00A74966"/>
    <w:rsid w:val="00A757BE"/>
    <w:rsid w:val="00A75A26"/>
    <w:rsid w:val="00A75BED"/>
    <w:rsid w:val="00A75D99"/>
    <w:rsid w:val="00A76F94"/>
    <w:rsid w:val="00A77203"/>
    <w:rsid w:val="00A772FA"/>
    <w:rsid w:val="00A77766"/>
    <w:rsid w:val="00A7779B"/>
    <w:rsid w:val="00A778FC"/>
    <w:rsid w:val="00A77EA7"/>
    <w:rsid w:val="00A80092"/>
    <w:rsid w:val="00A801EE"/>
    <w:rsid w:val="00A80747"/>
    <w:rsid w:val="00A80DB0"/>
    <w:rsid w:val="00A810C2"/>
    <w:rsid w:val="00A811EF"/>
    <w:rsid w:val="00A81E83"/>
    <w:rsid w:val="00A81F54"/>
    <w:rsid w:val="00A82055"/>
    <w:rsid w:val="00A82153"/>
    <w:rsid w:val="00A823A9"/>
    <w:rsid w:val="00A8311D"/>
    <w:rsid w:val="00A832AD"/>
    <w:rsid w:val="00A84CBE"/>
    <w:rsid w:val="00A84EEE"/>
    <w:rsid w:val="00A84F97"/>
    <w:rsid w:val="00A85378"/>
    <w:rsid w:val="00A8539B"/>
    <w:rsid w:val="00A8570A"/>
    <w:rsid w:val="00A85B14"/>
    <w:rsid w:val="00A85BD3"/>
    <w:rsid w:val="00A909AF"/>
    <w:rsid w:val="00A90C12"/>
    <w:rsid w:val="00A90E88"/>
    <w:rsid w:val="00A91455"/>
    <w:rsid w:val="00A924F0"/>
    <w:rsid w:val="00A9281D"/>
    <w:rsid w:val="00A92BEB"/>
    <w:rsid w:val="00A931D3"/>
    <w:rsid w:val="00A93589"/>
    <w:rsid w:val="00A93FCF"/>
    <w:rsid w:val="00A952D3"/>
    <w:rsid w:val="00A9551E"/>
    <w:rsid w:val="00A9586A"/>
    <w:rsid w:val="00A95B4B"/>
    <w:rsid w:val="00A971C4"/>
    <w:rsid w:val="00A976E2"/>
    <w:rsid w:val="00A97E06"/>
    <w:rsid w:val="00A97E1A"/>
    <w:rsid w:val="00AA0185"/>
    <w:rsid w:val="00AA0A4D"/>
    <w:rsid w:val="00AA0B77"/>
    <w:rsid w:val="00AA101C"/>
    <w:rsid w:val="00AA141F"/>
    <w:rsid w:val="00AA2F3B"/>
    <w:rsid w:val="00AA34DF"/>
    <w:rsid w:val="00AA3858"/>
    <w:rsid w:val="00AA43FF"/>
    <w:rsid w:val="00AA479A"/>
    <w:rsid w:val="00AA4858"/>
    <w:rsid w:val="00AA48A3"/>
    <w:rsid w:val="00AA52D1"/>
    <w:rsid w:val="00AA6308"/>
    <w:rsid w:val="00AA6CD5"/>
    <w:rsid w:val="00AA6D15"/>
    <w:rsid w:val="00AA76F6"/>
    <w:rsid w:val="00AB07E2"/>
    <w:rsid w:val="00AB082D"/>
    <w:rsid w:val="00AB165B"/>
    <w:rsid w:val="00AB1B00"/>
    <w:rsid w:val="00AB1F1E"/>
    <w:rsid w:val="00AB367E"/>
    <w:rsid w:val="00AB37DD"/>
    <w:rsid w:val="00AB3BA5"/>
    <w:rsid w:val="00AB3F70"/>
    <w:rsid w:val="00AB43B6"/>
    <w:rsid w:val="00AB43C1"/>
    <w:rsid w:val="00AB6168"/>
    <w:rsid w:val="00AB692B"/>
    <w:rsid w:val="00AB6DF8"/>
    <w:rsid w:val="00AB6EDC"/>
    <w:rsid w:val="00AC01CF"/>
    <w:rsid w:val="00AC0626"/>
    <w:rsid w:val="00AC09A1"/>
    <w:rsid w:val="00AC0DAB"/>
    <w:rsid w:val="00AC0F2F"/>
    <w:rsid w:val="00AC18B7"/>
    <w:rsid w:val="00AC1C48"/>
    <w:rsid w:val="00AC2237"/>
    <w:rsid w:val="00AC2672"/>
    <w:rsid w:val="00AC2C0F"/>
    <w:rsid w:val="00AC2FBF"/>
    <w:rsid w:val="00AC4CAA"/>
    <w:rsid w:val="00AC6975"/>
    <w:rsid w:val="00AC7A9C"/>
    <w:rsid w:val="00AC7D2B"/>
    <w:rsid w:val="00AC7E2C"/>
    <w:rsid w:val="00AD02F5"/>
    <w:rsid w:val="00AD0C7B"/>
    <w:rsid w:val="00AD1168"/>
    <w:rsid w:val="00AD1D2D"/>
    <w:rsid w:val="00AD1EEB"/>
    <w:rsid w:val="00AD221E"/>
    <w:rsid w:val="00AD2D9E"/>
    <w:rsid w:val="00AD2F9D"/>
    <w:rsid w:val="00AD3406"/>
    <w:rsid w:val="00AD4709"/>
    <w:rsid w:val="00AD5494"/>
    <w:rsid w:val="00AD5700"/>
    <w:rsid w:val="00AD58D8"/>
    <w:rsid w:val="00AD5AD3"/>
    <w:rsid w:val="00AD6F0A"/>
    <w:rsid w:val="00AD75C0"/>
    <w:rsid w:val="00AD7612"/>
    <w:rsid w:val="00AE02C6"/>
    <w:rsid w:val="00AE0455"/>
    <w:rsid w:val="00AE0499"/>
    <w:rsid w:val="00AE1536"/>
    <w:rsid w:val="00AE1C1B"/>
    <w:rsid w:val="00AE27C8"/>
    <w:rsid w:val="00AE28A0"/>
    <w:rsid w:val="00AE2E29"/>
    <w:rsid w:val="00AE35CC"/>
    <w:rsid w:val="00AE3654"/>
    <w:rsid w:val="00AE3847"/>
    <w:rsid w:val="00AE4502"/>
    <w:rsid w:val="00AE471F"/>
    <w:rsid w:val="00AE4A11"/>
    <w:rsid w:val="00AE53B4"/>
    <w:rsid w:val="00AE572E"/>
    <w:rsid w:val="00AE5935"/>
    <w:rsid w:val="00AE5EA6"/>
    <w:rsid w:val="00AE610C"/>
    <w:rsid w:val="00AE6CF8"/>
    <w:rsid w:val="00AE6FFF"/>
    <w:rsid w:val="00AE761C"/>
    <w:rsid w:val="00AE7D20"/>
    <w:rsid w:val="00AF0A39"/>
    <w:rsid w:val="00AF106A"/>
    <w:rsid w:val="00AF1165"/>
    <w:rsid w:val="00AF24E0"/>
    <w:rsid w:val="00AF28CC"/>
    <w:rsid w:val="00AF3DD8"/>
    <w:rsid w:val="00AF3EEC"/>
    <w:rsid w:val="00AF4278"/>
    <w:rsid w:val="00AF4291"/>
    <w:rsid w:val="00AF4421"/>
    <w:rsid w:val="00AF4E6D"/>
    <w:rsid w:val="00AF5102"/>
    <w:rsid w:val="00AF510C"/>
    <w:rsid w:val="00AF55CB"/>
    <w:rsid w:val="00AF62C1"/>
    <w:rsid w:val="00AF6D9B"/>
    <w:rsid w:val="00B012AC"/>
    <w:rsid w:val="00B0164D"/>
    <w:rsid w:val="00B018D3"/>
    <w:rsid w:val="00B02C36"/>
    <w:rsid w:val="00B02E23"/>
    <w:rsid w:val="00B02FDF"/>
    <w:rsid w:val="00B039F5"/>
    <w:rsid w:val="00B03E60"/>
    <w:rsid w:val="00B042A1"/>
    <w:rsid w:val="00B0722C"/>
    <w:rsid w:val="00B103BD"/>
    <w:rsid w:val="00B108DD"/>
    <w:rsid w:val="00B109A4"/>
    <w:rsid w:val="00B10F7B"/>
    <w:rsid w:val="00B129B2"/>
    <w:rsid w:val="00B12FA8"/>
    <w:rsid w:val="00B130CC"/>
    <w:rsid w:val="00B1328F"/>
    <w:rsid w:val="00B133A9"/>
    <w:rsid w:val="00B13D2B"/>
    <w:rsid w:val="00B14A8B"/>
    <w:rsid w:val="00B14C42"/>
    <w:rsid w:val="00B152F7"/>
    <w:rsid w:val="00B1613F"/>
    <w:rsid w:val="00B161C0"/>
    <w:rsid w:val="00B173D1"/>
    <w:rsid w:val="00B17877"/>
    <w:rsid w:val="00B17886"/>
    <w:rsid w:val="00B21044"/>
    <w:rsid w:val="00B211B4"/>
    <w:rsid w:val="00B21CD2"/>
    <w:rsid w:val="00B21E34"/>
    <w:rsid w:val="00B21F28"/>
    <w:rsid w:val="00B21F57"/>
    <w:rsid w:val="00B222D5"/>
    <w:rsid w:val="00B224A6"/>
    <w:rsid w:val="00B23478"/>
    <w:rsid w:val="00B239F8"/>
    <w:rsid w:val="00B23B57"/>
    <w:rsid w:val="00B23C08"/>
    <w:rsid w:val="00B2417D"/>
    <w:rsid w:val="00B2451B"/>
    <w:rsid w:val="00B248BF"/>
    <w:rsid w:val="00B25514"/>
    <w:rsid w:val="00B25D35"/>
    <w:rsid w:val="00B264DF"/>
    <w:rsid w:val="00B26871"/>
    <w:rsid w:val="00B26AAE"/>
    <w:rsid w:val="00B275C2"/>
    <w:rsid w:val="00B27834"/>
    <w:rsid w:val="00B3051F"/>
    <w:rsid w:val="00B3088D"/>
    <w:rsid w:val="00B3133C"/>
    <w:rsid w:val="00B31417"/>
    <w:rsid w:val="00B3142E"/>
    <w:rsid w:val="00B31DE1"/>
    <w:rsid w:val="00B3207D"/>
    <w:rsid w:val="00B330DF"/>
    <w:rsid w:val="00B345F8"/>
    <w:rsid w:val="00B34B3C"/>
    <w:rsid w:val="00B36276"/>
    <w:rsid w:val="00B36A25"/>
    <w:rsid w:val="00B36BA4"/>
    <w:rsid w:val="00B37607"/>
    <w:rsid w:val="00B37BD7"/>
    <w:rsid w:val="00B403B4"/>
    <w:rsid w:val="00B404B7"/>
    <w:rsid w:val="00B405D6"/>
    <w:rsid w:val="00B406E5"/>
    <w:rsid w:val="00B41550"/>
    <w:rsid w:val="00B4185B"/>
    <w:rsid w:val="00B41D24"/>
    <w:rsid w:val="00B427DB"/>
    <w:rsid w:val="00B4408D"/>
    <w:rsid w:val="00B4448C"/>
    <w:rsid w:val="00B45BF5"/>
    <w:rsid w:val="00B45E6C"/>
    <w:rsid w:val="00B4628B"/>
    <w:rsid w:val="00B46640"/>
    <w:rsid w:val="00B467B6"/>
    <w:rsid w:val="00B47CE6"/>
    <w:rsid w:val="00B47EEE"/>
    <w:rsid w:val="00B50F1F"/>
    <w:rsid w:val="00B52223"/>
    <w:rsid w:val="00B52494"/>
    <w:rsid w:val="00B52E5C"/>
    <w:rsid w:val="00B53C9B"/>
    <w:rsid w:val="00B54AD4"/>
    <w:rsid w:val="00B553E7"/>
    <w:rsid w:val="00B558B4"/>
    <w:rsid w:val="00B56529"/>
    <w:rsid w:val="00B56C76"/>
    <w:rsid w:val="00B56E30"/>
    <w:rsid w:val="00B56EBA"/>
    <w:rsid w:val="00B57808"/>
    <w:rsid w:val="00B5799B"/>
    <w:rsid w:val="00B60479"/>
    <w:rsid w:val="00B60C16"/>
    <w:rsid w:val="00B60DBF"/>
    <w:rsid w:val="00B617CA"/>
    <w:rsid w:val="00B61B2A"/>
    <w:rsid w:val="00B62D0F"/>
    <w:rsid w:val="00B63654"/>
    <w:rsid w:val="00B64613"/>
    <w:rsid w:val="00B64D42"/>
    <w:rsid w:val="00B6613A"/>
    <w:rsid w:val="00B664A2"/>
    <w:rsid w:val="00B66734"/>
    <w:rsid w:val="00B678E4"/>
    <w:rsid w:val="00B70385"/>
    <w:rsid w:val="00B703F3"/>
    <w:rsid w:val="00B7040A"/>
    <w:rsid w:val="00B709FC"/>
    <w:rsid w:val="00B70D49"/>
    <w:rsid w:val="00B70DDB"/>
    <w:rsid w:val="00B70DE7"/>
    <w:rsid w:val="00B72D8A"/>
    <w:rsid w:val="00B73450"/>
    <w:rsid w:val="00B73513"/>
    <w:rsid w:val="00B735CE"/>
    <w:rsid w:val="00B73D2F"/>
    <w:rsid w:val="00B73E66"/>
    <w:rsid w:val="00B74B95"/>
    <w:rsid w:val="00B759E4"/>
    <w:rsid w:val="00B75E88"/>
    <w:rsid w:val="00B77B8F"/>
    <w:rsid w:val="00B77E0D"/>
    <w:rsid w:val="00B8039B"/>
    <w:rsid w:val="00B8051E"/>
    <w:rsid w:val="00B80C56"/>
    <w:rsid w:val="00B81189"/>
    <w:rsid w:val="00B81684"/>
    <w:rsid w:val="00B81787"/>
    <w:rsid w:val="00B835E0"/>
    <w:rsid w:val="00B83ABB"/>
    <w:rsid w:val="00B83F83"/>
    <w:rsid w:val="00B841ED"/>
    <w:rsid w:val="00B843C8"/>
    <w:rsid w:val="00B844BF"/>
    <w:rsid w:val="00B8452C"/>
    <w:rsid w:val="00B84B3B"/>
    <w:rsid w:val="00B84F7D"/>
    <w:rsid w:val="00B850D6"/>
    <w:rsid w:val="00B85768"/>
    <w:rsid w:val="00B85BB6"/>
    <w:rsid w:val="00B864B5"/>
    <w:rsid w:val="00B8687E"/>
    <w:rsid w:val="00B86D52"/>
    <w:rsid w:val="00B8734C"/>
    <w:rsid w:val="00B87A80"/>
    <w:rsid w:val="00B87DAD"/>
    <w:rsid w:val="00B87E46"/>
    <w:rsid w:val="00B90402"/>
    <w:rsid w:val="00B9118C"/>
    <w:rsid w:val="00B9165F"/>
    <w:rsid w:val="00B91E52"/>
    <w:rsid w:val="00B91EF4"/>
    <w:rsid w:val="00B92026"/>
    <w:rsid w:val="00B92494"/>
    <w:rsid w:val="00B92679"/>
    <w:rsid w:val="00B93244"/>
    <w:rsid w:val="00B93558"/>
    <w:rsid w:val="00B93BCC"/>
    <w:rsid w:val="00B941B6"/>
    <w:rsid w:val="00B943BB"/>
    <w:rsid w:val="00B945B2"/>
    <w:rsid w:val="00B948CB"/>
    <w:rsid w:val="00B94F70"/>
    <w:rsid w:val="00B96452"/>
    <w:rsid w:val="00B96474"/>
    <w:rsid w:val="00B97353"/>
    <w:rsid w:val="00B97CFB"/>
    <w:rsid w:val="00BA0BD6"/>
    <w:rsid w:val="00BA0F7F"/>
    <w:rsid w:val="00BA23A0"/>
    <w:rsid w:val="00BA3953"/>
    <w:rsid w:val="00BA4638"/>
    <w:rsid w:val="00BA4D70"/>
    <w:rsid w:val="00BA52FD"/>
    <w:rsid w:val="00BA5A89"/>
    <w:rsid w:val="00BA5CFF"/>
    <w:rsid w:val="00BA5DAF"/>
    <w:rsid w:val="00BA5F57"/>
    <w:rsid w:val="00BA6432"/>
    <w:rsid w:val="00BA7422"/>
    <w:rsid w:val="00BA7BFB"/>
    <w:rsid w:val="00BA7C4B"/>
    <w:rsid w:val="00BA7E90"/>
    <w:rsid w:val="00BB0C05"/>
    <w:rsid w:val="00BB1262"/>
    <w:rsid w:val="00BB1418"/>
    <w:rsid w:val="00BB1564"/>
    <w:rsid w:val="00BB1B4D"/>
    <w:rsid w:val="00BB1FBB"/>
    <w:rsid w:val="00BB2818"/>
    <w:rsid w:val="00BB2DC3"/>
    <w:rsid w:val="00BB313E"/>
    <w:rsid w:val="00BB3368"/>
    <w:rsid w:val="00BB463C"/>
    <w:rsid w:val="00BB4D09"/>
    <w:rsid w:val="00BB6218"/>
    <w:rsid w:val="00BB699F"/>
    <w:rsid w:val="00BB6FD5"/>
    <w:rsid w:val="00BB70EF"/>
    <w:rsid w:val="00BB72E6"/>
    <w:rsid w:val="00BB7586"/>
    <w:rsid w:val="00BB79F1"/>
    <w:rsid w:val="00BB7DB7"/>
    <w:rsid w:val="00BC0310"/>
    <w:rsid w:val="00BC0F89"/>
    <w:rsid w:val="00BC18CB"/>
    <w:rsid w:val="00BC2DE3"/>
    <w:rsid w:val="00BC2FA5"/>
    <w:rsid w:val="00BC3322"/>
    <w:rsid w:val="00BC3F9C"/>
    <w:rsid w:val="00BC42DC"/>
    <w:rsid w:val="00BC4368"/>
    <w:rsid w:val="00BC4697"/>
    <w:rsid w:val="00BC4B5C"/>
    <w:rsid w:val="00BC77D7"/>
    <w:rsid w:val="00BC7A3D"/>
    <w:rsid w:val="00BD0693"/>
    <w:rsid w:val="00BD0C31"/>
    <w:rsid w:val="00BD121F"/>
    <w:rsid w:val="00BD12BE"/>
    <w:rsid w:val="00BD160D"/>
    <w:rsid w:val="00BD3AC8"/>
    <w:rsid w:val="00BD416C"/>
    <w:rsid w:val="00BD50AC"/>
    <w:rsid w:val="00BD66CD"/>
    <w:rsid w:val="00BD67A2"/>
    <w:rsid w:val="00BD725D"/>
    <w:rsid w:val="00BD744A"/>
    <w:rsid w:val="00BD7456"/>
    <w:rsid w:val="00BD7CCA"/>
    <w:rsid w:val="00BE0CCD"/>
    <w:rsid w:val="00BE0F6E"/>
    <w:rsid w:val="00BE22CC"/>
    <w:rsid w:val="00BE2F1F"/>
    <w:rsid w:val="00BE309B"/>
    <w:rsid w:val="00BE3775"/>
    <w:rsid w:val="00BE496B"/>
    <w:rsid w:val="00BE4FD6"/>
    <w:rsid w:val="00BE516D"/>
    <w:rsid w:val="00BE562E"/>
    <w:rsid w:val="00BE62C0"/>
    <w:rsid w:val="00BE65BC"/>
    <w:rsid w:val="00BE6ACD"/>
    <w:rsid w:val="00BF05E3"/>
    <w:rsid w:val="00BF09D4"/>
    <w:rsid w:val="00BF0ACF"/>
    <w:rsid w:val="00BF0EDA"/>
    <w:rsid w:val="00BF2439"/>
    <w:rsid w:val="00BF29DB"/>
    <w:rsid w:val="00BF320F"/>
    <w:rsid w:val="00BF4740"/>
    <w:rsid w:val="00BF4B72"/>
    <w:rsid w:val="00BF5338"/>
    <w:rsid w:val="00BF552A"/>
    <w:rsid w:val="00BF567B"/>
    <w:rsid w:val="00BF7063"/>
    <w:rsid w:val="00BF74B3"/>
    <w:rsid w:val="00C0019F"/>
    <w:rsid w:val="00C005DF"/>
    <w:rsid w:val="00C00DF0"/>
    <w:rsid w:val="00C01889"/>
    <w:rsid w:val="00C01C0E"/>
    <w:rsid w:val="00C01E61"/>
    <w:rsid w:val="00C0271E"/>
    <w:rsid w:val="00C02814"/>
    <w:rsid w:val="00C02CB5"/>
    <w:rsid w:val="00C02FA2"/>
    <w:rsid w:val="00C03860"/>
    <w:rsid w:val="00C03AB4"/>
    <w:rsid w:val="00C03D0A"/>
    <w:rsid w:val="00C04D10"/>
    <w:rsid w:val="00C05644"/>
    <w:rsid w:val="00C06A2B"/>
    <w:rsid w:val="00C06A5A"/>
    <w:rsid w:val="00C075B3"/>
    <w:rsid w:val="00C079AD"/>
    <w:rsid w:val="00C07C19"/>
    <w:rsid w:val="00C10075"/>
    <w:rsid w:val="00C10F93"/>
    <w:rsid w:val="00C11BC8"/>
    <w:rsid w:val="00C11DF6"/>
    <w:rsid w:val="00C11EB2"/>
    <w:rsid w:val="00C11FBC"/>
    <w:rsid w:val="00C125F0"/>
    <w:rsid w:val="00C12949"/>
    <w:rsid w:val="00C12C18"/>
    <w:rsid w:val="00C12EF8"/>
    <w:rsid w:val="00C1347E"/>
    <w:rsid w:val="00C14DDA"/>
    <w:rsid w:val="00C14E11"/>
    <w:rsid w:val="00C1558E"/>
    <w:rsid w:val="00C1599F"/>
    <w:rsid w:val="00C1601F"/>
    <w:rsid w:val="00C16089"/>
    <w:rsid w:val="00C16698"/>
    <w:rsid w:val="00C17889"/>
    <w:rsid w:val="00C179D3"/>
    <w:rsid w:val="00C17D62"/>
    <w:rsid w:val="00C20D5C"/>
    <w:rsid w:val="00C228B7"/>
    <w:rsid w:val="00C2317E"/>
    <w:rsid w:val="00C231B7"/>
    <w:rsid w:val="00C241DE"/>
    <w:rsid w:val="00C30C2F"/>
    <w:rsid w:val="00C30E57"/>
    <w:rsid w:val="00C30F09"/>
    <w:rsid w:val="00C30FA4"/>
    <w:rsid w:val="00C31083"/>
    <w:rsid w:val="00C3226D"/>
    <w:rsid w:val="00C33839"/>
    <w:rsid w:val="00C347F2"/>
    <w:rsid w:val="00C350CB"/>
    <w:rsid w:val="00C37F48"/>
    <w:rsid w:val="00C407AB"/>
    <w:rsid w:val="00C40FCE"/>
    <w:rsid w:val="00C41280"/>
    <w:rsid w:val="00C426CE"/>
    <w:rsid w:val="00C42E44"/>
    <w:rsid w:val="00C44AD8"/>
    <w:rsid w:val="00C44CFB"/>
    <w:rsid w:val="00C45EFE"/>
    <w:rsid w:val="00C4773A"/>
    <w:rsid w:val="00C47845"/>
    <w:rsid w:val="00C47CEB"/>
    <w:rsid w:val="00C50161"/>
    <w:rsid w:val="00C5077A"/>
    <w:rsid w:val="00C520E9"/>
    <w:rsid w:val="00C526CA"/>
    <w:rsid w:val="00C52768"/>
    <w:rsid w:val="00C52944"/>
    <w:rsid w:val="00C52B66"/>
    <w:rsid w:val="00C532CF"/>
    <w:rsid w:val="00C5432F"/>
    <w:rsid w:val="00C56479"/>
    <w:rsid w:val="00C56EE8"/>
    <w:rsid w:val="00C5748B"/>
    <w:rsid w:val="00C5788B"/>
    <w:rsid w:val="00C5796D"/>
    <w:rsid w:val="00C57C39"/>
    <w:rsid w:val="00C618AF"/>
    <w:rsid w:val="00C61A4C"/>
    <w:rsid w:val="00C6361D"/>
    <w:rsid w:val="00C637E9"/>
    <w:rsid w:val="00C64A47"/>
    <w:rsid w:val="00C64EE0"/>
    <w:rsid w:val="00C64F0E"/>
    <w:rsid w:val="00C6545C"/>
    <w:rsid w:val="00C65641"/>
    <w:rsid w:val="00C65804"/>
    <w:rsid w:val="00C65B2D"/>
    <w:rsid w:val="00C65BD3"/>
    <w:rsid w:val="00C678B4"/>
    <w:rsid w:val="00C67DFC"/>
    <w:rsid w:val="00C67E4F"/>
    <w:rsid w:val="00C67FA1"/>
    <w:rsid w:val="00C70ABB"/>
    <w:rsid w:val="00C713A5"/>
    <w:rsid w:val="00C713E1"/>
    <w:rsid w:val="00C71E4D"/>
    <w:rsid w:val="00C7267A"/>
    <w:rsid w:val="00C733BE"/>
    <w:rsid w:val="00C7485D"/>
    <w:rsid w:val="00C74890"/>
    <w:rsid w:val="00C74D85"/>
    <w:rsid w:val="00C756C2"/>
    <w:rsid w:val="00C76E1D"/>
    <w:rsid w:val="00C7726D"/>
    <w:rsid w:val="00C7761A"/>
    <w:rsid w:val="00C77AF7"/>
    <w:rsid w:val="00C77DFF"/>
    <w:rsid w:val="00C8078C"/>
    <w:rsid w:val="00C8108F"/>
    <w:rsid w:val="00C8154A"/>
    <w:rsid w:val="00C81665"/>
    <w:rsid w:val="00C81706"/>
    <w:rsid w:val="00C81A3C"/>
    <w:rsid w:val="00C81F77"/>
    <w:rsid w:val="00C827C0"/>
    <w:rsid w:val="00C827FC"/>
    <w:rsid w:val="00C82936"/>
    <w:rsid w:val="00C82C01"/>
    <w:rsid w:val="00C82E1D"/>
    <w:rsid w:val="00C83068"/>
    <w:rsid w:val="00C83FF1"/>
    <w:rsid w:val="00C84141"/>
    <w:rsid w:val="00C85D9A"/>
    <w:rsid w:val="00C86028"/>
    <w:rsid w:val="00C8663D"/>
    <w:rsid w:val="00C8694A"/>
    <w:rsid w:val="00C86F89"/>
    <w:rsid w:val="00C87029"/>
    <w:rsid w:val="00C870EA"/>
    <w:rsid w:val="00C8782D"/>
    <w:rsid w:val="00C9015A"/>
    <w:rsid w:val="00C9022C"/>
    <w:rsid w:val="00C90AA2"/>
    <w:rsid w:val="00C9120B"/>
    <w:rsid w:val="00C919C4"/>
    <w:rsid w:val="00C91AAF"/>
    <w:rsid w:val="00C91BB3"/>
    <w:rsid w:val="00C9247F"/>
    <w:rsid w:val="00C928C5"/>
    <w:rsid w:val="00C92A57"/>
    <w:rsid w:val="00C92EB7"/>
    <w:rsid w:val="00C93012"/>
    <w:rsid w:val="00C9375A"/>
    <w:rsid w:val="00C93DA9"/>
    <w:rsid w:val="00C93DDD"/>
    <w:rsid w:val="00C93F3B"/>
    <w:rsid w:val="00C94C37"/>
    <w:rsid w:val="00C95B2C"/>
    <w:rsid w:val="00C964A8"/>
    <w:rsid w:val="00C975CE"/>
    <w:rsid w:val="00C97615"/>
    <w:rsid w:val="00C97B08"/>
    <w:rsid w:val="00C97C62"/>
    <w:rsid w:val="00CA00E2"/>
    <w:rsid w:val="00CA0523"/>
    <w:rsid w:val="00CA0887"/>
    <w:rsid w:val="00CA0A6E"/>
    <w:rsid w:val="00CA0ACD"/>
    <w:rsid w:val="00CA2124"/>
    <w:rsid w:val="00CA29A2"/>
    <w:rsid w:val="00CA3ED2"/>
    <w:rsid w:val="00CA4316"/>
    <w:rsid w:val="00CA491C"/>
    <w:rsid w:val="00CA56A3"/>
    <w:rsid w:val="00CA5CCA"/>
    <w:rsid w:val="00CA63DB"/>
    <w:rsid w:val="00CA69E0"/>
    <w:rsid w:val="00CA6E56"/>
    <w:rsid w:val="00CA7C5B"/>
    <w:rsid w:val="00CB08BE"/>
    <w:rsid w:val="00CB22EA"/>
    <w:rsid w:val="00CB52E2"/>
    <w:rsid w:val="00CB5E64"/>
    <w:rsid w:val="00CB5F53"/>
    <w:rsid w:val="00CB60C6"/>
    <w:rsid w:val="00CB6829"/>
    <w:rsid w:val="00CB69DF"/>
    <w:rsid w:val="00CB6BA1"/>
    <w:rsid w:val="00CB702C"/>
    <w:rsid w:val="00CB70D6"/>
    <w:rsid w:val="00CB7E23"/>
    <w:rsid w:val="00CC1C6F"/>
    <w:rsid w:val="00CC1D30"/>
    <w:rsid w:val="00CC2072"/>
    <w:rsid w:val="00CC23FA"/>
    <w:rsid w:val="00CC255D"/>
    <w:rsid w:val="00CC291A"/>
    <w:rsid w:val="00CC35E3"/>
    <w:rsid w:val="00CC3A61"/>
    <w:rsid w:val="00CC52A3"/>
    <w:rsid w:val="00CC5D12"/>
    <w:rsid w:val="00CC5F03"/>
    <w:rsid w:val="00CC6A9B"/>
    <w:rsid w:val="00CC72A8"/>
    <w:rsid w:val="00CC7646"/>
    <w:rsid w:val="00CC788D"/>
    <w:rsid w:val="00CC7896"/>
    <w:rsid w:val="00CC7A92"/>
    <w:rsid w:val="00CD0464"/>
    <w:rsid w:val="00CD0507"/>
    <w:rsid w:val="00CD093D"/>
    <w:rsid w:val="00CD0EF3"/>
    <w:rsid w:val="00CD2398"/>
    <w:rsid w:val="00CD38B9"/>
    <w:rsid w:val="00CD53E6"/>
    <w:rsid w:val="00CD544C"/>
    <w:rsid w:val="00CD67AE"/>
    <w:rsid w:val="00CD6DE2"/>
    <w:rsid w:val="00CD6FE3"/>
    <w:rsid w:val="00CD7221"/>
    <w:rsid w:val="00CD73B2"/>
    <w:rsid w:val="00CD7690"/>
    <w:rsid w:val="00CD7B4E"/>
    <w:rsid w:val="00CE0498"/>
    <w:rsid w:val="00CE1452"/>
    <w:rsid w:val="00CE2088"/>
    <w:rsid w:val="00CE24A1"/>
    <w:rsid w:val="00CE2709"/>
    <w:rsid w:val="00CE29E3"/>
    <w:rsid w:val="00CE3551"/>
    <w:rsid w:val="00CE3BF6"/>
    <w:rsid w:val="00CE3DAD"/>
    <w:rsid w:val="00CE6A95"/>
    <w:rsid w:val="00CE6B77"/>
    <w:rsid w:val="00CE6C5C"/>
    <w:rsid w:val="00CE74E1"/>
    <w:rsid w:val="00CE7C7F"/>
    <w:rsid w:val="00CF0072"/>
    <w:rsid w:val="00CF040F"/>
    <w:rsid w:val="00CF098B"/>
    <w:rsid w:val="00CF1962"/>
    <w:rsid w:val="00CF29E9"/>
    <w:rsid w:val="00CF2AE2"/>
    <w:rsid w:val="00CF2B9C"/>
    <w:rsid w:val="00CF3B62"/>
    <w:rsid w:val="00CF4C40"/>
    <w:rsid w:val="00CF5617"/>
    <w:rsid w:val="00CF59C4"/>
    <w:rsid w:val="00CF5ACD"/>
    <w:rsid w:val="00CF5CF7"/>
    <w:rsid w:val="00CF735B"/>
    <w:rsid w:val="00D0007E"/>
    <w:rsid w:val="00D001CE"/>
    <w:rsid w:val="00D00891"/>
    <w:rsid w:val="00D00F08"/>
    <w:rsid w:val="00D0110E"/>
    <w:rsid w:val="00D026B8"/>
    <w:rsid w:val="00D027B7"/>
    <w:rsid w:val="00D0395F"/>
    <w:rsid w:val="00D04319"/>
    <w:rsid w:val="00D048FF"/>
    <w:rsid w:val="00D04ED7"/>
    <w:rsid w:val="00D054A7"/>
    <w:rsid w:val="00D05626"/>
    <w:rsid w:val="00D05A93"/>
    <w:rsid w:val="00D066E8"/>
    <w:rsid w:val="00D06B43"/>
    <w:rsid w:val="00D06FE5"/>
    <w:rsid w:val="00D071DC"/>
    <w:rsid w:val="00D07220"/>
    <w:rsid w:val="00D072D3"/>
    <w:rsid w:val="00D0742A"/>
    <w:rsid w:val="00D07973"/>
    <w:rsid w:val="00D07CED"/>
    <w:rsid w:val="00D07E61"/>
    <w:rsid w:val="00D1021E"/>
    <w:rsid w:val="00D103DD"/>
    <w:rsid w:val="00D1087C"/>
    <w:rsid w:val="00D108CC"/>
    <w:rsid w:val="00D108F4"/>
    <w:rsid w:val="00D11437"/>
    <w:rsid w:val="00D12D3B"/>
    <w:rsid w:val="00D13012"/>
    <w:rsid w:val="00D1316D"/>
    <w:rsid w:val="00D13325"/>
    <w:rsid w:val="00D13EE4"/>
    <w:rsid w:val="00D1470D"/>
    <w:rsid w:val="00D14986"/>
    <w:rsid w:val="00D14E01"/>
    <w:rsid w:val="00D153BA"/>
    <w:rsid w:val="00D15A46"/>
    <w:rsid w:val="00D17638"/>
    <w:rsid w:val="00D177B6"/>
    <w:rsid w:val="00D17C13"/>
    <w:rsid w:val="00D17E14"/>
    <w:rsid w:val="00D201FB"/>
    <w:rsid w:val="00D2021D"/>
    <w:rsid w:val="00D203A4"/>
    <w:rsid w:val="00D203D0"/>
    <w:rsid w:val="00D2062B"/>
    <w:rsid w:val="00D20BCA"/>
    <w:rsid w:val="00D217B4"/>
    <w:rsid w:val="00D21B76"/>
    <w:rsid w:val="00D21ECE"/>
    <w:rsid w:val="00D222EE"/>
    <w:rsid w:val="00D223AF"/>
    <w:rsid w:val="00D22F37"/>
    <w:rsid w:val="00D2346B"/>
    <w:rsid w:val="00D23591"/>
    <w:rsid w:val="00D23C57"/>
    <w:rsid w:val="00D245CC"/>
    <w:rsid w:val="00D249BF"/>
    <w:rsid w:val="00D24CBF"/>
    <w:rsid w:val="00D25020"/>
    <w:rsid w:val="00D25EC1"/>
    <w:rsid w:val="00D264D1"/>
    <w:rsid w:val="00D26614"/>
    <w:rsid w:val="00D26636"/>
    <w:rsid w:val="00D26B94"/>
    <w:rsid w:val="00D26D64"/>
    <w:rsid w:val="00D27B0B"/>
    <w:rsid w:val="00D31423"/>
    <w:rsid w:val="00D32C1B"/>
    <w:rsid w:val="00D33065"/>
    <w:rsid w:val="00D33704"/>
    <w:rsid w:val="00D34846"/>
    <w:rsid w:val="00D34C8D"/>
    <w:rsid w:val="00D34F7A"/>
    <w:rsid w:val="00D37519"/>
    <w:rsid w:val="00D37813"/>
    <w:rsid w:val="00D37CB3"/>
    <w:rsid w:val="00D403C9"/>
    <w:rsid w:val="00D413E2"/>
    <w:rsid w:val="00D41585"/>
    <w:rsid w:val="00D41C81"/>
    <w:rsid w:val="00D44042"/>
    <w:rsid w:val="00D4465C"/>
    <w:rsid w:val="00D446D7"/>
    <w:rsid w:val="00D45C0A"/>
    <w:rsid w:val="00D47593"/>
    <w:rsid w:val="00D477CB"/>
    <w:rsid w:val="00D478A1"/>
    <w:rsid w:val="00D50029"/>
    <w:rsid w:val="00D505C5"/>
    <w:rsid w:val="00D5107D"/>
    <w:rsid w:val="00D5151F"/>
    <w:rsid w:val="00D51C55"/>
    <w:rsid w:val="00D51F7E"/>
    <w:rsid w:val="00D5202C"/>
    <w:rsid w:val="00D526EC"/>
    <w:rsid w:val="00D52AA2"/>
    <w:rsid w:val="00D535C3"/>
    <w:rsid w:val="00D5379F"/>
    <w:rsid w:val="00D538D8"/>
    <w:rsid w:val="00D53955"/>
    <w:rsid w:val="00D539A9"/>
    <w:rsid w:val="00D53BE0"/>
    <w:rsid w:val="00D55479"/>
    <w:rsid w:val="00D560F7"/>
    <w:rsid w:val="00D562DF"/>
    <w:rsid w:val="00D56763"/>
    <w:rsid w:val="00D56B45"/>
    <w:rsid w:val="00D57C9B"/>
    <w:rsid w:val="00D60303"/>
    <w:rsid w:val="00D60665"/>
    <w:rsid w:val="00D61B77"/>
    <w:rsid w:val="00D621AA"/>
    <w:rsid w:val="00D6270A"/>
    <w:rsid w:val="00D627C7"/>
    <w:rsid w:val="00D6358E"/>
    <w:rsid w:val="00D63E3A"/>
    <w:rsid w:val="00D6423D"/>
    <w:rsid w:val="00D6456C"/>
    <w:rsid w:val="00D648FB"/>
    <w:rsid w:val="00D651CC"/>
    <w:rsid w:val="00D65C2A"/>
    <w:rsid w:val="00D660A3"/>
    <w:rsid w:val="00D6628D"/>
    <w:rsid w:val="00D664B8"/>
    <w:rsid w:val="00D666EE"/>
    <w:rsid w:val="00D672FA"/>
    <w:rsid w:val="00D67E35"/>
    <w:rsid w:val="00D708CB"/>
    <w:rsid w:val="00D70F46"/>
    <w:rsid w:val="00D71145"/>
    <w:rsid w:val="00D71B7A"/>
    <w:rsid w:val="00D723AD"/>
    <w:rsid w:val="00D72D12"/>
    <w:rsid w:val="00D72DDD"/>
    <w:rsid w:val="00D7372F"/>
    <w:rsid w:val="00D7604A"/>
    <w:rsid w:val="00D767B4"/>
    <w:rsid w:val="00D7693A"/>
    <w:rsid w:val="00D76A4B"/>
    <w:rsid w:val="00D7710A"/>
    <w:rsid w:val="00D80EA1"/>
    <w:rsid w:val="00D8228E"/>
    <w:rsid w:val="00D8294D"/>
    <w:rsid w:val="00D82CDF"/>
    <w:rsid w:val="00D82F3D"/>
    <w:rsid w:val="00D83CF8"/>
    <w:rsid w:val="00D84343"/>
    <w:rsid w:val="00D8490E"/>
    <w:rsid w:val="00D84F61"/>
    <w:rsid w:val="00D84F9E"/>
    <w:rsid w:val="00D85808"/>
    <w:rsid w:val="00D85C47"/>
    <w:rsid w:val="00D861BB"/>
    <w:rsid w:val="00D863F8"/>
    <w:rsid w:val="00D86DEB"/>
    <w:rsid w:val="00D87086"/>
    <w:rsid w:val="00D879C8"/>
    <w:rsid w:val="00D9047A"/>
    <w:rsid w:val="00D90A9A"/>
    <w:rsid w:val="00D90E29"/>
    <w:rsid w:val="00D9185A"/>
    <w:rsid w:val="00D918B8"/>
    <w:rsid w:val="00D91D69"/>
    <w:rsid w:val="00D92A1F"/>
    <w:rsid w:val="00D92DD3"/>
    <w:rsid w:val="00D92EC3"/>
    <w:rsid w:val="00D92FF0"/>
    <w:rsid w:val="00D9409F"/>
    <w:rsid w:val="00D94230"/>
    <w:rsid w:val="00D94B92"/>
    <w:rsid w:val="00D95960"/>
    <w:rsid w:val="00D95B78"/>
    <w:rsid w:val="00D9725A"/>
    <w:rsid w:val="00D9765B"/>
    <w:rsid w:val="00D97781"/>
    <w:rsid w:val="00D97F02"/>
    <w:rsid w:val="00DA32FA"/>
    <w:rsid w:val="00DA3BE6"/>
    <w:rsid w:val="00DA49AA"/>
    <w:rsid w:val="00DA4C82"/>
    <w:rsid w:val="00DA4EED"/>
    <w:rsid w:val="00DA6237"/>
    <w:rsid w:val="00DA6659"/>
    <w:rsid w:val="00DA69BA"/>
    <w:rsid w:val="00DA7CD1"/>
    <w:rsid w:val="00DB2264"/>
    <w:rsid w:val="00DB230C"/>
    <w:rsid w:val="00DB25A6"/>
    <w:rsid w:val="00DB2768"/>
    <w:rsid w:val="00DB2817"/>
    <w:rsid w:val="00DB2EA2"/>
    <w:rsid w:val="00DB3135"/>
    <w:rsid w:val="00DB3A99"/>
    <w:rsid w:val="00DB4D2D"/>
    <w:rsid w:val="00DB5191"/>
    <w:rsid w:val="00DB536D"/>
    <w:rsid w:val="00DB5623"/>
    <w:rsid w:val="00DB6052"/>
    <w:rsid w:val="00DB608B"/>
    <w:rsid w:val="00DB6926"/>
    <w:rsid w:val="00DB692C"/>
    <w:rsid w:val="00DB723D"/>
    <w:rsid w:val="00DB74D0"/>
    <w:rsid w:val="00DB7F05"/>
    <w:rsid w:val="00DC04C7"/>
    <w:rsid w:val="00DC0FA9"/>
    <w:rsid w:val="00DC1238"/>
    <w:rsid w:val="00DC22F5"/>
    <w:rsid w:val="00DC2ACE"/>
    <w:rsid w:val="00DC2B77"/>
    <w:rsid w:val="00DC3602"/>
    <w:rsid w:val="00DC5ACB"/>
    <w:rsid w:val="00DC6074"/>
    <w:rsid w:val="00DC6937"/>
    <w:rsid w:val="00DC7384"/>
    <w:rsid w:val="00DC780D"/>
    <w:rsid w:val="00DC7B56"/>
    <w:rsid w:val="00DD10CA"/>
    <w:rsid w:val="00DD13AC"/>
    <w:rsid w:val="00DD19EE"/>
    <w:rsid w:val="00DD1AF3"/>
    <w:rsid w:val="00DD1B05"/>
    <w:rsid w:val="00DD1F6B"/>
    <w:rsid w:val="00DD216B"/>
    <w:rsid w:val="00DD23D6"/>
    <w:rsid w:val="00DD29D5"/>
    <w:rsid w:val="00DD302A"/>
    <w:rsid w:val="00DD3046"/>
    <w:rsid w:val="00DD311D"/>
    <w:rsid w:val="00DD340D"/>
    <w:rsid w:val="00DD44EF"/>
    <w:rsid w:val="00DD469C"/>
    <w:rsid w:val="00DD5841"/>
    <w:rsid w:val="00DD595B"/>
    <w:rsid w:val="00DD64EA"/>
    <w:rsid w:val="00DD6728"/>
    <w:rsid w:val="00DD6926"/>
    <w:rsid w:val="00DD725B"/>
    <w:rsid w:val="00DD7E16"/>
    <w:rsid w:val="00DE077C"/>
    <w:rsid w:val="00DE158B"/>
    <w:rsid w:val="00DE1B75"/>
    <w:rsid w:val="00DE23ED"/>
    <w:rsid w:val="00DE38FC"/>
    <w:rsid w:val="00DE4659"/>
    <w:rsid w:val="00DE512E"/>
    <w:rsid w:val="00DE5423"/>
    <w:rsid w:val="00DE553D"/>
    <w:rsid w:val="00DE5A2C"/>
    <w:rsid w:val="00DE5EB9"/>
    <w:rsid w:val="00DE609B"/>
    <w:rsid w:val="00DE64AD"/>
    <w:rsid w:val="00DE6A2D"/>
    <w:rsid w:val="00DE7328"/>
    <w:rsid w:val="00DE79C2"/>
    <w:rsid w:val="00DF0836"/>
    <w:rsid w:val="00DF0DB8"/>
    <w:rsid w:val="00DF2103"/>
    <w:rsid w:val="00DF21E8"/>
    <w:rsid w:val="00DF27C7"/>
    <w:rsid w:val="00DF2D34"/>
    <w:rsid w:val="00DF3373"/>
    <w:rsid w:val="00DF523C"/>
    <w:rsid w:val="00DF54F9"/>
    <w:rsid w:val="00DF5993"/>
    <w:rsid w:val="00DF60CA"/>
    <w:rsid w:val="00DF64F6"/>
    <w:rsid w:val="00DF681F"/>
    <w:rsid w:val="00DF74AF"/>
    <w:rsid w:val="00DF777A"/>
    <w:rsid w:val="00E0077C"/>
    <w:rsid w:val="00E00F71"/>
    <w:rsid w:val="00E01022"/>
    <w:rsid w:val="00E015CD"/>
    <w:rsid w:val="00E018B9"/>
    <w:rsid w:val="00E02D30"/>
    <w:rsid w:val="00E030D6"/>
    <w:rsid w:val="00E0316F"/>
    <w:rsid w:val="00E0333C"/>
    <w:rsid w:val="00E04B9A"/>
    <w:rsid w:val="00E05072"/>
    <w:rsid w:val="00E05552"/>
    <w:rsid w:val="00E05BA7"/>
    <w:rsid w:val="00E06131"/>
    <w:rsid w:val="00E06943"/>
    <w:rsid w:val="00E07C29"/>
    <w:rsid w:val="00E07DAF"/>
    <w:rsid w:val="00E1170E"/>
    <w:rsid w:val="00E11761"/>
    <w:rsid w:val="00E12877"/>
    <w:rsid w:val="00E13542"/>
    <w:rsid w:val="00E13993"/>
    <w:rsid w:val="00E13D49"/>
    <w:rsid w:val="00E14C62"/>
    <w:rsid w:val="00E14D4F"/>
    <w:rsid w:val="00E14DDE"/>
    <w:rsid w:val="00E15012"/>
    <w:rsid w:val="00E15C2F"/>
    <w:rsid w:val="00E160F4"/>
    <w:rsid w:val="00E16BBA"/>
    <w:rsid w:val="00E16C3E"/>
    <w:rsid w:val="00E16EBB"/>
    <w:rsid w:val="00E1758D"/>
    <w:rsid w:val="00E1762A"/>
    <w:rsid w:val="00E17E4A"/>
    <w:rsid w:val="00E20B3B"/>
    <w:rsid w:val="00E21170"/>
    <w:rsid w:val="00E217A6"/>
    <w:rsid w:val="00E21D3A"/>
    <w:rsid w:val="00E2216C"/>
    <w:rsid w:val="00E231BF"/>
    <w:rsid w:val="00E23A44"/>
    <w:rsid w:val="00E243A2"/>
    <w:rsid w:val="00E2496C"/>
    <w:rsid w:val="00E24EC5"/>
    <w:rsid w:val="00E25000"/>
    <w:rsid w:val="00E250D0"/>
    <w:rsid w:val="00E259EF"/>
    <w:rsid w:val="00E26941"/>
    <w:rsid w:val="00E271EF"/>
    <w:rsid w:val="00E3037D"/>
    <w:rsid w:val="00E308E1"/>
    <w:rsid w:val="00E30AA6"/>
    <w:rsid w:val="00E314FE"/>
    <w:rsid w:val="00E31993"/>
    <w:rsid w:val="00E31C14"/>
    <w:rsid w:val="00E31DC5"/>
    <w:rsid w:val="00E32714"/>
    <w:rsid w:val="00E3288D"/>
    <w:rsid w:val="00E329C8"/>
    <w:rsid w:val="00E33994"/>
    <w:rsid w:val="00E33C88"/>
    <w:rsid w:val="00E33EB5"/>
    <w:rsid w:val="00E349FF"/>
    <w:rsid w:val="00E34CDA"/>
    <w:rsid w:val="00E352BA"/>
    <w:rsid w:val="00E356D8"/>
    <w:rsid w:val="00E3674C"/>
    <w:rsid w:val="00E37E80"/>
    <w:rsid w:val="00E401B6"/>
    <w:rsid w:val="00E41648"/>
    <w:rsid w:val="00E4188A"/>
    <w:rsid w:val="00E429B3"/>
    <w:rsid w:val="00E42BB3"/>
    <w:rsid w:val="00E431EC"/>
    <w:rsid w:val="00E438B7"/>
    <w:rsid w:val="00E43D12"/>
    <w:rsid w:val="00E4548A"/>
    <w:rsid w:val="00E45895"/>
    <w:rsid w:val="00E4593C"/>
    <w:rsid w:val="00E45ED1"/>
    <w:rsid w:val="00E46A2C"/>
    <w:rsid w:val="00E46CC8"/>
    <w:rsid w:val="00E46F02"/>
    <w:rsid w:val="00E47101"/>
    <w:rsid w:val="00E518C6"/>
    <w:rsid w:val="00E5241F"/>
    <w:rsid w:val="00E524E5"/>
    <w:rsid w:val="00E53EEA"/>
    <w:rsid w:val="00E552CD"/>
    <w:rsid w:val="00E55559"/>
    <w:rsid w:val="00E5594D"/>
    <w:rsid w:val="00E566F9"/>
    <w:rsid w:val="00E56E0B"/>
    <w:rsid w:val="00E57231"/>
    <w:rsid w:val="00E57615"/>
    <w:rsid w:val="00E57B76"/>
    <w:rsid w:val="00E57E59"/>
    <w:rsid w:val="00E57EAE"/>
    <w:rsid w:val="00E607E0"/>
    <w:rsid w:val="00E624C2"/>
    <w:rsid w:val="00E629E9"/>
    <w:rsid w:val="00E62F67"/>
    <w:rsid w:val="00E63C01"/>
    <w:rsid w:val="00E64017"/>
    <w:rsid w:val="00E64191"/>
    <w:rsid w:val="00E6423B"/>
    <w:rsid w:val="00E642B7"/>
    <w:rsid w:val="00E64744"/>
    <w:rsid w:val="00E649C5"/>
    <w:rsid w:val="00E64DB1"/>
    <w:rsid w:val="00E64DD1"/>
    <w:rsid w:val="00E6674A"/>
    <w:rsid w:val="00E67E50"/>
    <w:rsid w:val="00E7215B"/>
    <w:rsid w:val="00E72EAC"/>
    <w:rsid w:val="00E74DD9"/>
    <w:rsid w:val="00E74EE1"/>
    <w:rsid w:val="00E75145"/>
    <w:rsid w:val="00E75C9B"/>
    <w:rsid w:val="00E76676"/>
    <w:rsid w:val="00E77260"/>
    <w:rsid w:val="00E801FC"/>
    <w:rsid w:val="00E81001"/>
    <w:rsid w:val="00E819F3"/>
    <w:rsid w:val="00E8218F"/>
    <w:rsid w:val="00E83A88"/>
    <w:rsid w:val="00E83BF2"/>
    <w:rsid w:val="00E858B6"/>
    <w:rsid w:val="00E86056"/>
    <w:rsid w:val="00E8613D"/>
    <w:rsid w:val="00E87285"/>
    <w:rsid w:val="00E879CC"/>
    <w:rsid w:val="00E87E3C"/>
    <w:rsid w:val="00E90B6E"/>
    <w:rsid w:val="00E9181D"/>
    <w:rsid w:val="00E91DAF"/>
    <w:rsid w:val="00E91F0F"/>
    <w:rsid w:val="00E92929"/>
    <w:rsid w:val="00E92F9D"/>
    <w:rsid w:val="00E93268"/>
    <w:rsid w:val="00E9342C"/>
    <w:rsid w:val="00E934DB"/>
    <w:rsid w:val="00E937EB"/>
    <w:rsid w:val="00E93A9B"/>
    <w:rsid w:val="00E93ADF"/>
    <w:rsid w:val="00E93D03"/>
    <w:rsid w:val="00E94171"/>
    <w:rsid w:val="00E95F94"/>
    <w:rsid w:val="00E95FE1"/>
    <w:rsid w:val="00E9762E"/>
    <w:rsid w:val="00E97D94"/>
    <w:rsid w:val="00E97E9F"/>
    <w:rsid w:val="00EA00C3"/>
    <w:rsid w:val="00EA0245"/>
    <w:rsid w:val="00EA043A"/>
    <w:rsid w:val="00EA079A"/>
    <w:rsid w:val="00EA0B2F"/>
    <w:rsid w:val="00EA0DD5"/>
    <w:rsid w:val="00EA0F80"/>
    <w:rsid w:val="00EA162B"/>
    <w:rsid w:val="00EA1A3C"/>
    <w:rsid w:val="00EA23E2"/>
    <w:rsid w:val="00EA33FB"/>
    <w:rsid w:val="00EA350F"/>
    <w:rsid w:val="00EA3912"/>
    <w:rsid w:val="00EA3EC2"/>
    <w:rsid w:val="00EA3F4F"/>
    <w:rsid w:val="00EA413A"/>
    <w:rsid w:val="00EA53B2"/>
    <w:rsid w:val="00EA55E8"/>
    <w:rsid w:val="00EA56B7"/>
    <w:rsid w:val="00EA5802"/>
    <w:rsid w:val="00EA65FA"/>
    <w:rsid w:val="00EA6DA0"/>
    <w:rsid w:val="00EB0A14"/>
    <w:rsid w:val="00EB0B44"/>
    <w:rsid w:val="00EB0CAE"/>
    <w:rsid w:val="00EB0F8C"/>
    <w:rsid w:val="00EB1E4C"/>
    <w:rsid w:val="00EB1FB2"/>
    <w:rsid w:val="00EB22E1"/>
    <w:rsid w:val="00EB26AF"/>
    <w:rsid w:val="00EB3219"/>
    <w:rsid w:val="00EB3265"/>
    <w:rsid w:val="00EB33BA"/>
    <w:rsid w:val="00EB47A9"/>
    <w:rsid w:val="00EB5002"/>
    <w:rsid w:val="00EB5158"/>
    <w:rsid w:val="00EB5C0C"/>
    <w:rsid w:val="00EB6D22"/>
    <w:rsid w:val="00EB7716"/>
    <w:rsid w:val="00EC023D"/>
    <w:rsid w:val="00EC0A15"/>
    <w:rsid w:val="00EC1635"/>
    <w:rsid w:val="00EC35E9"/>
    <w:rsid w:val="00EC3D1C"/>
    <w:rsid w:val="00EC44B0"/>
    <w:rsid w:val="00EC4CE2"/>
    <w:rsid w:val="00EC4E0A"/>
    <w:rsid w:val="00EC4E71"/>
    <w:rsid w:val="00EC531E"/>
    <w:rsid w:val="00EC5CFA"/>
    <w:rsid w:val="00EC62F6"/>
    <w:rsid w:val="00EC7262"/>
    <w:rsid w:val="00EC7855"/>
    <w:rsid w:val="00EC7AA9"/>
    <w:rsid w:val="00EC7DC6"/>
    <w:rsid w:val="00ED193D"/>
    <w:rsid w:val="00ED28B5"/>
    <w:rsid w:val="00ED341D"/>
    <w:rsid w:val="00ED36C6"/>
    <w:rsid w:val="00ED3F6C"/>
    <w:rsid w:val="00ED460C"/>
    <w:rsid w:val="00ED4C45"/>
    <w:rsid w:val="00ED561B"/>
    <w:rsid w:val="00ED57EE"/>
    <w:rsid w:val="00ED5BF6"/>
    <w:rsid w:val="00ED5FE1"/>
    <w:rsid w:val="00ED79F2"/>
    <w:rsid w:val="00ED7CB1"/>
    <w:rsid w:val="00EE1004"/>
    <w:rsid w:val="00EE1633"/>
    <w:rsid w:val="00EE222A"/>
    <w:rsid w:val="00EE245B"/>
    <w:rsid w:val="00EE2660"/>
    <w:rsid w:val="00EE3285"/>
    <w:rsid w:val="00EE36AD"/>
    <w:rsid w:val="00EE39AA"/>
    <w:rsid w:val="00EE4217"/>
    <w:rsid w:val="00EE4800"/>
    <w:rsid w:val="00EE4E7A"/>
    <w:rsid w:val="00EE51B9"/>
    <w:rsid w:val="00EE5945"/>
    <w:rsid w:val="00EE623D"/>
    <w:rsid w:val="00EE6C71"/>
    <w:rsid w:val="00EF09D0"/>
    <w:rsid w:val="00EF0AEC"/>
    <w:rsid w:val="00EF0E04"/>
    <w:rsid w:val="00EF29BD"/>
    <w:rsid w:val="00EF2B6E"/>
    <w:rsid w:val="00EF3883"/>
    <w:rsid w:val="00EF3A50"/>
    <w:rsid w:val="00EF3D7D"/>
    <w:rsid w:val="00EF3E2D"/>
    <w:rsid w:val="00EF4529"/>
    <w:rsid w:val="00EF4CFD"/>
    <w:rsid w:val="00EF552D"/>
    <w:rsid w:val="00EF59C1"/>
    <w:rsid w:val="00EF59DE"/>
    <w:rsid w:val="00EF6D15"/>
    <w:rsid w:val="00EF7E36"/>
    <w:rsid w:val="00EF7E71"/>
    <w:rsid w:val="00F00259"/>
    <w:rsid w:val="00F008BC"/>
    <w:rsid w:val="00F00BD6"/>
    <w:rsid w:val="00F0186F"/>
    <w:rsid w:val="00F01BA0"/>
    <w:rsid w:val="00F01FB5"/>
    <w:rsid w:val="00F030A4"/>
    <w:rsid w:val="00F0550F"/>
    <w:rsid w:val="00F05964"/>
    <w:rsid w:val="00F06650"/>
    <w:rsid w:val="00F0730B"/>
    <w:rsid w:val="00F07960"/>
    <w:rsid w:val="00F123C4"/>
    <w:rsid w:val="00F124BB"/>
    <w:rsid w:val="00F12649"/>
    <w:rsid w:val="00F129F0"/>
    <w:rsid w:val="00F12C85"/>
    <w:rsid w:val="00F12F24"/>
    <w:rsid w:val="00F12F91"/>
    <w:rsid w:val="00F1372F"/>
    <w:rsid w:val="00F144A1"/>
    <w:rsid w:val="00F14A58"/>
    <w:rsid w:val="00F1543A"/>
    <w:rsid w:val="00F15583"/>
    <w:rsid w:val="00F158EC"/>
    <w:rsid w:val="00F16AB7"/>
    <w:rsid w:val="00F16C07"/>
    <w:rsid w:val="00F173A6"/>
    <w:rsid w:val="00F1755D"/>
    <w:rsid w:val="00F17CCC"/>
    <w:rsid w:val="00F17CD0"/>
    <w:rsid w:val="00F17D21"/>
    <w:rsid w:val="00F20D0F"/>
    <w:rsid w:val="00F20E29"/>
    <w:rsid w:val="00F215E2"/>
    <w:rsid w:val="00F21C28"/>
    <w:rsid w:val="00F21C7E"/>
    <w:rsid w:val="00F22870"/>
    <w:rsid w:val="00F230F8"/>
    <w:rsid w:val="00F2403A"/>
    <w:rsid w:val="00F240A2"/>
    <w:rsid w:val="00F246D7"/>
    <w:rsid w:val="00F24F43"/>
    <w:rsid w:val="00F25056"/>
    <w:rsid w:val="00F254D6"/>
    <w:rsid w:val="00F2599A"/>
    <w:rsid w:val="00F25B51"/>
    <w:rsid w:val="00F25CED"/>
    <w:rsid w:val="00F26540"/>
    <w:rsid w:val="00F30980"/>
    <w:rsid w:val="00F30E88"/>
    <w:rsid w:val="00F31344"/>
    <w:rsid w:val="00F31FFD"/>
    <w:rsid w:val="00F3202C"/>
    <w:rsid w:val="00F321F5"/>
    <w:rsid w:val="00F32587"/>
    <w:rsid w:val="00F325B0"/>
    <w:rsid w:val="00F32FF9"/>
    <w:rsid w:val="00F33AA7"/>
    <w:rsid w:val="00F345DC"/>
    <w:rsid w:val="00F34840"/>
    <w:rsid w:val="00F34B7F"/>
    <w:rsid w:val="00F35878"/>
    <w:rsid w:val="00F3622D"/>
    <w:rsid w:val="00F3636A"/>
    <w:rsid w:val="00F375AA"/>
    <w:rsid w:val="00F40587"/>
    <w:rsid w:val="00F40A26"/>
    <w:rsid w:val="00F40ABE"/>
    <w:rsid w:val="00F40AE6"/>
    <w:rsid w:val="00F419B6"/>
    <w:rsid w:val="00F422A0"/>
    <w:rsid w:val="00F42321"/>
    <w:rsid w:val="00F42407"/>
    <w:rsid w:val="00F42C01"/>
    <w:rsid w:val="00F42C21"/>
    <w:rsid w:val="00F43457"/>
    <w:rsid w:val="00F44477"/>
    <w:rsid w:val="00F44D65"/>
    <w:rsid w:val="00F45FB6"/>
    <w:rsid w:val="00F473B2"/>
    <w:rsid w:val="00F50911"/>
    <w:rsid w:val="00F51EEC"/>
    <w:rsid w:val="00F52684"/>
    <w:rsid w:val="00F53DFC"/>
    <w:rsid w:val="00F54F7E"/>
    <w:rsid w:val="00F55134"/>
    <w:rsid w:val="00F55F40"/>
    <w:rsid w:val="00F56153"/>
    <w:rsid w:val="00F5636B"/>
    <w:rsid w:val="00F5789C"/>
    <w:rsid w:val="00F57CD7"/>
    <w:rsid w:val="00F608D6"/>
    <w:rsid w:val="00F60CF1"/>
    <w:rsid w:val="00F61857"/>
    <w:rsid w:val="00F62030"/>
    <w:rsid w:val="00F624E0"/>
    <w:rsid w:val="00F628D7"/>
    <w:rsid w:val="00F63F25"/>
    <w:rsid w:val="00F643D7"/>
    <w:rsid w:val="00F64AE0"/>
    <w:rsid w:val="00F656C3"/>
    <w:rsid w:val="00F65E8A"/>
    <w:rsid w:val="00F65F3E"/>
    <w:rsid w:val="00F66636"/>
    <w:rsid w:val="00F66A8F"/>
    <w:rsid w:val="00F67239"/>
    <w:rsid w:val="00F67F98"/>
    <w:rsid w:val="00F70125"/>
    <w:rsid w:val="00F70B53"/>
    <w:rsid w:val="00F7157E"/>
    <w:rsid w:val="00F716D5"/>
    <w:rsid w:val="00F71DB4"/>
    <w:rsid w:val="00F71DBE"/>
    <w:rsid w:val="00F71DCF"/>
    <w:rsid w:val="00F720AA"/>
    <w:rsid w:val="00F72CC9"/>
    <w:rsid w:val="00F7353A"/>
    <w:rsid w:val="00F740CE"/>
    <w:rsid w:val="00F74408"/>
    <w:rsid w:val="00F74581"/>
    <w:rsid w:val="00F74B2F"/>
    <w:rsid w:val="00F74EEB"/>
    <w:rsid w:val="00F750DE"/>
    <w:rsid w:val="00F75A0E"/>
    <w:rsid w:val="00F7640D"/>
    <w:rsid w:val="00F768F2"/>
    <w:rsid w:val="00F77084"/>
    <w:rsid w:val="00F77BBA"/>
    <w:rsid w:val="00F80FFF"/>
    <w:rsid w:val="00F81ADF"/>
    <w:rsid w:val="00F81D12"/>
    <w:rsid w:val="00F828CF"/>
    <w:rsid w:val="00F83249"/>
    <w:rsid w:val="00F83D55"/>
    <w:rsid w:val="00F84BD5"/>
    <w:rsid w:val="00F8520F"/>
    <w:rsid w:val="00F857B6"/>
    <w:rsid w:val="00F86A0C"/>
    <w:rsid w:val="00F87EFF"/>
    <w:rsid w:val="00F90A3C"/>
    <w:rsid w:val="00F90EAC"/>
    <w:rsid w:val="00F90F5C"/>
    <w:rsid w:val="00F91908"/>
    <w:rsid w:val="00F92C08"/>
    <w:rsid w:val="00F92F06"/>
    <w:rsid w:val="00F94388"/>
    <w:rsid w:val="00F9672D"/>
    <w:rsid w:val="00F96759"/>
    <w:rsid w:val="00F96A63"/>
    <w:rsid w:val="00F96E9B"/>
    <w:rsid w:val="00F96EC7"/>
    <w:rsid w:val="00FA000E"/>
    <w:rsid w:val="00FA0358"/>
    <w:rsid w:val="00FA04AD"/>
    <w:rsid w:val="00FA1D2C"/>
    <w:rsid w:val="00FA1FBA"/>
    <w:rsid w:val="00FA1FC9"/>
    <w:rsid w:val="00FA230A"/>
    <w:rsid w:val="00FA292C"/>
    <w:rsid w:val="00FA2A76"/>
    <w:rsid w:val="00FA2AB7"/>
    <w:rsid w:val="00FA2B05"/>
    <w:rsid w:val="00FA3736"/>
    <w:rsid w:val="00FA390F"/>
    <w:rsid w:val="00FA3D5F"/>
    <w:rsid w:val="00FA418F"/>
    <w:rsid w:val="00FA45B9"/>
    <w:rsid w:val="00FA4B69"/>
    <w:rsid w:val="00FA57FC"/>
    <w:rsid w:val="00FA5BED"/>
    <w:rsid w:val="00FA6165"/>
    <w:rsid w:val="00FA6346"/>
    <w:rsid w:val="00FA68CA"/>
    <w:rsid w:val="00FA6DCE"/>
    <w:rsid w:val="00FB007B"/>
    <w:rsid w:val="00FB0616"/>
    <w:rsid w:val="00FB24CD"/>
    <w:rsid w:val="00FB2987"/>
    <w:rsid w:val="00FB2CAA"/>
    <w:rsid w:val="00FB30C7"/>
    <w:rsid w:val="00FB34AC"/>
    <w:rsid w:val="00FB3F85"/>
    <w:rsid w:val="00FB3FC7"/>
    <w:rsid w:val="00FB4930"/>
    <w:rsid w:val="00FB4D12"/>
    <w:rsid w:val="00FB4ED2"/>
    <w:rsid w:val="00FB684E"/>
    <w:rsid w:val="00FB7698"/>
    <w:rsid w:val="00FB7F79"/>
    <w:rsid w:val="00FB7F97"/>
    <w:rsid w:val="00FC0180"/>
    <w:rsid w:val="00FC063C"/>
    <w:rsid w:val="00FC076C"/>
    <w:rsid w:val="00FC0A46"/>
    <w:rsid w:val="00FC0CBE"/>
    <w:rsid w:val="00FC1AED"/>
    <w:rsid w:val="00FC2B7B"/>
    <w:rsid w:val="00FC2E38"/>
    <w:rsid w:val="00FC30EC"/>
    <w:rsid w:val="00FC3449"/>
    <w:rsid w:val="00FC3C60"/>
    <w:rsid w:val="00FC3F36"/>
    <w:rsid w:val="00FC421E"/>
    <w:rsid w:val="00FC470E"/>
    <w:rsid w:val="00FC4745"/>
    <w:rsid w:val="00FC4C4E"/>
    <w:rsid w:val="00FC4DA1"/>
    <w:rsid w:val="00FC589F"/>
    <w:rsid w:val="00FC5FB5"/>
    <w:rsid w:val="00FC62B2"/>
    <w:rsid w:val="00FC74B2"/>
    <w:rsid w:val="00FC7AF9"/>
    <w:rsid w:val="00FC7DEE"/>
    <w:rsid w:val="00FD2E44"/>
    <w:rsid w:val="00FD38E1"/>
    <w:rsid w:val="00FD3C94"/>
    <w:rsid w:val="00FD4070"/>
    <w:rsid w:val="00FD4448"/>
    <w:rsid w:val="00FD4C63"/>
    <w:rsid w:val="00FD4CD1"/>
    <w:rsid w:val="00FD5B19"/>
    <w:rsid w:val="00FD64D8"/>
    <w:rsid w:val="00FD664C"/>
    <w:rsid w:val="00FD67A7"/>
    <w:rsid w:val="00FD69ED"/>
    <w:rsid w:val="00FD7301"/>
    <w:rsid w:val="00FE15C9"/>
    <w:rsid w:val="00FE1623"/>
    <w:rsid w:val="00FE1CB4"/>
    <w:rsid w:val="00FE2A73"/>
    <w:rsid w:val="00FE2EB1"/>
    <w:rsid w:val="00FE38AB"/>
    <w:rsid w:val="00FE3DFD"/>
    <w:rsid w:val="00FE3F05"/>
    <w:rsid w:val="00FE55F3"/>
    <w:rsid w:val="00FE5658"/>
    <w:rsid w:val="00FE61D8"/>
    <w:rsid w:val="00FE6584"/>
    <w:rsid w:val="00FE673B"/>
    <w:rsid w:val="00FE7103"/>
    <w:rsid w:val="00FE717C"/>
    <w:rsid w:val="00FE7B6D"/>
    <w:rsid w:val="00FE7C10"/>
    <w:rsid w:val="00FE7F46"/>
    <w:rsid w:val="00FF1010"/>
    <w:rsid w:val="00FF1527"/>
    <w:rsid w:val="00FF210D"/>
    <w:rsid w:val="00FF2599"/>
    <w:rsid w:val="00FF2B37"/>
    <w:rsid w:val="00FF3AC5"/>
    <w:rsid w:val="00FF53D1"/>
    <w:rsid w:val="00FF5B83"/>
    <w:rsid w:val="00FF5C02"/>
    <w:rsid w:val="00FF60CC"/>
    <w:rsid w:val="00FF6D96"/>
    <w:rsid w:val="00FF7038"/>
    <w:rsid w:val="00FF7293"/>
    <w:rsid w:val="00FF7463"/>
    <w:rsid w:val="00FF7919"/>
    <w:rsid w:val="012E26EA"/>
    <w:rsid w:val="012F67F8"/>
    <w:rsid w:val="015C074D"/>
    <w:rsid w:val="018213AE"/>
    <w:rsid w:val="018A6B0E"/>
    <w:rsid w:val="01A219BB"/>
    <w:rsid w:val="01C74AB4"/>
    <w:rsid w:val="01D9183C"/>
    <w:rsid w:val="01FC48ED"/>
    <w:rsid w:val="02415C92"/>
    <w:rsid w:val="02612B4B"/>
    <w:rsid w:val="02A74AEE"/>
    <w:rsid w:val="02E846F1"/>
    <w:rsid w:val="02F649B7"/>
    <w:rsid w:val="03185234"/>
    <w:rsid w:val="03893C73"/>
    <w:rsid w:val="03B63C5B"/>
    <w:rsid w:val="041718BA"/>
    <w:rsid w:val="042B7C2C"/>
    <w:rsid w:val="04382DCA"/>
    <w:rsid w:val="048E0E5F"/>
    <w:rsid w:val="04CD13CA"/>
    <w:rsid w:val="050670F9"/>
    <w:rsid w:val="052847A4"/>
    <w:rsid w:val="054572B0"/>
    <w:rsid w:val="05D811FB"/>
    <w:rsid w:val="05FF0C37"/>
    <w:rsid w:val="06321D73"/>
    <w:rsid w:val="06610D1A"/>
    <w:rsid w:val="07726B5D"/>
    <w:rsid w:val="07E54A03"/>
    <w:rsid w:val="08A40BA7"/>
    <w:rsid w:val="08AA7C2F"/>
    <w:rsid w:val="08AC54D4"/>
    <w:rsid w:val="096D5CE3"/>
    <w:rsid w:val="099A5B07"/>
    <w:rsid w:val="099E28D3"/>
    <w:rsid w:val="09A01E3C"/>
    <w:rsid w:val="09E40164"/>
    <w:rsid w:val="09EC198B"/>
    <w:rsid w:val="09FC14BE"/>
    <w:rsid w:val="0A2925D4"/>
    <w:rsid w:val="0AA260C4"/>
    <w:rsid w:val="0AEF0607"/>
    <w:rsid w:val="0B636CF0"/>
    <w:rsid w:val="0B763BE8"/>
    <w:rsid w:val="0B7E6CD5"/>
    <w:rsid w:val="0B886D92"/>
    <w:rsid w:val="0BA478E3"/>
    <w:rsid w:val="0C201564"/>
    <w:rsid w:val="0C5C513C"/>
    <w:rsid w:val="0C9A55A5"/>
    <w:rsid w:val="0CBD42A3"/>
    <w:rsid w:val="0CE9263F"/>
    <w:rsid w:val="0D167A56"/>
    <w:rsid w:val="0D264635"/>
    <w:rsid w:val="0D37349F"/>
    <w:rsid w:val="0D516981"/>
    <w:rsid w:val="0D770DC6"/>
    <w:rsid w:val="0DD1575A"/>
    <w:rsid w:val="0DE53FB5"/>
    <w:rsid w:val="0E9A5123"/>
    <w:rsid w:val="0F1F2C17"/>
    <w:rsid w:val="0F4A122A"/>
    <w:rsid w:val="0F5242F2"/>
    <w:rsid w:val="0F752DE9"/>
    <w:rsid w:val="0FD9115B"/>
    <w:rsid w:val="0FEF741B"/>
    <w:rsid w:val="102A63F8"/>
    <w:rsid w:val="104B23CB"/>
    <w:rsid w:val="10A6706A"/>
    <w:rsid w:val="10CB057C"/>
    <w:rsid w:val="10F07F95"/>
    <w:rsid w:val="10F76EF4"/>
    <w:rsid w:val="1129555E"/>
    <w:rsid w:val="113511B3"/>
    <w:rsid w:val="113D5E61"/>
    <w:rsid w:val="1167495D"/>
    <w:rsid w:val="11A90DA0"/>
    <w:rsid w:val="11C82887"/>
    <w:rsid w:val="11E47A7C"/>
    <w:rsid w:val="12475443"/>
    <w:rsid w:val="12740386"/>
    <w:rsid w:val="1277078B"/>
    <w:rsid w:val="129A451B"/>
    <w:rsid w:val="129E35E0"/>
    <w:rsid w:val="12A3251B"/>
    <w:rsid w:val="12BE3F61"/>
    <w:rsid w:val="12DB4CD6"/>
    <w:rsid w:val="13054526"/>
    <w:rsid w:val="130C5D81"/>
    <w:rsid w:val="132E48A4"/>
    <w:rsid w:val="13690ED7"/>
    <w:rsid w:val="136930A3"/>
    <w:rsid w:val="13A0367B"/>
    <w:rsid w:val="13A87577"/>
    <w:rsid w:val="13E511C0"/>
    <w:rsid w:val="13F83329"/>
    <w:rsid w:val="14077EB1"/>
    <w:rsid w:val="14335B23"/>
    <w:rsid w:val="1449651B"/>
    <w:rsid w:val="14682805"/>
    <w:rsid w:val="14746294"/>
    <w:rsid w:val="14DF3D17"/>
    <w:rsid w:val="14E81C45"/>
    <w:rsid w:val="14F40F91"/>
    <w:rsid w:val="15410C62"/>
    <w:rsid w:val="154E10E7"/>
    <w:rsid w:val="15995928"/>
    <w:rsid w:val="16470F49"/>
    <w:rsid w:val="16A325B2"/>
    <w:rsid w:val="173E6AC8"/>
    <w:rsid w:val="174A4F7F"/>
    <w:rsid w:val="178D55C7"/>
    <w:rsid w:val="17CD4692"/>
    <w:rsid w:val="18802663"/>
    <w:rsid w:val="18C72938"/>
    <w:rsid w:val="18FC0B3B"/>
    <w:rsid w:val="191869E1"/>
    <w:rsid w:val="192372B6"/>
    <w:rsid w:val="192C4828"/>
    <w:rsid w:val="1931431B"/>
    <w:rsid w:val="193C7E1E"/>
    <w:rsid w:val="194F3DF1"/>
    <w:rsid w:val="19721B4B"/>
    <w:rsid w:val="1980274B"/>
    <w:rsid w:val="19AA4A61"/>
    <w:rsid w:val="19DC002D"/>
    <w:rsid w:val="1A361414"/>
    <w:rsid w:val="1AAF1016"/>
    <w:rsid w:val="1ABB6877"/>
    <w:rsid w:val="1AD24D4B"/>
    <w:rsid w:val="1AE12AC0"/>
    <w:rsid w:val="1B2755C1"/>
    <w:rsid w:val="1B2B6CE7"/>
    <w:rsid w:val="1B8C3016"/>
    <w:rsid w:val="1B9918F0"/>
    <w:rsid w:val="1BAC256E"/>
    <w:rsid w:val="1BB3469E"/>
    <w:rsid w:val="1C005E35"/>
    <w:rsid w:val="1C091707"/>
    <w:rsid w:val="1C3C4084"/>
    <w:rsid w:val="1C8C485F"/>
    <w:rsid w:val="1D1A343C"/>
    <w:rsid w:val="1D231453"/>
    <w:rsid w:val="1D676D97"/>
    <w:rsid w:val="1E404787"/>
    <w:rsid w:val="1E731AC6"/>
    <w:rsid w:val="1E9E1C4D"/>
    <w:rsid w:val="1EAD44C7"/>
    <w:rsid w:val="1F6E4F7C"/>
    <w:rsid w:val="1FF463AF"/>
    <w:rsid w:val="20020906"/>
    <w:rsid w:val="20251F7B"/>
    <w:rsid w:val="20834033"/>
    <w:rsid w:val="210F2720"/>
    <w:rsid w:val="213627A8"/>
    <w:rsid w:val="21661EE2"/>
    <w:rsid w:val="218C47A3"/>
    <w:rsid w:val="21997AFB"/>
    <w:rsid w:val="21E758C2"/>
    <w:rsid w:val="21F239DF"/>
    <w:rsid w:val="21FD513D"/>
    <w:rsid w:val="226A7AE8"/>
    <w:rsid w:val="22733FA8"/>
    <w:rsid w:val="22AA6E0B"/>
    <w:rsid w:val="22AE1382"/>
    <w:rsid w:val="22C35C86"/>
    <w:rsid w:val="23F6037A"/>
    <w:rsid w:val="245C76E9"/>
    <w:rsid w:val="248F610A"/>
    <w:rsid w:val="24E95DDF"/>
    <w:rsid w:val="254E52F5"/>
    <w:rsid w:val="257100B1"/>
    <w:rsid w:val="25A21BA1"/>
    <w:rsid w:val="25D50207"/>
    <w:rsid w:val="25E37C68"/>
    <w:rsid w:val="261C7B38"/>
    <w:rsid w:val="26B43832"/>
    <w:rsid w:val="26B43E15"/>
    <w:rsid w:val="27216A15"/>
    <w:rsid w:val="27435940"/>
    <w:rsid w:val="27A901E9"/>
    <w:rsid w:val="27AA1668"/>
    <w:rsid w:val="27AF5283"/>
    <w:rsid w:val="27BB26B1"/>
    <w:rsid w:val="27CF4BE3"/>
    <w:rsid w:val="27F24171"/>
    <w:rsid w:val="27F64403"/>
    <w:rsid w:val="2888041E"/>
    <w:rsid w:val="288D3C1E"/>
    <w:rsid w:val="28C775A5"/>
    <w:rsid w:val="28E81E18"/>
    <w:rsid w:val="29104223"/>
    <w:rsid w:val="294979F1"/>
    <w:rsid w:val="29601858"/>
    <w:rsid w:val="296725F1"/>
    <w:rsid w:val="296F110A"/>
    <w:rsid w:val="29C500BE"/>
    <w:rsid w:val="2A16229F"/>
    <w:rsid w:val="2A183781"/>
    <w:rsid w:val="2A1A73A6"/>
    <w:rsid w:val="2A8F0D85"/>
    <w:rsid w:val="2B7213BE"/>
    <w:rsid w:val="2BA51BD7"/>
    <w:rsid w:val="2BBD1DA3"/>
    <w:rsid w:val="2BFC237B"/>
    <w:rsid w:val="2C122C01"/>
    <w:rsid w:val="2CA15B47"/>
    <w:rsid w:val="2CF81E2C"/>
    <w:rsid w:val="2D0B5A4B"/>
    <w:rsid w:val="2D2230F3"/>
    <w:rsid w:val="2D250E5D"/>
    <w:rsid w:val="2D2C7319"/>
    <w:rsid w:val="2D502C80"/>
    <w:rsid w:val="2D6232F8"/>
    <w:rsid w:val="2DA85E01"/>
    <w:rsid w:val="2DBB5D7E"/>
    <w:rsid w:val="2EB65F39"/>
    <w:rsid w:val="2FA452C6"/>
    <w:rsid w:val="2FDE3409"/>
    <w:rsid w:val="30F307F5"/>
    <w:rsid w:val="314E67A5"/>
    <w:rsid w:val="31557785"/>
    <w:rsid w:val="316270FB"/>
    <w:rsid w:val="31BA6D91"/>
    <w:rsid w:val="31BE610C"/>
    <w:rsid w:val="31C013FC"/>
    <w:rsid w:val="32A4226C"/>
    <w:rsid w:val="32AE2457"/>
    <w:rsid w:val="330208B7"/>
    <w:rsid w:val="330E1E39"/>
    <w:rsid w:val="33357975"/>
    <w:rsid w:val="33415E83"/>
    <w:rsid w:val="337F7607"/>
    <w:rsid w:val="33A7532B"/>
    <w:rsid w:val="33D406B7"/>
    <w:rsid w:val="33E51FB3"/>
    <w:rsid w:val="34B70F60"/>
    <w:rsid w:val="353D6164"/>
    <w:rsid w:val="35FF08B9"/>
    <w:rsid w:val="362D07E2"/>
    <w:rsid w:val="36854D09"/>
    <w:rsid w:val="36B81FB7"/>
    <w:rsid w:val="36C91FD1"/>
    <w:rsid w:val="37233E12"/>
    <w:rsid w:val="373C1FE1"/>
    <w:rsid w:val="37731710"/>
    <w:rsid w:val="37EA7903"/>
    <w:rsid w:val="381C6576"/>
    <w:rsid w:val="383C731B"/>
    <w:rsid w:val="387551FF"/>
    <w:rsid w:val="38D710B7"/>
    <w:rsid w:val="39023D1C"/>
    <w:rsid w:val="399028A9"/>
    <w:rsid w:val="39A32830"/>
    <w:rsid w:val="3A207E2C"/>
    <w:rsid w:val="3A5B6823"/>
    <w:rsid w:val="3B0613D8"/>
    <w:rsid w:val="3B2B3367"/>
    <w:rsid w:val="3B5669FE"/>
    <w:rsid w:val="3B6410C7"/>
    <w:rsid w:val="3BB84553"/>
    <w:rsid w:val="3C3628A4"/>
    <w:rsid w:val="3C3F5055"/>
    <w:rsid w:val="3C4735FD"/>
    <w:rsid w:val="3C4B0893"/>
    <w:rsid w:val="3CB23EF6"/>
    <w:rsid w:val="3CC23CD8"/>
    <w:rsid w:val="3CD57571"/>
    <w:rsid w:val="3D157FE6"/>
    <w:rsid w:val="3D4E23E8"/>
    <w:rsid w:val="3DA45701"/>
    <w:rsid w:val="3E2D7000"/>
    <w:rsid w:val="3E302431"/>
    <w:rsid w:val="3E7C64E0"/>
    <w:rsid w:val="3E87302A"/>
    <w:rsid w:val="3EAE7E7D"/>
    <w:rsid w:val="3EC0557E"/>
    <w:rsid w:val="3F232408"/>
    <w:rsid w:val="3FE5103B"/>
    <w:rsid w:val="403A710E"/>
    <w:rsid w:val="40651F42"/>
    <w:rsid w:val="40F035C0"/>
    <w:rsid w:val="413C370F"/>
    <w:rsid w:val="41783827"/>
    <w:rsid w:val="417C3CB8"/>
    <w:rsid w:val="41894AA1"/>
    <w:rsid w:val="41A64B21"/>
    <w:rsid w:val="41C94BE4"/>
    <w:rsid w:val="41D7259B"/>
    <w:rsid w:val="421B3294"/>
    <w:rsid w:val="42265341"/>
    <w:rsid w:val="42A54D83"/>
    <w:rsid w:val="431F431C"/>
    <w:rsid w:val="43BF4DBD"/>
    <w:rsid w:val="43FF3D01"/>
    <w:rsid w:val="44176545"/>
    <w:rsid w:val="44200D70"/>
    <w:rsid w:val="44871D9C"/>
    <w:rsid w:val="44B30672"/>
    <w:rsid w:val="44B73BB6"/>
    <w:rsid w:val="44DD22EE"/>
    <w:rsid w:val="44E85785"/>
    <w:rsid w:val="458C3B34"/>
    <w:rsid w:val="45B9466C"/>
    <w:rsid w:val="45E903B0"/>
    <w:rsid w:val="45F66674"/>
    <w:rsid w:val="46253279"/>
    <w:rsid w:val="463371DA"/>
    <w:rsid w:val="4662561D"/>
    <w:rsid w:val="466B027C"/>
    <w:rsid w:val="4675304E"/>
    <w:rsid w:val="46EF1601"/>
    <w:rsid w:val="47120A67"/>
    <w:rsid w:val="47225A92"/>
    <w:rsid w:val="472A0FB8"/>
    <w:rsid w:val="473A4EA0"/>
    <w:rsid w:val="47CD192F"/>
    <w:rsid w:val="47CF7C1D"/>
    <w:rsid w:val="47FD641B"/>
    <w:rsid w:val="487A44D3"/>
    <w:rsid w:val="48A21C3F"/>
    <w:rsid w:val="48B95220"/>
    <w:rsid w:val="48CF06F9"/>
    <w:rsid w:val="49254BB0"/>
    <w:rsid w:val="49510CA9"/>
    <w:rsid w:val="497D58B0"/>
    <w:rsid w:val="499C2BEE"/>
    <w:rsid w:val="49A14A86"/>
    <w:rsid w:val="49E34D55"/>
    <w:rsid w:val="49F37D37"/>
    <w:rsid w:val="4A0436F8"/>
    <w:rsid w:val="4A092E6B"/>
    <w:rsid w:val="4A101F8D"/>
    <w:rsid w:val="4A1077D9"/>
    <w:rsid w:val="4A273284"/>
    <w:rsid w:val="4A374D11"/>
    <w:rsid w:val="4A66324C"/>
    <w:rsid w:val="4A8702A0"/>
    <w:rsid w:val="4AEB1D20"/>
    <w:rsid w:val="4AF9186F"/>
    <w:rsid w:val="4B455985"/>
    <w:rsid w:val="4B645DC6"/>
    <w:rsid w:val="4B7A471E"/>
    <w:rsid w:val="4B9B24B8"/>
    <w:rsid w:val="4C135520"/>
    <w:rsid w:val="4C1E5084"/>
    <w:rsid w:val="4CD91815"/>
    <w:rsid w:val="4CEA7C83"/>
    <w:rsid w:val="4D155514"/>
    <w:rsid w:val="4D171B04"/>
    <w:rsid w:val="4D182806"/>
    <w:rsid w:val="4D3E51A9"/>
    <w:rsid w:val="4D4025A5"/>
    <w:rsid w:val="4D41310F"/>
    <w:rsid w:val="4D585B4E"/>
    <w:rsid w:val="4D6D0F94"/>
    <w:rsid w:val="4D7627E0"/>
    <w:rsid w:val="4D7A620D"/>
    <w:rsid w:val="4ED1236A"/>
    <w:rsid w:val="4F393CD8"/>
    <w:rsid w:val="4F851713"/>
    <w:rsid w:val="4F8E51D3"/>
    <w:rsid w:val="4FA230F6"/>
    <w:rsid w:val="4FB9210B"/>
    <w:rsid w:val="50032395"/>
    <w:rsid w:val="502A3BA5"/>
    <w:rsid w:val="50996FF0"/>
    <w:rsid w:val="50DF3214"/>
    <w:rsid w:val="51590667"/>
    <w:rsid w:val="517734D7"/>
    <w:rsid w:val="51F04580"/>
    <w:rsid w:val="51FD2C0D"/>
    <w:rsid w:val="522F4702"/>
    <w:rsid w:val="525E6C7E"/>
    <w:rsid w:val="52D02036"/>
    <w:rsid w:val="530323B4"/>
    <w:rsid w:val="530C413D"/>
    <w:rsid w:val="53A9321B"/>
    <w:rsid w:val="53DA349A"/>
    <w:rsid w:val="545644E4"/>
    <w:rsid w:val="5479750C"/>
    <w:rsid w:val="548E0EED"/>
    <w:rsid w:val="5498356B"/>
    <w:rsid w:val="54FE74F4"/>
    <w:rsid w:val="5566175D"/>
    <w:rsid w:val="55A074B4"/>
    <w:rsid w:val="55A65B9E"/>
    <w:rsid w:val="56030E19"/>
    <w:rsid w:val="56156FD6"/>
    <w:rsid w:val="56702221"/>
    <w:rsid w:val="57325072"/>
    <w:rsid w:val="57555840"/>
    <w:rsid w:val="57727EA7"/>
    <w:rsid w:val="578B7059"/>
    <w:rsid w:val="57A13EE7"/>
    <w:rsid w:val="57DC6053"/>
    <w:rsid w:val="57E745A2"/>
    <w:rsid w:val="583378A2"/>
    <w:rsid w:val="583D4F91"/>
    <w:rsid w:val="58D81A0A"/>
    <w:rsid w:val="58F651A6"/>
    <w:rsid w:val="591026A6"/>
    <w:rsid w:val="592C16F0"/>
    <w:rsid w:val="5A12252B"/>
    <w:rsid w:val="5A280297"/>
    <w:rsid w:val="5A8846F0"/>
    <w:rsid w:val="5AE03C57"/>
    <w:rsid w:val="5AF54431"/>
    <w:rsid w:val="5B054A4A"/>
    <w:rsid w:val="5B302388"/>
    <w:rsid w:val="5B3352A8"/>
    <w:rsid w:val="5B543DBA"/>
    <w:rsid w:val="5B576273"/>
    <w:rsid w:val="5B792EE6"/>
    <w:rsid w:val="5BC07CBA"/>
    <w:rsid w:val="5BD44985"/>
    <w:rsid w:val="5BDE7AD4"/>
    <w:rsid w:val="5BEC1D0C"/>
    <w:rsid w:val="5BFD75BA"/>
    <w:rsid w:val="5C143670"/>
    <w:rsid w:val="5C3C0D0B"/>
    <w:rsid w:val="5C4C250B"/>
    <w:rsid w:val="5D1C12FF"/>
    <w:rsid w:val="5D21571B"/>
    <w:rsid w:val="5D4910EE"/>
    <w:rsid w:val="5D516FEA"/>
    <w:rsid w:val="5D717077"/>
    <w:rsid w:val="5D7622CB"/>
    <w:rsid w:val="5E300AB2"/>
    <w:rsid w:val="5E620AFF"/>
    <w:rsid w:val="5E6B20C0"/>
    <w:rsid w:val="5E7536ED"/>
    <w:rsid w:val="5E9A686F"/>
    <w:rsid w:val="5F296506"/>
    <w:rsid w:val="5FF276AF"/>
    <w:rsid w:val="6078555D"/>
    <w:rsid w:val="609E3612"/>
    <w:rsid w:val="60FA355E"/>
    <w:rsid w:val="61377799"/>
    <w:rsid w:val="61384391"/>
    <w:rsid w:val="614C4208"/>
    <w:rsid w:val="61A56F5C"/>
    <w:rsid w:val="61BC0B14"/>
    <w:rsid w:val="61D6711E"/>
    <w:rsid w:val="61D95EF2"/>
    <w:rsid w:val="62034EDE"/>
    <w:rsid w:val="62B76F09"/>
    <w:rsid w:val="62E45E48"/>
    <w:rsid w:val="63615CB2"/>
    <w:rsid w:val="63997065"/>
    <w:rsid w:val="63E15AB3"/>
    <w:rsid w:val="640C209E"/>
    <w:rsid w:val="642A279B"/>
    <w:rsid w:val="652D54A9"/>
    <w:rsid w:val="656C76F6"/>
    <w:rsid w:val="65755315"/>
    <w:rsid w:val="6651365A"/>
    <w:rsid w:val="668A5EB8"/>
    <w:rsid w:val="67270A7F"/>
    <w:rsid w:val="672C5BA6"/>
    <w:rsid w:val="674C1ACF"/>
    <w:rsid w:val="675B3673"/>
    <w:rsid w:val="67936601"/>
    <w:rsid w:val="67A66F37"/>
    <w:rsid w:val="67D45B7E"/>
    <w:rsid w:val="67E679A6"/>
    <w:rsid w:val="68B15B93"/>
    <w:rsid w:val="68E14B1A"/>
    <w:rsid w:val="68FD4033"/>
    <w:rsid w:val="692558D3"/>
    <w:rsid w:val="692B2452"/>
    <w:rsid w:val="69547B46"/>
    <w:rsid w:val="699E2AEB"/>
    <w:rsid w:val="69B30B90"/>
    <w:rsid w:val="6A0E0A4D"/>
    <w:rsid w:val="6A4B1983"/>
    <w:rsid w:val="6A7827F4"/>
    <w:rsid w:val="6AAB0708"/>
    <w:rsid w:val="6AD26B42"/>
    <w:rsid w:val="6AEF3E12"/>
    <w:rsid w:val="6B08357A"/>
    <w:rsid w:val="6B350936"/>
    <w:rsid w:val="6BBF4515"/>
    <w:rsid w:val="6BC04F2B"/>
    <w:rsid w:val="6C1E6EBD"/>
    <w:rsid w:val="6C316AFF"/>
    <w:rsid w:val="6C4B29F8"/>
    <w:rsid w:val="6C714135"/>
    <w:rsid w:val="6C84303A"/>
    <w:rsid w:val="6C974C59"/>
    <w:rsid w:val="6CB75954"/>
    <w:rsid w:val="6D6C043C"/>
    <w:rsid w:val="6D9D14F2"/>
    <w:rsid w:val="6DFB23E8"/>
    <w:rsid w:val="6E007074"/>
    <w:rsid w:val="6E0A31CA"/>
    <w:rsid w:val="6E786AAA"/>
    <w:rsid w:val="6E8A2FBC"/>
    <w:rsid w:val="6E8B7986"/>
    <w:rsid w:val="6E9821D8"/>
    <w:rsid w:val="6ED47936"/>
    <w:rsid w:val="6F184EAC"/>
    <w:rsid w:val="6F2C65F8"/>
    <w:rsid w:val="6F427C4E"/>
    <w:rsid w:val="6F5A6BF2"/>
    <w:rsid w:val="6F6D6739"/>
    <w:rsid w:val="6FAD30E7"/>
    <w:rsid w:val="6FCA274E"/>
    <w:rsid w:val="6FCD09F1"/>
    <w:rsid w:val="6FD06B61"/>
    <w:rsid w:val="6FF02BE5"/>
    <w:rsid w:val="700920FF"/>
    <w:rsid w:val="702E6AB5"/>
    <w:rsid w:val="70B76F30"/>
    <w:rsid w:val="70C822BD"/>
    <w:rsid w:val="70D21505"/>
    <w:rsid w:val="70EC091E"/>
    <w:rsid w:val="70F462EF"/>
    <w:rsid w:val="713B3D3A"/>
    <w:rsid w:val="716419AB"/>
    <w:rsid w:val="718D0B0B"/>
    <w:rsid w:val="71A1306D"/>
    <w:rsid w:val="71B0648F"/>
    <w:rsid w:val="71E41B16"/>
    <w:rsid w:val="721B03AB"/>
    <w:rsid w:val="7221464B"/>
    <w:rsid w:val="729E0902"/>
    <w:rsid w:val="72B04F29"/>
    <w:rsid w:val="72B06124"/>
    <w:rsid w:val="72C13CC4"/>
    <w:rsid w:val="73014298"/>
    <w:rsid w:val="73145DD2"/>
    <w:rsid w:val="7368714D"/>
    <w:rsid w:val="73D7207F"/>
    <w:rsid w:val="73DD0AE9"/>
    <w:rsid w:val="73DF7710"/>
    <w:rsid w:val="740A156C"/>
    <w:rsid w:val="749B518A"/>
    <w:rsid w:val="74E05658"/>
    <w:rsid w:val="74EC562F"/>
    <w:rsid w:val="75275FD8"/>
    <w:rsid w:val="75420494"/>
    <w:rsid w:val="758350AE"/>
    <w:rsid w:val="75A761F4"/>
    <w:rsid w:val="75B11E03"/>
    <w:rsid w:val="75C56897"/>
    <w:rsid w:val="75DE7BB6"/>
    <w:rsid w:val="75E42405"/>
    <w:rsid w:val="75E844BA"/>
    <w:rsid w:val="76156032"/>
    <w:rsid w:val="76195278"/>
    <w:rsid w:val="761A6AE1"/>
    <w:rsid w:val="76374D75"/>
    <w:rsid w:val="7647336A"/>
    <w:rsid w:val="76601C4D"/>
    <w:rsid w:val="767F393A"/>
    <w:rsid w:val="768C0A7D"/>
    <w:rsid w:val="76A304B1"/>
    <w:rsid w:val="76B24B71"/>
    <w:rsid w:val="770027C3"/>
    <w:rsid w:val="77042E27"/>
    <w:rsid w:val="773A28C5"/>
    <w:rsid w:val="77541831"/>
    <w:rsid w:val="779E72F9"/>
    <w:rsid w:val="77A03580"/>
    <w:rsid w:val="77A11ECF"/>
    <w:rsid w:val="77BB2DD1"/>
    <w:rsid w:val="77ED0420"/>
    <w:rsid w:val="783B2A8E"/>
    <w:rsid w:val="785B4808"/>
    <w:rsid w:val="785C1D47"/>
    <w:rsid w:val="78A041F7"/>
    <w:rsid w:val="78A67158"/>
    <w:rsid w:val="78D11314"/>
    <w:rsid w:val="794000C8"/>
    <w:rsid w:val="798C2769"/>
    <w:rsid w:val="79AF0974"/>
    <w:rsid w:val="79B00960"/>
    <w:rsid w:val="79B558C0"/>
    <w:rsid w:val="79CD4237"/>
    <w:rsid w:val="7A136F06"/>
    <w:rsid w:val="7A966833"/>
    <w:rsid w:val="7ABB5F21"/>
    <w:rsid w:val="7B581347"/>
    <w:rsid w:val="7B752C06"/>
    <w:rsid w:val="7B9A3474"/>
    <w:rsid w:val="7BC54804"/>
    <w:rsid w:val="7C66410B"/>
    <w:rsid w:val="7CB077A5"/>
    <w:rsid w:val="7CD81D34"/>
    <w:rsid w:val="7D324A2F"/>
    <w:rsid w:val="7D357417"/>
    <w:rsid w:val="7D673EB2"/>
    <w:rsid w:val="7D6E0305"/>
    <w:rsid w:val="7D791EA6"/>
    <w:rsid w:val="7DF318C1"/>
    <w:rsid w:val="7E373C3B"/>
    <w:rsid w:val="7E941A84"/>
    <w:rsid w:val="7EB2513C"/>
    <w:rsid w:val="7EC11ECE"/>
    <w:rsid w:val="7F6753E6"/>
    <w:rsid w:val="7FE8287E"/>
    <w:rsid w:val="7FF530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paragraph" w:styleId="2">
    <w:name w:val="heading 1"/>
    <w:basedOn w:val="1"/>
    <w:next w:val="1"/>
    <w:link w:val="82"/>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7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8"/>
    <w:qFormat/>
    <w:uiPriority w:val="0"/>
    <w:pPr>
      <w:keepNext/>
      <w:keepLines/>
      <w:spacing w:before="260" w:after="260" w:line="416" w:lineRule="auto"/>
      <w:outlineLvl w:val="2"/>
    </w:pPr>
    <w:rPr>
      <w:b/>
      <w:bCs/>
      <w:w w:val="80"/>
      <w:sz w:val="32"/>
      <w:szCs w:val="32"/>
    </w:rPr>
  </w:style>
  <w:style w:type="paragraph" w:styleId="5">
    <w:name w:val="heading 4"/>
    <w:basedOn w:val="1"/>
    <w:next w:val="1"/>
    <w:link w:val="157"/>
    <w:qFormat/>
    <w:uiPriority w:val="0"/>
    <w:pPr>
      <w:keepNext/>
      <w:keepLines/>
      <w:tabs>
        <w:tab w:val="left" w:pos="864"/>
      </w:tabs>
      <w:spacing w:before="280" w:after="290" w:line="376" w:lineRule="auto"/>
      <w:ind w:left="864" w:hanging="864"/>
      <w:outlineLvl w:val="3"/>
    </w:pPr>
    <w:rPr>
      <w:rFonts w:ascii="Arial" w:hAnsi="Arial" w:eastAsia="黑体"/>
      <w:b/>
      <w:bCs/>
      <w:kern w:val="0"/>
      <w:sz w:val="28"/>
      <w:szCs w:val="28"/>
    </w:rPr>
  </w:style>
  <w:style w:type="paragraph" w:styleId="6">
    <w:name w:val="heading 5"/>
    <w:basedOn w:val="1"/>
    <w:next w:val="1"/>
    <w:link w:val="143"/>
    <w:qFormat/>
    <w:uiPriority w:val="99"/>
    <w:pPr>
      <w:keepNext/>
      <w:keepLines/>
      <w:tabs>
        <w:tab w:val="left" w:pos="1548"/>
      </w:tabs>
      <w:spacing w:before="280" w:after="290" w:line="376" w:lineRule="auto"/>
      <w:ind w:left="1548" w:hanging="1548"/>
      <w:outlineLvl w:val="4"/>
    </w:pPr>
    <w:rPr>
      <w:rFonts w:ascii="Times New Roman" w:hAnsi="Times New Roman"/>
      <w:b/>
      <w:bCs/>
      <w:sz w:val="28"/>
      <w:szCs w:val="28"/>
    </w:rPr>
  </w:style>
  <w:style w:type="paragraph" w:styleId="7">
    <w:name w:val="heading 6"/>
    <w:basedOn w:val="1"/>
    <w:next w:val="1"/>
    <w:link w:val="165"/>
    <w:qFormat/>
    <w:uiPriority w:val="99"/>
    <w:pPr>
      <w:keepNext/>
      <w:keepLines/>
      <w:spacing w:before="240" w:after="64" w:line="320" w:lineRule="auto"/>
      <w:outlineLvl w:val="5"/>
    </w:pPr>
    <w:rPr>
      <w:rFonts w:ascii="Cambria" w:hAnsi="Cambria"/>
      <w:b/>
      <w:bCs/>
      <w:sz w:val="24"/>
      <w:szCs w:val="24"/>
    </w:rPr>
  </w:style>
  <w:style w:type="paragraph" w:styleId="8">
    <w:name w:val="heading 7"/>
    <w:basedOn w:val="1"/>
    <w:next w:val="1"/>
    <w:link w:val="69"/>
    <w:qFormat/>
    <w:uiPriority w:val="99"/>
    <w:pPr>
      <w:keepNext/>
      <w:keepLines/>
      <w:tabs>
        <w:tab w:val="left" w:pos="1296"/>
      </w:tabs>
      <w:spacing w:before="240" w:after="64" w:line="317" w:lineRule="auto"/>
      <w:ind w:left="2940" w:hanging="420"/>
      <w:outlineLvl w:val="6"/>
    </w:pPr>
    <w:rPr>
      <w:rFonts w:ascii="Times New Roman" w:hAnsi="Times New Roman"/>
      <w:b/>
      <w:bCs/>
      <w:sz w:val="24"/>
      <w:szCs w:val="24"/>
    </w:rPr>
  </w:style>
  <w:style w:type="paragraph" w:styleId="9">
    <w:name w:val="heading 8"/>
    <w:basedOn w:val="1"/>
    <w:next w:val="1"/>
    <w:link w:val="134"/>
    <w:qFormat/>
    <w:uiPriority w:val="99"/>
    <w:pPr>
      <w:keepNext/>
      <w:keepLines/>
      <w:tabs>
        <w:tab w:val="left" w:pos="1440"/>
      </w:tabs>
      <w:spacing w:before="240" w:after="64" w:line="317" w:lineRule="auto"/>
      <w:ind w:left="3360" w:hanging="420"/>
      <w:outlineLvl w:val="7"/>
    </w:pPr>
    <w:rPr>
      <w:rFonts w:ascii="Arial" w:hAnsi="Arial" w:eastAsia="黑体"/>
      <w:sz w:val="24"/>
      <w:szCs w:val="24"/>
    </w:rPr>
  </w:style>
  <w:style w:type="paragraph" w:styleId="10">
    <w:name w:val="heading 9"/>
    <w:basedOn w:val="1"/>
    <w:next w:val="1"/>
    <w:link w:val="71"/>
    <w:qFormat/>
    <w:uiPriority w:val="99"/>
    <w:pPr>
      <w:keepNext/>
      <w:keepLines/>
      <w:tabs>
        <w:tab w:val="left" w:pos="1584"/>
      </w:tabs>
      <w:spacing w:before="240" w:after="64" w:line="317" w:lineRule="auto"/>
      <w:ind w:left="3780" w:hanging="420"/>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440"/>
      <w:jc w:val="left"/>
    </w:pPr>
    <w:rPr>
      <w:rFonts w:ascii="Times New Roman" w:hAnsi="Times New Roman"/>
      <w:w w:val="80"/>
      <w:sz w:val="18"/>
      <w:szCs w:val="18"/>
    </w:rPr>
  </w:style>
  <w:style w:type="paragraph" w:styleId="12">
    <w:name w:val="Normal Indent"/>
    <w:basedOn w:val="1"/>
    <w:link w:val="179"/>
    <w:qFormat/>
    <w:uiPriority w:val="0"/>
    <w:pPr>
      <w:ind w:firstLine="420"/>
    </w:pPr>
    <w:rPr>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81"/>
    <w:qFormat/>
    <w:uiPriority w:val="99"/>
    <w:pPr>
      <w:shd w:val="clear" w:color="auto" w:fill="000080"/>
    </w:pPr>
  </w:style>
  <w:style w:type="paragraph" w:styleId="15">
    <w:name w:val="annotation text"/>
    <w:basedOn w:val="1"/>
    <w:link w:val="96"/>
    <w:qFormat/>
    <w:uiPriority w:val="99"/>
    <w:pPr>
      <w:jc w:val="left"/>
    </w:pPr>
  </w:style>
  <w:style w:type="paragraph" w:styleId="16">
    <w:name w:val="Body Text 3"/>
    <w:basedOn w:val="1"/>
    <w:link w:val="188"/>
    <w:qFormat/>
    <w:uiPriority w:val="0"/>
    <w:pPr>
      <w:spacing w:after="120" w:line="360" w:lineRule="auto"/>
    </w:pPr>
    <w:rPr>
      <w:rFonts w:ascii="Times New Roman" w:hAnsi="Times New Roman"/>
      <w:kern w:val="0"/>
      <w:sz w:val="16"/>
      <w:szCs w:val="16"/>
    </w:rPr>
  </w:style>
  <w:style w:type="paragraph" w:styleId="17">
    <w:name w:val="Body Text"/>
    <w:basedOn w:val="1"/>
    <w:next w:val="18"/>
    <w:link w:val="124"/>
    <w:qFormat/>
    <w:uiPriority w:val="99"/>
    <w:pPr>
      <w:spacing w:after="120"/>
    </w:pPr>
  </w:style>
  <w:style w:type="paragraph" w:styleId="18">
    <w:name w:val="Body Text First Indent"/>
    <w:basedOn w:val="1"/>
    <w:next w:val="1"/>
    <w:link w:val="191"/>
    <w:qFormat/>
    <w:uiPriority w:val="99"/>
    <w:pPr>
      <w:ind w:firstLine="420" w:firstLineChars="100"/>
    </w:pPr>
    <w:rPr>
      <w:rFonts w:ascii="Times New Roman" w:hAnsi="Times New Roman"/>
      <w:szCs w:val="20"/>
    </w:rPr>
  </w:style>
  <w:style w:type="paragraph" w:styleId="19">
    <w:name w:val="Body Text Indent"/>
    <w:basedOn w:val="1"/>
    <w:next w:val="20"/>
    <w:link w:val="113"/>
    <w:qFormat/>
    <w:uiPriority w:val="0"/>
    <w:pPr>
      <w:spacing w:after="120"/>
      <w:ind w:left="420" w:leftChars="200"/>
    </w:pPr>
    <w:rPr>
      <w:rFonts w:ascii="Times New Roman" w:hAnsi="Times New Roman"/>
      <w:szCs w:val="24"/>
    </w:rPr>
  </w:style>
  <w:style w:type="paragraph" w:styleId="20">
    <w:name w:val="Body Text First Indent 2"/>
    <w:basedOn w:val="19"/>
    <w:next w:val="21"/>
    <w:link w:val="328"/>
    <w:qFormat/>
    <w:uiPriority w:val="0"/>
    <w:pPr>
      <w:widowControl/>
      <w:tabs>
        <w:tab w:val="left" w:pos="0"/>
        <w:tab w:val="left" w:pos="1260"/>
        <w:tab w:val="left" w:pos="1365"/>
      </w:tabs>
      <w:ind w:left="200" w:firstLine="200" w:firstLineChars="200"/>
      <w:jc w:val="left"/>
    </w:pPr>
    <w:rPr>
      <w:kern w:val="0"/>
      <w:sz w:val="20"/>
    </w:rPr>
  </w:style>
  <w:style w:type="paragraph" w:customStyle="1" w:styleId="21">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styleId="22">
    <w:name w:val="List Number 3"/>
    <w:basedOn w:val="1"/>
    <w:qFormat/>
    <w:uiPriority w:val="0"/>
    <w:pPr>
      <w:widowControl/>
      <w:tabs>
        <w:tab w:val="left" w:pos="482"/>
      </w:tabs>
      <w:spacing w:afterLines="50"/>
      <w:ind w:left="482" w:hanging="340"/>
      <w:jc w:val="left"/>
    </w:pPr>
    <w:rPr>
      <w:rFonts w:ascii="Times New Roman" w:hAnsi="Times New Roman"/>
      <w:kern w:val="0"/>
      <w:sz w:val="24"/>
      <w:szCs w:val="20"/>
    </w:rPr>
  </w:style>
  <w:style w:type="paragraph" w:styleId="23">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24">
    <w:name w:val="List Bullet 2"/>
    <w:basedOn w:val="1"/>
    <w:qFormat/>
    <w:uiPriority w:val="99"/>
    <w:pPr>
      <w:tabs>
        <w:tab w:val="left" w:pos="2130"/>
      </w:tabs>
      <w:spacing w:line="300" w:lineRule="auto"/>
      <w:ind w:left="200" w:leftChars="200" w:hanging="200" w:hangingChars="200"/>
    </w:pPr>
    <w:rPr>
      <w:rFonts w:ascii="Times New Roman" w:hAnsi="Times New Roman"/>
      <w:spacing w:val="10"/>
      <w:sz w:val="24"/>
      <w:szCs w:val="20"/>
    </w:rPr>
  </w:style>
  <w:style w:type="paragraph" w:styleId="25">
    <w:name w:val="index 4"/>
    <w:basedOn w:val="1"/>
    <w:next w:val="1"/>
    <w:unhideWhenUsed/>
    <w:qFormat/>
    <w:uiPriority w:val="99"/>
    <w:pPr>
      <w:suppressAutoHyphens/>
      <w:ind w:left="600" w:leftChars="600"/>
    </w:pPr>
    <w:rPr>
      <w:rFonts w:ascii="Times New Roman" w:hAnsi="Times New Roman"/>
      <w:kern w:val="1"/>
      <w:szCs w:val="24"/>
      <w:lang w:eastAsia="ar-SA"/>
    </w:rPr>
  </w:style>
  <w:style w:type="paragraph" w:styleId="26">
    <w:name w:val="toc 5"/>
    <w:basedOn w:val="1"/>
    <w:next w:val="1"/>
    <w:qFormat/>
    <w:uiPriority w:val="0"/>
    <w:pPr>
      <w:ind w:left="960"/>
      <w:jc w:val="left"/>
    </w:pPr>
    <w:rPr>
      <w:rFonts w:ascii="Times New Roman" w:hAnsi="Times New Roman"/>
      <w:w w:val="80"/>
      <w:sz w:val="18"/>
      <w:szCs w:val="18"/>
    </w:rPr>
  </w:style>
  <w:style w:type="paragraph" w:styleId="27">
    <w:name w:val="toc 3"/>
    <w:basedOn w:val="1"/>
    <w:next w:val="1"/>
    <w:qFormat/>
    <w:uiPriority w:val="39"/>
    <w:pPr>
      <w:ind w:left="480"/>
      <w:jc w:val="left"/>
    </w:pPr>
    <w:rPr>
      <w:rFonts w:ascii="Times New Roman" w:hAnsi="Times New Roman"/>
      <w:i/>
      <w:iCs/>
      <w:w w:val="80"/>
      <w:sz w:val="20"/>
      <w:szCs w:val="20"/>
    </w:rPr>
  </w:style>
  <w:style w:type="paragraph" w:styleId="28">
    <w:name w:val="Plain Text"/>
    <w:basedOn w:val="1"/>
    <w:next w:val="1"/>
    <w:link w:val="77"/>
    <w:qFormat/>
    <w:uiPriority w:val="0"/>
    <w:rPr>
      <w:rFonts w:hAnsi="Courier New"/>
      <w:szCs w:val="20"/>
    </w:rPr>
  </w:style>
  <w:style w:type="paragraph" w:styleId="29">
    <w:name w:val="toc 8"/>
    <w:basedOn w:val="1"/>
    <w:next w:val="1"/>
    <w:qFormat/>
    <w:uiPriority w:val="0"/>
    <w:pPr>
      <w:ind w:left="1680"/>
      <w:jc w:val="left"/>
    </w:pPr>
    <w:rPr>
      <w:rFonts w:ascii="Times New Roman" w:hAnsi="Times New Roman"/>
      <w:w w:val="80"/>
      <w:sz w:val="18"/>
      <w:szCs w:val="18"/>
    </w:rPr>
  </w:style>
  <w:style w:type="paragraph" w:styleId="30">
    <w:name w:val="Date"/>
    <w:basedOn w:val="1"/>
    <w:next w:val="1"/>
    <w:link w:val="89"/>
    <w:qFormat/>
    <w:uiPriority w:val="0"/>
    <w:rPr>
      <w:rFonts w:ascii="Times New Roman" w:hAnsi="Times New Roman"/>
      <w:szCs w:val="20"/>
    </w:rPr>
  </w:style>
  <w:style w:type="paragraph" w:styleId="31">
    <w:name w:val="Body Text Indent 2"/>
    <w:basedOn w:val="1"/>
    <w:link w:val="178"/>
    <w:qFormat/>
    <w:uiPriority w:val="0"/>
    <w:pPr>
      <w:autoSpaceDE w:val="0"/>
      <w:autoSpaceDN w:val="0"/>
      <w:adjustRightInd w:val="0"/>
      <w:spacing w:line="440" w:lineRule="exact"/>
      <w:ind w:firstLine="599" w:firstLineChars="214"/>
    </w:pPr>
    <w:rPr>
      <w:rFonts w:ascii="FangSong_GB2312" w:eastAsia="FangSong_GB2312"/>
      <w:bCs/>
      <w:sz w:val="28"/>
      <w:szCs w:val="36"/>
      <w:lang w:val="zh-CN"/>
    </w:rPr>
  </w:style>
  <w:style w:type="paragraph" w:styleId="32">
    <w:name w:val="Balloon Text"/>
    <w:basedOn w:val="1"/>
    <w:link w:val="60"/>
    <w:qFormat/>
    <w:uiPriority w:val="0"/>
    <w:rPr>
      <w:rFonts w:ascii="Times New Roman" w:hAnsi="Times New Roman"/>
      <w:sz w:val="18"/>
      <w:szCs w:val="18"/>
    </w:rPr>
  </w:style>
  <w:style w:type="paragraph" w:styleId="33">
    <w:name w:val="footer"/>
    <w:basedOn w:val="1"/>
    <w:link w:val="170"/>
    <w:qFormat/>
    <w:uiPriority w:val="0"/>
    <w:pPr>
      <w:tabs>
        <w:tab w:val="center" w:pos="4153"/>
        <w:tab w:val="right" w:pos="8306"/>
      </w:tabs>
      <w:snapToGrid w:val="0"/>
      <w:jc w:val="left"/>
    </w:pPr>
    <w:rPr>
      <w:rFonts w:ascii="Times New Roman" w:hAnsi="Times New Roman"/>
      <w:sz w:val="18"/>
      <w:szCs w:val="18"/>
    </w:rPr>
  </w:style>
  <w:style w:type="paragraph" w:styleId="34">
    <w:name w:val="header"/>
    <w:basedOn w:val="1"/>
    <w:link w:val="1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5">
    <w:name w:val="toc 1"/>
    <w:basedOn w:val="1"/>
    <w:next w:val="1"/>
    <w:qFormat/>
    <w:uiPriority w:val="0"/>
    <w:pPr>
      <w:spacing w:before="120" w:after="120"/>
      <w:jc w:val="left"/>
    </w:pPr>
    <w:rPr>
      <w:b/>
      <w:bCs/>
      <w:caps/>
      <w:sz w:val="20"/>
      <w:szCs w:val="20"/>
    </w:rPr>
  </w:style>
  <w:style w:type="paragraph" w:styleId="36">
    <w:name w:val="toc 4"/>
    <w:basedOn w:val="1"/>
    <w:next w:val="1"/>
    <w:qFormat/>
    <w:uiPriority w:val="0"/>
    <w:pPr>
      <w:ind w:left="720"/>
      <w:jc w:val="left"/>
    </w:pPr>
    <w:rPr>
      <w:rFonts w:ascii="Times New Roman" w:hAnsi="Times New Roman"/>
      <w:w w:val="80"/>
      <w:sz w:val="18"/>
      <w:szCs w:val="18"/>
    </w:rPr>
  </w:style>
  <w:style w:type="paragraph" w:styleId="37">
    <w:name w:val="List Number 5"/>
    <w:basedOn w:val="1"/>
    <w:qFormat/>
    <w:uiPriority w:val="0"/>
    <w:pPr>
      <w:tabs>
        <w:tab w:val="left" w:pos="2608"/>
      </w:tabs>
      <w:spacing w:line="360" w:lineRule="auto"/>
      <w:ind w:left="840" w:hanging="360"/>
    </w:pPr>
    <w:rPr>
      <w:rFonts w:ascii="Times New Roman" w:hAnsi="Times New Roman"/>
      <w:sz w:val="24"/>
      <w:szCs w:val="24"/>
    </w:rPr>
  </w:style>
  <w:style w:type="paragraph" w:styleId="38">
    <w:name w:val="toc 6"/>
    <w:basedOn w:val="1"/>
    <w:next w:val="1"/>
    <w:qFormat/>
    <w:uiPriority w:val="0"/>
    <w:pPr>
      <w:ind w:left="1200"/>
      <w:jc w:val="left"/>
    </w:pPr>
    <w:rPr>
      <w:rFonts w:ascii="Times New Roman" w:hAnsi="Times New Roman"/>
      <w:w w:val="80"/>
      <w:sz w:val="18"/>
      <w:szCs w:val="18"/>
    </w:rPr>
  </w:style>
  <w:style w:type="paragraph" w:styleId="39">
    <w:name w:val="Body Text Indent 3"/>
    <w:basedOn w:val="1"/>
    <w:link w:val="76"/>
    <w:qFormat/>
    <w:uiPriority w:val="0"/>
    <w:pPr>
      <w:spacing w:line="340" w:lineRule="exact"/>
      <w:ind w:left="561" w:leftChars="267"/>
    </w:pPr>
    <w:rPr>
      <w:rFonts w:ascii="FangSong_GB2312" w:eastAsia="FangSong_GB2312"/>
      <w:sz w:val="30"/>
    </w:rPr>
  </w:style>
  <w:style w:type="paragraph" w:styleId="40">
    <w:name w:val="table of figures"/>
    <w:basedOn w:val="1"/>
    <w:next w:val="1"/>
    <w:qFormat/>
    <w:uiPriority w:val="0"/>
    <w:pPr>
      <w:ind w:left="420" w:hanging="420"/>
      <w:jc w:val="left"/>
    </w:pPr>
    <w:rPr>
      <w:rFonts w:ascii="Times New Roman" w:hAnsi="Times New Roman"/>
      <w:smallCaps/>
      <w:sz w:val="20"/>
      <w:szCs w:val="20"/>
    </w:rPr>
  </w:style>
  <w:style w:type="paragraph" w:styleId="41">
    <w:name w:val="toc 2"/>
    <w:basedOn w:val="1"/>
    <w:next w:val="1"/>
    <w:qFormat/>
    <w:uiPriority w:val="39"/>
    <w:pPr>
      <w:ind w:left="240"/>
      <w:jc w:val="left"/>
    </w:pPr>
    <w:rPr>
      <w:rFonts w:ascii="Times New Roman" w:hAnsi="Times New Roman"/>
      <w:smallCaps/>
      <w:w w:val="80"/>
      <w:sz w:val="20"/>
      <w:szCs w:val="20"/>
    </w:rPr>
  </w:style>
  <w:style w:type="paragraph" w:styleId="42">
    <w:name w:val="toc 9"/>
    <w:basedOn w:val="1"/>
    <w:next w:val="1"/>
    <w:qFormat/>
    <w:uiPriority w:val="0"/>
    <w:pPr>
      <w:ind w:left="1920"/>
      <w:jc w:val="left"/>
    </w:pPr>
    <w:rPr>
      <w:rFonts w:ascii="Times New Roman" w:hAnsi="Times New Roman"/>
      <w:w w:val="80"/>
      <w:sz w:val="18"/>
      <w:szCs w:val="18"/>
    </w:rPr>
  </w:style>
  <w:style w:type="paragraph" w:styleId="43">
    <w:name w:val="Body Text 2"/>
    <w:basedOn w:val="1"/>
    <w:link w:val="99"/>
    <w:qFormat/>
    <w:uiPriority w:val="0"/>
    <w:pPr>
      <w:spacing w:after="120" w:line="480" w:lineRule="auto"/>
    </w:pPr>
    <w:rPr>
      <w:rFonts w:ascii="Times New Roman" w:hAnsi="Times New Roman"/>
      <w:kern w:val="0"/>
      <w:sz w:val="24"/>
      <w:szCs w:val="24"/>
    </w:rPr>
  </w:style>
  <w:style w:type="paragraph" w:styleId="44">
    <w:name w:val="HTML Preformatted"/>
    <w:basedOn w:val="1"/>
    <w:link w:val="166"/>
    <w:qFormat/>
    <w:uiPriority w:val="99"/>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jc w:val="left"/>
    </w:pPr>
    <w:rPr>
      <w:kern w:val="0"/>
      <w:sz w:val="24"/>
    </w:rPr>
  </w:style>
  <w:style w:type="paragraph" w:styleId="46">
    <w:name w:val="index 1"/>
    <w:basedOn w:val="1"/>
    <w:next w:val="1"/>
    <w:qFormat/>
    <w:uiPriority w:val="0"/>
    <w:rPr>
      <w:w w:val="80"/>
      <w:sz w:val="24"/>
      <w:szCs w:val="24"/>
    </w:rPr>
  </w:style>
  <w:style w:type="paragraph" w:styleId="47">
    <w:name w:val="Title"/>
    <w:basedOn w:val="1"/>
    <w:next w:val="1"/>
    <w:link w:val="138"/>
    <w:qFormat/>
    <w:uiPriority w:val="10"/>
    <w:pPr>
      <w:spacing w:before="240" w:after="60"/>
      <w:jc w:val="center"/>
      <w:outlineLvl w:val="0"/>
    </w:pPr>
    <w:rPr>
      <w:rFonts w:ascii="Cambria" w:hAnsi="Cambria"/>
      <w:b/>
      <w:bCs/>
      <w:sz w:val="32"/>
      <w:szCs w:val="32"/>
    </w:rPr>
  </w:style>
  <w:style w:type="paragraph" w:styleId="48">
    <w:name w:val="annotation subject"/>
    <w:basedOn w:val="15"/>
    <w:next w:val="15"/>
    <w:link w:val="85"/>
    <w:qFormat/>
    <w:uiPriority w:val="0"/>
    <w:rPr>
      <w:b/>
      <w:bCs/>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TML Typewriter"/>
    <w:qFormat/>
    <w:uiPriority w:val="0"/>
    <w:rPr>
      <w:rFonts w:ascii="Courier New" w:hAnsi="Courier New" w:cs="Courier New"/>
      <w:sz w:val="20"/>
      <w:szCs w:val="20"/>
    </w:rPr>
  </w:style>
  <w:style w:type="character" w:styleId="57">
    <w:name w:val="Hyperlink"/>
    <w:qFormat/>
    <w:uiPriority w:val="99"/>
    <w:rPr>
      <w:color w:val="000000"/>
      <w:u w:val="none"/>
    </w:rPr>
  </w:style>
  <w:style w:type="character" w:styleId="58">
    <w:name w:val="annotation reference"/>
    <w:qFormat/>
    <w:uiPriority w:val="99"/>
    <w:rPr>
      <w:sz w:val="21"/>
      <w:szCs w:val="21"/>
    </w:rPr>
  </w:style>
  <w:style w:type="paragraph" w:customStyle="1" w:styleId="59">
    <w:name w:val="段落"/>
    <w:qFormat/>
    <w:uiPriority w:val="5"/>
    <w:pPr>
      <w:adjustRightInd w:val="0"/>
      <w:snapToGrid w:val="0"/>
      <w:spacing w:line="360" w:lineRule="auto"/>
      <w:ind w:firstLine="200" w:firstLineChars="200"/>
    </w:pPr>
    <w:rPr>
      <w:rFonts w:ascii="Calibri" w:hAnsi="Calibri" w:eastAsia="宋体" w:cs="Times New Roman"/>
      <w:snapToGrid w:val="0"/>
      <w:color w:val="000000"/>
      <w:sz w:val="24"/>
      <w:szCs w:val="24"/>
      <w:lang w:val="en-US" w:eastAsia="zh-CN" w:bidi="ar-SA"/>
    </w:rPr>
  </w:style>
  <w:style w:type="character" w:customStyle="1" w:styleId="60">
    <w:name w:val="批注框文本 Char"/>
    <w:link w:val="32"/>
    <w:qFormat/>
    <w:uiPriority w:val="0"/>
    <w:rPr>
      <w:rFonts w:eastAsia="宋体"/>
      <w:kern w:val="2"/>
      <w:sz w:val="18"/>
      <w:szCs w:val="18"/>
      <w:lang w:val="en-US" w:eastAsia="zh-CN" w:bidi="ar-SA"/>
    </w:rPr>
  </w:style>
  <w:style w:type="character" w:customStyle="1" w:styleId="61">
    <w:name w:val="样式5 Char"/>
    <w:link w:val="62"/>
    <w:qFormat/>
    <w:uiPriority w:val="0"/>
    <w:rPr>
      <w:b/>
      <w:bCs/>
      <w:sz w:val="28"/>
      <w:szCs w:val="28"/>
    </w:rPr>
  </w:style>
  <w:style w:type="paragraph" w:customStyle="1" w:styleId="62">
    <w:name w:val="样式5"/>
    <w:basedOn w:val="1"/>
    <w:link w:val="61"/>
    <w:qFormat/>
    <w:uiPriority w:val="0"/>
    <w:pPr>
      <w:keepNext/>
      <w:keepLines/>
      <w:spacing w:before="280" w:after="290" w:line="376" w:lineRule="auto"/>
      <w:ind w:left="210" w:leftChars="100" w:right="210" w:rightChars="100"/>
      <w:outlineLvl w:val="4"/>
    </w:pPr>
    <w:rPr>
      <w:rFonts w:ascii="Times New Roman" w:hAnsi="Times New Roman"/>
      <w:b/>
      <w:bCs/>
      <w:kern w:val="0"/>
      <w:sz w:val="28"/>
      <w:szCs w:val="28"/>
    </w:rPr>
  </w:style>
  <w:style w:type="character" w:customStyle="1" w:styleId="63">
    <w:name w:val="Char Char17"/>
    <w:qFormat/>
    <w:uiPriority w:val="0"/>
    <w:rPr>
      <w:rFonts w:ascii="Arial" w:hAnsi="Arial" w:eastAsia="黑体" w:cs="Times New Roman"/>
      <w:b/>
      <w:bCs/>
      <w:sz w:val="32"/>
      <w:szCs w:val="32"/>
    </w:rPr>
  </w:style>
  <w:style w:type="character" w:customStyle="1" w:styleId="64">
    <w:name w:val="标题 3 Char2"/>
    <w:qFormat/>
    <w:uiPriority w:val="0"/>
    <w:rPr>
      <w:rFonts w:ascii="宋体" w:hAnsi="宋体" w:eastAsia="宋体" w:cs="Times New Roman"/>
      <w:b/>
      <w:szCs w:val="21"/>
    </w:rPr>
  </w:style>
  <w:style w:type="character" w:customStyle="1" w:styleId="65">
    <w:name w:val="正文文本 3 Char1"/>
    <w:basedOn w:val="51"/>
    <w:qFormat/>
    <w:uiPriority w:val="99"/>
    <w:rPr>
      <w:rFonts w:ascii="宋体" w:hAnsi="宋体"/>
      <w:w w:val="80"/>
      <w:kern w:val="2"/>
      <w:sz w:val="16"/>
      <w:szCs w:val="16"/>
    </w:rPr>
  </w:style>
  <w:style w:type="character" w:customStyle="1" w:styleId="66">
    <w:name w:val="A5"/>
    <w:qFormat/>
    <w:uiPriority w:val="99"/>
    <w:rPr>
      <w:rFonts w:cs="FrutigerNext LT Light"/>
      <w:color w:val="000000"/>
      <w:sz w:val="10"/>
      <w:szCs w:val="10"/>
    </w:rPr>
  </w:style>
  <w:style w:type="character" w:customStyle="1" w:styleId="67">
    <w:name w:val="A0"/>
    <w:qFormat/>
    <w:uiPriority w:val="99"/>
    <w:rPr>
      <w:rFonts w:cs="FrutigerNext LT"/>
      <w:color w:val="000000"/>
      <w:sz w:val="42"/>
      <w:szCs w:val="42"/>
    </w:rPr>
  </w:style>
  <w:style w:type="character" w:customStyle="1" w:styleId="68">
    <w:name w:val="HTML 预设格式 Char1"/>
    <w:basedOn w:val="51"/>
    <w:qFormat/>
    <w:uiPriority w:val="99"/>
    <w:rPr>
      <w:rFonts w:ascii="Courier New" w:hAnsi="Courier New" w:cs="Courier New"/>
      <w:w w:val="80"/>
      <w:kern w:val="2"/>
    </w:rPr>
  </w:style>
  <w:style w:type="character" w:customStyle="1" w:styleId="69">
    <w:name w:val="标题 7 Char"/>
    <w:basedOn w:val="51"/>
    <w:link w:val="8"/>
    <w:qFormat/>
    <w:uiPriority w:val="99"/>
    <w:rPr>
      <w:b/>
      <w:bCs/>
      <w:kern w:val="2"/>
      <w:sz w:val="24"/>
      <w:szCs w:val="24"/>
    </w:rPr>
  </w:style>
  <w:style w:type="character" w:customStyle="1" w:styleId="70">
    <w:name w:val="正文文本 3 Char"/>
    <w:qFormat/>
    <w:uiPriority w:val="0"/>
    <w:rPr>
      <w:sz w:val="16"/>
      <w:szCs w:val="16"/>
    </w:rPr>
  </w:style>
  <w:style w:type="character" w:customStyle="1" w:styleId="71">
    <w:name w:val="标题 9 Char"/>
    <w:basedOn w:val="51"/>
    <w:link w:val="10"/>
    <w:qFormat/>
    <w:uiPriority w:val="99"/>
    <w:rPr>
      <w:rFonts w:ascii="Arial" w:hAnsi="Arial" w:eastAsia="黑体"/>
      <w:kern w:val="2"/>
      <w:sz w:val="21"/>
      <w:szCs w:val="21"/>
    </w:rPr>
  </w:style>
  <w:style w:type="character" w:customStyle="1" w:styleId="72">
    <w:name w:val="1正文缩进 Char"/>
    <w:link w:val="73"/>
    <w:qFormat/>
    <w:locked/>
    <w:uiPriority w:val="99"/>
    <w:rPr>
      <w:rFonts w:ascii="Arial" w:hAnsi="Arial"/>
      <w:color w:val="0000FF"/>
      <w:sz w:val="24"/>
    </w:rPr>
  </w:style>
  <w:style w:type="paragraph" w:customStyle="1" w:styleId="73">
    <w:name w:val="1正文缩进"/>
    <w:basedOn w:val="1"/>
    <w:link w:val="72"/>
    <w:qFormat/>
    <w:uiPriority w:val="99"/>
    <w:pPr>
      <w:spacing w:line="300" w:lineRule="auto"/>
    </w:pPr>
    <w:rPr>
      <w:rFonts w:ascii="Arial" w:hAnsi="Arial"/>
      <w:color w:val="0000FF"/>
      <w:kern w:val="0"/>
      <w:sz w:val="24"/>
      <w:szCs w:val="20"/>
    </w:rPr>
  </w:style>
  <w:style w:type="character" w:customStyle="1" w:styleId="74">
    <w:name w:val="样式4 Char"/>
    <w:link w:val="75"/>
    <w:qFormat/>
    <w:uiPriority w:val="0"/>
    <w:rPr>
      <w:rFonts w:ascii="黑体" w:hAnsi="黑体" w:eastAsia="黑体"/>
      <w:bCs/>
      <w:kern w:val="44"/>
      <w:sz w:val="44"/>
      <w:szCs w:val="44"/>
    </w:rPr>
  </w:style>
  <w:style w:type="paragraph" w:customStyle="1" w:styleId="75">
    <w:name w:val="样式4"/>
    <w:basedOn w:val="2"/>
    <w:link w:val="74"/>
    <w:qFormat/>
    <w:uiPriority w:val="0"/>
    <w:pPr>
      <w:spacing w:before="0" w:after="0" w:line="360" w:lineRule="auto"/>
      <w:jc w:val="center"/>
    </w:pPr>
    <w:rPr>
      <w:rFonts w:ascii="黑体" w:hAnsi="黑体" w:eastAsia="黑体"/>
      <w:b w:val="0"/>
    </w:rPr>
  </w:style>
  <w:style w:type="character" w:customStyle="1" w:styleId="76">
    <w:name w:val="正文文本缩进 3 Char"/>
    <w:link w:val="39"/>
    <w:qFormat/>
    <w:uiPriority w:val="0"/>
    <w:rPr>
      <w:rFonts w:ascii="FangSong_GB2312" w:hAnsi="宋体" w:eastAsia="FangSong_GB2312"/>
      <w:kern w:val="2"/>
      <w:sz w:val="30"/>
      <w:szCs w:val="21"/>
    </w:rPr>
  </w:style>
  <w:style w:type="character" w:customStyle="1" w:styleId="77">
    <w:name w:val="纯文本 Char"/>
    <w:link w:val="28"/>
    <w:qFormat/>
    <w:uiPriority w:val="0"/>
    <w:rPr>
      <w:rFonts w:ascii="宋体" w:hAnsi="Courier New" w:eastAsia="宋体"/>
      <w:kern w:val="2"/>
      <w:sz w:val="21"/>
      <w:lang w:val="en-US" w:eastAsia="zh-CN" w:bidi="ar-SA"/>
    </w:rPr>
  </w:style>
  <w:style w:type="character" w:customStyle="1" w:styleId="78">
    <w:name w:val="文档结构图 Char2"/>
    <w:basedOn w:val="51"/>
    <w:qFormat/>
    <w:uiPriority w:val="99"/>
    <w:rPr>
      <w:rFonts w:ascii="宋体" w:hAnsi="宋体"/>
      <w:w w:val="80"/>
      <w:kern w:val="2"/>
      <w:sz w:val="18"/>
      <w:szCs w:val="18"/>
    </w:rPr>
  </w:style>
  <w:style w:type="character" w:customStyle="1" w:styleId="79">
    <w:name w:val="正文首行缩进 Char1"/>
    <w:qFormat/>
    <w:locked/>
    <w:uiPriority w:val="99"/>
    <w:rPr>
      <w:rFonts w:ascii="FangSong_GB2312" w:eastAsia="FangSong_GB2312" w:cs="FangSong_GB2312"/>
      <w:sz w:val="24"/>
      <w:szCs w:val="24"/>
      <w:lang w:val="en-US" w:eastAsia="zh-CN" w:bidi="ar-SA"/>
    </w:rPr>
  </w:style>
  <w:style w:type="character" w:customStyle="1" w:styleId="80">
    <w:name w:val="Char Char Char Char Char"/>
    <w:qFormat/>
    <w:uiPriority w:val="0"/>
    <w:rPr>
      <w:kern w:val="2"/>
      <w:sz w:val="18"/>
      <w:szCs w:val="18"/>
    </w:rPr>
  </w:style>
  <w:style w:type="character" w:customStyle="1" w:styleId="81">
    <w:name w:val="标题 4 Char1 Char Char"/>
    <w:qFormat/>
    <w:uiPriority w:val="0"/>
    <w:rPr>
      <w:rFonts w:hint="eastAsia" w:ascii="宋体" w:hAnsi="宋体" w:eastAsia="宋体" w:cs="宋体"/>
      <w:b/>
      <w:kern w:val="2"/>
      <w:sz w:val="28"/>
      <w:szCs w:val="28"/>
      <w:lang w:val="en-US" w:eastAsia="zh-CN" w:bidi="ar-SA"/>
    </w:rPr>
  </w:style>
  <w:style w:type="character" w:customStyle="1" w:styleId="82">
    <w:name w:val="标题 1 Char"/>
    <w:link w:val="2"/>
    <w:qFormat/>
    <w:uiPriority w:val="99"/>
    <w:rPr>
      <w:rFonts w:eastAsia="宋体"/>
      <w:b/>
      <w:bCs/>
      <w:kern w:val="44"/>
      <w:sz w:val="44"/>
      <w:szCs w:val="44"/>
      <w:lang w:val="en-US" w:eastAsia="zh-CN" w:bidi="ar-SA"/>
    </w:rPr>
  </w:style>
  <w:style w:type="character" w:customStyle="1" w:styleId="83">
    <w:name w:val="标题 1 Char1"/>
    <w:qFormat/>
    <w:uiPriority w:val="0"/>
    <w:rPr>
      <w:rFonts w:ascii="宋体" w:hAnsi="Times New Roman" w:eastAsia="宋体" w:cs="Times New Roman"/>
      <w:b/>
      <w:bCs/>
      <w:sz w:val="28"/>
      <w:szCs w:val="20"/>
    </w:rPr>
  </w:style>
  <w:style w:type="character" w:customStyle="1" w:styleId="84">
    <w:name w:val="Plain Text Char1"/>
    <w:qFormat/>
    <w:locked/>
    <w:uiPriority w:val="0"/>
    <w:rPr>
      <w:rFonts w:ascii="宋体" w:eastAsia="宋体"/>
      <w:color w:val="000000"/>
      <w:sz w:val="24"/>
    </w:rPr>
  </w:style>
  <w:style w:type="character" w:customStyle="1" w:styleId="85">
    <w:name w:val="批注主题 Char"/>
    <w:link w:val="48"/>
    <w:qFormat/>
    <w:locked/>
    <w:uiPriority w:val="0"/>
    <w:rPr>
      <w:rFonts w:ascii="宋体" w:hAnsi="宋体"/>
      <w:b/>
      <w:bCs/>
      <w:kern w:val="2"/>
      <w:sz w:val="21"/>
      <w:szCs w:val="21"/>
    </w:rPr>
  </w:style>
  <w:style w:type="character" w:customStyle="1" w:styleId="86">
    <w:name w:val="正文文本 2 Char"/>
    <w:qFormat/>
    <w:uiPriority w:val="0"/>
    <w:rPr>
      <w:sz w:val="24"/>
      <w:szCs w:val="24"/>
    </w:rPr>
  </w:style>
  <w:style w:type="character" w:customStyle="1" w:styleId="87">
    <w:name w:val="正文文本缩进 2 Char"/>
    <w:qFormat/>
    <w:uiPriority w:val="0"/>
    <w:rPr>
      <w:rFonts w:ascii="宋体"/>
      <w:sz w:val="24"/>
    </w:rPr>
  </w:style>
  <w:style w:type="character" w:customStyle="1" w:styleId="88">
    <w:name w:val="Char Char16"/>
    <w:semiHidden/>
    <w:qFormat/>
    <w:locked/>
    <w:uiPriority w:val="0"/>
    <w:rPr>
      <w:rFonts w:ascii="Calibri" w:hAnsi="Calibri" w:eastAsia="宋体" w:cs="黑体"/>
      <w:b/>
      <w:bCs/>
      <w:sz w:val="32"/>
      <w:szCs w:val="32"/>
    </w:rPr>
  </w:style>
  <w:style w:type="character" w:customStyle="1" w:styleId="89">
    <w:name w:val="日期 Char"/>
    <w:link w:val="30"/>
    <w:qFormat/>
    <w:uiPriority w:val="0"/>
    <w:rPr>
      <w:rFonts w:eastAsia="宋体"/>
      <w:kern w:val="2"/>
      <w:sz w:val="21"/>
      <w:lang w:val="en-US" w:eastAsia="zh-CN" w:bidi="ar-SA"/>
    </w:rPr>
  </w:style>
  <w:style w:type="character" w:customStyle="1" w:styleId="90">
    <w:name w:val="ca-19"/>
    <w:basedOn w:val="51"/>
    <w:qFormat/>
    <w:uiPriority w:val="0"/>
  </w:style>
  <w:style w:type="character" w:customStyle="1" w:styleId="91">
    <w:name w:val="标题4 Char"/>
    <w:qFormat/>
    <w:uiPriority w:val="0"/>
    <w:rPr>
      <w:rFonts w:hint="default" w:ascii="Cambria" w:hAnsi="Cambria" w:eastAsia="黑体" w:cs="Cambria"/>
      <w:b/>
      <w:sz w:val="24"/>
      <w:szCs w:val="28"/>
      <w:lang w:bidi="ar-SA"/>
    </w:rPr>
  </w:style>
  <w:style w:type="character" w:customStyle="1" w:styleId="92">
    <w:name w:val="页脚 Char2"/>
    <w:basedOn w:val="51"/>
    <w:semiHidden/>
    <w:qFormat/>
    <w:uiPriority w:val="99"/>
    <w:rPr>
      <w:sz w:val="18"/>
      <w:szCs w:val="18"/>
    </w:rPr>
  </w:style>
  <w:style w:type="character" w:customStyle="1" w:styleId="93">
    <w:name w:val="hui3"/>
    <w:qFormat/>
    <w:uiPriority w:val="0"/>
    <w:rPr>
      <w:color w:val="333333"/>
    </w:rPr>
  </w:style>
  <w:style w:type="character" w:customStyle="1" w:styleId="94">
    <w:name w:val="页脚 Char1"/>
    <w:qFormat/>
    <w:uiPriority w:val="99"/>
    <w:rPr>
      <w:sz w:val="18"/>
    </w:rPr>
  </w:style>
  <w:style w:type="character" w:customStyle="1" w:styleId="95">
    <w:name w:val="批注主题 Char2"/>
    <w:basedOn w:val="96"/>
    <w:semiHidden/>
    <w:qFormat/>
    <w:uiPriority w:val="99"/>
    <w:rPr>
      <w:rFonts w:ascii="宋体" w:hAnsi="宋体"/>
      <w:b/>
      <w:bCs/>
      <w:kern w:val="2"/>
      <w:sz w:val="21"/>
      <w:szCs w:val="21"/>
    </w:rPr>
  </w:style>
  <w:style w:type="character" w:customStyle="1" w:styleId="96">
    <w:name w:val="批注文字 Char2"/>
    <w:basedOn w:val="51"/>
    <w:link w:val="15"/>
    <w:qFormat/>
    <w:uiPriority w:val="99"/>
    <w:rPr>
      <w:rFonts w:ascii="宋体" w:hAnsi="宋体"/>
      <w:kern w:val="2"/>
      <w:sz w:val="21"/>
      <w:szCs w:val="21"/>
    </w:rPr>
  </w:style>
  <w:style w:type="character" w:customStyle="1" w:styleId="97">
    <w:name w:val="方案－正文 Char"/>
    <w:link w:val="98"/>
    <w:qFormat/>
    <w:uiPriority w:val="0"/>
    <w:rPr>
      <w:rFonts w:ascii="FangSong_GB2312" w:hAnsi="宋体"/>
      <w:sz w:val="24"/>
    </w:rPr>
  </w:style>
  <w:style w:type="paragraph" w:customStyle="1" w:styleId="98">
    <w:name w:val="方案－正文"/>
    <w:basedOn w:val="1"/>
    <w:link w:val="97"/>
    <w:qFormat/>
    <w:uiPriority w:val="0"/>
    <w:pPr>
      <w:spacing w:line="360" w:lineRule="auto"/>
      <w:ind w:firstLine="480" w:firstLineChars="200"/>
    </w:pPr>
    <w:rPr>
      <w:rFonts w:ascii="FangSong_GB2312"/>
      <w:kern w:val="0"/>
      <w:sz w:val="24"/>
      <w:szCs w:val="20"/>
    </w:rPr>
  </w:style>
  <w:style w:type="character" w:customStyle="1" w:styleId="99">
    <w:name w:val="正文文本 2 Char2"/>
    <w:basedOn w:val="51"/>
    <w:link w:val="43"/>
    <w:qFormat/>
    <w:uiPriority w:val="0"/>
    <w:rPr>
      <w:rFonts w:ascii="宋体" w:hAnsi="宋体"/>
      <w:kern w:val="2"/>
      <w:sz w:val="21"/>
      <w:szCs w:val="21"/>
    </w:rPr>
  </w:style>
  <w:style w:type="character" w:customStyle="1" w:styleId="100">
    <w:name w:val="HTML 预设格式 Char2"/>
    <w:basedOn w:val="51"/>
    <w:qFormat/>
    <w:uiPriority w:val="0"/>
    <w:rPr>
      <w:rFonts w:ascii="Courier New" w:hAnsi="Courier New" w:cs="Courier New"/>
      <w:kern w:val="2"/>
    </w:rPr>
  </w:style>
  <w:style w:type="character" w:customStyle="1" w:styleId="101">
    <w:name w:val="标题5 Char"/>
    <w:qFormat/>
    <w:uiPriority w:val="0"/>
    <w:rPr>
      <w:rFonts w:hint="default" w:ascii="Cambria" w:hAnsi="Cambria" w:eastAsia="黑体" w:cs="Cambria"/>
      <w:bCs/>
      <w:sz w:val="24"/>
      <w:szCs w:val="28"/>
      <w:lang w:bidi="ar-SA"/>
    </w:rPr>
  </w:style>
  <w:style w:type="character" w:customStyle="1" w:styleId="102">
    <w:name w:val="标题 1 Char Char"/>
    <w:qFormat/>
    <w:uiPriority w:val="0"/>
    <w:rPr>
      <w:rFonts w:eastAsia="宋体"/>
      <w:b/>
      <w:spacing w:val="-2"/>
      <w:sz w:val="24"/>
      <w:lang w:val="en-US" w:eastAsia="zh-CN" w:bidi="ar-SA"/>
    </w:rPr>
  </w:style>
  <w:style w:type="character" w:customStyle="1" w:styleId="103">
    <w:name w:val="批注文字 Char"/>
    <w:qFormat/>
    <w:locked/>
    <w:uiPriority w:val="0"/>
    <w:rPr>
      <w:rFonts w:ascii="Times New Roman" w:hAnsi="Times New Roman" w:eastAsia="宋体" w:cs="Times New Roman"/>
      <w:sz w:val="24"/>
      <w:szCs w:val="24"/>
    </w:rPr>
  </w:style>
  <w:style w:type="character" w:customStyle="1" w:styleId="104">
    <w:name w:val="4号正文 Char"/>
    <w:link w:val="105"/>
    <w:qFormat/>
    <w:uiPriority w:val="0"/>
    <w:rPr>
      <w:rFonts w:ascii="Arial" w:hAnsi="Arial"/>
      <w:spacing w:val="6"/>
      <w:sz w:val="24"/>
      <w:szCs w:val="28"/>
    </w:rPr>
  </w:style>
  <w:style w:type="paragraph" w:customStyle="1" w:styleId="105">
    <w:name w:val="4号正文"/>
    <w:basedOn w:val="12"/>
    <w:link w:val="104"/>
    <w:qFormat/>
    <w:uiPriority w:val="0"/>
    <w:pPr>
      <w:widowControl/>
      <w:spacing w:before="30" w:line="360" w:lineRule="auto"/>
      <w:ind w:firstLine="200" w:firstLineChars="200"/>
    </w:pPr>
    <w:rPr>
      <w:rFonts w:ascii="Arial" w:hAnsi="Arial"/>
      <w:spacing w:val="6"/>
      <w:kern w:val="0"/>
      <w:sz w:val="24"/>
      <w:szCs w:val="28"/>
    </w:rPr>
  </w:style>
  <w:style w:type="character" w:customStyle="1" w:styleId="106">
    <w:name w:val="Char Char1"/>
    <w:qFormat/>
    <w:locked/>
    <w:uiPriority w:val="0"/>
    <w:rPr>
      <w:rFonts w:ascii="Times New Roman" w:hAnsi="Times New Roman" w:eastAsia="宋体" w:cs="Times New Roman"/>
      <w:kern w:val="0"/>
      <w:sz w:val="18"/>
      <w:szCs w:val="18"/>
    </w:rPr>
  </w:style>
  <w:style w:type="character" w:customStyle="1" w:styleId="107">
    <w:name w:val="标题2 Char"/>
    <w:qFormat/>
    <w:uiPriority w:val="0"/>
    <w:rPr>
      <w:rFonts w:hint="default" w:ascii="Cambria" w:hAnsi="Cambria" w:eastAsia="黑体" w:cs="Cambria"/>
      <w:b/>
      <w:sz w:val="30"/>
      <w:szCs w:val="30"/>
      <w:lang w:bidi="ar-SA"/>
    </w:rPr>
  </w:style>
  <w:style w:type="character" w:customStyle="1" w:styleId="108">
    <w:name w:val="样式1 Char"/>
    <w:link w:val="109"/>
    <w:qFormat/>
    <w:uiPriority w:val="99"/>
    <w:rPr>
      <w:rFonts w:ascii="黑体" w:hAnsi="黑体" w:eastAsia="黑体"/>
      <w:b/>
      <w:bCs/>
      <w:sz w:val="32"/>
      <w:szCs w:val="32"/>
    </w:rPr>
  </w:style>
  <w:style w:type="paragraph" w:customStyle="1" w:styleId="109">
    <w:name w:val="样式1"/>
    <w:basedOn w:val="3"/>
    <w:link w:val="108"/>
    <w:qFormat/>
    <w:uiPriority w:val="99"/>
    <w:pPr>
      <w:spacing w:before="0" w:after="0" w:line="420" w:lineRule="exact"/>
    </w:pPr>
    <w:rPr>
      <w:rFonts w:ascii="黑体" w:hAnsi="黑体"/>
      <w:kern w:val="0"/>
    </w:rPr>
  </w:style>
  <w:style w:type="character" w:customStyle="1" w:styleId="110">
    <w:name w:val="批注文字 Char1"/>
    <w:semiHidden/>
    <w:qFormat/>
    <w:uiPriority w:val="99"/>
    <w:rPr>
      <w:kern w:val="2"/>
      <w:sz w:val="21"/>
    </w:rPr>
  </w:style>
  <w:style w:type="character" w:customStyle="1" w:styleId="111">
    <w:name w:val="正文首行缩进 Char2"/>
    <w:qFormat/>
    <w:uiPriority w:val="99"/>
    <w:rPr>
      <w:i/>
      <w:szCs w:val="24"/>
    </w:rPr>
  </w:style>
  <w:style w:type="character" w:customStyle="1" w:styleId="112">
    <w:name w:val="Char Char18"/>
    <w:qFormat/>
    <w:uiPriority w:val="0"/>
    <w:rPr>
      <w:rFonts w:ascii="Times New Roman" w:hAnsi="Times New Roman" w:eastAsia="宋体" w:cs="Times New Roman"/>
      <w:b/>
      <w:bCs/>
      <w:kern w:val="44"/>
      <w:sz w:val="44"/>
      <w:szCs w:val="44"/>
    </w:rPr>
  </w:style>
  <w:style w:type="character" w:customStyle="1" w:styleId="113">
    <w:name w:val="正文文本缩进 Char"/>
    <w:link w:val="19"/>
    <w:qFormat/>
    <w:uiPriority w:val="0"/>
    <w:rPr>
      <w:rFonts w:eastAsia="宋体"/>
      <w:kern w:val="2"/>
      <w:sz w:val="21"/>
      <w:szCs w:val="24"/>
      <w:lang w:val="en-US" w:eastAsia="zh-CN" w:bidi="ar-SA"/>
    </w:rPr>
  </w:style>
  <w:style w:type="character" w:customStyle="1" w:styleId="114">
    <w:name w:val="批注框文本 Char2"/>
    <w:basedOn w:val="51"/>
    <w:semiHidden/>
    <w:qFormat/>
    <w:uiPriority w:val="99"/>
    <w:rPr>
      <w:sz w:val="18"/>
      <w:szCs w:val="18"/>
    </w:rPr>
  </w:style>
  <w:style w:type="character" w:customStyle="1" w:styleId="115">
    <w:name w:val="正文文本 Char2"/>
    <w:basedOn w:val="51"/>
    <w:semiHidden/>
    <w:qFormat/>
    <w:uiPriority w:val="99"/>
  </w:style>
  <w:style w:type="character" w:customStyle="1" w:styleId="116">
    <w:name w:val="标题2正文 Char Char"/>
    <w:link w:val="117"/>
    <w:qFormat/>
    <w:uiPriority w:val="0"/>
    <w:rPr>
      <w:sz w:val="24"/>
      <w:szCs w:val="24"/>
    </w:rPr>
  </w:style>
  <w:style w:type="paragraph" w:customStyle="1" w:styleId="117">
    <w:name w:val="标题2正文 Char"/>
    <w:basedOn w:val="1"/>
    <w:link w:val="116"/>
    <w:qFormat/>
    <w:uiPriority w:val="0"/>
    <w:pPr>
      <w:spacing w:beforeLines="50" w:afterLines="50"/>
      <w:ind w:right="38" w:rightChars="18" w:firstLine="420"/>
    </w:pPr>
    <w:rPr>
      <w:rFonts w:ascii="Times New Roman" w:hAnsi="Times New Roman"/>
      <w:kern w:val="0"/>
      <w:sz w:val="24"/>
      <w:szCs w:val="24"/>
    </w:rPr>
  </w:style>
  <w:style w:type="character" w:customStyle="1" w:styleId="118">
    <w:name w:val="标题1 Char"/>
    <w:link w:val="119"/>
    <w:qFormat/>
    <w:locked/>
    <w:uiPriority w:val="99"/>
    <w:rPr>
      <w:rFonts w:ascii="黑体" w:hAnsi="宋体" w:eastAsia="黑体"/>
      <w:spacing w:val="6"/>
      <w:kern w:val="44"/>
      <w:sz w:val="36"/>
    </w:rPr>
  </w:style>
  <w:style w:type="paragraph" w:customStyle="1" w:styleId="119">
    <w:name w:val="标题1"/>
    <w:basedOn w:val="2"/>
    <w:link w:val="118"/>
    <w:qFormat/>
    <w:uiPriority w:val="99"/>
    <w:pPr>
      <w:tabs>
        <w:tab w:val="left" w:pos="397"/>
      </w:tabs>
      <w:spacing w:before="120" w:after="120" w:line="300" w:lineRule="auto"/>
      <w:ind w:firstLine="340"/>
      <w:jc w:val="center"/>
    </w:pPr>
    <w:rPr>
      <w:rFonts w:ascii="黑体" w:hAnsi="宋体" w:eastAsia="黑体"/>
      <w:b w:val="0"/>
      <w:bCs w:val="0"/>
      <w:spacing w:val="6"/>
      <w:sz w:val="36"/>
      <w:szCs w:val="20"/>
    </w:rPr>
  </w:style>
  <w:style w:type="character" w:customStyle="1" w:styleId="120">
    <w:name w:val="Table Text Char1"/>
    <w:link w:val="121"/>
    <w:qFormat/>
    <w:uiPriority w:val="0"/>
    <w:rPr>
      <w:snapToGrid w:val="0"/>
      <w:sz w:val="21"/>
      <w:szCs w:val="21"/>
    </w:rPr>
  </w:style>
  <w:style w:type="paragraph" w:customStyle="1" w:styleId="121">
    <w:name w:val="Table Text"/>
    <w:basedOn w:val="1"/>
    <w:link w:val="120"/>
    <w:qFormat/>
    <w:uiPriority w:val="0"/>
    <w:pPr>
      <w:topLinePunct/>
      <w:adjustRightInd w:val="0"/>
      <w:snapToGrid w:val="0"/>
      <w:spacing w:before="80" w:after="80" w:line="240" w:lineRule="atLeast"/>
      <w:jc w:val="left"/>
    </w:pPr>
    <w:rPr>
      <w:rFonts w:ascii="Times New Roman" w:hAnsi="Times New Roman"/>
      <w:snapToGrid w:val="0"/>
      <w:kern w:val="0"/>
    </w:rPr>
  </w:style>
  <w:style w:type="character" w:customStyle="1" w:styleId="122">
    <w:name w:val="页眉 Char2"/>
    <w:basedOn w:val="51"/>
    <w:semiHidden/>
    <w:qFormat/>
    <w:uiPriority w:val="99"/>
    <w:rPr>
      <w:sz w:val="18"/>
      <w:szCs w:val="18"/>
    </w:rPr>
  </w:style>
  <w:style w:type="character" w:customStyle="1" w:styleId="123">
    <w:name w:val="标题 4 Char1"/>
    <w:qFormat/>
    <w:uiPriority w:val="0"/>
    <w:rPr>
      <w:rFonts w:ascii="Arial" w:hAnsi="Arial" w:eastAsia="黑体"/>
      <w:b/>
      <w:bCs/>
      <w:sz w:val="28"/>
      <w:szCs w:val="28"/>
    </w:rPr>
  </w:style>
  <w:style w:type="character" w:customStyle="1" w:styleId="124">
    <w:name w:val="正文文本 Char3"/>
    <w:basedOn w:val="51"/>
    <w:link w:val="17"/>
    <w:qFormat/>
    <w:uiPriority w:val="99"/>
    <w:rPr>
      <w:rFonts w:ascii="宋体" w:hAnsi="宋体"/>
      <w:kern w:val="2"/>
      <w:sz w:val="21"/>
      <w:szCs w:val="21"/>
    </w:rPr>
  </w:style>
  <w:style w:type="character" w:customStyle="1" w:styleId="125">
    <w:name w:val="apple-style-span"/>
    <w:basedOn w:val="51"/>
    <w:qFormat/>
    <w:uiPriority w:val="0"/>
  </w:style>
  <w:style w:type="character" w:customStyle="1" w:styleId="126">
    <w:name w:val="纯文本 Char1"/>
    <w:link w:val="127"/>
    <w:qFormat/>
    <w:uiPriority w:val="0"/>
    <w:rPr>
      <w:rFonts w:ascii="宋体" w:hAnsi="Courier New" w:eastAsia="宋体"/>
      <w:lang w:bidi="ar-SA"/>
    </w:rPr>
  </w:style>
  <w:style w:type="paragraph" w:customStyle="1" w:styleId="127">
    <w:name w:val="纯文本1"/>
    <w:basedOn w:val="1"/>
    <w:link w:val="126"/>
    <w:qFormat/>
    <w:uiPriority w:val="0"/>
    <w:rPr>
      <w:rFonts w:hAnsi="Courier New"/>
      <w:kern w:val="0"/>
      <w:sz w:val="20"/>
      <w:szCs w:val="20"/>
    </w:rPr>
  </w:style>
  <w:style w:type="character" w:customStyle="1" w:styleId="128">
    <w:name w:val="*正文 Char"/>
    <w:qFormat/>
    <w:uiPriority w:val="0"/>
    <w:rPr>
      <w:rFonts w:hint="eastAsia" w:ascii="宋体" w:hAnsi="宋体" w:eastAsia="宋体" w:cs="宋体"/>
      <w:sz w:val="24"/>
      <w:szCs w:val="24"/>
      <w:lang w:bidi="en-US"/>
    </w:rPr>
  </w:style>
  <w:style w:type="character" w:customStyle="1" w:styleId="129">
    <w:name w:val="Plain Text Char"/>
    <w:qFormat/>
    <w:locked/>
    <w:uiPriority w:val="0"/>
    <w:rPr>
      <w:rFonts w:ascii="宋体" w:eastAsia="宋体"/>
      <w:color w:val="000000"/>
      <w:sz w:val="24"/>
    </w:rPr>
  </w:style>
  <w:style w:type="character" w:customStyle="1" w:styleId="130">
    <w:name w:val="文档正文 Char"/>
    <w:link w:val="131"/>
    <w:qFormat/>
    <w:uiPriority w:val="0"/>
    <w:rPr>
      <w:rFonts w:ascii="宋体" w:hAnsi="宋体" w:cs="宋体"/>
      <w:sz w:val="24"/>
      <w:szCs w:val="24"/>
    </w:rPr>
  </w:style>
  <w:style w:type="paragraph" w:customStyle="1" w:styleId="131">
    <w:name w:val="文档正文"/>
    <w:basedOn w:val="1"/>
    <w:link w:val="130"/>
    <w:qFormat/>
    <w:uiPriority w:val="0"/>
    <w:pPr>
      <w:widowControl/>
      <w:spacing w:beforeLines="50" w:afterAutospacing="1" w:line="360" w:lineRule="auto"/>
      <w:jc w:val="left"/>
    </w:pPr>
    <w:rPr>
      <w:kern w:val="0"/>
      <w:sz w:val="24"/>
      <w:szCs w:val="24"/>
    </w:rPr>
  </w:style>
  <w:style w:type="character" w:customStyle="1" w:styleId="132">
    <w:name w:val="正文首行缩进 Char4"/>
    <w:basedOn w:val="124"/>
    <w:qFormat/>
    <w:uiPriority w:val="0"/>
    <w:rPr>
      <w:rFonts w:ascii="宋体" w:hAnsi="宋体"/>
      <w:kern w:val="2"/>
      <w:sz w:val="21"/>
      <w:szCs w:val="21"/>
    </w:rPr>
  </w:style>
  <w:style w:type="character" w:customStyle="1" w:styleId="133">
    <w:name w:val="批注主题 Char1"/>
    <w:semiHidden/>
    <w:qFormat/>
    <w:locked/>
    <w:uiPriority w:val="99"/>
    <w:rPr>
      <w:rFonts w:ascii="Times New Roman" w:hAnsi="Times New Roman" w:eastAsia="宋体" w:cs="Times New Roman"/>
      <w:b/>
      <w:bCs/>
      <w:kern w:val="0"/>
      <w:sz w:val="24"/>
      <w:szCs w:val="24"/>
    </w:rPr>
  </w:style>
  <w:style w:type="character" w:customStyle="1" w:styleId="134">
    <w:name w:val="标题 8 Char"/>
    <w:basedOn w:val="51"/>
    <w:link w:val="9"/>
    <w:qFormat/>
    <w:uiPriority w:val="99"/>
    <w:rPr>
      <w:rFonts w:ascii="Arial" w:hAnsi="Arial" w:eastAsia="黑体"/>
      <w:kern w:val="2"/>
      <w:sz w:val="24"/>
      <w:szCs w:val="24"/>
    </w:rPr>
  </w:style>
  <w:style w:type="character" w:customStyle="1" w:styleId="135">
    <w:name w:val="方案标题2 Char"/>
    <w:qFormat/>
    <w:uiPriority w:val="0"/>
    <w:rPr>
      <w:rFonts w:ascii="Arial" w:hAnsi="Arial" w:eastAsia="宋体" w:cs="Arial"/>
      <w:b/>
      <w:snapToGrid w:val="0"/>
      <w:spacing w:val="14"/>
      <w:sz w:val="30"/>
      <w:szCs w:val="32"/>
      <w:lang w:val="en-US" w:eastAsia="zh-CN" w:bidi="ar-SA"/>
    </w:rPr>
  </w:style>
  <w:style w:type="character" w:customStyle="1" w:styleId="136">
    <w:name w:val="正文文本 Char"/>
    <w:semiHidden/>
    <w:qFormat/>
    <w:locked/>
    <w:uiPriority w:val="99"/>
    <w:rPr>
      <w:rFonts w:ascii="Times New Roman" w:hAnsi="Times New Roman" w:eastAsia="宋体" w:cs="Times New Roman"/>
      <w:sz w:val="24"/>
      <w:szCs w:val="24"/>
    </w:rPr>
  </w:style>
  <w:style w:type="character" w:customStyle="1" w:styleId="137">
    <w:name w:val="h6 Char"/>
    <w:qFormat/>
    <w:uiPriority w:val="0"/>
    <w:rPr>
      <w:rFonts w:ascii="Arial" w:hAnsi="Arial" w:eastAsia="宋体"/>
      <w:b/>
      <w:bCs/>
      <w:kern w:val="2"/>
      <w:sz w:val="24"/>
      <w:szCs w:val="24"/>
      <w:lang w:val="en-US" w:eastAsia="zh-CN" w:bidi="ar-SA"/>
    </w:rPr>
  </w:style>
  <w:style w:type="character" w:customStyle="1" w:styleId="138">
    <w:name w:val="标题 Char"/>
    <w:link w:val="47"/>
    <w:qFormat/>
    <w:uiPriority w:val="10"/>
    <w:rPr>
      <w:rFonts w:ascii="Cambria" w:hAnsi="Cambria" w:eastAsia="宋体"/>
      <w:b/>
      <w:bCs/>
      <w:kern w:val="2"/>
      <w:sz w:val="32"/>
      <w:szCs w:val="32"/>
      <w:lang w:val="en-US" w:eastAsia="zh-CN" w:bidi="ar-SA"/>
    </w:rPr>
  </w:style>
  <w:style w:type="character" w:customStyle="1" w:styleId="139">
    <w:name w:val="批注框文本 Char1"/>
    <w:semiHidden/>
    <w:qFormat/>
    <w:locked/>
    <w:uiPriority w:val="99"/>
    <w:rPr>
      <w:rFonts w:ascii="Times New Roman" w:hAnsi="Times New Roman" w:eastAsia="宋体" w:cs="Times New Roman"/>
      <w:kern w:val="0"/>
      <w:sz w:val="18"/>
      <w:szCs w:val="18"/>
    </w:rPr>
  </w:style>
  <w:style w:type="character" w:customStyle="1" w:styleId="140">
    <w:name w:val="List Paragraph Char"/>
    <w:qFormat/>
    <w:locked/>
    <w:uiPriority w:val="0"/>
    <w:rPr>
      <w:rFonts w:ascii="Calibri" w:hAnsi="Calibri"/>
    </w:rPr>
  </w:style>
  <w:style w:type="character" w:customStyle="1" w:styleId="141">
    <w:name w:val="四级标题 Char"/>
    <w:link w:val="142"/>
    <w:qFormat/>
    <w:locked/>
    <w:uiPriority w:val="99"/>
    <w:rPr>
      <w:rFonts w:ascii="Arial" w:hAnsi="Arial"/>
      <w:b/>
      <w:sz w:val="28"/>
    </w:rPr>
  </w:style>
  <w:style w:type="paragraph" w:customStyle="1" w:styleId="142">
    <w:name w:val="四级标题"/>
    <w:basedOn w:val="5"/>
    <w:link w:val="141"/>
    <w:qFormat/>
    <w:uiPriority w:val="99"/>
    <w:pPr>
      <w:widowControl/>
      <w:tabs>
        <w:tab w:val="clear" w:pos="864"/>
      </w:tabs>
      <w:spacing w:beforeLines="50" w:afterLines="50" w:line="360" w:lineRule="auto"/>
      <w:ind w:left="0" w:firstLine="0"/>
      <w:jc w:val="left"/>
    </w:pPr>
    <w:rPr>
      <w:rFonts w:eastAsia="宋体"/>
      <w:bCs w:val="0"/>
      <w:szCs w:val="20"/>
    </w:rPr>
  </w:style>
  <w:style w:type="character" w:customStyle="1" w:styleId="143">
    <w:name w:val="标题 5 Char"/>
    <w:basedOn w:val="51"/>
    <w:link w:val="6"/>
    <w:qFormat/>
    <w:uiPriority w:val="99"/>
    <w:rPr>
      <w:b/>
      <w:bCs/>
      <w:kern w:val="2"/>
      <w:sz w:val="28"/>
      <w:szCs w:val="28"/>
    </w:rPr>
  </w:style>
  <w:style w:type="character" w:customStyle="1" w:styleId="144">
    <w:name w:val="页眉 Char"/>
    <w:link w:val="34"/>
    <w:qFormat/>
    <w:uiPriority w:val="99"/>
    <w:rPr>
      <w:rFonts w:eastAsia="宋体"/>
      <w:kern w:val="2"/>
      <w:sz w:val="18"/>
      <w:szCs w:val="18"/>
      <w:lang w:val="en-US" w:eastAsia="zh-CN" w:bidi="ar-SA"/>
    </w:rPr>
  </w:style>
  <w:style w:type="character" w:customStyle="1" w:styleId="145">
    <w:name w:val="正文文本缩进 3 Char1"/>
    <w:basedOn w:val="51"/>
    <w:qFormat/>
    <w:uiPriority w:val="99"/>
    <w:rPr>
      <w:rFonts w:ascii="宋体" w:hAnsi="宋体"/>
      <w:w w:val="80"/>
      <w:kern w:val="2"/>
      <w:sz w:val="16"/>
      <w:szCs w:val="16"/>
    </w:rPr>
  </w:style>
  <w:style w:type="character" w:customStyle="1" w:styleId="146">
    <w:name w:val="正文（缩进） Char"/>
    <w:link w:val="147"/>
    <w:qFormat/>
    <w:locked/>
    <w:uiPriority w:val="99"/>
    <w:rPr>
      <w:sz w:val="24"/>
    </w:rPr>
  </w:style>
  <w:style w:type="paragraph" w:customStyle="1" w:styleId="147">
    <w:name w:val="正文（缩进）"/>
    <w:basedOn w:val="1"/>
    <w:link w:val="146"/>
    <w:qFormat/>
    <w:uiPriority w:val="99"/>
    <w:pPr>
      <w:spacing w:beforeLines="50" w:afterLines="50" w:line="360" w:lineRule="auto"/>
      <w:ind w:firstLine="480" w:firstLineChars="200"/>
    </w:pPr>
    <w:rPr>
      <w:rFonts w:ascii="Times New Roman" w:hAnsi="Times New Roman"/>
      <w:kern w:val="0"/>
      <w:sz w:val="24"/>
      <w:szCs w:val="20"/>
    </w:rPr>
  </w:style>
  <w:style w:type="character" w:customStyle="1" w:styleId="148">
    <w:name w:val="编写建议 Char"/>
    <w:link w:val="149"/>
    <w:qFormat/>
    <w:locked/>
    <w:uiPriority w:val="99"/>
    <w:rPr>
      <w:i/>
      <w:iCs/>
      <w:color w:val="0000FF"/>
      <w:szCs w:val="21"/>
    </w:rPr>
  </w:style>
  <w:style w:type="paragraph" w:customStyle="1" w:styleId="149">
    <w:name w:val="编写建议"/>
    <w:basedOn w:val="1"/>
    <w:link w:val="148"/>
    <w:qFormat/>
    <w:uiPriority w:val="99"/>
    <w:pPr>
      <w:autoSpaceDE w:val="0"/>
      <w:autoSpaceDN w:val="0"/>
      <w:adjustRightInd w:val="0"/>
      <w:spacing w:line="300" w:lineRule="auto"/>
      <w:ind w:left="200" w:leftChars="200"/>
      <w:jc w:val="left"/>
    </w:pPr>
    <w:rPr>
      <w:rFonts w:ascii="Times New Roman" w:hAnsi="Times New Roman"/>
      <w:i/>
      <w:iCs/>
      <w:color w:val="0000FF"/>
      <w:kern w:val="0"/>
      <w:sz w:val="20"/>
    </w:rPr>
  </w:style>
  <w:style w:type="character" w:customStyle="1" w:styleId="150">
    <w:name w:val="正文文本缩进 Char1"/>
    <w:basedOn w:val="51"/>
    <w:semiHidden/>
    <w:qFormat/>
    <w:uiPriority w:val="99"/>
  </w:style>
  <w:style w:type="character" w:customStyle="1" w:styleId="151">
    <w:name w:val="4级标题 Char"/>
    <w:link w:val="152"/>
    <w:qFormat/>
    <w:uiPriority w:val="0"/>
    <w:rPr>
      <w:rFonts w:ascii="黑体" w:hAnsi="黑体" w:eastAsia="黑体"/>
      <w:sz w:val="24"/>
      <w:szCs w:val="24"/>
      <w:lang w:eastAsia="en-US" w:bidi="en-US"/>
    </w:rPr>
  </w:style>
  <w:style w:type="paragraph" w:customStyle="1" w:styleId="152">
    <w:name w:val="4级标题"/>
    <w:basedOn w:val="153"/>
    <w:link w:val="151"/>
    <w:qFormat/>
    <w:uiPriority w:val="0"/>
    <w:pPr>
      <w:keepLines/>
      <w:spacing w:line="360" w:lineRule="auto"/>
      <w:ind w:left="2100" w:firstLine="0" w:firstLineChars="0"/>
      <w:contextualSpacing/>
      <w:jc w:val="left"/>
      <w:outlineLvl w:val="3"/>
    </w:pPr>
    <w:rPr>
      <w:rFonts w:ascii="黑体" w:hAnsi="黑体" w:eastAsia="黑体"/>
      <w:kern w:val="0"/>
      <w:sz w:val="24"/>
      <w:szCs w:val="24"/>
      <w:lang w:eastAsia="en-US" w:bidi="en-US"/>
    </w:rPr>
  </w:style>
  <w:style w:type="paragraph" w:customStyle="1" w:styleId="153">
    <w:name w:val="列出段落1"/>
    <w:basedOn w:val="1"/>
    <w:link w:val="164"/>
    <w:qFormat/>
    <w:uiPriority w:val="34"/>
    <w:pPr>
      <w:ind w:firstLine="420" w:firstLineChars="200"/>
    </w:pPr>
    <w:rPr>
      <w:rFonts w:ascii="Calibri" w:hAnsi="Calibri"/>
    </w:rPr>
  </w:style>
  <w:style w:type="character" w:customStyle="1" w:styleId="154">
    <w:name w:val="正文文本 2 Char1"/>
    <w:basedOn w:val="51"/>
    <w:qFormat/>
    <w:uiPriority w:val="99"/>
    <w:rPr>
      <w:rFonts w:ascii="宋体" w:hAnsi="宋体"/>
      <w:w w:val="80"/>
      <w:kern w:val="2"/>
      <w:sz w:val="24"/>
      <w:szCs w:val="24"/>
    </w:rPr>
  </w:style>
  <w:style w:type="character" w:customStyle="1" w:styleId="155">
    <w:name w:val="无间隔 Char"/>
    <w:link w:val="156"/>
    <w:qFormat/>
    <w:locked/>
    <w:uiPriority w:val="99"/>
    <w:rPr>
      <w:rFonts w:ascii="Calibri" w:hAnsi="Calibri" w:eastAsia="Times New Roman" w:cs="黑体"/>
      <w:kern w:val="2"/>
      <w:sz w:val="22"/>
      <w:szCs w:val="22"/>
      <w:lang w:val="en-US" w:eastAsia="zh-CN" w:bidi="ar-SA"/>
    </w:rPr>
  </w:style>
  <w:style w:type="paragraph" w:customStyle="1" w:styleId="156">
    <w:name w:val="No Spacing1"/>
    <w:link w:val="155"/>
    <w:qFormat/>
    <w:uiPriority w:val="99"/>
    <w:rPr>
      <w:rFonts w:ascii="Calibri" w:hAnsi="Calibri" w:eastAsia="Times New Roman" w:cs="黑体"/>
      <w:kern w:val="2"/>
      <w:sz w:val="22"/>
      <w:szCs w:val="22"/>
      <w:lang w:val="en-US" w:eastAsia="zh-CN" w:bidi="ar-SA"/>
    </w:rPr>
  </w:style>
  <w:style w:type="character" w:customStyle="1" w:styleId="157">
    <w:name w:val="标题 4 Char"/>
    <w:basedOn w:val="51"/>
    <w:link w:val="5"/>
    <w:qFormat/>
    <w:uiPriority w:val="99"/>
    <w:rPr>
      <w:rFonts w:ascii="Cambria" w:hAnsi="Cambria" w:eastAsia="宋体" w:cs="Times New Roman"/>
      <w:b/>
      <w:bCs/>
      <w:kern w:val="2"/>
      <w:sz w:val="28"/>
      <w:szCs w:val="28"/>
    </w:rPr>
  </w:style>
  <w:style w:type="character" w:customStyle="1" w:styleId="158">
    <w:name w:val="标题 3 Char"/>
    <w:basedOn w:val="51"/>
    <w:link w:val="4"/>
    <w:qFormat/>
    <w:uiPriority w:val="0"/>
    <w:rPr>
      <w:rFonts w:ascii="宋体" w:hAnsi="宋体"/>
      <w:b/>
      <w:bCs/>
      <w:w w:val="80"/>
      <w:kern w:val="2"/>
      <w:sz w:val="32"/>
      <w:szCs w:val="32"/>
    </w:rPr>
  </w:style>
  <w:style w:type="character" w:customStyle="1" w:styleId="159">
    <w:name w:val="Char Char11"/>
    <w:qFormat/>
    <w:uiPriority w:val="0"/>
    <w:rPr>
      <w:kern w:val="2"/>
      <w:sz w:val="18"/>
      <w:szCs w:val="18"/>
    </w:rPr>
  </w:style>
  <w:style w:type="character" w:customStyle="1" w:styleId="160">
    <w:name w:val="marklong"/>
    <w:basedOn w:val="51"/>
    <w:qFormat/>
    <w:uiPriority w:val="0"/>
  </w:style>
  <w:style w:type="character" w:customStyle="1" w:styleId="161">
    <w:name w:val="标题 3 Char1"/>
    <w:qFormat/>
    <w:uiPriority w:val="99"/>
    <w:rPr>
      <w:rFonts w:ascii="Arial" w:hAnsi="Arial" w:eastAsia="黑体" w:cs="Arial"/>
      <w:bCs/>
      <w:color w:val="0090C8"/>
      <w:kern w:val="2"/>
      <w:sz w:val="30"/>
      <w:szCs w:val="32"/>
      <w:lang w:val="en-US" w:eastAsia="zh-CN" w:bidi="ar-SA"/>
    </w:rPr>
  </w:style>
  <w:style w:type="character" w:customStyle="1" w:styleId="162">
    <w:name w:val="哈哈正文 Char"/>
    <w:link w:val="163"/>
    <w:qFormat/>
    <w:uiPriority w:val="0"/>
    <w:rPr>
      <w:rFonts w:ascii="宋体" w:hAnsi="宋体" w:cs="宋体"/>
      <w:sz w:val="24"/>
    </w:rPr>
  </w:style>
  <w:style w:type="paragraph" w:customStyle="1" w:styleId="163">
    <w:name w:val="哈哈正文"/>
    <w:basedOn w:val="1"/>
    <w:link w:val="162"/>
    <w:qFormat/>
    <w:uiPriority w:val="0"/>
    <w:pPr>
      <w:spacing w:line="360" w:lineRule="auto"/>
      <w:ind w:firstLine="200" w:firstLineChars="200"/>
    </w:pPr>
    <w:rPr>
      <w:kern w:val="0"/>
      <w:sz w:val="24"/>
      <w:szCs w:val="20"/>
    </w:rPr>
  </w:style>
  <w:style w:type="character" w:customStyle="1" w:styleId="164">
    <w:name w:val="列出段落 Char"/>
    <w:link w:val="153"/>
    <w:qFormat/>
    <w:locked/>
    <w:uiPriority w:val="99"/>
    <w:rPr>
      <w:rFonts w:ascii="Calibri" w:hAnsi="Calibri" w:cs="Calibri"/>
      <w:kern w:val="2"/>
      <w:sz w:val="21"/>
      <w:szCs w:val="21"/>
    </w:rPr>
  </w:style>
  <w:style w:type="character" w:customStyle="1" w:styleId="165">
    <w:name w:val="标题 6 Char"/>
    <w:basedOn w:val="51"/>
    <w:link w:val="7"/>
    <w:qFormat/>
    <w:uiPriority w:val="99"/>
    <w:rPr>
      <w:rFonts w:ascii="Cambria" w:hAnsi="Cambria"/>
      <w:b/>
      <w:bCs/>
      <w:kern w:val="2"/>
      <w:sz w:val="24"/>
      <w:szCs w:val="24"/>
    </w:rPr>
  </w:style>
  <w:style w:type="character" w:customStyle="1" w:styleId="166">
    <w:name w:val="HTML 预设格式 Char"/>
    <w:link w:val="44"/>
    <w:qFormat/>
    <w:uiPriority w:val="99"/>
    <w:rPr>
      <w:rFonts w:ascii="Courier New" w:hAnsi="Courier New" w:cs="Courier New"/>
    </w:rPr>
  </w:style>
  <w:style w:type="character" w:customStyle="1" w:styleId="167">
    <w:name w:val="op-map-singlepoint-info-right"/>
    <w:basedOn w:val="51"/>
    <w:qFormat/>
    <w:uiPriority w:val="0"/>
  </w:style>
  <w:style w:type="character" w:customStyle="1" w:styleId="168">
    <w:name w:val="普通文字 Char Char2"/>
    <w:qFormat/>
    <w:uiPriority w:val="99"/>
    <w:rPr>
      <w:rFonts w:ascii="宋体" w:hAnsi="Courier New" w:eastAsia="宋体"/>
      <w:kern w:val="2"/>
      <w:sz w:val="21"/>
      <w:lang w:val="en-US" w:eastAsia="zh-CN" w:bidi="ar-SA"/>
    </w:rPr>
  </w:style>
  <w:style w:type="character" w:customStyle="1" w:styleId="169">
    <w:name w:val="纯文本 Char2"/>
    <w:basedOn w:val="51"/>
    <w:qFormat/>
    <w:uiPriority w:val="0"/>
    <w:rPr>
      <w:rFonts w:ascii="宋体" w:hAnsi="Courier New" w:eastAsia="宋体" w:cs="Courier New"/>
      <w:szCs w:val="21"/>
    </w:rPr>
  </w:style>
  <w:style w:type="character" w:customStyle="1" w:styleId="170">
    <w:name w:val="页脚 Char"/>
    <w:link w:val="33"/>
    <w:qFormat/>
    <w:uiPriority w:val="0"/>
    <w:rPr>
      <w:rFonts w:eastAsia="宋体"/>
      <w:kern w:val="2"/>
      <w:sz w:val="18"/>
      <w:szCs w:val="18"/>
      <w:lang w:val="en-US" w:eastAsia="zh-CN" w:bidi="ar-SA"/>
    </w:rPr>
  </w:style>
  <w:style w:type="character" w:customStyle="1" w:styleId="171">
    <w:name w:val="标题 2 Char"/>
    <w:link w:val="3"/>
    <w:qFormat/>
    <w:uiPriority w:val="0"/>
    <w:rPr>
      <w:rFonts w:ascii="Arial" w:hAnsi="Arial" w:eastAsia="黑体"/>
      <w:b/>
      <w:bCs/>
      <w:kern w:val="2"/>
      <w:sz w:val="32"/>
      <w:szCs w:val="32"/>
      <w:lang w:val="en-US" w:eastAsia="zh-CN" w:bidi="ar-SA"/>
    </w:rPr>
  </w:style>
  <w:style w:type="character" w:customStyle="1" w:styleId="172">
    <w:name w:val="正文文本 Char1"/>
    <w:qFormat/>
    <w:uiPriority w:val="99"/>
    <w:rPr>
      <w:rFonts w:ascii="宋体" w:hAnsi="宋体"/>
      <w:w w:val="80"/>
      <w:kern w:val="2"/>
      <w:sz w:val="24"/>
      <w:szCs w:val="24"/>
    </w:rPr>
  </w:style>
  <w:style w:type="character" w:customStyle="1" w:styleId="173">
    <w:name w:val="日期 Char2"/>
    <w:basedOn w:val="51"/>
    <w:semiHidden/>
    <w:qFormat/>
    <w:uiPriority w:val="99"/>
  </w:style>
  <w:style w:type="character" w:customStyle="1" w:styleId="174">
    <w:name w:val="apple-converted-space"/>
    <w:basedOn w:val="51"/>
    <w:qFormat/>
    <w:uiPriority w:val="0"/>
  </w:style>
  <w:style w:type="character" w:customStyle="1" w:styleId="175">
    <w:name w:val="h3 Char"/>
    <w:qFormat/>
    <w:uiPriority w:val="0"/>
    <w:rPr>
      <w:rFonts w:hint="eastAsia" w:ascii="黑体" w:eastAsia="黑体" w:cs="黑体"/>
      <w:bCs/>
      <w:kern w:val="2"/>
      <w:sz w:val="28"/>
      <w:szCs w:val="32"/>
      <w:lang w:bidi="ar-SA"/>
    </w:rPr>
  </w:style>
  <w:style w:type="character" w:customStyle="1" w:styleId="176">
    <w:name w:val="标题 2 Char1"/>
    <w:qFormat/>
    <w:uiPriority w:val="0"/>
    <w:rPr>
      <w:rFonts w:ascii="宋体" w:hAnsi="宋体" w:eastAsia="宋体" w:cs="Times New Roman"/>
      <w:b/>
      <w:szCs w:val="21"/>
    </w:rPr>
  </w:style>
  <w:style w:type="character" w:customStyle="1" w:styleId="177">
    <w:name w:val="正文首行缩进 Char3"/>
    <w:basedOn w:val="115"/>
    <w:semiHidden/>
    <w:qFormat/>
    <w:uiPriority w:val="99"/>
  </w:style>
  <w:style w:type="character" w:customStyle="1" w:styleId="178">
    <w:name w:val="正文文本缩进 2 Char1"/>
    <w:basedOn w:val="51"/>
    <w:link w:val="31"/>
    <w:qFormat/>
    <w:uiPriority w:val="0"/>
    <w:rPr>
      <w:rFonts w:ascii="FangSong_GB2312" w:hAnsi="宋体" w:eastAsia="FangSong_GB2312"/>
      <w:bCs/>
      <w:kern w:val="2"/>
      <w:sz w:val="28"/>
      <w:szCs w:val="36"/>
      <w:lang w:val="zh-CN"/>
    </w:rPr>
  </w:style>
  <w:style w:type="character" w:customStyle="1" w:styleId="179">
    <w:name w:val="正文缩进 Char"/>
    <w:link w:val="12"/>
    <w:qFormat/>
    <w:uiPriority w:val="0"/>
    <w:rPr>
      <w:rFonts w:ascii="宋体" w:hAnsi="宋体"/>
      <w:kern w:val="2"/>
      <w:sz w:val="21"/>
    </w:rPr>
  </w:style>
  <w:style w:type="character" w:customStyle="1" w:styleId="180">
    <w:name w:val="页眉 Char1"/>
    <w:qFormat/>
    <w:uiPriority w:val="99"/>
    <w:rPr>
      <w:sz w:val="18"/>
    </w:rPr>
  </w:style>
  <w:style w:type="character" w:customStyle="1" w:styleId="181">
    <w:name w:val="文档结构图 Char"/>
    <w:link w:val="14"/>
    <w:qFormat/>
    <w:uiPriority w:val="99"/>
    <w:rPr>
      <w:rFonts w:ascii="宋体" w:hAnsi="宋体"/>
      <w:kern w:val="2"/>
      <w:sz w:val="21"/>
      <w:szCs w:val="21"/>
      <w:shd w:val="clear" w:color="auto" w:fill="000080"/>
    </w:rPr>
  </w:style>
  <w:style w:type="character" w:customStyle="1" w:styleId="182">
    <w:name w:val="日期 Char1"/>
    <w:semiHidden/>
    <w:qFormat/>
    <w:locked/>
    <w:uiPriority w:val="99"/>
    <w:rPr>
      <w:rFonts w:ascii="Times New Roman" w:hAnsi="Times New Roman" w:eastAsia="宋体" w:cs="Times New Roman"/>
      <w:kern w:val="0"/>
      <w:sz w:val="24"/>
      <w:szCs w:val="24"/>
    </w:rPr>
  </w:style>
  <w:style w:type="character" w:customStyle="1" w:styleId="183">
    <w:name w:val="样式2 Char"/>
    <w:link w:val="184"/>
    <w:qFormat/>
    <w:uiPriority w:val="0"/>
    <w:rPr>
      <w:rFonts w:ascii="黑体" w:hAnsi="黑体" w:eastAsia="黑体"/>
      <w:bCs/>
      <w:color w:val="FF0000"/>
      <w:sz w:val="28"/>
      <w:szCs w:val="32"/>
    </w:rPr>
  </w:style>
  <w:style w:type="paragraph" w:customStyle="1" w:styleId="184">
    <w:name w:val="样式2"/>
    <w:basedOn w:val="4"/>
    <w:link w:val="183"/>
    <w:qFormat/>
    <w:uiPriority w:val="0"/>
    <w:pPr>
      <w:tabs>
        <w:tab w:val="left" w:pos="1620"/>
      </w:tabs>
      <w:adjustRightInd w:val="0"/>
      <w:spacing w:before="0" w:after="0" w:line="360" w:lineRule="auto"/>
      <w:textAlignment w:val="baseline"/>
    </w:pPr>
    <w:rPr>
      <w:rFonts w:ascii="黑体" w:hAnsi="黑体" w:eastAsia="黑体"/>
      <w:b w:val="0"/>
      <w:color w:val="FF0000"/>
      <w:w w:val="100"/>
      <w:kern w:val="0"/>
      <w:sz w:val="28"/>
    </w:rPr>
  </w:style>
  <w:style w:type="character" w:customStyle="1" w:styleId="185">
    <w:name w:val="表格非标题文字 Char"/>
    <w:link w:val="186"/>
    <w:qFormat/>
    <w:locked/>
    <w:uiPriority w:val="99"/>
    <w:rPr>
      <w:rFonts w:ascii="Arial" w:hAnsi="Arial" w:eastAsia="Times New Roman"/>
      <w:kern w:val="2"/>
      <w:sz w:val="18"/>
      <w:szCs w:val="21"/>
      <w:lang w:val="en-US" w:eastAsia="zh-CN" w:bidi="ar-SA"/>
    </w:rPr>
  </w:style>
  <w:style w:type="paragraph" w:customStyle="1" w:styleId="186">
    <w:name w:val="表格非标题文字"/>
    <w:link w:val="185"/>
    <w:qFormat/>
    <w:uiPriority w:val="99"/>
    <w:pPr>
      <w:snapToGrid w:val="0"/>
      <w:spacing w:before="80" w:after="40"/>
    </w:pPr>
    <w:rPr>
      <w:rFonts w:ascii="Arial" w:hAnsi="Arial" w:eastAsia="Times New Roman" w:cs="Times New Roman"/>
      <w:kern w:val="2"/>
      <w:sz w:val="18"/>
      <w:szCs w:val="21"/>
      <w:lang w:val="en-US" w:eastAsia="zh-CN" w:bidi="ar-SA"/>
    </w:rPr>
  </w:style>
  <w:style w:type="character" w:customStyle="1" w:styleId="187">
    <w:name w:val="A8"/>
    <w:qFormat/>
    <w:uiPriority w:val="99"/>
    <w:rPr>
      <w:rFonts w:ascii="FrutigerNext LT Light" w:eastAsia="FrutigerNext LT Light" w:cs="FrutigerNext LT Light"/>
      <w:color w:val="000000"/>
      <w:sz w:val="18"/>
      <w:szCs w:val="18"/>
    </w:rPr>
  </w:style>
  <w:style w:type="character" w:customStyle="1" w:styleId="188">
    <w:name w:val="正文文本 3 Char2"/>
    <w:basedOn w:val="51"/>
    <w:link w:val="16"/>
    <w:qFormat/>
    <w:uiPriority w:val="0"/>
    <w:rPr>
      <w:rFonts w:ascii="宋体" w:hAnsi="宋体"/>
      <w:kern w:val="2"/>
      <w:sz w:val="16"/>
      <w:szCs w:val="16"/>
    </w:rPr>
  </w:style>
  <w:style w:type="character" w:customStyle="1" w:styleId="189">
    <w:name w:val="文档结构图 Char1"/>
    <w:semiHidden/>
    <w:qFormat/>
    <w:locked/>
    <w:uiPriority w:val="99"/>
    <w:rPr>
      <w:rFonts w:ascii="宋体" w:hAnsi="Times New Roman" w:eastAsia="宋体" w:cs="Times New Roman"/>
      <w:kern w:val="0"/>
      <w:sz w:val="18"/>
      <w:szCs w:val="18"/>
    </w:rPr>
  </w:style>
  <w:style w:type="character" w:customStyle="1" w:styleId="190">
    <w:name w:val="普通文字 Char Char1"/>
    <w:qFormat/>
    <w:uiPriority w:val="0"/>
    <w:rPr>
      <w:rFonts w:ascii="宋体" w:hAnsi="Courier New" w:eastAsia="宋体"/>
      <w:kern w:val="2"/>
      <w:sz w:val="24"/>
      <w:szCs w:val="24"/>
    </w:rPr>
  </w:style>
  <w:style w:type="character" w:customStyle="1" w:styleId="191">
    <w:name w:val="正文首行缩进 Char"/>
    <w:basedOn w:val="51"/>
    <w:link w:val="18"/>
    <w:qFormat/>
    <w:uiPriority w:val="99"/>
    <w:rPr>
      <w:kern w:val="2"/>
      <w:sz w:val="21"/>
    </w:rPr>
  </w:style>
  <w:style w:type="paragraph" w:customStyle="1" w:styleId="192">
    <w:name w:val="p15"/>
    <w:basedOn w:val="1"/>
    <w:qFormat/>
    <w:uiPriority w:val="0"/>
    <w:pPr>
      <w:widowControl/>
      <w:spacing w:before="156" w:after="156" w:line="400" w:lineRule="atLeast"/>
    </w:pPr>
    <w:rPr>
      <w:rFonts w:cs="宋体"/>
      <w:kern w:val="0"/>
      <w:sz w:val="24"/>
    </w:rPr>
  </w:style>
  <w:style w:type="paragraph" w:customStyle="1" w:styleId="193">
    <w:name w:val="Char"/>
    <w:basedOn w:val="14"/>
    <w:qFormat/>
    <w:uiPriority w:val="0"/>
  </w:style>
  <w:style w:type="paragraph" w:customStyle="1" w:styleId="194">
    <w:name w:val="tabletextcharchar"/>
    <w:basedOn w:val="1"/>
    <w:qFormat/>
    <w:uiPriority w:val="0"/>
    <w:pPr>
      <w:widowControl/>
      <w:spacing w:before="100" w:beforeAutospacing="1" w:after="100" w:afterAutospacing="1"/>
      <w:jc w:val="left"/>
    </w:pPr>
    <w:rPr>
      <w:rFonts w:cs="宋体"/>
      <w:kern w:val="0"/>
      <w:sz w:val="24"/>
      <w:szCs w:val="24"/>
    </w:rPr>
  </w:style>
  <w:style w:type="paragraph" w:customStyle="1" w:styleId="195">
    <w:name w:val="Char Char Char"/>
    <w:basedOn w:val="1"/>
    <w:qFormat/>
    <w:uiPriority w:val="0"/>
    <w:rPr>
      <w:rFonts w:ascii="Tahoma" w:hAnsi="Tahoma"/>
      <w:sz w:val="24"/>
      <w:szCs w:val="20"/>
    </w:rPr>
  </w:style>
  <w:style w:type="paragraph" w:customStyle="1" w:styleId="196">
    <w:name w:val="正文2"/>
    <w:basedOn w:val="1"/>
    <w:qFormat/>
    <w:uiPriority w:val="0"/>
    <w:pPr>
      <w:spacing w:beforeLines="50" w:afterLines="50" w:line="360" w:lineRule="auto"/>
      <w:ind w:firstLine="480" w:firstLineChars="200"/>
    </w:pPr>
    <w:rPr>
      <w:sz w:val="24"/>
      <w:szCs w:val="24"/>
    </w:rPr>
  </w:style>
  <w:style w:type="paragraph" w:customStyle="1" w:styleId="197">
    <w:name w:val="font8"/>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198">
    <w:name w:val="itemlistintable"/>
    <w:basedOn w:val="1"/>
    <w:qFormat/>
    <w:uiPriority w:val="0"/>
    <w:pPr>
      <w:widowControl/>
      <w:spacing w:before="100" w:beforeAutospacing="1" w:after="100" w:afterAutospacing="1"/>
      <w:jc w:val="left"/>
    </w:pPr>
    <w:rPr>
      <w:rFonts w:cs="宋体"/>
      <w:kern w:val="0"/>
      <w:sz w:val="24"/>
      <w:szCs w:val="24"/>
    </w:rPr>
  </w:style>
  <w:style w:type="paragraph" w:customStyle="1" w:styleId="199">
    <w:name w:val="标题6"/>
    <w:basedOn w:val="1"/>
    <w:next w:val="2"/>
    <w:qFormat/>
    <w:uiPriority w:val="0"/>
    <w:pPr>
      <w:widowControl/>
      <w:snapToGrid w:val="0"/>
      <w:spacing w:beforeLines="50" w:afterLines="50" w:line="520" w:lineRule="atLeast"/>
      <w:ind w:firstLine="200" w:firstLineChars="200"/>
    </w:pPr>
  </w:style>
  <w:style w:type="paragraph" w:customStyle="1" w:styleId="20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201">
    <w:name w:val="xl73"/>
    <w:basedOn w:val="1"/>
    <w:qFormat/>
    <w:uiPriority w:val="0"/>
    <w:pPr>
      <w:widowControl/>
      <w:pBdr>
        <w:bottom w:val="single" w:color="auto" w:sz="4" w:space="0"/>
      </w:pBdr>
      <w:spacing w:before="100" w:beforeAutospacing="1" w:after="100" w:afterAutospacing="1"/>
      <w:jc w:val="center"/>
    </w:pPr>
    <w:rPr>
      <w:rFonts w:cs="宋体"/>
      <w:b/>
      <w:bCs/>
      <w:kern w:val="0"/>
      <w:sz w:val="36"/>
      <w:szCs w:val="36"/>
    </w:rPr>
  </w:style>
  <w:style w:type="paragraph" w:customStyle="1" w:styleId="202">
    <w:name w:val="Normal 2"/>
    <w:basedOn w:val="1"/>
    <w:qFormat/>
    <w:uiPriority w:val="0"/>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203">
    <w:name w:val="样式 首行缩进:  0 字符"/>
    <w:basedOn w:val="1"/>
    <w:qFormat/>
    <w:uiPriority w:val="0"/>
    <w:pPr>
      <w:spacing w:line="360" w:lineRule="auto"/>
      <w:ind w:firstLine="200" w:firstLineChars="200"/>
    </w:pPr>
    <w:rPr>
      <w:rFonts w:ascii="仿宋" w:hAnsi="仿宋" w:eastAsia="仿宋" w:cs="宋体"/>
      <w:sz w:val="28"/>
      <w:szCs w:val="20"/>
    </w:rPr>
  </w:style>
  <w:style w:type="paragraph" w:customStyle="1" w:styleId="204">
    <w:name w:val="默认段落字体 Para Char Char Char Char Char Char Char Char Char1 Char Char Char Char"/>
    <w:basedOn w:val="1"/>
    <w:qFormat/>
    <w:uiPriority w:val="0"/>
    <w:rPr>
      <w:rFonts w:ascii="Tahoma" w:hAnsi="Tahoma"/>
      <w:sz w:val="24"/>
      <w:szCs w:val="20"/>
    </w:rPr>
  </w:style>
  <w:style w:type="paragraph" w:customStyle="1" w:styleId="20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6">
    <w:name w:val="正文-带编号1)"/>
    <w:basedOn w:val="1"/>
    <w:qFormat/>
    <w:uiPriority w:val="0"/>
    <w:pPr>
      <w:tabs>
        <w:tab w:val="left" w:pos="840"/>
      </w:tabs>
      <w:spacing w:line="400" w:lineRule="exact"/>
      <w:ind w:left="840"/>
    </w:pPr>
    <w:rPr>
      <w:rFonts w:ascii="Arial" w:hAnsi="Arial"/>
      <w:szCs w:val="24"/>
    </w:rPr>
  </w:style>
  <w:style w:type="paragraph" w:customStyle="1" w:styleId="207">
    <w:name w:val="Char111"/>
    <w:basedOn w:val="1"/>
    <w:qFormat/>
    <w:uiPriority w:val="0"/>
  </w:style>
  <w:style w:type="paragraph" w:customStyle="1" w:styleId="208">
    <w:name w:val="表格标题文字"/>
    <w:qFormat/>
    <w:uiPriority w:val="0"/>
    <w:pPr>
      <w:snapToGrid w:val="0"/>
      <w:spacing w:before="120" w:line="240" w:lineRule="exact"/>
    </w:pPr>
    <w:rPr>
      <w:rFonts w:ascii="Arial" w:hAnsi="Arial" w:eastAsia="黑体" w:cs="Times New Roman"/>
      <w:sz w:val="18"/>
      <w:lang w:val="en-US" w:eastAsia="zh-CN" w:bidi="ar-SA"/>
    </w:rPr>
  </w:style>
  <w:style w:type="paragraph" w:customStyle="1" w:styleId="2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Figure Description"/>
    <w:basedOn w:val="1"/>
    <w:next w:val="1"/>
    <w:qFormat/>
    <w:uiPriority w:val="0"/>
    <w:pPr>
      <w:widowControl/>
      <w:tabs>
        <w:tab w:val="left" w:pos="360"/>
      </w:tabs>
      <w:snapToGrid w:val="0"/>
      <w:spacing w:before="80" w:after="320"/>
      <w:jc w:val="center"/>
    </w:pPr>
    <w:rPr>
      <w:rFonts w:ascii="Arial" w:hAnsi="Arial" w:eastAsia="黑体" w:cs="Arial"/>
      <w:kern w:val="0"/>
      <w:sz w:val="18"/>
      <w:szCs w:val="18"/>
    </w:rPr>
  </w:style>
  <w:style w:type="paragraph" w:customStyle="1" w:styleId="211">
    <w:name w:val="Proposals body"/>
    <w:basedOn w:val="1"/>
    <w:next w:val="1"/>
    <w:qFormat/>
    <w:uiPriority w:val="0"/>
    <w:pPr>
      <w:widowControl/>
      <w:spacing w:line="360" w:lineRule="auto"/>
      <w:jc w:val="left"/>
    </w:pPr>
    <w:rPr>
      <w:rFonts w:hAnsi="Times New Roman"/>
      <w:snapToGrid w:val="0"/>
      <w:color w:val="000000"/>
      <w:kern w:val="0"/>
      <w:sz w:val="24"/>
      <w:szCs w:val="20"/>
    </w:rPr>
  </w:style>
  <w:style w:type="paragraph" w:customStyle="1" w:styleId="2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rPr>
  </w:style>
  <w:style w:type="paragraph" w:customStyle="1" w:styleId="213">
    <w:name w:val="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214">
    <w:name w:val="列表样式(一级)"/>
    <w:basedOn w:val="1"/>
    <w:qFormat/>
    <w:uiPriority w:val="0"/>
    <w:pPr>
      <w:spacing w:before="160" w:after="160" w:line="280" w:lineRule="exact"/>
      <w:ind w:left="420" w:hanging="420"/>
      <w:jc w:val="left"/>
    </w:pPr>
    <w:rPr>
      <w:rFonts w:ascii="Times New Roman" w:hAnsi="Times New Roman" w:eastAsia="华文细黑"/>
      <w:color w:val="505050"/>
      <w:sz w:val="16"/>
      <w:szCs w:val="16"/>
    </w:rPr>
  </w:style>
  <w:style w:type="paragraph" w:customStyle="1" w:styleId="215">
    <w:name w:val="图格式"/>
    <w:basedOn w:val="1"/>
    <w:qFormat/>
    <w:uiPriority w:val="0"/>
    <w:pPr>
      <w:jc w:val="center"/>
    </w:pPr>
    <w:rPr>
      <w:rFonts w:ascii="Arial" w:hAnsi="Arial" w:eastAsia="微软雅黑"/>
      <w:szCs w:val="24"/>
    </w:rPr>
  </w:style>
  <w:style w:type="paragraph" w:customStyle="1" w:styleId="216">
    <w:name w:val="中等深浅网格 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b/>
      <w:bCs/>
      <w:kern w:val="0"/>
      <w:sz w:val="24"/>
      <w:szCs w:val="24"/>
    </w:rPr>
  </w:style>
  <w:style w:type="paragraph" w:customStyle="1" w:styleId="218">
    <w:name w:val="font6"/>
    <w:basedOn w:val="1"/>
    <w:qFormat/>
    <w:uiPriority w:val="0"/>
    <w:pPr>
      <w:widowControl/>
      <w:spacing w:before="100" w:beforeAutospacing="1" w:after="100" w:afterAutospacing="1"/>
      <w:jc w:val="left"/>
    </w:pPr>
    <w:rPr>
      <w:rFonts w:cs="宋体"/>
      <w:kern w:val="0"/>
      <w:sz w:val="22"/>
      <w:szCs w:val="22"/>
    </w:rPr>
  </w:style>
  <w:style w:type="paragraph" w:styleId="219">
    <w:name w:val="List Paragraph"/>
    <w:basedOn w:val="1"/>
    <w:qFormat/>
    <w:uiPriority w:val="99"/>
    <w:pPr>
      <w:ind w:firstLine="420" w:firstLineChars="200"/>
    </w:pPr>
    <w:rPr>
      <w:rFonts w:ascii="Calibri" w:hAnsi="Calibri"/>
      <w:szCs w:val="22"/>
    </w:rPr>
  </w:style>
  <w:style w:type="paragraph" w:customStyle="1" w:styleId="220">
    <w:name w:val="标准小四"/>
    <w:basedOn w:val="1"/>
    <w:qFormat/>
    <w:uiPriority w:val="0"/>
    <w:pPr>
      <w:spacing w:line="360" w:lineRule="auto"/>
      <w:ind w:firstLine="480" w:firstLineChars="200"/>
    </w:pPr>
    <w:rPr>
      <w:rFonts w:ascii="Arial" w:hAnsi="Arial"/>
      <w:sz w:val="24"/>
    </w:rPr>
  </w:style>
  <w:style w:type="paragraph" w:customStyle="1" w:styleId="221">
    <w:name w:val="*正文"/>
    <w:basedOn w:val="1"/>
    <w:qFormat/>
    <w:uiPriority w:val="0"/>
    <w:pPr>
      <w:widowControl/>
      <w:ind w:firstLine="200" w:firstLineChars="200"/>
    </w:pPr>
    <w:rPr>
      <w:rFonts w:hint="eastAsia" w:ascii="FangSong_GB2312" w:hAnsi="Times New Roman" w:eastAsia="FangSong_GB2312"/>
      <w:sz w:val="24"/>
      <w:szCs w:val="28"/>
    </w:rPr>
  </w:style>
  <w:style w:type="paragraph" w:customStyle="1" w:styleId="222">
    <w:name w:val="Pa9"/>
    <w:basedOn w:val="223"/>
    <w:next w:val="223"/>
    <w:qFormat/>
    <w:uiPriority w:val="0"/>
    <w:pPr>
      <w:spacing w:line="201" w:lineRule="atLeast"/>
    </w:pPr>
    <w:rPr>
      <w:rFonts w:ascii="文鼎" w:eastAsia="文鼎"/>
      <w:color w:val="auto"/>
    </w:rPr>
  </w:style>
  <w:style w:type="paragraph" w:customStyle="1" w:styleId="2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4">
    <w:name w:val="内容编号"/>
    <w:qFormat/>
    <w:uiPriority w:val="0"/>
    <w:pPr>
      <w:tabs>
        <w:tab w:val="left" w:pos="360"/>
      </w:tabs>
      <w:spacing w:before="156" w:after="156" w:line="360" w:lineRule="auto"/>
      <w:ind w:left="400" w:leftChars="200" w:hanging="200" w:hangingChars="200"/>
      <w:jc w:val="both"/>
    </w:pPr>
    <w:rPr>
      <w:rFonts w:hint="eastAsia" w:ascii="宋体" w:hAnsi="Times New Roman" w:eastAsia="宋体" w:cs="Times New Roman"/>
      <w:sz w:val="24"/>
      <w:szCs w:val="24"/>
      <w:lang w:val="en-US" w:eastAsia="zh-CN" w:bidi="ar-SA"/>
    </w:rPr>
  </w:style>
  <w:style w:type="paragraph" w:customStyle="1" w:styleId="225">
    <w:name w:val="Char Char Char1"/>
    <w:basedOn w:val="14"/>
    <w:qFormat/>
    <w:uiPriority w:val="0"/>
    <w:rPr>
      <w:rFonts w:ascii="Tahoma" w:hAnsi="Tahoma"/>
      <w:sz w:val="24"/>
    </w:rPr>
  </w:style>
  <w:style w:type="paragraph" w:customStyle="1" w:styleId="226">
    <w:name w:val="Char1"/>
    <w:basedOn w:val="1"/>
    <w:qFormat/>
    <w:uiPriority w:val="0"/>
    <w:pPr>
      <w:widowControl/>
      <w:spacing w:after="160" w:line="240" w:lineRule="exact"/>
      <w:jc w:val="left"/>
    </w:pPr>
    <w:rPr>
      <w:rFonts w:ascii="Tahoma" w:hAnsi="Tahoma"/>
      <w:kern w:val="0"/>
      <w:sz w:val="24"/>
      <w:lang w:eastAsia="en-US"/>
    </w:rPr>
  </w:style>
  <w:style w:type="paragraph" w:customStyle="1" w:styleId="227">
    <w:name w:val="正文无缩进"/>
    <w:basedOn w:val="1"/>
    <w:qFormat/>
    <w:uiPriority w:val="0"/>
    <w:pPr>
      <w:widowControl/>
      <w:autoSpaceDE w:val="0"/>
      <w:autoSpaceDN w:val="0"/>
      <w:spacing w:line="300" w:lineRule="auto"/>
      <w:textAlignment w:val="bottom"/>
    </w:pPr>
    <w:rPr>
      <w:rFonts w:ascii="Times New Roman" w:hAnsi="Times New Roman" w:eastAsia="楷体_GB2312"/>
      <w:szCs w:val="20"/>
    </w:rPr>
  </w:style>
  <w:style w:type="paragraph" w:customStyle="1" w:styleId="228">
    <w:name w:val="_Style 22"/>
    <w:basedOn w:val="1"/>
    <w:next w:val="2"/>
    <w:qFormat/>
    <w:uiPriority w:val="0"/>
    <w:pPr>
      <w:widowControl/>
      <w:snapToGrid w:val="0"/>
      <w:spacing w:beforeLines="50" w:afterLines="50" w:line="520" w:lineRule="atLeast"/>
      <w:ind w:firstLine="200" w:firstLineChars="200"/>
    </w:pPr>
  </w:style>
  <w:style w:type="paragraph" w:customStyle="1" w:styleId="229">
    <w:name w:val="p18"/>
    <w:basedOn w:val="1"/>
    <w:qFormat/>
    <w:uiPriority w:val="0"/>
    <w:pPr>
      <w:widowControl/>
      <w:ind w:firstLine="420"/>
    </w:pPr>
    <w:rPr>
      <w:rFonts w:cs="宋体"/>
      <w:kern w:val="0"/>
    </w:rPr>
  </w:style>
  <w:style w:type="paragraph" w:customStyle="1" w:styleId="230">
    <w:name w:val="tabletext"/>
    <w:basedOn w:val="1"/>
    <w:qFormat/>
    <w:uiPriority w:val="0"/>
    <w:pPr>
      <w:widowControl/>
      <w:spacing w:before="100" w:beforeAutospacing="1" w:after="100" w:afterAutospacing="1"/>
      <w:jc w:val="left"/>
    </w:pPr>
    <w:rPr>
      <w:rFonts w:cs="宋体"/>
      <w:kern w:val="0"/>
      <w:sz w:val="24"/>
      <w:szCs w:val="24"/>
    </w:rPr>
  </w:style>
  <w:style w:type="paragraph" w:customStyle="1" w:styleId="231">
    <w:name w:val="List Paragraph1"/>
    <w:basedOn w:val="1"/>
    <w:qFormat/>
    <w:uiPriority w:val="99"/>
    <w:pPr>
      <w:autoSpaceDE w:val="0"/>
      <w:autoSpaceDN w:val="0"/>
      <w:adjustRightInd w:val="0"/>
      <w:spacing w:line="360" w:lineRule="auto"/>
      <w:ind w:firstLine="420" w:firstLineChars="200"/>
      <w:jc w:val="left"/>
    </w:pPr>
    <w:rPr>
      <w:rFonts w:ascii="Times New Roman" w:hAnsi="Times New Roman"/>
      <w:kern w:val="0"/>
      <w:sz w:val="20"/>
      <w:szCs w:val="20"/>
    </w:rPr>
  </w:style>
  <w:style w:type="paragraph" w:customStyle="1" w:styleId="23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szCs w:val="24"/>
    </w:rPr>
  </w:style>
  <w:style w:type="paragraph" w:customStyle="1" w:styleId="233">
    <w:name w:val="Pa7"/>
    <w:basedOn w:val="223"/>
    <w:next w:val="223"/>
    <w:qFormat/>
    <w:uiPriority w:val="0"/>
    <w:pPr>
      <w:spacing w:line="181" w:lineRule="atLeast"/>
    </w:pPr>
    <w:rPr>
      <w:rFonts w:ascii="文鼎" w:eastAsia="文鼎"/>
      <w:color w:val="auto"/>
    </w:rPr>
  </w:style>
  <w:style w:type="paragraph" w:customStyle="1" w:styleId="234">
    <w:name w:val="font12"/>
    <w:basedOn w:val="1"/>
    <w:qFormat/>
    <w:uiPriority w:val="0"/>
    <w:pPr>
      <w:widowControl/>
      <w:spacing w:before="100" w:beforeAutospacing="1" w:after="100" w:afterAutospacing="1"/>
      <w:jc w:val="left"/>
    </w:pPr>
    <w:rPr>
      <w:rFonts w:cs="宋体"/>
      <w:kern w:val="0"/>
      <w:sz w:val="22"/>
      <w:szCs w:val="22"/>
    </w:rPr>
  </w:style>
  <w:style w:type="paragraph" w:customStyle="1" w:styleId="235">
    <w:name w:val="列出段落11"/>
    <w:basedOn w:val="1"/>
    <w:qFormat/>
    <w:uiPriority w:val="99"/>
    <w:pPr>
      <w:ind w:firstLine="420" w:firstLineChars="200"/>
    </w:pPr>
    <w:rPr>
      <w:rFonts w:ascii="Times New Roman" w:hAnsi="Times New Roman"/>
      <w:szCs w:val="24"/>
    </w:rPr>
  </w:style>
  <w:style w:type="paragraph" w:customStyle="1" w:styleId="236">
    <w:name w:val="正文文本缩进 + 四号"/>
    <w:basedOn w:val="19"/>
    <w:qFormat/>
    <w:uiPriority w:val="0"/>
    <w:pPr>
      <w:spacing w:after="0" w:line="360" w:lineRule="auto"/>
      <w:ind w:left="0" w:leftChars="0" w:firstLine="560" w:firstLineChars="200"/>
    </w:pPr>
    <w:rPr>
      <w:rFonts w:ascii="FangSong_GB2312" w:hAnsi="Calibri" w:eastAsia="FangSong_GB2312"/>
      <w:color w:val="000000"/>
      <w:kern w:val="0"/>
      <w:sz w:val="28"/>
      <w:szCs w:val="28"/>
    </w:rPr>
  </w:style>
  <w:style w:type="paragraph" w:customStyle="1" w:styleId="23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39">
    <w:name w:val="p21"/>
    <w:basedOn w:val="1"/>
    <w:qFormat/>
    <w:uiPriority w:val="0"/>
    <w:pPr>
      <w:widowControl/>
      <w:spacing w:line="360" w:lineRule="auto"/>
      <w:ind w:firstLine="420"/>
    </w:pPr>
    <w:rPr>
      <w:rFonts w:ascii="Times New Roman" w:hAnsi="Times New Roman"/>
      <w:kern w:val="0"/>
    </w:rPr>
  </w:style>
  <w:style w:type="paragraph" w:customStyle="1" w:styleId="240">
    <w:name w:val="图2"/>
    <w:qFormat/>
    <w:uiPriority w:val="0"/>
    <w:pPr>
      <w:spacing w:before="156" w:after="156" w:line="360" w:lineRule="auto"/>
      <w:jc w:val="center"/>
    </w:pPr>
    <w:rPr>
      <w:rFonts w:hint="eastAsia" w:ascii="宋体" w:hAnsi="宋体" w:eastAsia="宋体" w:cs="Times New Roman"/>
      <w:sz w:val="24"/>
      <w:szCs w:val="24"/>
      <w:lang w:val="en-US" w:eastAsia="zh-CN" w:bidi="ar-SA"/>
    </w:rPr>
  </w:style>
  <w:style w:type="paragraph" w:customStyle="1" w:styleId="241">
    <w:name w:val="tabletextchar"/>
    <w:basedOn w:val="1"/>
    <w:qFormat/>
    <w:uiPriority w:val="0"/>
    <w:pPr>
      <w:widowControl/>
      <w:spacing w:before="100" w:beforeAutospacing="1" w:after="100" w:afterAutospacing="1"/>
      <w:jc w:val="left"/>
    </w:pPr>
    <w:rPr>
      <w:rFonts w:cs="宋体"/>
      <w:kern w:val="0"/>
      <w:sz w:val="24"/>
      <w:szCs w:val="24"/>
    </w:rPr>
  </w:style>
  <w:style w:type="paragraph" w:customStyle="1" w:styleId="242">
    <w:name w:val="标准正文"/>
    <w:basedOn w:val="1"/>
    <w:qFormat/>
    <w:uiPriority w:val="0"/>
    <w:pPr>
      <w:adjustRightInd w:val="0"/>
      <w:spacing w:line="360" w:lineRule="auto"/>
      <w:ind w:firstLine="480" w:firstLineChars="200"/>
    </w:pPr>
    <w:rPr>
      <w:rFonts w:ascii="Times New Roman" w:hAnsi="Times New Roman"/>
      <w:kern w:val="0"/>
      <w:sz w:val="24"/>
      <w:szCs w:val="20"/>
    </w:rPr>
  </w:style>
  <w:style w:type="paragraph" w:customStyle="1" w:styleId="243">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kern w:val="0"/>
      <w:sz w:val="24"/>
      <w:szCs w:val="24"/>
    </w:rPr>
  </w:style>
  <w:style w:type="paragraph" w:customStyle="1" w:styleId="244">
    <w:name w:val="xl77"/>
    <w:basedOn w:val="1"/>
    <w:qFormat/>
    <w:uiPriority w:val="0"/>
    <w:pPr>
      <w:widowControl/>
      <w:pBdr>
        <w:left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45">
    <w:name w:val="方案标题2"/>
    <w:basedOn w:val="1"/>
    <w:next w:val="1"/>
    <w:qFormat/>
    <w:uiPriority w:val="0"/>
    <w:pPr>
      <w:keepLines/>
      <w:adjustRightInd w:val="0"/>
      <w:ind w:left="1260" w:hanging="420"/>
      <w:outlineLvl w:val="1"/>
    </w:pPr>
    <w:rPr>
      <w:snapToGrid w:val="0"/>
      <w:spacing w:val="14"/>
      <w:kern w:val="0"/>
      <w:sz w:val="28"/>
      <w:szCs w:val="28"/>
    </w:rPr>
  </w:style>
  <w:style w:type="paragraph" w:customStyle="1" w:styleId="24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47">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szCs w:val="20"/>
    </w:rPr>
  </w:style>
  <w:style w:type="paragraph" w:customStyle="1" w:styleId="248">
    <w:name w:val="正文－恩普"/>
    <w:basedOn w:val="12"/>
    <w:qFormat/>
    <w:uiPriority w:val="0"/>
    <w:pPr>
      <w:widowControl/>
      <w:spacing w:line="360" w:lineRule="auto"/>
      <w:ind w:firstLine="480" w:firstLineChars="200"/>
      <w:jc w:val="left"/>
    </w:pPr>
    <w:rPr>
      <w:rFonts w:ascii="Times New Roman" w:hAnsi="Times New Roman"/>
      <w:kern w:val="0"/>
      <w:sz w:val="24"/>
    </w:rPr>
  </w:style>
  <w:style w:type="paragraph" w:customStyle="1" w:styleId="249">
    <w:name w:val="数字条目"/>
    <w:basedOn w:val="1"/>
    <w:qFormat/>
    <w:uiPriority w:val="0"/>
    <w:pPr>
      <w:tabs>
        <w:tab w:val="left" w:pos="1287"/>
      </w:tabs>
      <w:spacing w:line="360" w:lineRule="auto"/>
      <w:ind w:left="840"/>
    </w:pPr>
    <w:rPr>
      <w:rFonts w:ascii="Arial" w:hAnsi="Arial" w:cs="Arial"/>
      <w:szCs w:val="24"/>
    </w:rPr>
  </w:style>
  <w:style w:type="paragraph" w:customStyle="1" w:styleId="250">
    <w:name w:val="标题 2 华文中宋"/>
    <w:basedOn w:val="3"/>
    <w:qFormat/>
    <w:uiPriority w:val="0"/>
    <w:pPr>
      <w:adjustRightInd w:val="0"/>
      <w:snapToGrid w:val="0"/>
      <w:spacing w:before="0" w:after="0" w:line="360" w:lineRule="auto"/>
    </w:pPr>
    <w:rPr>
      <w:rFonts w:hint="eastAsia" w:ascii="宋体" w:hAnsi="宋体" w:eastAsia="宋体"/>
      <w:kern w:val="24"/>
      <w:sz w:val="28"/>
      <w:szCs w:val="21"/>
    </w:rPr>
  </w:style>
  <w:style w:type="paragraph" w:customStyle="1" w:styleId="251">
    <w:name w:val="Pa10"/>
    <w:basedOn w:val="223"/>
    <w:next w:val="223"/>
    <w:qFormat/>
    <w:uiPriority w:val="0"/>
    <w:pPr>
      <w:spacing w:line="181" w:lineRule="atLeast"/>
    </w:pPr>
    <w:rPr>
      <w:rFonts w:ascii="文鼎" w:eastAsia="文鼎"/>
      <w:color w:val="auto"/>
    </w:rPr>
  </w:style>
  <w:style w:type="paragraph" w:customStyle="1" w:styleId="252">
    <w:name w:val="大标题"/>
    <w:basedOn w:val="1"/>
    <w:qFormat/>
    <w:uiPriority w:val="0"/>
    <w:pPr>
      <w:autoSpaceDE w:val="0"/>
      <w:autoSpaceDN w:val="0"/>
      <w:adjustRightInd w:val="0"/>
      <w:spacing w:after="560"/>
      <w:jc w:val="center"/>
    </w:pPr>
    <w:rPr>
      <w:rFonts w:ascii="Arial Black" w:hAnsi="Arial Black"/>
      <w:b/>
      <w:kern w:val="0"/>
      <w:sz w:val="56"/>
      <w:szCs w:val="20"/>
    </w:rPr>
  </w:style>
  <w:style w:type="paragraph" w:customStyle="1" w:styleId="253">
    <w:name w:val="xl25"/>
    <w:basedOn w:val="1"/>
    <w:qFormat/>
    <w:uiPriority w:val="0"/>
    <w:pPr>
      <w:widowControl/>
      <w:spacing w:before="100" w:beforeAutospacing="1" w:after="100" w:afterAutospacing="1"/>
      <w:jc w:val="center"/>
      <w:textAlignment w:val="center"/>
    </w:pPr>
    <w:rPr>
      <w:kern w:val="0"/>
      <w:sz w:val="20"/>
      <w:szCs w:val="20"/>
    </w:rPr>
  </w:style>
  <w:style w:type="paragraph" w:customStyle="1" w:styleId="254">
    <w:name w:val="编号，小四"/>
    <w:basedOn w:val="1"/>
    <w:qFormat/>
    <w:uiPriority w:val="0"/>
    <w:pPr>
      <w:tabs>
        <w:tab w:val="left" w:pos="360"/>
      </w:tabs>
      <w:spacing w:line="360" w:lineRule="auto"/>
      <w:ind w:left="360" w:hanging="360"/>
    </w:pPr>
    <w:rPr>
      <w:rFonts w:ascii="Arial" w:hAnsi="Arial" w:cs="宋体"/>
      <w:sz w:val="24"/>
      <w:szCs w:val="20"/>
    </w:rPr>
  </w:style>
  <w:style w:type="paragraph" w:customStyle="1" w:styleId="255">
    <w:name w:val="Char Char Char Char1"/>
    <w:basedOn w:val="1"/>
    <w:qFormat/>
    <w:uiPriority w:val="0"/>
    <w:pPr>
      <w:widowControl/>
      <w:spacing w:line="400" w:lineRule="exact"/>
      <w:jc w:val="center"/>
    </w:pPr>
    <w:rPr>
      <w:rFonts w:ascii="Verdana" w:hAnsi="Verdana"/>
      <w:kern w:val="0"/>
      <w:szCs w:val="20"/>
      <w:lang w:eastAsia="en-US"/>
    </w:rPr>
  </w:style>
  <w:style w:type="paragraph" w:customStyle="1" w:styleId="256">
    <w:name w:val="Char Char Char Char Char Char Char"/>
    <w:basedOn w:val="1"/>
    <w:qFormat/>
    <w:uiPriority w:val="0"/>
    <w:pPr>
      <w:tabs>
        <w:tab w:val="left" w:pos="432"/>
      </w:tabs>
      <w:ind w:left="432" w:hanging="432"/>
    </w:pPr>
    <w:rPr>
      <w:rFonts w:ascii="Tahoma" w:hAnsi="Tahoma"/>
      <w:sz w:val="24"/>
      <w:szCs w:val="20"/>
    </w:rPr>
  </w:style>
  <w:style w:type="paragraph" w:customStyle="1" w:styleId="257">
    <w:name w:val="图表"/>
    <w:basedOn w:val="1"/>
    <w:qFormat/>
    <w:uiPriority w:val="0"/>
    <w:pPr>
      <w:spacing w:line="360" w:lineRule="auto"/>
      <w:jc w:val="center"/>
    </w:pPr>
    <w:rPr>
      <w:rFonts w:ascii="Calibri" w:hAnsi="Calibri"/>
      <w:szCs w:val="22"/>
    </w:rPr>
  </w:style>
  <w:style w:type="paragraph" w:customStyle="1" w:styleId="258">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60">
    <w:name w:val="bt2_ztb"/>
    <w:basedOn w:val="1"/>
    <w:qFormat/>
    <w:uiPriority w:val="0"/>
    <w:pPr>
      <w:tabs>
        <w:tab w:val="left" w:pos="431"/>
      </w:tabs>
      <w:spacing w:line="460" w:lineRule="exact"/>
      <w:ind w:firstLine="482"/>
      <w:outlineLvl w:val="1"/>
    </w:pPr>
    <w:rPr>
      <w:rFonts w:ascii="FangSong_GB2312" w:eastAsia="FangSong_GB2312"/>
      <w:b/>
      <w:w w:val="80"/>
      <w:kern w:val="58"/>
      <w:sz w:val="24"/>
      <w:szCs w:val="20"/>
    </w:rPr>
  </w:style>
  <w:style w:type="paragraph" w:customStyle="1" w:styleId="261">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62">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63">
    <w:name w:val="TOC Heading1"/>
    <w:basedOn w:val="2"/>
    <w:next w:val="1"/>
    <w:semiHidden/>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264">
    <w:name w:val="font9"/>
    <w:basedOn w:val="1"/>
    <w:qFormat/>
    <w:uiPriority w:val="0"/>
    <w:pPr>
      <w:widowControl/>
      <w:spacing w:before="100" w:beforeAutospacing="1" w:after="100" w:afterAutospacing="1"/>
      <w:jc w:val="left"/>
    </w:pPr>
    <w:rPr>
      <w:rFonts w:cs="宋体"/>
      <w:kern w:val="0"/>
    </w:rPr>
  </w:style>
  <w:style w:type="paragraph" w:customStyle="1" w:styleId="265">
    <w:name w:val="方案正文"/>
    <w:basedOn w:val="1"/>
    <w:qFormat/>
    <w:uiPriority w:val="0"/>
    <w:pPr>
      <w:adjustRightInd w:val="0"/>
      <w:snapToGrid w:val="0"/>
      <w:spacing w:line="360" w:lineRule="auto"/>
      <w:ind w:firstLine="559" w:firstLineChars="199"/>
      <w:textAlignment w:val="baseline"/>
    </w:pPr>
    <w:rPr>
      <w:rFonts w:ascii="楷体_GB2312" w:eastAsia="楷体_GB2312"/>
      <w:snapToGrid w:val="0"/>
      <w:spacing w:val="20"/>
      <w:kern w:val="0"/>
      <w:sz w:val="24"/>
      <w:szCs w:val="24"/>
    </w:rPr>
  </w:style>
  <w:style w:type="paragraph" w:customStyle="1" w:styleId="266">
    <w:name w:val="Char12"/>
    <w:basedOn w:val="1"/>
    <w:qFormat/>
    <w:uiPriority w:val="0"/>
  </w:style>
  <w:style w:type="paragraph" w:customStyle="1" w:styleId="26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rPr>
  </w:style>
  <w:style w:type="paragraph" w:customStyle="1" w:styleId="268">
    <w:name w:val="font10"/>
    <w:basedOn w:val="1"/>
    <w:qFormat/>
    <w:uiPriority w:val="0"/>
    <w:pPr>
      <w:widowControl/>
      <w:spacing w:before="100" w:beforeAutospacing="1" w:after="100" w:afterAutospacing="1"/>
      <w:jc w:val="left"/>
    </w:pPr>
    <w:rPr>
      <w:rFonts w:ascii="Times New Roman" w:hAnsi="Times New Roman"/>
      <w:kern w:val="0"/>
    </w:rPr>
  </w:style>
  <w:style w:type="paragraph" w:customStyle="1" w:styleId="269">
    <w:name w:val="Figure"/>
    <w:basedOn w:val="1"/>
    <w:next w:val="1"/>
    <w:qFormat/>
    <w:uiPriority w:val="0"/>
    <w:pPr>
      <w:keepNext/>
      <w:widowControl/>
      <w:snapToGrid w:val="0"/>
      <w:spacing w:before="80" w:after="80" w:line="300" w:lineRule="auto"/>
      <w:ind w:left="1135"/>
      <w:jc w:val="center"/>
    </w:pPr>
    <w:rPr>
      <w:rFonts w:ascii="Arial" w:hAnsi="Arial" w:cs="Arial"/>
      <w:kern w:val="0"/>
    </w:rPr>
  </w:style>
  <w:style w:type="paragraph" w:customStyle="1" w:styleId="270">
    <w:name w:val="Char Char Char Char2"/>
    <w:basedOn w:val="1"/>
    <w:qFormat/>
    <w:uiPriority w:val="0"/>
    <w:pPr>
      <w:spacing w:line="360" w:lineRule="auto"/>
      <w:ind w:firstLine="200" w:firstLineChars="200"/>
    </w:pPr>
    <w:rPr>
      <w:rFonts w:ascii="Times New Roman" w:hAnsi="Times New Roman"/>
      <w:szCs w:val="20"/>
    </w:rPr>
  </w:style>
  <w:style w:type="paragraph" w:customStyle="1" w:styleId="271">
    <w:name w:val="xl34"/>
    <w:basedOn w:val="1"/>
    <w:qFormat/>
    <w:uiPriority w:val="0"/>
    <w:pPr>
      <w:widowControl/>
      <w:pBdr>
        <w:bottom w:val="single" w:color="auto" w:sz="4" w:space="0"/>
      </w:pBdr>
      <w:spacing w:before="100" w:beforeAutospacing="1" w:after="100" w:afterAutospacing="1"/>
      <w:jc w:val="center"/>
    </w:pPr>
    <w:rPr>
      <w:rFonts w:cs="宋体"/>
      <w:kern w:val="0"/>
      <w:sz w:val="24"/>
      <w:szCs w:val="24"/>
    </w:rPr>
  </w:style>
  <w:style w:type="paragraph" w:customStyle="1" w:styleId="272">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273">
    <w:name w:val="符号 2"/>
    <w:basedOn w:val="274"/>
    <w:qFormat/>
    <w:uiPriority w:val="0"/>
    <w:pPr>
      <w:tabs>
        <w:tab w:val="left" w:pos="900"/>
        <w:tab w:val="left" w:pos="1320"/>
      </w:tabs>
    </w:pPr>
  </w:style>
  <w:style w:type="paragraph" w:customStyle="1" w:styleId="274">
    <w:name w:val="符号 1"/>
    <w:basedOn w:val="19"/>
    <w:qFormat/>
    <w:uiPriority w:val="0"/>
    <w:pPr>
      <w:tabs>
        <w:tab w:val="left" w:pos="900"/>
      </w:tabs>
      <w:spacing w:after="0" w:line="360" w:lineRule="auto"/>
      <w:ind w:left="1200" w:leftChars="0" w:hanging="720"/>
    </w:pPr>
    <w:rPr>
      <w:rFonts w:ascii="Calibri" w:hAnsi="Calibri"/>
      <w:kern w:val="28"/>
      <w:sz w:val="24"/>
    </w:rPr>
  </w:style>
  <w:style w:type="paragraph" w:customStyle="1" w:styleId="27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rPr>
  </w:style>
  <w:style w:type="paragraph" w:customStyle="1" w:styleId="276">
    <w:name w:val="p19"/>
    <w:basedOn w:val="1"/>
    <w:qFormat/>
    <w:uiPriority w:val="0"/>
    <w:pPr>
      <w:widowControl/>
    </w:pPr>
    <w:rPr>
      <w:rFonts w:ascii="Times New Roman" w:hAnsi="Times New Roman"/>
      <w:kern w:val="0"/>
    </w:rPr>
  </w:style>
  <w:style w:type="paragraph" w:customStyle="1" w:styleId="277">
    <w:name w:val="默认段落字体 Para Char Char Char Char Char Char Char Char Char Char"/>
    <w:basedOn w:val="1"/>
    <w:qFormat/>
    <w:uiPriority w:val="0"/>
    <w:rPr>
      <w:rFonts w:ascii="Tahoma" w:hAnsi="Tahoma"/>
      <w:sz w:val="24"/>
      <w:szCs w:val="20"/>
    </w:rPr>
  </w:style>
  <w:style w:type="paragraph" w:customStyle="1" w:styleId="278">
    <w:name w:val="p0"/>
    <w:basedOn w:val="1"/>
    <w:qFormat/>
    <w:uiPriority w:val="0"/>
    <w:pPr>
      <w:widowControl/>
    </w:pPr>
    <w:rPr>
      <w:kern w:val="0"/>
    </w:rPr>
  </w:style>
  <w:style w:type="paragraph" w:customStyle="1" w:styleId="27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0">
    <w:name w:val="标题3"/>
    <w:basedOn w:val="4"/>
    <w:qFormat/>
    <w:uiPriority w:val="0"/>
    <w:pPr>
      <w:tabs>
        <w:tab w:val="left" w:pos="113"/>
        <w:tab w:val="left" w:pos="840"/>
      </w:tabs>
      <w:spacing w:before="100" w:beforeAutospacing="1" w:after="0" w:line="300" w:lineRule="auto"/>
      <w:ind w:left="1180" w:hanging="340"/>
    </w:pPr>
    <w:rPr>
      <w:rFonts w:ascii="Times New Roman" w:hAnsi="Times New Roman"/>
      <w:b w:val="0"/>
      <w:spacing w:val="6"/>
      <w:w w:val="100"/>
      <w:kern w:val="44"/>
      <w:sz w:val="28"/>
      <w:szCs w:val="20"/>
      <w:lang w:val="ru-RU"/>
    </w:rPr>
  </w:style>
  <w:style w:type="paragraph" w:customStyle="1" w:styleId="281">
    <w:name w:val="样式 标题 5 + 右侧:  -0.18 字符"/>
    <w:basedOn w:val="1"/>
    <w:qFormat/>
    <w:uiPriority w:val="0"/>
    <w:pPr>
      <w:tabs>
        <w:tab w:val="left" w:pos="1008"/>
        <w:tab w:val="left" w:pos="2100"/>
      </w:tabs>
      <w:ind w:left="2100" w:hanging="420"/>
    </w:pPr>
    <w:rPr>
      <w:rFonts w:ascii="Times New Roman" w:hAnsi="Times New Roman"/>
      <w:szCs w:val="24"/>
    </w:rPr>
  </w:style>
  <w:style w:type="paragraph" w:customStyle="1" w:styleId="282">
    <w:name w:val="我的正文"/>
    <w:unhideWhenUsed/>
    <w:qFormat/>
    <w:uiPriority w:val="0"/>
    <w:pPr>
      <w:spacing w:line="360" w:lineRule="auto"/>
      <w:ind w:firstLine="200" w:firstLineChars="200"/>
    </w:pPr>
    <w:rPr>
      <w:rFonts w:hint="eastAsia" w:ascii="Arial" w:hAnsi="Arial" w:eastAsia="宋体" w:cs="Times New Roman"/>
      <w:kern w:val="2"/>
      <w:sz w:val="28"/>
      <w:lang w:val="en-US" w:eastAsia="zh-CN" w:bidi="ar-SA"/>
    </w:rPr>
  </w:style>
  <w:style w:type="paragraph" w:customStyle="1" w:styleId="283">
    <w:name w:val="图片标注"/>
    <w:qFormat/>
    <w:uiPriority w:val="0"/>
    <w:rPr>
      <w:rFonts w:ascii="Times New Roman" w:hAnsi="Times New Roman" w:eastAsia="宋体" w:cs="Times New Roman"/>
      <w:lang w:val="en-US" w:eastAsia="zh-CN" w:bidi="ar-SA"/>
    </w:rPr>
  </w:style>
  <w:style w:type="paragraph" w:customStyle="1" w:styleId="284">
    <w:name w:val="正文编码"/>
    <w:basedOn w:val="18"/>
    <w:qFormat/>
    <w:uiPriority w:val="0"/>
    <w:pPr>
      <w:tabs>
        <w:tab w:val="center" w:pos="2185"/>
      </w:tabs>
      <w:spacing w:line="360" w:lineRule="auto"/>
      <w:ind w:left="1200" w:firstLine="0" w:firstLineChars="0"/>
    </w:pPr>
    <w:rPr>
      <w:rFonts w:ascii="FangSong_GB2312" w:eastAsia="FangSong_GB2312"/>
      <w:i/>
      <w:kern w:val="0"/>
    </w:rPr>
  </w:style>
  <w:style w:type="paragraph" w:customStyle="1" w:styleId="285">
    <w:name w:val="_Style 15"/>
    <w:basedOn w:val="1"/>
    <w:qFormat/>
    <w:uiPriority w:val="0"/>
  </w:style>
  <w:style w:type="paragraph" w:customStyle="1" w:styleId="2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2"/>
      <w:szCs w:val="2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rPr>
  </w:style>
  <w:style w:type="paragraph" w:customStyle="1" w:styleId="288">
    <w:name w:val="font11"/>
    <w:basedOn w:val="1"/>
    <w:qFormat/>
    <w:uiPriority w:val="0"/>
    <w:pPr>
      <w:widowControl/>
      <w:spacing w:before="100" w:beforeAutospacing="1" w:after="100" w:afterAutospacing="1"/>
      <w:jc w:val="left"/>
    </w:pPr>
    <w:rPr>
      <w:rFonts w:cs="宋体"/>
      <w:kern w:val="0"/>
      <w:sz w:val="22"/>
      <w:szCs w:val="22"/>
    </w:rPr>
  </w:style>
  <w:style w:type="paragraph" w:customStyle="1" w:styleId="289">
    <w:name w:val="GW-正文"/>
    <w:qFormat/>
    <w:uiPriority w:val="0"/>
    <w:pPr>
      <w:spacing w:line="300" w:lineRule="auto"/>
      <w:ind w:firstLine="200" w:firstLineChars="200"/>
    </w:pPr>
    <w:rPr>
      <w:rFonts w:ascii="Times New Roman" w:hAnsi="Times New Roman" w:eastAsia="FangSong_GB2312" w:cs="Times New Roman"/>
      <w:sz w:val="24"/>
      <w:szCs w:val="24"/>
      <w:lang w:val="en-US" w:eastAsia="zh-CN" w:bidi="ar-SA"/>
    </w:rPr>
  </w:style>
  <w:style w:type="paragraph" w:customStyle="1" w:styleId="290">
    <w:name w:val="p17"/>
    <w:basedOn w:val="1"/>
    <w:qFormat/>
    <w:uiPriority w:val="0"/>
    <w:pPr>
      <w:widowControl/>
      <w:spacing w:line="312" w:lineRule="auto"/>
      <w:ind w:right="-210" w:firstLine="556"/>
    </w:pPr>
    <w:rPr>
      <w:rFonts w:cs="宋体"/>
      <w:kern w:val="0"/>
      <w:sz w:val="28"/>
      <w:szCs w:val="28"/>
    </w:rPr>
  </w:style>
  <w:style w:type="paragraph" w:customStyle="1" w:styleId="2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szCs w:val="24"/>
    </w:rPr>
  </w:style>
  <w:style w:type="paragraph" w:customStyle="1" w:styleId="292">
    <w:name w:val="表内文字"/>
    <w:basedOn w:val="1"/>
    <w:qFormat/>
    <w:uiPriority w:val="0"/>
    <w:pPr>
      <w:tabs>
        <w:tab w:val="left" w:pos="1418"/>
      </w:tabs>
      <w:spacing w:line="360" w:lineRule="auto"/>
      <w:jc w:val="center"/>
    </w:pPr>
    <w:rPr>
      <w:rFonts w:ascii="FangSong_GB2312" w:hAnsi="Times New Roman" w:eastAsia="FangSong_GB2312"/>
      <w:spacing w:val="-20"/>
      <w:kern w:val="0"/>
      <w:sz w:val="24"/>
      <w:szCs w:val="24"/>
    </w:rPr>
  </w:style>
  <w:style w:type="paragraph" w:customStyle="1" w:styleId="293">
    <w:name w:val="Item List"/>
    <w:basedOn w:val="1"/>
    <w:qFormat/>
    <w:uiPriority w:val="0"/>
    <w:pPr>
      <w:tabs>
        <w:tab w:val="left" w:pos="700"/>
      </w:tabs>
      <w:spacing w:before="120"/>
      <w:ind w:firstLine="340"/>
      <w:jc w:val="left"/>
    </w:pPr>
    <w:rPr>
      <w:rFonts w:ascii="Times New Roman" w:hAnsi="Times New Roman"/>
      <w:kern w:val="0"/>
      <w:szCs w:val="13"/>
    </w:rPr>
  </w:style>
  <w:style w:type="paragraph" w:customStyle="1" w:styleId="294">
    <w:name w:val="正文1"/>
    <w:qFormat/>
    <w:uiPriority w:val="99"/>
    <w:pPr>
      <w:widowControl w:val="0"/>
      <w:jc w:val="both"/>
    </w:pPr>
    <w:rPr>
      <w:rFonts w:hint="eastAsia" w:ascii="Times New Roman" w:hAnsi="Times New Roman" w:eastAsia="宋体" w:cs="Times New Roman"/>
      <w:kern w:val="2"/>
      <w:sz w:val="21"/>
      <w:lang w:val="en-US" w:eastAsia="zh-CN" w:bidi="ar-SA"/>
    </w:rPr>
  </w:style>
  <w:style w:type="paragraph" w:customStyle="1" w:styleId="295">
    <w:name w:val="德山-正文"/>
    <w:basedOn w:val="1"/>
    <w:qFormat/>
    <w:uiPriority w:val="0"/>
    <w:pPr>
      <w:widowControl/>
      <w:spacing w:beforeLines="50" w:afterLines="50" w:line="360" w:lineRule="auto"/>
      <w:ind w:firstLine="200" w:firstLineChars="200"/>
      <w:jc w:val="left"/>
    </w:pPr>
    <w:rPr>
      <w:rFonts w:ascii="Calibri" w:hAnsi="Calibri" w:cs="黑体"/>
      <w:kern w:val="0"/>
      <w:sz w:val="24"/>
      <w:szCs w:val="22"/>
      <w:lang w:eastAsia="en-US"/>
    </w:rPr>
  </w:style>
  <w:style w:type="paragraph" w:customStyle="1" w:styleId="296">
    <w:name w:val="xl71"/>
    <w:basedOn w:val="1"/>
    <w:qFormat/>
    <w:uiPriority w:val="0"/>
    <w:pPr>
      <w:widowControl/>
      <w:pBdr>
        <w:top w:val="single" w:color="auto" w:sz="4" w:space="0"/>
        <w:bottom w:val="single" w:color="auto" w:sz="4" w:space="0"/>
      </w:pBdr>
      <w:spacing w:before="100" w:beforeAutospacing="1" w:after="100" w:afterAutospacing="1"/>
      <w:jc w:val="center"/>
    </w:pPr>
    <w:rPr>
      <w:rFonts w:cs="宋体"/>
      <w:kern w:val="0"/>
      <w:sz w:val="24"/>
      <w:szCs w:val="24"/>
    </w:rPr>
  </w:style>
  <w:style w:type="paragraph" w:customStyle="1" w:styleId="2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98">
    <w:name w:val="Char11"/>
    <w:basedOn w:val="1"/>
    <w:qFormat/>
    <w:uiPriority w:val="0"/>
    <w:pPr>
      <w:tabs>
        <w:tab w:val="left" w:pos="1200"/>
      </w:tabs>
      <w:ind w:left="1200" w:hanging="720"/>
    </w:pPr>
    <w:rPr>
      <w:rFonts w:ascii="Times New Roman" w:hAnsi="Times New Roman"/>
      <w:sz w:val="24"/>
      <w:szCs w:val="24"/>
    </w:rPr>
  </w:style>
  <w:style w:type="paragraph" w:customStyle="1" w:styleId="299">
    <w:name w:val="图片"/>
    <w:basedOn w:val="1"/>
    <w:qFormat/>
    <w:uiPriority w:val="0"/>
    <w:pPr>
      <w:jc w:val="center"/>
    </w:pPr>
    <w:rPr>
      <w:rFonts w:ascii="Times New Roman" w:hAnsi="Times New Roman"/>
      <w:szCs w:val="24"/>
    </w:rPr>
  </w:style>
  <w:style w:type="paragraph" w:customStyle="1" w:styleId="30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cs="宋体"/>
      <w:b/>
      <w:bCs/>
      <w:kern w:val="0"/>
      <w:sz w:val="24"/>
      <w:szCs w:val="24"/>
    </w:rPr>
  </w:style>
  <w:style w:type="paragraph" w:customStyle="1" w:styleId="301">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302">
    <w:name w:val="正文 居中"/>
    <w:basedOn w:val="1"/>
    <w:qFormat/>
    <w:uiPriority w:val="0"/>
    <w:pPr>
      <w:spacing w:line="360" w:lineRule="auto"/>
      <w:jc w:val="center"/>
    </w:pPr>
    <w:rPr>
      <w:rFonts w:ascii="Times New Roman" w:hAnsi="Times New Roman" w:cs="宋体"/>
      <w:sz w:val="24"/>
      <w:szCs w:val="20"/>
    </w:rPr>
  </w:style>
  <w:style w:type="paragraph" w:customStyle="1" w:styleId="303">
    <w:name w:val="列出段落2"/>
    <w:basedOn w:val="1"/>
    <w:qFormat/>
    <w:uiPriority w:val="0"/>
    <w:pPr>
      <w:ind w:firstLine="420"/>
    </w:pPr>
    <w:rPr>
      <w:rFonts w:ascii="Times New Roman" w:hAnsi="Times New Roman"/>
      <w:kern w:val="0"/>
      <w:szCs w:val="20"/>
    </w:rPr>
  </w:style>
  <w:style w:type="paragraph" w:customStyle="1" w:styleId="30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Pa6"/>
    <w:basedOn w:val="223"/>
    <w:next w:val="223"/>
    <w:qFormat/>
    <w:uiPriority w:val="0"/>
    <w:pPr>
      <w:spacing w:line="201" w:lineRule="atLeast"/>
    </w:pPr>
    <w:rPr>
      <w:rFonts w:ascii="文鼎" w:eastAsia="文鼎"/>
      <w:color w:val="auto"/>
    </w:rPr>
  </w:style>
  <w:style w:type="paragraph" w:customStyle="1" w:styleId="306">
    <w:name w:val="font0"/>
    <w:basedOn w:val="1"/>
    <w:qFormat/>
    <w:uiPriority w:val="0"/>
    <w:pPr>
      <w:widowControl/>
      <w:spacing w:before="100" w:beforeAutospacing="1" w:after="100" w:afterAutospacing="1"/>
      <w:jc w:val="left"/>
    </w:pPr>
    <w:rPr>
      <w:rFonts w:cs="宋体"/>
      <w:kern w:val="0"/>
      <w:sz w:val="24"/>
      <w:szCs w:val="24"/>
    </w:rPr>
  </w:style>
  <w:style w:type="paragraph" w:customStyle="1" w:styleId="307">
    <w:name w:val="font7"/>
    <w:basedOn w:val="1"/>
    <w:qFormat/>
    <w:uiPriority w:val="0"/>
    <w:pPr>
      <w:widowControl/>
      <w:spacing w:before="100" w:beforeAutospacing="1" w:after="100" w:afterAutospacing="1"/>
      <w:jc w:val="left"/>
    </w:pPr>
    <w:rPr>
      <w:rFonts w:cs="宋体"/>
      <w:kern w:val="0"/>
      <w:sz w:val="22"/>
      <w:szCs w:val="22"/>
    </w:rPr>
  </w:style>
  <w:style w:type="paragraph" w:customStyle="1" w:styleId="308">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309">
    <w:name w:val="四号，加粗，一二三"/>
    <w:basedOn w:val="1"/>
    <w:qFormat/>
    <w:uiPriority w:val="0"/>
    <w:rPr>
      <w:rFonts w:ascii="Times New Roman" w:hAnsi="Times New Roman"/>
      <w:b/>
      <w:sz w:val="28"/>
      <w:szCs w:val="28"/>
    </w:rPr>
  </w:style>
  <w:style w:type="paragraph" w:customStyle="1" w:styleId="310">
    <w:name w:val="方案标题3"/>
    <w:basedOn w:val="245"/>
    <w:next w:val="1"/>
    <w:qFormat/>
    <w:uiPriority w:val="0"/>
    <w:pPr>
      <w:snapToGrid w:val="0"/>
      <w:spacing w:beforeLines="50" w:afterLines="50" w:line="440" w:lineRule="exact"/>
      <w:jc w:val="left"/>
      <w:outlineLvl w:val="2"/>
    </w:pPr>
    <w:rPr>
      <w:rFonts w:hint="eastAsia" w:ascii="黑体" w:eastAsia="黑体"/>
      <w:spacing w:val="6"/>
      <w:sz w:val="32"/>
      <w:szCs w:val="32"/>
    </w:rPr>
  </w:style>
  <w:style w:type="paragraph" w:customStyle="1" w:styleId="31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312">
    <w:name w:val="Char Char1 Char Char Char Char"/>
    <w:basedOn w:val="1"/>
    <w:qFormat/>
    <w:uiPriority w:val="0"/>
    <w:rPr>
      <w:rFonts w:ascii="Tahoma" w:hAnsi="Tahoma"/>
      <w:sz w:val="24"/>
      <w:szCs w:val="20"/>
    </w:rPr>
  </w:style>
  <w:style w:type="paragraph" w:customStyle="1" w:styleId="313">
    <w:name w:val="正文-1"/>
    <w:basedOn w:val="1"/>
    <w:qFormat/>
    <w:uiPriority w:val="99"/>
    <w:pPr>
      <w:autoSpaceDE w:val="0"/>
      <w:autoSpaceDN w:val="0"/>
      <w:adjustRightInd w:val="0"/>
      <w:ind w:firstLine="420"/>
      <w:jc w:val="left"/>
    </w:pPr>
    <w:rPr>
      <w:rFonts w:ascii="Times New Roman" w:hAnsi="Times New Roman"/>
      <w:kern w:val="0"/>
    </w:rPr>
  </w:style>
  <w:style w:type="paragraph" w:customStyle="1" w:styleId="3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2"/>
      <w:szCs w:val="22"/>
    </w:rPr>
  </w:style>
  <w:style w:type="paragraph" w:customStyle="1" w:styleId="315">
    <w:name w:val="小四"/>
    <w:basedOn w:val="1"/>
    <w:qFormat/>
    <w:uiPriority w:val="0"/>
    <w:pPr>
      <w:spacing w:line="480" w:lineRule="auto"/>
      <w:ind w:firstLine="250" w:firstLineChars="250"/>
    </w:pPr>
    <w:rPr>
      <w:sz w:val="24"/>
      <w:szCs w:val="28"/>
    </w:rPr>
  </w:style>
  <w:style w:type="table" w:customStyle="1" w:styleId="316">
    <w:name w:val="网格型1"/>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
    <w:name w:val="网格型2"/>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8">
    <w:name w:val="font71"/>
    <w:basedOn w:val="51"/>
    <w:qFormat/>
    <w:uiPriority w:val="0"/>
    <w:rPr>
      <w:rFonts w:hint="default" w:ascii="Times New Roman" w:hAnsi="Times New Roman" w:eastAsia="FangSong_GB2312" w:cs="Times New Roman"/>
      <w:color w:val="000000"/>
      <w:kern w:val="0"/>
      <w:sz w:val="22"/>
      <w:szCs w:val="22"/>
      <w:u w:val="none"/>
      <w:vertAlign w:val="superscript"/>
      <w:lang w:eastAsia="en-US"/>
    </w:rPr>
  </w:style>
  <w:style w:type="character" w:customStyle="1" w:styleId="319">
    <w:name w:val="font141"/>
    <w:basedOn w:val="51"/>
    <w:qFormat/>
    <w:uiPriority w:val="0"/>
    <w:rPr>
      <w:rFonts w:hint="eastAsia" w:ascii="宋体" w:hAnsi="宋体" w:eastAsia="宋体" w:cs="宋体"/>
      <w:b/>
      <w:color w:val="000000"/>
      <w:kern w:val="0"/>
      <w:sz w:val="22"/>
      <w:szCs w:val="22"/>
      <w:u w:val="none"/>
      <w:lang w:eastAsia="en-US"/>
    </w:rPr>
  </w:style>
  <w:style w:type="character" w:customStyle="1" w:styleId="320">
    <w:name w:val="font51"/>
    <w:basedOn w:val="51"/>
    <w:qFormat/>
    <w:uiPriority w:val="0"/>
    <w:rPr>
      <w:rFonts w:hint="eastAsia" w:ascii="宋体" w:hAnsi="宋体" w:eastAsia="宋体" w:cs="宋体"/>
      <w:color w:val="000000"/>
      <w:kern w:val="0"/>
      <w:sz w:val="22"/>
      <w:szCs w:val="22"/>
      <w:u w:val="none"/>
      <w:lang w:eastAsia="en-US"/>
    </w:rPr>
  </w:style>
  <w:style w:type="character" w:customStyle="1" w:styleId="321">
    <w:name w:val="font161"/>
    <w:basedOn w:val="51"/>
    <w:qFormat/>
    <w:uiPriority w:val="0"/>
    <w:rPr>
      <w:rFonts w:hint="default" w:ascii="Times New Roman" w:hAnsi="Times New Roman" w:eastAsia="FangSong_GB2312" w:cs="Times New Roman"/>
      <w:color w:val="000000"/>
      <w:kern w:val="0"/>
      <w:sz w:val="22"/>
      <w:szCs w:val="22"/>
      <w:u w:val="none"/>
      <w:lang w:eastAsia="en-US"/>
    </w:rPr>
  </w:style>
  <w:style w:type="character" w:customStyle="1" w:styleId="322">
    <w:name w:val="font131"/>
    <w:basedOn w:val="51"/>
    <w:qFormat/>
    <w:uiPriority w:val="0"/>
    <w:rPr>
      <w:rFonts w:hint="default" w:ascii="Times New Roman" w:hAnsi="Times New Roman" w:eastAsia="FangSong_GB2312" w:cs="Times New Roman"/>
      <w:color w:val="000000"/>
      <w:kern w:val="0"/>
      <w:sz w:val="22"/>
      <w:szCs w:val="22"/>
      <w:u w:val="none"/>
      <w:lang w:eastAsia="en-US"/>
    </w:rPr>
  </w:style>
  <w:style w:type="character" w:customStyle="1" w:styleId="323">
    <w:name w:val="font151"/>
    <w:basedOn w:val="51"/>
    <w:qFormat/>
    <w:uiPriority w:val="0"/>
    <w:rPr>
      <w:rFonts w:hint="default" w:ascii="Times New Roman" w:hAnsi="Times New Roman" w:eastAsia="FangSong_GB2312" w:cs="Times New Roman"/>
      <w:color w:val="000000"/>
      <w:kern w:val="0"/>
      <w:sz w:val="22"/>
      <w:szCs w:val="22"/>
      <w:u w:val="none"/>
      <w:lang w:eastAsia="en-US"/>
    </w:rPr>
  </w:style>
  <w:style w:type="character" w:customStyle="1" w:styleId="324">
    <w:name w:val="font81"/>
    <w:basedOn w:val="51"/>
    <w:qFormat/>
    <w:uiPriority w:val="0"/>
    <w:rPr>
      <w:rFonts w:hint="default" w:ascii="Times New Roman" w:hAnsi="Times New Roman" w:eastAsia="FangSong_GB2312" w:cs="Times New Roman"/>
      <w:color w:val="000000"/>
      <w:kern w:val="0"/>
      <w:sz w:val="22"/>
      <w:szCs w:val="22"/>
      <w:u w:val="none"/>
      <w:vertAlign w:val="superscript"/>
      <w:lang w:eastAsia="en-US"/>
    </w:rPr>
  </w:style>
  <w:style w:type="character" w:customStyle="1" w:styleId="325">
    <w:name w:val="font41"/>
    <w:basedOn w:val="51"/>
    <w:qFormat/>
    <w:uiPriority w:val="0"/>
    <w:rPr>
      <w:rFonts w:hint="eastAsia" w:ascii="宋体" w:hAnsi="宋体" w:eastAsia="宋体" w:cs="宋体"/>
      <w:color w:val="000000"/>
      <w:kern w:val="0"/>
      <w:sz w:val="22"/>
      <w:szCs w:val="22"/>
      <w:u w:val="none"/>
      <w:lang w:eastAsia="en-US"/>
    </w:rPr>
  </w:style>
  <w:style w:type="paragraph" w:customStyle="1" w:styleId="326">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327">
    <w:name w:val="!正文"/>
    <w:qFormat/>
    <w:uiPriority w:val="0"/>
    <w:pPr>
      <w:spacing w:line="360" w:lineRule="auto"/>
      <w:ind w:firstLine="200" w:firstLineChars="200"/>
    </w:pPr>
    <w:rPr>
      <w:rFonts w:ascii="Calibri" w:hAnsi="Calibri" w:eastAsia="宋体" w:cs="Times New Roman"/>
      <w:kern w:val="2"/>
      <w:sz w:val="24"/>
      <w:lang w:val="zh-CN" w:eastAsia="zh-CN" w:bidi="ar-SA"/>
    </w:rPr>
  </w:style>
  <w:style w:type="character" w:customStyle="1" w:styleId="328">
    <w:name w:val="正文首行缩进 2 Char"/>
    <w:basedOn w:val="113"/>
    <w:link w:val="20"/>
    <w:qFormat/>
    <w:uiPriority w:val="0"/>
  </w:style>
  <w:style w:type="paragraph" w:customStyle="1" w:styleId="329">
    <w:name w:val="Normal_29"/>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30">
    <w:name w:val="Table Paragraph"/>
    <w:basedOn w:val="1"/>
    <w:qFormat/>
    <w:uiPriority w:val="0"/>
    <w:pPr>
      <w:jc w:val="left"/>
    </w:pPr>
    <w:rPr>
      <w:rFonts w:ascii="Calibri" w:hAnsi="Calibri" w:eastAsia="Calibri"/>
      <w:kern w:val="0"/>
      <w:sz w:val="22"/>
      <w:szCs w:val="22"/>
      <w:lang w:eastAsia="en-US"/>
    </w:rPr>
  </w:style>
  <w:style w:type="paragraph" w:customStyle="1" w:styleId="331">
    <w:name w:val="_Style 12"/>
    <w:basedOn w:val="17"/>
    <w:next w:val="18"/>
    <w:qFormat/>
    <w:uiPriority w:val="0"/>
    <w:pPr>
      <w:ind w:firstLine="420" w:firstLineChars="100"/>
    </w:pPr>
  </w:style>
  <w:style w:type="paragraph" w:styleId="332">
    <w:name w:val="No Spacing"/>
    <w:qFormat/>
    <w:uiPriority w:val="1"/>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333">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4">
    <w:name w:val="纯文本2"/>
    <w:basedOn w:val="333"/>
    <w:qFormat/>
    <w:uiPriority w:val="0"/>
    <w:pPr>
      <w:widowControl/>
      <w:jc w:val="left"/>
    </w:pPr>
    <w:rPr>
      <w:rFonts w:ascii="宋体" w:hAnsi="Courier New"/>
    </w:rPr>
  </w:style>
  <w:style w:type="character" w:customStyle="1" w:styleId="335">
    <w:name w:val="font21"/>
    <w:basedOn w:val="51"/>
    <w:qFormat/>
    <w:uiPriority w:val="0"/>
    <w:rPr>
      <w:rFonts w:hint="eastAsia" w:ascii="仿宋" w:hAnsi="仿宋" w:eastAsia="仿宋"/>
      <w:color w:val="000000"/>
      <w:sz w:val="21"/>
      <w:szCs w:val="21"/>
      <w:u w:val="none"/>
    </w:rPr>
  </w:style>
  <w:style w:type="character" w:customStyle="1" w:styleId="336">
    <w:name w:val="font01"/>
    <w:basedOn w:val="51"/>
    <w:qFormat/>
    <w:uiPriority w:val="0"/>
    <w:rPr>
      <w:rFonts w:hint="eastAsia" w:ascii="宋体" w:hAnsi="宋体" w:eastAsia="宋体" w:cs="宋体"/>
      <w:color w:val="000000"/>
      <w:sz w:val="24"/>
      <w:szCs w:val="24"/>
      <w:u w:val="none"/>
    </w:rPr>
  </w:style>
  <w:style w:type="table" w:customStyle="1" w:styleId="337">
    <w:name w:val="Table Normal"/>
    <w:basedOn w:val="49"/>
    <w:qFormat/>
    <w:uiPriority w:val="0"/>
    <w:rPr>
      <w:rFonts w:eastAsia="Times New Roman"/>
    </w:rPr>
    <w:tblPr>
      <w:tblCellMar>
        <w:top w:w="0" w:type="dxa"/>
        <w:left w:w="0" w:type="dxa"/>
        <w:bottom w:w="0" w:type="dxa"/>
        <w:right w:w="0" w:type="dxa"/>
      </w:tblCellMar>
    </w:tblPr>
  </w:style>
  <w:style w:type="paragraph" w:customStyle="1" w:styleId="338">
    <w:name w:val="Body Text First Indent1"/>
    <w:basedOn w:val="17"/>
    <w:qFormat/>
    <w:uiPriority w:val="0"/>
    <w:pPr>
      <w:tabs>
        <w:tab w:val="left" w:pos="1275"/>
      </w:tabs>
      <w:ind w:firstLine="420" w:firstLineChars="100"/>
    </w:pPr>
    <w:rPr>
      <w:rFonts w:hAnsi="Times New Roman"/>
      <w:sz w:val="28"/>
      <w:szCs w:val="24"/>
    </w:rPr>
  </w:style>
  <w:style w:type="character" w:customStyle="1" w:styleId="339">
    <w:name w:val="font31"/>
    <w:basedOn w:val="51"/>
    <w:qFormat/>
    <w:uiPriority w:val="0"/>
    <w:rPr>
      <w:rFonts w:hint="eastAsia" w:ascii="宋体" w:hAnsi="宋体" w:eastAsia="宋体"/>
      <w:color w:val="000000"/>
      <w:sz w:val="21"/>
      <w:szCs w:val="21"/>
      <w:u w:val="none"/>
    </w:rPr>
  </w:style>
  <w:style w:type="character" w:customStyle="1" w:styleId="340">
    <w:name w:val="font61"/>
    <w:basedOn w:val="51"/>
    <w:qFormat/>
    <w:uiPriority w:val="0"/>
    <w:rPr>
      <w:rFonts w:hint="default" w:ascii="Calibri" w:hAnsi="Calibri" w:cs="Calibri"/>
      <w:color w:val="000000"/>
      <w:sz w:val="21"/>
      <w:szCs w:val="21"/>
      <w:u w:val="none"/>
    </w:rPr>
  </w:style>
  <w:style w:type="character" w:customStyle="1" w:styleId="341">
    <w:name w:val="font91"/>
    <w:basedOn w:val="51"/>
    <w:qFormat/>
    <w:uiPriority w:val="0"/>
    <w:rPr>
      <w:rFonts w:hint="default" w:ascii="Calibri" w:hAnsi="Calibri" w:cs="Calibri"/>
      <w:color w:val="000000"/>
      <w:sz w:val="21"/>
      <w:szCs w:val="21"/>
      <w:u w:val="none"/>
    </w:rPr>
  </w:style>
  <w:style w:type="character" w:customStyle="1" w:styleId="342">
    <w:name w:val="font111"/>
    <w:basedOn w:val="51"/>
    <w:qFormat/>
    <w:uiPriority w:val="0"/>
    <w:rPr>
      <w:rFonts w:hint="default" w:ascii="Calibri" w:hAnsi="Calibri" w:cs="Calibri"/>
      <w:color w:val="000000"/>
      <w:sz w:val="21"/>
      <w:szCs w:val="21"/>
      <w:u w:val="none"/>
    </w:rPr>
  </w:style>
  <w:style w:type="paragraph" w:customStyle="1" w:styleId="343">
    <w:name w:val="首行缩进"/>
    <w:basedOn w:val="1"/>
    <w:qFormat/>
    <w:uiPriority w:val="0"/>
    <w:pPr>
      <w:ind w:firstLine="480"/>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B06E0-1228-415F-9450-D43CFE7C48B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43</Pages>
  <Words>12757</Words>
  <Characters>13834</Characters>
  <Lines>170</Lines>
  <Paragraphs>48</Paragraphs>
  <TotalTime>81</TotalTime>
  <ScaleCrop>false</ScaleCrop>
  <LinksUpToDate>false</LinksUpToDate>
  <CharactersWithSpaces>14237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2024-11-07T02:47:00Z</dcterms:created>
  <dc:creator>宁波中冠</dc:creator>
  <cp:lastModifiedBy>不撞衫</cp:lastModifiedBy>
  <cp:lastPrinted>2024-06-06T07:54:00Z</cp:lastPrinted>
  <dcterms:modified xsi:type="dcterms:W3CDTF">2025-01-12T11:59:41Z</dcterms:modified>
  <dc:title>第一章 谈判公告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DE709086D94C4EBC8D4139B06F6E377B</vt:lpwstr>
  </property>
  <property fmtid="{D5CDD505-2E9C-101B-9397-08002B2CF9AE}" pid="4" name="KSOTemplateDocerSaveRecord">
    <vt:lpwstr>eyJoZGlkIjoiOTc2YjNlN2UyZTI4ZjNhOTNkY2JhNzVmYmY1ODM1ZjIiLCJ1c2VySWQiOiIyNDA2Nzg4MTUifQ==</vt:lpwstr>
  </property>
</Properties>
</file>