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60F54">
      <w:pPr>
        <w:jc w:val="center"/>
        <w:rPr>
          <w:rFonts w:hint="eastAsia" w:ascii="仿宋" w:eastAsia="仿宋"/>
          <w:b/>
          <w:bCs/>
          <w:color w:val="auto"/>
          <w:sz w:val="52"/>
          <w:szCs w:val="52"/>
          <w:highlight w:val="none"/>
        </w:rPr>
      </w:pPr>
      <w:r>
        <w:rPr>
          <w:rFonts w:hint="eastAsia" w:ascii="仿宋" w:eastAsia="仿宋"/>
          <w:b/>
          <w:bCs/>
          <w:color w:val="auto"/>
          <w:sz w:val="52"/>
          <w:szCs w:val="52"/>
          <w:highlight w:val="none"/>
          <w:u w:val="none"/>
          <w:lang w:val="en-US" w:eastAsia="zh-CN"/>
        </w:rPr>
        <w:t>绍兴市越城区公用资产运营有限公司大气检测技术改造采购项目</w:t>
      </w:r>
    </w:p>
    <w:p w14:paraId="5E8028A0">
      <w:pPr>
        <w:rPr>
          <w:rFonts w:hint="eastAsia" w:ascii="仿宋" w:eastAsia="仿宋"/>
          <w:color w:val="auto"/>
          <w:sz w:val="36"/>
          <w:szCs w:val="36"/>
          <w:highlight w:val="none"/>
        </w:rPr>
      </w:pPr>
    </w:p>
    <w:p w14:paraId="36C13953">
      <w:pPr>
        <w:rPr>
          <w:rFonts w:hint="eastAsia" w:ascii="仿宋" w:eastAsia="仿宋"/>
          <w:color w:val="auto"/>
          <w:sz w:val="36"/>
          <w:szCs w:val="36"/>
          <w:highlight w:val="none"/>
        </w:rPr>
      </w:pPr>
    </w:p>
    <w:p w14:paraId="09EF3EFE">
      <w:pPr>
        <w:rPr>
          <w:rFonts w:hint="eastAsia" w:ascii="仿宋" w:eastAsia="仿宋"/>
          <w:color w:val="auto"/>
          <w:sz w:val="36"/>
          <w:szCs w:val="36"/>
          <w:highlight w:val="none"/>
        </w:rPr>
      </w:pPr>
    </w:p>
    <w:p w14:paraId="0C141D00">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35BCCFC2">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0A71304B">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45828FC4">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6B779EB2">
      <w:pPr>
        <w:rPr>
          <w:rFonts w:hint="eastAsia" w:ascii="仿宋" w:eastAsia="仿宋"/>
          <w:b/>
          <w:bCs/>
          <w:color w:val="auto"/>
          <w:sz w:val="36"/>
          <w:szCs w:val="36"/>
          <w:highlight w:val="none"/>
        </w:rPr>
      </w:pPr>
    </w:p>
    <w:p w14:paraId="013CFEDD">
      <w:pPr>
        <w:rPr>
          <w:rFonts w:hint="eastAsia" w:ascii="仿宋" w:eastAsia="仿宋"/>
          <w:color w:val="auto"/>
          <w:sz w:val="36"/>
          <w:szCs w:val="36"/>
          <w:highlight w:val="none"/>
        </w:rPr>
      </w:pPr>
    </w:p>
    <w:p w14:paraId="18C94CD4">
      <w:pPr>
        <w:rPr>
          <w:rFonts w:hint="eastAsia" w:ascii="仿宋" w:eastAsia="仿宋"/>
          <w:color w:val="auto"/>
          <w:sz w:val="36"/>
          <w:szCs w:val="36"/>
          <w:highlight w:val="none"/>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4A1A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B73F14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79664D1C">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lang w:eastAsia="zh-CN"/>
              </w:rPr>
              <w:t>YCDL2025-02-0004</w:t>
            </w:r>
          </w:p>
        </w:tc>
      </w:tr>
      <w:tr w14:paraId="5946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B7ECF88">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4CF13F88">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eastAsia="zh-CN"/>
              </w:rPr>
              <w:t>绍兴市越城区公用资产运营有限公司</w:t>
            </w:r>
          </w:p>
        </w:tc>
      </w:tr>
      <w:tr w14:paraId="06DF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DB90E2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7FB011E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val="en-US" w:eastAsia="zh-CN"/>
              </w:rPr>
              <w:t>浙江大统建设项目管理有限公司</w:t>
            </w:r>
          </w:p>
        </w:tc>
      </w:tr>
      <w:tr w14:paraId="1816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981175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7D62E2FA">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val="en-US" w:eastAsia="zh-CN"/>
              </w:rPr>
              <w:t>绍兴市越城区公用事业集团有限公司</w:t>
            </w:r>
          </w:p>
        </w:tc>
      </w:tr>
    </w:tbl>
    <w:p w14:paraId="36C351D9">
      <w:pPr>
        <w:jc w:val="center"/>
        <w:rPr>
          <w:rFonts w:hint="eastAsia" w:ascii="仿宋" w:eastAsia="仿宋"/>
          <w:color w:val="auto"/>
          <w:sz w:val="28"/>
          <w:highlight w:val="none"/>
        </w:rPr>
      </w:pPr>
    </w:p>
    <w:p w14:paraId="5B0F6932">
      <w:pPr>
        <w:jc w:val="center"/>
        <w:rPr>
          <w:rFonts w:hint="eastAsia" w:ascii="仿宋" w:eastAsia="仿宋"/>
          <w:color w:val="auto"/>
          <w:sz w:val="28"/>
          <w:highlight w:val="none"/>
        </w:rPr>
      </w:pPr>
    </w:p>
    <w:p w14:paraId="69F20FCE">
      <w:pPr>
        <w:jc w:val="center"/>
        <w:rPr>
          <w:rFonts w:hint="eastAsia" w:ascii="仿宋" w:eastAsia="仿宋"/>
          <w:color w:val="auto"/>
          <w:sz w:val="28"/>
          <w:highlight w:val="none"/>
        </w:rPr>
      </w:pPr>
      <w:r>
        <w:rPr>
          <w:rFonts w:hint="eastAsia" w:ascii="仿宋" w:eastAsia="仿宋"/>
          <w:color w:val="auto"/>
          <w:sz w:val="28"/>
          <w:highlight w:val="none"/>
          <w:u w:val="single" w:color="auto"/>
        </w:rPr>
        <w:t xml:space="preserve"> </w:t>
      </w: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u w:val="single" w:color="auto"/>
        </w:rPr>
        <w:t xml:space="preserve"> </w:t>
      </w:r>
      <w:r>
        <w:rPr>
          <w:rFonts w:hint="eastAsia" w:ascii="仿宋" w:eastAsia="仿宋"/>
          <w:color w:val="auto"/>
          <w:sz w:val="28"/>
          <w:highlight w:val="none"/>
        </w:rPr>
        <w:t>年</w:t>
      </w:r>
      <w:r>
        <w:rPr>
          <w:rFonts w:hint="eastAsia" w:ascii="仿宋" w:eastAsia="仿宋"/>
          <w:color w:val="auto"/>
          <w:sz w:val="28"/>
          <w:highlight w:val="none"/>
          <w:u w:val="single"/>
        </w:rPr>
        <w:t xml:space="preserve">  </w:t>
      </w:r>
      <w:r>
        <w:rPr>
          <w:rFonts w:hint="eastAsia" w:ascii="仿宋" w:eastAsia="仿宋"/>
          <w:color w:val="auto"/>
          <w:sz w:val="28"/>
          <w:highlight w:val="none"/>
          <w:u w:val="single"/>
          <w:lang w:val="en-US" w:eastAsia="zh-CN"/>
        </w:rPr>
        <w:t>2</w:t>
      </w:r>
      <w:r>
        <w:rPr>
          <w:rFonts w:hint="eastAsia" w:ascii="仿宋" w:eastAsia="仿宋"/>
          <w:color w:val="auto"/>
          <w:sz w:val="28"/>
          <w:highlight w:val="none"/>
          <w:u w:val="single"/>
        </w:rPr>
        <w:t xml:space="preserve"> </w:t>
      </w:r>
      <w:r>
        <w:rPr>
          <w:rFonts w:hint="eastAsia" w:ascii="仿宋" w:eastAsia="仿宋"/>
          <w:color w:val="auto"/>
          <w:sz w:val="28"/>
          <w:highlight w:val="none"/>
        </w:rPr>
        <w:t>月</w:t>
      </w:r>
    </w:p>
    <w:p w14:paraId="48A8EB6D">
      <w:pPr>
        <w:jc w:val="center"/>
        <w:rPr>
          <w:rFonts w:hint="eastAsia" w:ascii="仿宋" w:eastAsia="仿宋"/>
          <w:color w:val="auto"/>
          <w:sz w:val="28"/>
          <w:highlight w:val="none"/>
        </w:rPr>
      </w:pPr>
    </w:p>
    <w:p w14:paraId="52C5AFB6">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64243FA9">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2FE4E35C">
      <w:pPr>
        <w:jc w:val="center"/>
        <w:rPr>
          <w:rFonts w:hint="eastAsia" w:ascii="仿宋" w:eastAsia="仿宋"/>
          <w:b/>
          <w:color w:val="auto"/>
          <w:sz w:val="44"/>
          <w:szCs w:val="44"/>
          <w:highlight w:val="none"/>
        </w:rPr>
      </w:pPr>
    </w:p>
    <w:p w14:paraId="5D734A56">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AB24E47">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_Toc13472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EFDB0B">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AF2EC2E">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_Toc27758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C259686">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_Toc30368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838A89D">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B0E896B">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_Toc14944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D335987">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_Toc27068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BB098E">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_Toc23126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9D7D8E8">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_Toc10858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AC4E3E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_Toc15027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_Toc15027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37BEE0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035A584">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A3AA5C2">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_Toc27807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584D5B7">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_Toc3978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1E273E">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_Toc27416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AE7A97D">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A78DA9E">
      <w:pPr>
        <w:pStyle w:val="24"/>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22E8192">
      <w:pPr>
        <w:rPr>
          <w:rFonts w:hint="eastAsia" w:ascii="仿宋" w:eastAsia="仿宋"/>
          <w:color w:val="auto"/>
          <w:highlight w:val="none"/>
        </w:rPr>
      </w:pPr>
    </w:p>
    <w:p w14:paraId="3056B155">
      <w:pPr>
        <w:pStyle w:val="3"/>
        <w:rPr>
          <w:rFonts w:hint="eastAsia" w:ascii="仿宋"/>
          <w:color w:val="auto"/>
          <w:highlight w:val="none"/>
        </w:rPr>
        <w:sectPr>
          <w:footerReference r:id="rId6" w:type="default"/>
          <w:pgSz w:w="11907" w:h="16840"/>
          <w:pgMar w:top="1440" w:right="1463" w:bottom="1440" w:left="1803" w:header="851" w:footer="992" w:gutter="0"/>
          <w:cols w:space="720" w:num="1"/>
          <w:docGrid w:type="lines" w:linePitch="312" w:charSpace="0"/>
        </w:sectPr>
      </w:pPr>
    </w:p>
    <w:p w14:paraId="6D052415">
      <w:pPr>
        <w:pStyle w:val="3"/>
        <w:rPr>
          <w:rFonts w:hint="eastAsia" w:ascii="仿宋"/>
          <w:color w:val="auto"/>
          <w:highlight w:val="none"/>
        </w:rPr>
      </w:pPr>
      <w:bookmarkStart w:id="0"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0"/>
    </w:p>
    <w:p w14:paraId="1C4D559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4FBFADF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cs="Times New Roman"/>
          <w:b w:val="0"/>
          <w:color w:val="auto"/>
          <w:sz w:val="24"/>
          <w:szCs w:val="24"/>
          <w:highlight w:val="none"/>
          <w:u w:val="single"/>
          <w:lang w:val="en-US" w:eastAsia="zh-CN"/>
        </w:rPr>
        <w:t>绍兴市越城区公用资产运营有限公司大气检测技术改造采购项目</w:t>
      </w:r>
      <w:r>
        <w:rPr>
          <w:rFonts w:hint="eastAsia" w:ascii="仿宋" w:eastAsia="仿宋"/>
          <w:color w:val="auto"/>
          <w:sz w:val="24"/>
          <w:szCs w:val="24"/>
          <w:highlight w:val="none"/>
        </w:rPr>
        <w:t xml:space="preserve"> </w:t>
      </w:r>
      <w:r>
        <w:rPr>
          <w:rFonts w:hint="eastAsia" w:ascii="仿宋" w:eastAsia="仿宋"/>
          <w:color w:val="auto"/>
          <w:sz w:val="24"/>
          <w:szCs w:val="24"/>
          <w:highlight w:val="none"/>
          <w:lang w:eastAsia="zh-CN"/>
        </w:rPr>
        <w:t>的</w:t>
      </w:r>
      <w:r>
        <w:rPr>
          <w:rFonts w:hint="eastAsia" w:ascii="仿宋" w:eastAsia="仿宋"/>
          <w:color w:val="auto"/>
          <w:sz w:val="24"/>
          <w:szCs w:val="24"/>
          <w:highlight w:val="none"/>
        </w:rPr>
        <w:t>潜在投标人应在</w:t>
      </w:r>
      <w:r>
        <w:rPr>
          <w:rFonts w:hint="eastAsia" w:ascii="仿宋" w:eastAsia="仿宋"/>
          <w:bCs/>
          <w:color w:val="auto"/>
          <w:sz w:val="24"/>
          <w:szCs w:val="24"/>
          <w:highlight w:val="none"/>
          <w:lang w:eastAsia="zh-CN"/>
        </w:rPr>
        <w:t>乐采云平台</w:t>
      </w:r>
      <w:r>
        <w:rPr>
          <w:rFonts w:hint="eastAsia" w:ascii="仿宋" w:eastAsia="仿宋"/>
          <w:bCs/>
          <w:color w:val="auto"/>
          <w:sz w:val="24"/>
          <w:szCs w:val="24"/>
          <w:highlight w:val="none"/>
        </w:rPr>
        <w:t>https://www.lecaiyun.com/</w:t>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 xml:space="preserve">年  月  日     </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17FFD824">
      <w:pPr>
        <w:rPr>
          <w:color w:val="auto"/>
          <w:sz w:val="24"/>
          <w:szCs w:val="24"/>
          <w:highlight w:val="none"/>
        </w:rPr>
      </w:pPr>
    </w:p>
    <w:p w14:paraId="3C4179C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621"/>
      <w:bookmarkStart w:id="2" w:name="_Toc28359002"/>
      <w:bookmarkStart w:id="3" w:name="_Toc35393790"/>
      <w:bookmarkStart w:id="4" w:name="_Toc28359079"/>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12601A4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ascii="仿宋" w:eastAsia="仿宋" w:cs="宋体"/>
          <w:bCs/>
          <w:color w:val="auto"/>
          <w:sz w:val="24"/>
          <w:szCs w:val="24"/>
          <w:highlight w:val="none"/>
          <w:u w:val="single"/>
        </w:rPr>
        <w:t xml:space="preserve">  </w:t>
      </w:r>
      <w:r>
        <w:rPr>
          <w:rFonts w:hint="eastAsia" w:ascii="仿宋" w:eastAsia="仿宋" w:cs="Arial"/>
          <w:bCs/>
          <w:color w:val="auto"/>
          <w:sz w:val="24"/>
          <w:highlight w:val="none"/>
          <w:u w:val="single"/>
          <w:lang w:eastAsia="zh-CN"/>
        </w:rPr>
        <w:t>YCDL2025-02-0004</w:t>
      </w:r>
      <w:r>
        <w:rPr>
          <w:rFonts w:ascii="仿宋" w:eastAsia="仿宋" w:cs="宋体"/>
          <w:bCs/>
          <w:color w:val="auto"/>
          <w:sz w:val="24"/>
          <w:szCs w:val="24"/>
          <w:highlight w:val="none"/>
          <w:u w:val="single"/>
        </w:rPr>
        <w:t xml:space="preserve"> </w:t>
      </w:r>
    </w:p>
    <w:p w14:paraId="3924FE4C">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ascii="仿宋" w:eastAsia="仿宋" w:cs="宋体"/>
          <w:bCs/>
          <w:color w:val="auto"/>
          <w:sz w:val="24"/>
          <w:szCs w:val="24"/>
          <w:highlight w:val="none"/>
          <w:u w:val="single"/>
        </w:rPr>
        <w:t xml:space="preserve">  </w:t>
      </w:r>
      <w:r>
        <w:rPr>
          <w:rFonts w:hint="eastAsia" w:ascii="仿宋" w:eastAsia="仿宋" w:cs="Arial"/>
          <w:bCs/>
          <w:color w:val="auto"/>
          <w:sz w:val="24"/>
          <w:highlight w:val="none"/>
          <w:u w:val="single"/>
          <w:lang w:val="en-US" w:eastAsia="zh-CN"/>
        </w:rPr>
        <w:t>绍兴市越城区公用资产运营有限公司大气检测技术改造采购项目</w:t>
      </w:r>
      <w:r>
        <w:rPr>
          <w:rFonts w:ascii="仿宋" w:eastAsia="仿宋" w:cs="宋体"/>
          <w:bCs/>
          <w:color w:val="auto"/>
          <w:sz w:val="24"/>
          <w:szCs w:val="24"/>
          <w:highlight w:val="none"/>
          <w:u w:val="single"/>
        </w:rPr>
        <w:t xml:space="preserve"> </w:t>
      </w:r>
    </w:p>
    <w:bookmarkEnd w:id="5"/>
    <w:p w14:paraId="7FE67669">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5015000</w:t>
      </w:r>
      <w:r>
        <w:rPr>
          <w:rFonts w:ascii="仿宋" w:eastAsia="仿宋" w:cs="宋体"/>
          <w:bCs/>
          <w:color w:val="auto"/>
          <w:sz w:val="24"/>
          <w:szCs w:val="24"/>
          <w:highlight w:val="none"/>
          <w:u w:val="single"/>
        </w:rPr>
        <w:t xml:space="preserve"> </w:t>
      </w:r>
    </w:p>
    <w:p w14:paraId="6A81F08F">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5015000</w:t>
      </w:r>
      <w:r>
        <w:rPr>
          <w:rFonts w:ascii="仿宋" w:eastAsia="仿宋" w:cs="宋体"/>
          <w:bCs/>
          <w:color w:val="auto"/>
          <w:sz w:val="24"/>
          <w:szCs w:val="24"/>
          <w:highlight w:val="none"/>
          <w:u w:val="single"/>
        </w:rPr>
        <w:t xml:space="preserve"> </w:t>
      </w:r>
    </w:p>
    <w:p w14:paraId="0E3CCC28">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51BDB1D1">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1363FA09">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Arial"/>
          <w:bCs/>
          <w:color w:val="auto"/>
          <w:sz w:val="24"/>
          <w:highlight w:val="none"/>
          <w:u w:val="single"/>
          <w:lang w:val="en-US" w:eastAsia="zh-CN"/>
        </w:rPr>
        <w:t xml:space="preserve"> 绍兴市越城区公用资产运营有限公司大气检测技术改造采购项目</w:t>
      </w:r>
      <w:r>
        <w:rPr>
          <w:rFonts w:ascii="仿宋" w:eastAsia="仿宋" w:cs="宋体"/>
          <w:bCs/>
          <w:color w:val="auto"/>
          <w:sz w:val="24"/>
          <w:szCs w:val="24"/>
          <w:highlight w:val="none"/>
          <w:u w:val="single"/>
        </w:rPr>
        <w:t xml:space="preserve"> </w:t>
      </w:r>
    </w:p>
    <w:p w14:paraId="2582FAD1">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14:paraId="2E1DC93A">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5015000</w:t>
      </w:r>
      <w:r>
        <w:rPr>
          <w:rFonts w:ascii="仿宋" w:eastAsia="仿宋" w:cs="宋体"/>
          <w:bCs/>
          <w:color w:val="auto"/>
          <w:sz w:val="24"/>
          <w:szCs w:val="24"/>
          <w:highlight w:val="none"/>
          <w:u w:val="single"/>
        </w:rPr>
        <w:t xml:space="preserve"> </w:t>
      </w:r>
    </w:p>
    <w:p w14:paraId="60C8A78D">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22ADD87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w:t>
      </w:r>
    </w:p>
    <w:p w14:paraId="406C926B">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szCs w:val="24"/>
          <w:highlight w:val="none"/>
          <w:u w:val="single"/>
        </w:rPr>
        <w:t xml:space="preserve">  </w:t>
      </w:r>
      <w:r>
        <w:rPr>
          <w:rFonts w:hint="eastAsia" w:ascii="仿宋" w:hAnsi="Times New Roman" w:eastAsia="仿宋" w:cs="宋体"/>
          <w:bCs/>
          <w:color w:val="auto"/>
          <w:sz w:val="24"/>
          <w:szCs w:val="24"/>
          <w:highlight w:val="none"/>
          <w:u w:val="single"/>
        </w:rPr>
        <w:t>按双方合同约定条款执行。</w:t>
      </w:r>
    </w:p>
    <w:p w14:paraId="45C1FB4F">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是</w:t>
      </w:r>
      <w:r>
        <w:rPr>
          <w:rFonts w:hint="eastAsia" w:ascii="仿宋" w:eastAsia="仿宋" w:cs="宋体"/>
          <w:bCs/>
          <w:color w:val="auto"/>
          <w:sz w:val="24"/>
          <w:szCs w:val="24"/>
          <w:highlight w:val="none"/>
        </w:rPr>
        <w:t>）接受联合体投标。</w:t>
      </w:r>
    </w:p>
    <w:p w14:paraId="0B24FA9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28359080"/>
      <w:bookmarkStart w:id="7" w:name="_Toc35393791"/>
      <w:bookmarkStart w:id="8" w:name="_Toc28359003"/>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14:paraId="19F0FA15">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AA17A29">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14:paraId="18ABBC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w:t>
      </w:r>
      <w:r>
        <w:rPr>
          <w:rFonts w:hint="eastAsia" w:ascii="仿宋" w:eastAsia="仿宋" w:cs="宋体"/>
          <w:bCs/>
          <w:iCs/>
          <w:color w:val="auto"/>
          <w:sz w:val="24"/>
          <w:szCs w:val="24"/>
          <w:highlight w:val="none"/>
          <w:u w:val="single"/>
          <w:lang w:val="en-US" w:eastAsia="zh-CN"/>
        </w:rPr>
        <w:t>联合体组成</w:t>
      </w:r>
      <w:r>
        <w:rPr>
          <w:rFonts w:hint="eastAsia" w:ascii="仿宋" w:eastAsia="仿宋" w:cs="宋体"/>
          <w:color w:val="auto"/>
          <w:kern w:val="0"/>
          <w:sz w:val="24"/>
          <w:highlight w:val="none"/>
          <w:lang w:eastAsia="zh-CN"/>
        </w:rPr>
        <w:t>最多不超过两家</w:t>
      </w:r>
      <w:r>
        <w:rPr>
          <w:rFonts w:hint="eastAsia" w:ascii="仿宋" w:eastAsia="仿宋" w:cs="宋体"/>
          <w:bCs/>
          <w:iCs/>
          <w:color w:val="auto"/>
          <w:sz w:val="24"/>
          <w:szCs w:val="24"/>
          <w:highlight w:val="none"/>
          <w:u w:val="single"/>
        </w:rPr>
        <w:t>。)</w:t>
      </w:r>
    </w:p>
    <w:p w14:paraId="018E444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1250A7CE">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hint="eastAsia" w:ascii="仿宋" w:eastAsia="仿宋" w:cs="宋体"/>
          <w:color w:val="auto"/>
          <w:sz w:val="24"/>
          <w:szCs w:val="24"/>
          <w:highlight w:val="none"/>
          <w:u w:val="single"/>
          <w:lang w:eastAsia="zh-CN"/>
        </w:rPr>
        <w:t>投标截至时间前</w:t>
      </w:r>
      <w:r>
        <w:rPr>
          <w:rFonts w:ascii="仿宋" w:eastAsia="仿宋" w:cs="宋体"/>
          <w:color w:val="auto"/>
          <w:sz w:val="24"/>
          <w:szCs w:val="24"/>
          <w:highlight w:val="none"/>
        </w:rPr>
        <w:t xml:space="preserve"> （北京时间）。</w:t>
      </w:r>
    </w:p>
    <w:p w14:paraId="04A1A611">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lang w:eastAsia="zh-CN"/>
        </w:rPr>
        <w:t>乐采云平台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lang w:eastAsia="zh-CN"/>
        </w:rPr>
        <w:t>https://www.lecaiyun.com/</w:t>
      </w:r>
      <w:r>
        <w:rPr>
          <w:rFonts w:hint="eastAsia" w:ascii="仿宋" w:eastAsia="仿宋"/>
          <w:bCs/>
          <w:color w:val="auto"/>
          <w:sz w:val="24"/>
          <w:szCs w:val="24"/>
          <w:highlight w:val="none"/>
          <w:u w:val="single"/>
        </w:rPr>
        <w:fldChar w:fldCharType="end"/>
      </w:r>
    </w:p>
    <w:p w14:paraId="084CFD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color w:val="auto"/>
          <w:sz w:val="24"/>
          <w:szCs w:val="24"/>
          <w:highlight w:val="none"/>
          <w:u w:val="single"/>
          <w:lang w:eastAsia="zh-CN"/>
        </w:rPr>
      </w:pPr>
      <w:r>
        <w:rPr>
          <w:rFonts w:hint="eastAsia" w:ascii="仿宋" w:eastAsia="仿宋" w:cs="宋体"/>
          <w:bCs/>
          <w:color w:val="auto"/>
          <w:sz w:val="24"/>
          <w:szCs w:val="24"/>
          <w:highlight w:val="none"/>
        </w:rPr>
        <w:t>方式：</w:t>
      </w:r>
      <w:r>
        <w:rPr>
          <w:rFonts w:hint="eastAsia" w:ascii="仿宋" w:eastAsia="仿宋" w:cs="宋体"/>
          <w:bCs/>
          <w:caps w:val="0"/>
          <w:smallCaps w:val="0"/>
          <w:snapToGrid/>
          <w:vanish w:val="0"/>
          <w:color w:val="auto"/>
          <w:sz w:val="24"/>
          <w:szCs w:val="24"/>
          <w:highlight w:val="none"/>
          <w:vertAlign w:val="baseline"/>
        </w:rPr>
        <w:t>供应商登陆</w:t>
      </w:r>
      <w:r>
        <w:rPr>
          <w:rFonts w:hint="eastAsia" w:ascii="仿宋" w:eastAsia="仿宋" w:cs="宋体"/>
          <w:bCs/>
          <w:caps w:val="0"/>
          <w:smallCaps w:val="0"/>
          <w:snapToGrid/>
          <w:vanish w:val="0"/>
          <w:color w:val="auto"/>
          <w:sz w:val="24"/>
          <w:szCs w:val="24"/>
          <w:highlight w:val="none"/>
          <w:vertAlign w:val="baseline"/>
          <w:lang w:eastAsia="zh-CN"/>
        </w:rPr>
        <w:t>乐采云平台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lang w:eastAsia="zh-CN"/>
        </w:rPr>
        <w:t>https://www.lecaiyun.com/</w:t>
      </w:r>
      <w:r>
        <w:rPr>
          <w:rFonts w:hint="eastAsia" w:ascii="仿宋" w:eastAsia="仿宋"/>
          <w:bCs/>
          <w:color w:val="auto"/>
          <w:sz w:val="24"/>
          <w:szCs w:val="24"/>
          <w:highlight w:val="none"/>
          <w:u w:val="single"/>
        </w:rPr>
        <w:fldChar w:fldCharType="end"/>
      </w:r>
      <w:r>
        <w:rPr>
          <w:rFonts w:hint="eastAsia" w:ascii="仿宋" w:eastAsia="仿宋" w:cs="宋体"/>
          <w:bCs/>
          <w:caps w:val="0"/>
          <w:smallCaps w:val="0"/>
          <w:snapToGrid/>
          <w:vanish w:val="0"/>
          <w:color w:val="auto"/>
          <w:sz w:val="24"/>
          <w:szCs w:val="24"/>
          <w:highlight w:val="none"/>
          <w:vertAlign w:val="baseline"/>
        </w:rPr>
        <w:t xml:space="preserve">在线申请获取采购文件（进入“项目采购”应用，在获取采购文件菜单中选择项目，申请获取采购文件） </w:t>
      </w:r>
      <w:r>
        <w:rPr>
          <w:rFonts w:ascii="仿宋" w:eastAsia="仿宋" w:cs="宋体"/>
          <w:bCs/>
          <w:color w:val="auto"/>
          <w:sz w:val="24"/>
          <w:szCs w:val="24"/>
          <w:highlight w:val="none"/>
        </w:rPr>
        <w:t>（如以联合体形式参加采购活动的，联合体牵头人须获取采购文件）</w:t>
      </w:r>
      <w:r>
        <w:rPr>
          <w:rFonts w:hint="eastAsia" w:ascii="仿宋" w:eastAsia="仿宋" w:cs="宋体"/>
          <w:bCs/>
          <w:color w:val="auto"/>
          <w:sz w:val="24"/>
          <w:szCs w:val="24"/>
          <w:highlight w:val="none"/>
          <w:lang w:eastAsia="zh-CN"/>
        </w:rPr>
        <w:t>，</w:t>
      </w:r>
      <w:r>
        <w:rPr>
          <w:rFonts w:hint="eastAsia" w:ascii="仿宋" w:eastAsia="仿宋"/>
          <w:b/>
          <w:bCs/>
          <w:color w:val="auto"/>
          <w:sz w:val="24"/>
          <w:highlight w:val="none"/>
        </w:rPr>
        <w:t>只网站下载不视为获取</w:t>
      </w:r>
    </w:p>
    <w:p w14:paraId="5DD00F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rPr>
      </w:pPr>
      <w:r>
        <w:rPr>
          <w:rFonts w:hint="eastAsia" w:ascii="仿宋" w:eastAsia="仿宋" w:cs="宋体"/>
          <w:color w:val="auto"/>
          <w:sz w:val="24"/>
          <w:szCs w:val="24"/>
          <w:highlight w:val="none"/>
        </w:rPr>
        <w:t>售价</w:t>
      </w:r>
      <w:r>
        <w:rPr>
          <w:rFonts w:hint="eastAsia" w:ascii="仿宋" w:eastAsia="仿宋" w:cs="宋体"/>
          <w:caps w:val="0"/>
          <w:smallCaps w:val="0"/>
          <w:snapToGrid/>
          <w:vanish w:val="0"/>
          <w:color w:val="auto"/>
          <w:sz w:val="24"/>
          <w:szCs w:val="24"/>
          <w:highlight w:val="none"/>
          <w:vertAlign w:val="baseline"/>
        </w:rPr>
        <w:t>（元）</w:t>
      </w:r>
      <w:r>
        <w:rPr>
          <w:rFonts w:hint="eastAsia" w:ascii="仿宋" w:eastAsia="仿宋" w:cs="宋体"/>
          <w:color w:val="auto"/>
          <w:sz w:val="24"/>
          <w:szCs w:val="24"/>
          <w:highlight w:val="none"/>
        </w:rPr>
        <w:t>：</w:t>
      </w:r>
      <w:r>
        <w:rPr>
          <w:rFonts w:ascii="仿宋" w:eastAsia="仿宋" w:cs="宋体"/>
          <w:color w:val="auto"/>
          <w:sz w:val="24"/>
          <w:szCs w:val="24"/>
          <w:highlight w:val="none"/>
        </w:rPr>
        <w:t>0</w:t>
      </w:r>
    </w:p>
    <w:p w14:paraId="030D692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1CED0878">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lang w:eastAsia="zh-CN"/>
        </w:rPr>
        <w:t>及开标时间</w:t>
      </w:r>
      <w:r>
        <w:rPr>
          <w:rFonts w:ascii="仿宋" w:eastAsia="仿宋"/>
          <w:bCs/>
          <w:color w:val="auto"/>
          <w:sz w:val="24"/>
          <w:szCs w:val="24"/>
          <w:highlight w:val="none"/>
        </w:rPr>
        <w:t>：</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  月  日</w:t>
      </w:r>
      <w:r>
        <w:rPr>
          <w:rFonts w:ascii="仿宋" w:eastAsia="仿宋"/>
          <w:bCs/>
          <w:color w:val="auto"/>
          <w:sz w:val="24"/>
          <w:szCs w:val="24"/>
          <w:highlight w:val="none"/>
          <w:u w:val="single"/>
        </w:rPr>
        <w:t xml:space="preserve">   ：  </w:t>
      </w:r>
      <w:r>
        <w:rPr>
          <w:rFonts w:hint="eastAsia" w:ascii="仿宋" w:eastAsia="仿宋"/>
          <w:bCs/>
          <w:color w:val="auto"/>
          <w:sz w:val="24"/>
          <w:szCs w:val="24"/>
          <w:highlight w:val="none"/>
        </w:rPr>
        <w:t>（北京时间）</w:t>
      </w:r>
    </w:p>
    <w:p w14:paraId="32B0F76F">
      <w:pPr>
        <w:spacing w:line="360" w:lineRule="auto"/>
        <w:ind w:firstLine="480" w:firstLineChars="200"/>
        <w:rPr>
          <w:rFonts w:ascii="仿宋" w:eastAsia="仿宋"/>
          <w:b w:val="0"/>
          <w:bCs w:val="0"/>
          <w:i w:val="0"/>
          <w:iCs w:val="0"/>
          <w:caps w:val="0"/>
          <w:smallCaps w:val="0"/>
          <w:color w:val="auto"/>
          <w:spacing w:val="0"/>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lang w:eastAsia="zh-CN"/>
        </w:rPr>
        <w:t>及开标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lang w:eastAsia="zh-CN"/>
        </w:rPr>
        <w:t>乐采云平台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lang w:eastAsia="zh-CN"/>
        </w:rPr>
        <w:t>https://www.lecaiyun.com/</w:t>
      </w:r>
      <w:r>
        <w:rPr>
          <w:rFonts w:hint="eastAsia" w:ascii="仿宋" w:eastAsia="仿宋"/>
          <w:bCs/>
          <w:color w:val="auto"/>
          <w:sz w:val="24"/>
          <w:szCs w:val="24"/>
          <w:highlight w:val="none"/>
          <w:u w:val="single"/>
        </w:rPr>
        <w:fldChar w:fldCharType="end"/>
      </w:r>
      <w:r>
        <w:rPr>
          <w:rFonts w:ascii="仿宋" w:eastAsia="仿宋"/>
          <w:b w:val="0"/>
          <w:bCs w:val="0"/>
          <w:i w:val="0"/>
          <w:iCs w:val="0"/>
          <w:caps w:val="0"/>
          <w:smallCaps w:val="0"/>
          <w:color w:val="auto"/>
          <w:spacing w:val="0"/>
          <w:sz w:val="24"/>
          <w:szCs w:val="24"/>
          <w:highlight w:val="none"/>
        </w:rPr>
        <w:t>，</w:t>
      </w:r>
      <w:r>
        <w:rPr>
          <w:rFonts w:hint="eastAsia" w:ascii="仿宋" w:eastAsia="仿宋"/>
          <w:b w:val="0"/>
          <w:bCs w:val="0"/>
          <w:i w:val="0"/>
          <w:iCs w:val="0"/>
          <w:caps w:val="0"/>
          <w:smallCaps w:val="0"/>
          <w:color w:val="auto"/>
          <w:spacing w:val="0"/>
          <w:sz w:val="24"/>
          <w:szCs w:val="24"/>
          <w:highlight w:val="none"/>
          <w:lang w:eastAsia="zh-CN"/>
        </w:rPr>
        <w:t>在线提交投标文件，</w:t>
      </w:r>
      <w:r>
        <w:rPr>
          <w:rFonts w:ascii="仿宋" w:eastAsia="仿宋"/>
          <w:b w:val="0"/>
          <w:bCs w:val="0"/>
          <w:i w:val="0"/>
          <w:iCs w:val="0"/>
          <w:caps w:val="0"/>
          <w:smallCaps w:val="0"/>
          <w:color w:val="auto"/>
          <w:spacing w:val="0"/>
          <w:sz w:val="24"/>
          <w:szCs w:val="24"/>
          <w:highlight w:val="none"/>
        </w:rPr>
        <w:t>不接收纸质投标。</w:t>
      </w:r>
    </w:p>
    <w:p w14:paraId="06381647">
      <w:pPr>
        <w:spacing w:line="360" w:lineRule="auto"/>
        <w:ind w:firstLine="480" w:firstLineChars="200"/>
        <w:rPr>
          <w:rFonts w:ascii="仿宋" w:eastAsia="仿宋"/>
          <w:bCs/>
          <w:color w:val="auto"/>
          <w:sz w:val="24"/>
          <w:szCs w:val="24"/>
          <w:highlight w:val="none"/>
          <w:u w:val="single"/>
        </w:rPr>
      </w:pPr>
      <w:r>
        <w:rPr>
          <w:rFonts w:ascii="仿宋" w:eastAsia="仿宋"/>
          <w:b w:val="0"/>
          <w:bCs w:val="0"/>
          <w:i w:val="0"/>
          <w:iCs w:val="0"/>
          <w:caps w:val="0"/>
          <w:smallCaps w:val="0"/>
          <w:color w:val="auto"/>
          <w:spacing w:val="0"/>
          <w:sz w:val="24"/>
          <w:szCs w:val="24"/>
          <w:highlight w:val="none"/>
        </w:rPr>
        <w:t xml:space="preserve">现场开标地点：浙江省绍兴市越城区延安东路660号绍兴市公共资源交易中心越城区分中心 </w:t>
      </w:r>
      <w:r>
        <w:rPr>
          <w:rFonts w:ascii="仿宋" w:eastAsia="仿宋"/>
          <w:b w:val="0"/>
          <w:bCs w:val="0"/>
          <w:i w:val="0"/>
          <w:iCs w:val="0"/>
          <w:caps w:val="0"/>
          <w:smallCaps w:val="0"/>
          <w:color w:val="auto"/>
          <w:spacing w:val="0"/>
          <w:sz w:val="24"/>
          <w:szCs w:val="24"/>
          <w:highlight w:val="none"/>
          <w:u w:val="single"/>
        </w:rPr>
        <w:t xml:space="preserve">    </w:t>
      </w:r>
      <w:r>
        <w:rPr>
          <w:rFonts w:ascii="仿宋" w:eastAsia="仿宋"/>
          <w:b w:val="0"/>
          <w:bCs w:val="0"/>
          <w:i w:val="0"/>
          <w:iCs w:val="0"/>
          <w:caps w:val="0"/>
          <w:smallCaps w:val="0"/>
          <w:color w:val="auto"/>
          <w:spacing w:val="0"/>
          <w:sz w:val="24"/>
          <w:szCs w:val="24"/>
          <w:highlight w:val="none"/>
        </w:rPr>
        <w:t>室。</w:t>
      </w:r>
    </w:p>
    <w:p w14:paraId="5ADCD69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35393794"/>
      <w:bookmarkStart w:id="19" w:name="_Toc28359007"/>
      <w:bookmarkStart w:id="20" w:name="_Toc28359084"/>
      <w:bookmarkStart w:id="21" w:name="_Toc35393625"/>
      <w:r>
        <w:rPr>
          <w:rFonts w:hint="eastAsia" w:ascii="仿宋" w:hAnsi="仿宋" w:eastAsia="仿宋" w:cs="仿宋"/>
          <w:b/>
          <w:bCs/>
          <w:color w:val="auto"/>
          <w:sz w:val="24"/>
          <w:szCs w:val="24"/>
          <w:highlight w:val="none"/>
        </w:rPr>
        <w:t>五、公告期限</w:t>
      </w:r>
      <w:bookmarkEnd w:id="18"/>
      <w:bookmarkEnd w:id="19"/>
      <w:bookmarkEnd w:id="20"/>
      <w:bookmarkEnd w:id="21"/>
    </w:p>
    <w:p w14:paraId="23C9E852">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6421774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5ED21F69">
      <w:pPr>
        <w:spacing w:line="360" w:lineRule="auto"/>
        <w:ind w:left="0" w:firstLine="480" w:firstLineChars="200"/>
        <w:rPr>
          <w:rFonts w:ascii="仿宋" w:eastAsia="仿宋" w:cs="Times New Roman"/>
          <w:color w:val="auto"/>
          <w:kern w:val="2"/>
          <w:sz w:val="24"/>
          <w:szCs w:val="24"/>
          <w:highlight w:val="none"/>
        </w:rPr>
      </w:pPr>
      <w:r>
        <w:rPr>
          <w:rFonts w:ascii="仿宋" w:eastAsia="仿宋" w:cs="Times New Roman"/>
          <w:color w:val="auto"/>
          <w:kern w:val="2"/>
          <w:sz w:val="24"/>
          <w:szCs w:val="24"/>
          <w:highlight w:val="none"/>
        </w:rPr>
        <w:t>1.</w:t>
      </w:r>
      <w:r>
        <w:rPr>
          <w:rFonts w:hint="default" w:ascii="仿宋" w:eastAsia="仿宋" w:cs="Times New Roman"/>
          <w:color w:val="auto"/>
          <w:kern w:val="2"/>
          <w:sz w:val="24"/>
          <w:szCs w:val="24"/>
          <w:highlight w:val="none"/>
        </w:rPr>
        <w:t>单位负责人为同一人或者存在直接控股、管理关系的不同供应商，不得同时参加同一标项的投标。为项目提供整体设计、规范编制或者项目管理、监理、检测等服务的供应商，不得再参加该采购项目的其他采购活动。</w:t>
      </w:r>
    </w:p>
    <w:p w14:paraId="3460214D">
      <w:pPr>
        <w:spacing w:line="360" w:lineRule="auto"/>
        <w:ind w:left="0" w:firstLine="480" w:firstLineChars="200"/>
        <w:rPr>
          <w:rFonts w:ascii="仿宋" w:eastAsia="仿宋" w:cs="Times New Roman"/>
          <w:color w:val="auto"/>
          <w:kern w:val="2"/>
          <w:sz w:val="24"/>
          <w:szCs w:val="24"/>
          <w:highlight w:val="none"/>
        </w:rPr>
      </w:pPr>
      <w:r>
        <w:rPr>
          <w:rFonts w:ascii="仿宋" w:eastAsia="仿宋" w:cs="Times New Roman"/>
          <w:color w:val="auto"/>
          <w:kern w:val="2"/>
          <w:sz w:val="24"/>
          <w:szCs w:val="24"/>
          <w:highlight w:val="none"/>
        </w:rPr>
        <w:t>2.根据《浙江省财政厅关于进一步促进政府采购公平竞争打造最优营商环境的通知》（浙财采监（2021）22号）文件关于“健全行政裁决机制”要求，鼓励供应商在线提起询问，路径为：</w:t>
      </w:r>
      <w:r>
        <w:rPr>
          <w:rFonts w:hint="default" w:ascii="仿宋" w:eastAsia="仿宋" w:cs="Times New Roman"/>
          <w:color w:val="auto"/>
          <w:kern w:val="2"/>
          <w:sz w:val="24"/>
          <w:szCs w:val="24"/>
          <w:highlight w:val="none"/>
          <w:lang w:eastAsia="zh-CN"/>
        </w:rPr>
        <w:t>乐采云</w:t>
      </w:r>
      <w:r>
        <w:rPr>
          <w:rFonts w:ascii="仿宋" w:eastAsia="仿宋" w:cs="Times New Roman"/>
          <w:color w:val="auto"/>
          <w:kern w:val="2"/>
          <w:sz w:val="24"/>
          <w:szCs w:val="24"/>
          <w:highlight w:val="none"/>
        </w:rPr>
        <w:t>-项目采购-询问质疑投诉-询问列表:鼓励供应商在线提起质疑，路径为：</w:t>
      </w:r>
      <w:r>
        <w:rPr>
          <w:rFonts w:hint="default" w:ascii="仿宋" w:eastAsia="仿宋" w:cs="Times New Roman"/>
          <w:color w:val="auto"/>
          <w:kern w:val="2"/>
          <w:sz w:val="24"/>
          <w:szCs w:val="24"/>
          <w:highlight w:val="none"/>
          <w:lang w:eastAsia="zh-CN"/>
        </w:rPr>
        <w:t>乐采云</w:t>
      </w:r>
      <w:r>
        <w:rPr>
          <w:rFonts w:ascii="仿宋" w:eastAsia="仿宋" w:cs="Times New Roman"/>
          <w:color w:val="auto"/>
          <w:kern w:val="2"/>
          <w:sz w:val="24"/>
          <w:szCs w:val="24"/>
          <w:highlight w:val="none"/>
        </w:rPr>
        <w:t>-项目采购-询问质疑投诉-质疑列表。质疑供应商对在线质疑答复不满意的，可在线提起投诉，路径为：</w:t>
      </w:r>
      <w:r>
        <w:rPr>
          <w:rFonts w:hint="default" w:ascii="仿宋" w:eastAsia="仿宋" w:cs="Times New Roman"/>
          <w:color w:val="auto"/>
          <w:kern w:val="2"/>
          <w:sz w:val="24"/>
          <w:szCs w:val="24"/>
          <w:highlight w:val="none"/>
          <w:lang w:eastAsia="zh-CN"/>
        </w:rPr>
        <w:t>乐采云</w:t>
      </w:r>
      <w:r>
        <w:rPr>
          <w:rFonts w:ascii="仿宋" w:eastAsia="仿宋" w:cs="Times New Roman"/>
          <w:color w:val="auto"/>
          <w:kern w:val="2"/>
          <w:sz w:val="24"/>
          <w:szCs w:val="24"/>
          <w:highlight w:val="none"/>
        </w:rPr>
        <w:t>-项目采购-询问质疑投诉-</w:t>
      </w:r>
      <w:r>
        <w:rPr>
          <w:rFonts w:hint="default" w:ascii="仿宋" w:eastAsia="仿宋" w:cs="Times New Roman"/>
          <w:color w:val="auto"/>
          <w:kern w:val="2"/>
          <w:sz w:val="24"/>
          <w:szCs w:val="24"/>
          <w:highlight w:val="none"/>
          <w:lang w:eastAsia="zh-CN"/>
        </w:rPr>
        <w:t>投诉</w:t>
      </w:r>
      <w:r>
        <w:rPr>
          <w:rFonts w:ascii="仿宋" w:eastAsia="仿宋" w:cs="Times New Roman"/>
          <w:color w:val="auto"/>
          <w:kern w:val="2"/>
          <w:sz w:val="24"/>
          <w:szCs w:val="24"/>
          <w:highlight w:val="none"/>
        </w:rPr>
        <w:t>列表。</w:t>
      </w:r>
      <w:r>
        <w:rPr>
          <w:rFonts w:hint="default" w:ascii="仿宋" w:eastAsia="仿宋"/>
          <w:b w:val="0"/>
          <w:bCs w:val="0"/>
          <w:color w:val="auto"/>
          <w:sz w:val="24"/>
          <w:szCs w:val="24"/>
          <w:highlight w:val="none"/>
        </w:rPr>
        <w:t>详见采购文件第七章。</w:t>
      </w:r>
    </w:p>
    <w:p w14:paraId="561A3A27">
      <w:pPr>
        <w:spacing w:line="360" w:lineRule="auto"/>
        <w:ind w:left="0" w:firstLine="480" w:firstLineChars="200"/>
        <w:rPr>
          <w:rFonts w:hint="default" w:ascii="仿宋" w:eastAsia="仿宋" w:cs="Times New Roman"/>
          <w:color w:val="auto"/>
          <w:kern w:val="2"/>
          <w:sz w:val="24"/>
          <w:szCs w:val="24"/>
          <w:highlight w:val="none"/>
        </w:rPr>
      </w:pPr>
      <w:r>
        <w:rPr>
          <w:rFonts w:ascii="仿宋" w:eastAsia="仿宋" w:cs="Times New Roman"/>
          <w:color w:val="auto"/>
          <w:kern w:val="2"/>
          <w:sz w:val="24"/>
          <w:szCs w:val="24"/>
          <w:highlight w:val="none"/>
        </w:rPr>
        <w:t>3.其他事项：</w:t>
      </w:r>
      <w:r>
        <w:rPr>
          <w:rFonts w:hint="default" w:ascii="仿宋" w:eastAsia="仿宋" w:cs="Times New Roman"/>
          <w:color w:val="auto"/>
          <w:kern w:val="2"/>
          <w:sz w:val="24"/>
          <w:szCs w:val="24"/>
          <w:highlight w:val="none"/>
          <w:u w:val="none"/>
        </w:rPr>
        <w:t>详见采购文件“</w:t>
      </w:r>
      <w:r>
        <w:rPr>
          <w:rFonts w:ascii="仿宋" w:eastAsia="仿宋" w:cs="Times New Roman"/>
          <w:color w:val="auto"/>
          <w:kern w:val="2"/>
          <w:sz w:val="24"/>
          <w:szCs w:val="24"/>
          <w:highlight w:val="none"/>
          <w:u w:val="none"/>
        </w:rPr>
        <w:t>采购</w:t>
      </w:r>
      <w:r>
        <w:rPr>
          <w:rFonts w:hint="default" w:ascii="仿宋" w:eastAsia="仿宋" w:cs="Times New Roman"/>
          <w:color w:val="auto"/>
          <w:kern w:val="2"/>
          <w:sz w:val="24"/>
          <w:szCs w:val="24"/>
          <w:highlight w:val="none"/>
          <w:u w:val="none"/>
        </w:rPr>
        <w:t>公告补充事项”。</w:t>
      </w:r>
      <w:r>
        <w:rPr>
          <w:rFonts w:ascii="仿宋" w:eastAsia="仿宋" w:cs="Times New Roman"/>
          <w:color w:val="auto"/>
          <w:kern w:val="2"/>
          <w:sz w:val="24"/>
          <w:szCs w:val="24"/>
          <w:highlight w:val="none"/>
          <w:u w:val="none"/>
        </w:rPr>
        <w:t>（重要）</w:t>
      </w:r>
    </w:p>
    <w:p w14:paraId="0027E80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28359008"/>
      <w:bookmarkStart w:id="25" w:name="_Toc35393796"/>
      <w:bookmarkStart w:id="26" w:name="_Toc35393627"/>
      <w:bookmarkStart w:id="27" w:name="_Toc28359085"/>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72CE5939">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61619988">
      <w:pPr>
        <w:spacing w:line="360" w:lineRule="auto"/>
        <w:ind w:left="1079" w:leftChars="371" w:hanging="300" w:hangingChars="125"/>
        <w:jc w:val="left"/>
        <w:rPr>
          <w:rFonts w:ascii="仿宋" w:eastAsia="仿宋"/>
          <w:color w:val="auto"/>
          <w:sz w:val="24"/>
          <w:szCs w:val="24"/>
          <w:highlight w:val="none"/>
        </w:rPr>
      </w:pPr>
      <w:bookmarkStart w:id="28" w:name="_Toc28359086"/>
      <w:bookmarkStart w:id="29" w:name="_Toc28359009"/>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olor w:val="auto"/>
          <w:sz w:val="24"/>
          <w:highlight w:val="none"/>
          <w:u w:val="single" w:color="auto"/>
          <w:lang w:eastAsia="zh-CN"/>
        </w:rPr>
        <w:t>绍兴市越城区公用资产运营有限公司</w:t>
      </w:r>
      <w:r>
        <w:rPr>
          <w:rFonts w:hint="eastAsia" w:ascii="仿宋" w:eastAsia="仿宋"/>
          <w:color w:val="auto"/>
          <w:sz w:val="24"/>
          <w:szCs w:val="24"/>
          <w:highlight w:val="none"/>
          <w:u w:val="single"/>
        </w:rPr>
        <w:t>　</w:t>
      </w:r>
    </w:p>
    <w:p w14:paraId="0772ECBF">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hint="eastAsia" w:ascii="仿宋" w:eastAsia="仿宋"/>
          <w:color w:val="auto"/>
          <w:sz w:val="24"/>
          <w:highlight w:val="none"/>
          <w:u w:val="single" w:color="auto"/>
          <w:lang w:eastAsia="zh-CN"/>
        </w:rPr>
        <w:t>浙江省绍兴市越城区府山街道东街687号301室</w:t>
      </w:r>
      <w:r>
        <w:rPr>
          <w:rFonts w:hint="eastAsia" w:ascii="仿宋" w:eastAsia="仿宋"/>
          <w:color w:val="auto"/>
          <w:sz w:val="24"/>
          <w:szCs w:val="24"/>
          <w:highlight w:val="none"/>
          <w:u w:val="single"/>
        </w:rPr>
        <w:t>　</w:t>
      </w:r>
    </w:p>
    <w:p w14:paraId="7B95167D">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p>
    <w:p w14:paraId="694DDCD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default" w:ascii="仿宋" w:eastAsia="仿宋"/>
          <w:color w:val="auto"/>
          <w:sz w:val="24"/>
          <w:szCs w:val="24"/>
          <w:highlight w:val="none"/>
          <w:u w:val="single"/>
          <w:lang w:eastAsia="zh-CN"/>
        </w:rPr>
        <w:t>吴剑薇</w:t>
      </w:r>
    </w:p>
    <w:p w14:paraId="6537755D">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0575-</w:t>
      </w:r>
      <w:r>
        <w:rPr>
          <w:rFonts w:hint="default" w:ascii="仿宋" w:eastAsia="仿宋"/>
          <w:color w:val="auto"/>
          <w:sz w:val="24"/>
          <w:szCs w:val="24"/>
          <w:highlight w:val="none"/>
          <w:u w:val="single"/>
          <w:lang w:eastAsia="zh-CN"/>
        </w:rPr>
        <w:t>85085605</w:t>
      </w:r>
    </w:p>
    <w:p w14:paraId="71EA6B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陈泉霖　</w:t>
      </w:r>
    </w:p>
    <w:p w14:paraId="79DF89D0">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0575-</w:t>
      </w:r>
      <w:r>
        <w:rPr>
          <w:rFonts w:hint="eastAsia" w:ascii="仿宋" w:eastAsia="仿宋"/>
          <w:color w:val="auto"/>
          <w:sz w:val="24"/>
          <w:szCs w:val="24"/>
          <w:highlight w:val="none"/>
          <w:u w:val="single"/>
        </w:rPr>
        <w:t xml:space="preserve">88651630　　 </w:t>
      </w:r>
    </w:p>
    <w:p w14:paraId="23C29EB2">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63BF0139">
      <w:pPr>
        <w:spacing w:line="360" w:lineRule="auto"/>
        <w:ind w:left="1079" w:leftChars="371" w:hanging="300" w:hangingChars="125"/>
        <w:jc w:val="left"/>
        <w:rPr>
          <w:rFonts w:ascii="仿宋" w:eastAsia="仿宋"/>
          <w:color w:val="auto"/>
          <w:sz w:val="24"/>
          <w:szCs w:val="24"/>
          <w:highlight w:val="none"/>
        </w:rPr>
      </w:pPr>
      <w:bookmarkStart w:id="30" w:name="_Toc28359087"/>
      <w:bookmarkStart w:id="31" w:name="_Toc28359010"/>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s="宋体"/>
          <w:color w:val="auto"/>
          <w:kern w:val="0"/>
          <w:sz w:val="24"/>
          <w:highlight w:val="none"/>
          <w:u w:val="single"/>
          <w:lang w:val="en-US" w:eastAsia="zh-CN"/>
        </w:rPr>
        <w:t>浙江大统建设项目管理有限公司</w:t>
      </w:r>
      <w:r>
        <w:rPr>
          <w:rFonts w:hint="eastAsia" w:ascii="仿宋" w:eastAsia="仿宋"/>
          <w:color w:val="auto"/>
          <w:sz w:val="24"/>
          <w:szCs w:val="24"/>
          <w:highlight w:val="none"/>
          <w:u w:val="single"/>
        </w:rPr>
        <w:t>　</w:t>
      </w:r>
    </w:p>
    <w:p w14:paraId="40583CC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hint="eastAsia" w:ascii="仿宋" w:eastAsia="仿宋" w:cs="宋体"/>
          <w:color w:val="auto"/>
          <w:kern w:val="0"/>
          <w:sz w:val="24"/>
          <w:highlight w:val="none"/>
          <w:u w:val="single"/>
          <w:lang w:val="en-US" w:eastAsia="zh-CN"/>
        </w:rPr>
        <w:t>绍兴市越城区金丰大厦8楼</w:t>
      </w:r>
      <w:r>
        <w:rPr>
          <w:rFonts w:hint="eastAsia" w:ascii="仿宋" w:eastAsia="仿宋"/>
          <w:color w:val="auto"/>
          <w:sz w:val="24"/>
          <w:szCs w:val="24"/>
          <w:highlight w:val="none"/>
          <w:u w:val="single"/>
        </w:rPr>
        <w:t>　</w:t>
      </w:r>
    </w:p>
    <w:p w14:paraId="054852C3">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p>
    <w:p w14:paraId="6568D236">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s="宋体"/>
          <w:color w:val="auto"/>
          <w:kern w:val="0"/>
          <w:sz w:val="24"/>
          <w:highlight w:val="none"/>
          <w:u w:val="single"/>
          <w:lang w:val="en-US" w:eastAsia="zh-CN"/>
        </w:rPr>
        <w:t>俞姗姗</w:t>
      </w:r>
      <w:r>
        <w:rPr>
          <w:rFonts w:hint="eastAsia" w:ascii="仿宋" w:eastAsia="仿宋"/>
          <w:color w:val="auto"/>
          <w:sz w:val="24"/>
          <w:szCs w:val="24"/>
          <w:highlight w:val="none"/>
          <w:u w:val="single"/>
        </w:rPr>
        <w:t xml:space="preserve">　 </w:t>
      </w:r>
    </w:p>
    <w:p w14:paraId="202B52F1">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eastAsia="仿宋" w:cs="宋体"/>
          <w:color w:val="auto"/>
          <w:kern w:val="0"/>
          <w:sz w:val="24"/>
          <w:highlight w:val="none"/>
          <w:u w:val="single"/>
          <w:lang w:val="en-US" w:eastAsia="zh-CN"/>
        </w:rPr>
        <w:t>13735368815</w:t>
      </w:r>
      <w:r>
        <w:rPr>
          <w:rFonts w:hint="eastAsia" w:ascii="仿宋" w:eastAsia="仿宋"/>
          <w:color w:val="auto"/>
          <w:sz w:val="24"/>
          <w:szCs w:val="24"/>
          <w:highlight w:val="none"/>
          <w:u w:val="single"/>
        </w:rPr>
        <w:t>　</w:t>
      </w:r>
    </w:p>
    <w:p w14:paraId="043ECAE2">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s="宋体"/>
          <w:color w:val="auto"/>
          <w:kern w:val="0"/>
          <w:sz w:val="24"/>
          <w:highlight w:val="none"/>
          <w:u w:val="single"/>
          <w:lang w:val="en-US" w:eastAsia="zh-CN"/>
        </w:rPr>
        <w:t>徐菊美</w:t>
      </w:r>
      <w:r>
        <w:rPr>
          <w:rFonts w:hint="eastAsia" w:ascii="仿宋" w:eastAsia="仿宋"/>
          <w:color w:val="auto"/>
          <w:sz w:val="24"/>
          <w:szCs w:val="24"/>
          <w:highlight w:val="none"/>
          <w:u w:val="single"/>
        </w:rPr>
        <w:t>　</w:t>
      </w:r>
    </w:p>
    <w:p w14:paraId="711ADAD3">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s="宋体"/>
          <w:color w:val="auto"/>
          <w:kern w:val="0"/>
          <w:sz w:val="24"/>
          <w:highlight w:val="none"/>
          <w:u w:val="single"/>
          <w:lang w:val="en-US" w:eastAsia="zh-CN"/>
        </w:rPr>
        <w:t>13386517055</w:t>
      </w:r>
      <w:r>
        <w:rPr>
          <w:rFonts w:hint="eastAsia" w:ascii="仿宋" w:eastAsia="仿宋"/>
          <w:color w:val="auto"/>
          <w:sz w:val="24"/>
          <w:szCs w:val="24"/>
          <w:highlight w:val="none"/>
          <w:u w:val="single"/>
        </w:rPr>
        <w:t xml:space="preserve">  </w:t>
      </w:r>
    </w:p>
    <w:p w14:paraId="71AEC5DE">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hint="eastAsia" w:ascii="仿宋" w:eastAsia="仿宋" w:cs="宋体"/>
          <w:color w:val="auto"/>
          <w:sz w:val="24"/>
          <w:szCs w:val="24"/>
          <w:highlight w:val="none"/>
          <w:lang w:eastAsia="zh-CN"/>
        </w:rPr>
        <w:t>本项目</w:t>
      </w:r>
      <w:r>
        <w:rPr>
          <w:rFonts w:ascii="仿宋" w:eastAsia="仿宋" w:cs="宋体"/>
          <w:color w:val="auto"/>
          <w:sz w:val="24"/>
          <w:szCs w:val="24"/>
          <w:highlight w:val="none"/>
        </w:rPr>
        <w:t>监督管理部门</w:t>
      </w:r>
    </w:p>
    <w:p w14:paraId="2215277A">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s="宋体"/>
          <w:color w:val="auto"/>
          <w:kern w:val="0"/>
          <w:sz w:val="24"/>
          <w:highlight w:val="none"/>
          <w:u w:val="single"/>
          <w:lang w:val="en-US" w:eastAsia="zh-CN"/>
        </w:rPr>
        <w:t>绍兴市越城区公用事业集团有限公司</w:t>
      </w:r>
      <w:r>
        <w:rPr>
          <w:rFonts w:hint="eastAsia" w:ascii="仿宋" w:eastAsia="仿宋"/>
          <w:color w:val="auto"/>
          <w:sz w:val="24"/>
          <w:szCs w:val="24"/>
          <w:highlight w:val="none"/>
          <w:u w:val="single"/>
        </w:rPr>
        <w:t>　</w:t>
      </w:r>
    </w:p>
    <w:p w14:paraId="2347E9E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hint="eastAsia" w:ascii="仿宋" w:eastAsia="仿宋" w:cs="宋体"/>
          <w:color w:val="auto"/>
          <w:kern w:val="0"/>
          <w:sz w:val="24"/>
          <w:highlight w:val="none"/>
          <w:u w:val="single"/>
          <w:lang w:val="en-US" w:eastAsia="zh-CN"/>
        </w:rPr>
        <w:t>浙江省东街687号4层　</w:t>
      </w:r>
    </w:p>
    <w:p w14:paraId="0E6CB1BB">
      <w:pPr>
        <w:spacing w:line="360" w:lineRule="auto"/>
        <w:ind w:left="1079" w:leftChars="371" w:hanging="300" w:hangingChars="125"/>
        <w:jc w:val="left"/>
        <w:rPr>
          <w:rFonts w:hint="eastAsia"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p>
    <w:p w14:paraId="59C036F4">
      <w:pPr>
        <w:spacing w:line="360" w:lineRule="auto"/>
        <w:ind w:left="1079" w:leftChars="371" w:hanging="300" w:hangingChars="125"/>
        <w:jc w:val="left"/>
        <w:rPr>
          <w:rFonts w:hint="eastAsia" w:ascii="仿宋" w:eastAsia="仿宋"/>
          <w:color w:val="auto"/>
          <w:sz w:val="24"/>
          <w:szCs w:val="24"/>
          <w:highlight w:val="none"/>
          <w:lang w:eastAsia="zh-CN"/>
        </w:rPr>
      </w:pPr>
      <w:r>
        <w:rPr>
          <w:rFonts w:hint="eastAsia" w:ascii="仿宋" w:eastAsia="仿宋"/>
          <w:color w:val="auto"/>
          <w:sz w:val="24"/>
          <w:szCs w:val="24"/>
          <w:highlight w:val="none"/>
        </w:rPr>
        <w:t>联系人：</w:t>
      </w:r>
      <w:r>
        <w:rPr>
          <w:rFonts w:hint="eastAsia" w:ascii="仿宋" w:eastAsia="仿宋" w:cs="宋体"/>
          <w:color w:val="auto"/>
          <w:kern w:val="0"/>
          <w:sz w:val="24"/>
          <w:highlight w:val="none"/>
          <w:u w:val="single"/>
          <w:lang w:val="en-US" w:eastAsia="zh-CN" w:bidi="ar-SA"/>
        </w:rPr>
        <w:t>钱栋</w:t>
      </w:r>
    </w:p>
    <w:p w14:paraId="5D1EEBA9">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hint="eastAsia" w:ascii="仿宋" w:eastAsia="仿宋" w:cs="宋体"/>
          <w:color w:val="auto"/>
          <w:kern w:val="0"/>
          <w:sz w:val="24"/>
          <w:highlight w:val="none"/>
          <w:u w:val="single"/>
          <w:lang w:bidi="ar-SA"/>
        </w:rPr>
        <w:t>0575-85151523</w:t>
      </w:r>
      <w:r>
        <w:rPr>
          <w:rFonts w:hint="eastAsia" w:ascii="仿宋" w:eastAsia="仿宋"/>
          <w:color w:val="auto"/>
          <w:sz w:val="24"/>
          <w:szCs w:val="24"/>
          <w:highlight w:val="none"/>
          <w:u w:val="single"/>
        </w:rPr>
        <w:t>　　</w:t>
      </w:r>
    </w:p>
    <w:p w14:paraId="045E7CB6">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w:t>
      </w:r>
      <w:r>
        <w:rPr>
          <w:rFonts w:hint="eastAsia" w:ascii="仿宋" w:eastAsia="仿宋"/>
          <w:color w:val="auto"/>
          <w:szCs w:val="21"/>
          <w:highlight w:val="none"/>
          <w:lang w:eastAsia="zh-CN"/>
        </w:rPr>
        <w:t>乐采云</w:t>
      </w:r>
      <w:r>
        <w:rPr>
          <w:rFonts w:ascii="仿宋" w:eastAsia="仿宋"/>
          <w:color w:val="auto"/>
          <w:szCs w:val="21"/>
          <w:highlight w:val="none"/>
        </w:rPr>
        <w:t>（</w:t>
      </w:r>
      <w:r>
        <w:rPr>
          <w:rFonts w:hint="eastAsia" w:ascii="仿宋" w:eastAsia="仿宋"/>
          <w:color w:val="auto"/>
          <w:szCs w:val="21"/>
          <w:highlight w:val="none"/>
        </w:rPr>
        <w:t>https://www.lecaiyun.com/</w:t>
      </w:r>
      <w:r>
        <w:rPr>
          <w:rFonts w:ascii="仿宋" w:eastAsia="仿宋"/>
          <w:color w:val="auto"/>
          <w:szCs w:val="21"/>
          <w:highlight w:val="none"/>
        </w:rPr>
        <w:t>），点击右侧咨询小采，获取采小蜜智能服务管家帮助。</w:t>
      </w:r>
    </w:p>
    <w:p w14:paraId="2EE663C5">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6990F732">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759461DF">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Cs/>
          <w:color w:val="auto"/>
          <w:sz w:val="24"/>
          <w:highlight w:val="none"/>
          <w:u w:val="single"/>
          <w:lang w:eastAsia="zh-CN"/>
        </w:rPr>
        <w:t>国企采购</w:t>
      </w:r>
      <w:r>
        <w:rPr>
          <w:rFonts w:ascii="仿宋" w:eastAsia="仿宋" w:cs="Arial"/>
          <w:bCs/>
          <w:color w:val="auto"/>
          <w:sz w:val="24"/>
          <w:highlight w:val="none"/>
          <w:u w:val="single"/>
        </w:rPr>
        <w:t xml:space="preserve">   </w:t>
      </w:r>
    </w:p>
    <w:p w14:paraId="1FD96CD7">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r>
        <w:rPr>
          <w:rFonts w:ascii="仿宋" w:eastAsia="仿宋" w:cs="Arial"/>
          <w:b/>
          <w:bCs/>
          <w:color w:val="auto"/>
          <w:sz w:val="24"/>
          <w:highlight w:val="none"/>
          <w:u w:val="single"/>
        </w:rPr>
        <w:t xml:space="preserve">   </w:t>
      </w:r>
    </w:p>
    <w:p w14:paraId="200A55B9">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3825564F">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72BAE67D">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7F27D233">
      <w:pPr>
        <w:spacing w:line="440" w:lineRule="exact"/>
        <w:ind w:firstLine="480" w:firstLineChars="200"/>
        <w:rPr>
          <w:rFonts w:hint="eastAsia" w:ascii="仿宋" w:eastAsia="仿宋" w:cs="Arial"/>
          <w:color w:val="auto"/>
          <w:sz w:val="24"/>
          <w:highlight w:val="none"/>
        </w:rPr>
      </w:pPr>
      <w:r>
        <w:rPr>
          <w:rFonts w:hint="eastAsia" w:ascii="仿宋" w:eastAsia="仿宋" w:cs="Arial"/>
          <w:color w:val="auto"/>
          <w:sz w:val="24"/>
          <w:highlight w:val="none"/>
          <w:lang w:val="en-US" w:eastAsia="zh-CN"/>
        </w:rPr>
        <w:t>1</w:t>
      </w:r>
      <w:r>
        <w:rPr>
          <w:rFonts w:hint="eastAsia" w:ascii="仿宋" w:eastAsia="仿宋" w:cs="Arial"/>
          <w:color w:val="auto"/>
          <w:sz w:val="24"/>
          <w:highlight w:val="none"/>
        </w:rPr>
        <w:t>、CA申领需要时间，请各潜在投标供应商及时办理和绑定。</w:t>
      </w:r>
    </w:p>
    <w:p w14:paraId="3B0DD168">
      <w:pPr>
        <w:spacing w:line="360" w:lineRule="exact"/>
        <w:ind w:left="0" w:firstLine="480" w:firstLineChars="200"/>
        <w:rPr>
          <w:rFonts w:hint="eastAsia" w:ascii="仿宋" w:eastAsia="仿宋" w:cs="Arial"/>
          <w:bCs/>
          <w:color w:val="auto"/>
          <w:sz w:val="24"/>
          <w:highlight w:val="none"/>
        </w:rPr>
      </w:pPr>
      <w:r>
        <w:rPr>
          <w:rFonts w:hint="eastAsia" w:ascii="仿宋" w:eastAsia="仿宋" w:cs="Arial"/>
          <w:bCs/>
          <w:color w:val="auto"/>
          <w:sz w:val="24"/>
          <w:highlight w:val="none"/>
          <w:lang w:val="en-US" w:eastAsia="zh-CN"/>
        </w:rPr>
        <w:t>2</w:t>
      </w:r>
      <w:r>
        <w:rPr>
          <w:rFonts w:ascii="仿宋" w:eastAsia="仿宋" w:cs="Arial"/>
          <w:bCs/>
          <w:color w:val="auto"/>
          <w:sz w:val="24"/>
          <w:highlight w:val="none"/>
        </w:rPr>
        <w:t>、</w:t>
      </w:r>
      <w:r>
        <w:rPr>
          <w:rFonts w:hint="eastAsia" w:ascii="仿宋" w:eastAsia="仿宋" w:cs="Arial"/>
          <w:bCs/>
          <w:color w:val="auto"/>
          <w:sz w:val="24"/>
          <w:highlight w:val="none"/>
        </w:rPr>
        <w:t>获取采购文件后不参加投标的供应商，须向采购代理机构提供书面说明。</w:t>
      </w:r>
    </w:p>
    <w:p w14:paraId="422A4AC3">
      <w:pPr>
        <w:spacing w:line="360" w:lineRule="exact"/>
        <w:ind w:left="0" w:firstLine="482" w:firstLineChars="200"/>
        <w:rPr>
          <w:rFonts w:hint="eastAsia" w:ascii="仿宋" w:eastAsia="仿宋"/>
          <w:color w:val="auto"/>
          <w:sz w:val="24"/>
          <w:highlight w:val="none"/>
        </w:rPr>
      </w:pPr>
      <w:r>
        <w:rPr>
          <w:rFonts w:hint="eastAsia" w:ascii="仿宋" w:eastAsia="仿宋"/>
          <w:b/>
          <w:bCs/>
          <w:color w:val="auto"/>
          <w:sz w:val="24"/>
          <w:highlight w:val="none"/>
          <w:lang w:val="en-US" w:eastAsia="zh-CN"/>
        </w:rPr>
        <w:t>3</w:t>
      </w:r>
      <w:r>
        <w:rPr>
          <w:rFonts w:ascii="仿宋" w:eastAsia="仿宋"/>
          <w:b/>
          <w:bCs/>
          <w:color w:val="auto"/>
          <w:sz w:val="24"/>
          <w:highlight w:val="none"/>
        </w:rPr>
        <w:t>、</w:t>
      </w:r>
      <w:r>
        <w:rPr>
          <w:rFonts w:hint="eastAsia" w:ascii="仿宋" w:eastAsia="仿宋"/>
          <w:b/>
          <w:bCs/>
          <w:color w:val="auto"/>
          <w:sz w:val="24"/>
          <w:highlight w:val="none"/>
        </w:rPr>
        <w:t>预留充足时间上传加密电子投标文件（建议提前一天，供应商解密电子投标文件前处于加密状态）。</w:t>
      </w:r>
    </w:p>
    <w:p w14:paraId="17FB6499">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w:t>
      </w:r>
      <w:r>
        <w:rPr>
          <w:rFonts w:hint="eastAsia" w:ascii="仿宋" w:eastAsia="仿宋" w:cs="Arial"/>
          <w:bCs/>
          <w:color w:val="auto"/>
          <w:sz w:val="24"/>
          <w:highlight w:val="none"/>
          <w:lang w:eastAsia="zh-CN"/>
        </w:rPr>
        <w:t>乐采云平台</w:t>
      </w:r>
      <w:r>
        <w:rPr>
          <w:rFonts w:hint="eastAsia" w:ascii="仿宋" w:eastAsia="仿宋" w:cs="Arial"/>
          <w:bCs/>
          <w:color w:val="auto"/>
          <w:sz w:val="24"/>
          <w:highlight w:val="none"/>
        </w:rPr>
        <w:t>或在浙江政府采购网更正公告页面或越城区人民政府门户网站采购公告页面中下载。</w:t>
      </w:r>
    </w:p>
    <w:p w14:paraId="384B9C28">
      <w:pPr>
        <w:spacing w:line="360" w:lineRule="exact"/>
        <w:ind w:firstLine="482" w:firstLineChars="200"/>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r>
        <w:rPr>
          <w:rFonts w:hint="eastAsia" w:ascii="仿宋" w:eastAsia="仿宋"/>
          <w:b/>
          <w:color w:val="auto"/>
          <w:sz w:val="24"/>
          <w:highlight w:val="none"/>
        </w:rPr>
        <w:t>：</w:t>
      </w:r>
    </w:p>
    <w:p w14:paraId="30A6750A">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供应商可通过</w:t>
      </w:r>
      <w:r>
        <w:rPr>
          <w:rFonts w:hint="eastAsia" w:ascii="仿宋" w:eastAsia="仿宋"/>
          <w:color w:val="auto"/>
          <w:sz w:val="24"/>
          <w:highlight w:val="none"/>
          <w:lang w:eastAsia="zh-CN"/>
        </w:rPr>
        <w:t>乐采云平台</w:t>
      </w:r>
      <w:r>
        <w:rPr>
          <w:rFonts w:hint="eastAsia" w:ascii="仿宋" w:eastAsia="仿宋"/>
          <w:color w:val="auto"/>
          <w:sz w:val="24"/>
          <w:highlight w:val="none"/>
        </w:rPr>
        <w:t>（https://www.lecaiyun.com/）进行入驻申请，按规定审核后，登记加入</w:t>
      </w:r>
      <w:r>
        <w:rPr>
          <w:rFonts w:hint="eastAsia" w:ascii="仿宋" w:eastAsia="仿宋"/>
          <w:color w:val="auto"/>
          <w:sz w:val="24"/>
          <w:highlight w:val="none"/>
          <w:lang w:eastAsia="zh-CN"/>
        </w:rPr>
        <w:t>乐采云供应商库</w:t>
      </w:r>
      <w:r>
        <w:rPr>
          <w:rFonts w:hint="eastAsia" w:ascii="仿宋" w:eastAsia="仿宋"/>
          <w:color w:val="auto"/>
          <w:sz w:val="24"/>
          <w:highlight w:val="none"/>
        </w:rPr>
        <w:t>。</w:t>
      </w:r>
      <w:r>
        <w:rPr>
          <w:rFonts w:hint="eastAsia" w:ascii="仿宋" w:eastAsia="仿宋"/>
          <w:b/>
          <w:bCs/>
          <w:color w:val="auto"/>
          <w:sz w:val="24"/>
          <w:highlight w:val="none"/>
        </w:rPr>
        <w:t>入驻咨询电话：0575-89116928；</w:t>
      </w:r>
    </w:p>
    <w:p w14:paraId="31FB5067">
      <w:pPr>
        <w:spacing w:line="380" w:lineRule="exact"/>
        <w:rPr>
          <w:rFonts w:hint="eastAsia" w:ascii="仿宋" w:eastAsia="仿宋"/>
          <w:color w:val="auto"/>
          <w:highlight w:val="none"/>
        </w:rPr>
      </w:pPr>
    </w:p>
    <w:p w14:paraId="2118CC1C">
      <w:pPr>
        <w:spacing w:line="380" w:lineRule="exact"/>
        <w:rPr>
          <w:rFonts w:hint="eastAsia" w:ascii="仿宋" w:eastAsia="仿宋"/>
          <w:color w:val="auto"/>
          <w:highlight w:val="none"/>
        </w:rPr>
      </w:pPr>
    </w:p>
    <w:p w14:paraId="798F83F4">
      <w:pPr>
        <w:spacing w:line="380" w:lineRule="exact"/>
        <w:rPr>
          <w:rFonts w:hint="eastAsia" w:ascii="仿宋" w:eastAsia="仿宋"/>
          <w:color w:val="auto"/>
          <w:highlight w:val="none"/>
        </w:rPr>
      </w:pPr>
    </w:p>
    <w:p w14:paraId="3904F343">
      <w:pPr>
        <w:spacing w:line="380" w:lineRule="exact"/>
        <w:rPr>
          <w:rFonts w:hint="eastAsia" w:ascii="仿宋" w:eastAsia="仿宋"/>
          <w:color w:val="auto"/>
          <w:highlight w:val="none"/>
        </w:rPr>
      </w:pPr>
    </w:p>
    <w:p w14:paraId="3A11426B">
      <w:pPr>
        <w:spacing w:line="380" w:lineRule="exact"/>
        <w:rPr>
          <w:rFonts w:hint="eastAsia" w:ascii="仿宋" w:eastAsia="仿宋"/>
          <w:color w:val="auto"/>
          <w:highlight w:val="none"/>
        </w:rPr>
      </w:pPr>
    </w:p>
    <w:p w14:paraId="26824757">
      <w:pPr>
        <w:spacing w:line="380" w:lineRule="exact"/>
        <w:rPr>
          <w:rFonts w:hint="eastAsia" w:ascii="仿宋" w:eastAsia="仿宋"/>
          <w:color w:val="auto"/>
          <w:highlight w:val="none"/>
        </w:rPr>
      </w:pPr>
    </w:p>
    <w:p w14:paraId="38DAD16D">
      <w:pPr>
        <w:spacing w:line="380" w:lineRule="exact"/>
        <w:rPr>
          <w:rFonts w:hint="eastAsia" w:ascii="仿宋" w:eastAsia="仿宋"/>
          <w:color w:val="auto"/>
          <w:highlight w:val="none"/>
        </w:rPr>
      </w:pPr>
    </w:p>
    <w:p w14:paraId="314ED69F">
      <w:pPr>
        <w:spacing w:line="380" w:lineRule="exact"/>
        <w:rPr>
          <w:rFonts w:hint="eastAsia" w:ascii="仿宋" w:eastAsia="仿宋"/>
          <w:color w:val="auto"/>
          <w:highlight w:val="none"/>
        </w:rPr>
      </w:pPr>
    </w:p>
    <w:p w14:paraId="479BE333">
      <w:pPr>
        <w:spacing w:line="380" w:lineRule="exact"/>
        <w:rPr>
          <w:rFonts w:hint="eastAsia" w:ascii="仿宋" w:eastAsia="仿宋"/>
          <w:color w:val="auto"/>
          <w:highlight w:val="none"/>
        </w:rPr>
      </w:pPr>
    </w:p>
    <w:p w14:paraId="0D045441">
      <w:pPr>
        <w:spacing w:line="380" w:lineRule="exact"/>
        <w:rPr>
          <w:rFonts w:hint="eastAsia" w:ascii="仿宋" w:eastAsia="仿宋"/>
          <w:color w:val="auto"/>
          <w:highlight w:val="none"/>
        </w:rPr>
      </w:pPr>
    </w:p>
    <w:p w14:paraId="3B9243C1">
      <w:pPr>
        <w:spacing w:line="380" w:lineRule="exact"/>
        <w:rPr>
          <w:rFonts w:hint="eastAsia" w:ascii="仿宋" w:eastAsia="仿宋"/>
          <w:color w:val="auto"/>
          <w:highlight w:val="none"/>
        </w:rPr>
      </w:pPr>
    </w:p>
    <w:p w14:paraId="2EABF0F3">
      <w:pPr>
        <w:pStyle w:val="3"/>
        <w:rPr>
          <w:rFonts w:hint="eastAsia" w:ascii="仿宋"/>
          <w:color w:val="auto"/>
          <w:highlight w:val="none"/>
        </w:rPr>
      </w:pPr>
      <w:bookmarkStart w:id="34" w:name="_Toc13472"/>
      <w:r>
        <w:rPr>
          <w:rFonts w:hint="eastAsia" w:ascii="仿宋"/>
          <w:color w:val="auto"/>
          <w:highlight w:val="none"/>
        </w:rPr>
        <w:t>第二章  投标人须知</w:t>
      </w:r>
      <w:bookmarkEnd w:id="34"/>
    </w:p>
    <w:p w14:paraId="12B4A46E">
      <w:pPr>
        <w:pStyle w:val="4"/>
        <w:rPr>
          <w:rFonts w:hint="eastAsia" w:ascii="仿宋"/>
          <w:color w:val="auto"/>
          <w:highlight w:val="none"/>
        </w:rPr>
      </w:pPr>
      <w:bookmarkStart w:id="35" w:name="_Toc2607"/>
      <w:r>
        <w:rPr>
          <w:rFonts w:hint="eastAsia" w:ascii="仿宋"/>
          <w:color w:val="auto"/>
          <w:highlight w:val="non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70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34174">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DC88DE6">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79BA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72E9E6B">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980D46">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hAnsi="Times New Roman" w:eastAsia="仿宋" w:cs="Times New Roman"/>
                <w:color w:val="auto"/>
                <w:sz w:val="24"/>
                <w:highlight w:val="none"/>
                <w:u w:val="single"/>
              </w:rPr>
              <w:t xml:space="preserve"> </w:t>
            </w:r>
            <w:r>
              <w:rPr>
                <w:rFonts w:hint="eastAsia" w:ascii="仿宋" w:eastAsia="仿宋" w:cs="Times New Roman"/>
                <w:color w:val="auto"/>
                <w:sz w:val="24"/>
                <w:highlight w:val="none"/>
                <w:u w:val="single"/>
                <w:lang w:val="en-US" w:eastAsia="zh-CN"/>
              </w:rPr>
              <w:t>绍兴市越城区公用资产运营有限公司大气检测技术改造采购项目</w:t>
            </w:r>
            <w:r>
              <w:rPr>
                <w:rFonts w:hint="eastAsia" w:ascii="仿宋" w:hAnsi="Times New Roman" w:eastAsia="仿宋" w:cs="Times New Roman"/>
                <w:color w:val="auto"/>
                <w:sz w:val="24"/>
                <w:highlight w:val="none"/>
                <w:u w:val="single"/>
              </w:rPr>
              <w:t xml:space="preserve"> </w:t>
            </w:r>
          </w:p>
        </w:tc>
      </w:tr>
      <w:tr w14:paraId="5B3D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5E0EDAF">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D92750">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4FA6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823FEC8">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FD4BF4A">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w:t>
            </w:r>
            <w:r>
              <w:rPr>
                <w:rFonts w:hint="eastAsia" w:ascii="仿宋" w:eastAsia="仿宋"/>
                <w:color w:val="auto"/>
                <w:sz w:val="24"/>
                <w:highlight w:val="none"/>
                <w:u w:val="single"/>
              </w:rPr>
              <w:t xml:space="preserve">    </w:t>
            </w:r>
          </w:p>
        </w:tc>
      </w:tr>
      <w:tr w14:paraId="14F1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B1945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E0322C5">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是，本项目投标人通过视频演示讲解，由投标人提前录制演示讲解内容，视频演示文件以U盘形式储存，密封包装并</w:t>
            </w:r>
            <w:r>
              <w:rPr>
                <w:rFonts w:hint="eastAsia" w:ascii="仿宋" w:hAnsi="Times New Roman" w:eastAsia="仿宋" w:cs="Times New Roman"/>
                <w:color w:val="auto"/>
                <w:sz w:val="24"/>
                <w:highlight w:val="none"/>
                <w:u w:val="single"/>
              </w:rPr>
              <w:t>标注投标供应商名称，与</w:t>
            </w:r>
            <w:r>
              <w:rPr>
                <w:rFonts w:hint="eastAsia" w:ascii="仿宋" w:eastAsia="仿宋"/>
                <w:color w:val="auto"/>
                <w:sz w:val="24"/>
                <w:highlight w:val="none"/>
                <w:u w:val="single"/>
              </w:rPr>
              <w:t xml:space="preserve">投标文件一同提交。未提供演示U盘，演示分按0分处理。视频演示U盘在评标时出现破损或者打不开等情况的，由投标人自行负责，同样演示分按0分处理。演示顺序以投标人递交投标文件的顺序为准。  </w:t>
            </w:r>
          </w:p>
        </w:tc>
      </w:tr>
      <w:tr w14:paraId="2E29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8647235">
            <w:pPr>
              <w:spacing w:line="360" w:lineRule="auto"/>
              <w:jc w:val="center"/>
              <w:rPr>
                <w:rFonts w:hint="eastAsia"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A5438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b/>
                <w:color w:val="auto"/>
                <w:sz w:val="24"/>
                <w:highlight w:val="none"/>
                <w:u w:val="single"/>
              </w:rPr>
              <w:t xml:space="preserve">    </w:t>
            </w:r>
            <w:r>
              <w:rPr>
                <w:rFonts w:hint="eastAsia" w:ascii="仿宋" w:eastAsia="仿宋"/>
                <w:caps w:val="0"/>
                <w:smallCaps w:val="0"/>
                <w:snapToGrid/>
                <w:vanish w:val="0"/>
                <w:color w:val="auto"/>
                <w:sz w:val="24"/>
                <w:szCs w:val="24"/>
                <w:highlight w:val="none"/>
                <w:u w:val="single"/>
                <w:vertAlign w:val="baseline"/>
              </w:rPr>
              <w:t>（否）</w:t>
            </w:r>
            <w:r>
              <w:rPr>
                <w:rFonts w:hint="eastAsia" w:ascii="仿宋" w:eastAsia="仿宋"/>
                <w:color w:val="auto"/>
                <w:sz w:val="24"/>
                <w:highlight w:val="none"/>
                <w:u w:val="single"/>
              </w:rPr>
              <w:t xml:space="preserve"> </w:t>
            </w:r>
            <w:r>
              <w:rPr>
                <w:rFonts w:hint="eastAsia" w:ascii="仿宋" w:eastAsia="仿宋"/>
                <w:b/>
                <w:color w:val="auto"/>
                <w:sz w:val="24"/>
                <w:highlight w:val="none"/>
                <w:u w:val="single"/>
              </w:rPr>
              <w:t xml:space="preserve">  </w:t>
            </w:r>
            <w:r>
              <w:rPr>
                <w:rFonts w:hint="eastAsia" w:ascii="仿宋" w:eastAsia="仿宋"/>
                <w:color w:val="auto"/>
                <w:sz w:val="24"/>
                <w:highlight w:val="none"/>
                <w:u w:val="single"/>
              </w:rPr>
              <w:t xml:space="preserve"> </w:t>
            </w:r>
            <w:r>
              <w:rPr>
                <w:rFonts w:hint="eastAsia" w:ascii="仿宋" w:eastAsia="仿宋"/>
                <w:b/>
                <w:color w:val="auto"/>
                <w:sz w:val="24"/>
                <w:highlight w:val="none"/>
                <w:u w:val="single"/>
              </w:rPr>
              <w:t xml:space="preserve">  </w:t>
            </w:r>
            <w:r>
              <w:rPr>
                <w:rFonts w:hint="eastAsia" w:ascii="仿宋" w:eastAsia="仿宋"/>
                <w:b/>
                <w:color w:val="auto"/>
                <w:sz w:val="24"/>
                <w:highlight w:val="none"/>
              </w:rPr>
              <w:t xml:space="preserve"> </w:t>
            </w:r>
          </w:p>
        </w:tc>
      </w:tr>
      <w:tr w14:paraId="70CF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DE6EAC">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582669A">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7754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9C66408">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3550986">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中标合同金额的</w:t>
            </w:r>
            <w:r>
              <w:rPr>
                <w:rFonts w:ascii="仿宋" w:eastAsia="仿宋"/>
                <w:color w:val="auto"/>
                <w:sz w:val="24"/>
                <w:highlight w:val="none"/>
                <w:u w:val="single"/>
              </w:rPr>
              <w:t>1</w:t>
            </w:r>
            <w:r>
              <w:rPr>
                <w:rFonts w:hint="eastAsia" w:ascii="仿宋" w:eastAsia="仿宋"/>
                <w:color w:val="auto"/>
                <w:sz w:val="24"/>
                <w:highlight w:val="none"/>
                <w:u w:val="single"/>
              </w:rPr>
              <w:t>%</w:t>
            </w:r>
            <w:r>
              <w:rPr>
                <w:rFonts w:hint="eastAsia" w:ascii="仿宋" w:eastAsia="仿宋"/>
                <w:caps w:val="0"/>
                <w:smallCaps w:val="0"/>
                <w:snapToGrid/>
                <w:vanish w:val="0"/>
                <w:color w:val="auto"/>
                <w:sz w:val="24"/>
                <w:szCs w:val="24"/>
                <w:highlight w:val="none"/>
                <w:u w:val="single"/>
                <w:vertAlign w:val="baseline"/>
              </w:rPr>
              <w:t>，</w:t>
            </w:r>
            <w:r>
              <w:rPr>
                <w:rFonts w:hint="eastAsia" w:ascii="仿宋" w:eastAsia="仿宋"/>
                <w:caps w:val="0"/>
                <w:smallCaps w:val="0"/>
                <w:snapToGrid/>
                <w:vanish w:val="0"/>
                <w:color w:val="auto"/>
                <w:sz w:val="24"/>
                <w:szCs w:val="24"/>
                <w:highlight w:val="none"/>
                <w:u w:val="single"/>
                <w:vertAlign w:val="baseline"/>
                <w:lang w:val="en-US" w:eastAsia="zh-CN"/>
              </w:rPr>
              <w:t>全部货物验收完成</w:t>
            </w:r>
            <w:r>
              <w:rPr>
                <w:rFonts w:hint="eastAsia" w:ascii="仿宋" w:eastAsia="仿宋"/>
                <w:color w:val="auto"/>
                <w:sz w:val="24"/>
                <w:highlight w:val="none"/>
                <w:u w:val="single"/>
                <w:lang w:val="en-US" w:eastAsia="zh-CN"/>
              </w:rPr>
              <w:t>后无息退还。</w:t>
            </w:r>
            <w:r>
              <w:rPr>
                <w:rFonts w:hint="eastAsia" w:ascii="仿宋" w:eastAsia="仿宋"/>
                <w:color w:val="auto"/>
                <w:sz w:val="24"/>
                <w:highlight w:val="none"/>
                <w:u w:val="single"/>
              </w:rPr>
              <w:t xml:space="preserve">    </w:t>
            </w:r>
          </w:p>
          <w:p w14:paraId="26CDBBD3">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1441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484D2AB">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50E5785">
            <w:pPr>
              <w:snapToGrid w:val="0"/>
              <w:jc w:val="left"/>
              <w:rPr>
                <w:rFonts w:hint="default" w:ascii="仿宋" w:eastAsia="仿宋"/>
                <w:color w:val="auto"/>
                <w:sz w:val="24"/>
                <w:highlight w:val="none"/>
                <w:lang w:val="en-US"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none"/>
              </w:rPr>
              <w:t xml:space="preserve"> 不允许</w:t>
            </w:r>
            <w:r>
              <w:rPr>
                <w:rFonts w:hint="eastAsia" w:ascii="仿宋" w:eastAsia="仿宋"/>
                <w:color w:val="auto"/>
                <w:sz w:val="24"/>
                <w:highlight w:val="none"/>
              </w:rPr>
              <w:t>转包。</w:t>
            </w:r>
          </w:p>
        </w:tc>
      </w:tr>
      <w:tr w14:paraId="1F68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2EF1325">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389381">
            <w:pPr>
              <w:snapToGrid w:val="0"/>
              <w:spacing w:line="360" w:lineRule="exact"/>
              <w:jc w:val="left"/>
              <w:rPr>
                <w:rFonts w:hint="eastAsia" w:ascii="仿宋" w:hAnsi="仿宋" w:eastAsia="仿宋" w:cs="仿宋"/>
                <w:color w:val="auto"/>
                <w:sz w:val="24"/>
                <w:szCs w:val="24"/>
                <w:highlight w:val="none"/>
                <w:shd w:val="clear" w:color="auto" w:fill="FFFFFF"/>
              </w:rPr>
            </w:pPr>
            <w:r>
              <w:rPr>
                <w:rFonts w:hint="eastAsia" w:ascii="仿宋" w:eastAsia="仿宋" w:cs="仿宋_GB2312"/>
                <w:b/>
                <w:bCs/>
                <w:color w:val="auto"/>
                <w:sz w:val="24"/>
                <w:highlight w:val="none"/>
              </w:rPr>
              <w:t>采购代理服务费：</w:t>
            </w:r>
            <w:r>
              <w:rPr>
                <w:rFonts w:hint="eastAsia" w:ascii="仿宋" w:eastAsia="仿宋" w:cs="仿宋_GB2312"/>
                <w:b/>
                <w:bCs/>
                <w:color w:val="auto"/>
                <w:sz w:val="24"/>
                <w:highlight w:val="none"/>
                <w:u w:val="single"/>
              </w:rPr>
              <w:t xml:space="preserve">  </w:t>
            </w:r>
            <w:r>
              <w:rPr>
                <w:rFonts w:hint="eastAsia" w:ascii="仿宋" w:hAnsi="仿宋" w:eastAsia="仿宋" w:cs="仿宋"/>
                <w:color w:val="auto"/>
                <w:sz w:val="24"/>
                <w:szCs w:val="24"/>
                <w:highlight w:val="none"/>
                <w:shd w:val="clear" w:color="auto" w:fill="FFFFFF"/>
              </w:rPr>
              <w:t>中标</w:t>
            </w:r>
            <w:r>
              <w:rPr>
                <w:rFonts w:hint="eastAsia" w:ascii="仿宋" w:hAnsi="仿宋" w:eastAsia="仿宋" w:cs="仿宋"/>
                <w:color w:val="auto"/>
                <w:sz w:val="24"/>
                <w:szCs w:val="24"/>
                <w:highlight w:val="none"/>
                <w:shd w:val="clear" w:color="auto" w:fill="FFFFFF"/>
                <w:lang w:val="en-US" w:eastAsia="zh-CN"/>
              </w:rPr>
              <w:t>人</w:t>
            </w:r>
            <w:r>
              <w:rPr>
                <w:rFonts w:hint="eastAsia" w:ascii="仿宋" w:hAnsi="仿宋" w:eastAsia="仿宋" w:cs="仿宋"/>
                <w:color w:val="auto"/>
                <w:sz w:val="24"/>
                <w:szCs w:val="24"/>
                <w:highlight w:val="none"/>
                <w:shd w:val="clear" w:color="auto" w:fill="FFFFFF"/>
              </w:rPr>
              <w:t>需支付以下费用，并在投标报价中自行考虑：</w:t>
            </w:r>
          </w:p>
          <w:p w14:paraId="41D76DD6">
            <w:pPr>
              <w:numPr>
                <w:ilvl w:val="0"/>
                <w:numId w:val="4"/>
              </w:numPr>
              <w:spacing w:line="360" w:lineRule="exact"/>
              <w:rPr>
                <w:rFonts w:hint="eastAsia" w:ascii="仿宋" w:hAnsi="仿宋" w:eastAsia="仿宋" w:cs="仿宋"/>
                <w:color w:val="auto"/>
                <w:sz w:val="24"/>
                <w:highlight w:val="none"/>
                <w:shd w:val="clear" w:color="auto" w:fill="FFFFFF"/>
              </w:rPr>
            </w:pPr>
            <w:bookmarkStart w:id="36" w:name="OLE_LINK5"/>
            <w:r>
              <w:rPr>
                <w:rFonts w:hint="eastAsia" w:ascii="仿宋" w:hAnsi="仿宋" w:eastAsia="仿宋" w:cs="仿宋"/>
                <w:b w:val="0"/>
                <w:bCs w:val="0"/>
                <w:color w:val="auto"/>
                <w:sz w:val="24"/>
                <w:highlight w:val="none"/>
              </w:rPr>
              <w:t>采购代理服务费</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以中标价为计费基数，按下表费率以差额定率累进法计算再</w:t>
            </w:r>
            <w:r>
              <w:rPr>
                <w:rFonts w:hint="eastAsia" w:ascii="仿宋" w:hAnsi="仿宋" w:eastAsia="仿宋" w:cs="仿宋"/>
                <w:color w:val="auto"/>
                <w:sz w:val="24"/>
                <w:highlight w:val="none"/>
                <w:shd w:val="clear" w:color="auto" w:fill="FFFFFF"/>
              </w:rPr>
              <w:t>×80%×</w:t>
            </w:r>
            <w:r>
              <w:rPr>
                <w:rFonts w:hint="eastAsia" w:ascii="仿宋" w:hAnsi="仿宋" w:eastAsia="仿宋" w:cs="仿宋"/>
                <w:color w:val="auto"/>
                <w:sz w:val="24"/>
                <w:highlight w:val="none"/>
                <w:shd w:val="clear" w:color="auto" w:fill="FFFFFF"/>
                <w:lang w:eastAsia="zh-CN"/>
              </w:rPr>
              <w:t>（</w:t>
            </w:r>
            <w:r>
              <w:rPr>
                <w:rFonts w:hint="eastAsia" w:ascii="仿宋" w:hAnsi="仿宋" w:eastAsia="仿宋" w:cs="仿宋"/>
                <w:color w:val="auto"/>
                <w:sz w:val="24"/>
                <w:highlight w:val="none"/>
                <w:shd w:val="clear" w:color="auto" w:fill="FFFFFF"/>
                <w:lang w:val="en-US" w:eastAsia="zh-CN"/>
              </w:rPr>
              <w:t>90.5%</w:t>
            </w:r>
            <w:r>
              <w:rPr>
                <w:rFonts w:hint="eastAsia" w:ascii="仿宋" w:hAnsi="仿宋" w:eastAsia="仿宋" w:cs="仿宋"/>
                <w:color w:val="auto"/>
                <w:sz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w:t>
            </w:r>
          </w:p>
          <w:tbl>
            <w:tblPr>
              <w:tblStyle w:val="29"/>
              <w:tblW w:w="5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0"/>
              <w:gridCol w:w="2426"/>
            </w:tblGrid>
            <w:tr w14:paraId="3D98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0" w:type="dxa"/>
                  <w:vAlign w:val="center"/>
                </w:tcPr>
                <w:p w14:paraId="426C0902">
                  <w:pPr>
                    <w:numPr>
                      <w:ilvl w:val="0"/>
                      <w:numId w:val="0"/>
                    </w:numPr>
                    <w:spacing w:line="360" w:lineRule="exact"/>
                    <w:jc w:val="center"/>
                    <w:rPr>
                      <w:rFonts w:hint="eastAsia" w:ascii="仿宋" w:hAnsi="仿宋" w:eastAsia="仿宋" w:cs="仿宋"/>
                      <w:color w:val="auto"/>
                      <w:sz w:val="24"/>
                      <w:highlight w:val="none"/>
                      <w:shd w:val="clear" w:color="auto" w:fill="FFFFFF"/>
                      <w:vertAlign w:val="baseline"/>
                      <w:lang w:val="en-US" w:eastAsia="zh-CN"/>
                    </w:rPr>
                  </w:pPr>
                  <w:r>
                    <w:rPr>
                      <w:rFonts w:hint="eastAsia" w:ascii="仿宋" w:hAnsi="仿宋" w:eastAsia="仿宋" w:cs="仿宋"/>
                      <w:color w:val="auto"/>
                      <w:sz w:val="24"/>
                      <w:highlight w:val="none"/>
                      <w:shd w:val="clear" w:color="auto" w:fill="FFFFFF"/>
                      <w:vertAlign w:val="baseline"/>
                      <w:lang w:val="en-US" w:eastAsia="zh-CN"/>
                    </w:rPr>
                    <w:t>中标金额（万元）</w:t>
                  </w:r>
                </w:p>
              </w:tc>
              <w:tc>
                <w:tcPr>
                  <w:tcW w:w="2426" w:type="dxa"/>
                  <w:vAlign w:val="center"/>
                </w:tcPr>
                <w:p w14:paraId="45280DF8">
                  <w:pPr>
                    <w:numPr>
                      <w:ilvl w:val="0"/>
                      <w:numId w:val="0"/>
                    </w:numPr>
                    <w:spacing w:line="360" w:lineRule="exact"/>
                    <w:jc w:val="center"/>
                    <w:rPr>
                      <w:rFonts w:hint="eastAsia" w:ascii="仿宋" w:hAnsi="仿宋" w:eastAsia="仿宋" w:cs="仿宋"/>
                      <w:color w:val="auto"/>
                      <w:sz w:val="24"/>
                      <w:highlight w:val="none"/>
                      <w:shd w:val="clear" w:color="auto" w:fill="FFFFFF"/>
                      <w:vertAlign w:val="baseline"/>
                      <w:lang w:val="en-US" w:eastAsia="zh-CN"/>
                    </w:rPr>
                  </w:pPr>
                  <w:r>
                    <w:rPr>
                      <w:rFonts w:hint="eastAsia" w:ascii="仿宋" w:hAnsi="仿宋" w:eastAsia="仿宋" w:cs="仿宋"/>
                      <w:color w:val="auto"/>
                      <w:sz w:val="24"/>
                      <w:highlight w:val="none"/>
                      <w:shd w:val="clear" w:color="auto" w:fill="FFFFFF"/>
                      <w:vertAlign w:val="baseline"/>
                      <w:lang w:val="en-US" w:eastAsia="zh-CN"/>
                    </w:rPr>
                    <w:t>收费费率</w:t>
                  </w:r>
                </w:p>
              </w:tc>
            </w:tr>
            <w:tr w14:paraId="588C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0" w:type="dxa"/>
                  <w:vAlign w:val="center"/>
                </w:tcPr>
                <w:p w14:paraId="3107672E">
                  <w:pPr>
                    <w:numPr>
                      <w:ilvl w:val="0"/>
                      <w:numId w:val="0"/>
                    </w:numPr>
                    <w:spacing w:line="360" w:lineRule="exact"/>
                    <w:jc w:val="center"/>
                    <w:rPr>
                      <w:rFonts w:hint="eastAsia" w:ascii="仿宋" w:hAnsi="仿宋" w:eastAsia="仿宋" w:cs="仿宋"/>
                      <w:color w:val="auto"/>
                      <w:sz w:val="24"/>
                      <w:highlight w:val="none"/>
                      <w:shd w:val="clear" w:color="auto" w:fill="FFFFFF"/>
                      <w:vertAlign w:val="baseline"/>
                      <w:lang w:val="en-US" w:eastAsia="zh-CN"/>
                    </w:rPr>
                  </w:pPr>
                  <w:r>
                    <w:rPr>
                      <w:rFonts w:hint="eastAsia" w:ascii="仿宋" w:hAnsi="仿宋" w:eastAsia="仿宋" w:cs="仿宋"/>
                      <w:color w:val="auto"/>
                      <w:sz w:val="24"/>
                      <w:highlight w:val="none"/>
                      <w:shd w:val="clear" w:color="auto" w:fill="FFFFFF"/>
                      <w:vertAlign w:val="baseline"/>
                      <w:lang w:val="en-US" w:eastAsia="zh-CN"/>
                    </w:rPr>
                    <w:t>100及以下部分</w:t>
                  </w:r>
                </w:p>
              </w:tc>
              <w:tc>
                <w:tcPr>
                  <w:tcW w:w="2426" w:type="dxa"/>
                  <w:vAlign w:val="center"/>
                </w:tcPr>
                <w:p w14:paraId="39B00288">
                  <w:pPr>
                    <w:numPr>
                      <w:ilvl w:val="0"/>
                      <w:numId w:val="0"/>
                    </w:numPr>
                    <w:spacing w:line="360" w:lineRule="exact"/>
                    <w:jc w:val="center"/>
                    <w:rPr>
                      <w:rFonts w:hint="eastAsia" w:ascii="仿宋" w:hAnsi="仿宋" w:eastAsia="仿宋" w:cs="仿宋"/>
                      <w:color w:val="auto"/>
                      <w:sz w:val="24"/>
                      <w:highlight w:val="none"/>
                      <w:shd w:val="clear" w:color="auto" w:fill="FFFFFF"/>
                      <w:vertAlign w:val="baseline"/>
                      <w:lang w:val="en-US" w:eastAsia="zh-CN"/>
                    </w:rPr>
                  </w:pPr>
                  <w:r>
                    <w:rPr>
                      <w:rFonts w:hint="eastAsia" w:ascii="仿宋" w:hAnsi="仿宋" w:eastAsia="仿宋" w:cs="仿宋"/>
                      <w:color w:val="auto"/>
                      <w:sz w:val="24"/>
                      <w:highlight w:val="none"/>
                      <w:shd w:val="clear" w:color="auto" w:fill="FFFFFF"/>
                      <w:vertAlign w:val="baseline"/>
                      <w:lang w:val="en-US" w:eastAsia="zh-CN"/>
                    </w:rPr>
                    <w:t>1.5%</w:t>
                  </w:r>
                </w:p>
              </w:tc>
            </w:tr>
            <w:tr w14:paraId="0A3A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0" w:type="dxa"/>
                  <w:vAlign w:val="center"/>
                </w:tcPr>
                <w:p w14:paraId="0555FB1F">
                  <w:pPr>
                    <w:numPr>
                      <w:ilvl w:val="0"/>
                      <w:numId w:val="0"/>
                    </w:numPr>
                    <w:spacing w:line="360" w:lineRule="exact"/>
                    <w:jc w:val="center"/>
                    <w:rPr>
                      <w:rFonts w:hint="eastAsia" w:ascii="仿宋" w:hAnsi="仿宋" w:eastAsia="仿宋" w:cs="仿宋"/>
                      <w:color w:val="auto"/>
                      <w:sz w:val="24"/>
                      <w:highlight w:val="none"/>
                      <w:shd w:val="clear" w:color="auto" w:fill="FFFFFF"/>
                      <w:vertAlign w:val="baseline"/>
                      <w:lang w:val="en-US" w:eastAsia="zh-CN"/>
                    </w:rPr>
                  </w:pPr>
                  <w:r>
                    <w:rPr>
                      <w:rFonts w:hint="eastAsia" w:ascii="仿宋" w:hAnsi="仿宋" w:eastAsia="仿宋" w:cs="仿宋"/>
                      <w:color w:val="auto"/>
                      <w:sz w:val="24"/>
                      <w:highlight w:val="none"/>
                      <w:shd w:val="clear" w:color="auto" w:fill="FFFFFF"/>
                      <w:vertAlign w:val="baseline"/>
                      <w:lang w:val="en-US" w:eastAsia="zh-CN"/>
                    </w:rPr>
                    <w:t>100-500部分</w:t>
                  </w:r>
                </w:p>
              </w:tc>
              <w:tc>
                <w:tcPr>
                  <w:tcW w:w="2426" w:type="dxa"/>
                  <w:vAlign w:val="center"/>
                </w:tcPr>
                <w:p w14:paraId="14BE6D48">
                  <w:pPr>
                    <w:numPr>
                      <w:ilvl w:val="0"/>
                      <w:numId w:val="0"/>
                    </w:numPr>
                    <w:spacing w:line="360" w:lineRule="exact"/>
                    <w:jc w:val="center"/>
                    <w:rPr>
                      <w:rFonts w:hint="eastAsia" w:ascii="仿宋" w:hAnsi="仿宋" w:eastAsia="仿宋" w:cs="仿宋"/>
                      <w:color w:val="auto"/>
                      <w:sz w:val="24"/>
                      <w:highlight w:val="none"/>
                      <w:shd w:val="clear" w:color="auto" w:fill="FFFFFF"/>
                      <w:vertAlign w:val="baseline"/>
                      <w:lang w:val="en-US" w:eastAsia="zh-CN"/>
                    </w:rPr>
                  </w:pPr>
                  <w:r>
                    <w:rPr>
                      <w:rFonts w:hint="eastAsia" w:ascii="仿宋" w:hAnsi="仿宋" w:eastAsia="仿宋" w:cs="仿宋"/>
                      <w:color w:val="auto"/>
                      <w:sz w:val="24"/>
                      <w:highlight w:val="none"/>
                      <w:shd w:val="clear" w:color="auto" w:fill="FFFFFF"/>
                      <w:vertAlign w:val="baseline"/>
                      <w:lang w:val="en-US" w:eastAsia="zh-CN"/>
                    </w:rPr>
                    <w:t>1.1%</w:t>
                  </w:r>
                </w:p>
              </w:tc>
            </w:tr>
            <w:tr w14:paraId="475F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10" w:type="dxa"/>
                  <w:vAlign w:val="center"/>
                </w:tcPr>
                <w:p w14:paraId="0442EBF1">
                  <w:pPr>
                    <w:numPr>
                      <w:ilvl w:val="0"/>
                      <w:numId w:val="0"/>
                    </w:numPr>
                    <w:spacing w:line="360" w:lineRule="exact"/>
                    <w:jc w:val="center"/>
                    <w:rPr>
                      <w:rFonts w:hint="default" w:ascii="仿宋" w:hAnsi="仿宋" w:eastAsia="仿宋" w:cs="仿宋"/>
                      <w:color w:val="auto"/>
                      <w:sz w:val="24"/>
                      <w:highlight w:val="none"/>
                      <w:shd w:val="clear" w:color="auto" w:fill="FFFFFF"/>
                      <w:vertAlign w:val="baseline"/>
                      <w:lang w:val="en-US" w:eastAsia="zh-CN"/>
                    </w:rPr>
                  </w:pPr>
                  <w:r>
                    <w:rPr>
                      <w:rFonts w:hint="eastAsia" w:ascii="仿宋" w:hAnsi="仿宋" w:eastAsia="仿宋" w:cs="仿宋"/>
                      <w:color w:val="auto"/>
                      <w:sz w:val="24"/>
                      <w:highlight w:val="none"/>
                      <w:shd w:val="clear" w:color="auto" w:fill="FFFFFF"/>
                      <w:vertAlign w:val="baseline"/>
                      <w:lang w:val="en-US" w:eastAsia="zh-CN"/>
                    </w:rPr>
                    <w:t>500-1000</w:t>
                  </w:r>
                </w:p>
              </w:tc>
              <w:tc>
                <w:tcPr>
                  <w:tcW w:w="2426" w:type="dxa"/>
                  <w:vAlign w:val="center"/>
                </w:tcPr>
                <w:p w14:paraId="6320D1C4">
                  <w:pPr>
                    <w:numPr>
                      <w:ilvl w:val="0"/>
                      <w:numId w:val="0"/>
                    </w:numPr>
                    <w:spacing w:line="360" w:lineRule="exact"/>
                    <w:jc w:val="center"/>
                    <w:rPr>
                      <w:rFonts w:hint="default" w:ascii="仿宋" w:hAnsi="仿宋" w:eastAsia="仿宋" w:cs="仿宋"/>
                      <w:color w:val="auto"/>
                      <w:sz w:val="24"/>
                      <w:highlight w:val="none"/>
                      <w:shd w:val="clear" w:color="auto" w:fill="FFFFFF"/>
                      <w:vertAlign w:val="baseline"/>
                      <w:lang w:val="en-US" w:eastAsia="zh-CN"/>
                    </w:rPr>
                  </w:pPr>
                  <w:r>
                    <w:rPr>
                      <w:rFonts w:hint="eastAsia" w:ascii="仿宋" w:hAnsi="仿宋" w:eastAsia="仿宋" w:cs="仿宋"/>
                      <w:color w:val="auto"/>
                      <w:sz w:val="24"/>
                      <w:highlight w:val="none"/>
                      <w:shd w:val="clear" w:color="auto" w:fill="FFFFFF"/>
                      <w:vertAlign w:val="baseline"/>
                      <w:lang w:val="en-US" w:eastAsia="zh-CN"/>
                    </w:rPr>
                    <w:t>0.8%</w:t>
                  </w:r>
                </w:p>
              </w:tc>
            </w:tr>
            <w:bookmarkEnd w:id="36"/>
          </w:tbl>
          <w:p w14:paraId="5E538032">
            <w:pPr>
              <w:spacing w:line="500" w:lineRule="exact"/>
              <w:jc w:val="left"/>
              <w:rPr>
                <w:rFonts w:hint="eastAsia" w:ascii="仿宋" w:eastAsia="仿宋" w:cs="仿宋_GB2312"/>
                <w:color w:val="auto"/>
                <w:sz w:val="24"/>
                <w:highlight w:val="none"/>
              </w:rPr>
            </w:pPr>
            <w:r>
              <w:rPr>
                <w:rFonts w:hint="eastAsia" w:ascii="仿宋" w:hAnsi="仿宋" w:eastAsia="仿宋" w:cs="仿宋"/>
                <w:color w:val="auto"/>
                <w:sz w:val="24"/>
                <w:szCs w:val="24"/>
                <w:highlight w:val="none"/>
                <w:shd w:val="clear" w:color="auto" w:fill="FFFFFF"/>
              </w:rPr>
              <w:t>（2）招标代理服务费的交纳方式：用银行支票、汇票、电汇、现金等付款方式直接交纳中标服务费。</w:t>
            </w:r>
          </w:p>
        </w:tc>
      </w:tr>
      <w:tr w14:paraId="49AA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39ADC50">
            <w:pPr>
              <w:spacing w:line="340" w:lineRule="exact"/>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15FB283">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本项目采购标的（货物部分）所属行业：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8"/>
              <w:gridCol w:w="2367"/>
            </w:tblGrid>
            <w:tr w14:paraId="3752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6F25CCEA">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采购标的名称</w:t>
                  </w:r>
                </w:p>
              </w:tc>
              <w:tc>
                <w:tcPr>
                  <w:tcW w:w="2367" w:type="dxa"/>
                  <w:noWrap w:val="0"/>
                  <w:vAlign w:val="center"/>
                </w:tcPr>
                <w:p w14:paraId="320381D4">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所属行业</w:t>
                  </w:r>
                </w:p>
              </w:tc>
            </w:tr>
            <w:tr w14:paraId="17DD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10FF05DE">
                  <w:pPr>
                    <w:spacing w:before="100" w:beforeAutospacing="1" w:after="100" w:afterAutospacing="1"/>
                    <w:jc w:val="center"/>
                    <w:rPr>
                      <w:rFonts w:hint="eastAsia" w:ascii="仿宋" w:hAnsi="仿宋" w:eastAsia="仿宋" w:cs="仿宋"/>
                      <w:color w:val="auto"/>
                      <w:sz w:val="24"/>
                      <w:szCs w:val="24"/>
                      <w:highlight w:val="none"/>
                      <w:shd w:val="clear" w:color="auto" w:fill="FFFFFF"/>
                    </w:rPr>
                  </w:pPr>
                  <w:r>
                    <w:rPr>
                      <w:rFonts w:hint="eastAsia" w:ascii="仿宋" w:eastAsia="仿宋" w:cs="仿宋"/>
                      <w:color w:val="auto"/>
                      <w:sz w:val="24"/>
                      <w:highlight w:val="none"/>
                      <w:lang w:bidi="th-TH"/>
                    </w:rPr>
                    <w:t>VOCs飞行时间质谱仪</w:t>
                  </w:r>
                  <w:r>
                    <w:rPr>
                      <w:rFonts w:hint="eastAsia" w:ascii="仿宋" w:eastAsia="仿宋" w:cs="仿宋"/>
                      <w:color w:val="auto"/>
                      <w:sz w:val="24"/>
                      <w:highlight w:val="none"/>
                      <w:lang w:eastAsia="zh-CN" w:bidi="th-TH"/>
                    </w:rPr>
                    <w:t>（</w:t>
                  </w:r>
                  <w:r>
                    <w:rPr>
                      <w:rFonts w:hint="eastAsia" w:ascii="仿宋" w:eastAsia="仿宋" w:cs="仿宋"/>
                      <w:color w:val="auto"/>
                      <w:sz w:val="24"/>
                      <w:highlight w:val="none"/>
                      <w:lang w:val="en-US" w:eastAsia="zh-CN" w:bidi="th-TH"/>
                    </w:rPr>
                    <w:t>核心产品</w:t>
                  </w:r>
                  <w:r>
                    <w:rPr>
                      <w:rFonts w:hint="eastAsia" w:ascii="仿宋" w:eastAsia="仿宋" w:cs="仿宋"/>
                      <w:color w:val="auto"/>
                      <w:sz w:val="24"/>
                      <w:highlight w:val="none"/>
                      <w:lang w:eastAsia="zh-CN" w:bidi="th-TH"/>
                    </w:rPr>
                    <w:t>）</w:t>
                  </w:r>
                </w:p>
              </w:tc>
              <w:tc>
                <w:tcPr>
                  <w:tcW w:w="2367" w:type="dxa"/>
                  <w:noWrap w:val="0"/>
                  <w:vAlign w:val="center"/>
                </w:tcPr>
                <w:p w14:paraId="07CD2EF1">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r w14:paraId="7FF4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7F9F5FC1">
                  <w:pPr>
                    <w:spacing w:before="100" w:beforeAutospacing="1" w:after="100" w:afterAutospacing="1"/>
                    <w:jc w:val="center"/>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highlight w:val="none"/>
                      <w:lang w:val="en-US" w:eastAsia="zh-CN" w:bidi="th-TH"/>
                    </w:rPr>
                    <w:t>颗粒物监测仪（PM2.5）</w:t>
                  </w:r>
                </w:p>
              </w:tc>
              <w:tc>
                <w:tcPr>
                  <w:tcW w:w="2367" w:type="dxa"/>
                  <w:noWrap w:val="0"/>
                  <w:vAlign w:val="center"/>
                </w:tcPr>
                <w:p w14:paraId="4AC956BE">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r w14:paraId="6716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4E899209">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颗粒物监测仪（PM10）</w:t>
                  </w:r>
                </w:p>
              </w:tc>
              <w:tc>
                <w:tcPr>
                  <w:tcW w:w="2367" w:type="dxa"/>
                  <w:noWrap w:val="0"/>
                  <w:vAlign w:val="center"/>
                </w:tcPr>
                <w:p w14:paraId="56093529">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r w14:paraId="1BB1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4E1EC1F2">
                  <w:pPr>
                    <w:spacing w:before="100" w:beforeAutospacing="1" w:after="100" w:afterAutospacing="1"/>
                    <w:jc w:val="center"/>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highlight w:val="none"/>
                      <w:lang w:val="en-US" w:eastAsia="zh-CN" w:bidi="th-TH"/>
                    </w:rPr>
                    <w:t>氮氧化物监测仪</w:t>
                  </w:r>
                </w:p>
              </w:tc>
              <w:tc>
                <w:tcPr>
                  <w:tcW w:w="2367" w:type="dxa"/>
                  <w:noWrap w:val="0"/>
                  <w:vAlign w:val="center"/>
                </w:tcPr>
                <w:p w14:paraId="7742EEF9">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r w14:paraId="3305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47566D85">
                  <w:pPr>
                    <w:spacing w:before="100" w:beforeAutospacing="1" w:after="100" w:afterAutospacing="1"/>
                    <w:jc w:val="center"/>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highlight w:val="none"/>
                      <w:lang w:val="en-US" w:eastAsia="zh-CN" w:bidi="th-TH"/>
                    </w:rPr>
                    <w:t>臭氧监测仪</w:t>
                  </w:r>
                </w:p>
              </w:tc>
              <w:tc>
                <w:tcPr>
                  <w:tcW w:w="2367" w:type="dxa"/>
                  <w:noWrap w:val="0"/>
                  <w:vAlign w:val="center"/>
                </w:tcPr>
                <w:p w14:paraId="42A98FBC">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r w14:paraId="28C6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405F233E">
                  <w:pPr>
                    <w:spacing w:before="100" w:beforeAutospacing="1" w:after="100" w:afterAutospacing="1"/>
                    <w:jc w:val="center"/>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highlight w:val="none"/>
                      <w:lang w:val="en-US" w:eastAsia="zh-CN" w:bidi="th-TH"/>
                    </w:rPr>
                    <w:t>二氧化硫监测仪</w:t>
                  </w:r>
                </w:p>
              </w:tc>
              <w:tc>
                <w:tcPr>
                  <w:tcW w:w="2367" w:type="dxa"/>
                  <w:noWrap w:val="0"/>
                  <w:vAlign w:val="center"/>
                </w:tcPr>
                <w:p w14:paraId="770E229C">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r w14:paraId="0D6C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0381C7F0">
                  <w:pPr>
                    <w:spacing w:before="100" w:beforeAutospacing="1" w:after="100" w:afterAutospacing="1"/>
                    <w:jc w:val="center"/>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highlight w:val="none"/>
                      <w:lang w:val="en-US" w:eastAsia="zh-CN" w:bidi="th-TH"/>
                    </w:rPr>
                    <w:t>一氧化碳监测仪</w:t>
                  </w:r>
                </w:p>
              </w:tc>
              <w:tc>
                <w:tcPr>
                  <w:tcW w:w="2367" w:type="dxa"/>
                  <w:noWrap w:val="0"/>
                  <w:vAlign w:val="center"/>
                </w:tcPr>
                <w:p w14:paraId="380CC320">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r w14:paraId="6998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4A1155D8">
                  <w:pPr>
                    <w:spacing w:before="100" w:beforeAutospacing="1" w:after="100" w:afterAutospacing="1"/>
                    <w:jc w:val="center"/>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highlight w:val="none"/>
                      <w:lang w:val="en-US" w:eastAsia="zh-CN" w:bidi="th-TH"/>
                    </w:rPr>
                    <w:t>多元气体校准仪</w:t>
                  </w:r>
                </w:p>
              </w:tc>
              <w:tc>
                <w:tcPr>
                  <w:tcW w:w="2367" w:type="dxa"/>
                  <w:noWrap w:val="0"/>
                  <w:vAlign w:val="center"/>
                </w:tcPr>
                <w:p w14:paraId="44F8304E">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r w14:paraId="762D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100B389A">
                  <w:pPr>
                    <w:spacing w:before="100" w:beforeAutospacing="1" w:after="100" w:afterAutospacing="1"/>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highlight w:val="none"/>
                      <w:lang w:bidi="th-TH"/>
                    </w:rPr>
                    <w:t>车载监控摄像云台</w:t>
                  </w:r>
                </w:p>
              </w:tc>
              <w:tc>
                <w:tcPr>
                  <w:tcW w:w="2367" w:type="dxa"/>
                  <w:noWrap w:val="0"/>
                  <w:vAlign w:val="center"/>
                </w:tcPr>
                <w:p w14:paraId="68AF14A6">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r w14:paraId="648B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100E75A0">
                  <w:pPr>
                    <w:spacing w:before="100" w:beforeAutospacing="1" w:after="100" w:afterAutospacing="1"/>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highlight w:val="none"/>
                      <w:lang w:bidi="th-TH"/>
                    </w:rPr>
                    <w:t>无人机</w:t>
                  </w:r>
                  <w:r>
                    <w:rPr>
                      <w:rFonts w:hint="eastAsia" w:ascii="仿宋" w:hAnsi="仿宋" w:eastAsia="仿宋" w:cs="仿宋"/>
                      <w:color w:val="auto"/>
                      <w:sz w:val="24"/>
                      <w:highlight w:val="none"/>
                      <w:lang w:val="en-US" w:eastAsia="zh-CN" w:bidi="th-TH"/>
                    </w:rPr>
                    <w:t>及配套设备</w:t>
                  </w:r>
                </w:p>
              </w:tc>
              <w:tc>
                <w:tcPr>
                  <w:tcW w:w="2367" w:type="dxa"/>
                  <w:noWrap w:val="0"/>
                  <w:vAlign w:val="center"/>
                </w:tcPr>
                <w:p w14:paraId="7B136B2E">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r w14:paraId="7764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34E7FA75">
                  <w:pPr>
                    <w:spacing w:before="100" w:beforeAutospacing="1" w:after="100" w:afterAutospacing="1"/>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highlight w:val="none"/>
                      <w:lang w:bidi="th-TH"/>
                    </w:rPr>
                    <w:t>车载自动气象监测站</w:t>
                  </w:r>
                </w:p>
              </w:tc>
              <w:tc>
                <w:tcPr>
                  <w:tcW w:w="2367" w:type="dxa"/>
                  <w:noWrap w:val="0"/>
                  <w:vAlign w:val="center"/>
                </w:tcPr>
                <w:p w14:paraId="119B6562">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r w14:paraId="549A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8" w:type="dxa"/>
                  <w:noWrap w:val="0"/>
                  <w:vAlign w:val="center"/>
                </w:tcPr>
                <w:p w14:paraId="1A838EC8">
                  <w:pPr>
                    <w:spacing w:before="100" w:beforeAutospacing="1" w:after="100" w:afterAutospacing="1"/>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highlight w:val="none"/>
                      <w:lang w:bidi="th-TH"/>
                    </w:rPr>
                    <w:t>车载移动空气监测</w:t>
                  </w:r>
                  <w:r>
                    <w:rPr>
                      <w:rFonts w:hint="eastAsia" w:ascii="仿宋" w:hAnsi="仿宋" w:eastAsia="仿宋" w:cs="仿宋"/>
                      <w:color w:val="auto"/>
                      <w:sz w:val="24"/>
                      <w:highlight w:val="none"/>
                      <w:lang w:val="en-US" w:eastAsia="zh-CN" w:bidi="th-TH"/>
                    </w:rPr>
                    <w:t>站</w:t>
                  </w:r>
                </w:p>
              </w:tc>
              <w:tc>
                <w:tcPr>
                  <w:tcW w:w="2367" w:type="dxa"/>
                  <w:noWrap w:val="0"/>
                  <w:vAlign w:val="center"/>
                </w:tcPr>
                <w:p w14:paraId="5C7E7CDF">
                  <w:pPr>
                    <w:spacing w:line="500" w:lineRule="exact"/>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工业</w:t>
                  </w:r>
                </w:p>
              </w:tc>
            </w:tr>
          </w:tbl>
          <w:p w14:paraId="1C5DEDD5">
            <w:pPr>
              <w:spacing w:line="500" w:lineRule="exact"/>
              <w:jc w:val="left"/>
              <w:rPr>
                <w:rFonts w:ascii="仿宋" w:eastAsia="仿宋" w:cs="仿宋_GB2312"/>
                <w:b/>
                <w:bCs/>
                <w:color w:val="auto"/>
                <w:sz w:val="24"/>
                <w:highlight w:val="none"/>
              </w:rPr>
            </w:pPr>
          </w:p>
        </w:tc>
      </w:tr>
    </w:tbl>
    <w:p w14:paraId="7ED134E8">
      <w:pPr>
        <w:ind w:left="238"/>
        <w:jc w:val="center"/>
        <w:rPr>
          <w:rFonts w:hint="eastAsia" w:ascii="仿宋" w:eastAsia="仿宋"/>
          <w:color w:val="auto"/>
          <w:sz w:val="24"/>
          <w:highlight w:val="none"/>
        </w:rPr>
      </w:pPr>
    </w:p>
    <w:p w14:paraId="784165E8">
      <w:pPr>
        <w:pStyle w:val="4"/>
        <w:spacing w:line="415" w:lineRule="auto"/>
        <w:jc w:val="center"/>
        <w:rPr>
          <w:rFonts w:hint="eastAsia" w:ascii="仿宋"/>
          <w:color w:val="auto"/>
          <w:highlight w:val="none"/>
        </w:rPr>
      </w:pPr>
      <w:bookmarkStart w:id="37" w:name="_Toc27758"/>
      <w:r>
        <w:rPr>
          <w:rFonts w:hint="eastAsia" w:ascii="仿宋"/>
          <w:color w:val="auto"/>
          <w:highlight w:val="none"/>
        </w:rPr>
        <w:t>二、采购文件</w:t>
      </w:r>
      <w:bookmarkEnd w:id="37"/>
    </w:p>
    <w:p w14:paraId="011FDDE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575AA60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6F4089C8">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1D213547">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20FB2D5E">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w:t>
      </w:r>
      <w:r>
        <w:rPr>
          <w:rFonts w:ascii="仿宋" w:eastAsia="仿宋" w:cs="仿宋_GB2312"/>
          <w:color w:val="auto"/>
          <w:sz w:val="24"/>
          <w:highlight w:val="none"/>
        </w:rPr>
        <w:t>国企</w:t>
      </w:r>
      <w:r>
        <w:rPr>
          <w:rFonts w:hint="eastAsia" w:ascii="仿宋" w:eastAsia="仿宋" w:cs="仿宋_GB2312"/>
          <w:color w:val="auto"/>
          <w:sz w:val="24"/>
          <w:highlight w:val="none"/>
        </w:rPr>
        <w:t>采购项目的采购代理机构为社会中介代理机构。采购代理机构按照与采购人的采购代理合同约定行使采购活动组织等事宜。</w:t>
      </w:r>
    </w:p>
    <w:p w14:paraId="7F6B649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28F3E3E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2D748EC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3F40F7A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494AB8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285BA82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4BAB892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5EE1DBC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75D8BA6">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48D571A8">
      <w:pPr>
        <w:snapToGrid w:val="0"/>
        <w:spacing w:line="440" w:lineRule="exact"/>
        <w:jc w:val="left"/>
        <w:rPr>
          <w:rFonts w:ascii="仿宋" w:eastAsia="仿宋"/>
          <w:color w:val="auto"/>
          <w:sz w:val="24"/>
          <w:highlight w:val="none"/>
        </w:rPr>
      </w:pPr>
      <w:r>
        <w:rPr>
          <w:rFonts w:ascii="仿宋" w:eastAsia="仿宋"/>
          <w:b/>
          <w:bCs/>
          <w:color w:val="auto"/>
          <w:sz w:val="24"/>
          <w:highlight w:val="none"/>
        </w:rPr>
        <w:t>3.1采购本国产品</w:t>
      </w:r>
    </w:p>
    <w:p w14:paraId="02DFB9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left="0" w:right="0" w:firstLine="482" w:firstLineChars="200"/>
        <w:contextualSpacing w:val="0"/>
        <w:jc w:val="left"/>
        <w:textAlignment w:val="auto"/>
        <w:outlineLvl w:val="9"/>
        <w:rPr>
          <w:rFonts w:hint="eastAsia" w:ascii="仿宋" w:eastAsia="仿宋"/>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除采购文件明确允许采购进口产品外，应当提供本国生产的产品，否则作无效投标处理。</w:t>
      </w:r>
      <w:r>
        <w:rPr>
          <w:rFonts w:hint="eastAsia" w:ascii="仿宋" w:eastAsia="仿宋"/>
          <w:caps w:val="0"/>
          <w:smallCaps w:val="0"/>
          <w:vanish w:val="0"/>
          <w:color w:val="auto"/>
          <w:sz w:val="24"/>
          <w:szCs w:val="24"/>
          <w:highlight w:val="none"/>
          <w:vertAlign w:val="baseline"/>
        </w:rPr>
        <w:t>采购进口产品的，不得限制潜在国产的同类产品参与投标。</w:t>
      </w:r>
    </w:p>
    <w:p w14:paraId="5DCA4A32">
      <w:pPr>
        <w:snapToGrid w:val="0"/>
        <w:spacing w:line="440" w:lineRule="exact"/>
        <w:jc w:val="left"/>
        <w:rPr>
          <w:rFonts w:ascii="仿宋" w:eastAsia="仿宋"/>
          <w:color w:val="auto"/>
          <w:sz w:val="24"/>
          <w:highlight w:val="none"/>
        </w:rPr>
      </w:pPr>
      <w:r>
        <w:rPr>
          <w:rFonts w:ascii="仿宋" w:eastAsia="仿宋"/>
          <w:b/>
          <w:bCs/>
          <w:color w:val="auto"/>
          <w:sz w:val="24"/>
          <w:highlight w:val="none"/>
        </w:rPr>
        <w:t>3.</w:t>
      </w:r>
      <w:r>
        <w:rPr>
          <w:rFonts w:hint="eastAsia" w:ascii="仿宋" w:eastAsia="仿宋"/>
          <w:b/>
          <w:bCs/>
          <w:color w:val="auto"/>
          <w:sz w:val="24"/>
          <w:highlight w:val="none"/>
          <w:lang w:val="en-US" w:eastAsia="zh-CN"/>
        </w:rPr>
        <w:t>2</w:t>
      </w:r>
      <w:r>
        <w:rPr>
          <w:rFonts w:ascii="仿宋" w:eastAsia="仿宋"/>
          <w:b/>
          <w:bCs/>
          <w:color w:val="auto"/>
          <w:sz w:val="24"/>
          <w:highlight w:val="none"/>
        </w:rPr>
        <w:t>扶持中小企业</w:t>
      </w:r>
    </w:p>
    <w:p w14:paraId="380A6E5A">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本项目参照</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货物</w:t>
      </w:r>
      <w:r>
        <w:rPr>
          <w:rFonts w:hint="eastAsia" w:ascii="仿宋" w:eastAsia="仿宋" w:cs="仿宋_GB2312"/>
          <w:b w:val="0"/>
          <w:bCs w:val="0"/>
          <w:color w:val="auto"/>
          <w:sz w:val="24"/>
          <w:highlight w:val="none"/>
          <w:lang w:eastAsia="zh-CN"/>
        </w:rPr>
        <w:t>部分（不含服务部分，详见前附表）全部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企业制造</w:t>
      </w:r>
      <w:r>
        <w:rPr>
          <w:rFonts w:hint="eastAsia" w:ascii="仿宋" w:eastAsia="仿宋" w:cs="仿宋_GB2312"/>
          <w:b w:val="0"/>
          <w:bCs w:val="0"/>
          <w:color w:val="auto"/>
          <w:sz w:val="24"/>
          <w:highlight w:val="none"/>
          <w:lang w:eastAsia="zh-CN"/>
        </w:rPr>
        <w:t>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14:paraId="249A5F29">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提供的全部货物为小微企业制造，</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14:paraId="2D6242C4">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填写所提供货物制造商的小微企业相关信息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14:paraId="56F14522">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0A819DD6">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14:paraId="3458DF28">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51ACFCD4">
      <w:pPr>
        <w:pStyle w:val="8"/>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w:t>
      </w:r>
      <w:r>
        <w:rPr>
          <w:rFonts w:hint="eastAsia" w:ascii="仿宋" w:eastAsia="仿宋"/>
          <w:color w:val="auto"/>
          <w:highlight w:val="none"/>
          <w:lang w:eastAsia="zh-CN"/>
        </w:rPr>
        <w:t>乐采云平台</w:t>
      </w:r>
      <w:r>
        <w:rPr>
          <w:rFonts w:hint="eastAsia" w:ascii="仿宋" w:eastAsia="仿宋"/>
          <w:color w:val="auto"/>
          <w:highlight w:val="none"/>
        </w:rPr>
        <w:t>下载。</w:t>
      </w:r>
    </w:p>
    <w:p w14:paraId="0E893BB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3D870726">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5F6B8AB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6FF4FD0D">
      <w:pPr>
        <w:pStyle w:val="4"/>
        <w:spacing w:line="415" w:lineRule="auto"/>
        <w:jc w:val="center"/>
        <w:rPr>
          <w:rFonts w:hint="eastAsia" w:ascii="仿宋"/>
          <w:color w:val="auto"/>
          <w:highlight w:val="none"/>
        </w:rPr>
      </w:pPr>
      <w:bookmarkStart w:id="38" w:name="_Toc30368"/>
      <w:r>
        <w:rPr>
          <w:rFonts w:hint="eastAsia" w:ascii="仿宋"/>
          <w:color w:val="auto"/>
          <w:highlight w:val="none"/>
        </w:rPr>
        <w:t>三、投标文件</w:t>
      </w:r>
      <w:bookmarkEnd w:id="38"/>
    </w:p>
    <w:p w14:paraId="70F9377B">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w:t>
      </w:r>
    </w:p>
    <w:p w14:paraId="6E9A26C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344051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3B473F39">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14:paraId="01C9BB3A">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7EE15F80">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710C72C5">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61BFD7BF">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434161E8">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6EA4FC1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73D22735">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20EBF21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 xml:space="preserve"> 资格条件证明材料：</w:t>
      </w:r>
    </w:p>
    <w:p w14:paraId="618A35C1">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3C78ECDA">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7D0746A1">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6835EEF2">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06EA1C9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4D77C03F">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w:t>
      </w:r>
      <w:r>
        <w:rPr>
          <w:rFonts w:hint="eastAsia" w:ascii="仿宋" w:eastAsia="仿宋"/>
          <w:color w:val="auto"/>
          <w:sz w:val="24"/>
          <w:highlight w:val="none"/>
        </w:rPr>
        <w:t>）；</w:t>
      </w:r>
    </w:p>
    <w:p w14:paraId="4E963169">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70647FC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14017ED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32DF26B3">
      <w:pPr>
        <w:pStyle w:val="40"/>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2.2.6消耗品、维修零配件及其价格清单（</w:t>
      </w:r>
      <w:r>
        <w:rPr>
          <w:rFonts w:hint="eastAsia" w:ascii="仿宋" w:eastAsia="仿宋" w:cs="仿宋_GB2312"/>
          <w:color w:val="auto"/>
          <w:szCs w:val="20"/>
          <w:highlight w:val="none"/>
          <w:lang w:val="en-US" w:eastAsia="zh-CN"/>
        </w:rPr>
        <w:t>如有</w:t>
      </w:r>
      <w:r>
        <w:rPr>
          <w:rFonts w:hint="eastAsia" w:ascii="仿宋" w:eastAsia="仿宋" w:cs="仿宋_GB2312"/>
          <w:color w:val="auto"/>
          <w:szCs w:val="20"/>
          <w:highlight w:val="none"/>
          <w:lang w:val="zh-CN"/>
        </w:rPr>
        <w:t>）；</w:t>
      </w:r>
    </w:p>
    <w:p w14:paraId="337E903B">
      <w:pPr>
        <w:pStyle w:val="40"/>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w:t>
      </w:r>
      <w:r>
        <w:rPr>
          <w:rFonts w:hint="eastAsia" w:ascii="仿宋" w:eastAsia="仿宋" w:cs="仿宋_GB2312"/>
          <w:color w:val="auto"/>
          <w:szCs w:val="20"/>
          <w:highlight w:val="none"/>
          <w:lang w:val="en-US" w:eastAsia="zh-CN"/>
        </w:rPr>
        <w:t>7</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657E12B9">
      <w:pPr>
        <w:pStyle w:val="40"/>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zh-CN" w:eastAsia="zh"/>
          <w:woUserID w:val="1"/>
        </w:rPr>
        <w:t>8</w:t>
      </w:r>
      <w:r>
        <w:rPr>
          <w:rFonts w:hint="eastAsia" w:ascii="仿宋" w:eastAsia="仿宋" w:cs="仿宋_GB2312"/>
          <w:color w:val="auto"/>
          <w:szCs w:val="20"/>
          <w:highlight w:val="none"/>
          <w:lang w:val="zh-CN"/>
        </w:rPr>
        <w:t>优惠条件及其他额外承诺；</w:t>
      </w:r>
    </w:p>
    <w:p w14:paraId="38B461AE">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hint="eastAsia" w:ascii="仿宋" w:eastAsia="仿宋" w:cs="仿宋_GB2312"/>
          <w:b/>
          <w:bCs/>
          <w:color w:val="auto"/>
          <w:kern w:val="0"/>
          <w:sz w:val="24"/>
          <w:highlight w:val="none"/>
          <w:lang w:val="zh-CN" w:eastAsia="zh"/>
          <w:woUserID w:val="1"/>
        </w:rPr>
        <w:t>9</w:t>
      </w:r>
      <w:r>
        <w:rPr>
          <w:rFonts w:hint="eastAsia" w:ascii="仿宋" w:eastAsia="仿宋" w:cs="仿宋_GB2312"/>
          <w:b/>
          <w:bCs/>
          <w:color w:val="auto"/>
          <w:kern w:val="0"/>
          <w:sz w:val="24"/>
          <w:highlight w:val="none"/>
          <w:lang w:val="zh-CN"/>
        </w:rPr>
        <w:t>按评分细则中要求提供的其他资料（重要）；</w:t>
      </w:r>
    </w:p>
    <w:p w14:paraId="26B6C96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w:t>
      </w:r>
      <w:r>
        <w:rPr>
          <w:rFonts w:hint="eastAsia" w:ascii="仿宋" w:eastAsia="仿宋"/>
          <w:color w:val="auto"/>
          <w:sz w:val="24"/>
          <w:highlight w:val="none"/>
          <w:lang w:eastAsia="zh"/>
          <w:woUserID w:val="1"/>
        </w:rPr>
        <w:t>0</w:t>
      </w:r>
      <w:r>
        <w:rPr>
          <w:rFonts w:hint="eastAsia" w:ascii="仿宋" w:eastAsia="仿宋"/>
          <w:color w:val="auto"/>
          <w:sz w:val="24"/>
          <w:highlight w:val="none"/>
        </w:rPr>
        <w:t>其他投标人认为需要提供的材料，如投标人简介等，格式自拟。</w:t>
      </w:r>
    </w:p>
    <w:p w14:paraId="6EFCF0B1">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000B1D88">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1D4EE169">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5CE4C946">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lang w:val="en-US" w:eastAsia="zh-CN"/>
        </w:rPr>
        <w:t>3.2</w:t>
      </w:r>
      <w:r>
        <w:rPr>
          <w:rFonts w:hint="eastAsia" w:ascii="仿宋" w:eastAsia="仿宋"/>
          <w:color w:val="auto"/>
          <w:sz w:val="24"/>
          <w:highlight w:val="none"/>
        </w:rPr>
        <w:t>中小企业声明函（如有）；</w:t>
      </w:r>
    </w:p>
    <w:p w14:paraId="3EA2A1AD">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3.3</w:t>
      </w:r>
      <w:r>
        <w:rPr>
          <w:rFonts w:hint="eastAsia" w:ascii="仿宋" w:eastAsia="仿宋"/>
          <w:color w:val="auto"/>
          <w:sz w:val="24"/>
          <w:highlight w:val="none"/>
        </w:rPr>
        <w:t>残疾人福利性单位声明函（如有）；</w:t>
      </w:r>
    </w:p>
    <w:p w14:paraId="6EB4618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14:paraId="54155F11">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eastAsia="zh-CN"/>
        </w:rPr>
        <w:t>开标一览表</w:t>
      </w:r>
      <w:r>
        <w:rPr>
          <w:rFonts w:hint="eastAsia" w:ascii="仿宋" w:eastAsia="仿宋"/>
          <w:b/>
          <w:bCs/>
          <w:color w:val="auto"/>
          <w:sz w:val="32"/>
          <w:szCs w:val="32"/>
          <w:highlight w:val="none"/>
          <w:u w:val="single"/>
        </w:rPr>
        <w:t>”需按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14:paraId="22B71CF5">
      <w:pPr>
        <w:snapToGrid w:val="0"/>
        <w:spacing w:line="440" w:lineRule="exact"/>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14:paraId="75C878B7">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68FE45F9">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w:t>
      </w:r>
      <w:r>
        <w:rPr>
          <w:rFonts w:hint="eastAsia" w:ascii="仿宋" w:eastAsia="仿宋"/>
          <w:b/>
          <w:color w:val="auto"/>
          <w:sz w:val="24"/>
          <w:highlight w:val="none"/>
          <w:lang w:eastAsia="zh-CN"/>
        </w:rPr>
        <w:t>制作需登录乐采云平台后，点击</w:t>
      </w:r>
      <w:r>
        <w:rPr>
          <w:rFonts w:hint="eastAsia" w:ascii="仿宋" w:eastAsia="仿宋"/>
          <w:b/>
          <w:color w:val="auto"/>
          <w:sz w:val="24"/>
          <w:highlight w:val="none"/>
        </w:rPr>
        <w:t>【项目采购】-【获取采购文件】-右上角【更多说明】中下载对应的客户端</w:t>
      </w:r>
      <w:r>
        <w:rPr>
          <w:rFonts w:hint="eastAsia" w:ascii="仿宋" w:eastAsia="仿宋"/>
          <w:b/>
          <w:color w:val="auto"/>
          <w:sz w:val="24"/>
          <w:highlight w:val="none"/>
          <w:lang w:eastAsia="zh-CN"/>
        </w:rPr>
        <w:t>，按客户端及</w:t>
      </w:r>
      <w:r>
        <w:rPr>
          <w:rFonts w:hint="eastAsia" w:ascii="仿宋" w:eastAsia="仿宋"/>
          <w:b/>
          <w:color w:val="auto"/>
          <w:sz w:val="24"/>
          <w:highlight w:val="none"/>
        </w:rPr>
        <w:t>本采购文件要求制作、加密并上传，</w:t>
      </w:r>
      <w:r>
        <w:rPr>
          <w:rFonts w:hint="eastAsia" w:ascii="仿宋" w:eastAsia="仿宋"/>
          <w:b/>
          <w:bCs/>
          <w:color w:val="auto"/>
          <w:spacing w:val="-4"/>
          <w:sz w:val="24"/>
          <w:highlight w:val="none"/>
        </w:rPr>
        <w:t>未按“</w:t>
      </w:r>
      <w:r>
        <w:rPr>
          <w:rFonts w:hint="eastAsia" w:ascii="仿宋" w:eastAsia="仿宋"/>
          <w:b/>
          <w:bCs/>
          <w:color w:val="auto"/>
          <w:spacing w:val="-4"/>
          <w:sz w:val="24"/>
          <w:highlight w:val="none"/>
          <w:lang w:eastAsia="zh-CN"/>
        </w:rPr>
        <w:t>乐采云</w:t>
      </w:r>
      <w:r>
        <w:rPr>
          <w:rFonts w:hint="eastAsia" w:ascii="仿宋" w:eastAsia="仿宋"/>
          <w:b/>
          <w:bCs/>
          <w:color w:val="auto"/>
          <w:spacing w:val="-4"/>
          <w:sz w:val="24"/>
          <w:highlight w:val="none"/>
        </w:rPr>
        <w:t>”平台电子投标工具（</w:t>
      </w:r>
      <w:r>
        <w:rPr>
          <w:rFonts w:hint="eastAsia" w:ascii="仿宋" w:eastAsia="仿宋"/>
          <w:b/>
          <w:bCs/>
          <w:color w:val="auto"/>
          <w:spacing w:val="-4"/>
          <w:sz w:val="24"/>
          <w:highlight w:val="none"/>
          <w:lang w:eastAsia="zh-CN"/>
        </w:rPr>
        <w:t>政采云投标</w:t>
      </w:r>
      <w:r>
        <w:rPr>
          <w:rFonts w:hint="eastAsia" w:ascii="仿宋" w:eastAsia="仿宋"/>
          <w:b/>
          <w:bCs/>
          <w:color w:val="auto"/>
          <w:spacing w:val="-4"/>
          <w:sz w:val="24"/>
          <w:highlight w:val="none"/>
        </w:rPr>
        <w:t>客户端</w:t>
      </w:r>
      <w:r>
        <w:rPr>
          <w:rFonts w:hint="eastAsia" w:ascii="仿宋" w:eastAsia="仿宋"/>
          <w:b/>
          <w:bCs/>
          <w:color w:val="auto"/>
          <w:spacing w:val="-4"/>
          <w:sz w:val="24"/>
          <w:highlight w:val="none"/>
          <w:lang w:eastAsia="zh-CN"/>
        </w:rPr>
        <w:t>与乐采云投标客户端不互通</w:t>
      </w:r>
      <w:r>
        <w:rPr>
          <w:rFonts w:hint="eastAsia" w:ascii="仿宋" w:eastAsia="仿宋"/>
          <w:b/>
          <w:bCs/>
          <w:color w:val="auto"/>
          <w:spacing w:val="-4"/>
          <w:sz w:val="24"/>
          <w:highlight w:val="none"/>
        </w:rPr>
        <w:t>）制作将无法上传和解密</w:t>
      </w:r>
      <w:r>
        <w:rPr>
          <w:rFonts w:hint="eastAsia" w:ascii="仿宋" w:eastAsia="仿宋"/>
          <w:b/>
          <w:color w:val="auto"/>
          <w:sz w:val="24"/>
          <w:highlight w:val="none"/>
        </w:rPr>
        <w:t>。</w:t>
      </w:r>
    </w:p>
    <w:p w14:paraId="7DF8C39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0D41332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3.3投标文件需做好“标书关联”（即设置关联点），未设置关联点而导致失分或无效投标处理的风险由投标人承担。</w:t>
      </w:r>
    </w:p>
    <w:p w14:paraId="5F3E4B13">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25C4CE2">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62F7D8F4">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友情提醒：在生成加密电子标书过程中，花费时间较长，预计需要10-20分钟时间，请供应商耐心等待，不要关闭投标客户端。</w:t>
      </w:r>
    </w:p>
    <w:p w14:paraId="772C2F0E">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4D9B3B1F">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0969543B">
      <w:pPr>
        <w:pStyle w:val="8"/>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5DD58BD6">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486BB5AB">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2E6DEAC2">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177B023A">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7EDAA461">
      <w:pPr>
        <w:pStyle w:val="8"/>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505D1411">
      <w:pPr>
        <w:pStyle w:val="8"/>
        <w:numPr>
          <w:ilvl w:val="0"/>
          <w:numId w:val="0"/>
        </w:numPr>
        <w:spacing w:afterLines="0" w:line="440" w:lineRule="atLeast"/>
        <w:ind w:left="0"/>
        <w:jc w:val="left"/>
        <w:rPr>
          <w:rFonts w:hint="eastAsia" w:ascii="仿宋" w:eastAsia="仿宋"/>
          <w:color w:val="auto"/>
          <w:sz w:val="24"/>
          <w:szCs w:val="24"/>
          <w:highlight w:val="none"/>
        </w:rPr>
      </w:pPr>
      <w:r>
        <w:rPr>
          <w:rFonts w:hint="eastAsia" w:ascii="仿宋" w:eastAsia="仿宋"/>
          <w:color w:val="auto"/>
          <w:sz w:val="24"/>
          <w:szCs w:val="24"/>
          <w:highlight w:val="none"/>
        </w:rPr>
        <w:t>6.1备份电子投标文件在解密前处于保密状态。</w:t>
      </w:r>
    </w:p>
    <w:p w14:paraId="435635B6">
      <w:pPr>
        <w:pStyle w:val="8"/>
        <w:numPr>
          <w:ilvl w:val="0"/>
          <w:numId w:val="0"/>
        </w:numPr>
        <w:spacing w:afterLines="0" w:line="440" w:lineRule="atLeast"/>
        <w:ind w:left="0"/>
        <w:jc w:val="left"/>
        <w:rPr>
          <w:rFonts w:hint="eastAsia" w:ascii="仿宋" w:eastAsia="仿宋"/>
          <w:color w:val="auto"/>
          <w:sz w:val="24"/>
          <w:szCs w:val="24"/>
          <w:highlight w:val="none"/>
        </w:rPr>
      </w:pPr>
      <w:r>
        <w:rPr>
          <w:rFonts w:hint="eastAsia" w:ascii="仿宋" w:eastAsia="仿宋"/>
          <w:color w:val="auto"/>
          <w:sz w:val="24"/>
          <w:szCs w:val="24"/>
          <w:highlight w:val="none"/>
        </w:rPr>
        <w:t>6.2解密成功后，“资格文件”、“商务和技术文件”、“报价文件”各自处于数据隔离状态，各部分信息只有在相关环节评审时可见，不受解密影响。</w:t>
      </w:r>
    </w:p>
    <w:p w14:paraId="2939B6AC">
      <w:pPr>
        <w:pStyle w:val="4"/>
        <w:spacing w:line="415" w:lineRule="auto"/>
        <w:jc w:val="center"/>
        <w:rPr>
          <w:rFonts w:hint="eastAsia" w:ascii="仿宋"/>
          <w:color w:val="auto"/>
          <w:highlight w:val="none"/>
        </w:rPr>
      </w:pPr>
      <w:bookmarkStart w:id="39" w:name="_Toc30761"/>
      <w:r>
        <w:rPr>
          <w:rFonts w:hint="eastAsia" w:ascii="仿宋"/>
          <w:color w:val="auto"/>
          <w:highlight w:val="none"/>
        </w:rPr>
        <w:t>四、开标评标</w:t>
      </w:r>
      <w:bookmarkEnd w:id="39"/>
    </w:p>
    <w:p w14:paraId="10A6393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5E7FEFFA">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w:t>
      </w:r>
      <w:r>
        <w:rPr>
          <w:rFonts w:hint="eastAsia" w:ascii="仿宋" w:eastAsia="仿宋"/>
          <w:b/>
          <w:bCs/>
          <w:color w:val="auto"/>
          <w:sz w:val="24"/>
          <w:highlight w:val="none"/>
          <w:lang w:eastAsia="zh-CN"/>
        </w:rPr>
        <w:t>乐采云平台</w:t>
      </w:r>
      <w:r>
        <w:rPr>
          <w:rFonts w:hint="eastAsia" w:ascii="仿宋" w:eastAsia="仿宋"/>
          <w:b/>
          <w:bCs/>
          <w:color w:val="auto"/>
          <w:sz w:val="24"/>
          <w:highlight w:val="none"/>
        </w:rPr>
        <w:t>”在线参加开标，否则将导致投标文件无法按时解密、无法在线询标等。</w:t>
      </w:r>
    </w:p>
    <w:p w14:paraId="23885F29">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4358E6EB">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5A02B539">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2EFA807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2.1主持人宣布开标会开始，介绍到会单位和人员（视情）。</w:t>
      </w:r>
    </w:p>
    <w:p w14:paraId="314B5655">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2.2宣读完成加密电子投标文件上传的供应商名单（视情）。</w:t>
      </w:r>
    </w:p>
    <w:p w14:paraId="6BB9FFE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5C9CFD1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w:t>
      </w:r>
      <w:r>
        <w:rPr>
          <w:rFonts w:hint="eastAsia" w:ascii="仿宋" w:eastAsia="仿宋"/>
          <w:color w:val="auto"/>
          <w:sz w:val="24"/>
          <w:highlight w:val="none"/>
          <w:lang w:eastAsia="zh-CN"/>
        </w:rPr>
        <w:t>乐采云平台</w:t>
      </w:r>
      <w:r>
        <w:rPr>
          <w:rFonts w:hint="eastAsia" w:ascii="仿宋" w:eastAsia="仿宋"/>
          <w:color w:val="auto"/>
          <w:sz w:val="24"/>
          <w:highlight w:val="none"/>
        </w:rPr>
        <w:t>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557977CD">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4B176BF8">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18EC2778">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1604322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w:t>
      </w:r>
      <w:r>
        <w:rPr>
          <w:rFonts w:hint="eastAsia" w:ascii="仿宋" w:eastAsia="仿宋"/>
          <w:color w:val="auto"/>
          <w:sz w:val="24"/>
          <w:highlight w:val="none"/>
          <w:lang w:eastAsia="zh-CN"/>
        </w:rPr>
        <w:t>乐采云平台</w:t>
      </w:r>
      <w:r>
        <w:rPr>
          <w:rFonts w:hint="eastAsia" w:ascii="仿宋" w:eastAsia="仿宋"/>
          <w:color w:val="auto"/>
          <w:sz w:val="24"/>
          <w:highlight w:val="none"/>
        </w:rPr>
        <w:t>上进行。</w:t>
      </w:r>
    </w:p>
    <w:p w14:paraId="0CCA117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72202B3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w:t>
      </w:r>
      <w:r>
        <w:rPr>
          <w:rFonts w:hint="eastAsia" w:ascii="仿宋" w:eastAsia="仿宋"/>
          <w:color w:val="auto"/>
          <w:sz w:val="24"/>
          <w:highlight w:val="none"/>
          <w:woUserID w:val="1"/>
        </w:rPr>
        <w:t>根据总得分</w:t>
      </w:r>
      <w:r>
        <w:rPr>
          <w:rFonts w:hint="eastAsia" w:ascii="仿宋" w:eastAsia="仿宋"/>
          <w:color w:val="auto"/>
          <w:sz w:val="24"/>
          <w:highlight w:val="none"/>
          <w:lang w:eastAsia="zh"/>
          <w:woUserID w:val="1"/>
        </w:rPr>
        <w:t>由高到低</w:t>
      </w:r>
      <w:r>
        <w:rPr>
          <w:rFonts w:hint="eastAsia" w:ascii="仿宋" w:eastAsia="仿宋"/>
          <w:color w:val="auto"/>
          <w:sz w:val="24"/>
          <w:highlight w:val="none"/>
          <w:woUserID w:val="1"/>
        </w:rPr>
        <w:t>排序</w:t>
      </w:r>
      <w:r>
        <w:rPr>
          <w:rFonts w:hint="eastAsia" w:ascii="仿宋" w:eastAsia="仿宋"/>
          <w:color w:val="auto"/>
          <w:sz w:val="24"/>
          <w:highlight w:val="none"/>
          <w:lang w:eastAsia="zh"/>
          <w:woUserID w:val="1"/>
        </w:rPr>
        <w:t>并</w:t>
      </w:r>
      <w:r>
        <w:rPr>
          <w:rFonts w:hint="eastAsia" w:ascii="仿宋" w:eastAsia="仿宋"/>
          <w:color w:val="auto"/>
          <w:sz w:val="24"/>
          <w:highlight w:val="none"/>
        </w:rPr>
        <w:t>确定中标候选人，公布评审结果。</w:t>
      </w:r>
    </w:p>
    <w:p w14:paraId="5BC3E84A">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2B863B67">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14A4EA7A">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679E846C">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40C027C7">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3.4经监督部门同意，由于专家库无相应专业专家或技术复杂等原因允许采购人自行组建或推荐抽取评审专家，相关操作规则需符合法律规定。</w:t>
      </w:r>
    </w:p>
    <w:p w14:paraId="2897EA62">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0113180E">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5D35BBA9">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0C63F0BB">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5826D9E2">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79D5FEBE">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232E6CFE">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0D2B1FCC">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72AB9550">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7BD34D91">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w:t>
      </w:r>
      <w:r>
        <w:rPr>
          <w:rFonts w:hint="eastAsia" w:ascii="仿宋" w:eastAsia="仿宋"/>
          <w:color w:val="auto"/>
          <w:sz w:val="24"/>
          <w:highlight w:val="none"/>
          <w:lang w:eastAsia="zh-CN"/>
        </w:rPr>
        <w:t>乐采云平台</w:t>
      </w:r>
      <w:r>
        <w:rPr>
          <w:rFonts w:hint="eastAsia" w:ascii="仿宋" w:eastAsia="仿宋"/>
          <w:color w:val="auto"/>
          <w:sz w:val="24"/>
          <w:highlight w:val="none"/>
        </w:rPr>
        <w:t>中要求投标人作出必要的澄清、说明或者补正。投标人的澄清、说明或者补正应当在</w:t>
      </w:r>
      <w:r>
        <w:rPr>
          <w:rFonts w:hint="eastAsia" w:ascii="仿宋" w:eastAsia="仿宋"/>
          <w:color w:val="auto"/>
          <w:sz w:val="24"/>
          <w:highlight w:val="none"/>
          <w:lang w:eastAsia="zh-CN"/>
        </w:rPr>
        <w:t>乐采云平台</w:t>
      </w:r>
      <w:r>
        <w:rPr>
          <w:rFonts w:hint="eastAsia" w:ascii="仿宋" w:eastAsia="仿宋"/>
          <w:color w:val="auto"/>
          <w:sz w:val="24"/>
          <w:highlight w:val="none"/>
        </w:rPr>
        <w:t>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49A652B5">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201F5C13">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7FE8F600">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76709B84">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4F656686">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4F3DAF06">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1BA8CEB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0FD2B5CB">
      <w:pPr>
        <w:pStyle w:val="18"/>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568A4D77">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4196DF85">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6.1单位负责人为同一人或者存在直接控股、管理关系的不同供应商参加同一合同项（标项）下的采购活动的（双方均作无效投标处理）；</w:t>
      </w:r>
    </w:p>
    <w:p w14:paraId="2F6EFEB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29EB78E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37D41D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7C3F603B">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11C5668F">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067535AA">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2CE02165">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054744D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2D9014F7">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120ED086">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5A49530D">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47753936">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3C44F040">
      <w:pPr>
        <w:pStyle w:val="18"/>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10EC9776">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2B30C32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w:t>
      </w:r>
      <w:r>
        <w:rPr>
          <w:rFonts w:hint="eastAsia" w:ascii="仿宋" w:eastAsia="仿宋"/>
          <w:color w:val="auto"/>
          <w:sz w:val="24"/>
          <w:highlight w:val="none"/>
          <w:lang w:eastAsia="zh"/>
          <w:woUserID w:val="1"/>
        </w:rPr>
        <w:t>（或单价预算）</w:t>
      </w:r>
      <w:r>
        <w:rPr>
          <w:rFonts w:hint="eastAsia" w:ascii="仿宋" w:eastAsia="仿宋"/>
          <w:color w:val="auto"/>
          <w:sz w:val="24"/>
          <w:highlight w:val="none"/>
        </w:rPr>
        <w:t>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7AA5E8C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193FCD46">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35A82BE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222206D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65409BC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69EF1827">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5E0FA44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4890F2E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7CBD768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5DBE2FAF">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4E76360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330118B8">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034E75F1">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0A23DFFC">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2F9504A6">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1E606372">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4C98F200">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0F771216">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2745B79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4845070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53D23B16">
      <w:pPr>
        <w:tabs>
          <w:tab w:val="left" w:pos="3870"/>
          <w:tab w:val="left" w:pos="4085"/>
        </w:tabs>
        <w:snapToGrid w:val="0"/>
        <w:spacing w:line="440" w:lineRule="exact"/>
        <w:jc w:val="left"/>
        <w:rPr>
          <w:rFonts w:hint="eastAsia" w:ascii="仿宋" w:eastAsia="仿宋"/>
          <w:color w:val="auto"/>
          <w:sz w:val="24"/>
          <w:highlight w:val="none"/>
          <w:lang w:eastAsia="zh"/>
          <w:woUserID w:val="1"/>
        </w:rPr>
      </w:pPr>
      <w:r>
        <w:rPr>
          <w:rFonts w:hint="eastAsia" w:ascii="仿宋" w:eastAsia="仿宋"/>
          <w:color w:val="auto"/>
          <w:sz w:val="24"/>
          <w:highlight w:val="none"/>
        </w:rPr>
        <w:t>6.18</w:t>
      </w:r>
      <w:r>
        <w:rPr>
          <w:rFonts w:hint="eastAsia" w:ascii="仿宋_GB2312" w:eastAsia="仿宋_GB2312"/>
          <w:color w:val="auto"/>
          <w:kern w:val="0"/>
          <w:sz w:val="24"/>
          <w:highlight w:val="none"/>
          <w:lang w:eastAsia="zh-CN"/>
          <w:woUserID w:val="1"/>
        </w:rPr>
        <w:t>联合体投标，但是未提供有效的联合体协议的</w:t>
      </w:r>
      <w:r>
        <w:rPr>
          <w:rFonts w:hint="eastAsia" w:ascii="仿宋" w:eastAsia="仿宋"/>
          <w:color w:val="auto"/>
          <w:sz w:val="24"/>
          <w:highlight w:val="none"/>
          <w:lang w:eastAsia="zh"/>
          <w:woUserID w:val="1"/>
        </w:rPr>
        <w:t>；</w:t>
      </w:r>
    </w:p>
    <w:p w14:paraId="7C22D06D">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3C10215A">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w:t>
      </w:r>
      <w:r>
        <w:rPr>
          <w:rFonts w:hint="eastAsia" w:ascii="仿宋" w:eastAsia="仿宋"/>
          <w:color w:val="auto"/>
          <w:sz w:val="24"/>
          <w:highlight w:val="none"/>
          <w:lang w:eastAsia="zh-CN"/>
        </w:rPr>
        <w:t>采购</w:t>
      </w:r>
      <w:r>
        <w:rPr>
          <w:rFonts w:hint="eastAsia" w:ascii="仿宋" w:eastAsia="仿宋"/>
          <w:color w:val="auto"/>
          <w:sz w:val="24"/>
          <w:highlight w:val="none"/>
        </w:rPr>
        <w:t>文件规定的其他无效</w:t>
      </w:r>
      <w:r>
        <w:rPr>
          <w:rFonts w:hint="eastAsia" w:ascii="仿宋" w:eastAsia="仿宋"/>
          <w:color w:val="auto"/>
          <w:sz w:val="24"/>
          <w:highlight w:val="none"/>
          <w:lang w:eastAsia="zh-CN"/>
        </w:rPr>
        <w:t>投标</w:t>
      </w:r>
      <w:r>
        <w:rPr>
          <w:rFonts w:hint="eastAsia" w:ascii="仿宋" w:eastAsia="仿宋"/>
          <w:color w:val="auto"/>
          <w:sz w:val="24"/>
          <w:highlight w:val="none"/>
        </w:rPr>
        <w:t>情形。</w:t>
      </w:r>
    </w:p>
    <w:p w14:paraId="5E42CD3A">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35FD41D6">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54925569">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57B5DB6C">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2AE4B99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w:t>
      </w:r>
      <w:r>
        <w:rPr>
          <w:rFonts w:hint="eastAsia" w:ascii="仿宋" w:eastAsia="仿宋"/>
          <w:color w:val="auto"/>
          <w:kern w:val="0"/>
          <w:sz w:val="24"/>
          <w:highlight w:val="none"/>
          <w:lang w:eastAsia="zh-CN"/>
        </w:rPr>
        <w:t>乐采云平台</w:t>
      </w:r>
      <w:r>
        <w:rPr>
          <w:rFonts w:hint="eastAsia" w:ascii="仿宋" w:eastAsia="仿宋"/>
          <w:color w:val="auto"/>
          <w:kern w:val="0"/>
          <w:sz w:val="24"/>
          <w:highlight w:val="none"/>
        </w:rPr>
        <w:t>中登陆后领取。</w:t>
      </w:r>
    </w:p>
    <w:p w14:paraId="04B1A7E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6EF3113D">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740D3D3D">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283EDF5E">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22C668E1">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0050D73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5EC164B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21E5879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2BCD025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3623B93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48754755">
      <w:pPr>
        <w:widowControl/>
        <w:snapToGrid w:val="0"/>
        <w:spacing w:line="480" w:lineRule="exact"/>
        <w:rPr>
          <w:rFonts w:hint="eastAsia"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62A42FE9">
      <w:pPr>
        <w:pStyle w:val="4"/>
        <w:spacing w:line="415" w:lineRule="auto"/>
        <w:jc w:val="center"/>
        <w:rPr>
          <w:rFonts w:hint="eastAsia" w:ascii="仿宋"/>
          <w:color w:val="auto"/>
          <w:highlight w:val="none"/>
        </w:rPr>
      </w:pPr>
      <w:bookmarkStart w:id="40" w:name="_Toc14944"/>
      <w:r>
        <w:rPr>
          <w:rFonts w:hint="eastAsia" w:ascii="仿宋"/>
          <w:color w:val="auto"/>
          <w:highlight w:val="none"/>
        </w:rPr>
        <w:t>五、合同签订及履约</w:t>
      </w:r>
      <w:bookmarkEnd w:id="40"/>
    </w:p>
    <w:p w14:paraId="04A89F51">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1784E37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48822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0160F81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7B30DB96">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1BE19E20">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6FF0EC1A">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7939DA58">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7225BA01">
      <w:pPr>
        <w:spacing w:line="440" w:lineRule="exact"/>
        <w:jc w:val="left"/>
        <w:rPr>
          <w:rFonts w:hint="eastAsia" w:ascii="仿宋" w:eastAsia="仿宋"/>
          <w:b/>
          <w:color w:val="auto"/>
          <w:sz w:val="24"/>
          <w:highlight w:val="none"/>
        </w:rPr>
      </w:pPr>
      <w:r>
        <w:rPr>
          <w:rFonts w:hint="eastAsia" w:ascii="仿宋" w:eastAsia="仿宋"/>
          <w:b/>
          <w:color w:val="auto"/>
          <w:sz w:val="24"/>
          <w:highlight w:val="none"/>
          <w:lang w:val="en-US" w:eastAsia="zh-CN"/>
        </w:rPr>
        <w:t>3</w:t>
      </w:r>
      <w:r>
        <w:rPr>
          <w:rFonts w:hint="eastAsia" w:ascii="仿宋" w:eastAsia="仿宋"/>
          <w:b/>
          <w:color w:val="auto"/>
          <w:sz w:val="24"/>
          <w:highlight w:val="none"/>
        </w:rPr>
        <w:t>.履约验收</w:t>
      </w:r>
    </w:p>
    <w:p w14:paraId="26D1B2BD">
      <w:pPr>
        <w:spacing w:line="44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.1采购人自行组织或委托</w:t>
      </w:r>
      <w:r>
        <w:rPr>
          <w:rFonts w:hint="eastAsia" w:ascii="仿宋" w:eastAsia="仿宋"/>
          <w:color w:val="auto"/>
          <w:sz w:val="24"/>
          <w:highlight w:val="none"/>
          <w:lang w:val="en-US" w:eastAsia="zh-CN"/>
        </w:rPr>
        <w:t>专业机构</w:t>
      </w:r>
      <w:r>
        <w:rPr>
          <w:rFonts w:hint="eastAsia" w:ascii="仿宋" w:eastAsia="仿宋"/>
          <w:color w:val="auto"/>
          <w:sz w:val="24"/>
          <w:highlight w:val="none"/>
        </w:rPr>
        <w:t>对供应商进行履约验收，出具验收书，存档备查。如果发现与合同中要求不符，供应商须承担由此发生的一切损失和费用，并承担相应的法律责任。</w:t>
      </w:r>
    </w:p>
    <w:p w14:paraId="0C4EA367">
      <w:pPr>
        <w:spacing w:line="44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.2服务类项目，可以根据项目特点对服务期内的服务实施情况进行分期考核，结合考核情况和服务效果进行验收。工程类项目应当按照行业管理部门规定的标准、方法和内容进行验收。</w:t>
      </w:r>
    </w:p>
    <w:p w14:paraId="64E2B13B">
      <w:pPr>
        <w:spacing w:line="44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.3采购人可以邀请参加本项目的其他投标人或者第三方机构参与验收。参与验收的投标人或者第三方机构的意见作为验收书的参考资料一并存档。</w:t>
      </w:r>
    </w:p>
    <w:p w14:paraId="5A3F02B3">
      <w:pPr>
        <w:spacing w:line="44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.4政府向社会公众提供的公共服务项目验收时应当邀请服务对象参与并出具意见，验收结果应当向社会公告。</w:t>
      </w:r>
    </w:p>
    <w:p w14:paraId="3D64F935">
      <w:pPr>
        <w:spacing w:line="44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.5 采购合同的履行、违约责任和解决争议的方式等适用《中华人民共和国民法典》。</w:t>
      </w:r>
    </w:p>
    <w:p w14:paraId="19A8ECC2">
      <w:pPr>
        <w:spacing w:line="440" w:lineRule="exact"/>
        <w:jc w:val="left"/>
        <w:rPr>
          <w:rFonts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.6供应商在履约过程中有法律法规规定的违法违规情形的，采购人应当及时报告</w:t>
      </w:r>
      <w:r>
        <w:rPr>
          <w:rFonts w:hint="eastAsia" w:ascii="仿宋" w:eastAsia="仿宋"/>
          <w:color w:val="auto"/>
          <w:sz w:val="24"/>
          <w:highlight w:val="none"/>
          <w:lang w:val="en-US" w:eastAsia="zh-CN"/>
        </w:rPr>
        <w:t>本项目采购监督部门</w:t>
      </w:r>
      <w:r>
        <w:rPr>
          <w:rFonts w:hint="eastAsia" w:ascii="仿宋" w:eastAsia="仿宋"/>
          <w:color w:val="auto"/>
          <w:sz w:val="24"/>
          <w:highlight w:val="none"/>
        </w:rPr>
        <w:t>。</w:t>
      </w:r>
    </w:p>
    <w:p w14:paraId="62FAEE32">
      <w:pPr>
        <w:pStyle w:val="3"/>
        <w:jc w:val="center"/>
        <w:rPr>
          <w:rFonts w:hint="eastAsia" w:ascii="仿宋"/>
          <w:color w:val="auto"/>
          <w:highlight w:val="none"/>
        </w:rPr>
      </w:pPr>
      <w:bookmarkStart w:id="41" w:name="_Toc27068"/>
      <w:r>
        <w:rPr>
          <w:rFonts w:hint="eastAsia" w:ascii="仿宋"/>
          <w:color w:val="auto"/>
          <w:highlight w:val="none"/>
        </w:rPr>
        <w:t>第三章  采购需求</w:t>
      </w:r>
      <w:bookmarkEnd w:id="41"/>
    </w:p>
    <w:p w14:paraId="7C62EB78">
      <w:pPr>
        <w:pStyle w:val="4"/>
        <w:keepNext/>
        <w:keepLines/>
        <w:pageBreakBefore w:val="0"/>
        <w:widowControl w:val="0"/>
        <w:suppressLineNumbers w:val="0"/>
        <w:suppressAutoHyphens w:val="0"/>
        <w:spacing w:line="415" w:lineRule="auto"/>
        <w:rPr>
          <w:rFonts w:hint="eastAsia" w:ascii="仿宋"/>
          <w:color w:val="auto"/>
          <w:highlight w:val="none"/>
        </w:rPr>
      </w:pPr>
      <w:bookmarkStart w:id="42" w:name="_Toc23126"/>
      <w:r>
        <w:rPr>
          <w:rFonts w:hint="eastAsia" w:ascii="仿宋"/>
          <w:color w:val="auto"/>
          <w:highlight w:val="none"/>
        </w:rPr>
        <w:t>一、货物清单及技术要求</w:t>
      </w:r>
      <w:bookmarkEnd w:id="42"/>
    </w:p>
    <w:p w14:paraId="7AC77273">
      <w:pPr>
        <w:tabs>
          <w:tab w:val="left" w:pos="0"/>
        </w:tabs>
        <w:spacing w:line="360" w:lineRule="auto"/>
        <w:ind w:firstLine="480"/>
        <w:rPr>
          <w:rFonts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一、项目概况</w:t>
      </w:r>
    </w:p>
    <w:p w14:paraId="6EBB1C5D">
      <w:pPr>
        <w:tabs>
          <w:tab w:val="left" w:pos="0"/>
        </w:tabs>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本项目为</w:t>
      </w:r>
      <w:r>
        <w:rPr>
          <w:rFonts w:ascii="仿宋_GB2312" w:eastAsia="仿宋_GB2312" w:cs="Helvetica"/>
          <w:color w:val="auto"/>
          <w:kern w:val="0"/>
          <w:sz w:val="24"/>
          <w:highlight w:val="none"/>
        </w:rPr>
        <w:t>大气走航监测设备</w:t>
      </w:r>
      <w:r>
        <w:rPr>
          <w:rFonts w:hint="eastAsia" w:ascii="仿宋_GB2312" w:eastAsia="仿宋_GB2312" w:cs="Helvetica"/>
          <w:color w:val="auto"/>
          <w:kern w:val="0"/>
          <w:sz w:val="24"/>
          <w:highlight w:val="none"/>
        </w:rPr>
        <w:t>采购项目，通过对不同区域开展网格化走航监测，可全面、快速诊断VOCs和PM2.5污染的整体分布情况，准确锁定污染区域和污染源头，满足快速精准污染溯源的需求。投标人应根据招标文件所提出的设备技术规格、参数、数量和服务要求，综合考虑设备的适应性，选择具有最佳性能价格比的设备前来投标。希望投标人以精良的设备、优良的服务和合理的价格，充分显示自身的竞争实力。</w:t>
      </w:r>
    </w:p>
    <w:p w14:paraId="5BF78799">
      <w:pPr>
        <w:numPr>
          <w:ilvl w:val="0"/>
          <w:numId w:val="6"/>
        </w:numPr>
        <w:tabs>
          <w:tab w:val="left" w:pos="0"/>
        </w:tabs>
        <w:spacing w:line="360" w:lineRule="auto"/>
        <w:ind w:firstLine="48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项目清单</w:t>
      </w:r>
    </w:p>
    <w:p w14:paraId="29663160">
      <w:pPr>
        <w:pStyle w:val="2"/>
        <w:widowControl w:val="0"/>
        <w:numPr>
          <w:ilvl w:val="0"/>
          <w:numId w:val="0"/>
        </w:numPr>
        <w:adjustRightInd w:val="0"/>
        <w:jc w:val="left"/>
        <w:rPr>
          <w:rFonts w:hint="eastAsia"/>
          <w:color w:val="auto"/>
          <w:highlight w:val="none"/>
        </w:rPr>
      </w:pPr>
    </w:p>
    <w:tbl>
      <w:tblPr>
        <w:tblStyle w:val="28"/>
        <w:tblW w:w="7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623"/>
        <w:gridCol w:w="1300"/>
        <w:gridCol w:w="1861"/>
      </w:tblGrid>
      <w:tr w14:paraId="6D50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8F0AB">
            <w:pPr>
              <w:spacing w:before="100" w:beforeAutospacing="1" w:after="100" w:afterAutospacing="1"/>
              <w:jc w:val="center"/>
              <w:rPr>
                <w:rFonts w:ascii="仿宋" w:eastAsia="仿宋" w:cs="仿宋"/>
                <w:color w:val="auto"/>
                <w:sz w:val="24"/>
                <w:highlight w:val="none"/>
                <w:lang w:bidi="th-TH"/>
              </w:rPr>
            </w:pPr>
            <w:r>
              <w:rPr>
                <w:rFonts w:hint="eastAsia" w:ascii="仿宋" w:eastAsia="仿宋" w:cs="仿宋"/>
                <w:color w:val="auto"/>
                <w:sz w:val="24"/>
                <w:highlight w:val="none"/>
                <w:lang w:bidi="th-TH"/>
              </w:rPr>
              <w:t>序号</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4EFDD5">
            <w:pPr>
              <w:spacing w:before="100" w:beforeAutospacing="1" w:after="100" w:afterAutospacing="1"/>
              <w:jc w:val="center"/>
              <w:rPr>
                <w:rFonts w:ascii="仿宋" w:eastAsia="仿宋" w:cs="仿宋"/>
                <w:color w:val="auto"/>
                <w:sz w:val="24"/>
                <w:highlight w:val="none"/>
                <w:lang w:bidi="th-TH"/>
              </w:rPr>
            </w:pPr>
            <w:r>
              <w:rPr>
                <w:rFonts w:hint="eastAsia" w:ascii="仿宋" w:eastAsia="仿宋" w:cs="仿宋"/>
                <w:color w:val="auto"/>
                <w:sz w:val="24"/>
                <w:highlight w:val="none"/>
                <w:lang w:bidi="th-TH"/>
              </w:rPr>
              <w:t>配置内容</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65A2E0">
            <w:pPr>
              <w:spacing w:before="100" w:beforeAutospacing="1" w:after="100" w:afterAutospacing="1"/>
              <w:jc w:val="center"/>
              <w:rPr>
                <w:rFonts w:ascii="仿宋" w:eastAsia="仿宋" w:cs="仿宋"/>
                <w:color w:val="auto"/>
                <w:sz w:val="24"/>
                <w:highlight w:val="none"/>
                <w:lang w:bidi="th-TH"/>
              </w:rPr>
            </w:pPr>
            <w:r>
              <w:rPr>
                <w:rFonts w:hint="eastAsia" w:ascii="仿宋" w:eastAsia="仿宋" w:cs="仿宋"/>
                <w:color w:val="auto"/>
                <w:sz w:val="24"/>
                <w:highlight w:val="none"/>
                <w:lang w:bidi="th-TH"/>
              </w:rPr>
              <w:t>数量</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DA45E">
            <w:pPr>
              <w:spacing w:before="100" w:beforeAutospacing="1" w:after="100" w:afterAutospacing="1"/>
              <w:jc w:val="center"/>
              <w:rPr>
                <w:rFonts w:ascii="仿宋" w:eastAsia="仿宋" w:cs="仿宋"/>
                <w:color w:val="auto"/>
                <w:sz w:val="24"/>
                <w:highlight w:val="none"/>
                <w:lang w:bidi="th-TH"/>
              </w:rPr>
            </w:pPr>
            <w:r>
              <w:rPr>
                <w:rFonts w:hint="eastAsia" w:ascii="仿宋" w:eastAsia="仿宋" w:cs="仿宋"/>
                <w:color w:val="auto"/>
                <w:sz w:val="24"/>
                <w:highlight w:val="none"/>
                <w:lang w:bidi="th-TH"/>
              </w:rPr>
              <w:t>单位</w:t>
            </w:r>
          </w:p>
        </w:tc>
      </w:tr>
      <w:tr w14:paraId="5E68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0DB96">
            <w:pPr>
              <w:spacing w:before="100" w:beforeAutospacing="1" w:after="100" w:afterAutospacing="1"/>
              <w:jc w:val="center"/>
              <w:rPr>
                <w:rFonts w:ascii="仿宋" w:eastAsia="仿宋" w:cs="仿宋"/>
                <w:color w:val="auto"/>
                <w:sz w:val="24"/>
                <w:highlight w:val="none"/>
                <w:lang w:bidi="th-TH"/>
              </w:rPr>
            </w:pPr>
            <w:r>
              <w:rPr>
                <w:rFonts w:hint="eastAsia" w:ascii="仿宋" w:eastAsia="仿宋" w:cs="仿宋"/>
                <w:color w:val="auto"/>
                <w:sz w:val="24"/>
                <w:highlight w:val="none"/>
                <w:lang w:bidi="th-TH"/>
              </w:rPr>
              <w:t>1</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F428BB">
            <w:pPr>
              <w:spacing w:before="100" w:beforeAutospacing="1" w:after="100" w:afterAutospacing="1"/>
              <w:jc w:val="center"/>
              <w:rPr>
                <w:rFonts w:hint="eastAsia" w:ascii="仿宋" w:eastAsia="仿宋" w:cs="仿宋"/>
                <w:color w:val="auto"/>
                <w:sz w:val="24"/>
                <w:highlight w:val="none"/>
                <w:lang w:eastAsia="zh-CN" w:bidi="th-TH"/>
              </w:rPr>
            </w:pPr>
            <w:r>
              <w:rPr>
                <w:rFonts w:hint="eastAsia" w:ascii="仿宋" w:eastAsia="仿宋" w:cs="仿宋"/>
                <w:color w:val="auto"/>
                <w:sz w:val="24"/>
                <w:highlight w:val="none"/>
                <w:lang w:bidi="th-TH"/>
              </w:rPr>
              <w:t>VOCs飞行时间质谱仪</w:t>
            </w:r>
            <w:r>
              <w:rPr>
                <w:rFonts w:hint="eastAsia" w:ascii="仿宋" w:eastAsia="仿宋" w:cs="仿宋"/>
                <w:color w:val="auto"/>
                <w:sz w:val="24"/>
                <w:highlight w:val="none"/>
                <w:lang w:eastAsia="zh-CN" w:bidi="th-TH"/>
              </w:rPr>
              <w:t>（</w:t>
            </w:r>
            <w:r>
              <w:rPr>
                <w:rFonts w:hint="eastAsia" w:ascii="仿宋" w:eastAsia="仿宋" w:cs="仿宋"/>
                <w:color w:val="auto"/>
                <w:sz w:val="24"/>
                <w:highlight w:val="none"/>
                <w:lang w:val="en-US" w:eastAsia="zh-CN" w:bidi="th-TH"/>
              </w:rPr>
              <w:t>核心产品</w:t>
            </w:r>
            <w:r>
              <w:rPr>
                <w:rFonts w:hint="eastAsia" w:ascii="仿宋" w:eastAsia="仿宋" w:cs="仿宋"/>
                <w:color w:val="auto"/>
                <w:sz w:val="24"/>
                <w:highlight w:val="none"/>
                <w:lang w:eastAsia="zh-CN" w:bidi="th-TH"/>
              </w:rPr>
              <w:t>）</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E4F97B">
            <w:pPr>
              <w:spacing w:before="100" w:beforeAutospacing="1" w:after="100" w:afterAutospacing="1"/>
              <w:jc w:val="center"/>
              <w:rPr>
                <w:rFonts w:ascii="仿宋" w:eastAsia="仿宋" w:cs="仿宋"/>
                <w:color w:val="auto"/>
                <w:sz w:val="24"/>
                <w:highlight w:val="none"/>
                <w:lang w:bidi="th-TH"/>
              </w:rPr>
            </w:pPr>
            <w:r>
              <w:rPr>
                <w:rFonts w:hint="eastAsia" w:ascii="仿宋" w:eastAsia="仿宋" w:cs="仿宋"/>
                <w:color w:val="auto"/>
                <w:sz w:val="24"/>
                <w:highlight w:val="none"/>
                <w:lang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98E53">
            <w:pPr>
              <w:spacing w:before="100" w:beforeAutospacing="1" w:after="100" w:afterAutospacing="1"/>
              <w:jc w:val="center"/>
              <w:rPr>
                <w:rFonts w:ascii="仿宋" w:eastAsia="仿宋" w:cs="仿宋"/>
                <w:color w:val="auto"/>
                <w:sz w:val="24"/>
                <w:highlight w:val="none"/>
                <w:lang w:bidi="th-TH"/>
              </w:rPr>
            </w:pPr>
            <w:r>
              <w:rPr>
                <w:rFonts w:hint="eastAsia" w:ascii="仿宋" w:eastAsia="仿宋" w:cs="仿宋"/>
                <w:color w:val="auto"/>
                <w:sz w:val="24"/>
                <w:highlight w:val="none"/>
                <w:lang w:bidi="th-TH"/>
              </w:rPr>
              <w:t>台</w:t>
            </w:r>
          </w:p>
        </w:tc>
      </w:tr>
      <w:tr w14:paraId="02CB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EA9B6F">
            <w:pPr>
              <w:spacing w:before="100" w:beforeAutospacing="1" w:after="100" w:afterAutospacing="1"/>
              <w:jc w:val="center"/>
              <w:rPr>
                <w:rFonts w:hint="eastAsia" w:ascii="仿宋" w:eastAsia="仿宋" w:cs="仿宋"/>
                <w:color w:val="auto"/>
                <w:sz w:val="24"/>
                <w:highlight w:val="none"/>
                <w:lang w:val="en-US" w:eastAsia="zh-CN" w:bidi="th-TH"/>
              </w:rPr>
            </w:pPr>
            <w:r>
              <w:rPr>
                <w:rFonts w:hint="eastAsia" w:ascii="仿宋" w:eastAsia="仿宋" w:cs="仿宋"/>
                <w:color w:val="auto"/>
                <w:sz w:val="24"/>
                <w:highlight w:val="none"/>
                <w:lang w:val="en-US" w:eastAsia="zh-CN" w:bidi="th-TH"/>
              </w:rPr>
              <w:t>2</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AF7FC">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颗粒物监测仪（PM2.5）</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E210B2">
            <w:pPr>
              <w:spacing w:before="100" w:beforeAutospacing="1" w:after="100" w:afterAutospacing="1"/>
              <w:jc w:val="center"/>
              <w:rPr>
                <w:rFonts w:hint="eastAsia" w:ascii="仿宋" w:hAnsi="Times New Roman" w:eastAsia="仿宋" w:cs="仿宋"/>
                <w:color w:val="auto"/>
                <w:kern w:val="2"/>
                <w:sz w:val="24"/>
                <w:szCs w:val="24"/>
                <w:highlight w:val="none"/>
                <w:lang w:val="en-US" w:eastAsia="zh-CN" w:bidi="th-TH"/>
              </w:rPr>
            </w:pPr>
            <w:r>
              <w:rPr>
                <w:rFonts w:hint="eastAsia" w:ascii="仿宋" w:eastAsia="仿宋" w:cs="仿宋"/>
                <w:color w:val="auto"/>
                <w:sz w:val="24"/>
                <w:highlight w:val="none"/>
                <w:lang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56022">
            <w:pPr>
              <w:spacing w:before="100" w:beforeAutospacing="1" w:after="100" w:afterAutospacing="1"/>
              <w:jc w:val="center"/>
              <w:rPr>
                <w:rFonts w:hint="eastAsia" w:ascii="仿宋" w:hAnsi="Times New Roman" w:eastAsia="仿宋" w:cs="仿宋"/>
                <w:color w:val="auto"/>
                <w:kern w:val="2"/>
                <w:sz w:val="24"/>
                <w:szCs w:val="24"/>
                <w:highlight w:val="none"/>
                <w:lang w:val="en-US" w:eastAsia="zh-CN" w:bidi="th-TH"/>
              </w:rPr>
            </w:pPr>
            <w:r>
              <w:rPr>
                <w:rFonts w:hint="eastAsia" w:ascii="仿宋" w:eastAsia="仿宋" w:cs="仿宋"/>
                <w:color w:val="auto"/>
                <w:sz w:val="24"/>
                <w:highlight w:val="none"/>
                <w:lang w:bidi="th-TH"/>
              </w:rPr>
              <w:t>台</w:t>
            </w:r>
          </w:p>
        </w:tc>
      </w:tr>
      <w:tr w14:paraId="3CA6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348672">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3</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2A45F">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颗粒物监测仪（PM10）</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61BE9">
            <w:pPr>
              <w:spacing w:before="100" w:beforeAutospacing="1" w:after="100" w:afterAutospacing="1"/>
              <w:jc w:val="center"/>
              <w:rPr>
                <w:rFonts w:hint="eastAsia" w:ascii="仿宋" w:eastAsia="仿宋" w:cs="仿宋"/>
                <w:color w:val="auto"/>
                <w:sz w:val="24"/>
                <w:highlight w:val="none"/>
                <w:lang w:bidi="th-TH"/>
              </w:rPr>
            </w:pPr>
            <w:r>
              <w:rPr>
                <w:rFonts w:hint="eastAsia" w:ascii="仿宋" w:eastAsia="仿宋" w:cs="仿宋"/>
                <w:color w:val="auto"/>
                <w:sz w:val="24"/>
                <w:highlight w:val="none"/>
                <w:lang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726937">
            <w:pPr>
              <w:spacing w:before="100" w:beforeAutospacing="1" w:after="100" w:afterAutospacing="1"/>
              <w:jc w:val="center"/>
              <w:rPr>
                <w:rFonts w:hint="eastAsia" w:ascii="仿宋" w:eastAsia="仿宋" w:cs="仿宋"/>
                <w:color w:val="auto"/>
                <w:sz w:val="24"/>
                <w:highlight w:val="none"/>
                <w:lang w:bidi="th-TH"/>
              </w:rPr>
            </w:pPr>
            <w:r>
              <w:rPr>
                <w:rFonts w:hint="eastAsia" w:ascii="仿宋" w:eastAsia="仿宋" w:cs="仿宋"/>
                <w:color w:val="auto"/>
                <w:sz w:val="24"/>
                <w:highlight w:val="none"/>
                <w:lang w:bidi="th-TH"/>
              </w:rPr>
              <w:t>台</w:t>
            </w:r>
          </w:p>
        </w:tc>
      </w:tr>
      <w:tr w14:paraId="5655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7700B17">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4</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649F8">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氮氧化物监测仪</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AB4D6B">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97F857">
            <w:pPr>
              <w:spacing w:before="100" w:beforeAutospacing="1" w:after="100" w:afterAutospacing="1"/>
              <w:jc w:val="center"/>
              <w:rPr>
                <w:rFonts w:hint="eastAsia" w:ascii="仿宋" w:hAnsi="仿宋" w:eastAsia="仿宋" w:cs="仿宋"/>
                <w:color w:val="auto"/>
                <w:sz w:val="24"/>
                <w:highlight w:val="none"/>
                <w:lang w:bidi="th-TH"/>
              </w:rPr>
            </w:pPr>
            <w:r>
              <w:rPr>
                <w:rFonts w:hint="eastAsia" w:ascii="仿宋" w:eastAsia="仿宋" w:cs="仿宋"/>
                <w:color w:val="auto"/>
                <w:sz w:val="24"/>
                <w:highlight w:val="none"/>
                <w:lang w:bidi="th-TH"/>
              </w:rPr>
              <w:t>台</w:t>
            </w:r>
          </w:p>
        </w:tc>
      </w:tr>
      <w:tr w14:paraId="0BD8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D2A061A">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5</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C4FEF">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臭氧监测仪</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FF9946">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B9878">
            <w:pPr>
              <w:spacing w:before="100" w:beforeAutospacing="1" w:after="100" w:afterAutospacing="1"/>
              <w:jc w:val="center"/>
              <w:rPr>
                <w:rFonts w:hint="eastAsia" w:ascii="仿宋" w:hAnsi="仿宋" w:eastAsia="仿宋" w:cs="仿宋"/>
                <w:color w:val="auto"/>
                <w:sz w:val="24"/>
                <w:highlight w:val="none"/>
                <w:lang w:bidi="th-TH"/>
              </w:rPr>
            </w:pPr>
            <w:r>
              <w:rPr>
                <w:rFonts w:hint="eastAsia" w:ascii="仿宋" w:eastAsia="仿宋" w:cs="仿宋"/>
                <w:color w:val="auto"/>
                <w:sz w:val="24"/>
                <w:highlight w:val="none"/>
                <w:lang w:bidi="th-TH"/>
              </w:rPr>
              <w:t>台</w:t>
            </w:r>
          </w:p>
        </w:tc>
      </w:tr>
      <w:tr w14:paraId="4336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D79901A">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6</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505CE0">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二氧化硫监测仪</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B89CF">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C8A94">
            <w:pPr>
              <w:spacing w:before="100" w:beforeAutospacing="1" w:after="100" w:afterAutospacing="1"/>
              <w:jc w:val="center"/>
              <w:rPr>
                <w:rFonts w:hint="eastAsia" w:ascii="仿宋" w:hAnsi="仿宋" w:eastAsia="仿宋" w:cs="仿宋"/>
                <w:color w:val="auto"/>
                <w:sz w:val="24"/>
                <w:highlight w:val="none"/>
                <w:lang w:bidi="th-TH"/>
              </w:rPr>
            </w:pPr>
            <w:r>
              <w:rPr>
                <w:rFonts w:hint="eastAsia" w:ascii="仿宋" w:eastAsia="仿宋" w:cs="仿宋"/>
                <w:color w:val="auto"/>
                <w:sz w:val="24"/>
                <w:highlight w:val="none"/>
                <w:lang w:bidi="th-TH"/>
              </w:rPr>
              <w:t>台</w:t>
            </w:r>
          </w:p>
        </w:tc>
      </w:tr>
      <w:tr w14:paraId="0A1D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1CCBC39">
            <w:pPr>
              <w:spacing w:before="100" w:beforeAutospacing="1" w:after="100" w:afterAutospacing="1"/>
              <w:jc w:val="center"/>
              <w:rPr>
                <w:rFonts w:hint="eastAsia" w:ascii="仿宋" w:hAnsi="仿宋" w:eastAsia="仿宋" w:cs="仿宋"/>
                <w:color w:val="auto"/>
                <w:kern w:val="2"/>
                <w:sz w:val="24"/>
                <w:szCs w:val="20"/>
                <w:highlight w:val="none"/>
                <w:lang w:val="en-US" w:eastAsia="zh-CN" w:bidi="th-TH"/>
              </w:rPr>
            </w:pPr>
            <w:r>
              <w:rPr>
                <w:rFonts w:hint="eastAsia" w:ascii="仿宋" w:hAnsi="仿宋" w:eastAsia="仿宋" w:cs="仿宋"/>
                <w:color w:val="auto"/>
                <w:sz w:val="24"/>
                <w:highlight w:val="none"/>
                <w:lang w:val="en-US" w:eastAsia="zh-CN" w:bidi="th-TH"/>
              </w:rPr>
              <w:t>7</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A58233">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一氧化碳监测仪</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BB547">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3F2AA">
            <w:pPr>
              <w:spacing w:before="100" w:beforeAutospacing="1" w:after="100" w:afterAutospacing="1"/>
              <w:jc w:val="center"/>
              <w:rPr>
                <w:rFonts w:hint="eastAsia" w:ascii="仿宋" w:hAnsi="仿宋" w:eastAsia="仿宋" w:cs="仿宋"/>
                <w:color w:val="auto"/>
                <w:sz w:val="24"/>
                <w:highlight w:val="none"/>
                <w:lang w:bidi="th-TH"/>
              </w:rPr>
            </w:pPr>
            <w:r>
              <w:rPr>
                <w:rFonts w:hint="eastAsia" w:ascii="仿宋" w:eastAsia="仿宋" w:cs="仿宋"/>
                <w:color w:val="auto"/>
                <w:sz w:val="24"/>
                <w:highlight w:val="none"/>
                <w:lang w:bidi="th-TH"/>
              </w:rPr>
              <w:t>台</w:t>
            </w:r>
          </w:p>
        </w:tc>
      </w:tr>
      <w:tr w14:paraId="09F7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B195C44">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val="en-US" w:eastAsia="zh-CN" w:bidi="th-TH"/>
              </w:rPr>
              <w:t>8</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C2071">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多元气体校准仪</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CDCEC">
            <w:pPr>
              <w:spacing w:before="100" w:beforeAutospacing="1" w:after="100" w:afterAutospacing="1"/>
              <w:jc w:val="center"/>
              <w:rPr>
                <w:rFonts w:hint="eastAsia" w:ascii="仿宋" w:hAnsi="仿宋" w:eastAsia="仿宋" w:cs="仿宋"/>
                <w:color w:val="auto"/>
                <w:sz w:val="24"/>
                <w:highlight w:val="none"/>
                <w:lang w:val="en-US" w:eastAsia="zh-CN" w:bidi="th-TH"/>
              </w:rPr>
            </w:pPr>
            <w:r>
              <w:rPr>
                <w:rFonts w:hint="eastAsia" w:ascii="仿宋" w:hAnsi="仿宋" w:eastAsia="仿宋" w:cs="仿宋"/>
                <w:color w:val="auto"/>
                <w:sz w:val="24"/>
                <w:highlight w:val="none"/>
                <w:lang w:val="en-US" w:eastAsia="zh-CN"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B13381">
            <w:pPr>
              <w:spacing w:before="100" w:beforeAutospacing="1" w:after="100" w:afterAutospacing="1"/>
              <w:jc w:val="center"/>
              <w:rPr>
                <w:rFonts w:hint="eastAsia" w:ascii="仿宋" w:hAnsi="仿宋" w:eastAsia="仿宋" w:cs="仿宋"/>
                <w:color w:val="auto"/>
                <w:sz w:val="24"/>
                <w:highlight w:val="none"/>
                <w:lang w:bidi="th-TH"/>
              </w:rPr>
            </w:pPr>
            <w:r>
              <w:rPr>
                <w:rFonts w:hint="eastAsia" w:ascii="仿宋" w:eastAsia="仿宋" w:cs="仿宋"/>
                <w:color w:val="auto"/>
                <w:sz w:val="24"/>
                <w:highlight w:val="none"/>
                <w:lang w:bidi="th-TH"/>
              </w:rPr>
              <w:t>台</w:t>
            </w:r>
          </w:p>
        </w:tc>
      </w:tr>
      <w:tr w14:paraId="52EF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915B111">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val="en-US" w:eastAsia="zh-CN" w:bidi="th-TH"/>
              </w:rPr>
              <w:t>9</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51EDC2">
            <w:pPr>
              <w:spacing w:before="100" w:beforeAutospacing="1" w:after="100" w:afterAutospacing="1"/>
              <w:jc w:val="center"/>
              <w:rPr>
                <w:rFonts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车载监控摄像云台</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DD389">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4E0808">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套</w:t>
            </w:r>
          </w:p>
        </w:tc>
      </w:tr>
      <w:tr w14:paraId="0EFA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31A9461">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val="en-US" w:eastAsia="zh-CN" w:bidi="th-TH"/>
              </w:rPr>
              <w:t>10</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54BBB">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无人机</w:t>
            </w:r>
            <w:r>
              <w:rPr>
                <w:rFonts w:hint="eastAsia" w:ascii="仿宋" w:hAnsi="仿宋" w:eastAsia="仿宋" w:cs="仿宋"/>
                <w:color w:val="auto"/>
                <w:sz w:val="24"/>
                <w:highlight w:val="none"/>
                <w:lang w:val="en-US" w:eastAsia="zh-CN" w:bidi="th-TH"/>
              </w:rPr>
              <w:t>及配套设备</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121E62">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44767">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kern w:val="2"/>
                <w:sz w:val="24"/>
                <w:szCs w:val="24"/>
                <w:highlight w:val="none"/>
                <w:lang w:val="en-US" w:eastAsia="zh-CN" w:bidi="th-TH"/>
              </w:rPr>
              <w:t>套</w:t>
            </w:r>
          </w:p>
        </w:tc>
      </w:tr>
      <w:tr w14:paraId="29FD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222BBA1">
            <w:pPr>
              <w:spacing w:before="100" w:beforeAutospacing="1" w:after="100" w:afterAutospacing="1"/>
              <w:jc w:val="center"/>
              <w:rPr>
                <w:rFonts w:hint="default"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val="en-US" w:eastAsia="zh-CN" w:bidi="th-TH"/>
              </w:rPr>
              <w:t>11</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3DA17">
            <w:pPr>
              <w:spacing w:before="100" w:beforeAutospacing="1" w:after="100" w:afterAutospacing="1"/>
              <w:jc w:val="center"/>
              <w:rPr>
                <w:rFonts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车载自动气象监测站</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6256D6">
            <w:pPr>
              <w:spacing w:before="100" w:beforeAutospacing="1" w:after="100" w:afterAutospacing="1"/>
              <w:jc w:val="center"/>
              <w:rPr>
                <w:rFonts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9CF45F">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台</w:t>
            </w:r>
          </w:p>
        </w:tc>
      </w:tr>
      <w:tr w14:paraId="1932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01447">
            <w:pPr>
              <w:spacing w:before="100" w:beforeAutospacing="1" w:after="100" w:afterAutospacing="1"/>
              <w:jc w:val="center"/>
              <w:rPr>
                <w:rFonts w:hint="default" w:ascii="仿宋" w:hAnsi="仿宋" w:eastAsia="仿宋" w:cs="仿宋"/>
                <w:color w:val="auto"/>
                <w:kern w:val="2"/>
                <w:sz w:val="24"/>
                <w:szCs w:val="24"/>
                <w:highlight w:val="none"/>
                <w:lang w:val="en-US" w:eastAsia="zh-CN" w:bidi="th-TH"/>
              </w:rPr>
            </w:pPr>
            <w:r>
              <w:rPr>
                <w:rFonts w:hint="eastAsia" w:ascii="仿宋" w:hAnsi="仿宋" w:eastAsia="仿宋" w:cs="仿宋"/>
                <w:color w:val="auto"/>
                <w:kern w:val="2"/>
                <w:sz w:val="24"/>
                <w:szCs w:val="24"/>
                <w:highlight w:val="none"/>
                <w:lang w:val="en-US" w:eastAsia="zh-CN" w:bidi="th-TH"/>
              </w:rPr>
              <w:t>12</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C5CFD">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车载移动空气监测</w:t>
            </w:r>
            <w:r>
              <w:rPr>
                <w:rFonts w:hint="eastAsia" w:ascii="仿宋" w:hAnsi="仿宋" w:eastAsia="仿宋" w:cs="仿宋"/>
                <w:color w:val="auto"/>
                <w:sz w:val="24"/>
                <w:highlight w:val="none"/>
                <w:lang w:val="en-US" w:eastAsia="zh-CN" w:bidi="th-TH"/>
              </w:rPr>
              <w:t>站</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ABEE9D">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0C265">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台</w:t>
            </w:r>
          </w:p>
        </w:tc>
      </w:tr>
      <w:tr w14:paraId="734F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4F466">
            <w:pPr>
              <w:spacing w:before="100" w:beforeAutospacing="1" w:after="100" w:afterAutospacing="1"/>
              <w:jc w:val="center"/>
              <w:rPr>
                <w:rFonts w:hint="default"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val="en-US" w:eastAsia="zh-CN" w:bidi="th-TH"/>
              </w:rPr>
              <w:t>13</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9AD2D">
            <w:pPr>
              <w:spacing w:before="100" w:beforeAutospacing="1" w:after="100" w:afterAutospacing="1"/>
              <w:jc w:val="center"/>
              <w:rPr>
                <w:rFonts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大气走航监测分析平台</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650068">
            <w:pPr>
              <w:spacing w:before="100" w:beforeAutospacing="1" w:after="100" w:afterAutospacing="1"/>
              <w:jc w:val="center"/>
              <w:rPr>
                <w:rFonts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71AF0C">
            <w:pPr>
              <w:spacing w:before="100" w:beforeAutospacing="1" w:after="100" w:afterAutospacing="1"/>
              <w:jc w:val="center"/>
              <w:rPr>
                <w:rFonts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套</w:t>
            </w:r>
          </w:p>
        </w:tc>
      </w:tr>
      <w:tr w14:paraId="5720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5F42E">
            <w:pPr>
              <w:spacing w:before="100" w:beforeAutospacing="1" w:after="100" w:afterAutospacing="1"/>
              <w:jc w:val="center"/>
              <w:rPr>
                <w:rFonts w:hint="default"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val="en-US" w:eastAsia="zh-CN" w:bidi="th-TH"/>
              </w:rPr>
              <w:t>14</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37EE99">
            <w:pPr>
              <w:spacing w:before="100" w:beforeAutospacing="1" w:after="100" w:afterAutospacing="1"/>
              <w:jc w:val="center"/>
              <w:rPr>
                <w:rFonts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走航及数据分析服务</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593F10">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val="en-US" w:eastAsia="zh-CN"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97C660">
            <w:pPr>
              <w:spacing w:before="100" w:beforeAutospacing="1" w:after="100" w:afterAutospacing="1"/>
              <w:jc w:val="center"/>
              <w:rPr>
                <w:rFonts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年</w:t>
            </w:r>
          </w:p>
        </w:tc>
      </w:tr>
      <w:tr w14:paraId="02A5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58451C">
            <w:pPr>
              <w:spacing w:before="100" w:beforeAutospacing="1" w:after="100" w:afterAutospacing="1"/>
              <w:jc w:val="center"/>
              <w:rPr>
                <w:rFonts w:hint="default"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val="en-US" w:eastAsia="zh-CN" w:bidi="th-TH"/>
              </w:rPr>
              <w:t>15</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16EB3">
            <w:pPr>
              <w:spacing w:before="100" w:beforeAutospacing="1" w:after="100" w:afterAutospacing="1"/>
              <w:jc w:val="center"/>
              <w:rPr>
                <w:rFonts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设备运维服务</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421C1E">
            <w:pPr>
              <w:spacing w:before="100" w:beforeAutospacing="1" w:after="100" w:afterAutospacing="1"/>
              <w:jc w:val="center"/>
              <w:rPr>
                <w:rFonts w:hint="eastAsia"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val="en-US" w:eastAsia="zh-CN" w:bidi="th-TH"/>
              </w:rPr>
              <w:t>2</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92A338">
            <w:pPr>
              <w:spacing w:before="100" w:beforeAutospacing="1" w:after="100" w:afterAutospacing="1"/>
              <w:jc w:val="center"/>
              <w:rPr>
                <w:rFonts w:ascii="仿宋" w:hAnsi="仿宋" w:eastAsia="仿宋" w:cs="仿宋"/>
                <w:color w:val="auto"/>
                <w:kern w:val="2"/>
                <w:sz w:val="24"/>
                <w:szCs w:val="24"/>
                <w:highlight w:val="none"/>
                <w:lang w:val="en-US" w:eastAsia="zh-CN" w:bidi="th-TH"/>
              </w:rPr>
            </w:pPr>
            <w:r>
              <w:rPr>
                <w:rFonts w:hint="eastAsia" w:ascii="仿宋" w:hAnsi="仿宋" w:eastAsia="仿宋" w:cs="仿宋"/>
                <w:color w:val="auto"/>
                <w:sz w:val="24"/>
                <w:highlight w:val="none"/>
                <w:lang w:bidi="th-TH"/>
              </w:rPr>
              <w:t>年</w:t>
            </w:r>
          </w:p>
        </w:tc>
      </w:tr>
      <w:tr w14:paraId="2DA6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C74F98">
            <w:pPr>
              <w:spacing w:before="100" w:beforeAutospacing="1" w:after="100" w:afterAutospacing="1"/>
              <w:jc w:val="center"/>
              <w:rPr>
                <w:rFonts w:hint="default" w:ascii="仿宋" w:hAnsi="Times New Roman" w:eastAsia="仿宋" w:cs="仿宋"/>
                <w:color w:val="auto"/>
                <w:kern w:val="2"/>
                <w:sz w:val="24"/>
                <w:szCs w:val="24"/>
                <w:highlight w:val="none"/>
                <w:lang w:val="en-US" w:eastAsia="zh-CN" w:bidi="th-TH"/>
              </w:rPr>
            </w:pPr>
            <w:r>
              <w:rPr>
                <w:rFonts w:hint="eastAsia" w:ascii="仿宋" w:eastAsia="仿宋" w:cs="仿宋"/>
                <w:color w:val="auto"/>
                <w:sz w:val="24"/>
                <w:highlight w:val="none"/>
                <w:lang w:val="en-US" w:eastAsia="zh-CN" w:bidi="th-TH"/>
              </w:rPr>
              <w:t>16</w:t>
            </w:r>
          </w:p>
        </w:tc>
        <w:tc>
          <w:tcPr>
            <w:tcW w:w="3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C8FB80">
            <w:pPr>
              <w:spacing w:before="100" w:beforeAutospacing="1" w:after="100" w:afterAutospacing="1"/>
              <w:jc w:val="center"/>
              <w:rPr>
                <w:rFonts w:hint="eastAsia" w:ascii="仿宋" w:hAnsi="Times New Roman" w:eastAsia="仿宋" w:cs="仿宋"/>
                <w:color w:val="auto"/>
                <w:kern w:val="2"/>
                <w:sz w:val="24"/>
                <w:szCs w:val="24"/>
                <w:highlight w:val="none"/>
                <w:lang w:val="en-US" w:eastAsia="zh-CN" w:bidi="th-TH"/>
              </w:rPr>
            </w:pPr>
            <w:r>
              <w:rPr>
                <w:rFonts w:ascii="仿宋" w:eastAsia="仿宋" w:cs="仿宋"/>
                <w:color w:val="auto"/>
                <w:sz w:val="24"/>
                <w:highlight w:val="none"/>
                <w:lang w:bidi="th-TH"/>
              </w:rPr>
              <w:t>移动监测</w:t>
            </w:r>
            <w:r>
              <w:rPr>
                <w:rFonts w:hint="eastAsia" w:ascii="仿宋" w:eastAsia="仿宋" w:cs="仿宋"/>
                <w:color w:val="auto"/>
                <w:sz w:val="24"/>
                <w:highlight w:val="none"/>
                <w:lang w:bidi="th-TH"/>
              </w:rPr>
              <w:t>车</w:t>
            </w:r>
            <w:r>
              <w:rPr>
                <w:rFonts w:ascii="仿宋" w:eastAsia="仿宋" w:cs="仿宋"/>
                <w:color w:val="auto"/>
                <w:sz w:val="24"/>
                <w:highlight w:val="none"/>
                <w:lang w:bidi="th-TH"/>
              </w:rPr>
              <w:t>及车改服务</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33E9B7">
            <w:pPr>
              <w:spacing w:before="100" w:beforeAutospacing="1" w:after="100" w:afterAutospacing="1"/>
              <w:jc w:val="center"/>
              <w:rPr>
                <w:rFonts w:hint="eastAsia" w:ascii="仿宋" w:hAnsi="Times New Roman" w:eastAsia="仿宋" w:cs="仿宋"/>
                <w:color w:val="auto"/>
                <w:kern w:val="2"/>
                <w:sz w:val="24"/>
                <w:szCs w:val="24"/>
                <w:highlight w:val="none"/>
                <w:lang w:val="en-US" w:eastAsia="zh-CN" w:bidi="th-TH"/>
              </w:rPr>
            </w:pPr>
            <w:r>
              <w:rPr>
                <w:rFonts w:hint="eastAsia" w:ascii="仿宋" w:eastAsia="仿宋" w:cs="仿宋"/>
                <w:color w:val="auto"/>
                <w:sz w:val="24"/>
                <w:highlight w:val="none"/>
                <w:lang w:bidi="th-TH"/>
              </w:rPr>
              <w:t>1</w:t>
            </w:r>
          </w:p>
        </w:tc>
        <w:tc>
          <w:tcPr>
            <w:tcW w:w="18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B1D924">
            <w:pPr>
              <w:spacing w:before="100" w:beforeAutospacing="1" w:after="100" w:afterAutospacing="1"/>
              <w:jc w:val="center"/>
              <w:rPr>
                <w:rFonts w:hint="eastAsia" w:ascii="仿宋" w:hAnsi="Times New Roman" w:eastAsia="仿宋" w:cs="仿宋"/>
                <w:color w:val="auto"/>
                <w:kern w:val="2"/>
                <w:sz w:val="24"/>
                <w:szCs w:val="24"/>
                <w:highlight w:val="none"/>
                <w:lang w:val="en-US" w:eastAsia="zh-CN" w:bidi="th-TH"/>
              </w:rPr>
            </w:pPr>
            <w:r>
              <w:rPr>
                <w:rFonts w:hint="eastAsia" w:ascii="仿宋" w:eastAsia="仿宋" w:cs="仿宋"/>
                <w:color w:val="auto"/>
                <w:sz w:val="24"/>
                <w:highlight w:val="none"/>
                <w:lang w:bidi="th-TH"/>
              </w:rPr>
              <w:t>套</w:t>
            </w:r>
          </w:p>
        </w:tc>
      </w:tr>
    </w:tbl>
    <w:p w14:paraId="603BDE4F">
      <w:pPr>
        <w:tabs>
          <w:tab w:val="left" w:pos="0"/>
        </w:tabs>
        <w:spacing w:line="360" w:lineRule="auto"/>
        <w:ind w:firstLine="480"/>
        <w:rPr>
          <w:rFonts w:hint="eastAsia" w:ascii="仿宋_GB2312" w:eastAsia="仿宋_GB2312" w:cs="Helvetica"/>
          <w:b/>
          <w:bCs/>
          <w:color w:val="auto"/>
          <w:kern w:val="0"/>
          <w:sz w:val="24"/>
          <w:highlight w:val="none"/>
        </w:rPr>
      </w:pPr>
      <w:bookmarkStart w:id="43" w:name="_Toc53913291"/>
      <w:r>
        <w:rPr>
          <w:rFonts w:hint="eastAsia" w:ascii="仿宋_GB2312" w:eastAsia="仿宋_GB2312" w:cs="Helvetica"/>
          <w:b/>
          <w:bCs/>
          <w:color w:val="auto"/>
          <w:kern w:val="0"/>
          <w:sz w:val="24"/>
          <w:highlight w:val="none"/>
        </w:rPr>
        <w:t>三、技术规格要求</w:t>
      </w:r>
      <w:bookmarkEnd w:id="43"/>
    </w:p>
    <w:p w14:paraId="186DA98D">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1.VOCs飞行时间质谱仪</w:t>
      </w:r>
      <w:r>
        <w:rPr>
          <w:rFonts w:hint="eastAsia" w:ascii="仿宋" w:eastAsia="仿宋"/>
          <w:b/>
          <w:bCs/>
          <w:caps w:val="0"/>
          <w:smallCaps w:val="0"/>
          <w:vanish w:val="0"/>
          <w:color w:val="auto"/>
          <w:sz w:val="24"/>
          <w:szCs w:val="24"/>
          <w:highlight w:val="none"/>
          <w:vertAlign w:val="baseline"/>
          <w:lang w:val="en-US" w:eastAsia="zh-CN"/>
        </w:rPr>
        <w:t>（核心产品）</w:t>
      </w:r>
    </w:p>
    <w:p w14:paraId="7D437A5E">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1.1 基本要求</w:t>
      </w:r>
    </w:p>
    <w:p w14:paraId="760DD290">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1)系统具备环境空气走航监测，污染溯源能力。要求系统具备现场定性和定量的能力。</w:t>
      </w:r>
    </w:p>
    <w:p w14:paraId="2F48C5D6">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2)设备分析方法满足《长三角生态绿</w:t>
      </w:r>
      <w:r>
        <w:rPr>
          <w:rFonts w:hint="eastAsia" w:ascii="仿宋_GB2312" w:eastAsia="仿宋_GB2312" w:cs="Helvetica"/>
          <w:b w:val="0"/>
          <w:bCs w:val="0"/>
          <w:color w:val="auto"/>
          <w:kern w:val="0"/>
          <w:sz w:val="24"/>
          <w:highlight w:val="none"/>
          <w:lang w:val="en-US" w:eastAsia="zh-CN"/>
        </w:rPr>
        <w:t>色</w:t>
      </w:r>
      <w:r>
        <w:rPr>
          <w:rFonts w:hint="eastAsia" w:ascii="仿宋_GB2312" w:eastAsia="仿宋_GB2312" w:cs="Helvetica"/>
          <w:b w:val="0"/>
          <w:bCs w:val="0"/>
          <w:color w:val="auto"/>
          <w:kern w:val="0"/>
          <w:sz w:val="24"/>
          <w:highlight w:val="none"/>
        </w:rPr>
        <w:t>一体化发展示范区挥发性有机物走航监测技术规范》（DB31/T310002-2021、DB32/T310002-2021、DB33/T310002-2021）的要求。</w:t>
      </w:r>
    </w:p>
    <w:p w14:paraId="4C0E7F8D">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1.2 系统性能</w:t>
      </w:r>
    </w:p>
    <w:p w14:paraId="2E89376E">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1)★技术原理：采用质子转移反应飞行时间质谱仪（即质子转移技术PTR-TOF-MS）,可实时在线监测环境空气中VOCs组分，可检测物种应在100种以上；</w:t>
      </w:r>
    </w:p>
    <w:p w14:paraId="20266510">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2)▲信噪比：≥1100（苯） ；（</w:t>
      </w:r>
      <w:r>
        <w:rPr>
          <w:rFonts w:hint="eastAsia" w:ascii="仿宋_GB2312" w:eastAsia="仿宋_GB2312" w:cs="Helvetica"/>
          <w:b w:val="0"/>
          <w:bCs w:val="0"/>
          <w:color w:val="auto"/>
          <w:kern w:val="0"/>
          <w:sz w:val="24"/>
          <w:highlight w:val="none"/>
          <w:lang w:eastAsia="zh-CN"/>
        </w:rPr>
        <w:t>提供具备由经过CMA认证的计量部门出具的检测报告或官网截图或产品说明书</w:t>
      </w:r>
      <w:r>
        <w:rPr>
          <w:rFonts w:hint="eastAsia" w:ascii="仿宋_GB2312" w:eastAsia="仿宋_GB2312" w:cs="Helvetica"/>
          <w:b w:val="0"/>
          <w:bCs w:val="0"/>
          <w:color w:val="auto"/>
          <w:kern w:val="0"/>
          <w:sz w:val="24"/>
          <w:highlight w:val="none"/>
        </w:rPr>
        <w:t>）</w:t>
      </w:r>
    </w:p>
    <w:p w14:paraId="2E705782">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3)▲检测限：1分钟平均，≤0.015nmol/mol（苯）； （</w:t>
      </w:r>
      <w:r>
        <w:rPr>
          <w:rFonts w:hint="eastAsia" w:ascii="仿宋_GB2312" w:eastAsia="仿宋_GB2312" w:cs="Helvetica"/>
          <w:b w:val="0"/>
          <w:bCs w:val="0"/>
          <w:color w:val="auto"/>
          <w:kern w:val="0"/>
          <w:sz w:val="24"/>
          <w:highlight w:val="none"/>
          <w:lang w:eastAsia="zh-CN"/>
        </w:rPr>
        <w:t>提供具备由经过CMA认证的计量部门出具的检测报告或官网截图或产品说明书</w:t>
      </w:r>
      <w:r>
        <w:rPr>
          <w:rFonts w:hint="eastAsia" w:ascii="仿宋_GB2312" w:eastAsia="仿宋_GB2312" w:cs="Helvetica"/>
          <w:b w:val="0"/>
          <w:bCs w:val="0"/>
          <w:color w:val="auto"/>
          <w:kern w:val="0"/>
          <w:sz w:val="24"/>
          <w:highlight w:val="none"/>
        </w:rPr>
        <w:t>）</w:t>
      </w:r>
    </w:p>
    <w:p w14:paraId="484C56B5">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4)响应时间：≤300ms；</w:t>
      </w:r>
    </w:p>
    <w:p w14:paraId="759446DF">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5)▲质量分辨率：≥3000FWHM（苯）；（</w:t>
      </w:r>
      <w:r>
        <w:rPr>
          <w:rFonts w:hint="eastAsia" w:ascii="仿宋_GB2312" w:eastAsia="仿宋_GB2312" w:cs="Helvetica"/>
          <w:b w:val="0"/>
          <w:bCs w:val="0"/>
          <w:color w:val="auto"/>
          <w:kern w:val="0"/>
          <w:sz w:val="24"/>
          <w:highlight w:val="none"/>
          <w:lang w:eastAsia="zh-CN"/>
        </w:rPr>
        <w:t>提供具备由经过CMA认证的计量部门出具的检测报告或官网截图或产品说明书</w:t>
      </w:r>
      <w:r>
        <w:rPr>
          <w:rFonts w:hint="eastAsia" w:ascii="仿宋_GB2312" w:eastAsia="仿宋_GB2312" w:cs="Helvetica"/>
          <w:b w:val="0"/>
          <w:bCs w:val="0"/>
          <w:color w:val="auto"/>
          <w:kern w:val="0"/>
          <w:sz w:val="24"/>
          <w:highlight w:val="none"/>
        </w:rPr>
        <w:t>）</w:t>
      </w:r>
    </w:p>
    <w:p w14:paraId="6203F892">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6)▲质量准确性：≤±0.002amu（苯）；</w:t>
      </w:r>
    </w:p>
    <w:p w14:paraId="339B1CF6">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7)质量稳定性：≤±0.01amu（苯）；</w:t>
      </w:r>
    </w:p>
    <w:p w14:paraId="48C6ADD6">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1.3 PTR 离子源模块</w:t>
      </w:r>
    </w:p>
    <w:p w14:paraId="1F60BEA7">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1)离子分子反应室可控温度区间：至少满足40-120摄氏度区间范围；</w:t>
      </w:r>
    </w:p>
    <w:p w14:paraId="36512CF5">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2)要求使用质量流量控制器或同类装置实现对高纯水蒸汽流量进行精确控制，从而产生高纯反应离子，例如H3O+；</w:t>
      </w:r>
    </w:p>
    <w:p w14:paraId="59121F80">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3)要求进样气路为惰性材料组成；</w:t>
      </w:r>
    </w:p>
    <w:p w14:paraId="335D7AA7">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4)★要求同时配备H3O+和O2+双离子源，可针对走航监测物质的检测需要实现离子源切换。</w:t>
      </w:r>
    </w:p>
    <w:p w14:paraId="2824CE6D">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1.4 传输模块</w:t>
      </w:r>
    </w:p>
    <w:p w14:paraId="3FB0F238">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要求离子分子反应室和TOF检测器之间使用差分泵真空接口，以及静电透镜或多频四极杆等同等功能的结构设计，作为离子导向传输系统。</w:t>
      </w:r>
    </w:p>
    <w:p w14:paraId="750B4098">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1.5 质量分析器</w:t>
      </w:r>
    </w:p>
    <w:p w14:paraId="0320E8C3">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1)质量分析器为飞行时间质谱仪；</w:t>
      </w:r>
    </w:p>
    <w:p w14:paraId="53A7C248">
      <w:pPr>
        <w:tabs>
          <w:tab w:val="left" w:pos="0"/>
        </w:tabs>
        <w:spacing w:line="360" w:lineRule="auto"/>
        <w:ind w:firstLine="480" w:firstLineChars="200"/>
        <w:rPr>
          <w:rFonts w:hint="eastAsia" w:ascii="仿宋_GB2312" w:eastAsia="仿宋_GB2312" w:cs="Helvetica"/>
          <w:b/>
          <w:bCs/>
          <w:color w:val="auto"/>
          <w:kern w:val="0"/>
          <w:sz w:val="24"/>
          <w:highlight w:val="none"/>
        </w:rPr>
      </w:pPr>
      <w:r>
        <w:rPr>
          <w:rFonts w:hint="eastAsia" w:ascii="仿宋_GB2312" w:eastAsia="仿宋_GB2312" w:cs="Helvetica"/>
          <w:b w:val="0"/>
          <w:bCs w:val="0"/>
          <w:color w:val="auto"/>
          <w:kern w:val="0"/>
          <w:sz w:val="24"/>
          <w:highlight w:val="none"/>
        </w:rPr>
        <w:t>2)质量检测范围：大于4~700amu。</w:t>
      </w:r>
    </w:p>
    <w:p w14:paraId="76D28FD8">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1.6 质控系统及附属设备</w:t>
      </w:r>
    </w:p>
    <w:p w14:paraId="7F4D78DF">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1)要求配有气体标定及空白系统或模块，包括外标气路和空白气路，分别通过质量流量控制器MFC和气体阀门对各气路气流进行精确控制，实现仪器自动化校零校标；</w:t>
      </w:r>
    </w:p>
    <w:p w14:paraId="26C7FFCD">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2)标定空白模块，要求支持用户自定义设置浓度、频率、时间等，并实现实时在线自动标定和校零；</w:t>
      </w:r>
    </w:p>
    <w:p w14:paraId="1DCBAE9C">
      <w:pPr>
        <w:tabs>
          <w:tab w:val="left" w:pos="0"/>
        </w:tabs>
        <w:spacing w:line="360" w:lineRule="auto"/>
        <w:ind w:firstLine="480" w:firstLineChars="200"/>
        <w:rPr>
          <w:rFonts w:hint="eastAsia" w:ascii="仿宋_GB2312" w:eastAsia="仿宋_GB2312" w:cs="Helvetica"/>
          <w:b/>
          <w:bCs/>
          <w:color w:val="auto"/>
          <w:kern w:val="0"/>
          <w:sz w:val="24"/>
          <w:highlight w:val="none"/>
        </w:rPr>
      </w:pPr>
      <w:r>
        <w:rPr>
          <w:rFonts w:hint="eastAsia" w:ascii="仿宋_GB2312" w:eastAsia="仿宋_GB2312" w:cs="Helvetica"/>
          <w:b w:val="0"/>
          <w:bCs w:val="0"/>
          <w:color w:val="auto"/>
          <w:kern w:val="0"/>
          <w:sz w:val="24"/>
          <w:highlight w:val="none"/>
        </w:rPr>
        <w:t>3)要求质控系统中的所有阀门均由电脑控制，由惰性材料组成。</w:t>
      </w:r>
    </w:p>
    <w:p w14:paraId="34676002">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1.6.1.动态校准仪</w:t>
      </w:r>
    </w:p>
    <w:p w14:paraId="08F0D60F">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1）要求外标气路的MFC量程至少为0-20ml/min，零气气路的MFC量程至少为0-2L/min；</w:t>
      </w:r>
    </w:p>
    <w:p w14:paraId="5C744989">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2）动态校准仪可与走航软件平台实现通信，接受平台控制指令，实现全自动操作。</w:t>
      </w:r>
    </w:p>
    <w:p w14:paraId="3DB84561">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1.6.2.零气发生器</w:t>
      </w:r>
    </w:p>
    <w:p w14:paraId="44323EB3">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功能：可通过催化剂在高温下将烃类物质完全催化氧化成水和CO2，过滤掉水和颗粒物得到超高纯净度的除烃空气，用于校准仪器及吹扫气路；</w:t>
      </w:r>
    </w:p>
    <w:p w14:paraId="505CBDFC">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电源：100~230V，50/60Hz。</w:t>
      </w:r>
    </w:p>
    <w:p w14:paraId="7B197429">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1.6.3.标气及配套</w:t>
      </w:r>
    </w:p>
    <w:p w14:paraId="0F9C05AC">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按需配备VOCs标准气体，包括116种化合物、氮气。</w:t>
      </w:r>
    </w:p>
    <w:p w14:paraId="31C10B48">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采用有证标气或有资质单位生产的标准气体。4LPAMS的57种组分、TO-15的66种组分和13种醛酮类组分混合标气各1瓶；</w:t>
      </w:r>
    </w:p>
    <w:p w14:paraId="7D544ACF">
      <w:pPr>
        <w:tabs>
          <w:tab w:val="left" w:pos="0"/>
        </w:tabs>
        <w:spacing w:line="360" w:lineRule="auto"/>
        <w:ind w:firstLine="480" w:firstLineChars="200"/>
        <w:rPr>
          <w:rFonts w:hint="eastAsia" w:ascii="仿宋_GB2312" w:eastAsia="仿宋_GB2312" w:cs="Helvetica"/>
          <w:b/>
          <w:bCs/>
          <w:color w:val="auto"/>
          <w:kern w:val="0"/>
          <w:sz w:val="24"/>
          <w:highlight w:val="none"/>
        </w:rPr>
      </w:pPr>
      <w:r>
        <w:rPr>
          <w:rFonts w:hint="eastAsia" w:ascii="仿宋_GB2312" w:eastAsia="仿宋_GB2312" w:cs="Helvetica"/>
          <w:b w:val="0"/>
          <w:bCs w:val="0"/>
          <w:color w:val="auto"/>
          <w:kern w:val="0"/>
          <w:sz w:val="24"/>
          <w:highlight w:val="none"/>
        </w:rPr>
        <w:t>高纯氮气：1瓶，8L；纯度≥99.999%；</w:t>
      </w:r>
    </w:p>
    <w:p w14:paraId="35D156DB">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1.7配置质谱工作站软件一套</w:t>
      </w:r>
    </w:p>
    <w:p w14:paraId="2EACDDCC">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1)质谱工作站软件需为全中文操作界面，可在不联网状态下实现对仪器的控制、数据采集及管理；</w:t>
      </w:r>
    </w:p>
    <w:p w14:paraId="77B39715">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2)具有数据质量自动校检，仪器状态性能自检功能；</w:t>
      </w:r>
    </w:p>
    <w:p w14:paraId="78DB8BEF">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3)具备对仪器AEC全自动电路控制功能(启动关闭仪器，真空压力显示、电参数读取与控制、故障判别及故障信息查询等)；</w:t>
      </w:r>
    </w:p>
    <w:p w14:paraId="1A1B31FD">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4)质谱采集参数设置、质谱质量轴自动校正功能、自动定性判断、自动定性定量分析、碎片离子搜索功能、谱图物质识别、浓度时间趋势线分析、试剂峰消隐、多终端使用等功能；</w:t>
      </w:r>
    </w:p>
    <w:p w14:paraId="32ED2DF8">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5)可进行自动校准，实时进行浓度分析：采集软件能够对挥发性有机物在线实时定量分析，并对数据进行显示和保存；</w:t>
      </w:r>
    </w:p>
    <w:p w14:paraId="475B908A">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6)数据格式：谱图文件数据格式包括通用电子表CSV数据格式、文本格式；</w:t>
      </w:r>
    </w:p>
    <w:p w14:paraId="33C0E21E">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7)软件具备质谱峰跟踪功能，可自动跟踪800种以上组分的质谱峰并显示相关参数，跟踪过程中还可选择不同的电离模式以适应多种离子源；</w:t>
      </w:r>
    </w:p>
    <w:p w14:paraId="4DFAB595">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8)▲具备智能化全自动质控功能，可根据预先设定的校准时间间隔，实现无人值守状态下的全自动校准和仪器各项指标的自动计算评价，提高运维质量，简化运维流程，降低运维成本；（</w:t>
      </w:r>
      <w:r>
        <w:rPr>
          <w:rFonts w:hint="eastAsia" w:ascii="仿宋_GB2312" w:eastAsia="仿宋_GB2312" w:cs="Helvetica"/>
          <w:b w:val="0"/>
          <w:bCs w:val="0"/>
          <w:color w:val="auto"/>
          <w:kern w:val="0"/>
          <w:sz w:val="24"/>
          <w:highlight w:val="none"/>
          <w:lang w:eastAsia="zh-CN"/>
        </w:rPr>
        <w:t>提供具备由经过CMA认证的计量部门出具的检测报告或官网截图或产品说明书或软件截图</w:t>
      </w:r>
      <w:r>
        <w:rPr>
          <w:rFonts w:hint="eastAsia" w:ascii="仿宋_GB2312" w:eastAsia="仿宋_GB2312" w:cs="Helvetica"/>
          <w:b w:val="0"/>
          <w:bCs w:val="0"/>
          <w:color w:val="auto"/>
          <w:kern w:val="0"/>
          <w:sz w:val="24"/>
          <w:highlight w:val="none"/>
        </w:rPr>
        <w:t>）</w:t>
      </w:r>
    </w:p>
    <w:p w14:paraId="68BBEEB7">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8.1）自动质控系统具备图形化全自动质控功能，可运行校准/性能指标多种测试工作模式下。</w:t>
      </w:r>
    </w:p>
    <w:p w14:paraId="0CDCEB5A">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8.2）自动质控系统用户界面友好，质控项目全面（包括但不限于检出限、精密度、准确度等），校准及指标测试任务内容设计全面；</w:t>
      </w:r>
    </w:p>
    <w:p w14:paraId="59A7A75D">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8.3）自动质控系统可实现全自动无人化运行，历史记录清晰全面、便于查询和完整；</w:t>
      </w:r>
    </w:p>
    <w:p w14:paraId="12DDB540">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8.4）自动质控系统可实现动态校准仪自动输出样品功能；可实现定时的标准气体自动输出功能，无需人员干预；</w:t>
      </w:r>
    </w:p>
    <w:p w14:paraId="440E0810">
      <w:pPr>
        <w:tabs>
          <w:tab w:val="left" w:pos="0"/>
        </w:tabs>
        <w:spacing w:line="360" w:lineRule="auto"/>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8.5）自动质控系统可实现自动校准功能，校准结果可实现闭环管理，校准结果可自动验证；</w:t>
      </w:r>
    </w:p>
    <w:p w14:paraId="196F8BD6">
      <w:pPr>
        <w:numPr>
          <w:ilvl w:val="0"/>
          <w:numId w:val="0"/>
        </w:numPr>
        <w:ind w:firstLine="480" w:firstLineChars="20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8.6）自动质控系统可依据评价方法和标准进行定时性能指标测试，并对测试结果进行评价和上传。</w:t>
      </w:r>
    </w:p>
    <w:p w14:paraId="5423C21E">
      <w:pPr>
        <w:pStyle w:val="14"/>
        <w:rPr>
          <w:rFonts w:hint="eastAsia" w:ascii="仿宋" w:hAnsi="Times New Roman" w:eastAsia="仿宋" w:cs="Times New Roman"/>
          <w:b/>
          <w:bCs/>
          <w:color w:val="auto"/>
          <w:kern w:val="0"/>
          <w:sz w:val="24"/>
          <w:szCs w:val="20"/>
          <w:highlight w:val="none"/>
          <w:lang w:val="en-US" w:eastAsia="zh-CN" w:bidi="ar-SA"/>
        </w:rPr>
      </w:pPr>
      <w:r>
        <w:rPr>
          <w:rFonts w:hint="eastAsia" w:ascii="仿宋" w:hAnsi="Times New Roman" w:eastAsia="仿宋" w:cs="Times New Roman"/>
          <w:b/>
          <w:bCs/>
          <w:color w:val="auto"/>
          <w:kern w:val="0"/>
          <w:sz w:val="24"/>
          <w:szCs w:val="20"/>
          <w:highlight w:val="none"/>
          <w:lang w:val="en-US" w:eastAsia="zh-CN" w:bidi="ar-SA"/>
        </w:rPr>
        <w:t>2.</w:t>
      </w:r>
      <w:r>
        <w:rPr>
          <w:rFonts w:hint="eastAsia" w:ascii="仿宋" w:eastAsia="仿宋" w:cs="Times New Roman"/>
          <w:b/>
          <w:bCs/>
          <w:color w:val="auto"/>
          <w:kern w:val="0"/>
          <w:sz w:val="24"/>
          <w:szCs w:val="20"/>
          <w:highlight w:val="none"/>
          <w:lang w:val="en-US" w:eastAsia="zh-CN" w:bidi="ar-SA"/>
        </w:rPr>
        <w:t>颗粒物监测仪（PM2.5/PM10）</w:t>
      </w:r>
    </w:p>
    <w:p w14:paraId="3C71F2BF">
      <w:pPr>
        <w:spacing w:line="240" w:lineRule="auto"/>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2</w:t>
      </w:r>
      <w:r>
        <w:rPr>
          <w:rFonts w:hint="eastAsia" w:ascii="仿宋" w:hAnsi="Times New Roman" w:eastAsia="仿宋" w:cs="Times New Roman"/>
          <w:b/>
          <w:bCs/>
          <w:color w:val="auto"/>
          <w:kern w:val="0"/>
          <w:sz w:val="24"/>
          <w:szCs w:val="20"/>
          <w:highlight w:val="none"/>
          <w:lang w:val="en-US" w:eastAsia="zh-CN" w:bidi="ar-SA"/>
        </w:rPr>
        <w:t>.1 基本要求</w:t>
      </w:r>
    </w:p>
    <w:p w14:paraId="233013BA">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适用于走航监测，设备需保证在车辆行进时可对环境空气、污染源无组织废气中的污染物浓度开展连续自动监测，秒级数据。</w:t>
      </w:r>
    </w:p>
    <w:p w14:paraId="0F5E959D">
      <w:pPr>
        <w:spacing w:line="240" w:lineRule="auto"/>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2</w:t>
      </w:r>
      <w:r>
        <w:rPr>
          <w:rFonts w:hint="eastAsia" w:ascii="仿宋" w:hAnsi="Times New Roman" w:eastAsia="仿宋" w:cs="Times New Roman"/>
          <w:b/>
          <w:bCs/>
          <w:color w:val="auto"/>
          <w:kern w:val="0"/>
          <w:sz w:val="24"/>
          <w:szCs w:val="20"/>
          <w:highlight w:val="none"/>
          <w:lang w:val="en-US" w:eastAsia="zh-CN" w:bidi="ar-SA"/>
        </w:rPr>
        <w:t>.2分析方法</w:t>
      </w:r>
    </w:p>
    <w:p w14:paraId="7C0D9FF0">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β射线吸收和光散射法联用法。</w:t>
      </w:r>
    </w:p>
    <w:p w14:paraId="2B153D28">
      <w:pPr>
        <w:spacing w:line="240" w:lineRule="auto"/>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2</w:t>
      </w:r>
      <w:r>
        <w:rPr>
          <w:rFonts w:hint="eastAsia" w:ascii="仿宋" w:hAnsi="Times New Roman" w:eastAsia="仿宋" w:cs="Times New Roman"/>
          <w:b/>
          <w:bCs/>
          <w:color w:val="auto"/>
          <w:kern w:val="0"/>
          <w:sz w:val="24"/>
          <w:szCs w:val="20"/>
          <w:highlight w:val="none"/>
          <w:lang w:val="en-US" w:eastAsia="zh-CN" w:bidi="ar-SA"/>
        </w:rPr>
        <w:t>.3 技术参数</w:t>
      </w:r>
    </w:p>
    <w:p w14:paraId="34E73440">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监测仪正常工作环境条件。环境温度：15℃~35℃。相对湿度：≤85%。大气压：80 kPa～106 kPa。</w:t>
      </w:r>
    </w:p>
    <w:p w14:paraId="686AF638">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电源要求。监测系统应配有稳压电源，供电电压符合AC 220 V±22 V，50 Hz±1 Hz。</w:t>
      </w:r>
    </w:p>
    <w:p w14:paraId="5AD24CCF">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安全要求。在环境温度为15℃～35℃，相对湿度≤85%条件下，设备电源端子对地或机壳的绝缘电阻不小于20MΩ。在环境温度为15℃～35℃，相对湿度≤85%条件下，设备在1500 V（有效值）、50 Hz正弦波实验电压下持续1 min，不应出现击穿或飞弧现象。使用的β射线源应符合《放射性同位素与射线装置安全和防护管理办法》的要求。</w:t>
      </w:r>
    </w:p>
    <w:p w14:paraId="4FB8ABF1">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数据显示、记录和输出要求。具备显示、记录和输出测量数据的功能。具备数字信号输出功能。具备数据的标记功能，应能标记维护、校准、故障或其他异常情况。应能显示软件版本号，软件应对全部人员控制操作均自动记录、保存，形成系统操作记录日志，不可修改，并可查询。</w:t>
      </w:r>
    </w:p>
    <w:p w14:paraId="3F1A21D8">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参数显示、记录和输出要求。具备显示、记录和输出参数的功能。具备参数修改后留痕功能，应能记录和输出被修改的参数名称、修改用户、修改时间、修改前参数值和修改后参数值，每项参数的修改记录保存时间不少于1 a，且保存次数不少于50次。</w:t>
      </w:r>
    </w:p>
    <w:p w14:paraId="42F6BE97">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断电恢复功能要求。仪器断电后，应能自动保存数据；恢复供电后系统应自动启动，并恢复正常工作状态。</w:t>
      </w:r>
    </w:p>
    <w:p w14:paraId="432E05A3">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性能指标要求。</w:t>
      </w:r>
    </w:p>
    <w:p w14:paraId="35BB3683">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测量范围：0~1000 μg/m3或0~10000 μg/m3（可选），最小显示单位为0.1μg/m3。</w:t>
      </w:r>
    </w:p>
    <w:p w14:paraId="0218FC33">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流量：平均流量偏差：≤±5%。流量相对标准偏差：≤2%。平均流量示值误差：≤2%。</w:t>
      </w:r>
    </w:p>
    <w:p w14:paraId="09ECA89F">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零点偏差：±10 μg/m3。</w:t>
      </w:r>
    </w:p>
    <w:p w14:paraId="0DCA163E">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平行性：≤15%。</w:t>
      </w:r>
    </w:p>
    <w:p w14:paraId="52EB361F">
      <w:pPr>
        <w:rPr>
          <w:rFonts w:hint="eastAsia"/>
          <w:color w:val="auto"/>
          <w:highlight w:val="none"/>
          <w:lang w:val="en-US" w:eastAsia="zh-CN"/>
        </w:rPr>
      </w:pPr>
    </w:p>
    <w:p w14:paraId="3FDDB943">
      <w:pPr>
        <w:rPr>
          <w:rFonts w:hint="default"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 xml:space="preserve">   3</w:t>
      </w:r>
      <w:r>
        <w:rPr>
          <w:rFonts w:hint="eastAsia" w:ascii="仿宋" w:hAnsi="Times New Roman" w:eastAsia="仿宋" w:cs="Times New Roman"/>
          <w:b/>
          <w:bCs/>
          <w:color w:val="auto"/>
          <w:kern w:val="0"/>
          <w:sz w:val="24"/>
          <w:szCs w:val="20"/>
          <w:highlight w:val="none"/>
          <w:lang w:val="en-US" w:eastAsia="zh-CN" w:bidi="ar-SA"/>
        </w:rPr>
        <w:t>.</w:t>
      </w:r>
      <w:r>
        <w:rPr>
          <w:rFonts w:hint="eastAsia" w:ascii="仿宋" w:eastAsia="仿宋" w:cs="Times New Roman"/>
          <w:b/>
          <w:bCs/>
          <w:color w:val="auto"/>
          <w:kern w:val="0"/>
          <w:sz w:val="24"/>
          <w:szCs w:val="20"/>
          <w:highlight w:val="none"/>
          <w:lang w:val="en-US" w:eastAsia="zh-CN" w:bidi="ar-SA"/>
        </w:rPr>
        <w:t>氮氧化物监测仪</w:t>
      </w:r>
    </w:p>
    <w:p w14:paraId="52F51EFD">
      <w:pPr>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3</w:t>
      </w:r>
      <w:r>
        <w:rPr>
          <w:rFonts w:hint="eastAsia" w:ascii="仿宋" w:hAnsi="Times New Roman" w:eastAsia="仿宋" w:cs="Times New Roman"/>
          <w:b/>
          <w:bCs/>
          <w:color w:val="auto"/>
          <w:kern w:val="0"/>
          <w:sz w:val="24"/>
          <w:szCs w:val="20"/>
          <w:highlight w:val="none"/>
          <w:lang w:val="en-US" w:eastAsia="zh-CN" w:bidi="ar-SA"/>
        </w:rPr>
        <w:t>.1 基本要求</w:t>
      </w:r>
    </w:p>
    <w:p w14:paraId="77A38FF9">
      <w:pPr>
        <w:spacing w:line="360" w:lineRule="auto"/>
        <w:ind w:firstLine="480"/>
        <w:rPr>
          <w:color w:val="auto"/>
          <w:kern w:val="0"/>
          <w:sz w:val="24"/>
          <w:highlight w:val="none"/>
        </w:rPr>
      </w:pPr>
      <w:r>
        <w:rPr>
          <w:rFonts w:hint="eastAsia" w:ascii="仿宋_GB2312" w:eastAsia="仿宋_GB2312" w:cs="Helvetica"/>
          <w:b w:val="0"/>
          <w:bCs w:val="0"/>
          <w:color w:val="auto"/>
          <w:kern w:val="0"/>
          <w:sz w:val="24"/>
          <w:highlight w:val="none"/>
        </w:rPr>
        <w:t>适用于走航监测，设备需保证在车辆行进时可对环境空气、污染源无组织废气中的污染物浓度开展连续自动监测，秒级数据。</w:t>
      </w:r>
    </w:p>
    <w:p w14:paraId="233C8294">
      <w:pPr>
        <w:numPr>
          <w:ilvl w:val="3"/>
          <w:numId w:val="0"/>
        </w:numPr>
        <w:spacing w:line="360" w:lineRule="auto"/>
        <w:outlineLvl w:val="3"/>
        <w:rPr>
          <w:b/>
          <w:color w:val="auto"/>
          <w:sz w:val="24"/>
          <w:highlight w:val="none"/>
        </w:rPr>
      </w:pPr>
      <w:r>
        <w:rPr>
          <w:rFonts w:hint="eastAsia" w:ascii="仿宋" w:eastAsia="仿宋" w:cs="Times New Roman"/>
          <w:b/>
          <w:bCs/>
          <w:color w:val="auto"/>
          <w:kern w:val="0"/>
          <w:sz w:val="24"/>
          <w:szCs w:val="20"/>
          <w:highlight w:val="none"/>
          <w:lang w:val="en-US" w:eastAsia="zh-CN" w:bidi="ar-SA"/>
        </w:rPr>
        <w:t>3.2 分析方法</w:t>
      </w:r>
    </w:p>
    <w:p w14:paraId="0D728774">
      <w:pPr>
        <w:spacing w:line="360" w:lineRule="auto"/>
        <w:ind w:firstLine="480"/>
        <w:rPr>
          <w:color w:val="auto"/>
          <w:kern w:val="0"/>
          <w:sz w:val="24"/>
          <w:highlight w:val="none"/>
        </w:rPr>
      </w:pPr>
      <w:r>
        <w:rPr>
          <w:rFonts w:hint="eastAsia" w:ascii="仿宋_GB2312" w:eastAsia="仿宋_GB2312" w:cs="Helvetica"/>
          <w:b w:val="0"/>
          <w:bCs w:val="0"/>
          <w:color w:val="auto"/>
          <w:kern w:val="0"/>
          <w:sz w:val="24"/>
          <w:highlight w:val="none"/>
        </w:rPr>
        <w:t>化学发光法。</w:t>
      </w:r>
    </w:p>
    <w:p w14:paraId="40B13B1F">
      <w:pPr>
        <w:numPr>
          <w:ilvl w:val="3"/>
          <w:numId w:val="0"/>
        </w:numPr>
        <w:spacing w:line="360" w:lineRule="auto"/>
        <w:outlineLvl w:val="3"/>
        <w:rPr>
          <w:b/>
          <w:color w:val="auto"/>
          <w:sz w:val="24"/>
          <w:highlight w:val="none"/>
        </w:rPr>
      </w:pPr>
      <w:r>
        <w:rPr>
          <w:rFonts w:hint="eastAsia" w:ascii="仿宋" w:eastAsia="仿宋" w:cs="Times New Roman"/>
          <w:b/>
          <w:bCs/>
          <w:color w:val="auto"/>
          <w:kern w:val="0"/>
          <w:sz w:val="24"/>
          <w:szCs w:val="20"/>
          <w:highlight w:val="none"/>
          <w:lang w:val="en-US" w:eastAsia="zh-CN" w:bidi="ar-SA"/>
        </w:rPr>
        <w:t>3.3 技术参数</w:t>
      </w:r>
    </w:p>
    <w:p w14:paraId="6A9C610C">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监测仪正常工作环境条件。环境温度：15℃~35℃。相对湿度：≤85%。大气压：80 kPa～106 kPa。</w:t>
      </w:r>
    </w:p>
    <w:p w14:paraId="720CAD73">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电源要求：监测系统应配有稳压电源，供电电压符合AC 220V±22V，50 Hz±1 Hz。</w:t>
      </w:r>
    </w:p>
    <w:p w14:paraId="5C32AA95">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分析仪器与数据采集和传输设备。能够显示和设置系统时间。能够显示仪器内部工作状态的参数信息。能够显示实时数据，并能够记录存储至少3个月以上的有效数据，并具备查询历史数据的功能。具备时间标签功能，数据为设置时段的平均值。具备数字信号输出功能。具有中文数据采集和控制软件。对各监测数据实时采集、存储、计算，并能以报表或报告形式输出，具备质量浓度和体积浓度单位切换功能。</w:t>
      </w:r>
    </w:p>
    <w:p w14:paraId="4BAFAB71">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断电恢复功能要求。仪器断电后，应能自动保存数据；恢复供电后系统应自动启动，并恢复正常工作状态。</w:t>
      </w:r>
    </w:p>
    <w:p w14:paraId="178B5D89">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性能指标要求。</w:t>
      </w:r>
    </w:p>
    <w:p w14:paraId="19FB6E4D">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测量范围：0~500ppb（需要可调节）。</w:t>
      </w:r>
    </w:p>
    <w:p w14:paraId="61273C09">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零点噪声：≤1ppb。</w:t>
      </w:r>
    </w:p>
    <w:p w14:paraId="22974CB4">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最低检出限：≤2ppb。</w:t>
      </w:r>
    </w:p>
    <w:p w14:paraId="2862A9C0">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量程噪声：≤5ppb。</w:t>
      </w:r>
    </w:p>
    <w:p w14:paraId="436018BE">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示值误差：≤±2%满量程。</w:t>
      </w:r>
    </w:p>
    <w:p w14:paraId="2BD0A4FE">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20%量程精密度：≤5ppb。</w:t>
      </w:r>
    </w:p>
    <w:p w14:paraId="57B6530A">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80%量程精密度：≤10ppb。</w:t>
      </w:r>
    </w:p>
    <w:p w14:paraId="5FFBAA85">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响应时间（上升/下降）：≤60s。</w:t>
      </w:r>
    </w:p>
    <w:p w14:paraId="2E14005D">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量程漂移：≤±10ppb。</w:t>
      </w:r>
    </w:p>
    <w:p w14:paraId="3F601396">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24h 零点漂移：≤±5ppb。</w:t>
      </w:r>
    </w:p>
    <w:p w14:paraId="777575FA">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长期零点漂移：≤±10ppb。</w:t>
      </w:r>
    </w:p>
    <w:p w14:paraId="74932299">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流量稳定性：±10%。</w:t>
      </w:r>
    </w:p>
    <w:p w14:paraId="19767FE2">
      <w:pPr>
        <w:spacing w:line="360" w:lineRule="auto"/>
        <w:ind w:firstLine="480"/>
        <w:rPr>
          <w:rFonts w:hint="eastAsia" w:ascii="仿宋_GB2312" w:eastAsia="仿宋_GB2312" w:cs="Helvetica"/>
          <w:b w:val="0"/>
          <w:bCs w:val="0"/>
          <w:color w:val="auto"/>
          <w:kern w:val="0"/>
          <w:sz w:val="24"/>
          <w:highlight w:val="none"/>
        </w:rPr>
      </w:pPr>
      <w:r>
        <w:rPr>
          <w:rFonts w:hint="eastAsia" w:ascii="仿宋_GB2312" w:eastAsia="仿宋_GB2312" w:cs="Helvetica"/>
          <w:b w:val="0"/>
          <w:bCs w:val="0"/>
          <w:color w:val="auto"/>
          <w:kern w:val="0"/>
          <w:sz w:val="24"/>
          <w:highlight w:val="none"/>
        </w:rPr>
        <w:t>校准曲线：线性相关系数（r）≥0.995。</w:t>
      </w:r>
    </w:p>
    <w:p w14:paraId="1EA19B07">
      <w:pPr>
        <w:numPr>
          <w:ilvl w:val="2"/>
          <w:numId w:val="0"/>
        </w:numPr>
        <w:spacing w:line="360" w:lineRule="auto"/>
        <w:outlineLvl w:val="2"/>
        <w:rPr>
          <w:rFonts w:hint="default" w:eastAsia="宋体"/>
          <w:b/>
          <w:color w:val="auto"/>
          <w:sz w:val="24"/>
          <w:highlight w:val="none"/>
          <w:lang w:val="en-US" w:eastAsia="zh-CN"/>
        </w:rPr>
      </w:pPr>
      <w:r>
        <w:rPr>
          <w:rFonts w:hint="eastAsia"/>
          <w:b/>
          <w:color w:val="auto"/>
          <w:sz w:val="24"/>
          <w:highlight w:val="none"/>
          <w:lang w:val="en-US" w:eastAsia="zh-CN"/>
        </w:rPr>
        <w:t>4.臭氧</w:t>
      </w:r>
      <w:r>
        <w:rPr>
          <w:b/>
          <w:color w:val="auto"/>
          <w:sz w:val="24"/>
          <w:highlight w:val="none"/>
        </w:rPr>
        <w:t>监测仪</w:t>
      </w:r>
    </w:p>
    <w:p w14:paraId="50551450">
      <w:pPr>
        <w:numPr>
          <w:ilvl w:val="3"/>
          <w:numId w:val="0"/>
        </w:numPr>
        <w:spacing w:line="360" w:lineRule="auto"/>
        <w:outlineLvl w:val="3"/>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4</w:t>
      </w:r>
      <w:r>
        <w:rPr>
          <w:rFonts w:hint="eastAsia" w:ascii="仿宋" w:hAnsi="Times New Roman" w:eastAsia="仿宋" w:cs="Times New Roman"/>
          <w:b/>
          <w:bCs/>
          <w:color w:val="auto"/>
          <w:kern w:val="0"/>
          <w:sz w:val="24"/>
          <w:szCs w:val="20"/>
          <w:highlight w:val="none"/>
          <w:lang w:val="en-US" w:eastAsia="zh-CN" w:bidi="ar-SA"/>
        </w:rPr>
        <w:t>.1 基本要求</w:t>
      </w:r>
    </w:p>
    <w:p w14:paraId="366F2A9A">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适用于走航监测，设备需保证在车辆行进时可对环境空气中的污染物浓度开展连续自动监测，秒级数据。</w:t>
      </w:r>
    </w:p>
    <w:p w14:paraId="4B5A48D7">
      <w:pPr>
        <w:numPr>
          <w:ilvl w:val="3"/>
          <w:numId w:val="0"/>
        </w:numPr>
        <w:spacing w:line="360" w:lineRule="auto"/>
        <w:outlineLvl w:val="3"/>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4</w:t>
      </w:r>
      <w:r>
        <w:rPr>
          <w:rFonts w:hint="eastAsia" w:ascii="仿宋" w:hAnsi="Times New Roman" w:eastAsia="仿宋" w:cs="Times New Roman"/>
          <w:b/>
          <w:bCs/>
          <w:color w:val="auto"/>
          <w:kern w:val="0"/>
          <w:sz w:val="24"/>
          <w:szCs w:val="20"/>
          <w:highlight w:val="none"/>
          <w:lang w:val="en-US" w:eastAsia="zh-CN" w:bidi="ar-SA"/>
        </w:rPr>
        <w:t>.2 分析方法</w:t>
      </w:r>
    </w:p>
    <w:p w14:paraId="6B989C82">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紫外吸收法。</w:t>
      </w:r>
    </w:p>
    <w:p w14:paraId="46E047A8">
      <w:pPr>
        <w:numPr>
          <w:ilvl w:val="3"/>
          <w:numId w:val="0"/>
        </w:numPr>
        <w:spacing w:line="360" w:lineRule="auto"/>
        <w:outlineLvl w:val="3"/>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4</w:t>
      </w:r>
      <w:r>
        <w:rPr>
          <w:rFonts w:hint="eastAsia" w:ascii="仿宋" w:hAnsi="Times New Roman" w:eastAsia="仿宋" w:cs="Times New Roman"/>
          <w:b/>
          <w:bCs/>
          <w:color w:val="auto"/>
          <w:kern w:val="0"/>
          <w:sz w:val="24"/>
          <w:szCs w:val="20"/>
          <w:highlight w:val="none"/>
          <w:lang w:val="en-US" w:eastAsia="zh-CN" w:bidi="ar-SA"/>
        </w:rPr>
        <w:t>.3 技术参数</w:t>
      </w:r>
    </w:p>
    <w:p w14:paraId="5A981BB1">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监测仪正常工作环境条件。环境温度：15℃~35℃。相对湿度：≤85%。大气压：80 kPa～106 kPa。</w:t>
      </w:r>
    </w:p>
    <w:p w14:paraId="5ACEA7E5">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电源要求：监测系统应配有稳压电源，供电电压符合AC 220 V±22 V，50 Hz±1 Hz。</w:t>
      </w:r>
    </w:p>
    <w:p w14:paraId="4994E136">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分析仪器与数据采集和传输设备。能够显示和设置系统时间。能够显示仪器内部工作状态的参数信息。能够显示实时数据，并能够记录存储至少3个月以上的有效数据，并具备查询历史数据的功能。具备时间标签功能，数据为设置时段的平均值。具备数字信号输出功能。具有中文数据采集和控制软件。对各监测数据实时采集、存储、计算，并能以报表或报告形式输出，具备质量浓度和体积浓度单位切换功能。</w:t>
      </w:r>
    </w:p>
    <w:p w14:paraId="14EFC9A6">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断电恢复功能要求。仪器断电后，应能自动保存数据；恢复供电后系统应自动启动，并恢复正常工作状态。</w:t>
      </w:r>
    </w:p>
    <w:p w14:paraId="74E6D6FC">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性能指标要求。</w:t>
      </w:r>
    </w:p>
    <w:p w14:paraId="4D9050A1">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测量范围：0~500 ppb（需要可调节）。</w:t>
      </w:r>
    </w:p>
    <w:p w14:paraId="1EBE10A5">
      <w:pPr>
        <w:spacing w:line="360" w:lineRule="auto"/>
        <w:ind w:firstLine="480"/>
        <w:rPr>
          <w:rFonts w:hint="eastAsia" w:ascii="仿宋_GB2312" w:hAnsi="Times New Roman" w:eastAsia="仿宋_GB2312" w:cs="Helvetica"/>
          <w:b w:val="0"/>
          <w:bCs w:val="0"/>
          <w:color w:val="auto"/>
          <w:kern w:val="0"/>
          <w:sz w:val="24"/>
          <w:szCs w:val="20"/>
          <w:highlight w:val="none"/>
        </w:rPr>
      </w:pPr>
      <w:bookmarkStart w:id="44" w:name="_SO2监测仪"/>
      <w:bookmarkEnd w:id="44"/>
      <w:r>
        <w:rPr>
          <w:rFonts w:hint="eastAsia" w:ascii="仿宋_GB2312" w:hAnsi="Times New Roman" w:eastAsia="仿宋_GB2312" w:cs="Helvetica"/>
          <w:b w:val="0"/>
          <w:bCs w:val="0"/>
          <w:color w:val="auto"/>
          <w:kern w:val="0"/>
          <w:sz w:val="24"/>
          <w:szCs w:val="20"/>
          <w:highlight w:val="none"/>
        </w:rPr>
        <w:t>零点噪声：≤1 ppb。</w:t>
      </w:r>
    </w:p>
    <w:p w14:paraId="24CCA6BC">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最低检出限：≤2 ppb。</w:t>
      </w:r>
    </w:p>
    <w:p w14:paraId="1E85C6E0">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量程噪声：≤5 ppb。</w:t>
      </w:r>
    </w:p>
    <w:p w14:paraId="37C0DE21">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示值误差：±2%满量程。</w:t>
      </w:r>
    </w:p>
    <w:p w14:paraId="1A4587EA">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20%量程精密度：≤5 ppb。</w:t>
      </w:r>
    </w:p>
    <w:p w14:paraId="69DAC2AF">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80%量程精密度：≤10 ppb。</w:t>
      </w:r>
    </w:p>
    <w:p w14:paraId="3799389A">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零点漂移（24小时）：±5 ppb。</w:t>
      </w:r>
    </w:p>
    <w:p w14:paraId="1BA6999F">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20%量程漂移（24小时）：±5 ppb。</w:t>
      </w:r>
    </w:p>
    <w:p w14:paraId="168612DF">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80%量程漂移（24小时）：±10 ppb。</w:t>
      </w:r>
    </w:p>
    <w:p w14:paraId="36E220CC">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响应时间（上升时间/下降时间）：≤60s。</w:t>
      </w:r>
    </w:p>
    <w:p w14:paraId="09197ECE">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流量稳定性：±10%。</w:t>
      </w:r>
    </w:p>
    <w:p w14:paraId="31A7CE74">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校准曲线：线性相关系数（r）≥0.995。</w:t>
      </w:r>
    </w:p>
    <w:p w14:paraId="12B6324F">
      <w:pPr>
        <w:numPr>
          <w:ilvl w:val="3"/>
          <w:numId w:val="0"/>
        </w:numPr>
        <w:spacing w:line="360" w:lineRule="auto"/>
        <w:outlineLvl w:val="3"/>
        <w:rPr>
          <w:rFonts w:hint="default" w:ascii="仿宋" w:hAnsi="Times New Roman" w:eastAsia="仿宋" w:cs="Times New Roman"/>
          <w:b/>
          <w:bCs/>
          <w:color w:val="auto"/>
          <w:kern w:val="0"/>
          <w:sz w:val="24"/>
          <w:szCs w:val="20"/>
          <w:highlight w:val="none"/>
          <w:lang w:val="en-US" w:eastAsia="zh-CN" w:bidi="ar-SA"/>
        </w:rPr>
      </w:pPr>
      <w:r>
        <w:rPr>
          <w:rFonts w:hint="eastAsia" w:ascii="仿宋" w:hAnsi="Times New Roman" w:eastAsia="仿宋" w:cs="Times New Roman"/>
          <w:b/>
          <w:bCs/>
          <w:color w:val="auto"/>
          <w:kern w:val="0"/>
          <w:sz w:val="24"/>
          <w:szCs w:val="20"/>
          <w:highlight w:val="none"/>
          <w:lang w:val="en-US" w:eastAsia="zh-CN" w:bidi="ar-SA"/>
        </w:rPr>
        <w:t>5.二氧化硫监测仪</w:t>
      </w:r>
    </w:p>
    <w:p w14:paraId="4FDE60B2">
      <w:pPr>
        <w:numPr>
          <w:ilvl w:val="3"/>
          <w:numId w:val="0"/>
        </w:numPr>
        <w:spacing w:line="360" w:lineRule="auto"/>
        <w:outlineLvl w:val="3"/>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5</w:t>
      </w:r>
      <w:r>
        <w:rPr>
          <w:rFonts w:hint="eastAsia" w:ascii="仿宋" w:hAnsi="Times New Roman" w:eastAsia="仿宋" w:cs="Times New Roman"/>
          <w:b/>
          <w:bCs/>
          <w:color w:val="auto"/>
          <w:kern w:val="0"/>
          <w:sz w:val="24"/>
          <w:szCs w:val="20"/>
          <w:highlight w:val="none"/>
          <w:lang w:val="en-US" w:eastAsia="zh-CN" w:bidi="ar-SA"/>
        </w:rPr>
        <w:t>.1 基本要求</w:t>
      </w:r>
    </w:p>
    <w:p w14:paraId="347DF30F">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适用于走航监测，设备需保证在车辆行进时可对环境空气、污染源无组织废气中的污染物浓度开展连续自动监测，秒级数据。</w:t>
      </w:r>
    </w:p>
    <w:p w14:paraId="7EB253A4">
      <w:pPr>
        <w:numPr>
          <w:ilvl w:val="3"/>
          <w:numId w:val="0"/>
        </w:numPr>
        <w:spacing w:line="360" w:lineRule="auto"/>
        <w:outlineLvl w:val="3"/>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5</w:t>
      </w:r>
      <w:r>
        <w:rPr>
          <w:rFonts w:hint="eastAsia" w:ascii="仿宋" w:hAnsi="Times New Roman" w:eastAsia="仿宋" w:cs="Times New Roman"/>
          <w:b/>
          <w:bCs/>
          <w:color w:val="auto"/>
          <w:kern w:val="0"/>
          <w:sz w:val="24"/>
          <w:szCs w:val="20"/>
          <w:highlight w:val="none"/>
          <w:lang w:val="en-US" w:eastAsia="zh-CN" w:bidi="ar-SA"/>
        </w:rPr>
        <w:t>.2 分析方法</w:t>
      </w:r>
    </w:p>
    <w:p w14:paraId="21D0A89F">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紫外荧光法。</w:t>
      </w:r>
    </w:p>
    <w:p w14:paraId="78C41B81">
      <w:pPr>
        <w:numPr>
          <w:ilvl w:val="3"/>
          <w:numId w:val="0"/>
        </w:numPr>
        <w:spacing w:line="360" w:lineRule="auto"/>
        <w:outlineLvl w:val="3"/>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5</w:t>
      </w:r>
      <w:r>
        <w:rPr>
          <w:rFonts w:hint="eastAsia" w:ascii="仿宋" w:hAnsi="Times New Roman" w:eastAsia="仿宋" w:cs="Times New Roman"/>
          <w:b/>
          <w:bCs/>
          <w:color w:val="auto"/>
          <w:kern w:val="0"/>
          <w:sz w:val="24"/>
          <w:szCs w:val="20"/>
          <w:highlight w:val="none"/>
          <w:lang w:val="en-US" w:eastAsia="zh-CN" w:bidi="ar-SA"/>
        </w:rPr>
        <w:t>.3 技术参数</w:t>
      </w:r>
    </w:p>
    <w:p w14:paraId="048CDC86">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监测仪正常工作环境条件。环境温度：15℃~35℃。相对湿度：≤85%。大气压：80 kPa～106 kPa。</w:t>
      </w:r>
    </w:p>
    <w:p w14:paraId="17E82B7B">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电源要求：监测系统应配有稳压电源，供电电压符合AC 220V±22V，50 Hz±1 Hz。</w:t>
      </w:r>
    </w:p>
    <w:p w14:paraId="43E022EA">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分析仪器与数据采集和传输设备。能够显示和设置系统时间。能够显示仪器内部工作状态的参数信息。能够显示实时数据，并能够记录存储至少3个月以上的有效数据，并具备查询历史数据的功能。具备时间标签功能，数据为设置时段的平均值。具备数字信号输出功能。具有中文数据采集和控制软件。对各监测数据实时采集、存储、计算，并能以报表或报告形式输出，具备质量浓度和体积浓度单位切换功能。</w:t>
      </w:r>
    </w:p>
    <w:p w14:paraId="4D7C6446">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断电恢复功能要求。仪器断电后，应能自动保存数据；恢复供电后系统应自动启动，并恢复正常工作状态。</w:t>
      </w:r>
    </w:p>
    <w:p w14:paraId="01935DB9">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性能指标要求。</w:t>
      </w:r>
    </w:p>
    <w:p w14:paraId="4F220BDA">
      <w:pPr>
        <w:spacing w:line="360" w:lineRule="auto"/>
        <w:ind w:firstLine="480"/>
        <w:rPr>
          <w:rFonts w:hint="eastAsia" w:ascii="仿宋_GB2312" w:hAnsi="Times New Roman" w:eastAsia="仿宋_GB2312" w:cs="Helvetica"/>
          <w:b w:val="0"/>
          <w:bCs w:val="0"/>
          <w:color w:val="auto"/>
          <w:kern w:val="0"/>
          <w:sz w:val="24"/>
          <w:szCs w:val="20"/>
          <w:highlight w:val="none"/>
        </w:rPr>
      </w:pPr>
      <w:bookmarkStart w:id="45" w:name="_双通道VOCs监测仪(直接质谱模式+气质联用模式)"/>
      <w:bookmarkEnd w:id="45"/>
      <w:r>
        <w:rPr>
          <w:rFonts w:hint="eastAsia" w:ascii="仿宋_GB2312" w:hAnsi="Times New Roman" w:eastAsia="仿宋_GB2312" w:cs="Helvetica"/>
          <w:b w:val="0"/>
          <w:bCs w:val="0"/>
          <w:color w:val="auto"/>
          <w:kern w:val="0"/>
          <w:sz w:val="24"/>
          <w:szCs w:val="20"/>
          <w:highlight w:val="none"/>
        </w:rPr>
        <w:t>测量范围：0~500ppb（需要可调节）。</w:t>
      </w:r>
    </w:p>
    <w:p w14:paraId="4D5C3105">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零点噪声：≤1 ppb。</w:t>
      </w:r>
    </w:p>
    <w:p w14:paraId="580FFFA8">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最低检出限：≤2ppb。</w:t>
      </w:r>
    </w:p>
    <w:p w14:paraId="31072C3A">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量程噪声：≤5ppb。</w:t>
      </w:r>
    </w:p>
    <w:p w14:paraId="3C75B6B7">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示值误差：±2%满量程。</w:t>
      </w:r>
    </w:p>
    <w:p w14:paraId="02BE4A3F">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20%量程精密度：≤5ppb。</w:t>
      </w:r>
    </w:p>
    <w:p w14:paraId="7C3C332F">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80%量程精密度：≤10ppb。</w:t>
      </w:r>
    </w:p>
    <w:p w14:paraId="63375F99">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零点漂移（24小时）：±5 ppb。</w:t>
      </w:r>
    </w:p>
    <w:p w14:paraId="138A1845">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20%量程漂移（24小时）：±5ppb。</w:t>
      </w:r>
    </w:p>
    <w:p w14:paraId="4D6930AE">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80%量程漂移（24小时）：±10ppb。</w:t>
      </w:r>
    </w:p>
    <w:p w14:paraId="3DEA97E9">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响应时间（上升时间/下降时间）：≤60s。</w:t>
      </w:r>
    </w:p>
    <w:p w14:paraId="11F6EB4E">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流量稳定性：±10%。</w:t>
      </w:r>
    </w:p>
    <w:p w14:paraId="69AAA84B">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校准曲线：线性相关系数（r）≥0.995。</w:t>
      </w:r>
    </w:p>
    <w:p w14:paraId="7C21DB44">
      <w:pPr>
        <w:numPr>
          <w:ilvl w:val="3"/>
          <w:numId w:val="0"/>
        </w:numPr>
        <w:spacing w:line="360" w:lineRule="auto"/>
        <w:outlineLvl w:val="3"/>
        <w:rPr>
          <w:rFonts w:hint="default" w:ascii="仿宋" w:hAnsi="Times New Roman" w:eastAsia="仿宋" w:cs="Times New Roman"/>
          <w:b/>
          <w:bCs/>
          <w:color w:val="auto"/>
          <w:kern w:val="0"/>
          <w:sz w:val="24"/>
          <w:szCs w:val="20"/>
          <w:highlight w:val="none"/>
          <w:lang w:val="en-US" w:eastAsia="zh-CN" w:bidi="ar-SA"/>
        </w:rPr>
      </w:pPr>
      <w:r>
        <w:rPr>
          <w:rFonts w:hint="eastAsia" w:ascii="仿宋" w:hAnsi="Times New Roman" w:eastAsia="仿宋" w:cs="Times New Roman"/>
          <w:b/>
          <w:bCs/>
          <w:color w:val="auto"/>
          <w:kern w:val="0"/>
          <w:sz w:val="24"/>
          <w:szCs w:val="20"/>
          <w:highlight w:val="none"/>
          <w:lang w:val="en-US" w:eastAsia="zh-CN" w:bidi="ar-SA"/>
        </w:rPr>
        <w:t>6.</w:t>
      </w:r>
      <w:bookmarkStart w:id="46" w:name="_Toc161576156"/>
      <w:bookmarkStart w:id="47" w:name="_Toc165836808"/>
      <w:r>
        <w:rPr>
          <w:rFonts w:hint="eastAsia" w:ascii="仿宋" w:hAnsi="Times New Roman" w:eastAsia="仿宋" w:cs="Times New Roman"/>
          <w:b/>
          <w:bCs/>
          <w:color w:val="auto"/>
          <w:kern w:val="0"/>
          <w:sz w:val="24"/>
          <w:szCs w:val="20"/>
          <w:highlight w:val="none"/>
          <w:lang w:val="en-US" w:eastAsia="zh-CN" w:bidi="ar-SA"/>
        </w:rPr>
        <w:t xml:space="preserve"> 一氧化碳监测仪</w:t>
      </w:r>
      <w:bookmarkEnd w:id="46"/>
      <w:bookmarkEnd w:id="47"/>
    </w:p>
    <w:p w14:paraId="378C0A60">
      <w:pPr>
        <w:numPr>
          <w:ilvl w:val="3"/>
          <w:numId w:val="0"/>
        </w:numPr>
        <w:spacing w:line="360" w:lineRule="auto"/>
        <w:outlineLvl w:val="3"/>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6</w:t>
      </w:r>
      <w:r>
        <w:rPr>
          <w:rFonts w:hint="eastAsia" w:ascii="仿宋" w:hAnsi="Times New Roman" w:eastAsia="仿宋" w:cs="Times New Roman"/>
          <w:b/>
          <w:bCs/>
          <w:color w:val="auto"/>
          <w:kern w:val="0"/>
          <w:sz w:val="24"/>
          <w:szCs w:val="20"/>
          <w:highlight w:val="none"/>
          <w:lang w:val="en-US" w:eastAsia="zh-CN" w:bidi="ar-SA"/>
        </w:rPr>
        <w:t>.1 基本要求</w:t>
      </w:r>
    </w:p>
    <w:p w14:paraId="17213091">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适用于走航监测，设备需保证在车辆行进时可对环境空气、污染源无组织废气中的污染物浓度开展连续自动监测，秒级数据。</w:t>
      </w:r>
    </w:p>
    <w:p w14:paraId="2B79641B">
      <w:pPr>
        <w:numPr>
          <w:ilvl w:val="3"/>
          <w:numId w:val="0"/>
        </w:numPr>
        <w:spacing w:line="360" w:lineRule="auto"/>
        <w:outlineLvl w:val="3"/>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6</w:t>
      </w:r>
      <w:r>
        <w:rPr>
          <w:rFonts w:hint="eastAsia" w:ascii="仿宋" w:hAnsi="Times New Roman" w:eastAsia="仿宋" w:cs="Times New Roman"/>
          <w:b/>
          <w:bCs/>
          <w:color w:val="auto"/>
          <w:kern w:val="0"/>
          <w:sz w:val="24"/>
          <w:szCs w:val="20"/>
          <w:highlight w:val="none"/>
          <w:lang w:val="en-US" w:eastAsia="zh-CN" w:bidi="ar-SA"/>
        </w:rPr>
        <w:t>.2 分析方法</w:t>
      </w:r>
    </w:p>
    <w:p w14:paraId="244AEE42">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气体滤波相关红外吸收法。</w:t>
      </w:r>
    </w:p>
    <w:p w14:paraId="09D5F1AF">
      <w:pPr>
        <w:numPr>
          <w:ilvl w:val="3"/>
          <w:numId w:val="0"/>
        </w:numPr>
        <w:spacing w:line="360" w:lineRule="auto"/>
        <w:outlineLvl w:val="3"/>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6</w:t>
      </w:r>
      <w:r>
        <w:rPr>
          <w:rFonts w:hint="eastAsia" w:ascii="仿宋" w:hAnsi="Times New Roman" w:eastAsia="仿宋" w:cs="Times New Roman"/>
          <w:b/>
          <w:bCs/>
          <w:color w:val="auto"/>
          <w:kern w:val="0"/>
          <w:sz w:val="24"/>
          <w:szCs w:val="20"/>
          <w:highlight w:val="none"/>
          <w:lang w:val="en-US" w:eastAsia="zh-CN" w:bidi="ar-SA"/>
        </w:rPr>
        <w:t>.3 技术参数</w:t>
      </w:r>
    </w:p>
    <w:p w14:paraId="2B946872">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监测仪正常工作环境条件。环境温度：15℃~35℃。相对湿度：≤85%。大气压：80 kPa～106 kPa。</w:t>
      </w:r>
    </w:p>
    <w:p w14:paraId="47EA7B40">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电源要求：监测系统应配有稳压电源，供电电压符合AC 220V±22V，50 Hz±1 Hz。</w:t>
      </w:r>
    </w:p>
    <w:p w14:paraId="672799A4">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分析仪器与数据采集和传输设备。能够显示和设置系统时间。能够显示仪器内部工作状态的参数信息。能够显示实时数据，并能够记录存储至少3个月以上的有效数据，并具备查询历史数据的功能。具备时间标签功能，数据为设置时段的平均值。具备数字信号输出功能。具有中文数据采集和控制软件。对各监测数据实时采集、存储、计算，并能以报表或报告形式输出，具备质量浓度和体积浓度单位切换功能。</w:t>
      </w:r>
    </w:p>
    <w:p w14:paraId="20E04423">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断电恢复功能要求。仪器断电后，应能自动保存数据；恢复供电后系统应自动启动，并恢复正常工作状态。</w:t>
      </w:r>
    </w:p>
    <w:p w14:paraId="14632985">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性能指标要求。</w:t>
      </w:r>
    </w:p>
    <w:p w14:paraId="40B1C8CF">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测量范围：0～5 ppm（需要可调节）</w:t>
      </w:r>
    </w:p>
    <w:p w14:paraId="7044B219">
      <w:pPr>
        <w:spacing w:line="360" w:lineRule="auto"/>
        <w:ind w:firstLine="480"/>
        <w:rPr>
          <w:rFonts w:hint="eastAsia" w:ascii="仿宋_GB2312" w:hAnsi="Times New Roman" w:eastAsia="仿宋_GB2312" w:cs="Helvetica"/>
          <w:b w:val="0"/>
          <w:bCs w:val="0"/>
          <w:color w:val="auto"/>
          <w:kern w:val="0"/>
          <w:sz w:val="24"/>
          <w:szCs w:val="20"/>
          <w:highlight w:val="none"/>
        </w:rPr>
      </w:pPr>
      <w:bookmarkStart w:id="48" w:name="_O3监测仪"/>
      <w:bookmarkEnd w:id="48"/>
      <w:bookmarkStart w:id="49" w:name="_Toc161576157"/>
      <w:r>
        <w:rPr>
          <w:rFonts w:hint="eastAsia" w:ascii="仿宋_GB2312" w:hAnsi="Times New Roman" w:eastAsia="仿宋_GB2312" w:cs="Helvetica"/>
          <w:b w:val="0"/>
          <w:bCs w:val="0"/>
          <w:color w:val="auto"/>
          <w:kern w:val="0"/>
          <w:sz w:val="24"/>
          <w:szCs w:val="20"/>
          <w:highlight w:val="none"/>
        </w:rPr>
        <w:t>零点噪声：≤0.1ppm。</w:t>
      </w:r>
    </w:p>
    <w:p w14:paraId="69ED2FE1">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最低检出限：≤0.2ppm。</w:t>
      </w:r>
    </w:p>
    <w:p w14:paraId="410828C2">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零点漂移（24小时）：±0.5ppm。</w:t>
      </w:r>
    </w:p>
    <w:p w14:paraId="60EC7E3C">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响应时间（上升时间/下降时间）：≤60s。</w:t>
      </w:r>
    </w:p>
    <w:p w14:paraId="52253E51">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流量稳定性：±10%。</w:t>
      </w:r>
    </w:p>
    <w:p w14:paraId="4060400B">
      <w:pPr>
        <w:spacing w:line="360" w:lineRule="auto"/>
        <w:ind w:firstLine="480"/>
        <w:rPr>
          <w:rFonts w:hint="eastAsia" w:ascii="仿宋_GB2312" w:hAnsi="Times New Roman" w:eastAsia="仿宋_GB2312" w:cs="Helvetica"/>
          <w:b w:val="0"/>
          <w:bCs w:val="0"/>
          <w:color w:val="auto"/>
          <w:kern w:val="0"/>
          <w:sz w:val="24"/>
          <w:szCs w:val="20"/>
          <w:highlight w:val="none"/>
        </w:rPr>
      </w:pPr>
      <w:r>
        <w:rPr>
          <w:rFonts w:hint="eastAsia" w:ascii="仿宋_GB2312" w:hAnsi="Times New Roman" w:eastAsia="仿宋_GB2312" w:cs="Helvetica"/>
          <w:b w:val="0"/>
          <w:bCs w:val="0"/>
          <w:color w:val="auto"/>
          <w:kern w:val="0"/>
          <w:sz w:val="24"/>
          <w:szCs w:val="20"/>
          <w:highlight w:val="none"/>
        </w:rPr>
        <w:t>校准曲线：线性相关系数（r）≥0.995。</w:t>
      </w:r>
    </w:p>
    <w:bookmarkEnd w:id="49"/>
    <w:p w14:paraId="15B91DCE">
      <w:pPr>
        <w:numPr>
          <w:ilvl w:val="3"/>
          <w:numId w:val="0"/>
        </w:numPr>
        <w:spacing w:line="360" w:lineRule="auto"/>
        <w:outlineLvl w:val="3"/>
        <w:rPr>
          <w:rFonts w:hint="default" w:ascii="仿宋" w:hAnsi="Times New Roman" w:eastAsia="仿宋" w:cs="Times New Roman"/>
          <w:b/>
          <w:bCs/>
          <w:color w:val="auto"/>
          <w:kern w:val="0"/>
          <w:sz w:val="24"/>
          <w:szCs w:val="20"/>
          <w:highlight w:val="none"/>
          <w:lang w:val="en-US" w:eastAsia="zh-CN" w:bidi="ar-SA"/>
        </w:rPr>
      </w:pPr>
      <w:r>
        <w:rPr>
          <w:rFonts w:hint="eastAsia" w:ascii="仿宋" w:hAnsi="Times New Roman" w:eastAsia="仿宋" w:cs="Times New Roman"/>
          <w:b/>
          <w:bCs/>
          <w:color w:val="auto"/>
          <w:kern w:val="0"/>
          <w:sz w:val="24"/>
          <w:szCs w:val="20"/>
          <w:highlight w:val="none"/>
          <w:lang w:val="en-US" w:eastAsia="zh-CN" w:bidi="ar-SA"/>
        </w:rPr>
        <w:t>7.多元气体校准仪</w:t>
      </w:r>
    </w:p>
    <w:p w14:paraId="34CB3709">
      <w:pPr>
        <w:tabs>
          <w:tab w:val="left" w:pos="0"/>
        </w:tabs>
        <w:spacing w:line="360" w:lineRule="auto"/>
        <w:ind w:firstLine="480" w:firstLineChars="200"/>
        <w:rPr>
          <w:rFonts w:hint="eastAsia" w:ascii="仿宋_GB2312" w:hAnsi="仿宋" w:eastAsia="仿宋_GB2312" w:cs="Helvetica"/>
          <w:color w:val="auto"/>
          <w:kern w:val="0"/>
          <w:sz w:val="24"/>
          <w:szCs w:val="20"/>
          <w:highlight w:val="none"/>
          <w:lang w:val="en-US" w:eastAsia="zh-CN"/>
        </w:rPr>
      </w:pPr>
      <w:r>
        <w:rPr>
          <w:rFonts w:hint="eastAsia" w:ascii="仿宋_GB2312" w:hAnsi="仿宋" w:eastAsia="仿宋_GB2312" w:cs="Helvetica"/>
          <w:color w:val="auto"/>
          <w:kern w:val="0"/>
          <w:sz w:val="24"/>
          <w:szCs w:val="20"/>
          <w:highlight w:val="none"/>
          <w:lang w:val="en-US" w:eastAsia="zh-CN"/>
        </w:rPr>
        <w:t>①用途：可提供浓度精确的O3、CO、SO2、NO/NO2或其它用户需要的气体，各种浓度的气体可用于气体分析仪器的零点校准、跨点校准/检查、多点检查和性能审核。</w:t>
      </w:r>
    </w:p>
    <w:p w14:paraId="73B5B856">
      <w:pPr>
        <w:tabs>
          <w:tab w:val="left" w:pos="0"/>
        </w:tabs>
        <w:spacing w:line="360" w:lineRule="auto"/>
        <w:ind w:firstLine="480" w:firstLineChars="200"/>
        <w:rPr>
          <w:rFonts w:hint="eastAsia" w:ascii="仿宋_GB2312" w:hAnsi="仿宋" w:eastAsia="仿宋_GB2312" w:cs="Helvetica"/>
          <w:color w:val="auto"/>
          <w:kern w:val="0"/>
          <w:sz w:val="24"/>
          <w:szCs w:val="20"/>
          <w:highlight w:val="none"/>
          <w:lang w:val="en-US" w:eastAsia="zh-CN"/>
        </w:rPr>
      </w:pPr>
      <w:r>
        <w:rPr>
          <w:rFonts w:hint="eastAsia" w:ascii="仿宋_GB2312" w:hAnsi="仿宋" w:eastAsia="仿宋_GB2312" w:cs="Helvetica"/>
          <w:color w:val="auto"/>
          <w:kern w:val="0"/>
          <w:sz w:val="24"/>
          <w:szCs w:val="20"/>
          <w:highlight w:val="none"/>
          <w:lang w:val="en-US" w:eastAsia="zh-CN"/>
        </w:rPr>
        <w:t>②功能：具有标气稀释功能、臭氧生成功能和气相滴定功能。</w:t>
      </w:r>
    </w:p>
    <w:p w14:paraId="4D967ECC">
      <w:pPr>
        <w:tabs>
          <w:tab w:val="left" w:pos="0"/>
        </w:tabs>
        <w:spacing w:line="360" w:lineRule="auto"/>
        <w:ind w:firstLine="480" w:firstLineChars="200"/>
        <w:rPr>
          <w:rFonts w:hint="eastAsia" w:ascii="仿宋_GB2312" w:hAnsi="仿宋" w:eastAsia="仿宋_GB2312" w:cs="Helvetica"/>
          <w:color w:val="auto"/>
          <w:kern w:val="0"/>
          <w:sz w:val="24"/>
          <w:szCs w:val="20"/>
          <w:highlight w:val="none"/>
          <w:lang w:val="en-US" w:eastAsia="zh-CN"/>
        </w:rPr>
      </w:pPr>
      <w:r>
        <w:rPr>
          <w:rFonts w:hint="eastAsia" w:ascii="仿宋_GB2312" w:hAnsi="仿宋" w:eastAsia="仿宋_GB2312" w:cs="Helvetica"/>
          <w:color w:val="auto"/>
          <w:kern w:val="0"/>
          <w:sz w:val="24"/>
          <w:szCs w:val="20"/>
          <w:highlight w:val="none"/>
          <w:lang w:val="en-US" w:eastAsia="zh-CN"/>
        </w:rPr>
        <w:t>③流量测量准确度：±1%满量程。</w:t>
      </w:r>
    </w:p>
    <w:p w14:paraId="5E52F7A6">
      <w:pPr>
        <w:tabs>
          <w:tab w:val="left" w:pos="0"/>
        </w:tabs>
        <w:spacing w:line="360" w:lineRule="auto"/>
        <w:ind w:firstLine="480" w:firstLineChars="200"/>
        <w:rPr>
          <w:rFonts w:hint="eastAsia" w:ascii="仿宋_GB2312" w:hAnsi="仿宋" w:eastAsia="仿宋_GB2312" w:cs="Helvetica"/>
          <w:color w:val="auto"/>
          <w:kern w:val="0"/>
          <w:sz w:val="24"/>
          <w:szCs w:val="20"/>
          <w:highlight w:val="none"/>
          <w:lang w:val="en-US" w:eastAsia="zh-CN"/>
        </w:rPr>
      </w:pPr>
      <w:r>
        <w:rPr>
          <w:rFonts w:hint="eastAsia" w:ascii="仿宋_GB2312" w:hAnsi="仿宋" w:eastAsia="仿宋_GB2312" w:cs="Helvetica"/>
          <w:color w:val="auto"/>
          <w:kern w:val="0"/>
          <w:sz w:val="24"/>
          <w:szCs w:val="20"/>
          <w:highlight w:val="none"/>
          <w:lang w:val="en-US" w:eastAsia="zh-CN"/>
        </w:rPr>
        <w:t>④质量流量测量线性：±0.5%满量程。</w:t>
      </w:r>
    </w:p>
    <w:p w14:paraId="3B698241">
      <w:pPr>
        <w:tabs>
          <w:tab w:val="left" w:pos="0"/>
        </w:tabs>
        <w:spacing w:line="360" w:lineRule="auto"/>
        <w:ind w:firstLine="480" w:firstLineChars="200"/>
        <w:rPr>
          <w:rFonts w:hint="eastAsia" w:ascii="仿宋_GB2312" w:hAnsi="仿宋" w:eastAsia="仿宋_GB2312" w:cs="Helvetica"/>
          <w:color w:val="auto"/>
          <w:kern w:val="0"/>
          <w:sz w:val="24"/>
          <w:szCs w:val="20"/>
          <w:highlight w:val="none"/>
          <w:lang w:val="en-US" w:eastAsia="zh-CN"/>
        </w:rPr>
      </w:pPr>
      <w:r>
        <w:rPr>
          <w:rFonts w:hint="eastAsia" w:ascii="仿宋_GB2312" w:hAnsi="仿宋" w:eastAsia="仿宋_GB2312" w:cs="Helvetica"/>
          <w:color w:val="auto"/>
          <w:kern w:val="0"/>
          <w:sz w:val="24"/>
          <w:szCs w:val="20"/>
          <w:highlight w:val="none"/>
          <w:lang w:val="en-US" w:eastAsia="zh-CN"/>
        </w:rPr>
        <w:t>⑤质量流量测量重复性：±2%满量程。</w:t>
      </w:r>
    </w:p>
    <w:p w14:paraId="2A6C0904">
      <w:pPr>
        <w:tabs>
          <w:tab w:val="left" w:pos="0"/>
        </w:tabs>
        <w:spacing w:line="360" w:lineRule="auto"/>
        <w:ind w:firstLine="480" w:firstLineChars="200"/>
        <w:rPr>
          <w:rFonts w:hint="eastAsia" w:ascii="仿宋_GB2312" w:hAnsi="仿宋" w:eastAsia="仿宋_GB2312" w:cs="Helvetica"/>
          <w:color w:val="auto"/>
          <w:kern w:val="0"/>
          <w:sz w:val="24"/>
          <w:szCs w:val="20"/>
          <w:highlight w:val="none"/>
          <w:lang w:val="en-US" w:eastAsia="zh-CN"/>
        </w:rPr>
      </w:pPr>
      <w:r>
        <w:rPr>
          <w:rFonts w:hint="eastAsia" w:ascii="仿宋_GB2312" w:hAnsi="仿宋" w:eastAsia="仿宋_GB2312" w:cs="Helvetica"/>
          <w:color w:val="auto"/>
          <w:kern w:val="0"/>
          <w:sz w:val="24"/>
          <w:szCs w:val="20"/>
          <w:highlight w:val="none"/>
          <w:lang w:val="en-US" w:eastAsia="zh-CN"/>
        </w:rPr>
        <w:t>⑥标准气输入口：3个或以上。</w:t>
      </w:r>
    </w:p>
    <w:p w14:paraId="0051AFC7">
      <w:pPr>
        <w:pStyle w:val="14"/>
        <w:ind w:left="0" w:leftChars="0" w:firstLine="480" w:firstLineChars="200"/>
        <w:rPr>
          <w:rFonts w:hint="default" w:ascii="仿宋_GB2312" w:eastAsia="仿宋_GB2312" w:cs="Helvetica"/>
          <w:b w:val="0"/>
          <w:bCs w:val="0"/>
          <w:color w:val="auto"/>
          <w:kern w:val="0"/>
          <w:sz w:val="24"/>
          <w:highlight w:val="none"/>
          <w:lang w:val="en-US" w:eastAsia="zh-CN"/>
        </w:rPr>
      </w:pPr>
      <w:r>
        <w:rPr>
          <w:rFonts w:hint="eastAsia" w:ascii="仿宋_GB2312" w:hAnsi="仿宋" w:eastAsia="仿宋_GB2312" w:cs="Helvetica"/>
          <w:color w:val="auto"/>
          <w:kern w:val="0"/>
          <w:sz w:val="24"/>
          <w:szCs w:val="20"/>
          <w:highlight w:val="none"/>
          <w:lang w:val="en-US" w:eastAsia="zh-CN"/>
        </w:rPr>
        <w:t>⑦臭氧发生器最大输出：1ppm @ 6SLPM。</w:t>
      </w:r>
    </w:p>
    <w:p w14:paraId="48F08DF6">
      <w:pPr>
        <w:numPr>
          <w:ilvl w:val="3"/>
          <w:numId w:val="0"/>
        </w:numPr>
        <w:spacing w:line="360" w:lineRule="auto"/>
        <w:outlineLvl w:val="3"/>
        <w:rPr>
          <w:rFonts w:hint="eastAsia" w:ascii="仿宋" w:hAnsi="Times New Roman" w:eastAsia="仿宋" w:cs="Times New Roman"/>
          <w:b/>
          <w:bCs/>
          <w:color w:val="auto"/>
          <w:kern w:val="0"/>
          <w:sz w:val="24"/>
          <w:szCs w:val="20"/>
          <w:highlight w:val="none"/>
          <w:lang w:val="en-US" w:eastAsia="zh-CN" w:bidi="ar-SA"/>
        </w:rPr>
      </w:pPr>
      <w:r>
        <w:rPr>
          <w:rFonts w:hint="eastAsia" w:ascii="仿宋" w:hAnsi="Times New Roman" w:eastAsia="仿宋" w:cs="Times New Roman"/>
          <w:b/>
          <w:bCs/>
          <w:color w:val="auto"/>
          <w:kern w:val="0"/>
          <w:sz w:val="24"/>
          <w:szCs w:val="20"/>
          <w:highlight w:val="none"/>
          <w:lang w:val="en-US" w:eastAsia="zh-CN" w:bidi="ar-SA"/>
        </w:rPr>
        <w:t>8.</w:t>
      </w:r>
      <w:r>
        <w:rPr>
          <w:rFonts w:hint="eastAsia" w:ascii="仿宋_GB2312" w:hAnsi="仿宋" w:eastAsia="仿宋_GB2312" w:cs="Helvetica"/>
          <w:b/>
          <w:bCs/>
          <w:color w:val="auto"/>
          <w:kern w:val="0"/>
          <w:sz w:val="24"/>
          <w:highlight w:val="none"/>
          <w:lang w:val="zh-CN"/>
        </w:rPr>
        <w:t>车载监控摄像云台</w:t>
      </w:r>
    </w:p>
    <w:p w14:paraId="16CD7963">
      <w:pPr>
        <w:numPr>
          <w:ilvl w:val="3"/>
          <w:numId w:val="0"/>
        </w:numPr>
        <w:spacing w:line="360" w:lineRule="auto"/>
        <w:ind w:firstLine="482" w:firstLineChars="200"/>
        <w:outlineLvl w:val="3"/>
        <w:rPr>
          <w:rFonts w:hint="eastAsia" w:ascii="仿宋" w:hAnsi="Times New Roman" w:eastAsia="仿宋" w:cs="Times New Roman"/>
          <w:b/>
          <w:bCs/>
          <w:color w:val="auto"/>
          <w:kern w:val="0"/>
          <w:sz w:val="24"/>
          <w:szCs w:val="20"/>
          <w:highlight w:val="none"/>
          <w:lang w:val="en-US" w:eastAsia="zh-CN" w:bidi="ar-SA"/>
        </w:rPr>
      </w:pPr>
      <w:r>
        <w:rPr>
          <w:rFonts w:hint="eastAsia" w:ascii="仿宋" w:eastAsia="仿宋" w:cs="Times New Roman"/>
          <w:b/>
          <w:bCs/>
          <w:color w:val="auto"/>
          <w:kern w:val="0"/>
          <w:sz w:val="24"/>
          <w:szCs w:val="20"/>
          <w:highlight w:val="none"/>
          <w:lang w:val="en-US" w:eastAsia="zh-CN" w:bidi="ar-SA"/>
        </w:rPr>
        <w:t>8</w:t>
      </w:r>
      <w:r>
        <w:rPr>
          <w:rFonts w:hint="eastAsia" w:ascii="仿宋" w:hAnsi="Times New Roman" w:eastAsia="仿宋" w:cs="Times New Roman"/>
          <w:b/>
          <w:bCs/>
          <w:color w:val="auto"/>
          <w:kern w:val="0"/>
          <w:sz w:val="24"/>
          <w:szCs w:val="20"/>
          <w:highlight w:val="none"/>
          <w:lang w:val="en-US" w:eastAsia="zh-CN" w:bidi="ar-SA"/>
        </w:rPr>
        <w:t>.1 基本要求</w:t>
      </w:r>
    </w:p>
    <w:p w14:paraId="769C07B5">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车载监控摄像云台可加载≥30倍变焦高清智能摄像头，支持录制“实时画面”、查看录像，录像可传送至设备终端，进行云端的记录。</w:t>
      </w:r>
    </w:p>
    <w:p w14:paraId="666BA000">
      <w:pPr>
        <w:tabs>
          <w:tab w:val="left" w:pos="0"/>
        </w:tabs>
        <w:spacing w:line="360" w:lineRule="auto"/>
        <w:ind w:firstLine="482" w:firstLineChars="200"/>
        <w:rPr>
          <w:rFonts w:hint="eastAsia"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lang w:val="en-US" w:eastAsia="zh-CN"/>
        </w:rPr>
        <w:t>8</w:t>
      </w:r>
      <w:r>
        <w:rPr>
          <w:rFonts w:hint="eastAsia" w:ascii="仿宋_GB2312" w:hAnsi="仿宋" w:eastAsia="仿宋_GB2312" w:cs="Helvetica"/>
          <w:b/>
          <w:bCs/>
          <w:color w:val="auto"/>
          <w:kern w:val="0"/>
          <w:sz w:val="24"/>
          <w:highlight w:val="none"/>
        </w:rPr>
        <w:t>.2 技术指标</w:t>
      </w:r>
    </w:p>
    <w:p w14:paraId="1C3548DF">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要求监控摄像头可以与路由直接连接，只要保证监控摄像头和路由IP地址在同一网段，就可以实时监控，路由器的硬盘至少支持储存三个月。</w:t>
      </w:r>
    </w:p>
    <w:p w14:paraId="6A6BE345">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要求支持GPS/BD定位功能</w:t>
      </w:r>
    </w:p>
    <w:p w14:paraId="672D9F39">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要求支持识别抓拍功能，4G及以上全网通模块；</w:t>
      </w:r>
    </w:p>
    <w:p w14:paraId="585C4C7E">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要求显示屏分辨率≥1024×600；</w:t>
      </w:r>
    </w:p>
    <w:p w14:paraId="11BC03B2">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要求支持触控式操作。</w:t>
      </w:r>
    </w:p>
    <w:p w14:paraId="1EF30DD8">
      <w:pPr>
        <w:tabs>
          <w:tab w:val="left" w:pos="0"/>
        </w:tabs>
        <w:spacing w:line="360" w:lineRule="auto"/>
        <w:ind w:firstLine="482" w:firstLineChars="200"/>
        <w:rPr>
          <w:rFonts w:hint="default" w:ascii="仿宋_GB2312" w:hAnsi="仿宋" w:eastAsia="仿宋_GB2312" w:cs="Helvetica"/>
          <w:b/>
          <w:bCs/>
          <w:color w:val="auto"/>
          <w:kern w:val="0"/>
          <w:sz w:val="24"/>
          <w:highlight w:val="none"/>
          <w:lang w:val="en-US" w:eastAsia="zh-CN"/>
        </w:rPr>
      </w:pPr>
      <w:r>
        <w:rPr>
          <w:rFonts w:hint="eastAsia" w:ascii="仿宋_GB2312" w:hAnsi="仿宋" w:eastAsia="仿宋_GB2312" w:cs="Helvetica"/>
          <w:b/>
          <w:bCs/>
          <w:color w:val="auto"/>
          <w:kern w:val="0"/>
          <w:sz w:val="24"/>
          <w:highlight w:val="none"/>
          <w:lang w:val="en-US" w:eastAsia="zh-CN"/>
        </w:rPr>
        <w:t>9.</w:t>
      </w:r>
      <w:r>
        <w:rPr>
          <w:rFonts w:hint="eastAsia" w:ascii="仿宋_GB2312" w:hAnsi="仿宋" w:eastAsia="仿宋_GB2312" w:cs="Helvetica"/>
          <w:b/>
          <w:bCs/>
          <w:color w:val="auto"/>
          <w:kern w:val="0"/>
          <w:sz w:val="24"/>
          <w:highlight w:val="none"/>
          <w:lang w:val="zh-CN"/>
        </w:rPr>
        <w:t>无人机及</w:t>
      </w:r>
      <w:r>
        <w:rPr>
          <w:rFonts w:hint="eastAsia" w:ascii="仿宋_GB2312" w:hAnsi="仿宋" w:eastAsia="仿宋_GB2312" w:cs="Helvetica"/>
          <w:b/>
          <w:bCs/>
          <w:color w:val="auto"/>
          <w:kern w:val="0"/>
          <w:sz w:val="24"/>
          <w:highlight w:val="none"/>
          <w:lang w:val="en-US" w:eastAsia="zh-CN"/>
        </w:rPr>
        <w:t>配套设备</w:t>
      </w:r>
    </w:p>
    <w:p w14:paraId="7131D0E5">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9.1</w:t>
      </w:r>
      <w:r>
        <w:rPr>
          <w:rFonts w:hint="default" w:ascii="仿宋_GB2312" w:hAnsi="仿宋" w:eastAsia="仿宋_GB2312" w:cs="Helvetica"/>
          <w:color w:val="auto"/>
          <w:kern w:val="0"/>
          <w:sz w:val="24"/>
          <w:highlight w:val="none"/>
          <w:lang w:val="en-US" w:eastAsia="zh-CN"/>
        </w:rPr>
        <w:t>对称电机轴距</w:t>
      </w:r>
      <w:r>
        <w:rPr>
          <w:rFonts w:hint="default" w:ascii="仿宋_GB2312" w:hAnsi="仿宋" w:eastAsia="仿宋_GB2312" w:cs="Helvetica"/>
          <w:color w:val="auto"/>
          <w:kern w:val="0"/>
          <w:sz w:val="24"/>
          <w:highlight w:val="none"/>
          <w:lang w:val="en-US" w:eastAsia="zh-CN"/>
        </w:rPr>
        <w:tab/>
      </w:r>
      <w:r>
        <w:rPr>
          <w:rFonts w:hint="default" w:ascii="仿宋_GB2312" w:hAnsi="仿宋" w:eastAsia="仿宋_GB2312" w:cs="Helvetica"/>
          <w:color w:val="auto"/>
          <w:kern w:val="0"/>
          <w:sz w:val="24"/>
          <w:highlight w:val="none"/>
          <w:lang w:val="en-US" w:eastAsia="zh-CN"/>
        </w:rPr>
        <w:t>小于等于700mm</w:t>
      </w:r>
    </w:p>
    <w:p w14:paraId="29D4C82C">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 xml:space="preserve">9.2 </w:t>
      </w:r>
      <w:r>
        <w:rPr>
          <w:rFonts w:hint="default" w:ascii="仿宋_GB2312" w:hAnsi="仿宋" w:eastAsia="仿宋_GB2312" w:cs="Helvetica"/>
          <w:color w:val="auto"/>
          <w:kern w:val="0"/>
          <w:sz w:val="24"/>
          <w:highlight w:val="none"/>
          <w:lang w:val="en-US" w:eastAsia="zh-CN"/>
        </w:rPr>
        <w:t>GNSS系统</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支持GPS、GLONASS、BEIDOU、GALILEO四种导航系统，支持RTK高精度定位，并且在关闭RTK的情况下至少支持三模搜星</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支持仅用北斗定位系统进行搜星定位</w:t>
      </w:r>
    </w:p>
    <w:p w14:paraId="4307BB98">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 xml:space="preserve">9.3 </w:t>
      </w:r>
      <w:r>
        <w:rPr>
          <w:rFonts w:hint="default" w:ascii="仿宋_GB2312" w:hAnsi="仿宋" w:eastAsia="仿宋_GB2312" w:cs="Helvetica"/>
          <w:color w:val="auto"/>
          <w:kern w:val="0"/>
          <w:sz w:val="24"/>
          <w:highlight w:val="none"/>
          <w:lang w:val="en-US" w:eastAsia="zh-CN"/>
        </w:rPr>
        <w:t>RTK模式悬停精度</w:t>
      </w:r>
      <w:r>
        <w:rPr>
          <w:rFonts w:hint="default" w:ascii="仿宋_GB2312" w:hAnsi="仿宋" w:eastAsia="仿宋_GB2312" w:cs="Helvetica"/>
          <w:color w:val="auto"/>
          <w:kern w:val="0"/>
          <w:sz w:val="24"/>
          <w:highlight w:val="none"/>
          <w:lang w:val="en-US" w:eastAsia="zh-CN"/>
        </w:rPr>
        <w:tab/>
      </w:r>
      <w:r>
        <w:rPr>
          <w:rFonts w:hint="default" w:ascii="仿宋_GB2312" w:hAnsi="仿宋" w:eastAsia="仿宋_GB2312" w:cs="Helvetica"/>
          <w:color w:val="auto"/>
          <w:kern w:val="0"/>
          <w:sz w:val="24"/>
          <w:highlight w:val="none"/>
          <w:lang w:val="en-US" w:eastAsia="zh-CN"/>
        </w:rPr>
        <w:t>"RTK模式下飞行器悬停精度满足：垂直小于等于±0.1 m</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水平小于等于±0.1 m"</w:t>
      </w:r>
    </w:p>
    <w:p w14:paraId="725A87B9">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9.4</w:t>
      </w:r>
      <w:r>
        <w:rPr>
          <w:rFonts w:hint="default" w:ascii="仿宋_GB2312" w:hAnsi="仿宋" w:eastAsia="仿宋_GB2312" w:cs="Helvetica"/>
          <w:color w:val="auto"/>
          <w:kern w:val="0"/>
          <w:sz w:val="24"/>
          <w:highlight w:val="none"/>
          <w:lang w:val="en-US" w:eastAsia="zh-CN"/>
        </w:rPr>
        <w:t>飞行速度</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"最大上升速度大于等于6 m/s</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最大下降速度大于等于5 m/s</w:t>
      </w:r>
    </w:p>
    <w:p w14:paraId="504779CD">
      <w:pPr>
        <w:tabs>
          <w:tab w:val="left" w:pos="0"/>
        </w:tabs>
        <w:spacing w:line="360" w:lineRule="auto"/>
        <w:ind w:firstLine="480" w:firstLineChars="20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最大倾斜下降速度大于等于7 m/s</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最大水平飞行速度大于等于23 m/s"</w:t>
      </w:r>
      <w:r>
        <w:rPr>
          <w:rFonts w:hint="eastAsia" w:ascii="仿宋_GB2312" w:hAnsi="仿宋" w:eastAsia="仿宋_GB2312" w:cs="Helvetica"/>
          <w:color w:val="auto"/>
          <w:kern w:val="0"/>
          <w:sz w:val="24"/>
          <w:highlight w:val="none"/>
          <w:lang w:val="en-US" w:eastAsia="zh-CN"/>
        </w:rPr>
        <w:t>；</w:t>
      </w:r>
    </w:p>
    <w:p w14:paraId="7073C951">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9.5</w:t>
      </w:r>
      <w:r>
        <w:rPr>
          <w:rFonts w:hint="default" w:ascii="仿宋_GB2312" w:hAnsi="仿宋" w:eastAsia="仿宋_GB2312" w:cs="Helvetica"/>
          <w:color w:val="auto"/>
          <w:kern w:val="0"/>
          <w:sz w:val="24"/>
          <w:highlight w:val="none"/>
          <w:lang w:val="en-US" w:eastAsia="zh-CN"/>
        </w:rPr>
        <w:t>最大飞行海拔高度</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大于等于7000m</w:t>
      </w:r>
    </w:p>
    <w:p w14:paraId="728F48A4">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9.6</w:t>
      </w:r>
      <w:r>
        <w:rPr>
          <w:rFonts w:hint="default" w:ascii="仿宋_GB2312" w:hAnsi="仿宋" w:eastAsia="仿宋_GB2312" w:cs="Helvetica"/>
          <w:color w:val="auto"/>
          <w:kern w:val="0"/>
          <w:sz w:val="24"/>
          <w:highlight w:val="none"/>
          <w:lang w:val="en-US" w:eastAsia="zh-CN"/>
        </w:rPr>
        <w:t>最大可承受风速</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6级风</w:t>
      </w:r>
    </w:p>
    <w:p w14:paraId="1E4C6F79">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9.7</w:t>
      </w:r>
      <w:r>
        <w:rPr>
          <w:rFonts w:hint="default" w:ascii="仿宋_GB2312" w:hAnsi="仿宋" w:eastAsia="仿宋_GB2312" w:cs="Helvetica"/>
          <w:color w:val="auto"/>
          <w:kern w:val="0"/>
          <w:sz w:val="24"/>
          <w:highlight w:val="none"/>
          <w:lang w:val="en-US" w:eastAsia="zh-CN"/>
        </w:rPr>
        <w:t>最大飞行时间</w:t>
      </w:r>
      <w:r>
        <w:rPr>
          <w:rFonts w:hint="default" w:ascii="仿宋_GB2312" w:hAnsi="仿宋" w:eastAsia="仿宋_GB2312" w:cs="Helvetica"/>
          <w:color w:val="auto"/>
          <w:kern w:val="0"/>
          <w:sz w:val="24"/>
          <w:highlight w:val="none"/>
          <w:lang w:val="en-US" w:eastAsia="zh-CN"/>
        </w:rPr>
        <w:tab/>
      </w:r>
      <w:r>
        <w:rPr>
          <w:rFonts w:hint="default" w:ascii="仿宋_GB2312" w:hAnsi="仿宋" w:eastAsia="仿宋_GB2312" w:cs="Helvetica"/>
          <w:color w:val="auto"/>
          <w:kern w:val="0"/>
          <w:sz w:val="24"/>
          <w:highlight w:val="none"/>
          <w:lang w:val="en-US" w:eastAsia="zh-CN"/>
        </w:rPr>
        <w:t>大于等于40分钟</w:t>
      </w:r>
    </w:p>
    <w:p w14:paraId="397734D9">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9.8</w:t>
      </w:r>
      <w:r>
        <w:rPr>
          <w:rFonts w:hint="default" w:ascii="仿宋_GB2312" w:hAnsi="仿宋" w:eastAsia="仿宋_GB2312" w:cs="Helvetica"/>
          <w:color w:val="auto"/>
          <w:kern w:val="0"/>
          <w:sz w:val="24"/>
          <w:highlight w:val="none"/>
          <w:lang w:val="en-US" w:eastAsia="zh-CN"/>
        </w:rPr>
        <w:t>工作环境温度</w:t>
      </w: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-20°C 至 50° C</w:t>
      </w:r>
    </w:p>
    <w:p w14:paraId="51069E3D">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9.9</w:t>
      </w:r>
      <w:r>
        <w:rPr>
          <w:rFonts w:hint="default" w:ascii="仿宋_GB2312" w:hAnsi="仿宋" w:eastAsia="仿宋_GB2312" w:cs="Helvetica"/>
          <w:color w:val="auto"/>
          <w:kern w:val="0"/>
          <w:sz w:val="24"/>
          <w:highlight w:val="none"/>
          <w:lang w:val="en-US" w:eastAsia="zh-CN"/>
        </w:rPr>
        <w:t>电池热替换</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飞行器支持电池热替换，更换电池过程中飞行器无需重启。</w:t>
      </w:r>
    </w:p>
    <w:p w14:paraId="705E7698">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9.10</w:t>
      </w:r>
      <w:r>
        <w:rPr>
          <w:rFonts w:hint="default" w:ascii="仿宋_GB2312" w:hAnsi="仿宋" w:eastAsia="仿宋_GB2312" w:cs="Helvetica"/>
          <w:color w:val="auto"/>
          <w:kern w:val="0"/>
          <w:sz w:val="24"/>
          <w:highlight w:val="none"/>
          <w:lang w:val="en-US" w:eastAsia="zh-CN"/>
        </w:rPr>
        <w:t>机体结构</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使用按压式机臂锁，支持机臂到位检测，能够检测机臂是否展开到位</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使用一体化脚架</w:t>
      </w:r>
      <w:r>
        <w:rPr>
          <w:rFonts w:hint="eastAsia" w:ascii="仿宋_GB2312" w:hAnsi="仿宋" w:eastAsia="仿宋_GB2312" w:cs="Helvetica"/>
          <w:color w:val="auto"/>
          <w:kern w:val="0"/>
          <w:sz w:val="24"/>
          <w:highlight w:val="none"/>
          <w:lang w:val="en-US" w:eastAsia="zh-CN"/>
        </w:rPr>
        <w:t>；</w:t>
      </w:r>
    </w:p>
    <w:p w14:paraId="31847412">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9.11</w:t>
      </w:r>
      <w:r>
        <w:rPr>
          <w:rFonts w:hint="default" w:ascii="仿宋_GB2312" w:hAnsi="仿宋" w:eastAsia="仿宋_GB2312" w:cs="Helvetica"/>
          <w:color w:val="auto"/>
          <w:kern w:val="0"/>
          <w:sz w:val="24"/>
          <w:highlight w:val="none"/>
          <w:lang w:val="en-US" w:eastAsia="zh-CN"/>
        </w:rPr>
        <w:t>视觉系统</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飞行器的前、后、上、下、左、右均具备双目视觉系统。探测到附近障碍物时，飞行器能通过地面站软件发出警示信息；距离障碍物距离较近时，飞行器能主动刹停。视觉系统的探测范围大于等于30m</w:t>
      </w:r>
      <w:r>
        <w:rPr>
          <w:rFonts w:hint="eastAsia" w:ascii="仿宋_GB2312" w:hAnsi="仿宋" w:eastAsia="仿宋_GB2312" w:cs="Helvetica"/>
          <w:color w:val="auto"/>
          <w:kern w:val="0"/>
          <w:sz w:val="24"/>
          <w:highlight w:val="none"/>
          <w:lang w:val="en-US" w:eastAsia="zh-CN"/>
        </w:rPr>
        <w:t>；</w:t>
      </w:r>
    </w:p>
    <w:p w14:paraId="153CA2E5">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9.12</w:t>
      </w:r>
      <w:r>
        <w:rPr>
          <w:rFonts w:hint="default" w:ascii="仿宋_GB2312" w:hAnsi="仿宋" w:eastAsia="仿宋_GB2312" w:cs="Helvetica"/>
          <w:color w:val="auto"/>
          <w:kern w:val="0"/>
          <w:sz w:val="24"/>
          <w:highlight w:val="none"/>
          <w:lang w:val="en-US" w:eastAsia="zh-CN"/>
        </w:rPr>
        <w:t>红外障碍感知</w:t>
      </w:r>
      <w:r>
        <w:rPr>
          <w:rFonts w:hint="default" w:ascii="仿宋_GB2312" w:hAnsi="仿宋" w:eastAsia="仿宋_GB2312" w:cs="Helvetica"/>
          <w:color w:val="auto"/>
          <w:kern w:val="0"/>
          <w:sz w:val="24"/>
          <w:highlight w:val="none"/>
          <w:lang w:val="en-US" w:eastAsia="zh-CN"/>
        </w:rPr>
        <w:tab/>
      </w:r>
      <w:r>
        <w:rPr>
          <w:rFonts w:hint="default" w:ascii="仿宋_GB2312" w:hAnsi="仿宋" w:eastAsia="仿宋_GB2312" w:cs="Helvetica"/>
          <w:color w:val="auto"/>
          <w:kern w:val="0"/>
          <w:sz w:val="24"/>
          <w:highlight w:val="none"/>
          <w:lang w:val="en-US" w:eastAsia="zh-CN"/>
        </w:rPr>
        <w:t>飞行器具备六向红外TOF传感器</w:t>
      </w:r>
    </w:p>
    <w:p w14:paraId="4BC8D68B">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9.13</w:t>
      </w:r>
      <w:r>
        <w:rPr>
          <w:rFonts w:hint="default" w:ascii="仿宋_GB2312" w:hAnsi="仿宋" w:eastAsia="仿宋_GB2312" w:cs="Helvetica"/>
          <w:color w:val="auto"/>
          <w:kern w:val="0"/>
          <w:sz w:val="24"/>
          <w:highlight w:val="none"/>
          <w:lang w:val="en-US" w:eastAsia="zh-CN"/>
        </w:rPr>
        <w:t>降落保护</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在自主降落过程中，无人机飞行器能够检测下方地形。当下方地形为不平整地面或水面，飞行器保持悬停，同时通过地面站软件向用户发出警示信息</w:t>
      </w:r>
    </w:p>
    <w:p w14:paraId="10FD636A">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9.14</w:t>
      </w:r>
      <w:r>
        <w:rPr>
          <w:rFonts w:hint="default" w:ascii="仿宋_GB2312" w:hAnsi="仿宋" w:eastAsia="仿宋_GB2312" w:cs="Helvetica"/>
          <w:color w:val="auto"/>
          <w:kern w:val="0"/>
          <w:sz w:val="24"/>
          <w:highlight w:val="none"/>
          <w:lang w:val="en-US" w:eastAsia="zh-CN"/>
        </w:rPr>
        <w:t>传感器冗余</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飞行器具备双IMU（惯性测量单元）、双气压计、双指南针、双RTK冗余</w:t>
      </w:r>
    </w:p>
    <w:p w14:paraId="28940B76">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9.15</w:t>
      </w:r>
      <w:r>
        <w:rPr>
          <w:rFonts w:hint="default" w:ascii="仿宋_GB2312" w:hAnsi="仿宋" w:eastAsia="仿宋_GB2312" w:cs="Helvetica"/>
          <w:color w:val="auto"/>
          <w:kern w:val="0"/>
          <w:sz w:val="24"/>
          <w:highlight w:val="none"/>
          <w:lang w:val="en-US" w:eastAsia="zh-CN"/>
        </w:rPr>
        <w:t>FPV摄像头</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飞行器配置FPV摄像头，画面分辨率大于等于1080p。</w:t>
      </w:r>
    </w:p>
    <w:p w14:paraId="6D2BDBC4">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9.16</w:t>
      </w:r>
      <w:r>
        <w:rPr>
          <w:rFonts w:hint="default" w:ascii="仿宋_GB2312" w:hAnsi="仿宋" w:eastAsia="仿宋_GB2312" w:cs="Helvetica"/>
          <w:color w:val="auto"/>
          <w:kern w:val="0"/>
          <w:sz w:val="24"/>
          <w:highlight w:val="none"/>
          <w:lang w:val="en-US" w:eastAsia="zh-CN"/>
        </w:rPr>
        <w:t>额外挂载硬件</w:t>
      </w:r>
      <w:r>
        <w:rPr>
          <w:rFonts w:hint="default" w:ascii="仿宋_GB2312" w:hAnsi="仿宋" w:eastAsia="仿宋_GB2312" w:cs="Helvetica"/>
          <w:color w:val="auto"/>
          <w:kern w:val="0"/>
          <w:sz w:val="24"/>
          <w:highlight w:val="none"/>
          <w:lang w:val="en-US" w:eastAsia="zh-CN"/>
        </w:rPr>
        <w:tab/>
      </w:r>
      <w:r>
        <w:rPr>
          <w:rFonts w:hint="default" w:ascii="仿宋_GB2312" w:hAnsi="仿宋" w:eastAsia="仿宋_GB2312" w:cs="Helvetica"/>
          <w:color w:val="auto"/>
          <w:kern w:val="0"/>
          <w:sz w:val="24"/>
          <w:highlight w:val="none"/>
          <w:lang w:val="en-US" w:eastAsia="zh-CN"/>
        </w:rPr>
        <w:t>支持在飞行器顶部挂载喊话器、探照灯等硬件，挂载的硬件支持通过遥控器控制。</w:t>
      </w:r>
    </w:p>
    <w:p w14:paraId="5A7C8456">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9.17</w:t>
      </w:r>
      <w:r>
        <w:rPr>
          <w:rFonts w:hint="default" w:ascii="仿宋_GB2312" w:hAnsi="仿宋" w:eastAsia="仿宋_GB2312" w:cs="Helvetica"/>
          <w:color w:val="auto"/>
          <w:kern w:val="0"/>
          <w:sz w:val="24"/>
          <w:highlight w:val="none"/>
          <w:lang w:val="en-US" w:eastAsia="zh-CN"/>
        </w:rPr>
        <w:t>无人机防护等级</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飞行器及其配套相机具备IP55防护等级</w:t>
      </w:r>
    </w:p>
    <w:p w14:paraId="1086AF0A">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9.18</w:t>
      </w:r>
      <w:r>
        <w:rPr>
          <w:rFonts w:hint="default" w:ascii="仿宋_GB2312" w:hAnsi="仿宋" w:eastAsia="仿宋_GB2312" w:cs="Helvetica"/>
          <w:color w:val="auto"/>
          <w:kern w:val="0"/>
          <w:sz w:val="24"/>
          <w:highlight w:val="none"/>
          <w:lang w:val="en-US" w:eastAsia="zh-CN"/>
        </w:rPr>
        <w:t>夜航灯</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具备夜航灯，并可通过App控制夜航灯开关，提升夜间飞行的安全性</w:t>
      </w:r>
    </w:p>
    <w:p w14:paraId="67715954">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9.19</w:t>
      </w:r>
      <w:r>
        <w:rPr>
          <w:rFonts w:hint="default" w:ascii="仿宋_GB2312" w:hAnsi="仿宋" w:eastAsia="仿宋_GB2312" w:cs="Helvetica"/>
          <w:color w:val="auto"/>
          <w:kern w:val="0"/>
          <w:sz w:val="24"/>
          <w:highlight w:val="none"/>
          <w:lang w:val="en-US" w:eastAsia="zh-CN"/>
        </w:rPr>
        <w:t>隐蔽模式</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支持关闭全部飞机指示灯</w:t>
      </w:r>
    </w:p>
    <w:p w14:paraId="12F82FDD">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9.20</w:t>
      </w:r>
      <w:r>
        <w:rPr>
          <w:rFonts w:hint="default" w:ascii="仿宋_GB2312" w:hAnsi="仿宋" w:eastAsia="仿宋_GB2312" w:cs="Helvetica"/>
          <w:color w:val="auto"/>
          <w:kern w:val="0"/>
          <w:sz w:val="24"/>
          <w:highlight w:val="none"/>
          <w:lang w:val="en-US" w:eastAsia="zh-CN"/>
        </w:rPr>
        <w:t>图传加密</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为保证数据安全，图传链路需通过AES-256技术进行加密</w:t>
      </w:r>
    </w:p>
    <w:p w14:paraId="66C22B8B">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9.21</w:t>
      </w:r>
      <w:r>
        <w:rPr>
          <w:rFonts w:hint="default" w:ascii="仿宋_GB2312" w:hAnsi="仿宋" w:eastAsia="仿宋_GB2312" w:cs="Helvetica"/>
          <w:color w:val="auto"/>
          <w:kern w:val="0"/>
          <w:sz w:val="24"/>
          <w:highlight w:val="none"/>
          <w:lang w:val="en-US" w:eastAsia="zh-CN"/>
        </w:rPr>
        <w:t>最大信号有效距离（无干扰、无遮挡）</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大于等于15km</w:t>
      </w:r>
    </w:p>
    <w:p w14:paraId="39FF2038">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9.22</w:t>
      </w:r>
      <w:r>
        <w:rPr>
          <w:rFonts w:hint="default" w:ascii="仿宋_GB2312" w:hAnsi="仿宋" w:eastAsia="仿宋_GB2312" w:cs="Helvetica"/>
          <w:color w:val="auto"/>
          <w:kern w:val="0"/>
          <w:sz w:val="24"/>
          <w:highlight w:val="none"/>
          <w:lang w:val="en-US" w:eastAsia="zh-CN"/>
        </w:rPr>
        <w:t>双信号控制传输</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支持2.4GHz和5.8GHz双频通信</w:t>
      </w:r>
    </w:p>
    <w:p w14:paraId="3E451096">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9.23</w:t>
      </w:r>
      <w:r>
        <w:rPr>
          <w:rFonts w:hint="default" w:ascii="仿宋_GB2312" w:hAnsi="仿宋" w:eastAsia="仿宋_GB2312" w:cs="Helvetica"/>
          <w:color w:val="auto"/>
          <w:kern w:val="0"/>
          <w:sz w:val="24"/>
          <w:highlight w:val="none"/>
          <w:lang w:val="en-US" w:eastAsia="zh-CN"/>
        </w:rPr>
        <w:t>遥控器</w:t>
      </w:r>
      <w:r>
        <w:rPr>
          <w:rFonts w:hint="default" w:ascii="仿宋_GB2312" w:hAnsi="仿宋" w:eastAsia="仿宋_GB2312" w:cs="Helvetica"/>
          <w:color w:val="auto"/>
          <w:kern w:val="0"/>
          <w:sz w:val="24"/>
          <w:highlight w:val="none"/>
          <w:lang w:val="en-US" w:eastAsia="zh-CN"/>
        </w:rPr>
        <w:tab/>
      </w:r>
    </w:p>
    <w:p w14:paraId="349C213E">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9.23.1</w:t>
      </w:r>
      <w:r>
        <w:rPr>
          <w:rFonts w:hint="default" w:ascii="仿宋_GB2312" w:hAnsi="仿宋" w:eastAsia="仿宋_GB2312" w:cs="Helvetica"/>
          <w:color w:val="auto"/>
          <w:kern w:val="0"/>
          <w:sz w:val="24"/>
          <w:highlight w:val="none"/>
          <w:lang w:val="en-US" w:eastAsia="zh-CN"/>
        </w:rPr>
        <w:t>IP防护等级至少达到IP54，环境工作温度-20℃ 至 50℃</w:t>
      </w:r>
    </w:p>
    <w:p w14:paraId="44ABF003">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9.23.2</w:t>
      </w:r>
      <w:r>
        <w:rPr>
          <w:rFonts w:hint="default" w:ascii="仿宋_GB2312" w:hAnsi="仿宋" w:eastAsia="仿宋_GB2312" w:cs="Helvetica"/>
          <w:color w:val="auto"/>
          <w:kern w:val="0"/>
          <w:sz w:val="24"/>
          <w:highlight w:val="none"/>
          <w:lang w:val="en-US" w:eastAsia="zh-CN"/>
        </w:rPr>
        <w:t>遥控器具备内置电池，并支持外置可更换电池，内置+外置电池最大续航时间需大于等于6小时</w:t>
      </w:r>
    </w:p>
    <w:p w14:paraId="1D2BEED6">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9.23.3</w:t>
      </w:r>
      <w:r>
        <w:rPr>
          <w:rFonts w:hint="default" w:ascii="仿宋_GB2312" w:hAnsi="仿宋" w:eastAsia="仿宋_GB2312" w:cs="Helvetica"/>
          <w:color w:val="auto"/>
          <w:kern w:val="0"/>
          <w:sz w:val="24"/>
          <w:highlight w:val="none"/>
          <w:lang w:val="en-US" w:eastAsia="zh-CN"/>
        </w:rPr>
        <w:tab/>
      </w:r>
      <w:r>
        <w:rPr>
          <w:rFonts w:hint="default" w:ascii="仿宋_GB2312" w:hAnsi="仿宋" w:eastAsia="仿宋_GB2312" w:cs="Helvetica"/>
          <w:color w:val="auto"/>
          <w:kern w:val="0"/>
          <w:sz w:val="24"/>
          <w:highlight w:val="none"/>
          <w:lang w:val="en-US" w:eastAsia="zh-CN"/>
        </w:rPr>
        <w:t>外置电池支持热替换，并可用于对内置电池充电。</w:t>
      </w:r>
    </w:p>
    <w:p w14:paraId="5A3D15AC">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9.23.5</w:t>
      </w:r>
      <w:r>
        <w:rPr>
          <w:rFonts w:hint="default" w:ascii="仿宋_GB2312" w:hAnsi="仿宋" w:eastAsia="仿宋_GB2312" w:cs="Helvetica"/>
          <w:color w:val="auto"/>
          <w:kern w:val="0"/>
          <w:sz w:val="24"/>
          <w:highlight w:val="none"/>
          <w:lang w:val="en-US" w:eastAsia="zh-CN"/>
        </w:rPr>
        <w:t>支持4G模块可用于上网。</w:t>
      </w:r>
    </w:p>
    <w:p w14:paraId="04DBE51E">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9.23.6</w:t>
      </w:r>
      <w:r>
        <w:rPr>
          <w:rFonts w:hint="default" w:ascii="仿宋_GB2312" w:hAnsi="仿宋" w:eastAsia="仿宋_GB2312" w:cs="Helvetica"/>
          <w:color w:val="auto"/>
          <w:kern w:val="0"/>
          <w:sz w:val="24"/>
          <w:highlight w:val="none"/>
          <w:lang w:val="en-US" w:eastAsia="zh-CN"/>
        </w:rPr>
        <w:t>支持65W的快充接口，该充电接口可对内外置电池同时充电，充满电的时长小于等于2小时</w:t>
      </w:r>
    </w:p>
    <w:p w14:paraId="743DBC70">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9.23.8</w:t>
      </w:r>
      <w:r>
        <w:rPr>
          <w:rFonts w:hint="default" w:ascii="仿宋_GB2312" w:hAnsi="仿宋" w:eastAsia="仿宋_GB2312" w:cs="Helvetica"/>
          <w:color w:val="auto"/>
          <w:kern w:val="0"/>
          <w:sz w:val="24"/>
          <w:highlight w:val="none"/>
          <w:lang w:val="en-US" w:eastAsia="zh-CN"/>
        </w:rPr>
        <w:t>遥控器屏幕的尺寸大于等于7英寸，分辨率大于等于1080p</w:t>
      </w:r>
    </w:p>
    <w:p w14:paraId="13861BA0">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9.23.9</w:t>
      </w:r>
      <w:r>
        <w:rPr>
          <w:rFonts w:hint="default" w:ascii="仿宋_GB2312" w:hAnsi="仿宋" w:eastAsia="仿宋_GB2312" w:cs="Helvetica"/>
          <w:color w:val="auto"/>
          <w:kern w:val="0"/>
          <w:sz w:val="24"/>
          <w:highlight w:val="none"/>
          <w:lang w:val="en-US" w:eastAsia="zh-CN"/>
        </w:rPr>
        <w:t>支持HDMI、USB-C、USB-A接口及SD卡插槽</w:t>
      </w:r>
    </w:p>
    <w:p w14:paraId="4EFBFF32">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w:t>
      </w:r>
      <w:r>
        <w:rPr>
          <w:rFonts w:hint="default" w:ascii="仿宋_GB2312" w:hAnsi="仿宋" w:eastAsia="仿宋_GB2312" w:cs="Helvetica"/>
          <w:color w:val="auto"/>
          <w:kern w:val="0"/>
          <w:sz w:val="24"/>
          <w:highlight w:val="none"/>
          <w:lang w:val="en-US" w:eastAsia="zh-CN"/>
        </w:rPr>
        <w:t>软件功能</w:t>
      </w:r>
      <w:r>
        <w:rPr>
          <w:rFonts w:hint="default" w:ascii="仿宋_GB2312" w:hAnsi="仿宋" w:eastAsia="仿宋_GB2312" w:cs="Helvetica"/>
          <w:color w:val="auto"/>
          <w:kern w:val="0"/>
          <w:sz w:val="24"/>
          <w:highlight w:val="none"/>
          <w:lang w:val="en-US" w:eastAsia="zh-CN"/>
        </w:rPr>
        <w:tab/>
      </w:r>
    </w:p>
    <w:p w14:paraId="018E3C14">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9.24.1</w:t>
      </w:r>
      <w:r>
        <w:rPr>
          <w:rFonts w:hint="default" w:ascii="仿宋_GB2312" w:hAnsi="仿宋" w:eastAsia="仿宋_GB2312" w:cs="Helvetica"/>
          <w:color w:val="auto"/>
          <w:kern w:val="0"/>
          <w:sz w:val="24"/>
          <w:highlight w:val="none"/>
          <w:lang w:val="en-US" w:eastAsia="zh-CN"/>
        </w:rPr>
        <w:t>民航客机信息告警</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能够接收民航客机的ADS-B广播信息，并能过地面端软件向用户发出附近民航客机预警信息</w:t>
      </w:r>
    </w:p>
    <w:p w14:paraId="12D1E4CF">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9.24.2</w:t>
      </w:r>
      <w:r>
        <w:rPr>
          <w:rFonts w:hint="default" w:ascii="仿宋_GB2312" w:hAnsi="仿宋" w:eastAsia="仿宋_GB2312" w:cs="Helvetica"/>
          <w:color w:val="auto"/>
          <w:kern w:val="0"/>
          <w:sz w:val="24"/>
          <w:highlight w:val="none"/>
          <w:lang w:val="en-US" w:eastAsia="zh-CN"/>
        </w:rPr>
        <w:t>高级双控功能</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支持两个遥控器同时与同一台飞行器连接，且都能对飞行器、云台进行操控，控制权限可在两个遥控器之间切换。</w:t>
      </w:r>
    </w:p>
    <w:p w14:paraId="2D75F82F">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9.24.3</w:t>
      </w:r>
      <w:r>
        <w:rPr>
          <w:rFonts w:hint="default" w:ascii="仿宋_GB2312" w:hAnsi="仿宋" w:eastAsia="仿宋_GB2312" w:cs="Helvetica"/>
          <w:color w:val="auto"/>
          <w:kern w:val="0"/>
          <w:sz w:val="24"/>
          <w:highlight w:val="none"/>
          <w:lang w:val="en-US" w:eastAsia="zh-CN"/>
        </w:rPr>
        <w:t>飞行辅助界面</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地面端软件能够实时显示飞行器的速度、高度、飞行器朝向、云台朝向等信息</w:t>
      </w:r>
    </w:p>
    <w:p w14:paraId="781A386B">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9.24.4</w:t>
      </w:r>
      <w:r>
        <w:rPr>
          <w:rFonts w:hint="default" w:ascii="仿宋_GB2312" w:hAnsi="仿宋" w:eastAsia="仿宋_GB2312" w:cs="Helvetica"/>
          <w:color w:val="auto"/>
          <w:kern w:val="0"/>
          <w:sz w:val="24"/>
          <w:highlight w:val="none"/>
          <w:lang w:val="en-US" w:eastAsia="zh-CN"/>
        </w:rPr>
        <w:t>飞行辅助界面</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地面端软件能够实时显示风速和风向</w:t>
      </w:r>
    </w:p>
    <w:p w14:paraId="26FBCA1B">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9.24.5</w:t>
      </w:r>
      <w:r>
        <w:rPr>
          <w:rFonts w:hint="default" w:ascii="仿宋_GB2312" w:hAnsi="仿宋" w:eastAsia="仿宋_GB2312" w:cs="Helvetica"/>
          <w:color w:val="auto"/>
          <w:kern w:val="0"/>
          <w:sz w:val="24"/>
          <w:highlight w:val="none"/>
          <w:lang w:val="en-US" w:eastAsia="zh-CN"/>
        </w:rPr>
        <w:t>飞行辅助界面</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地面端软件能够实时显示飞行器前、后、左、右的障碍物地图，并能够设置避障提醒距离，当距离内有障碍物时进行语音提醒。</w:t>
      </w:r>
    </w:p>
    <w:p w14:paraId="0BD070F8">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9.24.6</w:t>
      </w:r>
      <w:r>
        <w:rPr>
          <w:rFonts w:hint="default" w:ascii="仿宋_GB2312" w:hAnsi="仿宋" w:eastAsia="仿宋_GB2312" w:cs="Helvetica"/>
          <w:color w:val="auto"/>
          <w:kern w:val="0"/>
          <w:sz w:val="24"/>
          <w:highlight w:val="none"/>
          <w:lang w:val="en-US" w:eastAsia="zh-CN"/>
        </w:rPr>
        <w:t>健康管理系统</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飞行器能够记录从出厂开始的累计飞行时长、起降次数、飞行里程，并能够通过遥控器APP进行查看，可显示飞行器各模块的健康状态，并保存异常记录</w:t>
      </w:r>
    </w:p>
    <w:p w14:paraId="6211F1D6">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9.24.7</w:t>
      </w:r>
      <w:r>
        <w:rPr>
          <w:rFonts w:hint="default" w:ascii="仿宋_GB2312" w:hAnsi="仿宋" w:eastAsia="仿宋_GB2312" w:cs="Helvetica"/>
          <w:color w:val="auto"/>
          <w:kern w:val="0"/>
          <w:sz w:val="24"/>
          <w:highlight w:val="none"/>
          <w:lang w:val="en-US" w:eastAsia="zh-CN"/>
        </w:rPr>
        <w:t>航线飞行</w:t>
      </w:r>
    </w:p>
    <w:p w14:paraId="2EFB1BA1">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9.24.7.1</w:t>
      </w:r>
      <w:r>
        <w:rPr>
          <w:rFonts w:hint="default" w:ascii="仿宋_GB2312" w:hAnsi="仿宋" w:eastAsia="仿宋_GB2312" w:cs="Helvetica"/>
          <w:color w:val="auto"/>
          <w:kern w:val="0"/>
          <w:sz w:val="24"/>
          <w:highlight w:val="none"/>
          <w:lang w:val="en-US" w:eastAsia="zh-CN"/>
        </w:rPr>
        <w:t>支持在地图上选点，然后对航点动作和航线高度、速度等参数进行编辑，能够实现自动飞行。</w:t>
      </w:r>
    </w:p>
    <w:p w14:paraId="5398E70E">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9.24.7.2</w:t>
      </w:r>
      <w:r>
        <w:rPr>
          <w:rFonts w:hint="default" w:ascii="仿宋_GB2312" w:hAnsi="仿宋" w:eastAsia="仿宋_GB2312" w:cs="Helvetica"/>
          <w:color w:val="auto"/>
          <w:kern w:val="0"/>
          <w:sz w:val="24"/>
          <w:highlight w:val="none"/>
          <w:lang w:val="en-US" w:eastAsia="zh-CN"/>
        </w:rPr>
        <w:t>航点的高度可选绝对高度/相对高度</w:t>
      </w:r>
    </w:p>
    <w:p w14:paraId="535F3EEF">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9.24.7.3</w:t>
      </w:r>
      <w:r>
        <w:rPr>
          <w:rFonts w:hint="default" w:ascii="仿宋_GB2312" w:hAnsi="仿宋" w:eastAsia="仿宋_GB2312" w:cs="Helvetica"/>
          <w:color w:val="auto"/>
          <w:kern w:val="0"/>
          <w:sz w:val="24"/>
          <w:highlight w:val="none"/>
          <w:lang w:val="en-US" w:eastAsia="zh-CN"/>
        </w:rPr>
        <w:t>可设置不少于60000个智能航点</w:t>
      </w:r>
    </w:p>
    <w:p w14:paraId="7C25C066">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9.24.8</w:t>
      </w:r>
      <w:r>
        <w:rPr>
          <w:rFonts w:hint="default" w:ascii="仿宋_GB2312" w:hAnsi="仿宋" w:eastAsia="仿宋_GB2312" w:cs="Helvetica"/>
          <w:color w:val="auto"/>
          <w:kern w:val="0"/>
          <w:sz w:val="24"/>
          <w:highlight w:val="none"/>
          <w:lang w:val="en-US" w:eastAsia="zh-CN"/>
        </w:rPr>
        <w:t>智能定位跟踪</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系统能够自动识别人、车、船，并进行框选，也可手动框选兴趣目标，并支持自动调节镜头焦距保持物体在画面中的比例固定</w:t>
      </w:r>
    </w:p>
    <w:p w14:paraId="2A6ED188">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9.24.9</w:t>
      </w:r>
      <w:r>
        <w:rPr>
          <w:rFonts w:hint="default" w:ascii="仿宋_GB2312" w:hAnsi="仿宋" w:eastAsia="仿宋_GB2312" w:cs="Helvetica"/>
          <w:color w:val="auto"/>
          <w:kern w:val="0"/>
          <w:sz w:val="24"/>
          <w:highlight w:val="none"/>
          <w:lang w:val="en-US" w:eastAsia="zh-CN"/>
        </w:rPr>
        <w:t>智能定位跟踪</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支持用户通过云台相机进行打点定位标识功能</w:t>
      </w:r>
    </w:p>
    <w:p w14:paraId="0FFDD8BB">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9.24.10</w:t>
      </w:r>
      <w:r>
        <w:rPr>
          <w:rFonts w:hint="default" w:ascii="仿宋_GB2312" w:hAnsi="仿宋" w:eastAsia="仿宋_GB2312" w:cs="Helvetica"/>
          <w:color w:val="auto"/>
          <w:kern w:val="0"/>
          <w:sz w:val="24"/>
          <w:highlight w:val="none"/>
          <w:lang w:val="en-US" w:eastAsia="zh-CN"/>
        </w:rPr>
        <w:t>安全隐私</w:t>
      </w:r>
    </w:p>
    <w:p w14:paraId="76FF2C23">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9.24.10.1</w:t>
      </w:r>
      <w:r>
        <w:rPr>
          <w:rFonts w:hint="default" w:ascii="仿宋_GB2312" w:hAnsi="仿宋" w:eastAsia="仿宋_GB2312" w:cs="Helvetica"/>
          <w:color w:val="auto"/>
          <w:kern w:val="0"/>
          <w:sz w:val="24"/>
          <w:highlight w:val="none"/>
          <w:lang w:val="en-US" w:eastAsia="zh-CN"/>
        </w:rPr>
        <w:t>支持对无人机拍摄的数据进行加密，防止飞机丢失后，其他人获取到拍摄的数据</w:t>
      </w:r>
    </w:p>
    <w:p w14:paraId="00A26D9B">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9.24.10.2</w:t>
      </w:r>
      <w:r>
        <w:rPr>
          <w:rFonts w:hint="default" w:ascii="仿宋_GB2312" w:hAnsi="仿宋" w:eastAsia="仿宋_GB2312" w:cs="Helvetica"/>
          <w:color w:val="auto"/>
          <w:kern w:val="0"/>
          <w:sz w:val="24"/>
          <w:highlight w:val="none"/>
          <w:lang w:val="en-US" w:eastAsia="zh-CN"/>
        </w:rPr>
        <w:t>支持清除飞机的飞行日志，避免作业信息外泄</w:t>
      </w:r>
    </w:p>
    <w:p w14:paraId="401E3740">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9.24.10.3</w:t>
      </w:r>
      <w:r>
        <w:rPr>
          <w:rFonts w:hint="default" w:ascii="仿宋_GB2312" w:hAnsi="仿宋" w:eastAsia="仿宋_GB2312" w:cs="Helvetica"/>
          <w:color w:val="auto"/>
          <w:kern w:val="0"/>
          <w:sz w:val="24"/>
          <w:highlight w:val="none"/>
          <w:lang w:val="en-US" w:eastAsia="zh-CN"/>
        </w:rPr>
        <w:t>无人机支持离线模式（完全不联网），并支持自定开关各种网络服务（RTK、地图、直播等）</w:t>
      </w:r>
    </w:p>
    <w:p w14:paraId="526F49B0">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9.24.11</w:t>
      </w:r>
      <w:r>
        <w:rPr>
          <w:rFonts w:hint="default" w:ascii="仿宋_GB2312" w:hAnsi="仿宋" w:eastAsia="仿宋_GB2312" w:cs="Helvetica"/>
          <w:color w:val="auto"/>
          <w:kern w:val="0"/>
          <w:sz w:val="24"/>
          <w:highlight w:val="none"/>
          <w:lang w:val="en-US" w:eastAsia="zh-CN"/>
        </w:rPr>
        <w:t>精准降落</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具备精准降落功能：开启后，一键返航时会精准降落到起飞点</w:t>
      </w:r>
    </w:p>
    <w:p w14:paraId="0333C812">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9.24.12</w:t>
      </w:r>
      <w:r>
        <w:rPr>
          <w:rFonts w:hint="default" w:ascii="仿宋_GB2312" w:hAnsi="仿宋" w:eastAsia="仿宋_GB2312" w:cs="Helvetica"/>
          <w:color w:val="auto"/>
          <w:kern w:val="0"/>
          <w:sz w:val="24"/>
          <w:highlight w:val="none"/>
          <w:lang w:val="en-US" w:eastAsia="zh-CN"/>
        </w:rPr>
        <w:t>低电量返航功能</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能通过地面端软件实时查看电池电量。电量不足时，地面站软件能提示用户执行返航。若用户在设定时间内未做选择，则飞行器将自动返航。</w:t>
      </w:r>
    </w:p>
    <w:p w14:paraId="46C9B5EB">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9.24.13</w:t>
      </w:r>
      <w:r>
        <w:rPr>
          <w:rFonts w:hint="default" w:ascii="仿宋_GB2312" w:hAnsi="仿宋" w:eastAsia="仿宋_GB2312" w:cs="Helvetica"/>
          <w:color w:val="auto"/>
          <w:kern w:val="0"/>
          <w:sz w:val="24"/>
          <w:highlight w:val="none"/>
          <w:lang w:val="en-US" w:eastAsia="zh-CN"/>
        </w:rPr>
        <w:t>失控返航功能</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当飞行器与遥控器失去通讯信号时，飞行器能够终止飞行任务并按照原路径自动返回航点并降落；在返航过程中，如信号恢复正常，用户可以通过遥控器取消返航。</w:t>
      </w:r>
    </w:p>
    <w:p w14:paraId="619B2E4A">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9.24.14</w:t>
      </w:r>
      <w:r>
        <w:rPr>
          <w:rFonts w:hint="default" w:ascii="仿宋_GB2312" w:hAnsi="仿宋" w:eastAsia="仿宋_GB2312" w:cs="Helvetica"/>
          <w:color w:val="auto"/>
          <w:kern w:val="0"/>
          <w:sz w:val="24"/>
          <w:highlight w:val="none"/>
          <w:lang w:val="en-US" w:eastAsia="zh-CN"/>
        </w:rPr>
        <w:t>异常情况报警功能</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当无人机发生电量不足、超速或失速飞行、姿态角超过规定范围、定位卫星数量不足、发动机异常、通信中断等情况时，控制站应能进行声、光报警</w:t>
      </w:r>
      <w:r>
        <w:rPr>
          <w:rFonts w:hint="eastAsia" w:ascii="仿宋_GB2312" w:hAnsi="仿宋" w:eastAsia="仿宋_GB2312" w:cs="Helvetica"/>
          <w:color w:val="auto"/>
          <w:kern w:val="0"/>
          <w:sz w:val="24"/>
          <w:highlight w:val="none"/>
          <w:lang w:val="en-US" w:eastAsia="zh-CN"/>
        </w:rPr>
        <w:t>。</w:t>
      </w:r>
    </w:p>
    <w:p w14:paraId="4EA7C322">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9.24.15</w:t>
      </w:r>
      <w:r>
        <w:rPr>
          <w:rFonts w:hint="default" w:ascii="仿宋_GB2312" w:hAnsi="仿宋" w:eastAsia="仿宋_GB2312" w:cs="Helvetica"/>
          <w:color w:val="auto"/>
          <w:kern w:val="0"/>
          <w:sz w:val="24"/>
          <w:highlight w:val="none"/>
          <w:lang w:val="en-US" w:eastAsia="zh-CN"/>
        </w:rPr>
        <w:t>建图航拍</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支持通过遥控器APP实现建图航拍。</w:t>
      </w:r>
    </w:p>
    <w:p w14:paraId="3C19F26E">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9.24.16</w:t>
      </w:r>
      <w:r>
        <w:rPr>
          <w:rFonts w:hint="default" w:ascii="仿宋_GB2312" w:hAnsi="仿宋" w:eastAsia="仿宋_GB2312" w:cs="Helvetica"/>
          <w:color w:val="auto"/>
          <w:kern w:val="0"/>
          <w:sz w:val="24"/>
          <w:highlight w:val="none"/>
          <w:lang w:val="en-US" w:eastAsia="zh-CN"/>
        </w:rPr>
        <w:t>SDK开发功能</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支持SDK接口二次开发。</w:t>
      </w:r>
    </w:p>
    <w:p w14:paraId="6BF4BAE1">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9.25</w:t>
      </w:r>
      <w:r>
        <w:rPr>
          <w:rFonts w:hint="default" w:ascii="仿宋_GB2312" w:hAnsi="仿宋" w:eastAsia="仿宋_GB2312" w:cs="Helvetica"/>
          <w:color w:val="auto"/>
          <w:kern w:val="0"/>
          <w:sz w:val="24"/>
          <w:highlight w:val="none"/>
          <w:lang w:val="en-US" w:eastAsia="zh-CN"/>
        </w:rPr>
        <w:t>智能电池</w:t>
      </w:r>
      <w:r>
        <w:rPr>
          <w:rFonts w:hint="default" w:ascii="仿宋_GB2312" w:hAnsi="仿宋" w:eastAsia="仿宋_GB2312" w:cs="Helvetica"/>
          <w:color w:val="auto"/>
          <w:kern w:val="0"/>
          <w:sz w:val="24"/>
          <w:highlight w:val="none"/>
          <w:lang w:val="en-US" w:eastAsia="zh-CN"/>
        </w:rPr>
        <w:tab/>
      </w:r>
    </w:p>
    <w:p w14:paraId="32176D33">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9.25.1</w:t>
      </w:r>
      <w:r>
        <w:rPr>
          <w:rFonts w:hint="default" w:ascii="仿宋_GB2312" w:hAnsi="仿宋" w:eastAsia="仿宋_GB2312" w:cs="Helvetica"/>
          <w:color w:val="auto"/>
          <w:kern w:val="0"/>
          <w:sz w:val="24"/>
          <w:highlight w:val="none"/>
          <w:lang w:val="en-US" w:eastAsia="zh-CN"/>
        </w:rPr>
        <w:t>容量及能量</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容量大于等于5800mAh，能量大于等于130Wh</w:t>
      </w:r>
      <w:r>
        <w:rPr>
          <w:rFonts w:hint="eastAsia" w:ascii="仿宋_GB2312" w:hAnsi="仿宋" w:eastAsia="仿宋_GB2312" w:cs="Helvetica"/>
          <w:color w:val="auto"/>
          <w:kern w:val="0"/>
          <w:sz w:val="24"/>
          <w:highlight w:val="none"/>
          <w:lang w:val="en-US" w:eastAsia="zh-CN"/>
        </w:rPr>
        <w:t>。</w:t>
      </w:r>
    </w:p>
    <w:p w14:paraId="3E0CBE55">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9.25.2</w:t>
      </w:r>
      <w:r>
        <w:rPr>
          <w:rFonts w:hint="default" w:ascii="仿宋_GB2312" w:hAnsi="仿宋" w:eastAsia="仿宋_GB2312" w:cs="Helvetica"/>
          <w:color w:val="auto"/>
          <w:kern w:val="0"/>
          <w:sz w:val="24"/>
          <w:highlight w:val="none"/>
          <w:lang w:val="en-US" w:eastAsia="zh-CN"/>
        </w:rPr>
        <w:t>电池剩余电量显示功能</w:t>
      </w:r>
      <w:r>
        <w:rPr>
          <w:rFonts w:hint="default" w:ascii="仿宋_GB2312" w:hAnsi="仿宋" w:eastAsia="仿宋_GB2312" w:cs="Helvetica"/>
          <w:color w:val="auto"/>
          <w:kern w:val="0"/>
          <w:sz w:val="24"/>
          <w:highlight w:val="none"/>
          <w:lang w:val="en-US" w:eastAsia="zh-CN"/>
        </w:rPr>
        <w:tab/>
      </w:r>
      <w:r>
        <w:rPr>
          <w:rFonts w:hint="default" w:ascii="仿宋_GB2312" w:hAnsi="仿宋" w:eastAsia="仿宋_GB2312" w:cs="Helvetica"/>
          <w:color w:val="auto"/>
          <w:kern w:val="0"/>
          <w:sz w:val="24"/>
          <w:highlight w:val="none"/>
          <w:lang w:val="en-US" w:eastAsia="zh-CN"/>
        </w:rPr>
        <w:t>电池自带电量指示灯，可以显示电池当前电量</w:t>
      </w:r>
      <w:r>
        <w:rPr>
          <w:rFonts w:hint="eastAsia" w:ascii="仿宋_GB2312" w:hAnsi="仿宋" w:eastAsia="仿宋_GB2312" w:cs="Helvetica"/>
          <w:color w:val="auto"/>
          <w:kern w:val="0"/>
          <w:sz w:val="24"/>
          <w:highlight w:val="none"/>
          <w:lang w:val="en-US" w:eastAsia="zh-CN"/>
        </w:rPr>
        <w:t>。</w:t>
      </w:r>
    </w:p>
    <w:p w14:paraId="177A4065">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9.25.3</w:t>
      </w:r>
      <w:r>
        <w:rPr>
          <w:rFonts w:hint="default" w:ascii="仿宋_GB2312" w:hAnsi="仿宋" w:eastAsia="仿宋_GB2312" w:cs="Helvetica"/>
          <w:color w:val="auto"/>
          <w:kern w:val="0"/>
          <w:sz w:val="24"/>
          <w:highlight w:val="none"/>
          <w:lang w:val="en-US" w:eastAsia="zh-CN"/>
        </w:rPr>
        <w:t>过充保护功能</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具有过充保护功能。当充电电压过高时，充电设备能断开充电电路</w:t>
      </w:r>
      <w:r>
        <w:rPr>
          <w:rFonts w:hint="eastAsia" w:ascii="仿宋_GB2312" w:hAnsi="仿宋" w:eastAsia="仿宋_GB2312" w:cs="Helvetica"/>
          <w:color w:val="auto"/>
          <w:kern w:val="0"/>
          <w:sz w:val="24"/>
          <w:highlight w:val="none"/>
          <w:lang w:val="en-US" w:eastAsia="zh-CN"/>
        </w:rPr>
        <w:t>。</w:t>
      </w:r>
    </w:p>
    <w:p w14:paraId="21BB7681">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9.25.4</w:t>
      </w:r>
      <w:r>
        <w:rPr>
          <w:rFonts w:hint="default" w:ascii="仿宋_GB2312" w:hAnsi="仿宋" w:eastAsia="仿宋_GB2312" w:cs="Helvetica"/>
          <w:color w:val="auto"/>
          <w:kern w:val="0"/>
          <w:sz w:val="24"/>
          <w:highlight w:val="none"/>
          <w:lang w:val="en-US" w:eastAsia="zh-CN"/>
        </w:rPr>
        <w:t>电池自加热功能</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电池安装到飞行器且开启电源之后，当环境温度较低时能自动加热，使电池能够支持-20°C到50°C的工作温度</w:t>
      </w:r>
      <w:r>
        <w:rPr>
          <w:rFonts w:hint="eastAsia" w:ascii="仿宋_GB2312" w:hAnsi="仿宋" w:eastAsia="仿宋_GB2312" w:cs="Helvetica"/>
          <w:color w:val="auto"/>
          <w:kern w:val="0"/>
          <w:sz w:val="24"/>
          <w:highlight w:val="none"/>
          <w:lang w:val="en-US" w:eastAsia="zh-CN"/>
        </w:rPr>
        <w:t>。</w:t>
      </w:r>
    </w:p>
    <w:p w14:paraId="15312F16">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9.25.5</w:t>
      </w:r>
      <w:r>
        <w:rPr>
          <w:rFonts w:hint="default" w:ascii="仿宋_GB2312" w:hAnsi="仿宋" w:eastAsia="仿宋_GB2312" w:cs="Helvetica"/>
          <w:color w:val="auto"/>
          <w:kern w:val="0"/>
          <w:sz w:val="24"/>
          <w:highlight w:val="none"/>
          <w:lang w:val="en-US" w:eastAsia="zh-CN"/>
        </w:rPr>
        <w:t>电芯损坏检测功能</w:t>
      </w:r>
      <w:r>
        <w:rPr>
          <w:rFonts w:hint="eastAsia" w:ascii="仿宋_GB2312" w:hAnsi="仿宋" w:eastAsia="仿宋_GB2312" w:cs="Helvetica"/>
          <w:color w:val="auto"/>
          <w:kern w:val="0"/>
          <w:sz w:val="24"/>
          <w:highlight w:val="none"/>
          <w:lang w:val="en-US" w:eastAsia="zh-CN"/>
        </w:rPr>
        <w:t>：</w:t>
      </w:r>
      <w:r>
        <w:rPr>
          <w:rFonts w:hint="default" w:ascii="仿宋_GB2312" w:hAnsi="仿宋" w:eastAsia="仿宋_GB2312" w:cs="Helvetica"/>
          <w:color w:val="auto"/>
          <w:kern w:val="0"/>
          <w:sz w:val="24"/>
          <w:highlight w:val="none"/>
          <w:lang w:val="en-US" w:eastAsia="zh-CN"/>
        </w:rPr>
        <w:t>飞行器电池电芯损坏或电芯严重不平衡的情况下，地面端软件能进行提示</w:t>
      </w:r>
      <w:r>
        <w:rPr>
          <w:rFonts w:hint="eastAsia" w:ascii="仿宋_GB2312" w:hAnsi="仿宋" w:eastAsia="仿宋_GB2312" w:cs="Helvetica"/>
          <w:color w:val="auto"/>
          <w:kern w:val="0"/>
          <w:sz w:val="24"/>
          <w:highlight w:val="none"/>
          <w:lang w:val="en-US" w:eastAsia="zh-CN"/>
        </w:rPr>
        <w:t>。</w:t>
      </w:r>
    </w:p>
    <w:p w14:paraId="5BCBB8A3">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9.26</w:t>
      </w:r>
      <w:r>
        <w:rPr>
          <w:rFonts w:hint="default" w:ascii="仿宋_GB2312" w:hAnsi="仿宋" w:eastAsia="仿宋_GB2312" w:cs="Helvetica"/>
          <w:color w:val="auto"/>
          <w:kern w:val="0"/>
          <w:sz w:val="24"/>
          <w:highlight w:val="none"/>
          <w:lang w:val="en-US" w:eastAsia="zh-CN"/>
        </w:rPr>
        <w:t>云台相机</w:t>
      </w:r>
      <w:r>
        <w:rPr>
          <w:rFonts w:hint="default" w:ascii="仿宋_GB2312" w:hAnsi="仿宋" w:eastAsia="仿宋_GB2312" w:cs="Helvetica"/>
          <w:color w:val="auto"/>
          <w:kern w:val="0"/>
          <w:sz w:val="24"/>
          <w:highlight w:val="none"/>
          <w:lang w:val="en-US" w:eastAsia="zh-CN"/>
        </w:rPr>
        <w:tab/>
      </w:r>
    </w:p>
    <w:p w14:paraId="5F777476">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9.26.1</w:t>
      </w:r>
      <w:r>
        <w:rPr>
          <w:rFonts w:hint="default" w:ascii="仿宋_GB2312" w:hAnsi="仿宋" w:eastAsia="仿宋_GB2312" w:cs="Helvetica"/>
          <w:color w:val="auto"/>
          <w:kern w:val="0"/>
          <w:sz w:val="24"/>
          <w:highlight w:val="none"/>
          <w:lang w:val="en-US" w:eastAsia="zh-CN"/>
        </w:rPr>
        <w:t>支持夜景模式</w:t>
      </w:r>
    </w:p>
    <w:p w14:paraId="18956A2A">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9.26.2</w:t>
      </w:r>
      <w:r>
        <w:rPr>
          <w:rFonts w:hint="default" w:ascii="仿宋_GB2312" w:hAnsi="仿宋" w:eastAsia="仿宋_GB2312" w:cs="Helvetica"/>
          <w:color w:val="auto"/>
          <w:kern w:val="0"/>
          <w:sz w:val="24"/>
          <w:highlight w:val="none"/>
          <w:lang w:val="en-US" w:eastAsia="zh-CN"/>
        </w:rPr>
        <w:t>支持同时显示可见光和红外画面，并且两个画面可以同时变焦。</w:t>
      </w:r>
    </w:p>
    <w:p w14:paraId="4D6A4A47">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9.26.3</w:t>
      </w:r>
      <w:r>
        <w:rPr>
          <w:rFonts w:hint="default" w:ascii="仿宋_GB2312" w:hAnsi="仿宋" w:eastAsia="仿宋_GB2312" w:cs="Helvetica"/>
          <w:color w:val="auto"/>
          <w:kern w:val="0"/>
          <w:sz w:val="24"/>
          <w:highlight w:val="none"/>
          <w:lang w:val="en-US" w:eastAsia="zh-CN"/>
        </w:rPr>
        <w:t>支持自定义水印功能</w:t>
      </w:r>
    </w:p>
    <w:p w14:paraId="3BC421D6">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9.26.4</w:t>
      </w:r>
      <w:r>
        <w:rPr>
          <w:rFonts w:hint="default" w:ascii="仿宋_GB2312" w:hAnsi="仿宋" w:eastAsia="仿宋_GB2312" w:cs="Helvetica"/>
          <w:color w:val="auto"/>
          <w:kern w:val="0"/>
          <w:sz w:val="24"/>
          <w:highlight w:val="none"/>
          <w:lang w:val="en-US" w:eastAsia="zh-CN"/>
        </w:rPr>
        <w:t>支持低光拍照模式，可以自动根据环境光线匹配优化策略及算法，在低光、逆光场景拍照更清晰</w:t>
      </w:r>
      <w:r>
        <w:rPr>
          <w:rFonts w:hint="eastAsia" w:ascii="仿宋_GB2312" w:hAnsi="仿宋" w:eastAsia="仿宋_GB2312" w:cs="Helvetica"/>
          <w:color w:val="auto"/>
          <w:kern w:val="0"/>
          <w:sz w:val="24"/>
          <w:highlight w:val="none"/>
          <w:lang w:val="en-US" w:eastAsia="zh-CN"/>
        </w:rPr>
        <w:t>。</w:t>
      </w:r>
    </w:p>
    <w:p w14:paraId="0A1CA920">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9.26.5</w:t>
      </w:r>
      <w:r>
        <w:rPr>
          <w:rFonts w:hint="default" w:ascii="仿宋_GB2312" w:hAnsi="仿宋" w:eastAsia="仿宋_GB2312" w:cs="Helvetica"/>
          <w:color w:val="auto"/>
          <w:kern w:val="0"/>
          <w:sz w:val="24"/>
          <w:highlight w:val="none"/>
          <w:lang w:val="en-US" w:eastAsia="zh-CN"/>
        </w:rPr>
        <w:t>支持拍摄360°全景照片。</w:t>
      </w:r>
    </w:p>
    <w:p w14:paraId="6E065DAC">
      <w:pPr>
        <w:tabs>
          <w:tab w:val="left" w:pos="0"/>
        </w:tabs>
        <w:spacing w:line="360" w:lineRule="auto"/>
        <w:ind w:firstLine="720" w:firstLineChars="3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9.26.6</w:t>
      </w:r>
      <w:r>
        <w:rPr>
          <w:rFonts w:hint="default" w:ascii="仿宋_GB2312" w:hAnsi="仿宋" w:eastAsia="仿宋_GB2312" w:cs="Helvetica"/>
          <w:color w:val="auto"/>
          <w:kern w:val="0"/>
          <w:sz w:val="24"/>
          <w:highlight w:val="none"/>
          <w:lang w:val="en-US" w:eastAsia="zh-CN"/>
        </w:rPr>
        <w:t>变焦相机</w:t>
      </w:r>
    </w:p>
    <w:p w14:paraId="62A4B7EC">
      <w:pPr>
        <w:tabs>
          <w:tab w:val="left" w:pos="0"/>
        </w:tabs>
        <w:spacing w:line="360" w:lineRule="auto"/>
        <w:ind w:firstLine="720" w:firstLineChars="3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9.26.6.1</w:t>
      </w:r>
      <w:r>
        <w:rPr>
          <w:rFonts w:hint="default" w:ascii="仿宋_GB2312" w:hAnsi="仿宋" w:eastAsia="仿宋_GB2312" w:cs="Helvetica"/>
          <w:color w:val="auto"/>
          <w:kern w:val="0"/>
          <w:sz w:val="24"/>
          <w:highlight w:val="none"/>
          <w:lang w:val="en-US" w:eastAsia="zh-CN"/>
        </w:rPr>
        <w:t>有效像素大于等于4000万</w:t>
      </w:r>
      <w:r>
        <w:rPr>
          <w:rFonts w:hint="eastAsia" w:ascii="仿宋_GB2312" w:hAnsi="仿宋" w:eastAsia="仿宋_GB2312" w:cs="Helvetica"/>
          <w:color w:val="auto"/>
          <w:kern w:val="0"/>
          <w:sz w:val="24"/>
          <w:highlight w:val="none"/>
          <w:lang w:val="en-US" w:eastAsia="zh-CN"/>
        </w:rPr>
        <w:t>。</w:t>
      </w:r>
    </w:p>
    <w:p w14:paraId="4FB513BB">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9.26.6.2</w:t>
      </w:r>
      <w:r>
        <w:rPr>
          <w:rFonts w:hint="default" w:ascii="仿宋_GB2312" w:hAnsi="仿宋" w:eastAsia="仿宋_GB2312" w:cs="Helvetica"/>
          <w:color w:val="auto"/>
          <w:kern w:val="0"/>
          <w:sz w:val="24"/>
          <w:highlight w:val="none"/>
          <w:lang w:val="en-US" w:eastAsia="zh-CN"/>
        </w:rPr>
        <w:t>等效焦距段覆盖范围包含120mm-400mm</w:t>
      </w:r>
      <w:r>
        <w:rPr>
          <w:rFonts w:hint="eastAsia" w:ascii="仿宋_GB2312" w:hAnsi="仿宋" w:eastAsia="仿宋_GB2312" w:cs="Helvetica"/>
          <w:color w:val="auto"/>
          <w:kern w:val="0"/>
          <w:sz w:val="24"/>
          <w:highlight w:val="none"/>
          <w:lang w:val="en-US" w:eastAsia="zh-CN"/>
        </w:rPr>
        <w:t>。</w:t>
      </w:r>
    </w:p>
    <w:p w14:paraId="24CCA7CC">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9.26.6.3</w:t>
      </w:r>
      <w:r>
        <w:rPr>
          <w:rFonts w:hint="default" w:ascii="仿宋_GB2312" w:hAnsi="仿宋" w:eastAsia="仿宋_GB2312" w:cs="Helvetica"/>
          <w:color w:val="auto"/>
          <w:kern w:val="0"/>
          <w:sz w:val="24"/>
          <w:highlight w:val="none"/>
          <w:lang w:val="en-US" w:eastAsia="zh-CN"/>
        </w:rPr>
        <w:t>视频分辨率大于等于3840×2160@30Hz，支持MP4格式</w:t>
      </w:r>
      <w:r>
        <w:rPr>
          <w:rFonts w:hint="eastAsia" w:ascii="仿宋_GB2312" w:hAnsi="仿宋" w:eastAsia="仿宋_GB2312" w:cs="Helvetica"/>
          <w:color w:val="auto"/>
          <w:kern w:val="0"/>
          <w:sz w:val="24"/>
          <w:highlight w:val="none"/>
          <w:lang w:val="en-US" w:eastAsia="zh-CN"/>
        </w:rPr>
        <w:t>。</w:t>
      </w:r>
    </w:p>
    <w:p w14:paraId="28525E00">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9.26.6.4</w:t>
      </w:r>
      <w:r>
        <w:rPr>
          <w:rFonts w:hint="default" w:ascii="仿宋_GB2312" w:hAnsi="仿宋" w:eastAsia="仿宋_GB2312" w:cs="Helvetica"/>
          <w:color w:val="auto"/>
          <w:kern w:val="0"/>
          <w:sz w:val="24"/>
          <w:highlight w:val="none"/>
          <w:lang w:val="en-US" w:eastAsia="zh-CN"/>
        </w:rPr>
        <w:t>照片分辨率大于等于8000×6000，支持jpg格式</w:t>
      </w:r>
      <w:r>
        <w:rPr>
          <w:rFonts w:hint="eastAsia" w:ascii="仿宋_GB2312" w:hAnsi="仿宋" w:eastAsia="仿宋_GB2312" w:cs="Helvetica"/>
          <w:color w:val="auto"/>
          <w:kern w:val="0"/>
          <w:sz w:val="24"/>
          <w:highlight w:val="none"/>
          <w:lang w:val="en-US" w:eastAsia="zh-CN"/>
        </w:rPr>
        <w:t>。</w:t>
      </w:r>
    </w:p>
    <w:p w14:paraId="23E96FFB">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9.26.6.5</w:t>
      </w:r>
      <w:r>
        <w:rPr>
          <w:rFonts w:hint="default" w:ascii="仿宋_GB2312" w:hAnsi="仿宋" w:eastAsia="仿宋_GB2312" w:cs="Helvetica"/>
          <w:color w:val="auto"/>
          <w:kern w:val="0"/>
          <w:sz w:val="24"/>
          <w:highlight w:val="none"/>
          <w:lang w:val="en-US" w:eastAsia="zh-CN"/>
        </w:rPr>
        <w:t>最大变焦倍数大于等于200倍</w:t>
      </w:r>
      <w:r>
        <w:rPr>
          <w:rFonts w:hint="eastAsia" w:ascii="仿宋_GB2312" w:hAnsi="仿宋" w:eastAsia="仿宋_GB2312" w:cs="Helvetica"/>
          <w:color w:val="auto"/>
          <w:kern w:val="0"/>
          <w:sz w:val="24"/>
          <w:highlight w:val="none"/>
          <w:lang w:val="en-US" w:eastAsia="zh-CN"/>
        </w:rPr>
        <w:t>。</w:t>
      </w:r>
    </w:p>
    <w:p w14:paraId="61253250">
      <w:pPr>
        <w:tabs>
          <w:tab w:val="left" w:pos="0"/>
        </w:tabs>
        <w:spacing w:line="360" w:lineRule="auto"/>
        <w:ind w:firstLine="720" w:firstLineChars="3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9.26.7</w:t>
      </w:r>
      <w:r>
        <w:rPr>
          <w:rFonts w:hint="default" w:ascii="仿宋_GB2312" w:hAnsi="仿宋" w:eastAsia="仿宋_GB2312" w:cs="Helvetica"/>
          <w:color w:val="auto"/>
          <w:kern w:val="0"/>
          <w:sz w:val="24"/>
          <w:highlight w:val="none"/>
          <w:lang w:val="en-US" w:eastAsia="zh-CN"/>
        </w:rPr>
        <w:t>广角相机</w:t>
      </w:r>
    </w:p>
    <w:p w14:paraId="7CA8BB63">
      <w:pPr>
        <w:tabs>
          <w:tab w:val="left" w:pos="0"/>
        </w:tabs>
        <w:spacing w:line="360" w:lineRule="auto"/>
        <w:ind w:firstLine="720" w:firstLineChars="3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9.26.7.1</w:t>
      </w:r>
      <w:r>
        <w:rPr>
          <w:rFonts w:hint="default" w:ascii="仿宋_GB2312" w:hAnsi="仿宋" w:eastAsia="仿宋_GB2312" w:cs="Helvetica"/>
          <w:color w:val="auto"/>
          <w:kern w:val="0"/>
          <w:sz w:val="24"/>
          <w:highlight w:val="none"/>
          <w:lang w:val="en-US" w:eastAsia="zh-CN"/>
        </w:rPr>
        <w:t>有效像素大于等于1200万</w:t>
      </w:r>
      <w:r>
        <w:rPr>
          <w:rFonts w:hint="eastAsia" w:ascii="仿宋_GB2312" w:hAnsi="仿宋" w:eastAsia="仿宋_GB2312" w:cs="Helvetica"/>
          <w:color w:val="auto"/>
          <w:kern w:val="0"/>
          <w:sz w:val="24"/>
          <w:highlight w:val="none"/>
          <w:lang w:val="en-US" w:eastAsia="zh-CN"/>
        </w:rPr>
        <w:t>。</w:t>
      </w:r>
    </w:p>
    <w:p w14:paraId="317EF5BE">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9.26.7.2</w:t>
      </w:r>
      <w:r>
        <w:rPr>
          <w:rFonts w:hint="default" w:ascii="仿宋_GB2312" w:hAnsi="仿宋" w:eastAsia="仿宋_GB2312" w:cs="Helvetica"/>
          <w:color w:val="auto"/>
          <w:kern w:val="0"/>
          <w:sz w:val="24"/>
          <w:highlight w:val="none"/>
          <w:lang w:val="en-US" w:eastAsia="zh-CN"/>
        </w:rPr>
        <w:t>视频分辨率大于等于3840×2160@30Hz，支持MP4格式</w:t>
      </w:r>
      <w:r>
        <w:rPr>
          <w:rFonts w:hint="eastAsia" w:ascii="仿宋_GB2312" w:hAnsi="仿宋" w:eastAsia="仿宋_GB2312" w:cs="Helvetica"/>
          <w:color w:val="auto"/>
          <w:kern w:val="0"/>
          <w:sz w:val="24"/>
          <w:highlight w:val="none"/>
          <w:lang w:val="en-US" w:eastAsia="zh-CN"/>
        </w:rPr>
        <w:t>。</w:t>
      </w:r>
    </w:p>
    <w:p w14:paraId="74F28EA6">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9.26.7.3</w:t>
      </w:r>
      <w:r>
        <w:rPr>
          <w:rFonts w:hint="default" w:ascii="仿宋_GB2312" w:hAnsi="仿宋" w:eastAsia="仿宋_GB2312" w:cs="Helvetica"/>
          <w:color w:val="auto"/>
          <w:kern w:val="0"/>
          <w:sz w:val="24"/>
          <w:highlight w:val="none"/>
          <w:lang w:val="en-US" w:eastAsia="zh-CN"/>
        </w:rPr>
        <w:t>照片分辨率大于等于4000×3000，支持jpg格式</w:t>
      </w:r>
      <w:r>
        <w:rPr>
          <w:rFonts w:hint="eastAsia" w:ascii="仿宋_GB2312" w:hAnsi="仿宋" w:eastAsia="仿宋_GB2312" w:cs="Helvetica"/>
          <w:color w:val="auto"/>
          <w:kern w:val="0"/>
          <w:sz w:val="24"/>
          <w:highlight w:val="none"/>
          <w:lang w:val="en-US" w:eastAsia="zh-CN"/>
        </w:rPr>
        <w:t>。</w:t>
      </w:r>
    </w:p>
    <w:p w14:paraId="49879274">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ab/>
      </w:r>
      <w:r>
        <w:rPr>
          <w:rFonts w:hint="eastAsia" w:ascii="仿宋_GB2312" w:hAnsi="仿宋" w:eastAsia="仿宋_GB2312" w:cs="Helvetica"/>
          <w:color w:val="auto"/>
          <w:kern w:val="0"/>
          <w:sz w:val="24"/>
          <w:highlight w:val="none"/>
          <w:lang w:val="en-US" w:eastAsia="zh-CN"/>
        </w:rPr>
        <w:t>9.26.7.4</w:t>
      </w:r>
      <w:r>
        <w:rPr>
          <w:rFonts w:hint="default" w:ascii="仿宋_GB2312" w:hAnsi="仿宋" w:eastAsia="仿宋_GB2312" w:cs="Helvetica"/>
          <w:color w:val="auto"/>
          <w:kern w:val="0"/>
          <w:sz w:val="24"/>
          <w:highlight w:val="none"/>
          <w:lang w:val="en-US" w:eastAsia="zh-CN"/>
        </w:rPr>
        <w:t>镜头DFOV大于等于80°</w:t>
      </w:r>
      <w:r>
        <w:rPr>
          <w:rFonts w:hint="eastAsia" w:ascii="仿宋_GB2312" w:hAnsi="仿宋" w:eastAsia="仿宋_GB2312" w:cs="Helvetica"/>
          <w:color w:val="auto"/>
          <w:kern w:val="0"/>
          <w:sz w:val="24"/>
          <w:highlight w:val="none"/>
          <w:lang w:val="en-US" w:eastAsia="zh-CN"/>
        </w:rPr>
        <w:t>。</w:t>
      </w:r>
    </w:p>
    <w:p w14:paraId="59533678">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9.27</w:t>
      </w:r>
      <w:r>
        <w:rPr>
          <w:rFonts w:hint="default" w:ascii="仿宋_GB2312" w:hAnsi="仿宋" w:eastAsia="仿宋_GB2312" w:cs="Helvetica"/>
          <w:color w:val="auto"/>
          <w:kern w:val="0"/>
          <w:sz w:val="24"/>
          <w:highlight w:val="none"/>
          <w:lang w:val="en-US" w:eastAsia="zh-CN"/>
        </w:rPr>
        <w:t>激光测距仪</w:t>
      </w:r>
      <w:r>
        <w:rPr>
          <w:rFonts w:hint="default" w:ascii="仿宋_GB2312" w:hAnsi="仿宋" w:eastAsia="仿宋_GB2312" w:cs="Helvetica"/>
          <w:color w:val="auto"/>
          <w:kern w:val="0"/>
          <w:sz w:val="24"/>
          <w:highlight w:val="none"/>
          <w:lang w:val="en-US" w:eastAsia="zh-CN"/>
        </w:rPr>
        <w:tab/>
      </w:r>
    </w:p>
    <w:p w14:paraId="120ACF39">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9.27.1</w:t>
      </w:r>
      <w:r>
        <w:rPr>
          <w:rFonts w:hint="default" w:ascii="仿宋_GB2312" w:hAnsi="仿宋" w:eastAsia="仿宋_GB2312" w:cs="Helvetica"/>
          <w:color w:val="auto"/>
          <w:kern w:val="0"/>
          <w:sz w:val="24"/>
          <w:highlight w:val="none"/>
          <w:lang w:val="en-US" w:eastAsia="zh-CN"/>
        </w:rPr>
        <w:t>测量范围大于等于1km</w:t>
      </w:r>
      <w:r>
        <w:rPr>
          <w:rFonts w:hint="eastAsia" w:ascii="仿宋_GB2312" w:hAnsi="仿宋" w:eastAsia="仿宋_GB2312" w:cs="Helvetica"/>
          <w:color w:val="auto"/>
          <w:kern w:val="0"/>
          <w:sz w:val="24"/>
          <w:highlight w:val="none"/>
          <w:lang w:val="en-US" w:eastAsia="zh-CN"/>
        </w:rPr>
        <w:t>。</w:t>
      </w:r>
    </w:p>
    <w:p w14:paraId="70B21470">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9.27.2</w:t>
      </w:r>
      <w:r>
        <w:rPr>
          <w:rFonts w:hint="default" w:ascii="仿宋_GB2312" w:hAnsi="仿宋" w:eastAsia="仿宋_GB2312" w:cs="Helvetica"/>
          <w:color w:val="auto"/>
          <w:kern w:val="0"/>
          <w:sz w:val="24"/>
          <w:highlight w:val="none"/>
          <w:lang w:val="en-US" w:eastAsia="zh-CN"/>
        </w:rPr>
        <w:t>测量精度1公里内偏差小于等于2m</w:t>
      </w:r>
      <w:r>
        <w:rPr>
          <w:rFonts w:hint="eastAsia" w:ascii="仿宋_GB2312" w:hAnsi="仿宋" w:eastAsia="仿宋_GB2312" w:cs="Helvetica"/>
          <w:color w:val="auto"/>
          <w:kern w:val="0"/>
          <w:sz w:val="24"/>
          <w:highlight w:val="none"/>
          <w:lang w:val="en-US" w:eastAsia="zh-CN"/>
        </w:rPr>
        <w:t>。</w:t>
      </w:r>
    </w:p>
    <w:p w14:paraId="1E0DEB66">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9.28</w:t>
      </w:r>
      <w:r>
        <w:rPr>
          <w:rFonts w:hint="default" w:ascii="仿宋_GB2312" w:hAnsi="仿宋" w:eastAsia="仿宋_GB2312" w:cs="Helvetica"/>
          <w:color w:val="auto"/>
          <w:kern w:val="0"/>
          <w:sz w:val="24"/>
          <w:highlight w:val="none"/>
          <w:lang w:val="en-US" w:eastAsia="zh-CN"/>
        </w:rPr>
        <w:t>红外相机</w:t>
      </w:r>
    </w:p>
    <w:p w14:paraId="47D33313">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9.28.1</w:t>
      </w:r>
      <w:r>
        <w:rPr>
          <w:rFonts w:hint="default" w:ascii="仿宋_GB2312" w:hAnsi="仿宋" w:eastAsia="仿宋_GB2312" w:cs="Helvetica"/>
          <w:color w:val="auto"/>
          <w:kern w:val="0"/>
          <w:sz w:val="24"/>
          <w:highlight w:val="none"/>
          <w:lang w:val="en-US" w:eastAsia="zh-CN"/>
        </w:rPr>
        <w:t>支持点测温、区域测温</w:t>
      </w:r>
      <w:r>
        <w:rPr>
          <w:rFonts w:hint="eastAsia" w:ascii="仿宋_GB2312" w:hAnsi="仿宋" w:eastAsia="仿宋_GB2312" w:cs="Helvetica"/>
          <w:color w:val="auto"/>
          <w:kern w:val="0"/>
          <w:sz w:val="24"/>
          <w:highlight w:val="none"/>
          <w:lang w:val="en-US" w:eastAsia="zh-CN"/>
        </w:rPr>
        <w:t>。</w:t>
      </w:r>
    </w:p>
    <w:p w14:paraId="5CC3314B">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9.28.2</w:t>
      </w:r>
      <w:r>
        <w:rPr>
          <w:rFonts w:hint="default" w:ascii="仿宋_GB2312" w:hAnsi="仿宋" w:eastAsia="仿宋_GB2312" w:cs="Helvetica"/>
          <w:color w:val="auto"/>
          <w:kern w:val="0"/>
          <w:sz w:val="24"/>
          <w:highlight w:val="none"/>
          <w:lang w:val="en-US" w:eastAsia="zh-CN"/>
        </w:rPr>
        <w:t>最大支持20倍数字变焦</w:t>
      </w:r>
      <w:r>
        <w:rPr>
          <w:rFonts w:hint="eastAsia" w:ascii="仿宋_GB2312" w:hAnsi="仿宋" w:eastAsia="仿宋_GB2312" w:cs="Helvetica"/>
          <w:color w:val="auto"/>
          <w:kern w:val="0"/>
          <w:sz w:val="24"/>
          <w:highlight w:val="none"/>
          <w:lang w:val="en-US" w:eastAsia="zh-CN"/>
        </w:rPr>
        <w:t>。</w:t>
      </w:r>
    </w:p>
    <w:p w14:paraId="18A8A7C4">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9.28.3</w:t>
      </w:r>
      <w:r>
        <w:rPr>
          <w:rFonts w:hint="default" w:ascii="仿宋_GB2312" w:hAnsi="仿宋" w:eastAsia="仿宋_GB2312" w:cs="Helvetica"/>
          <w:color w:val="auto"/>
          <w:kern w:val="0"/>
          <w:sz w:val="24"/>
          <w:highlight w:val="none"/>
          <w:lang w:val="en-US" w:eastAsia="zh-CN"/>
        </w:rPr>
        <w:t>视频分辨率大于等于640×512@30Hz，支持MP4格式</w:t>
      </w:r>
      <w:r>
        <w:rPr>
          <w:rFonts w:hint="eastAsia" w:ascii="仿宋_GB2312" w:hAnsi="仿宋" w:eastAsia="仿宋_GB2312" w:cs="Helvetica"/>
          <w:color w:val="auto"/>
          <w:kern w:val="0"/>
          <w:sz w:val="24"/>
          <w:highlight w:val="none"/>
          <w:lang w:val="en-US" w:eastAsia="zh-CN"/>
        </w:rPr>
        <w:t>。</w:t>
      </w:r>
    </w:p>
    <w:p w14:paraId="011C5A6E">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9.28.4</w:t>
      </w:r>
      <w:r>
        <w:rPr>
          <w:rFonts w:hint="default" w:ascii="仿宋_GB2312" w:hAnsi="仿宋" w:eastAsia="仿宋_GB2312" w:cs="Helvetica"/>
          <w:color w:val="auto"/>
          <w:kern w:val="0"/>
          <w:sz w:val="24"/>
          <w:highlight w:val="none"/>
          <w:lang w:val="en-US" w:eastAsia="zh-CN"/>
        </w:rPr>
        <w:t>照片分辨率大于等于640×512，支持红外超分辨率功能扩展分辨率到1280*1024，提升画面质量</w:t>
      </w:r>
      <w:r>
        <w:rPr>
          <w:rFonts w:hint="eastAsia" w:ascii="仿宋_GB2312" w:hAnsi="仿宋" w:eastAsia="仿宋_GB2312" w:cs="Helvetica"/>
          <w:color w:val="auto"/>
          <w:kern w:val="0"/>
          <w:sz w:val="24"/>
          <w:highlight w:val="none"/>
          <w:lang w:val="en-US" w:eastAsia="zh-CN"/>
        </w:rPr>
        <w:t>。</w:t>
      </w:r>
    </w:p>
    <w:p w14:paraId="0B6A9C7B">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9.28.5</w:t>
      </w:r>
      <w:r>
        <w:rPr>
          <w:rFonts w:hint="default" w:ascii="仿宋_GB2312" w:hAnsi="仿宋" w:eastAsia="仿宋_GB2312" w:cs="Helvetica"/>
          <w:color w:val="auto"/>
          <w:kern w:val="0"/>
          <w:sz w:val="24"/>
          <w:highlight w:val="none"/>
          <w:lang w:val="en-US" w:eastAsia="zh-CN"/>
        </w:rPr>
        <w:t>支持拍摄带有红外信息的照片，用软件进行后处理测温</w:t>
      </w:r>
    </w:p>
    <w:p w14:paraId="25C7090E">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9.28.6</w:t>
      </w:r>
      <w:r>
        <w:rPr>
          <w:rFonts w:hint="default" w:ascii="仿宋_GB2312" w:hAnsi="仿宋" w:eastAsia="仿宋_GB2312" w:cs="Helvetica"/>
          <w:color w:val="auto"/>
          <w:kern w:val="0"/>
          <w:sz w:val="24"/>
          <w:highlight w:val="none"/>
          <w:lang w:val="en-US" w:eastAsia="zh-CN"/>
        </w:rPr>
        <w:t>具备调色板功能</w:t>
      </w:r>
    </w:p>
    <w:p w14:paraId="71637414">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9.28.7</w:t>
      </w:r>
      <w:r>
        <w:rPr>
          <w:rFonts w:hint="default" w:ascii="仿宋_GB2312" w:hAnsi="仿宋" w:eastAsia="仿宋_GB2312" w:cs="Helvetica"/>
          <w:color w:val="auto"/>
          <w:kern w:val="0"/>
          <w:sz w:val="24"/>
          <w:highlight w:val="none"/>
          <w:lang w:val="en-US" w:eastAsia="zh-CN"/>
        </w:rPr>
        <w:t>支持高温警报功能</w:t>
      </w:r>
    </w:p>
    <w:p w14:paraId="2BD30D74">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9.28.8</w:t>
      </w:r>
      <w:r>
        <w:rPr>
          <w:rFonts w:hint="default" w:ascii="仿宋_GB2312" w:hAnsi="仿宋" w:eastAsia="仿宋_GB2312" w:cs="Helvetica"/>
          <w:color w:val="auto"/>
          <w:kern w:val="0"/>
          <w:sz w:val="24"/>
          <w:highlight w:val="none"/>
          <w:lang w:val="en-US" w:eastAsia="zh-CN"/>
        </w:rPr>
        <w:t>支持等温线功能</w:t>
      </w:r>
    </w:p>
    <w:p w14:paraId="3E7B6E94">
      <w:pPr>
        <w:tabs>
          <w:tab w:val="left" w:pos="0"/>
        </w:tabs>
        <w:spacing w:line="360" w:lineRule="auto"/>
        <w:ind w:firstLine="480" w:firstLineChars="200"/>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9.28.9</w:t>
      </w:r>
      <w:r>
        <w:rPr>
          <w:rFonts w:hint="default" w:ascii="仿宋_GB2312" w:hAnsi="仿宋" w:eastAsia="仿宋_GB2312" w:cs="Helvetica"/>
          <w:color w:val="auto"/>
          <w:kern w:val="0"/>
          <w:sz w:val="24"/>
          <w:highlight w:val="none"/>
          <w:lang w:val="en-US" w:eastAsia="zh-CN"/>
        </w:rPr>
        <w:t>支持高低增益模式</w:t>
      </w:r>
    </w:p>
    <w:p w14:paraId="17DC1C93">
      <w:pPr>
        <w:tabs>
          <w:tab w:val="left" w:pos="0"/>
        </w:tabs>
        <w:spacing w:line="360" w:lineRule="auto"/>
        <w:ind w:firstLine="482" w:firstLineChars="200"/>
        <w:rPr>
          <w:rFonts w:hint="eastAsia" w:ascii="仿宋_GB2312" w:hAnsi="仿宋" w:eastAsia="仿宋_GB2312" w:cs="Helvetica"/>
          <w:b/>
          <w:bCs/>
          <w:color w:val="auto"/>
          <w:kern w:val="0"/>
          <w:sz w:val="24"/>
          <w:highlight w:val="none"/>
          <w:lang w:val="zh-CN"/>
        </w:rPr>
      </w:pPr>
      <w:r>
        <w:rPr>
          <w:rFonts w:hint="eastAsia" w:ascii="仿宋_GB2312" w:hAnsi="仿宋" w:eastAsia="仿宋_GB2312" w:cs="Helvetica"/>
          <w:b/>
          <w:bCs/>
          <w:color w:val="auto"/>
          <w:kern w:val="0"/>
          <w:sz w:val="24"/>
          <w:highlight w:val="none"/>
          <w:lang w:val="en-US" w:eastAsia="zh-CN"/>
        </w:rPr>
        <w:t>10</w:t>
      </w:r>
      <w:r>
        <w:rPr>
          <w:rFonts w:hint="eastAsia" w:ascii="仿宋_GB2312" w:hAnsi="仿宋" w:eastAsia="仿宋_GB2312" w:cs="Helvetica"/>
          <w:b/>
          <w:bCs/>
          <w:color w:val="auto"/>
          <w:kern w:val="0"/>
          <w:sz w:val="24"/>
          <w:highlight w:val="none"/>
          <w:lang w:val="zh-CN"/>
        </w:rPr>
        <w:t>.车载自动气象监测站</w:t>
      </w:r>
    </w:p>
    <w:p w14:paraId="19EFB7A1">
      <w:pPr>
        <w:tabs>
          <w:tab w:val="left" w:pos="0"/>
        </w:tabs>
        <w:spacing w:line="360" w:lineRule="auto"/>
        <w:ind w:firstLine="482" w:firstLineChars="200"/>
        <w:rPr>
          <w:rFonts w:hint="eastAsia"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lang w:val="en-US" w:eastAsia="zh-CN"/>
        </w:rPr>
        <w:t>10</w:t>
      </w:r>
      <w:r>
        <w:rPr>
          <w:rFonts w:hint="eastAsia" w:ascii="仿宋_GB2312" w:hAnsi="仿宋" w:eastAsia="仿宋_GB2312" w:cs="Helvetica"/>
          <w:b/>
          <w:bCs/>
          <w:color w:val="auto"/>
          <w:kern w:val="0"/>
          <w:sz w:val="24"/>
          <w:highlight w:val="none"/>
        </w:rPr>
        <w:t>.1 基本要求</w:t>
      </w:r>
    </w:p>
    <w:p w14:paraId="78937E44">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要求车载气象站可以对风向、风速、气温、相对湿度、气压等要素进行全天现场监测，将气象数据传输到采集仪中通过计算机终端显示。</w:t>
      </w:r>
    </w:p>
    <w:p w14:paraId="19C8474F">
      <w:pPr>
        <w:tabs>
          <w:tab w:val="left" w:pos="0"/>
        </w:tabs>
        <w:spacing w:line="360" w:lineRule="auto"/>
        <w:ind w:firstLine="482" w:firstLineChars="200"/>
        <w:rPr>
          <w:rFonts w:hint="eastAsia"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lang w:val="en-US" w:eastAsia="zh-CN"/>
        </w:rPr>
        <w:t>10</w:t>
      </w:r>
      <w:r>
        <w:rPr>
          <w:rFonts w:hint="eastAsia" w:ascii="仿宋_GB2312" w:hAnsi="仿宋" w:eastAsia="仿宋_GB2312" w:cs="Helvetica"/>
          <w:b/>
          <w:bCs/>
          <w:color w:val="auto"/>
          <w:kern w:val="0"/>
          <w:sz w:val="24"/>
          <w:highlight w:val="none"/>
        </w:rPr>
        <w:t>.2技术指标</w:t>
      </w:r>
    </w:p>
    <w:p w14:paraId="34C0378E">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风速范围：0~70m/s；</w:t>
      </w:r>
    </w:p>
    <w:p w14:paraId="483A5E01">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精度：优于或等于±(0.3±0.03V)m/s；</w:t>
      </w:r>
    </w:p>
    <w:p w14:paraId="74EB32BB">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风速分辨率：≥0.1m/s；</w:t>
      </w:r>
    </w:p>
    <w:p w14:paraId="167565EF">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风向范围：0~360°；</w:t>
      </w:r>
    </w:p>
    <w:p w14:paraId="4C50F961">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精度：优于或等于±1°；</w:t>
      </w:r>
    </w:p>
    <w:p w14:paraId="2FB5BD29">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风向分辨率：优于或等于1°；</w:t>
      </w:r>
    </w:p>
    <w:p w14:paraId="2CAC77FC">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温度范围：-50~+100℃；</w:t>
      </w:r>
    </w:p>
    <w:p w14:paraId="409D9BAE">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相对湿度范围：0~100%RH；</w:t>
      </w:r>
    </w:p>
    <w:p w14:paraId="6488B4A0">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气压范围：10~1100hPa；</w:t>
      </w:r>
    </w:p>
    <w:p w14:paraId="3607402C">
      <w:p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电源：12~24VDC。</w:t>
      </w:r>
    </w:p>
    <w:p w14:paraId="2B9B8378">
      <w:pPr>
        <w:tabs>
          <w:tab w:val="left" w:pos="0"/>
        </w:tabs>
        <w:spacing w:line="360" w:lineRule="auto"/>
        <w:ind w:firstLine="482" w:firstLineChars="200"/>
        <w:rPr>
          <w:rFonts w:hint="eastAsia" w:ascii="仿宋_GB2312" w:hAnsi="仿宋" w:eastAsia="仿宋_GB2312" w:cs="Helvetica"/>
          <w:b/>
          <w:bCs/>
          <w:color w:val="auto"/>
          <w:kern w:val="0"/>
          <w:sz w:val="24"/>
          <w:highlight w:val="none"/>
          <w:lang w:val="zh-CN" w:eastAsia="zh-CN"/>
        </w:rPr>
      </w:pPr>
      <w:r>
        <w:rPr>
          <w:rFonts w:hint="eastAsia" w:ascii="仿宋_GB2312" w:hAnsi="仿宋" w:eastAsia="仿宋_GB2312" w:cs="Helvetica"/>
          <w:b/>
          <w:bCs/>
          <w:color w:val="auto"/>
          <w:kern w:val="0"/>
          <w:sz w:val="24"/>
          <w:highlight w:val="none"/>
          <w:lang w:val="en-US" w:eastAsia="zh-CN"/>
        </w:rPr>
        <w:t>11</w:t>
      </w:r>
      <w:r>
        <w:rPr>
          <w:rFonts w:hint="eastAsia" w:ascii="仿宋_GB2312" w:hAnsi="仿宋" w:eastAsia="仿宋_GB2312" w:cs="Helvetica"/>
          <w:b/>
          <w:bCs/>
          <w:color w:val="auto"/>
          <w:kern w:val="0"/>
          <w:sz w:val="24"/>
          <w:highlight w:val="none"/>
          <w:lang w:val="zh-CN"/>
        </w:rPr>
        <w:t>.</w:t>
      </w:r>
      <w:r>
        <w:rPr>
          <w:rFonts w:hint="eastAsia"/>
          <w:color w:val="auto"/>
          <w:highlight w:val="none"/>
        </w:rPr>
        <w:t xml:space="preserve"> </w:t>
      </w:r>
      <w:r>
        <w:rPr>
          <w:rFonts w:hint="eastAsia" w:ascii="仿宋_GB2312" w:hAnsi="仿宋" w:eastAsia="仿宋_GB2312" w:cs="Helvetica"/>
          <w:b/>
          <w:bCs/>
          <w:color w:val="auto"/>
          <w:kern w:val="0"/>
          <w:sz w:val="24"/>
          <w:highlight w:val="none"/>
          <w:lang w:val="zh-CN"/>
        </w:rPr>
        <w:t>车载移动空气监测</w:t>
      </w:r>
      <w:r>
        <w:rPr>
          <w:rFonts w:hint="eastAsia" w:ascii="仿宋_GB2312" w:hAnsi="仿宋" w:eastAsia="仿宋_GB2312" w:cs="Helvetica"/>
          <w:b/>
          <w:bCs/>
          <w:color w:val="auto"/>
          <w:kern w:val="0"/>
          <w:sz w:val="24"/>
          <w:highlight w:val="none"/>
          <w:lang w:val="en-US" w:eastAsia="zh-CN"/>
        </w:rPr>
        <w:t>站</w:t>
      </w:r>
    </w:p>
    <w:p w14:paraId="53495BD5">
      <w:pPr>
        <w:tabs>
          <w:tab w:val="left" w:pos="0"/>
        </w:tabs>
        <w:spacing w:line="360" w:lineRule="auto"/>
        <w:ind w:firstLine="482" w:firstLineChars="200"/>
        <w:rPr>
          <w:rFonts w:hint="eastAsia" w:ascii="仿宋_GB2312" w:hAnsi="仿宋" w:eastAsia="仿宋_GB2312" w:cs="Helvetica"/>
          <w:b/>
          <w:bCs/>
          <w:color w:val="auto"/>
          <w:kern w:val="0"/>
          <w:sz w:val="24"/>
          <w:highlight w:val="none"/>
          <w:lang w:val="zh-CN"/>
        </w:rPr>
      </w:pPr>
      <w:r>
        <w:rPr>
          <w:rFonts w:hint="eastAsia" w:ascii="仿宋_GB2312" w:hAnsi="仿宋" w:eastAsia="仿宋_GB2312" w:cs="Helvetica"/>
          <w:b/>
          <w:bCs/>
          <w:color w:val="auto"/>
          <w:kern w:val="0"/>
          <w:sz w:val="24"/>
          <w:highlight w:val="none"/>
          <w:lang w:val="en-US" w:eastAsia="zh-CN"/>
        </w:rPr>
        <w:t>11.</w:t>
      </w:r>
      <w:r>
        <w:rPr>
          <w:rFonts w:hint="eastAsia" w:ascii="仿宋_GB2312" w:hAnsi="仿宋" w:eastAsia="仿宋_GB2312" w:cs="Helvetica"/>
          <w:b/>
          <w:bCs/>
          <w:color w:val="auto"/>
          <w:kern w:val="0"/>
          <w:sz w:val="24"/>
          <w:highlight w:val="none"/>
          <w:lang w:val="zh-CN"/>
        </w:rPr>
        <w:t>1、总体要求</w:t>
      </w:r>
    </w:p>
    <w:p w14:paraId="724A0B21">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1）该项目所应用的微型空气自动监测站技术参数务应符合生态环境部《大气PM2.5网格化监测技术要求和检验方法技术指南（试行）》；</w:t>
      </w:r>
    </w:p>
    <w:p w14:paraId="362F4A08">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2）微型空气自动监测站具有中国环境保护产品认证证书（CCEP），认证因子需包含本项目中PM10、PM2.5、SO2、NO2、CO、O3，认证依据为《网格化环境空气质量监测仪认证技术规范》（RJGF 008-2021）。</w:t>
      </w:r>
    </w:p>
    <w:p w14:paraId="42F1207C">
      <w:pPr>
        <w:tabs>
          <w:tab w:val="left" w:pos="0"/>
        </w:tabs>
        <w:spacing w:line="360" w:lineRule="auto"/>
        <w:ind w:firstLine="482" w:firstLineChars="200"/>
        <w:rPr>
          <w:rFonts w:hint="eastAsia" w:ascii="仿宋_GB2312" w:hAnsi="Times New Roman" w:eastAsia="仿宋_GB2312" w:cs="Helvetica"/>
          <w:b/>
          <w:bCs/>
          <w:color w:val="auto"/>
          <w:kern w:val="0"/>
          <w:sz w:val="24"/>
          <w:highlight w:val="none"/>
          <w:lang w:val="zh-CN" w:eastAsia="zh-CN"/>
        </w:rPr>
      </w:pPr>
      <w:r>
        <w:rPr>
          <w:rFonts w:hint="eastAsia" w:ascii="仿宋_GB2312" w:hAnsi="Times New Roman" w:eastAsia="仿宋_GB2312" w:cs="Helvetica"/>
          <w:b/>
          <w:bCs/>
          <w:color w:val="auto"/>
          <w:kern w:val="0"/>
          <w:sz w:val="24"/>
          <w:highlight w:val="none"/>
          <w:lang w:val="en-US" w:eastAsia="zh-CN"/>
        </w:rPr>
        <w:t>11.</w:t>
      </w:r>
      <w:r>
        <w:rPr>
          <w:rFonts w:hint="eastAsia" w:ascii="仿宋_GB2312" w:hAnsi="Times New Roman" w:eastAsia="仿宋_GB2312" w:cs="Helvetica"/>
          <w:b/>
          <w:bCs/>
          <w:color w:val="auto"/>
          <w:kern w:val="0"/>
          <w:sz w:val="24"/>
          <w:highlight w:val="none"/>
          <w:lang w:val="zh-CN" w:eastAsia="zh-CN"/>
        </w:rPr>
        <w:t>2、功能要求</w:t>
      </w:r>
    </w:p>
    <w:p w14:paraId="53034625">
      <w:pPr>
        <w:tabs>
          <w:tab w:val="left" w:pos="0"/>
        </w:tabs>
        <w:spacing w:line="360" w:lineRule="auto"/>
        <w:ind w:firstLine="482" w:firstLineChars="200"/>
        <w:rPr>
          <w:rFonts w:hint="eastAsia" w:ascii="仿宋_GB2312" w:hAnsi="Times New Roman" w:eastAsia="仿宋_GB2312" w:cs="Helvetica"/>
          <w:b/>
          <w:bCs/>
          <w:color w:val="auto"/>
          <w:kern w:val="0"/>
          <w:sz w:val="24"/>
          <w:highlight w:val="none"/>
          <w:lang w:val="zh-CN" w:eastAsia="zh-CN"/>
        </w:rPr>
      </w:pPr>
      <w:r>
        <w:rPr>
          <w:rFonts w:hint="eastAsia" w:ascii="仿宋_GB2312" w:hAnsi="Times New Roman" w:eastAsia="仿宋_GB2312" w:cs="Helvetica"/>
          <w:b/>
          <w:bCs/>
          <w:color w:val="auto"/>
          <w:kern w:val="0"/>
          <w:sz w:val="24"/>
          <w:highlight w:val="none"/>
          <w:lang w:val="zh-CN" w:eastAsia="zh-CN"/>
        </w:rPr>
        <w:t>1）整机功耗</w:t>
      </w:r>
    </w:p>
    <w:p w14:paraId="2F3E5AF8">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不大于50W。</w:t>
      </w:r>
    </w:p>
    <w:p w14:paraId="083BC7DF">
      <w:pPr>
        <w:tabs>
          <w:tab w:val="left" w:pos="0"/>
        </w:tabs>
        <w:spacing w:line="360" w:lineRule="auto"/>
        <w:ind w:firstLine="482" w:firstLineChars="200"/>
        <w:rPr>
          <w:rFonts w:hint="eastAsia" w:ascii="仿宋_GB2312" w:hAnsi="Times New Roman" w:eastAsia="仿宋_GB2312" w:cs="Helvetica"/>
          <w:b/>
          <w:bCs/>
          <w:color w:val="auto"/>
          <w:kern w:val="0"/>
          <w:sz w:val="24"/>
          <w:highlight w:val="none"/>
          <w:lang w:val="zh-CN" w:eastAsia="zh-CN"/>
        </w:rPr>
      </w:pPr>
      <w:r>
        <w:rPr>
          <w:rFonts w:hint="eastAsia" w:ascii="仿宋_GB2312" w:hAnsi="Times New Roman" w:eastAsia="仿宋_GB2312" w:cs="Helvetica"/>
          <w:b/>
          <w:bCs/>
          <w:color w:val="auto"/>
          <w:kern w:val="0"/>
          <w:sz w:val="24"/>
          <w:highlight w:val="none"/>
          <w:lang w:val="zh-CN" w:eastAsia="zh-CN"/>
        </w:rPr>
        <w:t>2）零点校准（颗粒物）</w:t>
      </w:r>
    </w:p>
    <w:p w14:paraId="5D4AFE0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颗粒物具有零点校准功能。</w:t>
      </w:r>
    </w:p>
    <w:p w14:paraId="40319F5B">
      <w:pPr>
        <w:tabs>
          <w:tab w:val="left" w:pos="0"/>
        </w:tabs>
        <w:spacing w:line="360" w:lineRule="auto"/>
        <w:ind w:firstLine="482" w:firstLineChars="200"/>
        <w:rPr>
          <w:rFonts w:hint="eastAsia" w:ascii="仿宋_GB2312" w:hAnsi="Times New Roman" w:eastAsia="仿宋_GB2312" w:cs="Helvetica"/>
          <w:b/>
          <w:bCs/>
          <w:color w:val="auto"/>
          <w:kern w:val="0"/>
          <w:sz w:val="24"/>
          <w:highlight w:val="none"/>
          <w:lang w:val="zh-CN" w:eastAsia="zh-CN"/>
        </w:rPr>
      </w:pPr>
      <w:r>
        <w:rPr>
          <w:rFonts w:hint="eastAsia" w:ascii="仿宋_GB2312" w:hAnsi="Times New Roman" w:eastAsia="仿宋_GB2312" w:cs="Helvetica"/>
          <w:b/>
          <w:bCs/>
          <w:color w:val="auto"/>
          <w:kern w:val="0"/>
          <w:sz w:val="24"/>
          <w:highlight w:val="none"/>
          <w:lang w:val="zh-CN" w:eastAsia="zh-CN"/>
        </w:rPr>
        <w:t>3）切割装置（颗粒物）</w:t>
      </w:r>
    </w:p>
    <w:p w14:paraId="06AE34F5">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设备采用物理切割方式，具有PM2.5切割器。</w:t>
      </w:r>
    </w:p>
    <w:p w14:paraId="0E10C04B">
      <w:pPr>
        <w:tabs>
          <w:tab w:val="left" w:pos="0"/>
        </w:tabs>
        <w:spacing w:line="360" w:lineRule="auto"/>
        <w:ind w:firstLine="482" w:firstLineChars="200"/>
        <w:rPr>
          <w:rFonts w:hint="eastAsia" w:ascii="仿宋_GB2312" w:hAnsi="Times New Roman" w:eastAsia="仿宋_GB2312" w:cs="Helvetica"/>
          <w:b/>
          <w:bCs/>
          <w:color w:val="auto"/>
          <w:kern w:val="0"/>
          <w:sz w:val="24"/>
          <w:highlight w:val="none"/>
          <w:lang w:val="zh-CN" w:eastAsia="zh-CN"/>
        </w:rPr>
      </w:pPr>
      <w:r>
        <w:rPr>
          <w:rFonts w:hint="eastAsia" w:ascii="仿宋_GB2312" w:hAnsi="Times New Roman" w:eastAsia="仿宋_GB2312" w:cs="Helvetica"/>
          <w:b/>
          <w:bCs/>
          <w:color w:val="auto"/>
          <w:kern w:val="0"/>
          <w:sz w:val="24"/>
          <w:highlight w:val="none"/>
          <w:lang w:val="en-US" w:eastAsia="zh-CN"/>
        </w:rPr>
        <w:t>11.</w:t>
      </w:r>
      <w:r>
        <w:rPr>
          <w:rFonts w:hint="eastAsia" w:ascii="仿宋_GB2312" w:hAnsi="Times New Roman" w:eastAsia="仿宋_GB2312" w:cs="Helvetica"/>
          <w:b/>
          <w:bCs/>
          <w:color w:val="auto"/>
          <w:kern w:val="0"/>
          <w:sz w:val="24"/>
          <w:highlight w:val="none"/>
          <w:lang w:val="zh-CN" w:eastAsia="zh-CN"/>
        </w:rPr>
        <w:t>3、性能指标要求</w:t>
      </w:r>
    </w:p>
    <w:p w14:paraId="73E4E829">
      <w:pPr>
        <w:tabs>
          <w:tab w:val="left" w:pos="0"/>
        </w:tabs>
        <w:spacing w:line="360" w:lineRule="auto"/>
        <w:ind w:firstLine="482" w:firstLineChars="200"/>
        <w:rPr>
          <w:rFonts w:hint="eastAsia" w:ascii="仿宋_GB2312" w:hAnsi="Times New Roman" w:eastAsia="仿宋_GB2312" w:cs="Helvetica"/>
          <w:b/>
          <w:bCs/>
          <w:color w:val="auto"/>
          <w:kern w:val="0"/>
          <w:sz w:val="24"/>
          <w:highlight w:val="none"/>
          <w:lang w:val="zh-CN" w:eastAsia="zh-CN"/>
        </w:rPr>
      </w:pPr>
      <w:r>
        <w:rPr>
          <w:rFonts w:hint="eastAsia" w:ascii="仿宋_GB2312" w:hAnsi="Times New Roman" w:eastAsia="仿宋_GB2312" w:cs="Helvetica"/>
          <w:b/>
          <w:bCs/>
          <w:color w:val="auto"/>
          <w:kern w:val="0"/>
          <w:sz w:val="24"/>
          <w:highlight w:val="none"/>
          <w:lang w:val="zh-CN" w:eastAsia="zh-CN"/>
        </w:rPr>
        <w:t>1）PM2.5性能指标</w:t>
      </w:r>
    </w:p>
    <w:p w14:paraId="3168813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测量范围：（0～1000）μg/m3</w:t>
      </w:r>
    </w:p>
    <w:p w14:paraId="03FD3A39">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监测原理：光散射法</w:t>
      </w:r>
    </w:p>
    <w:p w14:paraId="4DA48869">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平行性：≤7%</w:t>
      </w:r>
    </w:p>
    <w:p w14:paraId="33AEADD8">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重复性：≤4%</w:t>
      </w:r>
    </w:p>
    <w:p w14:paraId="2999B01B">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相关系数：≥0.97</w:t>
      </w:r>
    </w:p>
    <w:p w14:paraId="7CAEAB7C">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测量误差：≤100μg/m3：±15μg/m3</w:t>
      </w:r>
    </w:p>
    <w:p w14:paraId="3610B28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 xml:space="preserve">                       &gt;100μg/m3：±15%</w:t>
      </w:r>
    </w:p>
    <w:p w14:paraId="14441B90">
      <w:pPr>
        <w:tabs>
          <w:tab w:val="left" w:pos="0"/>
        </w:tabs>
        <w:spacing w:line="360" w:lineRule="auto"/>
        <w:ind w:firstLine="482" w:firstLineChars="200"/>
        <w:rPr>
          <w:rFonts w:hint="eastAsia" w:ascii="仿宋_GB2312" w:hAnsi="Times New Roman" w:eastAsia="仿宋_GB2312" w:cs="Helvetica"/>
          <w:b/>
          <w:bCs/>
          <w:color w:val="auto"/>
          <w:kern w:val="0"/>
          <w:sz w:val="24"/>
          <w:highlight w:val="none"/>
          <w:lang w:val="zh-CN" w:eastAsia="zh-CN"/>
        </w:rPr>
      </w:pPr>
      <w:r>
        <w:rPr>
          <w:rFonts w:hint="eastAsia" w:ascii="仿宋_GB2312" w:hAnsi="Times New Roman" w:eastAsia="仿宋_GB2312" w:cs="Helvetica"/>
          <w:b/>
          <w:bCs/>
          <w:color w:val="auto"/>
          <w:kern w:val="0"/>
          <w:sz w:val="24"/>
          <w:highlight w:val="none"/>
          <w:lang w:val="zh-CN" w:eastAsia="zh-CN"/>
        </w:rPr>
        <w:t>2）PM10性能指标</w:t>
      </w:r>
    </w:p>
    <w:p w14:paraId="02494E24">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测量范围：（0～1000）μg/m3</w:t>
      </w:r>
    </w:p>
    <w:p w14:paraId="5B4C6FE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监测原理：光散射法</w:t>
      </w:r>
    </w:p>
    <w:p w14:paraId="44EEC31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平行性：≤6%</w:t>
      </w:r>
    </w:p>
    <w:p w14:paraId="6C2379D0">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重复性：≤4%</w:t>
      </w:r>
    </w:p>
    <w:p w14:paraId="18BEDC8F">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相关系数：≥0.97</w:t>
      </w:r>
    </w:p>
    <w:p w14:paraId="5E4242D9">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测量误差：≤100μg/m3：±15μg/m3</w:t>
      </w:r>
    </w:p>
    <w:p w14:paraId="388D3978">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 xml:space="preserve">                       &gt;100μg/m3：±15%</w:t>
      </w:r>
    </w:p>
    <w:p w14:paraId="768B9BA3">
      <w:pPr>
        <w:tabs>
          <w:tab w:val="left" w:pos="0"/>
        </w:tabs>
        <w:spacing w:line="360" w:lineRule="auto"/>
        <w:ind w:firstLine="482" w:firstLineChars="200"/>
        <w:rPr>
          <w:rFonts w:hint="eastAsia" w:ascii="仿宋_GB2312" w:hAnsi="Times New Roman" w:eastAsia="仿宋_GB2312" w:cs="Helvetica"/>
          <w:b/>
          <w:bCs/>
          <w:color w:val="auto"/>
          <w:kern w:val="0"/>
          <w:sz w:val="24"/>
          <w:highlight w:val="none"/>
          <w:lang w:val="zh-CN" w:eastAsia="zh-CN"/>
        </w:rPr>
      </w:pPr>
      <w:r>
        <w:rPr>
          <w:rFonts w:hint="eastAsia" w:ascii="仿宋_GB2312" w:hAnsi="Times New Roman" w:eastAsia="仿宋_GB2312" w:cs="Helvetica"/>
          <w:b/>
          <w:bCs/>
          <w:color w:val="auto"/>
          <w:kern w:val="0"/>
          <w:sz w:val="24"/>
          <w:highlight w:val="none"/>
          <w:lang w:val="zh-CN" w:eastAsia="zh-CN"/>
        </w:rPr>
        <w:t>3）SO2性能指标</w:t>
      </w:r>
    </w:p>
    <w:p w14:paraId="0E6C6387">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测量范围：（0～500）nmol/mol</w:t>
      </w:r>
    </w:p>
    <w:p w14:paraId="586F1166">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监测原理：电化学法</w:t>
      </w:r>
    </w:p>
    <w:p w14:paraId="289F2F8F">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示值误差：±5%</w:t>
      </w:r>
    </w:p>
    <w:p w14:paraId="18B42CEC">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重复性：≤5%</w:t>
      </w:r>
    </w:p>
    <w:p w14:paraId="7840C66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响应时间:≤120s（T90），≤120s（T10）</w:t>
      </w:r>
    </w:p>
    <w:p w14:paraId="4644078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零点漂移：±1%FS/6h</w:t>
      </w:r>
    </w:p>
    <w:p w14:paraId="40BD3DF8">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量程漂移：±4%FS/6h</w:t>
      </w:r>
    </w:p>
    <w:p w14:paraId="7750B4A7">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24h漂移：零点漂移：±15%FS，量程漂移：±15%FS</w:t>
      </w:r>
    </w:p>
    <w:p w14:paraId="7DA29356">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低温试验示值误差：±15%</w:t>
      </w:r>
    </w:p>
    <w:p w14:paraId="142A2BC7">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高温试验示值误差：±15%</w:t>
      </w:r>
    </w:p>
    <w:p w14:paraId="5A6ED4A4">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恒定湿热试验示值误差：±15%</w:t>
      </w:r>
    </w:p>
    <w:p w14:paraId="6D771A00">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测量误差：≤100nmol/mol：±20nmol/mol</w:t>
      </w:r>
    </w:p>
    <w:p w14:paraId="05125ACD">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 xml:space="preserve">                       &gt;100nmol/mol：±20%</w:t>
      </w:r>
    </w:p>
    <w:p w14:paraId="52649712">
      <w:pPr>
        <w:tabs>
          <w:tab w:val="left" w:pos="0"/>
        </w:tabs>
        <w:spacing w:line="360" w:lineRule="auto"/>
        <w:ind w:firstLine="482" w:firstLineChars="200"/>
        <w:rPr>
          <w:rFonts w:hint="eastAsia" w:ascii="仿宋_GB2312" w:hAnsi="Times New Roman" w:eastAsia="仿宋_GB2312" w:cs="Helvetica"/>
          <w:b/>
          <w:bCs/>
          <w:color w:val="auto"/>
          <w:kern w:val="0"/>
          <w:sz w:val="24"/>
          <w:highlight w:val="none"/>
          <w:lang w:val="zh-CN" w:eastAsia="zh-CN"/>
        </w:rPr>
      </w:pPr>
      <w:r>
        <w:rPr>
          <w:rFonts w:hint="eastAsia" w:ascii="仿宋_GB2312" w:hAnsi="Times New Roman" w:eastAsia="仿宋_GB2312" w:cs="Helvetica"/>
          <w:b/>
          <w:bCs/>
          <w:color w:val="auto"/>
          <w:kern w:val="0"/>
          <w:sz w:val="24"/>
          <w:highlight w:val="none"/>
          <w:lang w:val="zh-CN" w:eastAsia="zh-CN"/>
        </w:rPr>
        <w:t>4）CO性能指标</w:t>
      </w:r>
    </w:p>
    <w:p w14:paraId="1983B01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测量范围：（0～5）μmol/mol</w:t>
      </w:r>
    </w:p>
    <w:p w14:paraId="19CD0DF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监测原理：电化学法</w:t>
      </w:r>
    </w:p>
    <w:p w14:paraId="53A1C784">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示值误差：±6%</w:t>
      </w:r>
    </w:p>
    <w:p w14:paraId="7E00F836">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重复性：≤5%</w:t>
      </w:r>
    </w:p>
    <w:p w14:paraId="7341D46C">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响应时间:≤120s（T90），≤120s（T10）</w:t>
      </w:r>
    </w:p>
    <w:p w14:paraId="3D481B00">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零点漂移：±2%FS/6h</w:t>
      </w:r>
    </w:p>
    <w:p w14:paraId="37D37208">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量程漂移：±4%FS/6h</w:t>
      </w:r>
    </w:p>
    <w:p w14:paraId="28CB5596">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24h漂移：零点漂移：±15%FS，量程漂移：±15%FS</w:t>
      </w:r>
    </w:p>
    <w:p w14:paraId="5B6206C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低温试验示值误差：±15%</w:t>
      </w:r>
    </w:p>
    <w:p w14:paraId="19DFB1C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高温试验示值误差：±15%</w:t>
      </w:r>
    </w:p>
    <w:p w14:paraId="704F01FA">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恒定湿热试验示值误差：±15%</w:t>
      </w:r>
    </w:p>
    <w:p w14:paraId="5882E322">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测量误差：≤100nmol/mol：±20nmol/mol</w:t>
      </w:r>
    </w:p>
    <w:p w14:paraId="7170E5A9">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 xml:space="preserve">                       &gt;100nmol/mol：±20%</w:t>
      </w:r>
    </w:p>
    <w:p w14:paraId="1E62E484">
      <w:pPr>
        <w:tabs>
          <w:tab w:val="left" w:pos="0"/>
        </w:tabs>
        <w:spacing w:line="360" w:lineRule="auto"/>
        <w:ind w:firstLine="482" w:firstLineChars="200"/>
        <w:rPr>
          <w:rFonts w:hint="eastAsia" w:ascii="仿宋_GB2312" w:hAnsi="Times New Roman" w:eastAsia="仿宋_GB2312" w:cs="Helvetica"/>
          <w:b/>
          <w:bCs/>
          <w:color w:val="auto"/>
          <w:kern w:val="0"/>
          <w:sz w:val="24"/>
          <w:highlight w:val="none"/>
          <w:lang w:val="zh-CN" w:eastAsia="zh-CN"/>
        </w:rPr>
      </w:pPr>
      <w:r>
        <w:rPr>
          <w:rFonts w:hint="eastAsia" w:ascii="仿宋_GB2312" w:hAnsi="Times New Roman" w:eastAsia="仿宋_GB2312" w:cs="Helvetica"/>
          <w:b/>
          <w:bCs/>
          <w:color w:val="auto"/>
          <w:kern w:val="0"/>
          <w:sz w:val="24"/>
          <w:highlight w:val="none"/>
          <w:lang w:val="zh-CN" w:eastAsia="zh-CN"/>
        </w:rPr>
        <w:t>5）O3性能指标</w:t>
      </w:r>
    </w:p>
    <w:p w14:paraId="5519BE5C">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测量范围：（0～500）nmol/mol</w:t>
      </w:r>
    </w:p>
    <w:p w14:paraId="467F1D3D">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监测原理：电化学法</w:t>
      </w:r>
    </w:p>
    <w:p w14:paraId="6D68F8D0">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示值误差：±5%</w:t>
      </w:r>
    </w:p>
    <w:p w14:paraId="5ACCDEE6">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重复性：≤5%</w:t>
      </w:r>
    </w:p>
    <w:p w14:paraId="06CED181">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响应时间:≤120s（T90），≤120s（T10）</w:t>
      </w:r>
    </w:p>
    <w:p w14:paraId="30138634">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零点漂移：±1%FS/6h</w:t>
      </w:r>
    </w:p>
    <w:p w14:paraId="16B0E789">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量程漂移：±4%FS/6h</w:t>
      </w:r>
    </w:p>
    <w:p w14:paraId="0C0AD48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24h漂移：零点漂移：±15%FS，量程漂移：±15%FS</w:t>
      </w:r>
    </w:p>
    <w:p w14:paraId="3A1F9B61">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低温试验示值误差：±15%</w:t>
      </w:r>
    </w:p>
    <w:p w14:paraId="77828DA4">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高温试验示值误差：±15%</w:t>
      </w:r>
    </w:p>
    <w:p w14:paraId="26A8E962">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恒定湿热试验示值误差：±15%</w:t>
      </w:r>
    </w:p>
    <w:p w14:paraId="528E2230">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测量误差：≤100nmol/mol：±20nmol/mol</w:t>
      </w:r>
    </w:p>
    <w:p w14:paraId="17C228AC">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 xml:space="preserve">                       &gt;100nmol/mol：±20%</w:t>
      </w:r>
    </w:p>
    <w:p w14:paraId="0C6AF4B1">
      <w:pPr>
        <w:tabs>
          <w:tab w:val="left" w:pos="0"/>
        </w:tabs>
        <w:spacing w:line="360" w:lineRule="auto"/>
        <w:ind w:firstLine="482" w:firstLineChars="200"/>
        <w:rPr>
          <w:rFonts w:hint="eastAsia" w:ascii="仿宋_GB2312" w:hAnsi="Times New Roman" w:eastAsia="仿宋_GB2312" w:cs="Helvetica"/>
          <w:b/>
          <w:bCs/>
          <w:color w:val="auto"/>
          <w:kern w:val="0"/>
          <w:sz w:val="24"/>
          <w:highlight w:val="none"/>
          <w:lang w:val="zh-CN" w:eastAsia="zh-CN"/>
        </w:rPr>
      </w:pPr>
      <w:r>
        <w:rPr>
          <w:rFonts w:hint="eastAsia" w:ascii="仿宋_GB2312" w:hAnsi="Times New Roman" w:eastAsia="仿宋_GB2312" w:cs="Helvetica"/>
          <w:b/>
          <w:bCs/>
          <w:color w:val="auto"/>
          <w:kern w:val="0"/>
          <w:sz w:val="24"/>
          <w:highlight w:val="none"/>
          <w:lang w:val="zh-CN" w:eastAsia="zh-CN"/>
        </w:rPr>
        <w:t>6）NO2性能指标</w:t>
      </w:r>
    </w:p>
    <w:p w14:paraId="02E4618C">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测量范围：（0～500）nmol/mol</w:t>
      </w:r>
    </w:p>
    <w:p w14:paraId="115ABEC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监测原理：电化学法</w:t>
      </w:r>
    </w:p>
    <w:p w14:paraId="6B93F33A">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示值误差：±5%</w:t>
      </w:r>
    </w:p>
    <w:p w14:paraId="1405B07C">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重复性：≤5%</w:t>
      </w:r>
    </w:p>
    <w:p w14:paraId="019CE91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响应时间:≤120s（T90），≤120s（T10）</w:t>
      </w:r>
    </w:p>
    <w:p w14:paraId="2B2A87C6">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零点漂移：±1%FS/6h</w:t>
      </w:r>
    </w:p>
    <w:p w14:paraId="1EFF411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量程漂移：±4%FS/6h</w:t>
      </w:r>
    </w:p>
    <w:p w14:paraId="166C1F52">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24h漂移：零点漂移：±15%FS，量程漂移：±15%FS</w:t>
      </w:r>
    </w:p>
    <w:p w14:paraId="51E134D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低温试验示值误差：±15%</w:t>
      </w:r>
    </w:p>
    <w:p w14:paraId="061E5D7B">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高温试验示值误差：±15%</w:t>
      </w:r>
    </w:p>
    <w:p w14:paraId="211BD54F">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恒定湿热试验示值误差：±15%</w:t>
      </w:r>
    </w:p>
    <w:p w14:paraId="31046B67">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测量误差：≤100nmol/mol：±20nmol/mol</w:t>
      </w:r>
    </w:p>
    <w:p w14:paraId="6CCA3469">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zh-CN" w:eastAsia="zh-CN"/>
        </w:rPr>
      </w:pPr>
      <w:r>
        <w:rPr>
          <w:rFonts w:hint="eastAsia" w:ascii="仿宋_GB2312" w:hAnsi="Times New Roman" w:eastAsia="仿宋_GB2312" w:cs="Helvetica"/>
          <w:color w:val="auto"/>
          <w:kern w:val="0"/>
          <w:sz w:val="24"/>
          <w:highlight w:val="none"/>
          <w:lang w:val="zh-CN" w:eastAsia="zh-CN"/>
        </w:rPr>
        <w:t xml:space="preserve">                       &gt;100nmol/mol：±20%"</w:t>
      </w:r>
    </w:p>
    <w:p w14:paraId="7E19B0B1">
      <w:pPr>
        <w:tabs>
          <w:tab w:val="left" w:pos="0"/>
        </w:tabs>
        <w:spacing w:line="360" w:lineRule="auto"/>
        <w:ind w:firstLine="482" w:firstLineChars="200"/>
        <w:outlineLvl w:val="2"/>
        <w:rPr>
          <w:rFonts w:hint="eastAsia" w:ascii="仿宋_GB2312" w:eastAsia="仿宋_GB2312" w:cs="Helvetica"/>
          <w:b/>
          <w:bCs/>
          <w:color w:val="auto"/>
          <w:kern w:val="0"/>
          <w:sz w:val="24"/>
          <w:highlight w:val="none"/>
          <w:lang w:val="zh-CN"/>
        </w:rPr>
      </w:pPr>
      <w:r>
        <w:rPr>
          <w:rFonts w:hint="eastAsia" w:ascii="仿宋_GB2312" w:eastAsia="仿宋_GB2312" w:cs="Helvetica"/>
          <w:b/>
          <w:bCs/>
          <w:color w:val="auto"/>
          <w:kern w:val="0"/>
          <w:sz w:val="24"/>
          <w:highlight w:val="none"/>
          <w:lang w:val="en-US" w:eastAsia="zh-CN"/>
        </w:rPr>
        <w:t>12</w:t>
      </w:r>
      <w:r>
        <w:rPr>
          <w:rFonts w:hint="eastAsia" w:ascii="仿宋_GB2312" w:eastAsia="仿宋_GB2312" w:cs="Helvetica"/>
          <w:b/>
          <w:bCs/>
          <w:color w:val="auto"/>
          <w:kern w:val="0"/>
          <w:sz w:val="24"/>
          <w:highlight w:val="none"/>
          <w:lang w:val="zh-CN"/>
        </w:rPr>
        <w:t>、大气走航监测分析平台</w:t>
      </w:r>
    </w:p>
    <w:p w14:paraId="615BB4C5">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大气污染走航监测系统针对当前环境突出问题，对走航车进行科学合理的改装及设备配置，配备可秒级出数的核心</w:t>
      </w:r>
      <w:r>
        <w:rPr>
          <w:rFonts w:hint="eastAsia" w:ascii="仿宋" w:eastAsia="仿宋" w:cs="仿宋"/>
          <w:color w:val="auto"/>
          <w:sz w:val="24"/>
          <w:highlight w:val="none"/>
          <w:lang w:val="en-US" w:eastAsia="zh-CN" w:bidi="th-TH"/>
        </w:rPr>
        <w:t>产品</w:t>
      </w:r>
      <w:r>
        <w:rPr>
          <w:rFonts w:hint="eastAsia" w:ascii="仿宋_GB2312" w:hAnsi="Times New Roman" w:eastAsia="仿宋_GB2312" w:cs="Helvetica"/>
          <w:color w:val="auto"/>
          <w:kern w:val="0"/>
          <w:sz w:val="24"/>
          <w:highlight w:val="none"/>
          <w:lang w:val="en-US" w:eastAsia="zh-CN"/>
        </w:rPr>
        <w:t>PTR-TOF质子转移反应飞行时间质谱仪，结合大气VOCs溯源走航监测平台及大气VOCs溯源走航监测服务，实现城市环境空气VOCs组分溯源走航监测、污染调查与臭氧成因分析、国控站/敏感点/污染源等点位周边环境大气VOCs溯源走航监测。</w:t>
      </w:r>
    </w:p>
    <w:p w14:paraId="419B1257">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系统具有全中文操作界面，人机交互友好。可集成气象监测仪，GPS，恶臭，微站，PTR，空气站，等监测数据。</w:t>
      </w:r>
    </w:p>
    <w:p w14:paraId="012957B5">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12.1系统特点</w:t>
      </w:r>
    </w:p>
    <w:p w14:paraId="5605C0F5">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12.1.1.响应速度快，可在1秒内快速甄别污染物，实时上传、实时分析，无需停车可直接边走边实时展示VOCs和每个VOC物种的全途时空分布图；</w:t>
      </w:r>
    </w:p>
    <w:p w14:paraId="15414D1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12.1.2.2D/3D GIS结合的数据可视化形式让分析更加直观；</w:t>
      </w:r>
    </w:p>
    <w:p w14:paraId="22049250">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12.1.3.多组分同时在线实时监测，可快速对区域进行物种成分分析，掌握区域的VOCs排放物种特征；</w:t>
      </w:r>
    </w:p>
    <w:p w14:paraId="253E93AF">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12.1.4.可提供数据转发服务，走航监测数据根据不同服务对象外接数据平台；</w:t>
      </w:r>
    </w:p>
    <w:p w14:paraId="7E47CD6F">
      <w:pPr>
        <w:tabs>
          <w:tab w:val="left" w:pos="0"/>
        </w:tabs>
        <w:spacing w:line="360" w:lineRule="auto"/>
        <w:ind w:firstLine="480" w:firstLineChars="200"/>
        <w:rPr>
          <w:rFonts w:hint="eastAsia" w:ascii="仿宋_GB2312" w:eastAsia="仿宋_GB2312" w:cs="Helvetica"/>
          <w:b/>
          <w:bCs/>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w:t>
      </w:r>
      <w:r>
        <w:rPr>
          <w:rFonts w:hint="eastAsia" w:ascii="仿宋_GB2312" w:eastAsia="仿宋_GB2312" w:cs="Helvetica"/>
          <w:b/>
          <w:bCs/>
          <w:color w:val="auto"/>
          <w:kern w:val="0"/>
          <w:sz w:val="24"/>
          <w:highlight w:val="none"/>
          <w:lang w:val="en-US" w:eastAsia="zh-CN"/>
        </w:rPr>
        <w:t>.2走航前路线规划</w:t>
      </w:r>
    </w:p>
    <w:p w14:paraId="062FD27E">
      <w:pPr>
        <w:tabs>
          <w:tab w:val="left" w:pos="0"/>
        </w:tabs>
        <w:spacing w:line="360" w:lineRule="auto"/>
        <w:ind w:firstLine="480" w:firstLineChars="200"/>
        <w:rPr>
          <w:rFonts w:hint="eastAsia" w:ascii="仿宋_GB2312" w:eastAsia="仿宋_GB2312" w:cs="Helvetica"/>
          <w:b/>
          <w:bCs/>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可利用国控、省控站点监测数据以及污染物前后向轨迹分析数据，提供车辆大概的走航方向，并在走航系统内划定走航起始点、途经点和终点，进行走航路径规划，也可根据经验调整走航路线。</w:t>
      </w:r>
    </w:p>
    <w:p w14:paraId="01A24A7B">
      <w:pPr>
        <w:tabs>
          <w:tab w:val="left" w:pos="0"/>
        </w:tabs>
        <w:spacing w:line="360" w:lineRule="auto"/>
        <w:ind w:firstLine="480" w:firstLineChars="200"/>
        <w:rPr>
          <w:rFonts w:hint="eastAsia" w:ascii="仿宋_GB2312" w:eastAsia="仿宋_GB2312" w:cs="Helvetica"/>
          <w:b/>
          <w:bCs/>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w:t>
      </w:r>
      <w:r>
        <w:rPr>
          <w:rFonts w:hint="eastAsia" w:ascii="仿宋_GB2312" w:eastAsia="仿宋_GB2312" w:cs="Helvetica"/>
          <w:b/>
          <w:bCs/>
          <w:color w:val="auto"/>
          <w:kern w:val="0"/>
          <w:sz w:val="24"/>
          <w:highlight w:val="none"/>
          <w:lang w:val="en-US" w:eastAsia="zh-CN"/>
        </w:rPr>
        <w:t>.3、实时/历史走航监测分析</w:t>
      </w:r>
    </w:p>
    <w:p w14:paraId="6B7B8121">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12.3.1、走航路线图以3D-GIS可视化的形式实时展示浓度数据，可实现VOCs各组分和总量的“边走边测”的走航监测需求，快速直观展示区域VOCs及各类污染物空间分布情况，实时捕获污染高值，直观展示重点污染因子。</w:t>
      </w:r>
    </w:p>
    <w:p w14:paraId="0BD461AC">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12.3.2、提供多种地图底图查看模式，满足不同场景，不同人群的查看数据需求，集成园区场景，对园区进行清晰的展示</w:t>
      </w:r>
    </w:p>
    <w:p w14:paraId="151696B0">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12.3.2.1  标准地图：提供走航监测数据路线的的概览，直观显示监测情况。</w:t>
      </w:r>
    </w:p>
    <w:p w14:paraId="788158AA">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12.3.3、‘堆叠柱状图’以3D展示数据模式，可提供同一时刻不同监测物质的数值大小，可直观同时对比监测物质的占比情况。</w:t>
      </w:r>
    </w:p>
    <w:p w14:paraId="6A9E875F">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12.3.4、‘矩阵插值图’根据走航区域国控站点的数据，利用邻近像素点的灰度值，呈现更高分辨率的图像，对污染高值点及周边污染情况提供高度识别，为确定城市高值点提供有效数据。</w:t>
      </w:r>
    </w:p>
    <w:p w14:paraId="5C4C83A6">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12.3.5、异常点位溯源：走航实时显示监测到的异常点位，做到边走边测边溯源，找到污染源的高值区域分布情况。</w:t>
      </w:r>
    </w:p>
    <w:p w14:paraId="162B0372">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12.3.5.1 根据走航线路图结合当地实际情况，在走航前对异常点位监测进行专业化数据设置，保证走航中监测到的异常点位的有效性。</w:t>
      </w:r>
    </w:p>
    <w:p w14:paraId="1E4CE88A">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12.3.5.2实时走航，发现异常点位随时在地图上提醒，并且利用相关企业收录表及排污许可证平台，罗列出周边所有相关企业，并且提供有排污许可证的相关企业，并查看企业相关信息，确定异常点位位置的坐标值，对疑似污染企业进行实地督察，为污染找到源头，提供有效依据，为执法提供可靠数据。</w:t>
      </w:r>
    </w:p>
    <w:p w14:paraId="4CB78884">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12.3.5.3历史走航异常点位回顾，对历史数据发生的异常点位进行总揽，宏观的掌握本次路线的异常情况，且可对关注的异常点位进行详细的信息查看，包括发生异常的地点，时间，监测到的异常值，结合气象等信息，划定异常企业，进行重点排查，提供异常点位信息的一键复制，为共享信息提供便捷。</w:t>
      </w:r>
    </w:p>
    <w:p w14:paraId="50AAA005">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12.3.6、以‘线浓度’图的表现形式，快速直观展示区域各类污染物空间分布情况，实时捕获污染高值，直观展示重点污染因子。</w:t>
      </w:r>
    </w:p>
    <w:p w14:paraId="7F9C24A6">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12.3.7、时刻、时段数据信息面板，对实时走航信息，边测边查看，进行数据的实时采集和统计，监测到的VOCs进行组分构成分析，VOCs臭氧生成潜势分析，VOCs二次有机气溶胶生成潜势分析，直观展示TOP20特征组分，可实时查看各组分的OU值，对恶臭的监测提供一定的数据支撑，同时能实时展现其他设备如大气标准站、气象仪数据，并统计各监测指标在该路段范围。并支持一组数据快速复制、粘贴，实现实时信息的快速共享分发。</w:t>
      </w:r>
    </w:p>
    <w:p w14:paraId="70151828">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12.3.8、监测设备数据可同屏展示，实现PTR及</w:t>
      </w:r>
      <w:r>
        <w:rPr>
          <w:rFonts w:hint="eastAsia" w:ascii="仿宋_GB2312" w:eastAsia="仿宋_GB2312" w:cs="Helvetica"/>
          <w:color w:val="auto"/>
          <w:kern w:val="0"/>
          <w:sz w:val="24"/>
          <w:highlight w:val="none"/>
          <w:lang w:val="en-US" w:eastAsia="zh-CN"/>
        </w:rPr>
        <w:t>空气站</w:t>
      </w:r>
      <w:r>
        <w:rPr>
          <w:rFonts w:hint="eastAsia" w:ascii="仿宋_GB2312" w:hAnsi="Times New Roman" w:eastAsia="仿宋_GB2312" w:cs="Helvetica"/>
          <w:color w:val="auto"/>
          <w:kern w:val="0"/>
          <w:sz w:val="24"/>
          <w:highlight w:val="none"/>
          <w:lang w:val="en-US" w:eastAsia="zh-CN"/>
        </w:rPr>
        <w:t xml:space="preserve">数据同一时间，不同空间上的查看。 </w:t>
      </w:r>
    </w:p>
    <w:p w14:paraId="7595261F">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12.4历史走航数据回放</w:t>
      </w:r>
    </w:p>
    <w:p w14:paraId="24D195D3">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12.4.1. VOCs组分分析</w:t>
      </w:r>
    </w:p>
    <w:p w14:paraId="599D5CA0">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对走航任务VOCs监测数据进行分析，展示VOCs浓度时间序列，总浓度分类占比图以及各组分实测数据和均值，抓住重点管控成份，对污染治理提供可行性建议。</w:t>
      </w:r>
    </w:p>
    <w:p w14:paraId="5516C2EA">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12.4.2.气象仪</w:t>
      </w:r>
    </w:p>
    <w:p w14:paraId="7361F398">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回顾车载气象数据，可以查看气象六参在任务时段内的监测数据的变化趋势，展示任务时段内，VOCs的污染风玫瑰图辅助污染数据追踪。</w:t>
      </w:r>
    </w:p>
    <w:p w14:paraId="77F11152">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12.5污染特征指纹识别及来源分析</w:t>
      </w:r>
    </w:p>
    <w:p w14:paraId="72F60590">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VOCs图谱溯源分析，平台对已完成的走航监测数据进行溯源分析，利用快速质谱开展对污染源源成分谱的采集，汇总不同污染来源、不同行业、不同工艺过程的VOCs特征指纹图谱，建立典型污染源源谱库，利用监测数据，根据特征指示物种、指纹识别或者受体模型开展对污染来源的识别，达到定点定源，快速实现管控响应。</w:t>
      </w:r>
    </w:p>
    <w:p w14:paraId="79534238">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12.5.1、生成指纹谱库</w:t>
      </w:r>
    </w:p>
    <w:p w14:paraId="2B6E439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选定走航任务时段，根据测量结果中的特征污染组分，生成特征指纹图谱。汇总各污染源特征指纹谱，建立不同污染来源、不同行业、工艺过程的VOCs特征指纹图谱库。</w:t>
      </w:r>
    </w:p>
    <w:p w14:paraId="1C94DC19">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12.5.2、指纹谱库识别</w:t>
      </w:r>
    </w:p>
    <w:p w14:paraId="07AB151A">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对污染源源成分谱的采集，汇总不同污染来源、不同行业、不同工艺过程的VOCs特征指纹图谱，建立典型污染源源谱库，利用监测数据，根据特征指示物种、指纹识别或者受体模型开展对污染来源的识别。</w:t>
      </w:r>
    </w:p>
    <w:p w14:paraId="3874B7C2">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根据待测试图谱与已有指纹库的多次对比，分别采用空间向量法，皮尔逊相关系数，余弦夹角等三种计算方式，找到相似度最高的一组指纹图谱，根据相似度计算结果排名，分析VOCs可能的污染来源；根据污染来源分析结果，可进一步通过走航监测前往污染源进行验证监测。</w:t>
      </w:r>
    </w:p>
    <w:p w14:paraId="7EED2AE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针对当前或历史走航监测结果，将待测试指纹图谱与指纹库中已有的各个正式图谱分别进行比对，可以通过多图谱多图对比，多图谱单图对比，分别计算图谱的相似度并进行多图查看；</w:t>
      </w:r>
    </w:p>
    <w:p w14:paraId="623235F6">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12.5.3、本地指纹谱库管理</w:t>
      </w:r>
    </w:p>
    <w:p w14:paraId="279003CF">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建立本地指纹图谱库，对图谱进行信息化管理，实现查看、编辑分析本地图谱等功能。</w:t>
      </w:r>
    </w:p>
    <w:p w14:paraId="654F7B8B">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12.5.4、走航实时比对</w:t>
      </w:r>
    </w:p>
    <w:p w14:paraId="510D084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走航过程中，可开启企业信息框，如遇污染情况比较严重时，点击污染点位，可在地图上展示本地指纹谱库位置、名称和相似度信息。同时按相似度对本地指纹图谱进行展示，可查看相似度最高的指纹图谱，从而确定污染源。</w:t>
      </w:r>
    </w:p>
    <w:p w14:paraId="6DB0B250">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12.6臭氧敏感性分析</w:t>
      </w:r>
    </w:p>
    <w:p w14:paraId="37EB5229">
      <w:pPr>
        <w:tabs>
          <w:tab w:val="left" w:pos="0"/>
        </w:tabs>
        <w:spacing w:line="360" w:lineRule="auto"/>
        <w:ind w:firstLine="482" w:firstLineChars="200"/>
        <w:rPr>
          <w:rFonts w:hint="default"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12.6.1、臭氧等浓度曲线分析-</w:t>
      </w:r>
    </w:p>
    <w:p w14:paraId="4807B05D">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利用实测数据（NO2、VOCs、O3等）自动绘制臭氧等浓度曲线。</w:t>
      </w:r>
    </w:p>
    <w:p w14:paraId="74C2AEC7">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12.7臭氧生成潜势分析</w:t>
      </w:r>
    </w:p>
    <w:p w14:paraId="08A7806D">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分组分计算臭氧生成潜势，甄别臭氧控制的关键前驱物。</w:t>
      </w:r>
    </w:p>
    <w:p w14:paraId="76503CD1">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12.8二次有机气溶胶生成潜势分析</w:t>
      </w:r>
    </w:p>
    <w:p w14:paraId="7A4E4478">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分组分计算二次有机气溶胶生成潜势，甄别二次有机气溶胶控制的关键前驱物。</w:t>
      </w:r>
    </w:p>
    <w:p w14:paraId="3A4ECA60">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12.9气象研判分析</w:t>
      </w:r>
    </w:p>
    <w:p w14:paraId="1CA4044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基于GIS叠加展示污染物浓度分布、温度、湿度、云量、粒子风效果。监测站点基于GIS地图实时显示，点击任意监测站点可对该站点的监测因子数值及统计图进行查看。同时走航过程中，还可以叠加区域“云量”数据、区域 “温度”，区域 “湿度”等空气质量状况、以及叠加区域“风场”区域信息对污染扩散情况进行综合分析。</w:t>
      </w:r>
    </w:p>
    <w:p w14:paraId="157E3F94">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以折线图结合列表形式展示气象仪在某次任务内的各项监测数据变化趋势，支持导出excel表格及图片；展示所选时段风玫瑰图；</w:t>
      </w:r>
    </w:p>
    <w:p w14:paraId="1F60CB59">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12.10臭氧污染成因分析</w:t>
      </w:r>
    </w:p>
    <w:p w14:paraId="1BB494BD">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12.10.1、驻点连续监测找到活性有机物</w:t>
      </w:r>
    </w:p>
    <w:p w14:paraId="582F42E2">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通过在多个高值点位附近连续定点监测，对监测物质排序，列出与O3负相关的监测物质，最负相关的物质排在最前，并且筛选出变化量最高的前10种物质，计算出累积量，通过累积量和O3累积变化的对比，找出最接近O3累种变化量的物质，并且以特殊的颜色表示，以上操作后可找到需要被管控的活性有机物，帮助环境管理者诊断臭氧污染成因，用于判断VOCs优先控制方向。</w:t>
      </w:r>
    </w:p>
    <w:p w14:paraId="7126F225">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12.10.2、VOCs组分占比分析</w:t>
      </w:r>
    </w:p>
    <w:p w14:paraId="7E76DB3A">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以饼图形式展示VOCs组分占比分析结果，以及每种组分TOP10物种。</w:t>
      </w:r>
    </w:p>
    <w:p w14:paraId="279D0264">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12.10.3、臭氧生成速率</w:t>
      </w:r>
    </w:p>
    <w:p w14:paraId="767AFE5F">
      <w:pPr>
        <w:tabs>
          <w:tab w:val="left" w:pos="0"/>
        </w:tabs>
        <w:spacing w:line="360" w:lineRule="auto"/>
        <w:ind w:firstLine="480" w:firstLineChars="200"/>
        <w:rPr>
          <w:rFonts w:hint="eastAsia" w:ascii="仿宋_GB2312" w:eastAsia="仿宋_GB2312" w:cs="Helvetica"/>
          <w:b/>
          <w:bCs/>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 xml:space="preserve">可对VOCs物种进行日变化趋势的分析，太阳辐射，臭氧为数据目标，计算不同太阳辐射强度下臭氧的生成速率图，结合太阳辐射强度变化和臭氧变化关系，研究变化的潜在规律，并可批量生成对比分析结果图，让数据分析报告编写更为便捷。 </w:t>
      </w:r>
      <w:r>
        <w:rPr>
          <w:rFonts w:hint="eastAsia" w:ascii="仿宋_GB2312" w:eastAsia="仿宋_GB2312" w:cs="Helvetica"/>
          <w:b/>
          <w:bCs/>
          <w:color w:val="auto"/>
          <w:kern w:val="0"/>
          <w:sz w:val="24"/>
          <w:highlight w:val="none"/>
          <w:lang w:val="en-US" w:eastAsia="zh-CN"/>
        </w:rPr>
        <w:t xml:space="preserve">               </w:t>
      </w:r>
    </w:p>
    <w:p w14:paraId="15B52510">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12.11数据审核</w:t>
      </w:r>
    </w:p>
    <w:p w14:paraId="3F87F8ED">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 xml:space="preserve"> 对走航后数据进行预处理，避免因外界因素如路况不好，车辆颠簸，电磁场信号干扰等影响下导致数据的差异，确保数据有效性，给走航数据报告提供便利。</w:t>
      </w:r>
    </w:p>
    <w:p w14:paraId="4764B86E">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12.12辅助功能</w:t>
      </w:r>
    </w:p>
    <w:p w14:paraId="5D6A8FCE">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12.12.1、开始任务前检查</w:t>
      </w:r>
    </w:p>
    <w:p w14:paraId="666030F9">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在走航任务开始前，需要做整体的检查工作：1. 备联网状态进行检查，保证设备正常运行，正常传输数据；通过勾选决定参与本次走航监测任务的设备类型，明确走航目的；2. 对异常点位监测设置阈值，确保走航监测中能准确的捕获到异常点，从而找到污染源，帮助环境管理者诊断污染成因；3.  GPS设备选择，提供多经纬度选择，绘制走航轨迹，适应不同监测需求。</w:t>
      </w:r>
    </w:p>
    <w:p w14:paraId="5861A15E">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12.12.2、地图工具</w:t>
      </w:r>
    </w:p>
    <w:p w14:paraId="32512865">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检查功能：对设备的在线情况进行检测；</w:t>
      </w:r>
    </w:p>
    <w:p w14:paraId="00C55921">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标记功能：可对地图轨迹上的污染因子浓度进行标记，显示轨迹具体数值；</w:t>
      </w:r>
    </w:p>
    <w:p w14:paraId="5B31BEB7">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 xml:space="preserve"> 测距功能：点击测量两点间的距离；</w:t>
      </w:r>
    </w:p>
    <w:p w14:paraId="1C9A87AC">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 xml:space="preserve"> 手动功能：点击此按钮可在实时走航的同时回看具体某一地点的监测详情，不受地图自动跟踪缩放的影响；</w:t>
      </w:r>
    </w:p>
    <w:p w14:paraId="00D3803C">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 xml:space="preserve"> 小地图功能：为多个监测物质展示走航轨迹；</w:t>
      </w:r>
    </w:p>
    <w:p w14:paraId="429002B9">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全屏功能：扩大可视范围，对所有轨迹进行全揽；</w:t>
      </w:r>
    </w:p>
    <w:p w14:paraId="256149CF">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国控点选择：地图上集成国控站点，根据走航需求，围绕国控点进行监测，确定城市臭氧高值点。</w:t>
      </w:r>
    </w:p>
    <w:p w14:paraId="6CC46129">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12.12.3、图例设置</w:t>
      </w:r>
    </w:p>
    <w:p w14:paraId="6B01535D">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可对监测因子显示的上下限进行调整，并可通过此处切换地图中显示的监测因子。</w:t>
      </w:r>
    </w:p>
    <w:p w14:paraId="3FFADDF9">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12.12.4、自定义地图窗口</w:t>
      </w:r>
    </w:p>
    <w:p w14:paraId="7C8F3838">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可根据走航需要，为各监测因子定制多个地图窗口以进行实时或历史的走航轨迹显示，为用户提供时间、空间、因子等不同维度的对比分析，最多支持6个地图窗口的显示。</w:t>
      </w:r>
    </w:p>
    <w:p w14:paraId="721AA1CF">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12.12.5、数据查询导出</w:t>
      </w:r>
    </w:p>
    <w:p w14:paraId="069F8E41">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可通过选择走航任务、监测时段，将设备监测数据导出excel表到本地。</w:t>
      </w:r>
    </w:p>
    <w:p w14:paraId="671053EC">
      <w:pPr>
        <w:tabs>
          <w:tab w:val="left" w:pos="0"/>
        </w:tabs>
        <w:spacing w:line="360" w:lineRule="auto"/>
        <w:ind w:firstLine="482" w:firstLineChars="200"/>
        <w:outlineLvl w:val="2"/>
        <w:rPr>
          <w:rFonts w:hint="eastAsia" w:ascii="仿宋_GB2312" w:hAnsi="Times New Roman" w:eastAsia="仿宋_GB2312" w:cs="Helvetica"/>
          <w:b/>
          <w:bCs/>
          <w:color w:val="auto"/>
          <w:kern w:val="0"/>
          <w:sz w:val="24"/>
          <w:highlight w:val="none"/>
          <w:lang w:val="zh-CN"/>
        </w:rPr>
      </w:pPr>
      <w:r>
        <w:rPr>
          <w:rFonts w:hint="eastAsia" w:ascii="仿宋_GB2312" w:eastAsia="仿宋_GB2312" w:cs="Helvetica"/>
          <w:b/>
          <w:bCs/>
          <w:color w:val="auto"/>
          <w:kern w:val="0"/>
          <w:sz w:val="24"/>
          <w:highlight w:val="none"/>
          <w:lang w:val="en-US" w:eastAsia="zh-CN"/>
        </w:rPr>
        <w:t>13</w:t>
      </w:r>
      <w:r>
        <w:rPr>
          <w:rFonts w:hint="eastAsia" w:ascii="仿宋_GB2312" w:eastAsia="仿宋_GB2312" w:cs="Helvetica"/>
          <w:b/>
          <w:bCs/>
          <w:color w:val="auto"/>
          <w:kern w:val="0"/>
          <w:sz w:val="24"/>
          <w:highlight w:val="none"/>
          <w:lang w:val="zh-CN"/>
        </w:rPr>
        <w:t>. 走航及数据分析服</w:t>
      </w:r>
      <w:r>
        <w:rPr>
          <w:rFonts w:hint="eastAsia" w:ascii="仿宋_GB2312" w:hAnsi="Times New Roman" w:eastAsia="仿宋_GB2312" w:cs="Helvetica"/>
          <w:b/>
          <w:bCs/>
          <w:color w:val="auto"/>
          <w:kern w:val="0"/>
          <w:sz w:val="24"/>
          <w:highlight w:val="none"/>
          <w:lang w:val="zh-CN"/>
        </w:rPr>
        <w:t>务、设备运维服务</w:t>
      </w:r>
    </w:p>
    <w:p w14:paraId="6D0F38A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项目</w:t>
      </w:r>
      <w:r>
        <w:rPr>
          <w:rFonts w:hint="eastAsia" w:ascii="仿宋_GB2312" w:eastAsia="仿宋_GB2312" w:cs="Helvetica"/>
          <w:color w:val="auto"/>
          <w:kern w:val="0"/>
          <w:sz w:val="24"/>
          <w:highlight w:val="none"/>
          <w:lang w:val="en-US" w:eastAsia="zh-CN"/>
        </w:rPr>
        <w:t>初次</w:t>
      </w:r>
      <w:r>
        <w:rPr>
          <w:rFonts w:hint="eastAsia" w:ascii="仿宋_GB2312" w:hAnsi="Times New Roman" w:eastAsia="仿宋_GB2312" w:cs="Helvetica"/>
          <w:color w:val="auto"/>
          <w:kern w:val="0"/>
          <w:sz w:val="24"/>
          <w:highlight w:val="none"/>
          <w:lang w:val="en-US" w:eastAsia="zh-CN"/>
        </w:rPr>
        <w:t>验收合格后中标方提供1年的走航服务，每年天数不少于120天，具体走航时间由采购人指定。</w:t>
      </w:r>
    </w:p>
    <w:p w14:paraId="339E0ADA">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eastAsia="仿宋_GB2312" w:cs="Helvetica"/>
          <w:b w:val="0"/>
          <w:bCs w:val="0"/>
          <w:color w:val="auto"/>
          <w:kern w:val="0"/>
          <w:sz w:val="24"/>
          <w:highlight w:val="none"/>
        </w:rPr>
        <w:t>★</w:t>
      </w:r>
      <w:r>
        <w:rPr>
          <w:rFonts w:hint="eastAsia" w:ascii="仿宋_GB2312" w:hAnsi="Times New Roman" w:eastAsia="仿宋_GB2312" w:cs="Helvetica"/>
          <w:color w:val="auto"/>
          <w:kern w:val="0"/>
          <w:sz w:val="24"/>
          <w:highlight w:val="none"/>
          <w:lang w:val="en-US" w:eastAsia="zh-CN"/>
        </w:rPr>
        <w:t>走航服务要求配备2名技术工程师</w:t>
      </w:r>
      <w:r>
        <w:rPr>
          <w:rFonts w:hint="eastAsia" w:ascii="仿宋_GB2312" w:eastAsia="仿宋_GB2312" w:cs="Helvetica"/>
          <w:color w:val="auto"/>
          <w:kern w:val="0"/>
          <w:sz w:val="24"/>
          <w:highlight w:val="none"/>
          <w:lang w:val="en-US" w:eastAsia="zh-CN"/>
        </w:rPr>
        <w:t>（须提供相应工程师证书）</w:t>
      </w:r>
      <w:r>
        <w:rPr>
          <w:rFonts w:hint="eastAsia" w:ascii="仿宋_GB2312" w:hAnsi="Times New Roman" w:eastAsia="仿宋_GB2312" w:cs="Helvetica"/>
          <w:color w:val="auto"/>
          <w:kern w:val="0"/>
          <w:sz w:val="24"/>
          <w:highlight w:val="none"/>
          <w:lang w:val="en-US" w:eastAsia="zh-CN"/>
        </w:rPr>
        <w:t>驻点（</w:t>
      </w:r>
      <w:r>
        <w:rPr>
          <w:rFonts w:hint="eastAsia" w:ascii="仿宋" w:eastAsia="仿宋" w:cs="仿宋"/>
          <w:color w:val="auto"/>
          <w:sz w:val="24"/>
          <w:highlight w:val="none"/>
          <w:lang w:val="en-US" w:eastAsia="zh-CN"/>
        </w:rPr>
        <w:t>须</w:t>
      </w:r>
      <w:r>
        <w:rPr>
          <w:rFonts w:hint="eastAsia" w:ascii="仿宋" w:eastAsia="仿宋" w:cs="仿宋"/>
          <w:color w:val="auto"/>
          <w:sz w:val="24"/>
          <w:highlight w:val="none"/>
        </w:rPr>
        <w:t>具备2年及以上VOCs走航</w:t>
      </w:r>
      <w:r>
        <w:rPr>
          <w:rFonts w:hint="eastAsia" w:ascii="仿宋" w:eastAsia="仿宋" w:cs="仿宋"/>
          <w:color w:val="auto"/>
          <w:sz w:val="24"/>
          <w:highlight w:val="none"/>
          <w:lang w:val="en-US" w:eastAsia="zh-CN"/>
        </w:rPr>
        <w:t>服务</w:t>
      </w:r>
      <w:r>
        <w:rPr>
          <w:rFonts w:hint="eastAsia" w:ascii="仿宋" w:eastAsia="仿宋" w:cs="仿宋"/>
          <w:color w:val="auto"/>
          <w:sz w:val="24"/>
          <w:highlight w:val="none"/>
        </w:rPr>
        <w:t>工作经验</w:t>
      </w:r>
      <w:r>
        <w:rPr>
          <w:rFonts w:hint="eastAsia" w:ascii="仿宋" w:eastAsia="仿宋" w:cs="仿宋"/>
          <w:color w:val="auto"/>
          <w:sz w:val="24"/>
          <w:highlight w:val="none"/>
          <w:lang w:eastAsia="zh-CN"/>
        </w:rPr>
        <w:t>，</w:t>
      </w:r>
      <w:r>
        <w:rPr>
          <w:rFonts w:hint="eastAsia" w:ascii="仿宋_GB2312" w:hAnsi="Times New Roman" w:eastAsia="仿宋_GB2312" w:cs="Helvetica"/>
          <w:color w:val="auto"/>
          <w:kern w:val="0"/>
          <w:sz w:val="24"/>
          <w:highlight w:val="none"/>
          <w:lang w:val="en-US" w:eastAsia="zh-CN"/>
        </w:rPr>
        <w:t>负责设备的运行维护工作，其中一名兼职司机，需具有B1以上驾照，采购人指定地点），服务时间为1年，工作内容包括但不限于配合采购人完成日常走航巡查监管、专项环保督察、重大活动保障、环境突发应急等日常工作，并按要求提供设备运维服务和售后服务。</w:t>
      </w:r>
    </w:p>
    <w:p w14:paraId="45A15A8F">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13.1走航数据分析</w:t>
      </w:r>
      <w:r>
        <w:rPr>
          <w:rFonts w:hint="default" w:ascii="仿宋_GB2312" w:eastAsia="仿宋_GB2312" w:cs="Helvetica"/>
          <w:b/>
          <w:bCs/>
          <w:color w:val="auto"/>
          <w:kern w:val="0"/>
          <w:sz w:val="24"/>
          <w:highlight w:val="none"/>
          <w:lang w:eastAsia="zh-CN"/>
          <w:woUserID w:val="1"/>
        </w:rPr>
        <w:t>服务</w:t>
      </w:r>
      <w:r>
        <w:rPr>
          <w:rFonts w:hint="eastAsia" w:ascii="仿宋_GB2312" w:eastAsia="仿宋_GB2312" w:cs="Helvetica"/>
          <w:b/>
          <w:bCs/>
          <w:color w:val="auto"/>
          <w:kern w:val="0"/>
          <w:sz w:val="24"/>
          <w:highlight w:val="none"/>
          <w:lang w:val="en-US" w:eastAsia="zh-CN"/>
        </w:rPr>
        <w:t>要求</w:t>
      </w:r>
    </w:p>
    <w:p w14:paraId="2D2E83C5">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走航服务期内，每天走航结束后原则上1个工作日内提供分析报告，特殊情况按照采购方指定时限提供。技术工程师应综合</w:t>
      </w:r>
      <w:r>
        <w:rPr>
          <w:rFonts w:hint="eastAsia" w:ascii="仿宋_GB2312" w:eastAsia="仿宋_GB2312" w:cs="Helvetica"/>
          <w:color w:val="auto"/>
          <w:kern w:val="0"/>
          <w:sz w:val="24"/>
          <w:highlight w:val="none"/>
          <w:lang w:val="en-US" w:eastAsia="zh-CN"/>
        </w:rPr>
        <w:t>空气站</w:t>
      </w:r>
      <w:r>
        <w:rPr>
          <w:rFonts w:hint="eastAsia" w:ascii="仿宋_GB2312" w:hAnsi="Times New Roman" w:eastAsia="仿宋_GB2312" w:cs="Helvetica"/>
          <w:color w:val="auto"/>
          <w:kern w:val="0"/>
          <w:sz w:val="24"/>
          <w:highlight w:val="none"/>
          <w:lang w:val="en-US" w:eastAsia="zh-CN"/>
        </w:rPr>
        <w:t>、VOCs走航及车载气象等监测数据，提供当天走航监测分析报告。内容包含但不限于走航监测概况、污染物溯源分析、结论及管控建议等。</w:t>
      </w:r>
    </w:p>
    <w:p w14:paraId="76332107">
      <w:pPr>
        <w:tabs>
          <w:tab w:val="left" w:pos="0"/>
        </w:tabs>
        <w:spacing w:line="360" w:lineRule="auto"/>
        <w:ind w:firstLine="480" w:firstLineChars="200"/>
        <w:rPr>
          <w:rFonts w:hint="default"/>
          <w:color w:val="auto"/>
          <w:highlight w:val="none"/>
          <w:lang w:val="en-US" w:eastAsia="zh-CN"/>
        </w:rPr>
      </w:pPr>
      <w:r>
        <w:rPr>
          <w:rFonts w:hint="eastAsia" w:ascii="仿宋_GB2312" w:hAnsi="Times New Roman" w:eastAsia="仿宋_GB2312" w:cs="Helvetica"/>
          <w:color w:val="auto"/>
          <w:kern w:val="0"/>
          <w:sz w:val="24"/>
          <w:highlight w:val="none"/>
          <w:lang w:val="en-US" w:eastAsia="zh-CN"/>
        </w:rPr>
        <w:t xml:space="preserve">  重污染天气及重大活动保障：如遇重污染天气及重大活动时，要求额外配备工作人员</w:t>
      </w:r>
      <w:r>
        <w:rPr>
          <w:rFonts w:hint="eastAsia" w:ascii="仿宋_GB2312" w:eastAsia="仿宋_GB2312" w:cs="Helvetica"/>
          <w:color w:val="auto"/>
          <w:kern w:val="0"/>
          <w:sz w:val="24"/>
          <w:highlight w:val="none"/>
          <w:lang w:val="en-US" w:eastAsia="zh-CN"/>
        </w:rPr>
        <w:t>至少3人</w:t>
      </w:r>
      <w:r>
        <w:rPr>
          <w:rFonts w:hint="eastAsia" w:ascii="仿宋_GB2312" w:hAnsi="Times New Roman" w:eastAsia="仿宋_GB2312" w:cs="Helvetica"/>
          <w:color w:val="auto"/>
          <w:kern w:val="0"/>
          <w:sz w:val="24"/>
          <w:highlight w:val="none"/>
          <w:lang w:val="en-US" w:eastAsia="zh-CN"/>
        </w:rPr>
        <w:t>，工作人员须具有重大活动或重污染天气走航服务数据分析工作经验。污染事件发生后，对环境监测数据及气象数据进行深入挖掘，快速锁定重点污染来源区域，锁定污染来源企业。</w:t>
      </w:r>
    </w:p>
    <w:p w14:paraId="73E312C7">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13.2设备运维服务要求</w:t>
      </w:r>
    </w:p>
    <w:p w14:paraId="321BFD25">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项目</w:t>
      </w:r>
      <w:r>
        <w:rPr>
          <w:rFonts w:hint="eastAsia" w:ascii="仿宋_GB2312" w:eastAsia="仿宋_GB2312" w:cs="Helvetica"/>
          <w:color w:val="auto"/>
          <w:kern w:val="0"/>
          <w:sz w:val="24"/>
          <w:highlight w:val="none"/>
          <w:lang w:val="en-US" w:eastAsia="zh-CN"/>
        </w:rPr>
        <w:t>初次</w:t>
      </w:r>
      <w:r>
        <w:rPr>
          <w:rFonts w:hint="eastAsia" w:ascii="仿宋_GB2312" w:hAnsi="Times New Roman" w:eastAsia="仿宋_GB2312" w:cs="Helvetica"/>
          <w:color w:val="auto"/>
          <w:kern w:val="0"/>
          <w:sz w:val="24"/>
          <w:highlight w:val="none"/>
          <w:lang w:val="en-US" w:eastAsia="zh-CN"/>
        </w:rPr>
        <w:t>验收合格后中标方提供2年的设备运维服务，服务期内做好全部设备的运维和质控工作，运维期内所有设备耗材、备品备件、标准物质、设备维修费用等均由中标人承担。</w:t>
      </w:r>
    </w:p>
    <w:p w14:paraId="732F149F">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13.2.1 VOCs飞行时间质谱仪运维要求</w:t>
      </w:r>
    </w:p>
    <w:p w14:paraId="4F8274D0">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要求走航观测期间每天进行1次仪器性能状态、信号值检查、质量轴校正，仪器浓度校准，至少每周进行1次仪器运行工况检查、仪器重新校准和标准曲线更新，每季度进行1次进样管路清洗、过滤器清洗，过滤膜更换，每半年进行1次系统重要单元维护；按需进行仪器故障维修、突发事故应急。</w:t>
      </w:r>
    </w:p>
    <w:p w14:paraId="253C1416">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_GB2312" w:eastAsia="仿宋_GB2312" w:cs="Helvetica"/>
          <w:b/>
          <w:bCs/>
          <w:color w:val="auto"/>
          <w:kern w:val="0"/>
          <w:sz w:val="24"/>
          <w:highlight w:val="none"/>
          <w:lang w:val="en-US" w:eastAsia="zh-CN"/>
        </w:rPr>
        <w:t>13.2.2其他设备运维要求</w:t>
      </w:r>
    </w:p>
    <w:p w14:paraId="483F7488">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eastAsia="仿宋_GB2312" w:cs="Helvetica"/>
          <w:b w:val="0"/>
          <w:bCs w:val="0"/>
          <w:color w:val="auto"/>
          <w:kern w:val="0"/>
          <w:sz w:val="24"/>
          <w:highlight w:val="none"/>
          <w:lang w:val="en-US" w:eastAsia="zh-CN"/>
        </w:rPr>
        <w:t>按规定执行</w:t>
      </w:r>
    </w:p>
    <w:p w14:paraId="3AB09CF1">
      <w:pPr>
        <w:tabs>
          <w:tab w:val="left" w:pos="0"/>
        </w:tabs>
        <w:spacing w:line="360" w:lineRule="auto"/>
        <w:ind w:firstLine="482" w:firstLineChars="200"/>
        <w:rPr>
          <w:rFonts w:hint="eastAsia" w:ascii="仿宋_GB2312" w:eastAsia="仿宋_GB2312" w:cs="Helvetica"/>
          <w:b/>
          <w:bCs/>
          <w:color w:val="auto"/>
          <w:kern w:val="0"/>
          <w:sz w:val="24"/>
          <w:highlight w:val="none"/>
          <w:lang w:val="zh-CN"/>
        </w:rPr>
      </w:pPr>
      <w:r>
        <w:rPr>
          <w:rFonts w:hint="eastAsia" w:ascii="仿宋_GB2312" w:eastAsia="仿宋_GB2312" w:cs="Helvetica"/>
          <w:b/>
          <w:bCs/>
          <w:color w:val="auto"/>
          <w:kern w:val="0"/>
          <w:sz w:val="24"/>
          <w:highlight w:val="none"/>
          <w:lang w:val="en-US" w:eastAsia="zh-CN"/>
        </w:rPr>
        <w:t>14</w:t>
      </w:r>
      <w:r>
        <w:rPr>
          <w:rFonts w:hint="eastAsia" w:ascii="仿宋_GB2312" w:eastAsia="仿宋_GB2312" w:cs="Helvetica"/>
          <w:b/>
          <w:bCs/>
          <w:color w:val="auto"/>
          <w:kern w:val="0"/>
          <w:sz w:val="24"/>
          <w:highlight w:val="none"/>
          <w:lang w:val="zh-CN"/>
        </w:rPr>
        <w:t xml:space="preserve">. </w:t>
      </w:r>
      <w:r>
        <w:rPr>
          <w:rFonts w:ascii="仿宋_GB2312" w:eastAsia="仿宋_GB2312" w:cs="Helvetica"/>
          <w:b/>
          <w:bCs/>
          <w:color w:val="auto"/>
          <w:kern w:val="0"/>
          <w:sz w:val="24"/>
          <w:highlight w:val="none"/>
          <w:lang w:val="zh-CN"/>
        </w:rPr>
        <w:t>车辆及改装技术规格、参数要求</w:t>
      </w:r>
    </w:p>
    <w:p w14:paraId="05CF1B0B">
      <w:pPr>
        <w:tabs>
          <w:tab w:val="left" w:pos="0"/>
        </w:tabs>
        <w:spacing w:line="360" w:lineRule="auto"/>
        <w:ind w:firstLine="482" w:firstLineChars="200"/>
        <w:rPr>
          <w:rFonts w:hint="eastAsia" w:ascii="仿宋_GB2312" w:hAnsi="Times New Roman" w:eastAsia="仿宋_GB2312" w:cs="Helvetica"/>
          <w:color w:val="auto"/>
          <w:kern w:val="0"/>
          <w:sz w:val="24"/>
          <w:highlight w:val="none"/>
        </w:rPr>
      </w:pPr>
      <w:r>
        <w:rPr>
          <w:rFonts w:hint="eastAsia" w:ascii="仿宋_GB2312" w:hAnsi="Times New Roman" w:eastAsia="仿宋_GB2312" w:cs="Helvetica"/>
          <w:b/>
          <w:bCs/>
          <w:color w:val="auto"/>
          <w:kern w:val="0"/>
          <w:sz w:val="24"/>
          <w:highlight w:val="none"/>
          <w:lang w:val="en-US" w:eastAsia="zh-CN"/>
        </w:rPr>
        <w:t>14.</w:t>
      </w:r>
      <w:r>
        <w:rPr>
          <w:rFonts w:hint="eastAsia" w:ascii="仿宋_GB2312" w:hAnsi="Times New Roman" w:eastAsia="仿宋_GB2312" w:cs="Helvetica"/>
          <w:b/>
          <w:bCs/>
          <w:color w:val="auto"/>
          <w:kern w:val="0"/>
          <w:sz w:val="24"/>
          <w:highlight w:val="none"/>
          <w:lang w:val="zh-CN"/>
        </w:rPr>
        <w:t>1、车辆要求（</w:t>
      </w:r>
      <w:r>
        <w:rPr>
          <w:rFonts w:hint="eastAsia" w:ascii="仿宋_GB2312" w:hAnsi="Times New Roman" w:eastAsia="仿宋_GB2312" w:cs="Helvetica"/>
          <w:b/>
          <w:bCs/>
          <w:color w:val="auto"/>
          <w:kern w:val="0"/>
          <w:sz w:val="24"/>
          <w:highlight w:val="none"/>
          <w:lang w:val="en-US" w:eastAsia="zh-CN"/>
        </w:rPr>
        <w:t>推荐品牌：红旗国悦、丰田考斯特、宇通T7等同类型及以上</w:t>
      </w:r>
      <w:r>
        <w:rPr>
          <w:rFonts w:hint="eastAsia" w:ascii="仿宋_GB2312" w:hAnsi="Times New Roman" w:eastAsia="仿宋_GB2312" w:cs="Helvetica"/>
          <w:b/>
          <w:bCs/>
          <w:color w:val="auto"/>
          <w:kern w:val="0"/>
          <w:sz w:val="24"/>
          <w:highlight w:val="none"/>
          <w:lang w:val="zh-CN"/>
        </w:rPr>
        <w:t>）</w:t>
      </w:r>
    </w:p>
    <w:p w14:paraId="070A2C41">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最大功率(kW)</w:t>
      </w:r>
      <w:r>
        <w:rPr>
          <w:rFonts w:hint="eastAsia" w:ascii="仿宋_GB2312" w:hAnsi="Times New Roman" w:eastAsia="仿宋_GB2312" w:cs="Helvetica"/>
          <w:color w:val="auto"/>
          <w:kern w:val="0"/>
          <w:sz w:val="24"/>
          <w:highlight w:val="none"/>
          <w:lang w:val="en-US" w:eastAsia="zh-CN"/>
        </w:rPr>
        <w:t>：≥151</w:t>
      </w:r>
    </w:p>
    <w:p w14:paraId="16694DE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最大扭矩(N·m)</w:t>
      </w:r>
      <w:r>
        <w:rPr>
          <w:rFonts w:hint="eastAsia" w:ascii="仿宋_GB2312" w:hAnsi="Times New Roman" w:eastAsia="仿宋_GB2312" w:cs="Helvetica"/>
          <w:color w:val="auto"/>
          <w:kern w:val="0"/>
          <w:sz w:val="24"/>
          <w:highlight w:val="none"/>
          <w:lang w:val="en-US" w:eastAsia="zh-CN"/>
        </w:rPr>
        <w:t>：≥344</w:t>
      </w:r>
    </w:p>
    <w:p w14:paraId="424D7259">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发动机</w:t>
      </w:r>
      <w:r>
        <w:rPr>
          <w:rFonts w:hint="eastAsia" w:ascii="仿宋_GB2312" w:hAnsi="Times New Roman" w:eastAsia="仿宋_GB2312" w:cs="Helvetica"/>
          <w:color w:val="auto"/>
          <w:kern w:val="0"/>
          <w:sz w:val="24"/>
          <w:highlight w:val="none"/>
          <w:lang w:val="en-US" w:eastAsia="zh-CN"/>
        </w:rPr>
        <w:t>：优于或等于4.0L 205马力 V6</w:t>
      </w:r>
    </w:p>
    <w:p w14:paraId="6AA2C9E7">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进气形式：自然吸气、涡轮增压或机械增压</w:t>
      </w:r>
    </w:p>
    <w:p w14:paraId="3E551699">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eastAsia="仿宋_GB2312" w:cs="Helvetica"/>
          <w:color w:val="auto"/>
          <w:kern w:val="0"/>
          <w:sz w:val="24"/>
          <w:highlight w:val="none"/>
          <w:lang w:val="en-US" w:eastAsia="zh-CN"/>
        </w:rPr>
        <w:t>尾气</w:t>
      </w:r>
      <w:r>
        <w:rPr>
          <w:rFonts w:hint="eastAsia" w:ascii="仿宋_GB2312" w:hAnsi="Times New Roman" w:eastAsia="仿宋_GB2312" w:cs="Helvetica"/>
          <w:color w:val="auto"/>
          <w:kern w:val="0"/>
          <w:sz w:val="24"/>
          <w:highlight w:val="none"/>
          <w:lang w:val="en-US" w:eastAsia="zh-CN"/>
        </w:rPr>
        <w:t>排放依据标准：GB14762-2008国Ⅳ</w:t>
      </w:r>
    </w:p>
    <w:p w14:paraId="7DA02E12">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供油方式</w:t>
      </w:r>
      <w:r>
        <w:rPr>
          <w:rFonts w:hint="eastAsia" w:ascii="仿宋_GB2312" w:hAnsi="Times New Roman" w:eastAsia="仿宋_GB2312" w:cs="Helvetica"/>
          <w:color w:val="auto"/>
          <w:kern w:val="0"/>
          <w:sz w:val="24"/>
          <w:highlight w:val="none"/>
          <w:lang w:val="en-US" w:eastAsia="zh-CN"/>
        </w:rPr>
        <w:t>：多点电喷或直喷</w:t>
      </w:r>
    </w:p>
    <w:p w14:paraId="5A08B1CD">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变速箱类型：手动变速箱(MT)、自动变速箱(AT)或手自一体变速箱(AT)</w:t>
      </w:r>
    </w:p>
    <w:p w14:paraId="51BF5455">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变速箱</w:t>
      </w:r>
      <w:r>
        <w:rPr>
          <w:rFonts w:hint="eastAsia" w:ascii="仿宋_GB2312" w:hAnsi="Times New Roman" w:eastAsia="仿宋_GB2312" w:cs="Helvetica"/>
          <w:color w:val="auto"/>
          <w:kern w:val="0"/>
          <w:sz w:val="24"/>
          <w:highlight w:val="none"/>
          <w:lang w:val="en-US" w:eastAsia="zh-CN"/>
        </w:rPr>
        <w:t>：优于或等于5挡手动</w:t>
      </w:r>
    </w:p>
    <w:p w14:paraId="51F2BCE4">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前悬架类型</w:t>
      </w:r>
      <w:r>
        <w:rPr>
          <w:rFonts w:hint="eastAsia" w:ascii="仿宋_GB2312" w:hAnsi="Times New Roman" w:eastAsia="仿宋_GB2312" w:cs="Helvetica"/>
          <w:color w:val="auto"/>
          <w:kern w:val="0"/>
          <w:sz w:val="24"/>
          <w:highlight w:val="none"/>
          <w:lang w:val="en-US" w:eastAsia="zh-CN"/>
        </w:rPr>
        <w:t>：双叉臂式扭杆弹簧独立悬架</w:t>
      </w:r>
    </w:p>
    <w:p w14:paraId="60B199F2">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后悬架类型</w:t>
      </w:r>
      <w:r>
        <w:rPr>
          <w:rFonts w:hint="eastAsia" w:ascii="仿宋_GB2312" w:hAnsi="Times New Roman" w:eastAsia="仿宋_GB2312" w:cs="Helvetica"/>
          <w:color w:val="auto"/>
          <w:kern w:val="0"/>
          <w:sz w:val="24"/>
          <w:highlight w:val="none"/>
          <w:lang w:val="en-US" w:eastAsia="zh-CN"/>
        </w:rPr>
        <w:t>：钢板弹簧非独立悬架</w:t>
      </w:r>
    </w:p>
    <w:p w14:paraId="64A30FAE">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制动系统（前/后）：盘式/盘式</w:t>
      </w:r>
    </w:p>
    <w:p w14:paraId="490AAE53">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转向器：循环球式，动力转向；</w:t>
      </w:r>
    </w:p>
    <w:p w14:paraId="7A080D67">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方向盘：可调；</w:t>
      </w:r>
    </w:p>
    <w:p w14:paraId="5387A49D">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空调：具备空调系统，非独立暖风；</w:t>
      </w:r>
    </w:p>
    <w:p w14:paraId="109C85B3">
      <w:pPr>
        <w:tabs>
          <w:tab w:val="left" w:pos="0"/>
        </w:tabs>
        <w:spacing w:line="360" w:lineRule="auto"/>
        <w:ind w:firstLine="480" w:firstLineChars="200"/>
        <w:rPr>
          <w:rFonts w:hint="eastAsia" w:ascii="仿宋_GB2312" w:hAnsi="Times New Roman" w:eastAsia="仿宋_GB2312" w:cs="Helvetica"/>
          <w:color w:val="auto"/>
          <w:kern w:val="0"/>
          <w:sz w:val="24"/>
          <w:highlight w:val="none"/>
        </w:rPr>
      </w:pPr>
      <w:r>
        <w:rPr>
          <w:rFonts w:hint="eastAsia" w:ascii="仿宋_GB2312" w:hAnsi="Times New Roman" w:eastAsia="仿宋_GB2312" w:cs="Helvetica"/>
          <w:color w:val="auto"/>
          <w:kern w:val="0"/>
          <w:sz w:val="24"/>
          <w:highlight w:val="none"/>
        </w:rPr>
        <w:t>轴距（mm）</w:t>
      </w:r>
      <w:r>
        <w:rPr>
          <w:rFonts w:hint="eastAsia" w:ascii="仿宋_GB2312" w:hAnsi="Times New Roman" w:eastAsia="仿宋_GB2312" w:cs="Helvetica"/>
          <w:color w:val="auto"/>
          <w:kern w:val="0"/>
          <w:sz w:val="24"/>
          <w:highlight w:val="none"/>
          <w:lang w:eastAsia="zh-CN"/>
        </w:rPr>
        <w:t>：</w:t>
      </w:r>
      <w:r>
        <w:rPr>
          <w:rFonts w:hint="eastAsia" w:ascii="仿宋_GB2312" w:hAnsi="Times New Roman" w:eastAsia="仿宋_GB2312" w:cs="Helvetica"/>
          <w:color w:val="auto"/>
          <w:kern w:val="0"/>
          <w:sz w:val="24"/>
          <w:highlight w:val="none"/>
          <w:lang w:val="en-US" w:eastAsia="zh-CN"/>
        </w:rPr>
        <w:t>≥</w:t>
      </w:r>
      <w:r>
        <w:rPr>
          <w:rFonts w:hint="eastAsia" w:ascii="仿宋_GB2312" w:hAnsi="Times New Roman" w:eastAsia="仿宋_GB2312" w:cs="Helvetica"/>
          <w:color w:val="auto"/>
          <w:kern w:val="0"/>
          <w:sz w:val="24"/>
          <w:highlight w:val="none"/>
        </w:rPr>
        <w:t>3935</w:t>
      </w:r>
    </w:p>
    <w:p w14:paraId="6AEFE500">
      <w:pPr>
        <w:tabs>
          <w:tab w:val="left" w:pos="0"/>
        </w:tabs>
        <w:spacing w:line="360" w:lineRule="auto"/>
        <w:ind w:firstLine="480" w:firstLineChars="200"/>
        <w:rPr>
          <w:rFonts w:hint="eastAsia" w:ascii="仿宋_GB2312" w:hAnsi="Times New Roman" w:eastAsia="仿宋_GB2312" w:cs="Helvetica"/>
          <w:color w:val="auto"/>
          <w:kern w:val="0"/>
          <w:sz w:val="24"/>
          <w:highlight w:val="none"/>
        </w:rPr>
      </w:pPr>
      <w:r>
        <w:rPr>
          <w:rFonts w:hint="default" w:ascii="仿宋_GB2312" w:hAnsi="Times New Roman" w:eastAsia="仿宋_GB2312" w:cs="Helvetica"/>
          <w:color w:val="auto"/>
          <w:kern w:val="0"/>
          <w:sz w:val="24"/>
          <w:highlight w:val="none"/>
          <w:lang w:val="en-US" w:eastAsia="zh-CN"/>
        </w:rPr>
        <w:t>最小离地间隙（mm）</w:t>
      </w:r>
      <w:r>
        <w:rPr>
          <w:rFonts w:hint="eastAsia" w:ascii="仿宋_GB2312" w:hAnsi="Times New Roman" w:eastAsia="仿宋_GB2312" w:cs="Helvetica"/>
          <w:color w:val="auto"/>
          <w:kern w:val="0"/>
          <w:sz w:val="24"/>
          <w:highlight w:val="none"/>
          <w:lang w:val="en-US" w:eastAsia="zh-CN"/>
        </w:rPr>
        <w:t>：</w:t>
      </w:r>
      <w:r>
        <w:rPr>
          <w:rFonts w:hint="eastAsia" w:ascii="仿宋_GB2312" w:hAnsi="Times New Roman" w:eastAsia="仿宋_GB2312" w:cs="Helvetica"/>
          <w:color w:val="auto"/>
          <w:kern w:val="0"/>
          <w:sz w:val="24"/>
          <w:highlight w:val="none"/>
        </w:rPr>
        <w:t>≥175</w:t>
      </w:r>
    </w:p>
    <w:p w14:paraId="24E05043">
      <w:pPr>
        <w:tabs>
          <w:tab w:val="left" w:pos="0"/>
        </w:tabs>
        <w:spacing w:line="360" w:lineRule="auto"/>
        <w:ind w:firstLine="480" w:firstLineChars="200"/>
        <w:rPr>
          <w:rFonts w:hint="eastAsia" w:ascii="仿宋_GB2312" w:hAnsi="Times New Roman" w:eastAsia="仿宋_GB2312" w:cs="Helvetica"/>
          <w:color w:val="auto"/>
          <w:kern w:val="0"/>
          <w:sz w:val="24"/>
          <w:highlight w:val="none"/>
        </w:rPr>
      </w:pPr>
      <w:r>
        <w:rPr>
          <w:rFonts w:hint="eastAsia" w:ascii="仿宋_GB2312" w:hAnsi="Times New Roman" w:eastAsia="仿宋_GB2312" w:cs="Helvetica"/>
          <w:color w:val="auto"/>
          <w:kern w:val="0"/>
          <w:sz w:val="24"/>
          <w:highlight w:val="none"/>
        </w:rPr>
        <w:t>最小转弯半径（m）</w:t>
      </w:r>
      <w:r>
        <w:rPr>
          <w:rFonts w:hint="eastAsia" w:ascii="仿宋_GB2312" w:hAnsi="Times New Roman" w:eastAsia="仿宋_GB2312" w:cs="Helvetica"/>
          <w:color w:val="auto"/>
          <w:kern w:val="0"/>
          <w:sz w:val="24"/>
          <w:highlight w:val="none"/>
          <w:lang w:eastAsia="zh-CN"/>
        </w:rPr>
        <w:t>：</w:t>
      </w:r>
      <w:r>
        <w:rPr>
          <w:rFonts w:hint="eastAsia" w:ascii="仿宋_GB2312" w:hAnsi="Times New Roman" w:eastAsia="仿宋_GB2312" w:cs="Helvetica"/>
          <w:color w:val="auto"/>
          <w:kern w:val="0"/>
          <w:sz w:val="24"/>
          <w:highlight w:val="none"/>
        </w:rPr>
        <w:t>≤7.2</w:t>
      </w:r>
    </w:p>
    <w:p w14:paraId="17BDC5B1">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rPr>
        <w:t>最大爬坡度</w:t>
      </w:r>
      <w:r>
        <w:rPr>
          <w:rFonts w:hint="eastAsia" w:ascii="仿宋_GB2312" w:hAnsi="Times New Roman" w:eastAsia="仿宋_GB2312" w:cs="Helvetica"/>
          <w:color w:val="auto"/>
          <w:kern w:val="0"/>
          <w:sz w:val="24"/>
          <w:highlight w:val="none"/>
          <w:lang w:eastAsia="zh-CN"/>
        </w:rPr>
        <w:t>：</w:t>
      </w:r>
      <w:r>
        <w:rPr>
          <w:rFonts w:hint="eastAsia" w:ascii="仿宋_GB2312" w:hAnsi="Times New Roman" w:eastAsia="仿宋_GB2312" w:cs="Helvetica"/>
          <w:color w:val="auto"/>
          <w:kern w:val="0"/>
          <w:sz w:val="24"/>
          <w:highlight w:val="none"/>
        </w:rPr>
        <w:t>≥30</w:t>
      </w:r>
    </w:p>
    <w:p w14:paraId="18B9E013">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最高车速(km/h)</w:t>
      </w:r>
      <w:r>
        <w:rPr>
          <w:rFonts w:hint="eastAsia" w:ascii="仿宋_GB2312" w:hAnsi="Times New Roman" w:eastAsia="仿宋_GB2312" w:cs="Helvetica"/>
          <w:color w:val="auto"/>
          <w:kern w:val="0"/>
          <w:sz w:val="24"/>
          <w:highlight w:val="none"/>
          <w:lang w:val="en-US" w:eastAsia="zh-CN"/>
        </w:rPr>
        <w:t>：≥130</w:t>
      </w:r>
    </w:p>
    <w:p w14:paraId="4C6B0E89">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油箱容积(L)：≥92</w:t>
      </w:r>
    </w:p>
    <w:p w14:paraId="1C7E8F72">
      <w:pPr>
        <w:tabs>
          <w:tab w:val="left" w:pos="0"/>
        </w:tabs>
        <w:spacing w:line="360" w:lineRule="auto"/>
        <w:ind w:firstLine="480" w:firstLineChars="200"/>
        <w:rPr>
          <w:rFonts w:hint="eastAsia" w:ascii="仿宋_GB2312" w:hAnsi="Times New Roman" w:eastAsia="仿宋_GB2312" w:cs="Helvetica"/>
          <w:color w:val="auto"/>
          <w:kern w:val="0"/>
          <w:sz w:val="24"/>
          <w:highlight w:val="none"/>
        </w:rPr>
      </w:pPr>
      <w:r>
        <w:rPr>
          <w:rFonts w:hint="eastAsia" w:ascii="仿宋_GB2312" w:hAnsi="Times New Roman" w:eastAsia="仿宋_GB2312" w:cs="Helvetica"/>
          <w:color w:val="auto"/>
          <w:kern w:val="0"/>
          <w:sz w:val="24"/>
          <w:highlight w:val="none"/>
        </w:rPr>
        <w:t>转向助力</w:t>
      </w:r>
      <w:r>
        <w:rPr>
          <w:rFonts w:hint="eastAsia" w:ascii="仿宋_GB2312" w:hAnsi="Times New Roman" w:eastAsia="仿宋_GB2312" w:cs="Helvetica"/>
          <w:color w:val="auto"/>
          <w:kern w:val="0"/>
          <w:sz w:val="24"/>
          <w:highlight w:val="none"/>
          <w:lang w:eastAsia="zh-CN"/>
        </w:rPr>
        <w:t>：</w:t>
      </w:r>
      <w:r>
        <w:rPr>
          <w:rFonts w:hint="eastAsia" w:ascii="仿宋_GB2312" w:hAnsi="Times New Roman" w:eastAsia="仿宋_GB2312" w:cs="Helvetica"/>
          <w:color w:val="auto"/>
          <w:kern w:val="0"/>
          <w:sz w:val="24"/>
          <w:highlight w:val="none"/>
        </w:rPr>
        <w:t>循环球式，动力转向</w:t>
      </w:r>
    </w:p>
    <w:p w14:paraId="75321A1C">
      <w:pPr>
        <w:tabs>
          <w:tab w:val="left" w:pos="0"/>
        </w:tabs>
        <w:spacing w:line="360" w:lineRule="auto"/>
        <w:ind w:firstLine="480" w:firstLineChars="200"/>
        <w:rPr>
          <w:rFonts w:hint="eastAsia" w:ascii="仿宋_GB2312" w:hAnsi="Times New Roman" w:eastAsia="仿宋_GB2312" w:cs="Helvetica"/>
          <w:color w:val="auto"/>
          <w:kern w:val="0"/>
          <w:sz w:val="24"/>
          <w:highlight w:val="none"/>
        </w:rPr>
      </w:pPr>
      <w:r>
        <w:rPr>
          <w:rFonts w:hint="eastAsia" w:ascii="仿宋_GB2312" w:hAnsi="Times New Roman" w:eastAsia="仿宋_GB2312" w:cs="Helvetica"/>
          <w:color w:val="auto"/>
          <w:kern w:val="0"/>
          <w:sz w:val="24"/>
          <w:highlight w:val="none"/>
        </w:rPr>
        <w:t>制动方式（前/后）</w:t>
      </w:r>
      <w:r>
        <w:rPr>
          <w:rFonts w:hint="eastAsia" w:ascii="仿宋_GB2312" w:hAnsi="Times New Roman" w:eastAsia="仿宋_GB2312" w:cs="Helvetica"/>
          <w:color w:val="auto"/>
          <w:kern w:val="0"/>
          <w:sz w:val="24"/>
          <w:highlight w:val="none"/>
          <w:lang w:eastAsia="zh-CN"/>
        </w:rPr>
        <w:t>：</w:t>
      </w:r>
      <w:r>
        <w:rPr>
          <w:rFonts w:hint="eastAsia" w:ascii="仿宋_GB2312" w:hAnsi="Times New Roman" w:eastAsia="仿宋_GB2312" w:cs="Helvetica"/>
          <w:color w:val="auto"/>
          <w:kern w:val="0"/>
          <w:sz w:val="24"/>
          <w:highlight w:val="none"/>
        </w:rPr>
        <w:t>前盘式/后盘式</w:t>
      </w:r>
    </w:p>
    <w:p w14:paraId="1FFF6C8B">
      <w:pPr>
        <w:tabs>
          <w:tab w:val="left" w:pos="0"/>
        </w:tabs>
        <w:spacing w:line="360" w:lineRule="auto"/>
        <w:ind w:firstLine="480" w:firstLineChars="200"/>
        <w:rPr>
          <w:rFonts w:hint="eastAsia" w:ascii="仿宋_GB2312" w:hAnsi="Times New Roman" w:eastAsia="仿宋_GB2312" w:cs="Helvetica"/>
          <w:color w:val="auto"/>
          <w:kern w:val="0"/>
          <w:sz w:val="24"/>
          <w:highlight w:val="none"/>
        </w:rPr>
      </w:pPr>
      <w:r>
        <w:rPr>
          <w:rFonts w:hint="eastAsia" w:ascii="仿宋_GB2312" w:hAnsi="Times New Roman" w:eastAsia="仿宋_GB2312" w:cs="Helvetica"/>
          <w:color w:val="auto"/>
          <w:kern w:val="0"/>
          <w:sz w:val="24"/>
          <w:highlight w:val="none"/>
        </w:rPr>
        <w:t>车轮</w:t>
      </w:r>
      <w:r>
        <w:rPr>
          <w:rFonts w:hint="eastAsia" w:ascii="仿宋_GB2312" w:hAnsi="Times New Roman" w:eastAsia="仿宋_GB2312" w:cs="Helvetica"/>
          <w:color w:val="auto"/>
          <w:kern w:val="0"/>
          <w:sz w:val="24"/>
          <w:highlight w:val="none"/>
          <w:lang w:eastAsia="zh-CN"/>
        </w:rPr>
        <w:t>：</w:t>
      </w:r>
      <w:r>
        <w:rPr>
          <w:rFonts w:hint="eastAsia" w:ascii="仿宋_GB2312" w:hAnsi="Times New Roman" w:eastAsia="仿宋_GB2312" w:cs="Helvetica"/>
          <w:color w:val="auto"/>
          <w:kern w:val="0"/>
          <w:sz w:val="24"/>
          <w:highlight w:val="none"/>
          <w:lang w:val="en-US" w:eastAsia="zh-CN"/>
        </w:rPr>
        <w:t>≥</w:t>
      </w:r>
      <w:r>
        <w:rPr>
          <w:rFonts w:hint="eastAsia" w:ascii="仿宋_GB2312" w:hAnsi="Times New Roman" w:eastAsia="仿宋_GB2312" w:cs="Helvetica"/>
          <w:color w:val="auto"/>
          <w:kern w:val="0"/>
          <w:sz w:val="24"/>
          <w:highlight w:val="none"/>
        </w:rPr>
        <w:t>6</w:t>
      </w:r>
    </w:p>
    <w:p w14:paraId="595F7652">
      <w:pPr>
        <w:tabs>
          <w:tab w:val="left" w:pos="0"/>
        </w:tabs>
        <w:spacing w:line="360" w:lineRule="auto"/>
        <w:ind w:firstLine="480" w:firstLineChars="200"/>
        <w:rPr>
          <w:rFonts w:hint="eastAsia" w:ascii="仿宋_GB2312" w:hAnsi="Times New Roman" w:eastAsia="仿宋_GB2312" w:cs="Helvetica"/>
          <w:color w:val="auto"/>
          <w:kern w:val="0"/>
          <w:sz w:val="24"/>
          <w:highlight w:val="none"/>
        </w:rPr>
      </w:pPr>
      <w:r>
        <w:rPr>
          <w:rFonts w:hint="eastAsia" w:ascii="仿宋_GB2312" w:hAnsi="Times New Roman" w:eastAsia="仿宋_GB2312" w:cs="Helvetica"/>
          <w:color w:val="auto"/>
          <w:kern w:val="0"/>
          <w:sz w:val="24"/>
          <w:highlight w:val="none"/>
        </w:rPr>
        <w:t>轮胎</w:t>
      </w:r>
      <w:r>
        <w:rPr>
          <w:rFonts w:hint="eastAsia" w:ascii="仿宋_GB2312" w:hAnsi="Times New Roman" w:eastAsia="仿宋_GB2312" w:cs="Helvetica"/>
          <w:color w:val="auto"/>
          <w:kern w:val="0"/>
          <w:sz w:val="24"/>
          <w:highlight w:val="none"/>
          <w:lang w:val="en-US" w:eastAsia="zh-CN"/>
        </w:rPr>
        <w:t>尺寸：≥</w:t>
      </w:r>
      <w:r>
        <w:rPr>
          <w:rFonts w:hint="eastAsia" w:ascii="仿宋_GB2312" w:hAnsi="Times New Roman" w:eastAsia="仿宋_GB2312" w:cs="Helvetica"/>
          <w:color w:val="auto"/>
          <w:kern w:val="0"/>
          <w:sz w:val="24"/>
          <w:highlight w:val="none"/>
        </w:rPr>
        <w:t>215/70 R17.5</w:t>
      </w:r>
    </w:p>
    <w:p w14:paraId="27464B29">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轮圈材质：钢或铝合金</w:t>
      </w:r>
    </w:p>
    <w:p w14:paraId="353F3189">
      <w:pPr>
        <w:tabs>
          <w:tab w:val="left" w:pos="0"/>
        </w:tabs>
        <w:spacing w:line="360" w:lineRule="auto"/>
        <w:ind w:firstLine="480" w:firstLineChars="200"/>
        <w:rPr>
          <w:rFonts w:hint="eastAsia" w:ascii="仿宋_GB2312" w:hAnsi="Times New Roman" w:eastAsia="仿宋_GB2312" w:cs="Helvetica"/>
          <w:color w:val="auto"/>
          <w:kern w:val="0"/>
          <w:sz w:val="24"/>
          <w:highlight w:val="none"/>
        </w:rPr>
      </w:pPr>
      <w:r>
        <w:rPr>
          <w:rFonts w:hint="eastAsia" w:ascii="仿宋_GB2312" w:hAnsi="Times New Roman" w:eastAsia="仿宋_GB2312" w:cs="Helvetica"/>
          <w:color w:val="auto"/>
          <w:kern w:val="0"/>
          <w:sz w:val="24"/>
          <w:highlight w:val="none"/>
        </w:rPr>
        <w:t>乘客门：自动外摆门+防夹功能。</w:t>
      </w:r>
    </w:p>
    <w:p w14:paraId="6E91BE31">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rPr>
        <w:t>ABS防抱死</w:t>
      </w:r>
      <w:r>
        <w:rPr>
          <w:rFonts w:hint="eastAsia" w:ascii="仿宋_GB2312" w:hAnsi="Times New Roman" w:eastAsia="仿宋_GB2312" w:cs="Helvetica"/>
          <w:color w:val="auto"/>
          <w:kern w:val="0"/>
          <w:sz w:val="24"/>
          <w:highlight w:val="none"/>
          <w:lang w:eastAsia="zh-CN"/>
        </w:rPr>
        <w:t>：</w:t>
      </w:r>
      <w:r>
        <w:rPr>
          <w:rFonts w:hint="eastAsia" w:ascii="仿宋_GB2312" w:hAnsi="Times New Roman" w:eastAsia="仿宋_GB2312" w:cs="Helvetica"/>
          <w:color w:val="auto"/>
          <w:kern w:val="0"/>
          <w:sz w:val="24"/>
          <w:highlight w:val="none"/>
          <w:lang w:val="en-US" w:eastAsia="zh-CN"/>
        </w:rPr>
        <w:t>有</w:t>
      </w:r>
    </w:p>
    <w:p w14:paraId="46749F56">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侧窗玻璃：绿色强化+滑动玻璃</w:t>
      </w:r>
    </w:p>
    <w:p w14:paraId="0EA056B7">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车厢内地板：PVC</w:t>
      </w:r>
    </w:p>
    <w:p w14:paraId="58D3154A">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行李箱灯：配备</w:t>
      </w:r>
    </w:p>
    <w:p w14:paraId="28A26CFD">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ABS+LSP、BV：配备</w:t>
      </w:r>
    </w:p>
    <w:p w14:paraId="4DD89329">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刹车优先系统：配备</w:t>
      </w:r>
    </w:p>
    <w:p w14:paraId="448E6AD7">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全系ELR三点式安全带：配备</w:t>
      </w:r>
    </w:p>
    <w:p w14:paraId="303B332A">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音响系统：AM/FM、CD机、带麦克风、4个扬声器</w:t>
      </w:r>
    </w:p>
    <w:p w14:paraId="744080DE">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脚下供暖：配备</w:t>
      </w:r>
    </w:p>
    <w:p w14:paraId="7214F2BB">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倒车警告音：配备</w:t>
      </w:r>
    </w:p>
    <w:p w14:paraId="68D18B50">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车速报警音：配备</w:t>
      </w:r>
    </w:p>
    <w:p w14:paraId="2153C6BF">
      <w:pPr>
        <w:tabs>
          <w:tab w:val="left" w:pos="0"/>
        </w:tabs>
        <w:spacing w:line="360" w:lineRule="auto"/>
        <w:ind w:firstLine="480" w:firstLineChars="20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电子稳定系统：配备</w:t>
      </w:r>
    </w:p>
    <w:p w14:paraId="2C4DCE00">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空调温度控制方式</w:t>
      </w:r>
      <w:r>
        <w:rPr>
          <w:rFonts w:hint="eastAsia" w:ascii="仿宋_GB2312" w:hAnsi="Times New Roman" w:eastAsia="仿宋_GB2312" w:cs="Helvetica"/>
          <w:color w:val="auto"/>
          <w:kern w:val="0"/>
          <w:sz w:val="24"/>
          <w:highlight w:val="none"/>
          <w:lang w:val="en-US" w:eastAsia="zh-CN"/>
        </w:rPr>
        <w:t>：手动或自动</w:t>
      </w:r>
    </w:p>
    <w:p w14:paraId="2D303505">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其他要求：主驾安全气囊、主驾驶电动窗、收音机、倒车雷达、电动侧门、后行李厢门、车窗贴膜、全尺寸备胎、随车工具、三角警示牌等；</w:t>
      </w:r>
      <w:r>
        <w:rPr>
          <w:rFonts w:hint="eastAsia" w:ascii="仿宋_GB2312" w:eastAsia="仿宋_GB2312" w:cs="Helvetica"/>
          <w:color w:val="auto"/>
          <w:kern w:val="0"/>
          <w:sz w:val="24"/>
          <w:highlight w:val="none"/>
          <w:lang w:val="en-US" w:eastAsia="zh-CN"/>
        </w:rPr>
        <w:t>本项目车辆采购需求不涉及</w:t>
      </w:r>
      <w:r>
        <w:rPr>
          <w:rFonts w:hint="eastAsia" w:ascii="仿宋" w:eastAsia="仿宋"/>
          <w:caps w:val="0"/>
          <w:smallCaps w:val="0"/>
          <w:vanish w:val="0"/>
          <w:color w:val="auto"/>
          <w:sz w:val="24"/>
          <w:szCs w:val="24"/>
          <w:highlight w:val="none"/>
          <w:vertAlign w:val="baseline"/>
        </w:rPr>
        <w:t>以柴油作为动力来源的</w:t>
      </w:r>
      <w:r>
        <w:rPr>
          <w:rFonts w:hint="eastAsia" w:ascii="仿宋_GB2312" w:eastAsia="仿宋_GB2312" w:cs="Helvetica"/>
          <w:color w:val="auto"/>
          <w:kern w:val="0"/>
          <w:sz w:val="24"/>
          <w:highlight w:val="none"/>
          <w:lang w:val="en-US" w:eastAsia="zh-CN"/>
        </w:rPr>
        <w:t>车辆。</w:t>
      </w:r>
    </w:p>
    <w:p w14:paraId="623DA26A">
      <w:pPr>
        <w:tabs>
          <w:tab w:val="left" w:pos="0"/>
        </w:tabs>
        <w:spacing w:line="360" w:lineRule="auto"/>
        <w:ind w:firstLine="482" w:firstLineChars="200"/>
        <w:rPr>
          <w:rFonts w:hint="eastAsia" w:ascii="仿宋_GB2312" w:hAnsi="Times New Roman" w:eastAsia="仿宋_GB2312" w:cs="Helvetica"/>
          <w:color w:val="auto"/>
          <w:kern w:val="0"/>
          <w:sz w:val="24"/>
          <w:highlight w:val="none"/>
        </w:rPr>
      </w:pPr>
      <w:r>
        <w:rPr>
          <w:rFonts w:hint="eastAsia" w:ascii="仿宋_GB2312" w:hAnsi="Times New Roman" w:eastAsia="仿宋_GB2312" w:cs="Helvetica"/>
          <w:b/>
          <w:bCs/>
          <w:color w:val="auto"/>
          <w:kern w:val="0"/>
          <w:sz w:val="24"/>
          <w:highlight w:val="none"/>
          <w:lang w:val="en-US" w:eastAsia="zh-CN"/>
        </w:rPr>
        <w:t>14.2、改装要求</w:t>
      </w:r>
    </w:p>
    <w:p w14:paraId="2429B249">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14</w:t>
      </w:r>
      <w:r>
        <w:rPr>
          <w:rFonts w:hint="default" w:ascii="仿宋_GB2312" w:hAnsi="Times New Roman" w:eastAsia="仿宋_GB2312" w:cs="Helvetica"/>
          <w:color w:val="auto"/>
          <w:kern w:val="0"/>
          <w:sz w:val="24"/>
          <w:highlight w:val="none"/>
          <w:lang w:val="en-US" w:eastAsia="zh-CN"/>
        </w:rPr>
        <w:t>.2.1总体要求：投标人需在投标文件内提供与本项目适配的搭载设备的走航监测车辆改装方案，需确保仪器设备都可合理安装，可保证所搭载设备连续工作，其他功能包括但不限于应具备防震、固定、安全和便于日常使用维护等功能。</w:t>
      </w:r>
    </w:p>
    <w:p w14:paraId="75E6AC21">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14</w:t>
      </w:r>
      <w:r>
        <w:rPr>
          <w:rFonts w:hint="default" w:ascii="仿宋_GB2312" w:hAnsi="Times New Roman" w:eastAsia="仿宋_GB2312" w:cs="Helvetica"/>
          <w:color w:val="auto"/>
          <w:kern w:val="0"/>
          <w:sz w:val="24"/>
          <w:highlight w:val="none"/>
          <w:lang w:val="en-US" w:eastAsia="zh-CN"/>
        </w:rPr>
        <w:t>.2.2走航监测车改装需包含但不限于以下内容：车载供电系统、车载试验台、空调系统、加强型减振器，隔音隔热、车身结构密封防水，高顶车身，电磁屏蔽等。</w:t>
      </w:r>
    </w:p>
    <w:p w14:paraId="74478A67">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14</w:t>
      </w:r>
      <w:r>
        <w:rPr>
          <w:rFonts w:hint="default" w:ascii="仿宋_GB2312" w:hAnsi="Times New Roman" w:eastAsia="仿宋_GB2312" w:cs="Helvetica"/>
          <w:color w:val="auto"/>
          <w:kern w:val="0"/>
          <w:sz w:val="24"/>
          <w:highlight w:val="none"/>
          <w:lang w:val="en-US" w:eastAsia="zh-CN"/>
        </w:rPr>
        <w:t>.2.3外饰：车后部安装爬梯，折叠或固定式，踏步进行防滑处理。</w:t>
      </w:r>
    </w:p>
    <w:p w14:paraId="4744C6B0">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14</w:t>
      </w:r>
      <w:r>
        <w:rPr>
          <w:rFonts w:hint="default" w:ascii="仿宋_GB2312" w:hAnsi="Times New Roman" w:eastAsia="仿宋_GB2312" w:cs="Helvetica"/>
          <w:color w:val="auto"/>
          <w:kern w:val="0"/>
          <w:sz w:val="24"/>
          <w:highlight w:val="none"/>
          <w:lang w:val="en-US" w:eastAsia="zh-CN"/>
        </w:rPr>
        <w:t>.2.4供电系统组成：配置漏电保护、过载保护、防水市电接口、稳压电源、配电柜。</w:t>
      </w:r>
    </w:p>
    <w:p w14:paraId="19CD793A">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14</w:t>
      </w:r>
      <w:r>
        <w:rPr>
          <w:rFonts w:hint="default" w:ascii="仿宋_GB2312" w:hAnsi="Times New Roman" w:eastAsia="仿宋_GB2312" w:cs="Helvetica"/>
          <w:color w:val="auto"/>
          <w:kern w:val="0"/>
          <w:sz w:val="24"/>
          <w:highlight w:val="none"/>
          <w:lang w:val="en-US" w:eastAsia="zh-CN"/>
        </w:rPr>
        <w:t>.2.5供电方式：行车供电、外接市电供电，车辆需配备取力发电机，发电机功率不小于3KW，在不接市电的情况下，车辆自身需能给设备持续供电，保证设备可连续不间断工作。</w:t>
      </w:r>
    </w:p>
    <w:p w14:paraId="737CF239">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14</w:t>
      </w:r>
      <w:r>
        <w:rPr>
          <w:rFonts w:hint="default" w:ascii="仿宋_GB2312" w:hAnsi="Times New Roman" w:eastAsia="仿宋_GB2312" w:cs="Helvetica"/>
          <w:color w:val="auto"/>
          <w:kern w:val="0"/>
          <w:sz w:val="24"/>
          <w:highlight w:val="none"/>
          <w:lang w:val="en-US" w:eastAsia="zh-CN"/>
        </w:rPr>
        <w:t>.2.6电源控制：配电箱对输入电源进行分路控制包含空调和其他设备 2 路，确保各系统用电不相互干扰，控制电路显示系统可以观测各路供电情况。</w:t>
      </w:r>
    </w:p>
    <w:p w14:paraId="73FDA011">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14</w:t>
      </w:r>
      <w:r>
        <w:rPr>
          <w:rFonts w:hint="default" w:ascii="仿宋_GB2312" w:hAnsi="Times New Roman" w:eastAsia="仿宋_GB2312" w:cs="Helvetica"/>
          <w:color w:val="auto"/>
          <w:kern w:val="0"/>
          <w:sz w:val="24"/>
          <w:highlight w:val="none"/>
          <w:lang w:val="en-US" w:eastAsia="zh-CN"/>
        </w:rPr>
        <w:t>.2.7整车布线：车内布线整齐、合理、安全、可靠，车厢顶部及侧壁穿线孔均采用过线护套，并涂胶密封，接线头和线缆部分有标识，并与说明书原理图相对应,便于检修，车内设备电缆和电源电缆走线采用明线暗装方式，在外部看不到明线，布线中并行的导线除有明确的规定外不绞合。</w:t>
      </w:r>
    </w:p>
    <w:p w14:paraId="236386D6">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14</w:t>
      </w:r>
      <w:r>
        <w:rPr>
          <w:rFonts w:hint="default" w:ascii="仿宋_GB2312" w:hAnsi="Times New Roman" w:eastAsia="仿宋_GB2312" w:cs="Helvetica"/>
          <w:color w:val="auto"/>
          <w:kern w:val="0"/>
          <w:sz w:val="24"/>
          <w:highlight w:val="none"/>
          <w:lang w:val="en-US" w:eastAsia="zh-CN"/>
        </w:rPr>
        <w:t>.2.8车体接地：驻车时使用接地钳安装电源防雷避雷器。</w:t>
      </w:r>
    </w:p>
    <w:p w14:paraId="61F90FEC">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14</w:t>
      </w:r>
      <w:r>
        <w:rPr>
          <w:rFonts w:hint="default" w:ascii="仿宋_GB2312" w:hAnsi="Times New Roman" w:eastAsia="仿宋_GB2312" w:cs="Helvetica"/>
          <w:color w:val="auto"/>
          <w:kern w:val="0"/>
          <w:sz w:val="24"/>
          <w:highlight w:val="none"/>
          <w:lang w:val="en-US" w:eastAsia="zh-CN"/>
        </w:rPr>
        <w:t>.2.9两套空调：行车空调为原车空调系统，驻车空调为冷暖型。</w:t>
      </w:r>
    </w:p>
    <w:p w14:paraId="4CA9F6B6">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14</w:t>
      </w:r>
      <w:r>
        <w:rPr>
          <w:rFonts w:hint="default" w:ascii="仿宋_GB2312" w:hAnsi="Times New Roman" w:eastAsia="仿宋_GB2312" w:cs="Helvetica"/>
          <w:color w:val="auto"/>
          <w:kern w:val="0"/>
          <w:sz w:val="24"/>
          <w:highlight w:val="none"/>
          <w:lang w:val="en-US" w:eastAsia="zh-CN"/>
        </w:rPr>
        <w:t>.10其他配套要求：配有本地存储监控系统、车载摄像云台、照明系统（含车内照明6盏灯和车外照明4盏灯）、Wi-Fi系统（含4G路由和交换机）、环境监测系统（含温湿度仪、烟雾报警器等）、后备电源、工作台、工作站、接地保护装置等。</w:t>
      </w:r>
    </w:p>
    <w:p w14:paraId="206431B1">
      <w:pPr>
        <w:tabs>
          <w:tab w:val="left" w:pos="0"/>
        </w:tabs>
        <w:spacing w:line="360" w:lineRule="auto"/>
        <w:ind w:firstLine="480" w:firstLineChars="200"/>
        <w:rPr>
          <w:rFonts w:hint="default" w:ascii="仿宋_GB2312" w:hAnsi="Times New Roman" w:eastAsia="仿宋_GB2312" w:cs="Helvetica"/>
          <w:color w:val="auto"/>
          <w:kern w:val="0"/>
          <w:sz w:val="24"/>
          <w:highlight w:val="none"/>
          <w:lang w:val="en-US" w:eastAsia="zh-CN"/>
        </w:rPr>
      </w:pPr>
      <w:r>
        <w:rPr>
          <w:rFonts w:hint="default" w:ascii="仿宋_GB2312" w:hAnsi="Times New Roman" w:eastAsia="仿宋_GB2312" w:cs="Helvetica"/>
          <w:color w:val="auto"/>
          <w:kern w:val="0"/>
          <w:sz w:val="24"/>
          <w:highlight w:val="none"/>
          <w:lang w:val="en-US" w:eastAsia="zh-CN"/>
        </w:rPr>
        <w:t>★</w:t>
      </w:r>
      <w:r>
        <w:rPr>
          <w:rFonts w:hint="eastAsia" w:ascii="仿宋_GB2312" w:hAnsi="Times New Roman" w:eastAsia="仿宋_GB2312" w:cs="Helvetica"/>
          <w:color w:val="auto"/>
          <w:kern w:val="0"/>
          <w:sz w:val="24"/>
          <w:highlight w:val="none"/>
          <w:lang w:val="en-US" w:eastAsia="zh-CN"/>
        </w:rPr>
        <w:t>14</w:t>
      </w:r>
      <w:r>
        <w:rPr>
          <w:rFonts w:hint="default" w:ascii="仿宋_GB2312" w:hAnsi="Times New Roman" w:eastAsia="仿宋_GB2312" w:cs="Helvetica"/>
          <w:color w:val="auto"/>
          <w:kern w:val="0"/>
          <w:sz w:val="24"/>
          <w:highlight w:val="none"/>
          <w:lang w:val="en-US" w:eastAsia="zh-CN"/>
        </w:rPr>
        <w:t>.11必须包含车辆（改装完成后包含所有设备的）的上牌和年检，</w:t>
      </w:r>
      <w:r>
        <w:rPr>
          <w:rFonts w:hint="eastAsia" w:ascii="仿宋_GB2312" w:hAnsi="Times New Roman" w:eastAsia="仿宋_GB2312" w:cs="Helvetica"/>
          <w:color w:val="auto"/>
          <w:kern w:val="0"/>
          <w:sz w:val="24"/>
          <w:highlight w:val="none"/>
          <w:lang w:val="en-US" w:eastAsia="zh-CN"/>
        </w:rPr>
        <w:t>整体项目试运行结束后需完成上牌工作，</w:t>
      </w:r>
      <w:r>
        <w:rPr>
          <w:rFonts w:hint="default" w:ascii="仿宋_GB2312" w:hAnsi="Times New Roman" w:eastAsia="仿宋_GB2312" w:cs="Helvetica"/>
          <w:color w:val="auto"/>
          <w:kern w:val="0"/>
          <w:sz w:val="24"/>
          <w:highlight w:val="none"/>
          <w:lang w:val="en-US" w:eastAsia="zh-CN"/>
        </w:rPr>
        <w:t>必须满足正常的使用要求。（须提供相关内容的承诺书加盖公章）</w:t>
      </w:r>
      <w:r>
        <w:rPr>
          <w:rFonts w:hint="eastAsia" w:ascii="仿宋_GB2312" w:hAnsi="Times New Roman" w:eastAsia="仿宋_GB2312" w:cs="Helvetica"/>
          <w:color w:val="auto"/>
          <w:kern w:val="0"/>
          <w:sz w:val="24"/>
          <w:highlight w:val="none"/>
          <w:lang w:val="en-US" w:eastAsia="zh-CN"/>
        </w:rPr>
        <w:t>。</w:t>
      </w:r>
    </w:p>
    <w:p w14:paraId="703FC0B0">
      <w:pPr>
        <w:tabs>
          <w:tab w:val="left" w:pos="0"/>
        </w:tabs>
        <w:spacing w:line="360" w:lineRule="auto"/>
        <w:ind w:firstLine="482" w:firstLineChars="200"/>
        <w:rPr>
          <w:rFonts w:hint="eastAsia" w:ascii="仿宋_GB2312" w:eastAsia="仿宋_GB2312" w:cs="Helvetica"/>
          <w:b/>
          <w:bCs/>
          <w:color w:val="auto"/>
          <w:kern w:val="0"/>
          <w:sz w:val="24"/>
          <w:highlight w:val="none"/>
        </w:rPr>
      </w:pPr>
      <w:r>
        <w:rPr>
          <w:rFonts w:hint="eastAsia" w:ascii="仿宋_GB2312" w:eastAsia="仿宋_GB2312" w:cs="Helvetica"/>
          <w:b/>
          <w:bCs/>
          <w:color w:val="auto"/>
          <w:kern w:val="0"/>
          <w:sz w:val="24"/>
          <w:highlight w:val="none"/>
        </w:rPr>
        <w:t>四、项目实施要求</w:t>
      </w:r>
    </w:p>
    <w:p w14:paraId="30C126BE">
      <w:pPr>
        <w:tabs>
          <w:tab w:val="left" w:pos="0"/>
        </w:tabs>
        <w:spacing w:line="360" w:lineRule="auto"/>
        <w:ind w:firstLine="482" w:firstLineChars="200"/>
        <w:rPr>
          <w:rFonts w:hint="eastAsia" w:ascii="仿宋_GB2312" w:eastAsia="仿宋_GB2312" w:cs="Helvetica"/>
          <w:b/>
          <w:bCs/>
          <w:color w:val="auto"/>
          <w:kern w:val="0"/>
          <w:sz w:val="24"/>
          <w:highlight w:val="none"/>
          <w:lang w:val="zh-CN"/>
        </w:rPr>
      </w:pPr>
      <w:r>
        <w:rPr>
          <w:rFonts w:hint="eastAsia" w:ascii="仿宋_GB2312" w:eastAsia="仿宋_GB2312" w:cs="Helvetica"/>
          <w:b/>
          <w:bCs/>
          <w:color w:val="auto"/>
          <w:kern w:val="0"/>
          <w:sz w:val="24"/>
          <w:highlight w:val="none"/>
          <w:lang w:val="zh-CN"/>
        </w:rPr>
        <w:t>1</w:t>
      </w:r>
      <w:r>
        <w:rPr>
          <w:rFonts w:hint="eastAsia" w:ascii="仿宋_GB2312" w:eastAsia="仿宋_GB2312" w:cs="Helvetica"/>
          <w:b/>
          <w:bCs/>
          <w:color w:val="auto"/>
          <w:kern w:val="0"/>
          <w:sz w:val="24"/>
          <w:highlight w:val="none"/>
        </w:rPr>
        <w:t>.</w:t>
      </w:r>
      <w:r>
        <w:rPr>
          <w:rFonts w:hint="eastAsia" w:ascii="仿宋_GB2312" w:eastAsia="仿宋_GB2312" w:cs="Helvetica"/>
          <w:b/>
          <w:bCs/>
          <w:color w:val="auto"/>
          <w:kern w:val="0"/>
          <w:sz w:val="24"/>
          <w:highlight w:val="none"/>
          <w:lang w:val="zh-CN"/>
        </w:rPr>
        <w:t>质量保证要求</w:t>
      </w:r>
    </w:p>
    <w:p w14:paraId="289EC388">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1）中标方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方负责。</w:t>
      </w:r>
    </w:p>
    <w:p w14:paraId="2F0016C5">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（2）中标方所提供的货物应保证是全新的和未使用过的原厂合格正品。</w:t>
      </w:r>
    </w:p>
    <w:p w14:paraId="35988975">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（3）产品（材料）及其辅助装置铭牌、使用指示、警告指示应以中文来表示；应准确无误地标明货物之型号、规格、制造厂及生产或出厂日期。</w:t>
      </w:r>
    </w:p>
    <w:p w14:paraId="49EB9C67">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（4）中标方和制造商对成交材料使用的安全性能与可靠性负全部责任。</w:t>
      </w:r>
    </w:p>
    <w:p w14:paraId="33866EDC">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（5）中标方按照进度表施工并及时书面报告采购人。</w:t>
      </w:r>
    </w:p>
    <w:p w14:paraId="33287A91">
      <w:pPr>
        <w:tabs>
          <w:tab w:val="left" w:pos="0"/>
        </w:tabs>
        <w:spacing w:line="360" w:lineRule="auto"/>
        <w:ind w:firstLine="482" w:firstLineChars="200"/>
        <w:rPr>
          <w:rFonts w:hint="eastAsia" w:ascii="仿宋_GB2312" w:eastAsia="仿宋_GB2312" w:cs="Helvetica"/>
          <w:b/>
          <w:bCs/>
          <w:color w:val="auto"/>
          <w:kern w:val="0"/>
          <w:sz w:val="24"/>
          <w:highlight w:val="none"/>
          <w:lang w:val="zh-CN"/>
        </w:rPr>
      </w:pPr>
      <w:r>
        <w:rPr>
          <w:rFonts w:hint="eastAsia" w:ascii="仿宋_GB2312" w:eastAsia="仿宋_GB2312" w:cs="Helvetica"/>
          <w:b/>
          <w:bCs/>
          <w:color w:val="auto"/>
          <w:kern w:val="0"/>
          <w:sz w:val="24"/>
          <w:highlight w:val="none"/>
          <w:lang w:val="zh-CN"/>
        </w:rPr>
        <w:t>2</w:t>
      </w:r>
      <w:r>
        <w:rPr>
          <w:rFonts w:hint="eastAsia" w:ascii="仿宋_GB2312" w:eastAsia="仿宋_GB2312" w:cs="Helvetica"/>
          <w:b/>
          <w:bCs/>
          <w:color w:val="auto"/>
          <w:kern w:val="0"/>
          <w:sz w:val="24"/>
          <w:highlight w:val="none"/>
        </w:rPr>
        <w:t>.</w:t>
      </w:r>
      <w:r>
        <w:rPr>
          <w:rFonts w:hint="eastAsia" w:ascii="仿宋_GB2312" w:eastAsia="仿宋_GB2312" w:cs="Helvetica"/>
          <w:b/>
          <w:bCs/>
          <w:color w:val="auto"/>
          <w:kern w:val="0"/>
          <w:sz w:val="24"/>
          <w:highlight w:val="none"/>
          <w:lang w:val="zh-CN"/>
        </w:rPr>
        <w:t>数据接入和信息化要求</w:t>
      </w:r>
    </w:p>
    <w:p w14:paraId="6F393D11">
      <w:pPr>
        <w:tabs>
          <w:tab w:val="left" w:pos="0"/>
        </w:tabs>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（1）数据接入</w:t>
      </w:r>
    </w:p>
    <w:p w14:paraId="54419DA4">
      <w:pPr>
        <w:adjustRightInd/>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按照应归集尽归集的原则，根据数据类型和用途做好归纳、清洗、结构化、压缩等数据生产工作，因需提供矢量数据、通用组件、标准化服务或配合接口开发等工作，负责做好数据</w:t>
      </w:r>
      <w:r>
        <w:rPr>
          <w:rFonts w:ascii="仿宋_GB2312" w:eastAsia="仿宋_GB2312" w:cs="Helvetica"/>
          <w:color w:val="auto"/>
          <w:kern w:val="0"/>
          <w:sz w:val="24"/>
          <w:highlight w:val="none"/>
        </w:rPr>
        <w:t>、视频</w:t>
      </w:r>
      <w:r>
        <w:rPr>
          <w:rFonts w:hint="eastAsia" w:ascii="仿宋_GB2312" w:eastAsia="仿宋_GB2312" w:cs="Helvetica"/>
          <w:color w:val="auto"/>
          <w:kern w:val="0"/>
          <w:sz w:val="24"/>
          <w:highlight w:val="none"/>
        </w:rPr>
        <w:t>推送，配合做好数据入库，确保成果应用效益最大化。</w:t>
      </w:r>
    </w:p>
    <w:p w14:paraId="060D792C">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（2）场景应用</w:t>
      </w:r>
    </w:p>
    <w:p w14:paraId="25A33FE6">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a.走航监测分析一图指挥：</w:t>
      </w:r>
    </w:p>
    <w:p w14:paraId="1137CF9D">
      <w:pPr>
        <w:adjustRightInd/>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除满足数据实时归集融入采购人指定平台外，实现走航监测数据和分析数据上图；并配合每日管控调度、中轻度污染期应急管控调度、重点区域环境巡查调度等指挥调度场景</w:t>
      </w:r>
      <w:r>
        <w:rPr>
          <w:rFonts w:ascii="仿宋_GB2312" w:eastAsia="仿宋_GB2312" w:cs="Helvetica"/>
          <w:color w:val="auto"/>
          <w:kern w:val="0"/>
          <w:sz w:val="24"/>
          <w:highlight w:val="none"/>
        </w:rPr>
        <w:t>的开发</w:t>
      </w:r>
      <w:r>
        <w:rPr>
          <w:rFonts w:hint="eastAsia" w:ascii="仿宋_GB2312" w:eastAsia="仿宋_GB2312" w:cs="Helvetica"/>
          <w:color w:val="auto"/>
          <w:kern w:val="0"/>
          <w:sz w:val="24"/>
          <w:highlight w:val="none"/>
        </w:rPr>
        <w:t>，包括但不限于接受采购人指定平台</w:t>
      </w:r>
      <w:r>
        <w:rPr>
          <w:rFonts w:ascii="仿宋_GB2312" w:eastAsia="仿宋_GB2312" w:cs="Helvetica"/>
          <w:color w:val="auto"/>
          <w:kern w:val="0"/>
          <w:sz w:val="24"/>
          <w:highlight w:val="none"/>
        </w:rPr>
        <w:t>的指令，</w:t>
      </w:r>
      <w:r>
        <w:rPr>
          <w:rFonts w:hint="eastAsia" w:ascii="仿宋_GB2312" w:eastAsia="仿宋_GB2312" w:cs="Helvetica"/>
          <w:color w:val="auto"/>
          <w:kern w:val="0"/>
          <w:sz w:val="24"/>
          <w:highlight w:val="none"/>
        </w:rPr>
        <w:t>实时反馈巡查路线和监测结果，自主判断巡查高值，绘制巡查浓度图，并将巡查结果制作分析报告上传至采购人指定平台。</w:t>
      </w:r>
    </w:p>
    <w:p w14:paraId="7DF5DD54">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b.</w:t>
      </w:r>
      <w:r>
        <w:rPr>
          <w:rFonts w:ascii="仿宋_GB2312" w:eastAsia="仿宋_GB2312" w:cs="Helvetica"/>
          <w:color w:val="auto"/>
          <w:kern w:val="0"/>
          <w:sz w:val="24"/>
          <w:highlight w:val="none"/>
        </w:rPr>
        <w:t xml:space="preserve"> 辅助</w:t>
      </w:r>
      <w:r>
        <w:rPr>
          <w:rFonts w:hint="eastAsia" w:ascii="仿宋_GB2312" w:eastAsia="仿宋_GB2312" w:cs="Helvetica"/>
          <w:color w:val="auto"/>
          <w:kern w:val="0"/>
          <w:sz w:val="24"/>
          <w:highlight w:val="none"/>
        </w:rPr>
        <w:t>溯源分析</w:t>
      </w:r>
    </w:p>
    <w:p w14:paraId="62866BDA">
      <w:pPr>
        <w:adjustRightInd/>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结合采购人指定平台污染源排放特征数据，污染源、空气站点实时监测数据，历史数据，利用走航实时数据，利用大气扩散模型</w:t>
      </w:r>
      <w:r>
        <w:rPr>
          <w:rFonts w:ascii="仿宋_GB2312" w:eastAsia="仿宋_GB2312" w:cs="Helvetica"/>
          <w:color w:val="auto"/>
          <w:kern w:val="0"/>
          <w:sz w:val="24"/>
          <w:highlight w:val="none"/>
        </w:rPr>
        <w:t>等</w:t>
      </w:r>
      <w:r>
        <w:rPr>
          <w:rFonts w:hint="eastAsia" w:ascii="仿宋_GB2312" w:eastAsia="仿宋_GB2312" w:cs="Helvetica"/>
          <w:color w:val="auto"/>
          <w:kern w:val="0"/>
          <w:sz w:val="24"/>
          <w:highlight w:val="none"/>
        </w:rPr>
        <w:t>进行</w:t>
      </w:r>
      <w:r>
        <w:rPr>
          <w:rFonts w:ascii="仿宋_GB2312" w:eastAsia="仿宋_GB2312" w:cs="Helvetica"/>
          <w:color w:val="auto"/>
          <w:kern w:val="0"/>
          <w:sz w:val="24"/>
          <w:highlight w:val="none"/>
        </w:rPr>
        <w:t>辅助</w:t>
      </w:r>
      <w:r>
        <w:rPr>
          <w:rFonts w:hint="eastAsia" w:ascii="仿宋_GB2312" w:eastAsia="仿宋_GB2312" w:cs="Helvetica"/>
          <w:color w:val="auto"/>
          <w:kern w:val="0"/>
          <w:sz w:val="24"/>
          <w:highlight w:val="none"/>
        </w:rPr>
        <w:t>溯源分析。</w:t>
      </w:r>
    </w:p>
    <w:p w14:paraId="57F016BE">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c.</w:t>
      </w:r>
      <w:r>
        <w:rPr>
          <w:rFonts w:ascii="仿宋_GB2312" w:eastAsia="仿宋_GB2312" w:cs="Helvetica"/>
          <w:color w:val="auto"/>
          <w:kern w:val="0"/>
          <w:sz w:val="24"/>
          <w:highlight w:val="none"/>
        </w:rPr>
        <w:t xml:space="preserve"> 辅助</w:t>
      </w:r>
      <w:r>
        <w:rPr>
          <w:rFonts w:hint="eastAsia" w:ascii="仿宋_GB2312" w:eastAsia="仿宋_GB2312" w:cs="Helvetica"/>
          <w:color w:val="auto"/>
          <w:kern w:val="0"/>
          <w:sz w:val="24"/>
          <w:highlight w:val="none"/>
        </w:rPr>
        <w:t>复盘分析</w:t>
      </w:r>
    </w:p>
    <w:p w14:paraId="58ECB68E">
      <w:pPr>
        <w:adjustRightInd/>
        <w:spacing w:line="360" w:lineRule="auto"/>
        <w:ind w:firstLine="480" w:firstLineChars="200"/>
        <w:rPr>
          <w:rFonts w:ascii="仿宋_GB2312" w:eastAsia="仿宋_GB2312" w:cs="Helvetica"/>
          <w:b/>
          <w:bCs/>
          <w:color w:val="auto"/>
          <w:kern w:val="0"/>
          <w:sz w:val="24"/>
          <w:highlight w:val="none"/>
          <w:u w:val="single"/>
        </w:rPr>
      </w:pPr>
      <w:r>
        <w:rPr>
          <w:rFonts w:hint="eastAsia" w:ascii="仿宋_GB2312" w:eastAsia="仿宋_GB2312" w:cs="Helvetica"/>
          <w:color w:val="auto"/>
          <w:kern w:val="0"/>
          <w:sz w:val="24"/>
          <w:highlight w:val="none"/>
        </w:rPr>
        <w:t>对污染治理的重点区域、敏感区域开展走航监测，结合采购人指定平台的污染源处理全流程反馈数据，</w:t>
      </w:r>
      <w:r>
        <w:rPr>
          <w:rFonts w:ascii="仿宋_GB2312" w:eastAsia="仿宋_GB2312" w:cs="Helvetica"/>
          <w:color w:val="auto"/>
          <w:kern w:val="0"/>
          <w:sz w:val="24"/>
          <w:highlight w:val="none"/>
        </w:rPr>
        <w:t>辅助开展</w:t>
      </w:r>
      <w:r>
        <w:rPr>
          <w:rFonts w:hint="eastAsia" w:ascii="仿宋_GB2312" w:eastAsia="仿宋_GB2312" w:cs="Helvetica"/>
          <w:color w:val="auto"/>
          <w:kern w:val="0"/>
          <w:sz w:val="24"/>
          <w:highlight w:val="none"/>
        </w:rPr>
        <w:t>治理措施效果评估</w:t>
      </w:r>
      <w:r>
        <w:rPr>
          <w:rFonts w:ascii="仿宋_GB2312" w:eastAsia="仿宋_GB2312" w:cs="Helvetica"/>
          <w:color w:val="auto"/>
          <w:kern w:val="0"/>
          <w:sz w:val="24"/>
          <w:highlight w:val="none"/>
        </w:rPr>
        <w:t>、</w:t>
      </w:r>
      <w:r>
        <w:rPr>
          <w:rFonts w:hint="eastAsia" w:ascii="仿宋_GB2312" w:eastAsia="仿宋_GB2312" w:cs="Helvetica"/>
          <w:color w:val="auto"/>
          <w:kern w:val="0"/>
          <w:sz w:val="24"/>
          <w:highlight w:val="none"/>
        </w:rPr>
        <w:t>治理效果复盘</w:t>
      </w:r>
      <w:r>
        <w:rPr>
          <w:rFonts w:ascii="仿宋_GB2312" w:eastAsia="仿宋_GB2312" w:cs="Helvetica"/>
          <w:color w:val="auto"/>
          <w:kern w:val="0"/>
          <w:sz w:val="24"/>
          <w:highlight w:val="none"/>
        </w:rPr>
        <w:t>、</w:t>
      </w:r>
      <w:r>
        <w:rPr>
          <w:rFonts w:hint="eastAsia" w:ascii="仿宋_GB2312" w:eastAsia="仿宋_GB2312" w:cs="Helvetica"/>
          <w:color w:val="auto"/>
          <w:kern w:val="0"/>
          <w:sz w:val="24"/>
          <w:highlight w:val="none"/>
        </w:rPr>
        <w:t>分析</w:t>
      </w:r>
      <w:r>
        <w:rPr>
          <w:rFonts w:ascii="仿宋_GB2312" w:eastAsia="仿宋_GB2312" w:cs="Helvetica"/>
          <w:color w:val="auto"/>
          <w:kern w:val="0"/>
          <w:sz w:val="24"/>
          <w:highlight w:val="none"/>
        </w:rPr>
        <w:t>VOCs成分贡献</w:t>
      </w:r>
      <w:r>
        <w:rPr>
          <w:rFonts w:hint="eastAsia" w:ascii="仿宋_GB2312" w:eastAsia="仿宋_GB2312" w:cs="Helvetica"/>
          <w:color w:val="auto"/>
          <w:kern w:val="0"/>
          <w:sz w:val="24"/>
          <w:highlight w:val="none"/>
        </w:rPr>
        <w:t>比例，</w:t>
      </w:r>
      <w:r>
        <w:rPr>
          <w:rFonts w:ascii="仿宋_GB2312" w:eastAsia="仿宋_GB2312" w:cs="Helvetica"/>
          <w:color w:val="auto"/>
          <w:kern w:val="0"/>
          <w:sz w:val="24"/>
          <w:highlight w:val="none"/>
        </w:rPr>
        <w:t>支撑</w:t>
      </w:r>
      <w:r>
        <w:rPr>
          <w:rFonts w:hint="eastAsia" w:ascii="仿宋_GB2312" w:eastAsia="仿宋_GB2312" w:cs="Helvetica"/>
          <w:color w:val="auto"/>
          <w:kern w:val="0"/>
          <w:sz w:val="24"/>
          <w:highlight w:val="none"/>
        </w:rPr>
        <w:t>污染精准溯源。</w:t>
      </w:r>
    </w:p>
    <w:p w14:paraId="44183AD1">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（3）其他</w:t>
      </w:r>
    </w:p>
    <w:p w14:paraId="7C8C4641">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中标方在服务期间发生网络安全重大问题的，应即时向采购人口头报告，随后进行书面报告。</w:t>
      </w:r>
    </w:p>
    <w:p w14:paraId="0F601917">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中标方不能在境外使用、处理和存储该项目所包含的数据。</w:t>
      </w:r>
    </w:p>
    <w:p w14:paraId="2D59685B">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中标方的项目人员应与采购人签署年度网络安全、保密等协议。中标方项目相关人员离职或调离，应该完成工作交接并留有记录，确保相关人员知晓网络安全管理规定和岗位网络安全责任。</w:t>
      </w:r>
    </w:p>
    <w:p w14:paraId="10A9D129">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中标方应按照采购人的要求通过安全的方式按照指定的要求传输相关数据到采购人指定的平台，相关数据包括但是不限于以下数据：各类监测原始数据、审核反演后数据以及各类图表等。运维期内，中标方承担网络通讯费用，未经采购人书面批准不得私自接入其他网络联通本项目网络。</w:t>
      </w:r>
    </w:p>
    <w:p w14:paraId="1327EF06">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中标方应确保监测设备、数采平台、传输线路、监测数据等各个方面的网络信息安全。</w:t>
      </w:r>
    </w:p>
    <w:p w14:paraId="17F56DB1">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做好设备工控机服务器等终端设备的杀毒工作，确保病毒特征库不超期1个月（如果上级有规定可以不装的，以行业规定为准）。</w:t>
      </w:r>
    </w:p>
    <w:p w14:paraId="677AE042">
      <w:pPr>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中标方须保证所提供产品（包括但不限于产品运行所需的操作系统、数据库软件、办公软件、杀毒软件、工业软件）具有合法的版权或授权。中标方所提供的产品，如在本项目范围内使用过程中出现版权或使用权纠纷，应由中标方负责，采购人不承担责任。</w:t>
      </w:r>
    </w:p>
    <w:p w14:paraId="07BF423A">
      <w:pPr>
        <w:tabs>
          <w:tab w:val="left" w:pos="0"/>
        </w:tabs>
        <w:spacing w:line="360" w:lineRule="auto"/>
        <w:ind w:firstLine="482" w:firstLineChars="200"/>
        <w:rPr>
          <w:rFonts w:hint="eastAsia" w:ascii="仿宋_GB2312" w:eastAsia="仿宋_GB2312" w:cs="Helvetica"/>
          <w:b/>
          <w:bCs/>
          <w:color w:val="auto"/>
          <w:kern w:val="0"/>
          <w:sz w:val="24"/>
          <w:highlight w:val="none"/>
          <w:lang w:val="zh-CN"/>
        </w:rPr>
      </w:pPr>
      <w:r>
        <w:rPr>
          <w:rFonts w:hint="eastAsia" w:ascii="仿宋_GB2312" w:eastAsia="仿宋_GB2312" w:cs="Helvetica"/>
          <w:b/>
          <w:bCs/>
          <w:color w:val="auto"/>
          <w:kern w:val="0"/>
          <w:sz w:val="24"/>
          <w:highlight w:val="none"/>
          <w:lang w:val="en-US" w:eastAsia="zh-CN"/>
        </w:rPr>
        <w:t>3</w:t>
      </w:r>
      <w:r>
        <w:rPr>
          <w:rFonts w:hint="eastAsia" w:ascii="仿宋_GB2312" w:eastAsia="仿宋_GB2312" w:cs="Helvetica"/>
          <w:b/>
          <w:bCs/>
          <w:color w:val="auto"/>
          <w:kern w:val="0"/>
          <w:sz w:val="24"/>
          <w:highlight w:val="none"/>
        </w:rPr>
        <w:t>.</w:t>
      </w:r>
      <w:r>
        <w:rPr>
          <w:rFonts w:hint="eastAsia" w:ascii="仿宋_GB2312" w:eastAsia="仿宋_GB2312" w:cs="Helvetica"/>
          <w:b/>
          <w:bCs/>
          <w:color w:val="auto"/>
          <w:kern w:val="0"/>
          <w:sz w:val="24"/>
          <w:highlight w:val="none"/>
          <w:lang w:val="zh-CN"/>
        </w:rPr>
        <w:t>保密要求及知识产权</w:t>
      </w:r>
    </w:p>
    <w:p w14:paraId="70A36CE8">
      <w:pPr>
        <w:tabs>
          <w:tab w:val="left" w:pos="0"/>
        </w:tabs>
        <w:spacing w:line="360" w:lineRule="auto"/>
        <w:ind w:firstLine="480" w:firstLineChars="200"/>
        <w:rPr>
          <w:rFonts w:hint="eastAsia" w:ascii="仿宋" w:eastAsia="仿宋"/>
          <w:b/>
          <w:bCs/>
          <w:color w:val="auto"/>
          <w:kern w:val="0"/>
          <w:sz w:val="24"/>
          <w:highlight w:val="none"/>
        </w:rPr>
      </w:pPr>
      <w:r>
        <w:rPr>
          <w:rFonts w:hint="eastAsia" w:ascii="仿宋_GB2312" w:eastAsia="仿宋_GB2312" w:cs="Helvetica"/>
          <w:color w:val="auto"/>
          <w:kern w:val="0"/>
          <w:sz w:val="24"/>
          <w:highlight w:val="none"/>
        </w:rPr>
        <w:t>本项目执行过程中所产生的数据资料和技术报告均为采购人所有，中标方未经同意不得擅自使用，由此产生的一切后果由中标方承担。中标方需和采购人签订相应的保密协议。中标方对在服务过程中接触到的采购人的任何资料、文件、数据以及对服务形成的任何交付物负有保密责任，未经采购人书面同意，中标方不得以任何形式进行利用，不得以任何方式向任何第三方提供或透露。中标方如违反上述保密规定，应承担相应违约责任。本保密义务不因本项目合同期满、解除或终止而终止，除非采购人书面通知中标方解密，否则，中标方在合同终止后仍然负有保密义务。</w:t>
      </w:r>
    </w:p>
    <w:p w14:paraId="1B7F189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highlight w:val="none"/>
          <w:vertAlign w:val="baseline"/>
          <w:lang w:val="en-US" w:eastAsia="zh-CN"/>
        </w:rPr>
      </w:pPr>
      <w:bookmarkStart w:id="50" w:name="_Toc10858"/>
      <w:r>
        <w:rPr>
          <w:rFonts w:hint="eastAsia" w:ascii="仿宋" w:eastAsia="仿宋"/>
          <w:b/>
          <w:bCs/>
          <w:caps w:val="0"/>
          <w:smallCaps w:val="0"/>
          <w:vanish w:val="0"/>
          <w:color w:val="auto"/>
          <w:sz w:val="24"/>
          <w:szCs w:val="24"/>
          <w:highlight w:val="none"/>
          <w:vertAlign w:val="baseline"/>
          <w:lang w:val="en-US" w:eastAsia="zh-CN"/>
        </w:rPr>
        <w:t>提示：柴油动力源低排放要求</w:t>
      </w:r>
    </w:p>
    <w:p w14:paraId="16D8D53D">
      <w:pPr>
        <w:widowControl/>
        <w:snapToGrid w:val="0"/>
        <w:spacing w:line="480" w:lineRule="exact"/>
        <w:ind w:firstLine="480" w:firstLineChars="200"/>
        <w:rPr>
          <w:rFonts w:ascii="仿宋" w:eastAsia="仿宋"/>
          <w:b/>
          <w:bCs/>
          <w:color w:val="auto"/>
          <w:sz w:val="24"/>
          <w:highlight w:val="none"/>
        </w:rPr>
      </w:pPr>
      <w:r>
        <w:rPr>
          <w:rFonts w:hint="eastAsia" w:ascii="仿宋" w:eastAsia="仿宋"/>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highlight w:val="none"/>
          <w:vertAlign w:val="baseline"/>
          <w:lang w:eastAsia="zh-CN"/>
        </w:rPr>
        <w:t>需要求</w:t>
      </w:r>
      <w:r>
        <w:rPr>
          <w:rFonts w:hint="eastAsia" w:ascii="仿宋" w:eastAsia="仿宋"/>
          <w:caps w:val="0"/>
          <w:smallCaps w:val="0"/>
          <w:vanish w:val="0"/>
          <w:color w:val="auto"/>
          <w:sz w:val="24"/>
          <w:szCs w:val="24"/>
          <w:highlight w:val="none"/>
          <w:vertAlign w:val="baseline"/>
        </w:rPr>
        <w:t>该动力源（发动机、发电机等）应当符合国家低排放要求并已向生态环境部门申领绿色编码。</w:t>
      </w:r>
    </w:p>
    <w:p w14:paraId="780FCC3D">
      <w:pPr>
        <w:pStyle w:val="4"/>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50"/>
    </w:p>
    <w:p w14:paraId="52B45401">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★2.1供货期</w:t>
      </w:r>
    </w:p>
    <w:p w14:paraId="2866DD88">
      <w:pPr>
        <w:widowControl/>
        <w:snapToGrid w:val="0"/>
        <w:spacing w:line="480" w:lineRule="exact"/>
        <w:ind w:firstLine="0"/>
        <w:rPr>
          <w:rFonts w:hint="eastAsia" w:ascii="仿宋_GB2312" w:eastAsia="仿宋_GB2312" w:cs="Helvetica"/>
          <w:color w:val="auto"/>
          <w:kern w:val="0"/>
          <w:sz w:val="24"/>
          <w:highlight w:val="none"/>
        </w:rPr>
      </w:pPr>
      <w:r>
        <w:rPr>
          <w:rFonts w:ascii="仿宋_GB2312" w:eastAsia="仿宋_GB2312" w:cs="Helvetica"/>
          <w:color w:val="auto"/>
          <w:kern w:val="0"/>
          <w:sz w:val="24"/>
          <w:highlight w:val="none"/>
        </w:rPr>
        <w:t>合同签订后2个月内</w:t>
      </w:r>
      <w:r>
        <w:rPr>
          <w:rFonts w:hint="eastAsia" w:ascii="仿宋_GB2312" w:eastAsia="仿宋_GB2312" w:cs="Helvetica"/>
          <w:color w:val="auto"/>
          <w:kern w:val="0"/>
          <w:sz w:val="24"/>
          <w:highlight w:val="none"/>
        </w:rPr>
        <w:t>按采购</w:t>
      </w:r>
      <w:r>
        <w:rPr>
          <w:rFonts w:hint="eastAsia" w:ascii="仿宋_GB2312" w:hAnsi="Times New Roman" w:eastAsia="仿宋_GB2312" w:cs="Helvetica"/>
          <w:color w:val="auto"/>
          <w:kern w:val="0"/>
          <w:sz w:val="24"/>
          <w:highlight w:val="none"/>
        </w:rPr>
        <w:t>人要求完成设备供货、走航车的车辆改装及调试</w:t>
      </w:r>
      <w:r>
        <w:rPr>
          <w:rFonts w:hint="eastAsia" w:ascii="仿宋_GB2312" w:hAnsi="Times New Roman" w:eastAsia="仿宋_GB2312" w:cs="Helvetica"/>
          <w:color w:val="auto"/>
          <w:kern w:val="0"/>
          <w:sz w:val="24"/>
          <w:highlight w:val="none"/>
          <w:lang w:eastAsia="zh-CN"/>
        </w:rPr>
        <w:t>，</w:t>
      </w:r>
      <w:r>
        <w:rPr>
          <w:rFonts w:hint="eastAsia" w:ascii="仿宋_GB2312" w:hAnsi="Times New Roman" w:eastAsia="仿宋_GB2312" w:cs="Helvetica"/>
          <w:color w:val="auto"/>
          <w:kern w:val="0"/>
          <w:sz w:val="24"/>
          <w:highlight w:val="none"/>
          <w:lang w:val="en-US" w:eastAsia="zh-CN"/>
        </w:rPr>
        <w:t>5个月内完成车辆的上牌工作</w:t>
      </w:r>
      <w:r>
        <w:rPr>
          <w:rFonts w:hint="eastAsia" w:ascii="仿宋_GB2312" w:hAnsi="Times New Roman" w:eastAsia="仿宋_GB2312" w:cs="Helvetica"/>
          <w:color w:val="auto"/>
          <w:kern w:val="0"/>
          <w:sz w:val="24"/>
          <w:highlight w:val="none"/>
          <w:lang w:eastAsia="zh-CN"/>
        </w:rPr>
        <w:t>（</w:t>
      </w:r>
      <w:r>
        <w:rPr>
          <w:rFonts w:hint="eastAsia" w:ascii="仿宋_GB2312" w:hAnsi="Times New Roman" w:eastAsia="仿宋_GB2312" w:cs="Helvetica"/>
          <w:color w:val="auto"/>
          <w:kern w:val="0"/>
          <w:sz w:val="24"/>
          <w:highlight w:val="none"/>
          <w:lang w:val="en-US" w:eastAsia="zh-CN"/>
        </w:rPr>
        <w:t>合同签订后，在本项目具备走航能力前，中标方需提供可满足采购人需求的同类型设备</w:t>
      </w:r>
      <w:r>
        <w:rPr>
          <w:rFonts w:hint="eastAsia" w:ascii="仿宋_GB2312" w:eastAsia="仿宋_GB2312" w:cs="Helvetica"/>
          <w:color w:val="auto"/>
          <w:kern w:val="0"/>
          <w:sz w:val="24"/>
          <w:highlight w:val="none"/>
          <w:lang w:val="en-US" w:eastAsia="zh-CN"/>
        </w:rPr>
        <w:t>并</w:t>
      </w:r>
      <w:r>
        <w:rPr>
          <w:rFonts w:hint="eastAsia" w:ascii="仿宋_GB2312" w:hAnsi="Times New Roman" w:eastAsia="仿宋_GB2312" w:cs="Helvetica"/>
          <w:color w:val="auto"/>
          <w:kern w:val="0"/>
          <w:sz w:val="24"/>
          <w:highlight w:val="none"/>
          <w:lang w:val="en-US" w:eastAsia="zh-CN"/>
        </w:rPr>
        <w:t>提供走航服务</w:t>
      </w:r>
      <w:r>
        <w:rPr>
          <w:rFonts w:hint="eastAsia" w:ascii="仿宋_GB2312" w:eastAsia="仿宋_GB2312" w:cs="Helvetica"/>
          <w:color w:val="auto"/>
          <w:kern w:val="0"/>
          <w:sz w:val="24"/>
          <w:highlight w:val="none"/>
          <w:lang w:val="en-US" w:eastAsia="zh-CN"/>
        </w:rPr>
        <w:t>，</w:t>
      </w:r>
      <w:r>
        <w:rPr>
          <w:rFonts w:hint="eastAsia" w:ascii="仿宋_GB2312" w:hAnsi="Times New Roman" w:eastAsia="仿宋_GB2312" w:cs="Helvetica"/>
          <w:color w:val="auto"/>
          <w:kern w:val="0"/>
          <w:sz w:val="24"/>
          <w:highlight w:val="none"/>
          <w:lang w:val="en-US" w:eastAsia="zh-CN"/>
        </w:rPr>
        <w:t>相关费用不再另行支付</w:t>
      </w:r>
      <w:r>
        <w:rPr>
          <w:rFonts w:hint="eastAsia" w:ascii="仿宋_GB2312" w:hAnsi="Times New Roman" w:eastAsia="仿宋_GB2312" w:cs="Helvetica"/>
          <w:color w:val="auto"/>
          <w:kern w:val="0"/>
          <w:sz w:val="24"/>
          <w:highlight w:val="none"/>
          <w:lang w:eastAsia="zh-CN"/>
        </w:rPr>
        <w:t>）</w:t>
      </w:r>
      <w:r>
        <w:rPr>
          <w:rFonts w:hint="eastAsia" w:ascii="仿宋_GB2312" w:hAnsi="Times New Roman" w:eastAsia="仿宋_GB2312" w:cs="Helvetica"/>
          <w:color w:val="auto"/>
          <w:kern w:val="0"/>
          <w:sz w:val="24"/>
          <w:highlight w:val="none"/>
        </w:rPr>
        <w:t>。正常运行</w:t>
      </w:r>
      <w:r>
        <w:rPr>
          <w:rFonts w:ascii="仿宋_GB2312" w:eastAsia="仿宋_GB2312" w:cs="Helvetica"/>
          <w:color w:val="auto"/>
          <w:kern w:val="0"/>
          <w:sz w:val="24"/>
          <w:highlight w:val="none"/>
        </w:rPr>
        <w:t>5</w:t>
      </w:r>
      <w:r>
        <w:rPr>
          <w:rFonts w:hint="eastAsia" w:ascii="仿宋_GB2312" w:eastAsia="仿宋_GB2312" w:cs="Helvetica"/>
          <w:color w:val="auto"/>
          <w:kern w:val="0"/>
          <w:sz w:val="24"/>
          <w:highlight w:val="none"/>
        </w:rPr>
        <w:t>个工作日后，由中标方提出初步验收申请，采购方应于</w:t>
      </w:r>
      <w:r>
        <w:rPr>
          <w:rFonts w:ascii="仿宋_GB2312" w:eastAsia="仿宋_GB2312" w:cs="Helvetica"/>
          <w:color w:val="auto"/>
          <w:kern w:val="0"/>
          <w:sz w:val="24"/>
          <w:highlight w:val="none"/>
        </w:rPr>
        <w:t>中标</w:t>
      </w:r>
      <w:r>
        <w:rPr>
          <w:rFonts w:hint="eastAsia" w:ascii="仿宋_GB2312" w:eastAsia="仿宋_GB2312" w:cs="Helvetica"/>
          <w:color w:val="auto"/>
          <w:kern w:val="0"/>
          <w:sz w:val="24"/>
          <w:highlight w:val="none"/>
        </w:rPr>
        <w:t>方提出验收申请后组织初步验收</w:t>
      </w:r>
      <w:r>
        <w:rPr>
          <w:rFonts w:ascii="仿宋_GB2312" w:eastAsia="仿宋_GB2312" w:cs="Helvetica"/>
          <w:color w:val="auto"/>
          <w:kern w:val="0"/>
          <w:sz w:val="24"/>
          <w:highlight w:val="none"/>
        </w:rPr>
        <w:t>。</w:t>
      </w:r>
      <w:r>
        <w:rPr>
          <w:rFonts w:hint="eastAsia" w:ascii="仿宋_GB2312" w:eastAsia="仿宋_GB2312" w:cs="Helvetica"/>
          <w:color w:val="auto"/>
          <w:kern w:val="0"/>
          <w:sz w:val="24"/>
          <w:highlight w:val="none"/>
        </w:rPr>
        <w:t>成功试运行三个月后，</w:t>
      </w:r>
      <w:r>
        <w:rPr>
          <w:rFonts w:ascii="仿宋_GB2312" w:eastAsia="仿宋_GB2312" w:cs="Helvetica"/>
          <w:color w:val="auto"/>
          <w:kern w:val="0"/>
          <w:sz w:val="24"/>
          <w:highlight w:val="none"/>
        </w:rPr>
        <w:t>采购方</w:t>
      </w:r>
      <w:r>
        <w:rPr>
          <w:rFonts w:hint="eastAsia" w:ascii="仿宋_GB2312" w:eastAsia="仿宋_GB2312" w:cs="Helvetica"/>
          <w:color w:val="auto"/>
          <w:kern w:val="0"/>
          <w:sz w:val="24"/>
          <w:highlight w:val="none"/>
        </w:rPr>
        <w:t>进行二次验收。</w:t>
      </w:r>
    </w:p>
    <w:p w14:paraId="209F3B63">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2.2安装调试：</w:t>
      </w:r>
    </w:p>
    <w:p w14:paraId="2EDE80F3">
      <w:pPr>
        <w:widowControl/>
        <w:snapToGrid w:val="0"/>
        <w:spacing w:line="48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中标人负责设备的安装、调试，费用由中标人承担，请考虑到本次投标报价中。</w:t>
      </w:r>
    </w:p>
    <w:p w14:paraId="3A6928AC">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14:paraId="5E8AF079">
      <w:pPr>
        <w:widowControl/>
        <w:snapToGrid w:val="0"/>
        <w:spacing w:line="480" w:lineRule="exact"/>
        <w:ind w:firstLine="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本项目产品质保期2年，自项目二次验收合格次日起计算。</w:t>
      </w:r>
    </w:p>
    <w:p w14:paraId="7CDE1A9A">
      <w:pPr>
        <w:widowControl/>
        <w:snapToGrid w:val="0"/>
        <w:spacing w:line="480" w:lineRule="exact"/>
        <w:ind w:firstLine="0"/>
        <w:rPr>
          <w:rFonts w:hint="eastAsia" w:ascii="仿宋_GB2312" w:hAnsi="Times New Roman" w:eastAsia="仿宋_GB2312" w:cs="Helvetica"/>
          <w:color w:val="auto"/>
          <w:kern w:val="0"/>
          <w:sz w:val="24"/>
          <w:highlight w:val="none"/>
          <w:lang w:val="en-US" w:eastAsia="zh-CN"/>
        </w:rPr>
      </w:pPr>
      <w:r>
        <w:rPr>
          <w:rFonts w:hint="eastAsia" w:ascii="仿宋_GB2312" w:hAnsi="Times New Roman" w:eastAsia="仿宋_GB2312" w:cs="Helvetica"/>
          <w:color w:val="auto"/>
          <w:kern w:val="0"/>
          <w:sz w:val="24"/>
          <w:highlight w:val="none"/>
          <w:lang w:val="en-US" w:eastAsia="zh-CN"/>
        </w:rPr>
        <w:t>质保期内因产品本身缺陷（非人为因素）造成各种故障应由中标人免费技术服务、维修，以及故障部件的无偿更换（若中标人的质保期高于本要求的，按中标人承诺实行）。质保期后</w:t>
      </w:r>
      <w:r>
        <w:rPr>
          <w:rFonts w:hint="eastAsia" w:ascii="仿宋_GB2312" w:eastAsia="仿宋_GB2312" w:cs="Helvetica"/>
          <w:color w:val="auto"/>
          <w:kern w:val="0"/>
          <w:sz w:val="24"/>
          <w:highlight w:val="none"/>
          <w:lang w:val="en-US" w:eastAsia="zh-CN"/>
        </w:rPr>
        <w:t>根据采购人需求</w:t>
      </w:r>
      <w:r>
        <w:rPr>
          <w:rFonts w:hint="eastAsia" w:ascii="仿宋_GB2312" w:hAnsi="Times New Roman" w:eastAsia="仿宋_GB2312" w:cs="Helvetica"/>
          <w:color w:val="auto"/>
          <w:kern w:val="0"/>
          <w:sz w:val="24"/>
          <w:highlight w:val="none"/>
          <w:lang w:val="en-US" w:eastAsia="zh-CN"/>
        </w:rPr>
        <w:t>提供长期有偿优惠维修。</w:t>
      </w:r>
    </w:p>
    <w:p w14:paraId="4865BFF3">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2.4技术培训</w:t>
      </w:r>
    </w:p>
    <w:p w14:paraId="1068CB6B">
      <w:pPr>
        <w:widowControl/>
        <w:snapToGrid w:val="0"/>
        <w:spacing w:line="48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中标人需针对该项目提供相应技术培训服务(至少15天30人次)，包括系统的安装、调试、日常操作、管理维护、数据分析等，并确保达到预定的培训目标。 投标人根据采购人需求所制定的目标和范围，提出相应的培训方案，包括培训目标、流程、人员、方式、内容、预期成效等内容，并作为投标文件的一部分提交。培训费用包含在项目总价内。</w:t>
      </w:r>
    </w:p>
    <w:p w14:paraId="214D2A9B">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2.5付款方式</w:t>
      </w:r>
    </w:p>
    <w:p w14:paraId="12CADB0F">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在合同签订后</w:t>
      </w:r>
      <w:r>
        <w:rPr>
          <w:rFonts w:ascii="仿宋_GB2312" w:eastAsia="仿宋_GB2312" w:cs="Helvetica"/>
          <w:color w:val="auto"/>
          <w:kern w:val="0"/>
          <w:sz w:val="24"/>
          <w:highlight w:val="none"/>
        </w:rPr>
        <w:t>1</w:t>
      </w:r>
      <w:r>
        <w:rPr>
          <w:rFonts w:hint="eastAsia" w:ascii="仿宋_GB2312" w:eastAsia="仿宋_GB2312" w:cs="Helvetica"/>
          <w:color w:val="auto"/>
          <w:kern w:val="0"/>
          <w:sz w:val="24"/>
          <w:highlight w:val="none"/>
        </w:rPr>
        <w:t>5个工作日内支付给中标方合同价款总金额的</w:t>
      </w:r>
      <w:r>
        <w:rPr>
          <w:rFonts w:hint="eastAsia" w:ascii="仿宋_GB2312" w:eastAsia="仿宋_GB2312" w:cs="Helvetica"/>
          <w:color w:val="auto"/>
          <w:kern w:val="0"/>
          <w:sz w:val="24"/>
          <w:highlight w:val="none"/>
          <w:lang w:val="en-US" w:eastAsia="zh-CN"/>
        </w:rPr>
        <w:t>2</w:t>
      </w:r>
      <w:r>
        <w:rPr>
          <w:rFonts w:hint="eastAsia" w:ascii="仿宋_GB2312" w:eastAsia="仿宋_GB2312" w:cs="Helvetica"/>
          <w:color w:val="auto"/>
          <w:kern w:val="0"/>
          <w:sz w:val="24"/>
          <w:highlight w:val="none"/>
        </w:rPr>
        <w:t>0%作为预付款；完成设备供货、走航车的车辆改装及调试，正常运行</w:t>
      </w:r>
      <w:r>
        <w:rPr>
          <w:rFonts w:ascii="仿宋_GB2312" w:eastAsia="仿宋_GB2312" w:cs="Helvetica"/>
          <w:color w:val="auto"/>
          <w:kern w:val="0"/>
          <w:sz w:val="24"/>
          <w:highlight w:val="none"/>
        </w:rPr>
        <w:t>5</w:t>
      </w:r>
      <w:r>
        <w:rPr>
          <w:rFonts w:hint="eastAsia" w:ascii="仿宋_GB2312" w:eastAsia="仿宋_GB2312" w:cs="Helvetica"/>
          <w:color w:val="auto"/>
          <w:kern w:val="0"/>
          <w:sz w:val="24"/>
          <w:highlight w:val="none"/>
        </w:rPr>
        <w:t>个工作日后，进行初次验收，验收合格后</w:t>
      </w:r>
      <w:r>
        <w:rPr>
          <w:rFonts w:ascii="仿宋_GB2312" w:eastAsia="仿宋_GB2312" w:cs="Helvetica"/>
          <w:color w:val="auto"/>
          <w:kern w:val="0"/>
          <w:sz w:val="24"/>
          <w:highlight w:val="none"/>
        </w:rPr>
        <w:t>1</w:t>
      </w:r>
      <w:r>
        <w:rPr>
          <w:rFonts w:hint="eastAsia" w:ascii="仿宋_GB2312" w:eastAsia="仿宋_GB2312" w:cs="Helvetica"/>
          <w:color w:val="auto"/>
          <w:kern w:val="0"/>
          <w:sz w:val="24"/>
          <w:highlight w:val="none"/>
        </w:rPr>
        <w:t>5个工作日内支付合同价款总金额的</w:t>
      </w:r>
      <w:r>
        <w:rPr>
          <w:rFonts w:ascii="仿宋_GB2312" w:eastAsia="仿宋_GB2312" w:cs="Helvetica"/>
          <w:color w:val="auto"/>
          <w:kern w:val="0"/>
          <w:sz w:val="24"/>
          <w:highlight w:val="none"/>
        </w:rPr>
        <w:t>3</w:t>
      </w:r>
      <w:r>
        <w:rPr>
          <w:rFonts w:hint="eastAsia" w:ascii="仿宋_GB2312" w:eastAsia="仿宋_GB2312" w:cs="Helvetica"/>
          <w:color w:val="auto"/>
          <w:kern w:val="0"/>
          <w:sz w:val="24"/>
          <w:highlight w:val="none"/>
        </w:rPr>
        <w:t>0%</w:t>
      </w:r>
      <w:r>
        <w:rPr>
          <w:rFonts w:ascii="仿宋_GB2312" w:eastAsia="仿宋_GB2312" w:cs="Helvetica"/>
          <w:color w:val="auto"/>
          <w:kern w:val="0"/>
          <w:sz w:val="24"/>
          <w:highlight w:val="none"/>
        </w:rPr>
        <w:t>；</w:t>
      </w:r>
      <w:r>
        <w:rPr>
          <w:rFonts w:hint="eastAsia" w:ascii="仿宋_GB2312" w:eastAsia="仿宋_GB2312" w:cs="Helvetica"/>
          <w:color w:val="auto"/>
          <w:kern w:val="0"/>
          <w:sz w:val="24"/>
          <w:highlight w:val="none"/>
        </w:rPr>
        <w:t>走航车试运行三个月后，进行二次验收，验收合格后支付合同价款总金额的</w:t>
      </w:r>
      <w:r>
        <w:rPr>
          <w:rFonts w:hint="eastAsia" w:ascii="仿宋_GB2312" w:eastAsia="仿宋_GB2312" w:cs="Helvetica"/>
          <w:color w:val="auto"/>
          <w:kern w:val="0"/>
          <w:sz w:val="24"/>
          <w:highlight w:val="none"/>
          <w:lang w:val="en-US" w:eastAsia="zh-CN"/>
        </w:rPr>
        <w:t>3</w:t>
      </w:r>
      <w:r>
        <w:rPr>
          <w:rFonts w:hint="eastAsia" w:ascii="仿宋_GB2312" w:eastAsia="仿宋_GB2312" w:cs="Helvetica"/>
          <w:color w:val="auto"/>
          <w:kern w:val="0"/>
          <w:sz w:val="24"/>
          <w:highlight w:val="none"/>
        </w:rPr>
        <w:t>0%</w:t>
      </w:r>
      <w:r>
        <w:rPr>
          <w:rFonts w:ascii="仿宋_GB2312" w:eastAsia="仿宋_GB2312" w:cs="Helvetica"/>
          <w:color w:val="auto"/>
          <w:kern w:val="0"/>
          <w:sz w:val="24"/>
          <w:highlight w:val="none"/>
        </w:rPr>
        <w:t>，运维服务期满，根据考核结果结算项目尾款（不高于合同价款总金额的</w:t>
      </w:r>
      <w:r>
        <w:rPr>
          <w:rFonts w:hint="eastAsia" w:ascii="仿宋_GB2312" w:eastAsia="仿宋_GB2312" w:cs="Helvetica"/>
          <w:color w:val="auto"/>
          <w:kern w:val="0"/>
          <w:sz w:val="24"/>
          <w:highlight w:val="none"/>
          <w:lang w:val="en-US" w:eastAsia="zh-CN"/>
        </w:rPr>
        <w:t>2</w:t>
      </w:r>
      <w:r>
        <w:rPr>
          <w:rFonts w:ascii="仿宋_GB2312" w:eastAsia="仿宋_GB2312" w:cs="Helvetica"/>
          <w:color w:val="auto"/>
          <w:kern w:val="0"/>
          <w:sz w:val="24"/>
          <w:highlight w:val="none"/>
        </w:rPr>
        <w:t>0%）</w:t>
      </w:r>
      <w:r>
        <w:rPr>
          <w:rFonts w:hint="eastAsia" w:ascii="仿宋_GB2312" w:eastAsia="仿宋_GB2312" w:cs="Helvetica"/>
          <w:color w:val="auto"/>
          <w:kern w:val="0"/>
          <w:sz w:val="24"/>
          <w:highlight w:val="none"/>
        </w:rPr>
        <w:t>。</w:t>
      </w:r>
    </w:p>
    <w:p w14:paraId="3BD4D0CF">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合同签订后</w:t>
      </w:r>
      <w:r>
        <w:rPr>
          <w:rFonts w:ascii="仿宋_GB2312" w:eastAsia="仿宋_GB2312" w:cs="Helvetica"/>
          <w:color w:val="auto"/>
          <w:kern w:val="0"/>
          <w:sz w:val="24"/>
          <w:highlight w:val="none"/>
        </w:rPr>
        <w:t>1</w:t>
      </w:r>
      <w:r>
        <w:rPr>
          <w:rFonts w:hint="eastAsia" w:ascii="仿宋_GB2312" w:eastAsia="仿宋_GB2312" w:cs="Helvetica"/>
          <w:color w:val="auto"/>
          <w:kern w:val="0"/>
          <w:sz w:val="24"/>
          <w:highlight w:val="none"/>
        </w:rPr>
        <w:t>5个工作日内，中标方应以支票/汇票/电汇/或金融机构、担保机构出据的保函等非现金形式，向采购人提交合同金额1%的履约保证金。</w:t>
      </w:r>
      <w:bookmarkStart w:id="101" w:name="_GoBack"/>
      <w:bookmarkEnd w:id="101"/>
    </w:p>
    <w:p w14:paraId="1813C7DA">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2.6售后服务</w:t>
      </w:r>
    </w:p>
    <w:p w14:paraId="384C4200">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（1）中标方需根据本次招标文件所制定的目标和范围，提出相应的技术及售后服务方案。只有经安装调试并且技术性能达到采购需求所述的技术要求后，采购人才能接受全部货物。</w:t>
      </w:r>
    </w:p>
    <w:p w14:paraId="2912D8E0">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w:t>
      </w:r>
      <w:r>
        <w:rPr>
          <w:rFonts w:hint="eastAsia" w:ascii="仿宋_GB2312" w:eastAsia="仿宋_GB2312" w:cs="Helvetica"/>
          <w:color w:val="auto"/>
          <w:kern w:val="0"/>
          <w:sz w:val="24"/>
          <w:highlight w:val="none"/>
          <w:lang w:val="en-US" w:eastAsia="zh-CN"/>
        </w:rPr>
        <w:t>2</w:t>
      </w:r>
      <w:r>
        <w:rPr>
          <w:rFonts w:hint="eastAsia" w:ascii="仿宋_GB2312" w:eastAsia="仿宋_GB2312" w:cs="Helvetica"/>
          <w:color w:val="auto"/>
          <w:kern w:val="0"/>
          <w:sz w:val="24"/>
          <w:highlight w:val="none"/>
        </w:rPr>
        <w:t>）质保期内在设备出现故障的2小时内给予问题的解答，如需现场解决，在故障发生的24小时内，中标方派技术人员到达现场，软件问题48小时解决，硬件问题72小时解决，如果72小时内还不能解决的提供备品备件或备机。</w:t>
      </w:r>
    </w:p>
    <w:p w14:paraId="7B2674DA">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w:t>
      </w:r>
      <w:r>
        <w:rPr>
          <w:rFonts w:hint="eastAsia" w:ascii="仿宋_GB2312" w:eastAsia="仿宋_GB2312" w:cs="Helvetica"/>
          <w:color w:val="auto"/>
          <w:kern w:val="0"/>
          <w:sz w:val="24"/>
          <w:highlight w:val="none"/>
          <w:lang w:val="en-US" w:eastAsia="zh-CN"/>
        </w:rPr>
        <w:t>3</w:t>
      </w:r>
      <w:r>
        <w:rPr>
          <w:rFonts w:hint="eastAsia" w:ascii="仿宋_GB2312" w:eastAsia="仿宋_GB2312" w:cs="Helvetica"/>
          <w:color w:val="auto"/>
          <w:kern w:val="0"/>
          <w:sz w:val="24"/>
          <w:highlight w:val="none"/>
        </w:rPr>
        <w:t>）中标方应编制备品备件及耗材件等清单（详细列出所需的常用备品、备件和耗材清单以及日常维护所需的各种专用工具清单及价格，价格应不高于投标文件中同类产品的报价）。</w:t>
      </w:r>
    </w:p>
    <w:p w14:paraId="77648AA7">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w:t>
      </w:r>
      <w:r>
        <w:rPr>
          <w:rFonts w:hint="eastAsia" w:ascii="仿宋_GB2312" w:eastAsia="仿宋_GB2312" w:cs="Helvetica"/>
          <w:color w:val="auto"/>
          <w:kern w:val="0"/>
          <w:sz w:val="24"/>
          <w:highlight w:val="none"/>
          <w:lang w:val="en-US" w:eastAsia="zh-CN"/>
        </w:rPr>
        <w:t>4</w:t>
      </w:r>
      <w:r>
        <w:rPr>
          <w:rFonts w:hint="eastAsia" w:ascii="仿宋_GB2312" w:eastAsia="仿宋_GB2312" w:cs="Helvetica"/>
          <w:color w:val="auto"/>
          <w:kern w:val="0"/>
          <w:sz w:val="24"/>
          <w:highlight w:val="none"/>
        </w:rPr>
        <w:t>）中标方</w:t>
      </w:r>
      <w:r>
        <w:rPr>
          <w:rFonts w:hint="eastAsia" w:ascii="仿宋_GB2312" w:eastAsia="仿宋_GB2312" w:cs="Helvetica"/>
          <w:color w:val="auto"/>
          <w:kern w:val="0"/>
          <w:sz w:val="24"/>
          <w:highlight w:val="none"/>
          <w:lang w:val="en-US" w:eastAsia="zh-CN"/>
        </w:rPr>
        <w:t>须</w:t>
      </w:r>
      <w:r>
        <w:rPr>
          <w:rFonts w:hint="eastAsia" w:ascii="仿宋_GB2312" w:eastAsia="仿宋_GB2312" w:cs="Helvetica"/>
          <w:color w:val="auto"/>
          <w:kern w:val="0"/>
          <w:sz w:val="24"/>
          <w:highlight w:val="none"/>
        </w:rPr>
        <w:t>对产品软件提供升级服务。升级服务包括主要版本的故障排除、版本维护、故障修复、补丁和主要版本升级等技术支持。</w:t>
      </w:r>
    </w:p>
    <w:p w14:paraId="0C41CD2F">
      <w:pPr>
        <w:pStyle w:val="14"/>
        <w:rPr>
          <w:rFonts w:hint="eastAsia"/>
          <w:color w:val="auto"/>
          <w:highlight w:val="none"/>
        </w:rPr>
      </w:pPr>
      <w:r>
        <w:rPr>
          <w:rFonts w:hint="eastAsia" w:ascii="仿宋_GB2312" w:eastAsia="仿宋_GB2312" w:cs="Helvetica"/>
          <w:color w:val="auto"/>
          <w:kern w:val="0"/>
          <w:sz w:val="24"/>
          <w:highlight w:val="none"/>
        </w:rPr>
        <w:t>（</w:t>
      </w:r>
      <w:r>
        <w:rPr>
          <w:rFonts w:hint="eastAsia" w:ascii="仿宋_GB2312" w:eastAsia="仿宋_GB2312" w:cs="Helvetica"/>
          <w:color w:val="auto"/>
          <w:kern w:val="0"/>
          <w:sz w:val="24"/>
          <w:highlight w:val="none"/>
          <w:lang w:val="en-US" w:eastAsia="zh-CN"/>
        </w:rPr>
        <w:t>5</w:t>
      </w:r>
      <w:r>
        <w:rPr>
          <w:rFonts w:hint="eastAsia" w:ascii="仿宋_GB2312" w:eastAsia="仿宋_GB2312" w:cs="Helvetica"/>
          <w:color w:val="auto"/>
          <w:kern w:val="0"/>
          <w:sz w:val="24"/>
          <w:highlight w:val="none"/>
        </w:rPr>
        <w:t>）投标人有更优惠的售后服务承诺，请在投标书中单独列出。</w:t>
      </w:r>
    </w:p>
    <w:p w14:paraId="722BF634">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2.7数量调整</w:t>
      </w:r>
    </w:p>
    <w:p w14:paraId="5A487A39">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方案及定购设备数量和服务的权力，投标人应对系统方案中设备和服务明细报价，按投标单价不变的前提下进行调整，双方不得拒绝。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112053E4">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如遇本次招标没有涉及的设备或服务时，由中标人提供申请，招标人确认后实施。</w:t>
      </w:r>
    </w:p>
    <w:p w14:paraId="1C55B674">
      <w:pPr>
        <w:tabs>
          <w:tab w:val="left" w:pos="0"/>
        </w:tabs>
        <w:spacing w:line="360" w:lineRule="auto"/>
        <w:ind w:firstLine="482" w:firstLineChars="200"/>
        <w:rPr>
          <w:rFonts w:hint="default" w:ascii="仿宋" w:hAnsi="仿宋" w:eastAsia="仿宋" w:cs="仿宋"/>
          <w:b/>
          <w:bCs/>
          <w:color w:val="auto"/>
          <w:sz w:val="24"/>
          <w:highlight w:val="none"/>
          <w:lang w:val="en-US" w:eastAsia="zh-CN"/>
        </w:rPr>
      </w:pPr>
      <w:r>
        <w:rPr>
          <w:rFonts w:hint="eastAsia" w:ascii="仿宋" w:eastAsia="仿宋"/>
          <w:b/>
          <w:bCs/>
          <w:color w:val="auto"/>
          <w:kern w:val="0"/>
          <w:sz w:val="24"/>
          <w:highlight w:val="none"/>
          <w:u w:val="none"/>
        </w:rPr>
        <w:t>2.8</w:t>
      </w:r>
      <w:r>
        <w:rPr>
          <w:rFonts w:hint="eastAsia" w:ascii="仿宋" w:hAnsi="仿宋" w:eastAsia="仿宋" w:cs="仿宋"/>
          <w:b/>
          <w:bCs/>
          <w:color w:val="auto"/>
          <w:sz w:val="24"/>
          <w:highlight w:val="none"/>
          <w:lang w:val="en-US" w:eastAsia="zh-CN"/>
        </w:rPr>
        <w:t>项目要求</w:t>
      </w:r>
    </w:p>
    <w:p w14:paraId="2B543830">
      <w:pPr>
        <w:tabs>
          <w:tab w:val="left" w:pos="0"/>
        </w:tabs>
        <w:spacing w:line="360" w:lineRule="auto"/>
        <w:ind w:firstLine="482" w:firstLineChars="200"/>
        <w:rPr>
          <w:rFonts w:hint="eastAsia" w:ascii="仿宋_GB2312" w:eastAsia="仿宋_GB2312" w:cs="Helvetica"/>
          <w:b/>
          <w:bCs/>
          <w:color w:val="auto"/>
          <w:kern w:val="0"/>
          <w:sz w:val="24"/>
          <w:highlight w:val="none"/>
          <w:lang w:val="en-US" w:eastAsia="zh-CN"/>
        </w:rPr>
      </w:pPr>
      <w:r>
        <w:rPr>
          <w:rFonts w:hint="eastAsia" w:ascii="仿宋" w:hAnsi="仿宋" w:eastAsia="仿宋" w:cs="仿宋"/>
          <w:b/>
          <w:bCs/>
          <w:color w:val="auto"/>
          <w:sz w:val="24"/>
          <w:highlight w:val="none"/>
          <w:lang w:val="en-US" w:eastAsia="zh-CN"/>
        </w:rPr>
        <w:t>2.7.1</w:t>
      </w:r>
      <w:r>
        <w:rPr>
          <w:rFonts w:hint="eastAsia" w:ascii="仿宋_GB2312" w:eastAsia="仿宋_GB2312" w:cs="Helvetica"/>
          <w:b/>
          <w:bCs/>
          <w:color w:val="auto"/>
          <w:kern w:val="0"/>
          <w:sz w:val="24"/>
          <w:highlight w:val="none"/>
          <w:lang w:val="zh-CN"/>
        </w:rPr>
        <w:t>履约验收</w:t>
      </w:r>
      <w:r>
        <w:rPr>
          <w:rFonts w:hint="eastAsia" w:ascii="仿宋_GB2312" w:eastAsia="仿宋_GB2312" w:cs="Helvetica"/>
          <w:b/>
          <w:bCs/>
          <w:color w:val="auto"/>
          <w:kern w:val="0"/>
          <w:sz w:val="24"/>
          <w:highlight w:val="none"/>
          <w:lang w:val="en-US" w:eastAsia="zh-CN"/>
        </w:rPr>
        <w:t>要求</w:t>
      </w:r>
    </w:p>
    <w:p w14:paraId="2FF51A02">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（1）验收方式：本项目</w:t>
      </w:r>
      <w:r>
        <w:rPr>
          <w:rFonts w:ascii="仿宋_GB2312" w:eastAsia="仿宋_GB2312" w:cs="Helvetica"/>
          <w:color w:val="auto"/>
          <w:kern w:val="0"/>
          <w:sz w:val="24"/>
          <w:highlight w:val="none"/>
        </w:rPr>
        <w:t>初次验收由采购人邀请</w:t>
      </w:r>
      <w:r>
        <w:rPr>
          <w:rFonts w:hint="eastAsia" w:ascii="仿宋_GB2312" w:eastAsia="仿宋_GB2312" w:cs="Helvetica"/>
          <w:color w:val="auto"/>
          <w:kern w:val="0"/>
          <w:sz w:val="24"/>
          <w:highlight w:val="none"/>
          <w:lang w:val="en-US" w:eastAsia="zh-CN"/>
        </w:rPr>
        <w:t>相关行业专家或</w:t>
      </w:r>
      <w:r>
        <w:rPr>
          <w:rFonts w:ascii="仿宋_GB2312" w:eastAsia="仿宋_GB2312" w:cs="Helvetica"/>
          <w:color w:val="auto"/>
          <w:kern w:val="0"/>
          <w:sz w:val="24"/>
          <w:highlight w:val="none"/>
        </w:rPr>
        <w:t>国家认可的专业检测机构参与，并由其出具质量检测报告。二次验收</w:t>
      </w:r>
      <w:r>
        <w:rPr>
          <w:rFonts w:hint="eastAsia" w:ascii="仿宋_GB2312" w:eastAsia="仿宋_GB2312" w:cs="Helvetica"/>
          <w:color w:val="auto"/>
          <w:kern w:val="0"/>
          <w:sz w:val="24"/>
          <w:highlight w:val="none"/>
        </w:rPr>
        <w:t>采用专家评审方式，由验收组出具验收证明。</w:t>
      </w:r>
    </w:p>
    <w:p w14:paraId="749E5E0A">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（2）验收标准：验收参考长三角区域地方标准《长三角生态绿色一体化发展示范区挥发性有机物走航监测技术规范》、《大气气溶胶激光雷达技术要求及检测方法作业指导书》。</w:t>
      </w:r>
    </w:p>
    <w:p w14:paraId="582AF681">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本合同货物到达采购人指定现场后，由采购人和中标方共同根据货物装箱单及本合同设备配置清单对货物进行开箱检查，检查内容</w:t>
      </w:r>
      <w:r>
        <w:rPr>
          <w:rFonts w:ascii="仿宋_GB2312" w:eastAsia="仿宋_GB2312" w:cs="Helvetica"/>
          <w:color w:val="auto"/>
          <w:kern w:val="0"/>
          <w:sz w:val="24"/>
          <w:highlight w:val="none"/>
        </w:rPr>
        <w:t>包括但不限于</w:t>
      </w:r>
      <w:r>
        <w:rPr>
          <w:rFonts w:hint="eastAsia" w:ascii="仿宋_GB2312" w:eastAsia="仿宋_GB2312" w:cs="Helvetica"/>
          <w:color w:val="auto"/>
          <w:kern w:val="0"/>
          <w:sz w:val="24"/>
          <w:highlight w:val="none"/>
        </w:rPr>
        <w:t>：</w:t>
      </w:r>
    </w:p>
    <w:p w14:paraId="13CBCE05">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a.核对仪器配置、备件的名称、型号、规格、数量、产地、订货号是否符合合同要求，检查仪器及备件外观是否完好无损。</w:t>
      </w:r>
    </w:p>
    <w:p w14:paraId="34A366C4">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b.检查仪器技术资料，仪器出厂测试数据表、产品说明书、产品合格证、保修保养证书、设备原理图是否配备齐全。</w:t>
      </w:r>
    </w:p>
    <w:p w14:paraId="00E0C2A9">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c.开箱检查结果双方应在开箱验收单上作完整记录。</w:t>
      </w:r>
    </w:p>
    <w:p w14:paraId="36419291">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d.完成设备集成、安装及调试工作，并顺利试运行。</w:t>
      </w:r>
    </w:p>
    <w:p w14:paraId="4AB04F69">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3）中标方在提供服务过程中如存在违反合同相关约定情况的，采购人有权要求中标方立即整改，中标方未按要求整改的，采购人有权拒绝验收，并可中止合同履行，中标方承担因此发生的一切损失、费用及延误责任。</w:t>
      </w:r>
    </w:p>
    <w:p w14:paraId="50E22B06">
      <w:pPr>
        <w:tabs>
          <w:tab w:val="left" w:pos="0"/>
        </w:tabs>
        <w:spacing w:line="360" w:lineRule="auto"/>
        <w:ind w:firstLine="482" w:firstLineChars="200"/>
        <w:rPr>
          <w:rFonts w:hint="eastAsia" w:ascii="仿宋_GB2312" w:eastAsia="仿宋_GB2312" w:cs="Helvetica"/>
          <w:b/>
          <w:bCs/>
          <w:color w:val="auto"/>
          <w:kern w:val="0"/>
          <w:sz w:val="24"/>
          <w:highlight w:val="none"/>
          <w:lang w:val="zh-CN"/>
        </w:rPr>
      </w:pPr>
      <w:r>
        <w:rPr>
          <w:rFonts w:hint="eastAsia" w:ascii="仿宋" w:hAnsi="仿宋" w:eastAsia="仿宋" w:cs="仿宋"/>
          <w:b/>
          <w:bCs/>
          <w:color w:val="auto"/>
          <w:sz w:val="24"/>
          <w:highlight w:val="none"/>
          <w:lang w:val="en-US" w:eastAsia="zh-CN"/>
        </w:rPr>
        <w:t>2.7.2</w:t>
      </w:r>
      <w:r>
        <w:rPr>
          <w:rFonts w:hint="eastAsia" w:ascii="仿宋_GB2312" w:eastAsia="仿宋_GB2312" w:cs="Helvetica"/>
          <w:b/>
          <w:bCs/>
          <w:color w:val="auto"/>
          <w:kern w:val="0"/>
          <w:sz w:val="24"/>
          <w:highlight w:val="none"/>
          <w:lang w:val="zh-CN"/>
        </w:rPr>
        <w:t>项目其它要求</w:t>
      </w:r>
    </w:p>
    <w:p w14:paraId="249C6AC9">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1）投标人根据采购需求内容对整个项目按国家相关标准做深化设计，将本项目涉及所有线缆、软件、硬件设备等全部配齐，并列出具体清单。采购内容中未明确品牌的相关产品，投标人在选择投标产品时应充分考虑其与本项目其它设备的配套性和合理性。</w:t>
      </w:r>
    </w:p>
    <w:p w14:paraId="0356EC7F">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w:t>
      </w:r>
      <w:r>
        <w:rPr>
          <w:rFonts w:hint="eastAsia" w:ascii="仿宋_GB2312" w:eastAsia="仿宋_GB2312" w:cs="Helvetica"/>
          <w:color w:val="auto"/>
          <w:kern w:val="0"/>
          <w:sz w:val="24"/>
          <w:highlight w:val="none"/>
          <w:lang w:val="en-US" w:eastAsia="zh-CN"/>
        </w:rPr>
        <w:t>2</w:t>
      </w:r>
      <w:r>
        <w:rPr>
          <w:rFonts w:hint="eastAsia" w:ascii="仿宋_GB2312" w:eastAsia="仿宋_GB2312" w:cs="Helvetica"/>
          <w:color w:val="auto"/>
          <w:kern w:val="0"/>
          <w:sz w:val="24"/>
          <w:highlight w:val="none"/>
        </w:rPr>
        <w:t>）项目实施人员按招标文件要求确定，确定后不得随意更改，如对其他实施人员进行变更，应经过采购人书面同意；如果投标人认为有必要，可以增加项目实施人员。</w:t>
      </w:r>
    </w:p>
    <w:p w14:paraId="4664C9B2">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w:t>
      </w:r>
      <w:r>
        <w:rPr>
          <w:rFonts w:hint="eastAsia" w:ascii="仿宋_GB2312" w:eastAsia="仿宋_GB2312" w:cs="Helvetica"/>
          <w:color w:val="auto"/>
          <w:kern w:val="0"/>
          <w:sz w:val="24"/>
          <w:highlight w:val="none"/>
          <w:lang w:val="en-US" w:eastAsia="zh-CN"/>
        </w:rPr>
        <w:t>3</w:t>
      </w:r>
      <w:r>
        <w:rPr>
          <w:rFonts w:hint="eastAsia" w:ascii="仿宋_GB2312" w:eastAsia="仿宋_GB2312" w:cs="Helvetica"/>
          <w:color w:val="auto"/>
          <w:kern w:val="0"/>
          <w:sz w:val="24"/>
          <w:highlight w:val="none"/>
        </w:rPr>
        <w:t>）中标方按项目需求及国家有关规范标准进行安装调试，确保安全生产，中标方在项目施工过程中如造成人员伤亡、财产损失的，有关责任均由中标方承担。</w:t>
      </w:r>
    </w:p>
    <w:p w14:paraId="3510B672">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w:t>
      </w:r>
      <w:r>
        <w:rPr>
          <w:rFonts w:hint="eastAsia" w:ascii="仿宋_GB2312" w:eastAsia="仿宋_GB2312" w:cs="Helvetica"/>
          <w:color w:val="auto"/>
          <w:kern w:val="0"/>
          <w:sz w:val="24"/>
          <w:highlight w:val="none"/>
          <w:lang w:val="en-US" w:eastAsia="zh-CN"/>
        </w:rPr>
        <w:t>4</w:t>
      </w:r>
      <w:r>
        <w:rPr>
          <w:rFonts w:hint="eastAsia" w:ascii="仿宋_GB2312" w:eastAsia="仿宋_GB2312" w:cs="Helvetica"/>
          <w:color w:val="auto"/>
          <w:kern w:val="0"/>
          <w:sz w:val="24"/>
          <w:highlight w:val="none"/>
        </w:rPr>
        <w:t>）本项目完工后，中标方要作详细的验收资料，以便日后管理和维护。</w:t>
      </w:r>
    </w:p>
    <w:p w14:paraId="563C0400">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w:t>
      </w:r>
      <w:r>
        <w:rPr>
          <w:rFonts w:hint="eastAsia" w:ascii="仿宋_GB2312" w:eastAsia="仿宋_GB2312" w:cs="Helvetica"/>
          <w:color w:val="auto"/>
          <w:kern w:val="0"/>
          <w:sz w:val="24"/>
          <w:highlight w:val="none"/>
          <w:lang w:val="en-US" w:eastAsia="zh-CN"/>
        </w:rPr>
        <w:t>5</w:t>
      </w:r>
      <w:r>
        <w:rPr>
          <w:rFonts w:hint="eastAsia" w:ascii="仿宋_GB2312" w:eastAsia="仿宋_GB2312" w:cs="Helvetica"/>
          <w:color w:val="auto"/>
          <w:kern w:val="0"/>
          <w:sz w:val="24"/>
          <w:highlight w:val="none"/>
        </w:rPr>
        <w:t>）中标方应负责完成车辆改装、设备集成安装、调试运行直到二次验收合格并承担相应费用。</w:t>
      </w:r>
    </w:p>
    <w:p w14:paraId="1884EBF7">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其他</w:t>
      </w:r>
    </w:p>
    <w:p w14:paraId="55F1639A">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中标人提供的设备应符合现有国家有关规范标准，若国家出台新规范标准，应符合新规范标准。</w:t>
      </w:r>
    </w:p>
    <w:p w14:paraId="0FF747BC">
      <w:pPr>
        <w:widowControl/>
        <w:snapToGrid w:val="0"/>
        <w:spacing w:line="480" w:lineRule="exact"/>
        <w:rPr>
          <w:rFonts w:hint="eastAsia" w:ascii="仿宋_GB2312" w:eastAsia="仿宋_GB2312" w:cs="Helvetica"/>
          <w:b/>
          <w:bCs/>
          <w:color w:val="auto"/>
          <w:kern w:val="0"/>
          <w:sz w:val="24"/>
          <w:highlight w:val="none"/>
          <w:lang w:val="zh-CN"/>
        </w:rPr>
      </w:pPr>
      <w:r>
        <w:rPr>
          <w:rFonts w:hint="eastAsia" w:ascii="仿宋" w:hAnsi="仿宋" w:eastAsia="仿宋" w:cs="仿宋"/>
          <w:b/>
          <w:bCs/>
          <w:color w:val="auto"/>
          <w:sz w:val="24"/>
          <w:highlight w:val="none"/>
          <w:lang w:val="en-US" w:eastAsia="zh-CN"/>
        </w:rPr>
        <w:t>2.9</w:t>
      </w:r>
      <w:r>
        <w:rPr>
          <w:rFonts w:hint="eastAsia" w:ascii="仿宋" w:hAnsi="仿宋" w:eastAsia="仿宋" w:cs="仿宋"/>
          <w:b/>
          <w:bCs/>
          <w:color w:val="auto"/>
          <w:sz w:val="24"/>
          <w:highlight w:val="none"/>
          <w:lang w:val="zh-CN"/>
        </w:rPr>
        <w:t>设备运</w:t>
      </w:r>
      <w:r>
        <w:rPr>
          <w:rFonts w:hint="eastAsia" w:ascii="仿宋_GB2312" w:eastAsia="仿宋_GB2312" w:cs="Helvetica"/>
          <w:b/>
          <w:bCs/>
          <w:color w:val="auto"/>
          <w:kern w:val="0"/>
          <w:sz w:val="24"/>
          <w:highlight w:val="none"/>
          <w:lang w:val="zh-CN"/>
        </w:rPr>
        <w:t>维</w:t>
      </w:r>
      <w:r>
        <w:rPr>
          <w:rFonts w:hint="eastAsia" w:ascii="仿宋_GB2312" w:eastAsia="仿宋_GB2312" w:cs="Helvetica"/>
          <w:b/>
          <w:bCs/>
          <w:color w:val="auto"/>
          <w:kern w:val="0"/>
          <w:sz w:val="24"/>
          <w:highlight w:val="none"/>
          <w:lang w:val="en-US" w:eastAsia="zh-CN"/>
        </w:rPr>
        <w:t>及</w:t>
      </w:r>
      <w:r>
        <w:rPr>
          <w:rFonts w:hint="eastAsia" w:ascii="仿宋_GB2312" w:eastAsia="仿宋_GB2312" w:cs="Helvetica"/>
          <w:b/>
          <w:bCs/>
          <w:color w:val="auto"/>
          <w:kern w:val="0"/>
          <w:sz w:val="24"/>
          <w:highlight w:val="none"/>
          <w:lang w:val="zh-CN"/>
        </w:rPr>
        <w:t>考核</w:t>
      </w:r>
      <w:r>
        <w:rPr>
          <w:rFonts w:ascii="仿宋_GB2312" w:eastAsia="仿宋_GB2312" w:cs="Helvetica"/>
          <w:b/>
          <w:bCs/>
          <w:color w:val="auto"/>
          <w:kern w:val="0"/>
          <w:sz w:val="24"/>
          <w:highlight w:val="none"/>
          <w:lang w:val="zh-CN"/>
        </w:rPr>
        <w:t>要求</w:t>
      </w:r>
    </w:p>
    <w:p w14:paraId="4D6D2437">
      <w:pPr>
        <w:widowControl/>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2.9.1运维</w:t>
      </w:r>
      <w:r>
        <w:rPr>
          <w:rFonts w:hint="eastAsia" w:ascii="仿宋" w:hAnsi="仿宋" w:eastAsia="仿宋" w:cs="仿宋"/>
          <w:color w:val="auto"/>
          <w:sz w:val="24"/>
          <w:highlight w:val="none"/>
        </w:rPr>
        <w:t>要求：</w:t>
      </w:r>
    </w:p>
    <w:p w14:paraId="75785C74">
      <w:pPr>
        <w:widowControl/>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2.9.1.1</w:t>
      </w:r>
      <w:r>
        <w:rPr>
          <w:rFonts w:hint="eastAsia" w:ascii="仿宋" w:hAnsi="仿宋" w:eastAsia="仿宋" w:cs="仿宋"/>
          <w:color w:val="auto"/>
          <w:sz w:val="24"/>
          <w:highlight w:val="none"/>
        </w:rPr>
        <w:t>运维方必须聘用足够的运行维护专业技术人员，专业技术人员队伍应保持相对稳定。运维方应至少为本项目配置2名专业技术人员。</w:t>
      </w:r>
    </w:p>
    <w:p w14:paraId="0330E180">
      <w:pPr>
        <w:widowControl/>
        <w:snapToGrid w:val="0"/>
        <w:spacing w:line="48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2.9.1.2</w:t>
      </w:r>
      <w:r>
        <w:rPr>
          <w:rFonts w:hint="eastAsia" w:ascii="仿宋" w:hAnsi="仿宋" w:eastAsia="仿宋" w:cs="仿宋"/>
          <w:color w:val="auto"/>
          <w:sz w:val="24"/>
          <w:highlight w:val="none"/>
        </w:rPr>
        <w:t>投标产品</w:t>
      </w:r>
      <w:r>
        <w:rPr>
          <w:rFonts w:hint="eastAsia" w:ascii="仿宋" w:hAnsi="仿宋" w:eastAsia="仿宋" w:cs="仿宋"/>
          <w:color w:val="auto"/>
          <w:sz w:val="24"/>
          <w:highlight w:val="none"/>
          <w:lang w:val="en-US" w:eastAsia="zh-CN"/>
        </w:rPr>
        <w:t>中分析仪器（二、项目清单中序号1-12）</w:t>
      </w:r>
      <w:r>
        <w:rPr>
          <w:rFonts w:hint="eastAsia" w:ascii="仿宋" w:hAnsi="仿宋" w:eastAsia="仿宋" w:cs="仿宋"/>
          <w:color w:val="auto"/>
          <w:sz w:val="24"/>
          <w:highlight w:val="none"/>
        </w:rPr>
        <w:t>必须</w:t>
      </w:r>
      <w:r>
        <w:rPr>
          <w:rFonts w:hint="eastAsia" w:ascii="仿宋" w:hAnsi="仿宋" w:eastAsia="仿宋" w:cs="仿宋"/>
          <w:color w:val="auto"/>
          <w:sz w:val="24"/>
          <w:highlight w:val="none"/>
          <w:lang w:val="en-US" w:eastAsia="zh-CN"/>
        </w:rPr>
        <w:t>带有原厂商提供的</w:t>
      </w:r>
      <w:r>
        <w:rPr>
          <w:rFonts w:hint="eastAsia" w:ascii="仿宋" w:hAnsi="仿宋" w:eastAsia="仿宋" w:cs="仿宋"/>
          <w:color w:val="auto"/>
          <w:sz w:val="24"/>
          <w:highlight w:val="none"/>
        </w:rPr>
        <w:t>一年运行所需耗材及备件（投标时提供详细的清单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加盖设备厂家及供应商公章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790FF296">
      <w:pPr>
        <w:widowControl/>
        <w:snapToGrid w:val="0"/>
        <w:spacing w:line="4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2.9.1.3</w:t>
      </w:r>
      <w:r>
        <w:rPr>
          <w:rFonts w:hint="eastAsia" w:ascii="仿宋" w:hAnsi="仿宋" w:eastAsia="仿宋" w:cs="仿宋"/>
          <w:color w:val="auto"/>
          <w:sz w:val="24"/>
          <w:highlight w:val="none"/>
        </w:rPr>
        <w:t>在运维及管理期间，在合同约束范围内运维方拥有管理自主权；不能以任何形式外包合同规定的运行维护任务</w:t>
      </w:r>
      <w:r>
        <w:rPr>
          <w:rFonts w:hint="eastAsia" w:ascii="仿宋" w:hAnsi="仿宋" w:eastAsia="仿宋" w:cs="仿宋"/>
          <w:color w:val="auto"/>
          <w:sz w:val="24"/>
          <w:highlight w:val="none"/>
          <w:lang w:eastAsia="zh-CN"/>
        </w:rPr>
        <w:t>。</w:t>
      </w:r>
    </w:p>
    <w:p w14:paraId="757E3AF1">
      <w:pPr>
        <w:widowControl/>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2.9.1.4 </w:t>
      </w:r>
      <w:r>
        <w:rPr>
          <w:rFonts w:hint="eastAsia" w:ascii="仿宋" w:hAnsi="仿宋" w:eastAsia="仿宋" w:cs="仿宋"/>
          <w:color w:val="auto"/>
          <w:sz w:val="24"/>
          <w:highlight w:val="none"/>
        </w:rPr>
        <w:t>运维方应承担监测数据的保密责任；运维方应按照业主的要求，报告和传输监测数据，不得以任何方式和渠道向外界传递任何监测数据。</w:t>
      </w:r>
    </w:p>
    <w:p w14:paraId="0EAF3880">
      <w:pPr>
        <w:widowControl/>
        <w:snapToGrid w:val="0"/>
        <w:spacing w:line="48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2.9.1.5</w:t>
      </w:r>
      <w:r>
        <w:rPr>
          <w:rFonts w:hint="eastAsia" w:ascii="仿宋" w:hAnsi="仿宋" w:eastAsia="仿宋" w:cs="仿宋"/>
          <w:color w:val="auto"/>
          <w:sz w:val="24"/>
          <w:highlight w:val="none"/>
        </w:rPr>
        <w:t>委托运营维护及管理的全部资产（包括全部产权和建筑物、设备、软件、配套设施、自动站和配套监控系统产生的各类数据信息及相关文档资料）属业主方所有。未经业主方同意，运维方不得以任何方式对各类财产进行出售、抵押或转移；在委托运营及管理期间，运维方有责任保证上述全部资产的完整、安全并处于良好状态。</w:t>
      </w:r>
    </w:p>
    <w:p w14:paraId="10CEC532">
      <w:pPr>
        <w:widowControl/>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2.9.2考核要求</w:t>
      </w:r>
    </w:p>
    <w:p w14:paraId="1DAEF82E">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运维</w:t>
      </w:r>
      <w:r>
        <w:rPr>
          <w:rFonts w:ascii="仿宋_GB2312" w:eastAsia="仿宋_GB2312" w:cs="Helvetica"/>
          <w:color w:val="auto"/>
          <w:kern w:val="0"/>
          <w:sz w:val="24"/>
          <w:highlight w:val="none"/>
        </w:rPr>
        <w:t>服务期满，</w:t>
      </w:r>
      <w:r>
        <w:rPr>
          <w:rFonts w:hint="eastAsia" w:ascii="仿宋_GB2312" w:eastAsia="仿宋_GB2312" w:cs="Helvetica"/>
          <w:color w:val="auto"/>
          <w:kern w:val="0"/>
          <w:sz w:val="24"/>
          <w:highlight w:val="none"/>
        </w:rPr>
        <w:t>采购人组织开展对中标方的走航服务天数、数据分析服务成果数量及质量</w:t>
      </w:r>
      <w:r>
        <w:rPr>
          <w:rFonts w:hint="eastAsia" w:ascii="仿宋_GB2312" w:eastAsia="仿宋_GB2312" w:cs="Helvetica"/>
          <w:color w:val="auto"/>
          <w:kern w:val="0"/>
          <w:sz w:val="24"/>
          <w:highlight w:val="none"/>
          <w:lang w:eastAsia="zh-CN"/>
        </w:rPr>
        <w:t>、</w:t>
      </w:r>
      <w:r>
        <w:rPr>
          <w:rFonts w:hint="eastAsia" w:ascii="仿宋_GB2312" w:eastAsia="仿宋_GB2312" w:cs="Helvetica"/>
          <w:color w:val="auto"/>
          <w:kern w:val="0"/>
          <w:sz w:val="24"/>
          <w:highlight w:val="none"/>
        </w:rPr>
        <w:t>运维服务进行考核。</w:t>
      </w:r>
    </w:p>
    <w:p w14:paraId="450CBEA6">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考核总分=走航服务天数得分+数据分析报告得分+运维得分</w:t>
      </w:r>
    </w:p>
    <w:p w14:paraId="45F7EFAB">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（1）走航服务天数得分（30分）</w:t>
      </w:r>
    </w:p>
    <w:p w14:paraId="4C3DC418">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达到或超过采购人要求走航天数的，得30分，每少一天扣2分，扣完为止。</w:t>
      </w:r>
    </w:p>
    <w:p w14:paraId="4F8A0134">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（2）数据分析报告得分（40分）</w:t>
      </w:r>
    </w:p>
    <w:p w14:paraId="0614687B">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数据分析报告检查内容主要为报告数量和质量，要求在</w:t>
      </w:r>
      <w:r>
        <w:rPr>
          <w:rFonts w:ascii="仿宋_GB2312" w:eastAsia="仿宋_GB2312" w:cs="Helvetica"/>
          <w:color w:val="auto"/>
          <w:kern w:val="0"/>
          <w:sz w:val="24"/>
          <w:highlight w:val="none"/>
        </w:rPr>
        <w:t>1</w:t>
      </w:r>
      <w:r>
        <w:rPr>
          <w:rFonts w:hint="eastAsia" w:ascii="仿宋_GB2312" w:eastAsia="仿宋_GB2312" w:cs="Helvetica"/>
          <w:color w:val="auto"/>
          <w:kern w:val="0"/>
          <w:sz w:val="24"/>
          <w:highlight w:val="none"/>
        </w:rPr>
        <w:t>年服务期内提供至少1</w:t>
      </w:r>
      <w:r>
        <w:rPr>
          <w:rFonts w:ascii="仿宋_GB2312" w:eastAsia="仿宋_GB2312" w:cs="Helvetica"/>
          <w:color w:val="auto"/>
          <w:kern w:val="0"/>
          <w:sz w:val="24"/>
          <w:highlight w:val="none"/>
        </w:rPr>
        <w:t>2</w:t>
      </w:r>
      <w:r>
        <w:rPr>
          <w:rFonts w:hint="eastAsia" w:ascii="仿宋_GB2312" w:eastAsia="仿宋_GB2312" w:cs="Helvetica"/>
          <w:color w:val="auto"/>
          <w:kern w:val="0"/>
          <w:sz w:val="24"/>
          <w:highlight w:val="none"/>
        </w:rPr>
        <w:t>0份走航监测分析报告，并严格按照用户的数据分析要求进行报告编写，只有报告质量符合要求的报告方可计入考核报告总数中，满足得40分，缺少1份扣3分，扣完为止。</w:t>
      </w:r>
    </w:p>
    <w:p w14:paraId="7C963E26">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（3）运维得分(30分)</w:t>
      </w:r>
    </w:p>
    <w:p w14:paraId="6A488C1F">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运维检查内容包括日常运维任务完成情况、异常情况处理情况、仪器日常维护效果、质控考核情况、人员与档案记录管理情况等，每项分值20分。检查满分100 分，考核时运维得分=检查得分×0.3。</w:t>
      </w:r>
    </w:p>
    <w:p w14:paraId="6DA788EE">
      <w:pPr>
        <w:tabs>
          <w:tab w:val="left" w:pos="0"/>
        </w:tabs>
        <w:spacing w:line="360" w:lineRule="auto"/>
        <w:ind w:firstLine="480" w:firstLineChars="200"/>
        <w:rPr>
          <w:rFonts w:hint="eastAsia" w:ascii="仿宋_GB2312" w:eastAsia="仿宋_GB2312" w:cs="Helvetica"/>
          <w:color w:val="auto"/>
          <w:kern w:val="0"/>
          <w:sz w:val="24"/>
          <w:highlight w:val="none"/>
        </w:rPr>
      </w:pPr>
      <w:r>
        <w:rPr>
          <w:rFonts w:hint="eastAsia" w:ascii="仿宋_GB2312" w:eastAsia="仿宋_GB2312" w:cs="Helvetica"/>
          <w:color w:val="auto"/>
          <w:kern w:val="0"/>
          <w:sz w:val="24"/>
          <w:highlight w:val="none"/>
        </w:rPr>
        <w:t>考核结果在 90分（含）以上的为合格。</w:t>
      </w:r>
    </w:p>
    <w:p w14:paraId="72E5870C">
      <w:pPr>
        <w:tabs>
          <w:tab w:val="left" w:pos="0"/>
        </w:tabs>
        <w:spacing w:line="360" w:lineRule="auto"/>
        <w:ind w:firstLine="480" w:firstLineChars="200"/>
        <w:rPr>
          <w:rFonts w:ascii="仿宋_GB2312" w:eastAsia="仿宋_GB2312" w:cs="Helvetica"/>
          <w:color w:val="auto"/>
          <w:kern w:val="0"/>
          <w:sz w:val="24"/>
          <w:highlight w:val="none"/>
        </w:rPr>
      </w:pPr>
      <w:r>
        <w:rPr>
          <w:rFonts w:hint="eastAsia" w:ascii="仿宋_GB2312" w:eastAsia="仿宋_GB2312" w:cs="Helvetica"/>
          <w:color w:val="auto"/>
          <w:kern w:val="0"/>
          <w:sz w:val="24"/>
          <w:highlight w:val="none"/>
        </w:rPr>
        <w:t>考核结果在</w:t>
      </w:r>
      <w:r>
        <w:rPr>
          <w:rFonts w:ascii="仿宋_GB2312" w:eastAsia="仿宋_GB2312" w:cs="Helvetica"/>
          <w:color w:val="auto"/>
          <w:kern w:val="0"/>
          <w:sz w:val="24"/>
          <w:highlight w:val="none"/>
        </w:rPr>
        <w:t>90</w:t>
      </w:r>
      <w:r>
        <w:rPr>
          <w:rFonts w:hint="eastAsia" w:ascii="仿宋_GB2312" w:eastAsia="仿宋_GB2312" w:cs="Helvetica"/>
          <w:color w:val="auto"/>
          <w:kern w:val="0"/>
          <w:sz w:val="24"/>
          <w:highlight w:val="none"/>
        </w:rPr>
        <w:t>分以下</w:t>
      </w:r>
      <w:r>
        <w:rPr>
          <w:rFonts w:ascii="仿宋_GB2312" w:eastAsia="仿宋_GB2312" w:cs="Helvetica"/>
          <w:color w:val="auto"/>
          <w:kern w:val="0"/>
          <w:sz w:val="24"/>
          <w:highlight w:val="none"/>
        </w:rPr>
        <w:t>的</w:t>
      </w:r>
      <w:r>
        <w:rPr>
          <w:rFonts w:hint="eastAsia" w:ascii="仿宋_GB2312" w:eastAsia="仿宋_GB2312" w:cs="Helvetica"/>
          <w:color w:val="auto"/>
          <w:kern w:val="0"/>
          <w:sz w:val="24"/>
          <w:highlight w:val="none"/>
        </w:rPr>
        <w:t>，</w:t>
      </w:r>
      <w:r>
        <w:rPr>
          <w:rFonts w:ascii="仿宋_GB2312" w:eastAsia="仿宋_GB2312" w:cs="Helvetica"/>
          <w:color w:val="auto"/>
          <w:kern w:val="0"/>
          <w:sz w:val="24"/>
          <w:highlight w:val="none"/>
        </w:rPr>
        <w:t>为不合格，采购人有权根据不合格得分按比例扣除项目尾款。</w:t>
      </w:r>
    </w:p>
    <w:p w14:paraId="74019CC0">
      <w:pPr>
        <w:widowControl/>
        <w:snapToGrid w:val="0"/>
        <w:spacing w:line="480" w:lineRule="exact"/>
        <w:ind w:firstLine="480" w:firstLineChars="200"/>
        <w:rPr>
          <w:rFonts w:ascii="仿宋" w:eastAsia="仿宋"/>
          <w:color w:val="auto"/>
          <w:kern w:val="0"/>
          <w:sz w:val="24"/>
          <w:highlight w:val="none"/>
          <w:u w:val="none"/>
        </w:rPr>
      </w:pPr>
      <w:r>
        <w:rPr>
          <w:rFonts w:ascii="仿宋_GB2312" w:eastAsia="仿宋_GB2312" w:cs="Helvetica"/>
          <w:color w:val="auto"/>
          <w:kern w:val="0"/>
          <w:sz w:val="24"/>
          <w:highlight w:val="none"/>
        </w:rPr>
        <w:t>具体计算公式：设实际考核得分为A，当A＜90时,实际支付尾款金额=</w:t>
      </w:r>
      <w:r>
        <w:rPr>
          <w:rFonts w:hint="eastAsia" w:ascii="仿宋_GB2312" w:eastAsia="仿宋_GB2312" w:cs="Helvetica"/>
          <w:color w:val="auto"/>
          <w:kern w:val="0"/>
          <w:sz w:val="24"/>
          <w:highlight w:val="none"/>
          <w:lang w:eastAsia="zh-CN"/>
        </w:rPr>
        <w:t>剩余</w:t>
      </w:r>
      <w:r>
        <w:rPr>
          <w:rFonts w:ascii="仿宋_GB2312" w:eastAsia="仿宋_GB2312" w:cs="Helvetica"/>
          <w:color w:val="auto"/>
          <w:kern w:val="0"/>
          <w:sz w:val="24"/>
          <w:highlight w:val="none"/>
        </w:rPr>
        <w:t>尾款金额*A/90</w:t>
      </w:r>
      <w:r>
        <w:rPr>
          <w:rFonts w:hint="eastAsia" w:ascii="仿宋_GB2312" w:eastAsia="仿宋_GB2312" w:cs="Helvetica"/>
          <w:color w:val="auto"/>
          <w:kern w:val="0"/>
          <w:sz w:val="24"/>
          <w:highlight w:val="none"/>
          <w:lang w:eastAsia="zh-CN"/>
        </w:rPr>
        <w:t>，金额精确到分</w:t>
      </w:r>
      <w:r>
        <w:rPr>
          <w:rFonts w:hint="eastAsia" w:ascii="仿宋_GB2312" w:eastAsia="仿宋_GB2312" w:cs="Helvetica"/>
          <w:color w:val="auto"/>
          <w:kern w:val="0"/>
          <w:sz w:val="24"/>
          <w:highlight w:val="none"/>
        </w:rPr>
        <w:t>。</w:t>
      </w:r>
    </w:p>
    <w:p w14:paraId="738F9477">
      <w:pPr>
        <w:widowControl/>
        <w:snapToGrid w:val="0"/>
        <w:spacing w:line="480" w:lineRule="exact"/>
        <w:ind w:firstLine="480" w:firstLineChars="200"/>
        <w:rPr>
          <w:rFonts w:ascii="仿宋" w:eastAsia="仿宋"/>
          <w:color w:val="auto"/>
          <w:kern w:val="0"/>
          <w:sz w:val="24"/>
          <w:highlight w:val="none"/>
          <w:u w:val="none"/>
        </w:rPr>
      </w:pPr>
    </w:p>
    <w:p w14:paraId="52101569">
      <w:pPr>
        <w:widowControl/>
        <w:snapToGrid w:val="0"/>
        <w:spacing w:line="480" w:lineRule="exact"/>
        <w:ind w:firstLine="480" w:firstLineChars="200"/>
        <w:rPr>
          <w:rFonts w:ascii="仿宋" w:eastAsia="仿宋"/>
          <w:color w:val="auto"/>
          <w:kern w:val="0"/>
          <w:sz w:val="24"/>
          <w:highlight w:val="none"/>
          <w:u w:val="none"/>
        </w:rPr>
      </w:pPr>
    </w:p>
    <w:p w14:paraId="31A795E8">
      <w:pPr>
        <w:widowControl/>
        <w:snapToGrid w:val="0"/>
        <w:spacing w:line="480" w:lineRule="exact"/>
        <w:ind w:firstLine="480" w:firstLineChars="200"/>
        <w:rPr>
          <w:rFonts w:ascii="仿宋" w:eastAsia="仿宋"/>
          <w:color w:val="auto"/>
          <w:kern w:val="0"/>
          <w:sz w:val="24"/>
          <w:highlight w:val="none"/>
          <w:u w:val="none"/>
        </w:rPr>
      </w:pPr>
    </w:p>
    <w:p w14:paraId="1A3E31FD">
      <w:pPr>
        <w:widowControl/>
        <w:snapToGrid w:val="0"/>
        <w:spacing w:line="480" w:lineRule="exact"/>
        <w:ind w:firstLine="480" w:firstLineChars="200"/>
        <w:rPr>
          <w:rFonts w:ascii="仿宋" w:eastAsia="仿宋"/>
          <w:color w:val="auto"/>
          <w:kern w:val="0"/>
          <w:sz w:val="24"/>
          <w:highlight w:val="none"/>
          <w:u w:val="none"/>
        </w:rPr>
      </w:pPr>
    </w:p>
    <w:p w14:paraId="2141EACB">
      <w:pPr>
        <w:widowControl/>
        <w:snapToGrid w:val="0"/>
        <w:spacing w:line="480" w:lineRule="exact"/>
        <w:ind w:firstLine="480" w:firstLineChars="200"/>
        <w:rPr>
          <w:rFonts w:ascii="仿宋" w:eastAsia="仿宋"/>
          <w:color w:val="auto"/>
          <w:kern w:val="0"/>
          <w:sz w:val="24"/>
          <w:highlight w:val="none"/>
          <w:u w:val="none"/>
        </w:rPr>
      </w:pPr>
    </w:p>
    <w:p w14:paraId="68BEBCC9">
      <w:pPr>
        <w:widowControl/>
        <w:snapToGrid w:val="0"/>
        <w:spacing w:line="480" w:lineRule="exact"/>
        <w:ind w:firstLine="480" w:firstLineChars="200"/>
        <w:rPr>
          <w:rFonts w:hint="eastAsia" w:ascii="仿宋" w:eastAsia="仿宋"/>
          <w:color w:val="auto"/>
          <w:kern w:val="0"/>
          <w:sz w:val="24"/>
          <w:highlight w:val="none"/>
          <w:u w:val="none"/>
        </w:rPr>
      </w:pPr>
    </w:p>
    <w:p w14:paraId="7CADD94F">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51" w:name="_Toc15027"/>
      <w:r>
        <w:rPr>
          <w:rFonts w:hint="eastAsia" w:ascii="仿宋"/>
          <w:color w:val="auto"/>
          <w:highlight w:val="none"/>
        </w:rPr>
        <w:t>第四章  拟签订合同的主要条款</w:t>
      </w:r>
      <w:bookmarkEnd w:id="51"/>
    </w:p>
    <w:p w14:paraId="21AF364A">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w:t>
      </w:r>
      <w:r>
        <w:rPr>
          <w:rFonts w:hint="eastAsia" w:ascii="仿宋" w:eastAsia="仿宋"/>
          <w:b/>
          <w:bCs/>
          <w:color w:val="auto"/>
          <w:kern w:val="0"/>
          <w:sz w:val="24"/>
          <w:highlight w:val="none"/>
          <w:u w:val="single"/>
          <w:lang w:val="en-US" w:eastAsia="zh-CN"/>
        </w:rPr>
        <w:t>参考</w:t>
      </w:r>
      <w:r>
        <w:rPr>
          <w:rFonts w:hint="eastAsia" w:ascii="仿宋" w:eastAsia="仿宋"/>
          <w:b/>
          <w:bCs/>
          <w:color w:val="auto"/>
          <w:kern w:val="0"/>
          <w:sz w:val="24"/>
          <w:highlight w:val="none"/>
          <w:u w:val="single"/>
        </w:rPr>
        <w:t>条款）</w:t>
      </w:r>
    </w:p>
    <w:p w14:paraId="6EF3F60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4CC369F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4F0D0B1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1D1DD37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34433F0E">
      <w:pPr>
        <w:widowControl/>
        <w:snapToGrid w:val="0"/>
        <w:spacing w:line="480" w:lineRule="exact"/>
        <w:ind w:firstLine="480" w:firstLineChars="200"/>
        <w:rPr>
          <w:rFonts w:hint="eastAsia" w:ascii="仿宋" w:eastAsia="仿宋"/>
          <w:color w:val="auto"/>
          <w:kern w:val="0"/>
          <w:sz w:val="24"/>
          <w:highlight w:val="none"/>
          <w:u w:val="none"/>
        </w:rPr>
      </w:pPr>
    </w:p>
    <w:p w14:paraId="58224E1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甲、乙双方根据项目编号为      的</w:t>
      </w:r>
      <w:r>
        <w:rPr>
          <w:rFonts w:hint="eastAsia" w:ascii="仿宋" w:eastAsia="仿宋"/>
          <w:color w:val="auto"/>
          <w:kern w:val="0"/>
          <w:sz w:val="24"/>
          <w:highlight w:val="none"/>
          <w:u w:val="single"/>
        </w:rPr>
        <w:t>（</w:t>
      </w:r>
      <w:r>
        <w:rPr>
          <w:rFonts w:hint="eastAsia" w:ascii="仿宋" w:eastAsia="仿宋"/>
          <w:color w:val="auto"/>
          <w:kern w:val="0"/>
          <w:sz w:val="24"/>
          <w:highlight w:val="none"/>
          <w:u w:val="single"/>
          <w:lang w:val="en-US" w:eastAsia="zh-CN"/>
        </w:rPr>
        <w:t>填写</w:t>
      </w:r>
      <w:r>
        <w:rPr>
          <w:rFonts w:hint="eastAsia" w:ascii="仿宋" w:eastAsia="仿宋"/>
          <w:color w:val="auto"/>
          <w:kern w:val="0"/>
          <w:sz w:val="24"/>
          <w:highlight w:val="none"/>
          <w:u w:val="single"/>
        </w:rPr>
        <w:t>标项</w:t>
      </w:r>
      <w:r>
        <w:rPr>
          <w:rFonts w:hint="eastAsia" w:ascii="仿宋" w:eastAsia="仿宋"/>
          <w:color w:val="auto"/>
          <w:kern w:val="0"/>
          <w:sz w:val="24"/>
          <w:highlight w:val="none"/>
          <w:u w:val="single"/>
          <w:lang w:val="en-US" w:eastAsia="zh-CN"/>
        </w:rPr>
        <w:t>或项目</w:t>
      </w:r>
      <w:r>
        <w:rPr>
          <w:rFonts w:hint="eastAsia" w:ascii="仿宋" w:eastAsia="仿宋"/>
          <w:color w:val="auto"/>
          <w:kern w:val="0"/>
          <w:sz w:val="24"/>
          <w:highlight w:val="none"/>
          <w:u w:val="single"/>
        </w:rPr>
        <w:t>名称）</w:t>
      </w:r>
      <w:r>
        <w:rPr>
          <w:rFonts w:hint="eastAsia" w:ascii="仿宋" w:eastAsia="仿宋"/>
          <w:color w:val="auto"/>
          <w:kern w:val="0"/>
          <w:sz w:val="24"/>
          <w:highlight w:val="none"/>
          <w:u w:val="none"/>
        </w:rPr>
        <w:t>项目的交易结果，签署本合同。</w:t>
      </w:r>
    </w:p>
    <w:p w14:paraId="35ADB6D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一、项目内容及合同价格</w:t>
      </w:r>
    </w:p>
    <w:p w14:paraId="46E6CFF1">
      <w:pPr>
        <w:widowControl/>
        <w:snapToGrid w:val="0"/>
        <w:spacing w:line="480" w:lineRule="exact"/>
        <w:ind w:firstLine="480" w:firstLineChars="200"/>
        <w:jc w:val="right"/>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6961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4757D4A0">
            <w:pPr>
              <w:pStyle w:val="18"/>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1DFFC96B">
            <w:pPr>
              <w:pStyle w:val="18"/>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7FC6FE4D">
            <w:pPr>
              <w:pStyle w:val="18"/>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1183F02E">
            <w:pPr>
              <w:pStyle w:val="18"/>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68518938">
            <w:pPr>
              <w:pStyle w:val="18"/>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总价</w:t>
            </w:r>
          </w:p>
        </w:tc>
      </w:tr>
      <w:tr w14:paraId="6051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44C1D528">
            <w:pPr>
              <w:spacing w:line="460" w:lineRule="exact"/>
              <w:ind w:firstLine="511" w:firstLineChars="213"/>
              <w:rPr>
                <w:rFonts w:hint="eastAsia"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6E754092">
            <w:pPr>
              <w:spacing w:line="460" w:lineRule="exact"/>
              <w:rPr>
                <w:rFonts w:hint="eastAsia"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485AE1B1">
            <w:pPr>
              <w:spacing w:line="460" w:lineRule="exact"/>
              <w:ind w:firstLine="511" w:firstLineChars="213"/>
              <w:rPr>
                <w:rFonts w:hint="eastAsia"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22E5347">
            <w:pPr>
              <w:pStyle w:val="36"/>
              <w:spacing w:after="120" w:line="460" w:lineRule="exact"/>
              <w:ind w:firstLine="511" w:firstLineChars="213"/>
              <w:rPr>
                <w:rFonts w:hint="eastAsia"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6F7F6329">
            <w:pPr>
              <w:pStyle w:val="36"/>
              <w:spacing w:after="120" w:line="460" w:lineRule="exact"/>
              <w:ind w:left="570"/>
              <w:rPr>
                <w:rFonts w:hint="eastAsia" w:ascii="仿宋" w:eastAsia="仿宋"/>
                <w:color w:val="auto"/>
                <w:kern w:val="2"/>
                <w:szCs w:val="24"/>
                <w:highlight w:val="none"/>
              </w:rPr>
            </w:pPr>
          </w:p>
        </w:tc>
      </w:tr>
      <w:tr w14:paraId="7D59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2A825EB">
            <w:pPr>
              <w:pStyle w:val="18"/>
              <w:snapToGrid w:val="0"/>
              <w:spacing w:before="120" w:after="120" w:line="460" w:lineRule="exact"/>
              <w:ind w:firstLine="511" w:firstLineChars="213"/>
              <w:jc w:val="center"/>
              <w:rPr>
                <w:rFonts w:hint="eastAsia"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2E415E84">
            <w:pPr>
              <w:pStyle w:val="18"/>
              <w:snapToGrid w:val="0"/>
              <w:spacing w:before="120" w:after="120" w:line="460" w:lineRule="exact"/>
              <w:ind w:firstLine="511" w:firstLineChars="213"/>
              <w:jc w:val="center"/>
              <w:rPr>
                <w:rFonts w:hint="eastAsia"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7A939FD3">
            <w:pPr>
              <w:pStyle w:val="36"/>
              <w:spacing w:after="120" w:line="460" w:lineRule="exact"/>
              <w:ind w:firstLine="511" w:firstLineChars="213"/>
              <w:rPr>
                <w:rFonts w:hint="eastAsia" w:ascii="仿宋" w:eastAsia="仿宋"/>
                <w:color w:val="auto"/>
                <w:kern w:val="2"/>
                <w:szCs w:val="24"/>
                <w:highlight w:val="none"/>
              </w:rPr>
            </w:pPr>
          </w:p>
        </w:tc>
      </w:tr>
      <w:tr w14:paraId="52B1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6D2257A4">
            <w:pPr>
              <w:pStyle w:val="18"/>
              <w:snapToGrid w:val="0"/>
              <w:spacing w:before="120" w:after="120" w:line="460" w:lineRule="exact"/>
              <w:rPr>
                <w:rFonts w:hint="eastAsia" w:ascii="仿宋" w:eastAsia="仿宋"/>
                <w:color w:val="auto"/>
                <w:sz w:val="24"/>
                <w:szCs w:val="24"/>
                <w:highlight w:val="none"/>
              </w:rPr>
            </w:pPr>
            <w:r>
              <w:rPr>
                <w:rFonts w:hint="eastAsia" w:ascii="仿宋" w:eastAsia="仿宋"/>
                <w:color w:val="auto"/>
                <w:sz w:val="24"/>
                <w:szCs w:val="24"/>
                <w:highlight w:val="none"/>
              </w:rPr>
              <w:t>合同总价大写：                                      小写：￥</w:t>
            </w:r>
            <w:r>
              <w:rPr>
                <w:rFonts w:hint="eastAsia" w:ascii="仿宋" w:eastAsia="仿宋"/>
                <w:color w:val="auto"/>
                <w:sz w:val="24"/>
                <w:szCs w:val="24"/>
                <w:highlight w:val="none"/>
                <w:u w:val="single"/>
              </w:rPr>
              <w:t xml:space="preserve">      </w:t>
            </w:r>
          </w:p>
        </w:tc>
      </w:tr>
    </w:tbl>
    <w:p w14:paraId="1AB237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注：1.项目具体技术需求详见采购文件、投标文件以及询标记录。</w:t>
      </w:r>
    </w:p>
    <w:p w14:paraId="3E80DDA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2.以上合同总价包含项目达到预期使用效果所需的一切费用。</w:t>
      </w:r>
    </w:p>
    <w:p w14:paraId="1BB5A26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二、技术资料</w:t>
      </w:r>
    </w:p>
    <w:p w14:paraId="1E50DE2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1.乙方应按采购文件规定的时间向甲方提供使用项目的有关技术资料。</w:t>
      </w:r>
    </w:p>
    <w:p w14:paraId="1148493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D54F648">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三、知识产权</w:t>
      </w:r>
    </w:p>
    <w:p w14:paraId="49E443B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乙方应保证所提供的货物或其任何一部分均不会侵犯任何第三方的知识产权。</w:t>
      </w:r>
    </w:p>
    <w:p w14:paraId="5E97B74C">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四、产权担保</w:t>
      </w:r>
    </w:p>
    <w:p w14:paraId="3480F6A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乙方保证所交付的货物的所有权完全属于乙方且无任何抵押、查封等产权瑕疵。</w:t>
      </w:r>
    </w:p>
    <w:p w14:paraId="4C73553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054644E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6EC771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2CC2EF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2A5116E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六、质保期和履约保证金</w:t>
      </w:r>
    </w:p>
    <w:p w14:paraId="24927EE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1.质保期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年。（自项目验收合格交付使用之日起计）</w:t>
      </w:r>
    </w:p>
    <w:p w14:paraId="6CEA1FB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元。[履约保证金交至采购人处，在合同约定交货</w:t>
      </w:r>
      <w:r>
        <w:rPr>
          <w:rFonts w:ascii="仿宋" w:eastAsia="仿宋"/>
          <w:color w:val="auto"/>
          <w:kern w:val="0"/>
          <w:sz w:val="24"/>
          <w:highlight w:val="none"/>
          <w:u w:val="none"/>
        </w:rPr>
        <w:t>并</w:t>
      </w:r>
      <w:r>
        <w:rPr>
          <w:rFonts w:hint="eastAsia" w:ascii="仿宋" w:eastAsia="仿宋"/>
          <w:color w:val="auto"/>
          <w:kern w:val="0"/>
          <w:sz w:val="24"/>
          <w:highlight w:val="none"/>
          <w:u w:val="none"/>
        </w:rPr>
        <w:t>验收合格</w:t>
      </w:r>
      <w:r>
        <w:rPr>
          <w:rFonts w:ascii="仿宋" w:eastAsia="仿宋"/>
          <w:color w:val="auto"/>
          <w:kern w:val="0"/>
          <w:sz w:val="24"/>
          <w:highlight w:val="none"/>
          <w:u w:val="none"/>
        </w:rPr>
        <w:t>后</w:t>
      </w:r>
      <w:r>
        <w:rPr>
          <w:rFonts w:hint="eastAsia" w:ascii="仿宋" w:eastAsia="仿宋"/>
          <w:color w:val="auto"/>
          <w:kern w:val="0"/>
          <w:sz w:val="24"/>
          <w:highlight w:val="none"/>
          <w:u w:val="none"/>
        </w:rPr>
        <w:t>（   ）个工作日内无息退还]</w:t>
      </w:r>
    </w:p>
    <w:p w14:paraId="33DFE76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七、项目工期及实施地点</w:t>
      </w:r>
    </w:p>
    <w:p w14:paraId="6671607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1.交货期：</w:t>
      </w:r>
    </w:p>
    <w:p w14:paraId="3340388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016B55B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八、货款支付</w:t>
      </w:r>
    </w:p>
    <w:p w14:paraId="2184EDF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15E644CC">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73AC5A0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40379673">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2426DB8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32A5077E">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、质量保证及售后服务</w:t>
      </w:r>
    </w:p>
    <w:p w14:paraId="67DC924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7D410B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、调试和验收</w:t>
      </w:r>
    </w:p>
    <w:p w14:paraId="02B8245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4F77DE9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、货物包装</w:t>
      </w:r>
    </w:p>
    <w:p w14:paraId="453CFFF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79A04888">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、违约责任</w:t>
      </w:r>
    </w:p>
    <w:p w14:paraId="203ECE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1.甲方无正当理由拒收验收项目的，甲方向乙方偿付拒收合同总价的百分之五违约金。</w:t>
      </w:r>
    </w:p>
    <w:p w14:paraId="0B11AA8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208E53F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1F164F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7D55C2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07AD278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五</w:t>
      </w:r>
      <w:r>
        <w:rPr>
          <w:rFonts w:hint="eastAsia" w:ascii="仿宋" w:eastAsia="仿宋"/>
          <w:b/>
          <w:bCs/>
          <w:color w:val="auto"/>
          <w:kern w:val="0"/>
          <w:sz w:val="24"/>
          <w:highlight w:val="none"/>
          <w:u w:val="none"/>
        </w:rPr>
        <w:t>、不可抗力事件处理</w:t>
      </w:r>
    </w:p>
    <w:p w14:paraId="18ACC21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71EEA6A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55BB977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1FCD7C5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六</w:t>
      </w:r>
      <w:r>
        <w:rPr>
          <w:rFonts w:hint="eastAsia" w:ascii="仿宋" w:eastAsia="仿宋"/>
          <w:b/>
          <w:bCs/>
          <w:color w:val="auto"/>
          <w:kern w:val="0"/>
          <w:sz w:val="24"/>
          <w:highlight w:val="none"/>
          <w:u w:val="none"/>
        </w:rPr>
        <w:t>、诉讼</w:t>
      </w:r>
    </w:p>
    <w:p w14:paraId="2267E7C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7709744E">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七</w:t>
      </w:r>
      <w:r>
        <w:rPr>
          <w:rFonts w:hint="eastAsia" w:ascii="仿宋" w:eastAsia="仿宋"/>
          <w:b/>
          <w:bCs/>
          <w:color w:val="auto"/>
          <w:kern w:val="0"/>
          <w:sz w:val="24"/>
          <w:highlight w:val="none"/>
          <w:u w:val="none"/>
        </w:rPr>
        <w:t>、合同生效及其他</w:t>
      </w:r>
    </w:p>
    <w:p w14:paraId="319E052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4A56FC9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w:t>
      </w:r>
      <w:r>
        <w:rPr>
          <w:rFonts w:hint="eastAsia" w:ascii="仿宋" w:eastAsia="仿宋"/>
          <w:color w:val="auto"/>
          <w:kern w:val="0"/>
          <w:sz w:val="24"/>
          <w:highlight w:val="none"/>
          <w:u w:val="none"/>
          <w:lang w:eastAsia="zh"/>
          <w:woUserID w:val="1"/>
        </w:rPr>
        <w:t>本项目监督部门</w:t>
      </w:r>
      <w:r>
        <w:rPr>
          <w:rFonts w:hint="eastAsia" w:ascii="仿宋" w:eastAsia="仿宋"/>
          <w:color w:val="auto"/>
          <w:kern w:val="0"/>
          <w:sz w:val="24"/>
          <w:highlight w:val="none"/>
          <w:u w:val="none"/>
        </w:rPr>
        <w:t>审批，并签书面补充协议，经报采购监督管理部门备案后，方可作为主合同不可分割的一部分。</w:t>
      </w:r>
    </w:p>
    <w:p w14:paraId="0CB253E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7FC7DBA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7CF37D4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651C4BB4">
      <w:pPr>
        <w:widowControl/>
        <w:snapToGrid w:val="0"/>
        <w:spacing w:line="480" w:lineRule="exact"/>
        <w:ind w:firstLine="480" w:firstLineChars="200"/>
        <w:rPr>
          <w:rFonts w:hint="eastAsia" w:ascii="仿宋" w:eastAsia="仿宋"/>
          <w:color w:val="auto"/>
          <w:kern w:val="0"/>
          <w:sz w:val="24"/>
          <w:highlight w:val="none"/>
          <w:u w:val="none"/>
        </w:rPr>
      </w:pPr>
    </w:p>
    <w:p w14:paraId="3DA279CF">
      <w:pPr>
        <w:widowControl/>
        <w:snapToGrid w:val="0"/>
        <w:spacing w:line="480" w:lineRule="exact"/>
        <w:ind w:firstLine="480" w:firstLineChars="200"/>
        <w:rPr>
          <w:rFonts w:hint="eastAsia" w:ascii="仿宋" w:eastAsia="仿宋"/>
          <w:color w:val="auto"/>
          <w:kern w:val="0"/>
          <w:sz w:val="24"/>
          <w:highlight w:val="none"/>
          <w:u w:val="none"/>
        </w:rPr>
      </w:pPr>
    </w:p>
    <w:p w14:paraId="16E31887">
      <w:pPr>
        <w:widowControl/>
        <w:snapToGrid w:val="0"/>
        <w:spacing w:line="480" w:lineRule="exact"/>
        <w:ind w:firstLine="480" w:firstLineChars="200"/>
        <w:rPr>
          <w:rFonts w:hint="eastAsia" w:ascii="仿宋" w:eastAsia="仿宋"/>
          <w:color w:val="auto"/>
          <w:kern w:val="0"/>
          <w:sz w:val="24"/>
          <w:highlight w:val="none"/>
          <w:u w:val="none"/>
        </w:rPr>
      </w:pPr>
    </w:p>
    <w:p w14:paraId="6B82608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5A3D5BB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2D81AC1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0F008B4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7158D0E7">
      <w:pPr>
        <w:widowControl/>
        <w:snapToGrid w:val="0"/>
        <w:spacing w:line="480" w:lineRule="exact"/>
        <w:ind w:firstLine="480" w:firstLineChars="200"/>
        <w:rPr>
          <w:rFonts w:hint="eastAsia" w:ascii="仿宋" w:eastAsia="仿宋"/>
          <w:color w:val="auto"/>
          <w:kern w:val="0"/>
          <w:sz w:val="24"/>
          <w:highlight w:val="none"/>
          <w:u w:val="none"/>
        </w:rPr>
      </w:pPr>
    </w:p>
    <w:p w14:paraId="760CF08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5D11B46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5236FDC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2A7386B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1A11773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76B71E7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6C9955C5">
      <w:pPr>
        <w:widowControl/>
        <w:snapToGrid w:val="0"/>
        <w:spacing w:line="480" w:lineRule="exact"/>
        <w:ind w:firstLine="480" w:firstLineChars="200"/>
        <w:rPr>
          <w:rFonts w:ascii="仿宋" w:eastAsia="仿宋"/>
          <w:color w:val="auto"/>
          <w:kern w:val="0"/>
          <w:sz w:val="24"/>
          <w:highlight w:val="none"/>
          <w:u w:val="none"/>
        </w:rPr>
      </w:pPr>
    </w:p>
    <w:p w14:paraId="5BDDCCDC">
      <w:pPr>
        <w:widowControl/>
        <w:snapToGrid w:val="0"/>
        <w:spacing w:line="480" w:lineRule="exact"/>
        <w:ind w:firstLine="480" w:firstLineChars="200"/>
        <w:rPr>
          <w:rFonts w:ascii="仿宋" w:eastAsia="仿宋"/>
          <w:color w:val="auto"/>
          <w:kern w:val="0"/>
          <w:sz w:val="24"/>
          <w:highlight w:val="none"/>
          <w:u w:val="none"/>
        </w:rPr>
      </w:pPr>
    </w:p>
    <w:p w14:paraId="7EE1BD19">
      <w:pPr>
        <w:widowControl/>
        <w:snapToGrid w:val="0"/>
        <w:spacing w:line="480" w:lineRule="exact"/>
        <w:ind w:firstLine="480" w:firstLineChars="200"/>
        <w:rPr>
          <w:rFonts w:ascii="仿宋" w:eastAsia="仿宋"/>
          <w:color w:val="auto"/>
          <w:kern w:val="0"/>
          <w:sz w:val="24"/>
          <w:highlight w:val="none"/>
          <w:u w:val="none"/>
        </w:rPr>
      </w:pPr>
    </w:p>
    <w:p w14:paraId="1E4946F9">
      <w:pPr>
        <w:widowControl/>
        <w:snapToGrid w:val="0"/>
        <w:spacing w:line="480" w:lineRule="exact"/>
        <w:ind w:firstLine="480" w:firstLineChars="200"/>
        <w:rPr>
          <w:rFonts w:ascii="仿宋" w:eastAsia="仿宋"/>
          <w:color w:val="auto"/>
          <w:kern w:val="0"/>
          <w:sz w:val="24"/>
          <w:highlight w:val="none"/>
          <w:u w:val="none"/>
        </w:rPr>
      </w:pPr>
    </w:p>
    <w:p w14:paraId="0F6395D0">
      <w:pPr>
        <w:widowControl/>
        <w:snapToGrid w:val="0"/>
        <w:spacing w:line="480" w:lineRule="exact"/>
        <w:ind w:firstLine="480" w:firstLineChars="200"/>
        <w:rPr>
          <w:rFonts w:ascii="仿宋" w:eastAsia="仿宋"/>
          <w:color w:val="auto"/>
          <w:kern w:val="0"/>
          <w:sz w:val="24"/>
          <w:highlight w:val="none"/>
          <w:u w:val="none"/>
        </w:rPr>
      </w:pPr>
    </w:p>
    <w:p w14:paraId="721021E1">
      <w:pPr>
        <w:widowControl/>
        <w:snapToGrid w:val="0"/>
        <w:spacing w:line="480" w:lineRule="exact"/>
        <w:ind w:firstLine="480" w:firstLineChars="200"/>
        <w:rPr>
          <w:rFonts w:ascii="仿宋" w:eastAsia="仿宋"/>
          <w:color w:val="auto"/>
          <w:kern w:val="0"/>
          <w:sz w:val="24"/>
          <w:highlight w:val="none"/>
          <w:u w:val="none"/>
        </w:rPr>
      </w:pPr>
    </w:p>
    <w:p w14:paraId="6282339E">
      <w:pPr>
        <w:widowControl/>
        <w:snapToGrid w:val="0"/>
        <w:spacing w:line="480" w:lineRule="exact"/>
        <w:ind w:firstLine="480" w:firstLineChars="200"/>
        <w:rPr>
          <w:rFonts w:ascii="仿宋" w:eastAsia="仿宋"/>
          <w:color w:val="auto"/>
          <w:kern w:val="0"/>
          <w:sz w:val="24"/>
          <w:highlight w:val="none"/>
          <w:u w:val="none"/>
        </w:rPr>
      </w:pPr>
    </w:p>
    <w:p w14:paraId="7EBF2480">
      <w:pPr>
        <w:widowControl/>
        <w:snapToGrid w:val="0"/>
        <w:spacing w:line="480" w:lineRule="exact"/>
        <w:ind w:firstLine="480" w:firstLineChars="200"/>
        <w:rPr>
          <w:rFonts w:ascii="仿宋" w:eastAsia="仿宋"/>
          <w:color w:val="auto"/>
          <w:kern w:val="0"/>
          <w:sz w:val="24"/>
          <w:highlight w:val="none"/>
          <w:u w:val="none"/>
        </w:rPr>
      </w:pPr>
    </w:p>
    <w:p w14:paraId="1E84FE23">
      <w:pPr>
        <w:widowControl/>
        <w:snapToGrid w:val="0"/>
        <w:spacing w:line="480" w:lineRule="exact"/>
        <w:ind w:firstLine="480" w:firstLineChars="200"/>
        <w:rPr>
          <w:rFonts w:ascii="仿宋" w:eastAsia="仿宋"/>
          <w:color w:val="auto"/>
          <w:kern w:val="0"/>
          <w:sz w:val="24"/>
          <w:highlight w:val="none"/>
          <w:u w:val="none"/>
        </w:rPr>
      </w:pPr>
    </w:p>
    <w:p w14:paraId="076F57AE">
      <w:pPr>
        <w:widowControl/>
        <w:snapToGrid w:val="0"/>
        <w:spacing w:line="480" w:lineRule="exact"/>
        <w:ind w:firstLine="480" w:firstLineChars="200"/>
        <w:rPr>
          <w:rFonts w:ascii="仿宋" w:eastAsia="仿宋"/>
          <w:color w:val="auto"/>
          <w:kern w:val="0"/>
          <w:sz w:val="24"/>
          <w:highlight w:val="none"/>
          <w:u w:val="none"/>
        </w:rPr>
      </w:pPr>
    </w:p>
    <w:p w14:paraId="01AC2758">
      <w:pPr>
        <w:widowControl/>
        <w:snapToGrid w:val="0"/>
        <w:spacing w:line="480" w:lineRule="exact"/>
        <w:ind w:firstLine="480" w:firstLineChars="200"/>
        <w:rPr>
          <w:rFonts w:ascii="仿宋" w:eastAsia="仿宋"/>
          <w:color w:val="auto"/>
          <w:kern w:val="0"/>
          <w:sz w:val="24"/>
          <w:highlight w:val="none"/>
          <w:u w:val="none"/>
        </w:rPr>
      </w:pPr>
    </w:p>
    <w:p w14:paraId="414CA5E4">
      <w:pPr>
        <w:widowControl/>
        <w:snapToGrid w:val="0"/>
        <w:spacing w:line="480" w:lineRule="exact"/>
        <w:ind w:firstLine="480" w:firstLineChars="200"/>
        <w:rPr>
          <w:rFonts w:ascii="仿宋" w:eastAsia="仿宋"/>
          <w:color w:val="auto"/>
          <w:kern w:val="0"/>
          <w:sz w:val="24"/>
          <w:highlight w:val="none"/>
          <w:u w:val="none"/>
        </w:rPr>
      </w:pPr>
    </w:p>
    <w:p w14:paraId="5ECD880C">
      <w:pPr>
        <w:widowControl/>
        <w:snapToGrid w:val="0"/>
        <w:spacing w:line="480" w:lineRule="exact"/>
        <w:ind w:firstLine="480" w:firstLineChars="200"/>
        <w:rPr>
          <w:rFonts w:ascii="仿宋" w:eastAsia="仿宋"/>
          <w:color w:val="auto"/>
          <w:kern w:val="0"/>
          <w:sz w:val="24"/>
          <w:highlight w:val="none"/>
          <w:u w:val="none"/>
        </w:rPr>
      </w:pPr>
    </w:p>
    <w:p w14:paraId="2FD58BA5">
      <w:pPr>
        <w:widowControl/>
        <w:snapToGrid w:val="0"/>
        <w:spacing w:line="480" w:lineRule="exact"/>
        <w:ind w:firstLine="480" w:firstLineChars="200"/>
        <w:rPr>
          <w:rFonts w:ascii="仿宋" w:eastAsia="仿宋"/>
          <w:color w:val="auto"/>
          <w:kern w:val="0"/>
          <w:sz w:val="24"/>
          <w:highlight w:val="none"/>
          <w:u w:val="none"/>
        </w:rPr>
      </w:pPr>
    </w:p>
    <w:p w14:paraId="178710CD">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52" w:name="_Toc5561"/>
      <w:r>
        <w:rPr>
          <w:rFonts w:hint="eastAsia" w:ascii="仿宋"/>
          <w:color w:val="auto"/>
          <w:highlight w:val="none"/>
        </w:rPr>
        <w:t>第五章  评标办法及标准</w:t>
      </w:r>
      <w:bookmarkEnd w:id="52"/>
    </w:p>
    <w:p w14:paraId="49922BAB">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6825A916">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ABDCB33">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1A96E73B">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42949E6E">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C0240B6">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60</w:t>
      </w:r>
      <w:r>
        <w:rPr>
          <w:rFonts w:hint="eastAsia" w:ascii="仿宋" w:eastAsia="仿宋"/>
          <w:color w:val="auto"/>
          <w:sz w:val="24"/>
          <w:highlight w:val="none"/>
          <w:u w:val="single"/>
        </w:rPr>
        <w:t xml:space="preserve"> </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40</w:t>
      </w:r>
      <w:r>
        <w:rPr>
          <w:rFonts w:hint="eastAsia" w:ascii="仿宋" w:eastAsia="仿宋"/>
          <w:color w:val="auto"/>
          <w:sz w:val="24"/>
          <w:highlight w:val="none"/>
          <w:u w:val="single"/>
        </w:rPr>
        <w:t xml:space="preserve"> </w:t>
      </w:r>
      <w:r>
        <w:rPr>
          <w:rFonts w:hint="eastAsia" w:ascii="仿宋" w:eastAsia="仿宋"/>
          <w:color w:val="auto"/>
          <w:sz w:val="24"/>
          <w:highlight w:val="none"/>
        </w:rPr>
        <w:t>分。下述所列为评分依据，分值如下（计算分值时，按其算术平均值保留小数2位）。</w:t>
      </w:r>
    </w:p>
    <w:p w14:paraId="64B05B72">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8"/>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05"/>
        <w:gridCol w:w="6195"/>
        <w:gridCol w:w="832"/>
      </w:tblGrid>
      <w:tr w14:paraId="4E01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0" w:type="dxa"/>
            <w:tcBorders>
              <w:tl2br w:val="nil"/>
              <w:tr2bl w:val="nil"/>
            </w:tcBorders>
            <w:noWrap w:val="0"/>
            <w:vAlign w:val="center"/>
          </w:tcPr>
          <w:p w14:paraId="5919E910">
            <w:pPr>
              <w:spacing w:line="360" w:lineRule="exact"/>
              <w:jc w:val="center"/>
              <w:rPr>
                <w:rFonts w:ascii="仿宋" w:eastAsia="仿宋" w:cs="仿宋"/>
                <w:color w:val="auto"/>
                <w:sz w:val="24"/>
                <w:highlight w:val="none"/>
              </w:rPr>
            </w:pPr>
            <w:r>
              <w:rPr>
                <w:rFonts w:hint="eastAsia" w:ascii="仿宋" w:eastAsia="仿宋" w:cs="仿宋"/>
                <w:color w:val="auto"/>
                <w:kern w:val="0"/>
                <w:sz w:val="24"/>
                <w:highlight w:val="none"/>
              </w:rPr>
              <w:t>序号</w:t>
            </w:r>
          </w:p>
        </w:tc>
        <w:tc>
          <w:tcPr>
            <w:tcW w:w="1905" w:type="dxa"/>
            <w:tcBorders>
              <w:tl2br w:val="nil"/>
              <w:tr2bl w:val="nil"/>
            </w:tcBorders>
            <w:noWrap w:val="0"/>
            <w:vAlign w:val="center"/>
          </w:tcPr>
          <w:p w14:paraId="17E45DB9">
            <w:pPr>
              <w:spacing w:line="360" w:lineRule="exact"/>
              <w:jc w:val="center"/>
              <w:rPr>
                <w:rFonts w:ascii="仿宋" w:eastAsia="仿宋" w:cs="仿宋"/>
                <w:color w:val="auto"/>
                <w:sz w:val="24"/>
                <w:highlight w:val="none"/>
              </w:rPr>
            </w:pPr>
            <w:r>
              <w:rPr>
                <w:rFonts w:hint="eastAsia" w:ascii="仿宋" w:eastAsia="仿宋" w:cs="仿宋"/>
                <w:color w:val="auto"/>
                <w:kern w:val="0"/>
                <w:sz w:val="24"/>
                <w:highlight w:val="none"/>
              </w:rPr>
              <w:t>评分类型</w:t>
            </w:r>
          </w:p>
        </w:tc>
        <w:tc>
          <w:tcPr>
            <w:tcW w:w="6195" w:type="dxa"/>
            <w:tcBorders>
              <w:tl2br w:val="nil"/>
              <w:tr2bl w:val="nil"/>
            </w:tcBorders>
            <w:noWrap w:val="0"/>
            <w:vAlign w:val="center"/>
          </w:tcPr>
          <w:p w14:paraId="0964D241">
            <w:pPr>
              <w:spacing w:line="360" w:lineRule="exact"/>
              <w:jc w:val="center"/>
              <w:rPr>
                <w:rFonts w:ascii="仿宋" w:eastAsia="仿宋" w:cs="仿宋"/>
                <w:color w:val="auto"/>
                <w:sz w:val="24"/>
                <w:highlight w:val="none"/>
              </w:rPr>
            </w:pPr>
            <w:r>
              <w:rPr>
                <w:rFonts w:hint="eastAsia" w:ascii="仿宋" w:eastAsia="仿宋" w:cs="仿宋"/>
                <w:color w:val="auto"/>
                <w:kern w:val="0"/>
                <w:sz w:val="24"/>
                <w:highlight w:val="none"/>
              </w:rPr>
              <w:t>评分标准</w:t>
            </w:r>
          </w:p>
        </w:tc>
        <w:tc>
          <w:tcPr>
            <w:tcW w:w="832" w:type="dxa"/>
            <w:tcBorders>
              <w:tl2br w:val="nil"/>
              <w:tr2bl w:val="nil"/>
            </w:tcBorders>
            <w:noWrap w:val="0"/>
            <w:vAlign w:val="center"/>
          </w:tcPr>
          <w:p w14:paraId="3B263BD8">
            <w:pPr>
              <w:spacing w:line="360" w:lineRule="exact"/>
              <w:jc w:val="center"/>
              <w:rPr>
                <w:rFonts w:ascii="仿宋" w:eastAsia="仿宋" w:cs="仿宋"/>
                <w:color w:val="auto"/>
                <w:sz w:val="24"/>
                <w:highlight w:val="none"/>
              </w:rPr>
            </w:pPr>
            <w:r>
              <w:rPr>
                <w:rFonts w:hint="eastAsia" w:ascii="仿宋" w:eastAsia="仿宋" w:cs="仿宋"/>
                <w:color w:val="auto"/>
                <w:kern w:val="0"/>
                <w:sz w:val="24"/>
                <w:highlight w:val="none"/>
              </w:rPr>
              <w:t>分值</w:t>
            </w:r>
          </w:p>
        </w:tc>
      </w:tr>
      <w:tr w14:paraId="12AC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80" w:type="dxa"/>
            <w:vMerge w:val="restart"/>
            <w:tcBorders>
              <w:tl2br w:val="nil"/>
              <w:tr2bl w:val="nil"/>
            </w:tcBorders>
            <w:noWrap w:val="0"/>
            <w:vAlign w:val="center"/>
          </w:tcPr>
          <w:p w14:paraId="6357BD6C">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none"/>
              </w:rPr>
              <w:t>1</w:t>
            </w:r>
          </w:p>
        </w:tc>
        <w:tc>
          <w:tcPr>
            <w:tcW w:w="1905" w:type="dxa"/>
            <w:vMerge w:val="restart"/>
            <w:tcBorders>
              <w:tl2br w:val="nil"/>
              <w:tr2bl w:val="nil"/>
            </w:tcBorders>
            <w:noWrap w:val="0"/>
            <w:vAlign w:val="center"/>
          </w:tcPr>
          <w:p w14:paraId="2A759548">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同类项目业绩</w:t>
            </w:r>
          </w:p>
        </w:tc>
        <w:tc>
          <w:tcPr>
            <w:tcW w:w="6195" w:type="dxa"/>
            <w:tcBorders>
              <w:tl2br w:val="nil"/>
              <w:tr2bl w:val="nil"/>
            </w:tcBorders>
            <w:noWrap w:val="0"/>
            <w:vAlign w:val="center"/>
          </w:tcPr>
          <w:p w14:paraId="6FEA963B">
            <w:pPr>
              <w:adjustRightInd w:val="0"/>
              <w:snapToGrid w:val="0"/>
              <w:spacing w:line="360" w:lineRule="exact"/>
              <w:rPr>
                <w:rFonts w:ascii="仿宋" w:eastAsia="仿宋" w:cs="仿宋"/>
                <w:color w:val="auto"/>
                <w:sz w:val="24"/>
                <w:highlight w:val="green"/>
              </w:rPr>
            </w:pPr>
            <w:r>
              <w:rPr>
                <w:rFonts w:hint="eastAsia" w:ascii="仿宋" w:eastAsia="仿宋" w:cs="仿宋"/>
                <w:color w:val="auto"/>
                <w:sz w:val="24"/>
                <w:highlight w:val="green"/>
              </w:rPr>
              <w:t>1.1投标人</w:t>
            </w:r>
            <w:r>
              <w:rPr>
                <w:rFonts w:hint="eastAsia" w:ascii="仿宋" w:eastAsia="仿宋" w:cs="仿宋"/>
                <w:color w:val="auto"/>
                <w:sz w:val="24"/>
                <w:highlight w:val="green"/>
                <w:lang w:val="en-US" w:eastAsia="zh-CN"/>
              </w:rPr>
              <w:t>2020年1月1日至今（以合同签订时间为准）</w:t>
            </w:r>
            <w:r>
              <w:rPr>
                <w:rFonts w:hint="eastAsia" w:ascii="仿宋" w:eastAsia="仿宋" w:cs="仿宋"/>
                <w:color w:val="auto"/>
                <w:sz w:val="24"/>
                <w:highlight w:val="green"/>
              </w:rPr>
              <w:t>具有重大活动保障走航工作经验</w:t>
            </w:r>
            <w:r>
              <w:rPr>
                <w:rFonts w:hint="eastAsia" w:ascii="仿宋" w:eastAsia="仿宋" w:cs="仿宋"/>
                <w:color w:val="auto"/>
                <w:sz w:val="24"/>
                <w:highlight w:val="green"/>
                <w:lang w:val="en-US" w:eastAsia="zh-CN"/>
              </w:rPr>
              <w:t>的</w:t>
            </w:r>
            <w:r>
              <w:rPr>
                <w:rFonts w:hint="eastAsia" w:ascii="仿宋" w:eastAsia="仿宋" w:cs="仿宋"/>
                <w:color w:val="auto"/>
                <w:sz w:val="24"/>
                <w:highlight w:val="green"/>
              </w:rPr>
              <w:t>，每</w:t>
            </w:r>
            <w:r>
              <w:rPr>
                <w:rFonts w:hint="eastAsia" w:ascii="仿宋" w:eastAsia="仿宋" w:cs="仿宋"/>
                <w:color w:val="auto"/>
                <w:sz w:val="24"/>
                <w:highlight w:val="green"/>
                <w:lang w:val="en-US" w:eastAsia="zh-CN"/>
              </w:rPr>
              <w:t>个项目</w:t>
            </w:r>
            <w:r>
              <w:rPr>
                <w:rFonts w:hint="eastAsia" w:ascii="仿宋" w:eastAsia="仿宋" w:cs="仿宋"/>
                <w:color w:val="auto"/>
                <w:sz w:val="24"/>
                <w:highlight w:val="green"/>
              </w:rPr>
              <w:t>得0.5分</w:t>
            </w:r>
            <w:r>
              <w:rPr>
                <w:rFonts w:hint="eastAsia" w:ascii="仿宋" w:eastAsia="仿宋" w:cs="仿宋"/>
                <w:color w:val="auto"/>
                <w:sz w:val="24"/>
                <w:highlight w:val="green"/>
                <w:lang w:eastAsia="zh-CN"/>
              </w:rPr>
              <w:t>。</w:t>
            </w:r>
            <w:r>
              <w:rPr>
                <w:rFonts w:hint="eastAsia" w:ascii="仿宋" w:eastAsia="仿宋" w:cs="仿宋"/>
                <w:color w:val="auto"/>
                <w:sz w:val="24"/>
                <w:highlight w:val="green"/>
                <w:lang w:val="en-US" w:eastAsia="zh-CN"/>
              </w:rPr>
              <w:t>须</w:t>
            </w:r>
            <w:r>
              <w:rPr>
                <w:rFonts w:hint="eastAsia" w:ascii="仿宋" w:eastAsia="仿宋" w:cs="仿宋"/>
                <w:color w:val="auto"/>
                <w:sz w:val="24"/>
                <w:highlight w:val="green"/>
              </w:rPr>
              <w:t>提供中标通知书或合同复印件等证明材料，并加盖投标人公章</w:t>
            </w:r>
            <w:r>
              <w:rPr>
                <w:rFonts w:hint="eastAsia" w:ascii="仿宋" w:eastAsia="仿宋" w:cs="仿宋"/>
                <w:color w:val="auto"/>
                <w:sz w:val="24"/>
                <w:highlight w:val="green"/>
                <w:lang w:eastAsia="zh-CN"/>
              </w:rPr>
              <w:t>，</w:t>
            </w:r>
            <w:r>
              <w:rPr>
                <w:rFonts w:hint="eastAsia" w:ascii="仿宋" w:eastAsia="仿宋" w:cs="仿宋"/>
                <w:color w:val="auto"/>
                <w:sz w:val="24"/>
                <w:highlight w:val="green"/>
                <w:lang w:val="en-US" w:eastAsia="zh-CN"/>
              </w:rPr>
              <w:t>不得重复计分，本项最高得1</w:t>
            </w:r>
            <w:r>
              <w:rPr>
                <w:rFonts w:hint="eastAsia" w:ascii="仿宋" w:eastAsia="仿宋" w:cs="仿宋"/>
                <w:color w:val="auto"/>
                <w:sz w:val="24"/>
                <w:highlight w:val="green"/>
              </w:rPr>
              <w:t>分。</w:t>
            </w:r>
          </w:p>
        </w:tc>
        <w:tc>
          <w:tcPr>
            <w:tcW w:w="832" w:type="dxa"/>
            <w:tcBorders>
              <w:tl2br w:val="nil"/>
              <w:tr2bl w:val="nil"/>
            </w:tcBorders>
            <w:noWrap w:val="0"/>
            <w:vAlign w:val="center"/>
          </w:tcPr>
          <w:p w14:paraId="0809F446">
            <w:pPr>
              <w:adjustRightInd w:val="0"/>
              <w:snapToGrid w:val="0"/>
              <w:spacing w:line="360" w:lineRule="exact"/>
              <w:jc w:val="center"/>
              <w:rPr>
                <w:rFonts w:ascii="仿宋" w:eastAsia="仿宋" w:cs="仿宋"/>
                <w:color w:val="auto"/>
                <w:sz w:val="24"/>
                <w:highlight w:val="green"/>
              </w:rPr>
            </w:pPr>
            <w:r>
              <w:rPr>
                <w:rFonts w:hint="eastAsia" w:ascii="仿宋" w:eastAsia="仿宋" w:cs="仿宋"/>
                <w:color w:val="auto"/>
                <w:sz w:val="24"/>
                <w:highlight w:val="green"/>
                <w:lang w:val="en-US" w:eastAsia="zh-CN"/>
              </w:rPr>
              <w:t>1</w:t>
            </w:r>
            <w:r>
              <w:rPr>
                <w:rFonts w:hint="eastAsia" w:ascii="仿宋" w:eastAsia="仿宋" w:cs="仿宋"/>
                <w:color w:val="auto"/>
                <w:sz w:val="24"/>
                <w:highlight w:val="green"/>
              </w:rPr>
              <w:t>分</w:t>
            </w:r>
          </w:p>
        </w:tc>
      </w:tr>
      <w:tr w14:paraId="601F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80" w:type="dxa"/>
            <w:vMerge w:val="continue"/>
            <w:tcBorders>
              <w:tl2br w:val="nil"/>
              <w:tr2bl w:val="nil"/>
            </w:tcBorders>
            <w:noWrap w:val="0"/>
            <w:vAlign w:val="center"/>
          </w:tcPr>
          <w:p w14:paraId="5025097E">
            <w:pPr>
              <w:rPr>
                <w:color w:val="auto"/>
                <w:highlight w:val="none"/>
              </w:rPr>
            </w:pPr>
          </w:p>
        </w:tc>
        <w:tc>
          <w:tcPr>
            <w:tcW w:w="1905" w:type="dxa"/>
            <w:vMerge w:val="continue"/>
            <w:tcBorders>
              <w:tl2br w:val="nil"/>
              <w:tr2bl w:val="nil"/>
            </w:tcBorders>
            <w:noWrap w:val="0"/>
            <w:vAlign w:val="center"/>
          </w:tcPr>
          <w:p w14:paraId="6F809F74">
            <w:pPr>
              <w:rPr>
                <w:color w:val="auto"/>
                <w:highlight w:val="none"/>
              </w:rPr>
            </w:pPr>
          </w:p>
        </w:tc>
        <w:tc>
          <w:tcPr>
            <w:tcW w:w="6195" w:type="dxa"/>
            <w:tcBorders>
              <w:tl2br w:val="nil"/>
              <w:tr2bl w:val="nil"/>
            </w:tcBorders>
            <w:noWrap w:val="0"/>
            <w:vAlign w:val="center"/>
          </w:tcPr>
          <w:p w14:paraId="252FAFA9">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1.2投标人所投设备（</w:t>
            </w:r>
            <w:r>
              <w:rPr>
                <w:rFonts w:hint="eastAsia" w:ascii="仿宋" w:eastAsia="仿宋" w:cs="仿宋"/>
                <w:color w:val="auto"/>
                <w:sz w:val="24"/>
                <w:highlight w:val="none"/>
                <w:lang w:val="en-US" w:eastAsia="zh-CN"/>
              </w:rPr>
              <w:t>须</w:t>
            </w:r>
            <w:r>
              <w:rPr>
                <w:rFonts w:hint="eastAsia" w:ascii="仿宋" w:eastAsia="仿宋" w:cs="仿宋"/>
                <w:color w:val="auto"/>
                <w:sz w:val="24"/>
                <w:highlight w:val="none"/>
              </w:rPr>
              <w:t>包括VOCs走航设备）采购项目案例，提供中标通知书或合同复印件等证明材料，并加盖投标人公章，每提供一份得1分，满分</w:t>
            </w:r>
            <w:r>
              <w:rPr>
                <w:rFonts w:hint="eastAsia" w:ascii="仿宋" w:eastAsia="仿宋" w:cs="仿宋"/>
                <w:color w:val="auto"/>
                <w:sz w:val="24"/>
                <w:highlight w:val="green"/>
              </w:rPr>
              <w:t>共</w:t>
            </w:r>
            <w:r>
              <w:rPr>
                <w:rFonts w:hint="eastAsia" w:ascii="仿宋" w:eastAsia="仿宋" w:cs="仿宋"/>
                <w:color w:val="auto"/>
                <w:sz w:val="24"/>
                <w:highlight w:val="green"/>
                <w:lang w:val="en-US" w:eastAsia="zh-CN"/>
              </w:rPr>
              <w:t>3</w:t>
            </w:r>
            <w:r>
              <w:rPr>
                <w:rFonts w:hint="eastAsia" w:ascii="仿宋" w:eastAsia="仿宋" w:cs="仿宋"/>
                <w:color w:val="auto"/>
                <w:sz w:val="24"/>
                <w:highlight w:val="none"/>
              </w:rPr>
              <w:t>分。</w:t>
            </w:r>
          </w:p>
        </w:tc>
        <w:tc>
          <w:tcPr>
            <w:tcW w:w="832" w:type="dxa"/>
            <w:tcBorders>
              <w:tl2br w:val="nil"/>
              <w:tr2bl w:val="nil"/>
            </w:tcBorders>
            <w:noWrap w:val="0"/>
            <w:vAlign w:val="center"/>
          </w:tcPr>
          <w:p w14:paraId="47987577">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green"/>
                <w:lang w:val="en-US" w:eastAsia="zh-CN"/>
              </w:rPr>
              <w:t>3</w:t>
            </w:r>
            <w:r>
              <w:rPr>
                <w:rFonts w:hint="eastAsia" w:ascii="仿宋" w:eastAsia="仿宋" w:cs="仿宋"/>
                <w:color w:val="auto"/>
                <w:sz w:val="24"/>
                <w:highlight w:val="none"/>
              </w:rPr>
              <w:t>分</w:t>
            </w:r>
          </w:p>
        </w:tc>
      </w:tr>
      <w:tr w14:paraId="5127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80" w:type="dxa"/>
            <w:tcBorders>
              <w:tl2br w:val="nil"/>
              <w:tr2bl w:val="nil"/>
            </w:tcBorders>
            <w:noWrap w:val="0"/>
            <w:vAlign w:val="center"/>
          </w:tcPr>
          <w:p w14:paraId="344815A3">
            <w:pPr>
              <w:jc w:val="center"/>
              <w:rPr>
                <w:rFonts w:hint="eastAsia" w:eastAsia="宋体"/>
                <w:color w:val="auto"/>
                <w:highlight w:val="none"/>
                <w:lang w:val="en-US" w:eastAsia="zh-CN"/>
              </w:rPr>
            </w:pPr>
            <w:r>
              <w:rPr>
                <w:rFonts w:hint="eastAsia" w:ascii="仿宋" w:eastAsia="仿宋" w:cs="仿宋"/>
                <w:color w:val="auto"/>
                <w:sz w:val="24"/>
                <w:highlight w:val="none"/>
                <w:lang w:val="en-US" w:eastAsia="zh-CN"/>
              </w:rPr>
              <w:t>2</w:t>
            </w:r>
          </w:p>
        </w:tc>
        <w:tc>
          <w:tcPr>
            <w:tcW w:w="1905" w:type="dxa"/>
            <w:tcBorders>
              <w:tl2br w:val="nil"/>
              <w:tr2bl w:val="nil"/>
            </w:tcBorders>
            <w:noWrap w:val="0"/>
            <w:vAlign w:val="center"/>
          </w:tcPr>
          <w:p w14:paraId="2F71C172">
            <w:pPr>
              <w:jc w:val="center"/>
              <w:rPr>
                <w:rFonts w:hint="eastAsia" w:eastAsia="宋体"/>
                <w:color w:val="auto"/>
                <w:highlight w:val="none"/>
                <w:lang w:val="en-US" w:eastAsia="zh-CN"/>
              </w:rPr>
            </w:pPr>
            <w:r>
              <w:rPr>
                <w:rFonts w:hint="eastAsia" w:ascii="仿宋" w:eastAsia="仿宋" w:cs="仿宋"/>
                <w:color w:val="auto"/>
                <w:sz w:val="24"/>
                <w:highlight w:val="none"/>
                <w:lang w:val="en-US" w:eastAsia="zh-CN"/>
              </w:rPr>
              <w:t>荣誉</w:t>
            </w:r>
          </w:p>
        </w:tc>
        <w:tc>
          <w:tcPr>
            <w:tcW w:w="6195" w:type="dxa"/>
            <w:tcBorders>
              <w:tl2br w:val="nil"/>
              <w:tr2bl w:val="nil"/>
            </w:tcBorders>
            <w:noWrap w:val="0"/>
            <w:vAlign w:val="center"/>
          </w:tcPr>
          <w:p w14:paraId="06BA9069">
            <w:pPr>
              <w:adjustRightInd w:val="0"/>
              <w:snapToGrid w:val="0"/>
              <w:spacing w:line="360" w:lineRule="exact"/>
              <w:rPr>
                <w:rFonts w:hint="eastAsia" w:ascii="仿宋" w:eastAsia="仿宋" w:cs="仿宋"/>
                <w:color w:val="auto"/>
                <w:sz w:val="24"/>
                <w:highlight w:val="none"/>
              </w:rPr>
            </w:pPr>
            <w:r>
              <w:rPr>
                <w:rFonts w:ascii="仿宋" w:eastAsia="仿宋" w:cs="仿宋"/>
                <w:color w:val="auto"/>
                <w:sz w:val="24"/>
                <w:highlight w:val="green"/>
              </w:rPr>
              <w:t>投标人202</w:t>
            </w:r>
            <w:r>
              <w:rPr>
                <w:rFonts w:hint="eastAsia" w:ascii="仿宋" w:eastAsia="仿宋" w:cs="仿宋"/>
                <w:color w:val="auto"/>
                <w:sz w:val="24"/>
                <w:highlight w:val="green"/>
                <w:lang w:val="en-US" w:eastAsia="zh-CN"/>
              </w:rPr>
              <w:t>0</w:t>
            </w:r>
            <w:r>
              <w:rPr>
                <w:rFonts w:ascii="仿宋" w:eastAsia="仿宋" w:cs="仿宋"/>
                <w:color w:val="auto"/>
                <w:sz w:val="24"/>
                <w:highlight w:val="green"/>
              </w:rPr>
              <w:t>年以来获得过</w:t>
            </w:r>
            <w:r>
              <w:rPr>
                <w:rFonts w:hint="eastAsia" w:ascii="仿宋" w:eastAsia="仿宋" w:cs="仿宋"/>
                <w:color w:val="auto"/>
                <w:sz w:val="24"/>
                <w:highlight w:val="green"/>
                <w:lang w:val="en-US" w:eastAsia="zh-CN"/>
              </w:rPr>
              <w:t>市级</w:t>
            </w:r>
            <w:r>
              <w:rPr>
                <w:rFonts w:ascii="仿宋" w:eastAsia="仿宋" w:cs="仿宋"/>
                <w:color w:val="auto"/>
                <w:sz w:val="24"/>
                <w:highlight w:val="green"/>
              </w:rPr>
              <w:t>科学技术奖项的得</w:t>
            </w:r>
            <w:r>
              <w:rPr>
                <w:rFonts w:hint="eastAsia" w:ascii="仿宋" w:eastAsia="仿宋" w:cs="仿宋"/>
                <w:color w:val="auto"/>
                <w:sz w:val="24"/>
                <w:highlight w:val="green"/>
                <w:lang w:val="en-US" w:eastAsia="zh-CN"/>
              </w:rPr>
              <w:t>0.5</w:t>
            </w:r>
            <w:r>
              <w:rPr>
                <w:rFonts w:ascii="仿宋" w:eastAsia="仿宋" w:cs="仿宋"/>
                <w:color w:val="auto"/>
                <w:sz w:val="24"/>
                <w:highlight w:val="green"/>
              </w:rPr>
              <w:t>分</w:t>
            </w:r>
            <w:r>
              <w:rPr>
                <w:rFonts w:hint="eastAsia" w:ascii="仿宋" w:eastAsia="仿宋" w:cs="仿宋"/>
                <w:color w:val="auto"/>
                <w:sz w:val="24"/>
                <w:highlight w:val="green"/>
                <w:lang w:eastAsia="zh-CN"/>
              </w:rPr>
              <w:t>，</w:t>
            </w:r>
            <w:r>
              <w:rPr>
                <w:rFonts w:ascii="仿宋" w:eastAsia="仿宋" w:cs="仿宋"/>
                <w:color w:val="auto"/>
                <w:sz w:val="24"/>
                <w:highlight w:val="green"/>
              </w:rPr>
              <w:t>省级及以上科学技术奖项的得1分</w:t>
            </w:r>
            <w:r>
              <w:rPr>
                <w:rFonts w:hint="eastAsia" w:ascii="仿宋" w:eastAsia="仿宋" w:cs="仿宋"/>
                <w:color w:val="auto"/>
                <w:sz w:val="24"/>
                <w:highlight w:val="green"/>
                <w:lang w:eastAsia="zh-CN"/>
              </w:rPr>
              <w:t>，</w:t>
            </w:r>
            <w:r>
              <w:rPr>
                <w:rFonts w:hint="eastAsia" w:ascii="仿宋" w:eastAsia="仿宋" w:cs="仿宋"/>
                <w:color w:val="auto"/>
                <w:sz w:val="24"/>
                <w:highlight w:val="green"/>
                <w:lang w:val="en-US" w:eastAsia="zh-CN"/>
              </w:rPr>
              <w:t>须</w:t>
            </w:r>
            <w:r>
              <w:rPr>
                <w:rFonts w:ascii="仿宋" w:eastAsia="仿宋" w:cs="仿宋"/>
                <w:color w:val="auto"/>
                <w:sz w:val="24"/>
                <w:highlight w:val="green"/>
              </w:rPr>
              <w:t>提供证书复印件并加盖</w:t>
            </w:r>
            <w:r>
              <w:rPr>
                <w:rFonts w:hint="eastAsia" w:ascii="仿宋" w:eastAsia="仿宋" w:cs="仿宋"/>
                <w:color w:val="auto"/>
                <w:sz w:val="24"/>
                <w:highlight w:val="green"/>
              </w:rPr>
              <w:t>投标人</w:t>
            </w:r>
            <w:r>
              <w:rPr>
                <w:rFonts w:ascii="仿宋" w:eastAsia="仿宋" w:cs="仿宋"/>
                <w:color w:val="auto"/>
                <w:sz w:val="24"/>
                <w:highlight w:val="green"/>
              </w:rPr>
              <w:t>公章，本项最高得</w:t>
            </w:r>
            <w:r>
              <w:rPr>
                <w:rFonts w:hint="eastAsia" w:ascii="仿宋" w:eastAsia="仿宋" w:cs="仿宋"/>
                <w:color w:val="auto"/>
                <w:sz w:val="24"/>
                <w:highlight w:val="green"/>
                <w:lang w:val="en-US" w:eastAsia="zh-CN"/>
              </w:rPr>
              <w:t>2</w:t>
            </w:r>
            <w:r>
              <w:rPr>
                <w:rFonts w:ascii="仿宋" w:eastAsia="仿宋" w:cs="仿宋"/>
                <w:color w:val="auto"/>
                <w:sz w:val="24"/>
                <w:highlight w:val="green"/>
              </w:rPr>
              <w:t>分。</w:t>
            </w:r>
          </w:p>
        </w:tc>
        <w:tc>
          <w:tcPr>
            <w:tcW w:w="832" w:type="dxa"/>
            <w:tcBorders>
              <w:tl2br w:val="nil"/>
              <w:tr2bl w:val="nil"/>
            </w:tcBorders>
            <w:noWrap w:val="0"/>
            <w:vAlign w:val="center"/>
          </w:tcPr>
          <w:p w14:paraId="42D34C78">
            <w:pPr>
              <w:adjustRightInd w:val="0"/>
              <w:snapToGrid w:val="0"/>
              <w:spacing w:line="360" w:lineRule="exact"/>
              <w:jc w:val="center"/>
              <w:rPr>
                <w:rFonts w:hint="default" w:ascii="仿宋" w:eastAsia="仿宋" w:cs="仿宋"/>
                <w:color w:val="auto"/>
                <w:sz w:val="24"/>
                <w:highlight w:val="none"/>
                <w:lang w:val="en-US" w:eastAsia="zh-CN"/>
              </w:rPr>
            </w:pPr>
            <w:r>
              <w:rPr>
                <w:rFonts w:hint="eastAsia" w:ascii="仿宋" w:eastAsia="仿宋" w:cs="仿宋"/>
                <w:color w:val="auto"/>
                <w:sz w:val="24"/>
                <w:highlight w:val="green"/>
                <w:lang w:val="en-US" w:eastAsia="zh-CN"/>
              </w:rPr>
              <w:t>2分</w:t>
            </w:r>
          </w:p>
        </w:tc>
      </w:tr>
      <w:tr w14:paraId="1EEE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0" w:type="dxa"/>
            <w:tcBorders>
              <w:tl2br w:val="nil"/>
              <w:tr2bl w:val="nil"/>
            </w:tcBorders>
            <w:noWrap w:val="0"/>
            <w:vAlign w:val="center"/>
          </w:tcPr>
          <w:p w14:paraId="400C82D3">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none"/>
              </w:rPr>
              <w:t>2</w:t>
            </w:r>
          </w:p>
        </w:tc>
        <w:tc>
          <w:tcPr>
            <w:tcW w:w="1905" w:type="dxa"/>
            <w:tcBorders>
              <w:tl2br w:val="nil"/>
              <w:tr2bl w:val="nil"/>
            </w:tcBorders>
            <w:noWrap w:val="0"/>
            <w:vAlign w:val="center"/>
          </w:tcPr>
          <w:p w14:paraId="40FC69D2">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lang w:val="en-US" w:eastAsia="zh-CN"/>
              </w:rPr>
              <w:t>采购需求</w:t>
            </w:r>
            <w:r>
              <w:rPr>
                <w:rFonts w:hint="eastAsia" w:ascii="仿宋" w:eastAsia="仿宋" w:cs="仿宋"/>
                <w:color w:val="auto"/>
                <w:sz w:val="24"/>
                <w:highlight w:val="none"/>
              </w:rPr>
              <w:t>响应情况</w:t>
            </w:r>
          </w:p>
        </w:tc>
        <w:tc>
          <w:tcPr>
            <w:tcW w:w="6195" w:type="dxa"/>
            <w:tcBorders>
              <w:tl2br w:val="nil"/>
              <w:tr2bl w:val="nil"/>
            </w:tcBorders>
            <w:noWrap w:val="0"/>
            <w:vAlign w:val="center"/>
          </w:tcPr>
          <w:p w14:paraId="5E0C2071">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根据投标人针对本项目内容响应情况进行逐条对照打分</w:t>
            </w:r>
            <w:r>
              <w:rPr>
                <w:rFonts w:hint="eastAsia" w:ascii="仿宋" w:eastAsia="仿宋" w:cs="仿宋"/>
                <w:color w:val="auto"/>
                <w:sz w:val="24"/>
                <w:highlight w:val="none"/>
                <w:lang w:eastAsia="zh-CN"/>
              </w:rPr>
              <w:t>，</w:t>
            </w:r>
            <w:r>
              <w:rPr>
                <w:rFonts w:hint="default" w:ascii="仿宋" w:eastAsia="仿宋" w:cs="仿宋"/>
                <w:color w:val="auto"/>
                <w:sz w:val="24"/>
                <w:highlight w:val="none"/>
              </w:rPr>
              <w:t>演示部分参数按演示打分，不在符合性中打分</w:t>
            </w:r>
            <w:r>
              <w:rPr>
                <w:rFonts w:hint="eastAsia" w:ascii="仿宋" w:eastAsia="仿宋" w:cs="仿宋"/>
                <w:color w:val="auto"/>
                <w:sz w:val="24"/>
                <w:highlight w:val="none"/>
              </w:rPr>
              <w:t>。技术指标评审基准分为2</w:t>
            </w:r>
            <w:r>
              <w:rPr>
                <w:rFonts w:hint="eastAsia" w:ascii="仿宋" w:eastAsia="仿宋" w:cs="仿宋"/>
                <w:color w:val="auto"/>
                <w:sz w:val="24"/>
                <w:highlight w:val="none"/>
                <w:lang w:val="en-US" w:eastAsia="zh-CN"/>
              </w:rPr>
              <w:t>4</w:t>
            </w:r>
            <w:r>
              <w:rPr>
                <w:rFonts w:hint="eastAsia" w:ascii="仿宋" w:eastAsia="仿宋" w:cs="仿宋"/>
                <w:color w:val="auto"/>
                <w:sz w:val="24"/>
                <w:highlight w:val="none"/>
              </w:rPr>
              <w:t>分，根据技术指标的偏离情况按以下标准进行评审：</w:t>
            </w:r>
          </w:p>
          <w:p w14:paraId="42CF6CCE">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a．标记为“</w:t>
            </w:r>
            <w:r>
              <w:rPr>
                <w:rFonts w:hint="eastAsia" w:ascii="仿宋" w:hAnsi="仿宋" w:eastAsia="仿宋" w:cs="仿宋"/>
                <w:color w:val="auto"/>
                <w:sz w:val="24"/>
                <w:szCs w:val="24"/>
                <w:highlight w:val="none"/>
              </w:rPr>
              <w:t>▲</w:t>
            </w:r>
            <w:r>
              <w:rPr>
                <w:rFonts w:hint="eastAsia" w:ascii="仿宋" w:eastAsia="仿宋" w:cs="仿宋"/>
                <w:color w:val="auto"/>
                <w:sz w:val="24"/>
                <w:highlight w:val="none"/>
              </w:rPr>
              <w:t>”的指标是重要技术条款，正偏离不加分，负偏离减</w:t>
            </w:r>
            <w:r>
              <w:rPr>
                <w:rFonts w:hint="eastAsia" w:ascii="仿宋" w:eastAsia="仿宋" w:cs="仿宋"/>
                <w:color w:val="auto"/>
                <w:sz w:val="24"/>
                <w:highlight w:val="none"/>
                <w:lang w:val="en-US" w:eastAsia="zh-CN"/>
              </w:rPr>
              <w:t>1</w:t>
            </w:r>
            <w:r>
              <w:rPr>
                <w:rFonts w:hint="eastAsia" w:ascii="仿宋" w:eastAsia="仿宋" w:cs="仿宋"/>
                <w:color w:val="auto"/>
                <w:sz w:val="24"/>
                <w:highlight w:val="none"/>
              </w:rPr>
              <w:t>分，扣完为止；</w:t>
            </w:r>
          </w:p>
          <w:p w14:paraId="42A52CF9">
            <w:pPr>
              <w:adjustRightInd w:val="0"/>
              <w:snapToGrid w:val="0"/>
              <w:spacing w:line="360" w:lineRule="exact"/>
              <w:rPr>
                <w:rFonts w:hint="eastAsia" w:ascii="仿宋" w:eastAsia="仿宋" w:cs="仿宋"/>
                <w:color w:val="auto"/>
                <w:sz w:val="24"/>
                <w:highlight w:val="none"/>
              </w:rPr>
            </w:pPr>
            <w:r>
              <w:rPr>
                <w:rFonts w:hint="eastAsia" w:ascii="仿宋" w:eastAsia="仿宋" w:cs="仿宋"/>
                <w:color w:val="auto"/>
                <w:sz w:val="24"/>
                <w:highlight w:val="none"/>
              </w:rPr>
              <w:t>b．无标记的指标是一般技术条款，正偏离不加分，负偏离</w:t>
            </w:r>
            <w:r>
              <w:rPr>
                <w:rFonts w:hint="eastAsia" w:ascii="仿宋" w:eastAsia="仿宋" w:cs="仿宋"/>
                <w:color w:val="auto"/>
                <w:sz w:val="24"/>
                <w:highlight w:val="green"/>
              </w:rPr>
              <w:t>减</w:t>
            </w:r>
            <w:r>
              <w:rPr>
                <w:rFonts w:hint="eastAsia" w:ascii="仿宋" w:eastAsia="仿宋" w:cs="仿宋"/>
                <w:color w:val="auto"/>
                <w:sz w:val="24"/>
                <w:highlight w:val="green"/>
                <w:lang w:val="en-US" w:eastAsia="zh-CN"/>
              </w:rPr>
              <w:t>0.05</w:t>
            </w:r>
            <w:r>
              <w:rPr>
                <w:rFonts w:hint="eastAsia" w:ascii="仿宋" w:eastAsia="仿宋" w:cs="仿宋"/>
                <w:color w:val="auto"/>
                <w:sz w:val="24"/>
                <w:highlight w:val="green"/>
              </w:rPr>
              <w:t>分</w:t>
            </w:r>
            <w:r>
              <w:rPr>
                <w:rFonts w:hint="eastAsia" w:ascii="仿宋" w:eastAsia="仿宋" w:cs="仿宋"/>
                <w:color w:val="auto"/>
                <w:sz w:val="24"/>
                <w:highlight w:val="none"/>
              </w:rPr>
              <w:t>，扣完为止。</w:t>
            </w:r>
          </w:p>
          <w:p w14:paraId="0C1AA7C0">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注：投标人在响应技术条款时，对标记为星号（“</w:t>
            </w:r>
            <w:r>
              <w:rPr>
                <w:rFonts w:hint="eastAsia" w:ascii="仿宋" w:hAnsi="仿宋" w:eastAsia="仿宋" w:cs="仿宋"/>
                <w:color w:val="auto"/>
                <w:sz w:val="24"/>
                <w:szCs w:val="24"/>
                <w:highlight w:val="none"/>
              </w:rPr>
              <w:t>▲</w:t>
            </w:r>
            <w:r>
              <w:rPr>
                <w:rFonts w:hint="eastAsia" w:ascii="仿宋" w:eastAsia="仿宋" w:cs="仿宋"/>
                <w:color w:val="auto"/>
                <w:sz w:val="24"/>
                <w:highlight w:val="none"/>
              </w:rPr>
              <w:t>”）的重要技术条款必须在投标文件中提供技术支持资料。如果投标人不提供证明资料或提供的证明资料与技术参数响应不一致的评标委员会有权不予认可。</w:t>
            </w:r>
          </w:p>
        </w:tc>
        <w:tc>
          <w:tcPr>
            <w:tcW w:w="832" w:type="dxa"/>
            <w:tcBorders>
              <w:tl2br w:val="nil"/>
              <w:tr2bl w:val="nil"/>
            </w:tcBorders>
            <w:noWrap w:val="0"/>
            <w:vAlign w:val="center"/>
          </w:tcPr>
          <w:p w14:paraId="21C33148">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none"/>
              </w:rPr>
              <w:t>2</w:t>
            </w:r>
            <w:r>
              <w:rPr>
                <w:rFonts w:hint="eastAsia" w:ascii="仿宋" w:eastAsia="仿宋" w:cs="仿宋"/>
                <w:color w:val="auto"/>
                <w:sz w:val="24"/>
                <w:highlight w:val="none"/>
                <w:lang w:val="en-US" w:eastAsia="zh-CN"/>
              </w:rPr>
              <w:t>4</w:t>
            </w:r>
            <w:r>
              <w:rPr>
                <w:rFonts w:hint="eastAsia" w:ascii="仿宋" w:eastAsia="仿宋" w:cs="仿宋"/>
                <w:color w:val="auto"/>
                <w:sz w:val="24"/>
                <w:highlight w:val="none"/>
              </w:rPr>
              <w:t>分</w:t>
            </w:r>
          </w:p>
        </w:tc>
      </w:tr>
      <w:tr w14:paraId="0F2B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0" w:type="dxa"/>
            <w:vMerge w:val="restart"/>
            <w:tcBorders>
              <w:tl2br w:val="nil"/>
              <w:tr2bl w:val="nil"/>
            </w:tcBorders>
            <w:noWrap w:val="0"/>
            <w:vAlign w:val="center"/>
          </w:tcPr>
          <w:p w14:paraId="304BA9A4">
            <w:pPr>
              <w:adjustRightInd w:val="0"/>
              <w:snapToGrid w:val="0"/>
              <w:spacing w:line="360" w:lineRule="exact"/>
              <w:jc w:val="center"/>
              <w:rPr>
                <w:color w:val="auto"/>
                <w:highlight w:val="none"/>
              </w:rPr>
            </w:pPr>
            <w:r>
              <w:rPr>
                <w:rFonts w:hint="eastAsia" w:ascii="仿宋" w:eastAsia="仿宋" w:cs="仿宋"/>
                <w:color w:val="auto"/>
                <w:sz w:val="24"/>
                <w:highlight w:val="none"/>
              </w:rPr>
              <w:t>3</w:t>
            </w:r>
          </w:p>
        </w:tc>
        <w:tc>
          <w:tcPr>
            <w:tcW w:w="1905" w:type="dxa"/>
            <w:vMerge w:val="restart"/>
            <w:tcBorders>
              <w:tl2br w:val="nil"/>
              <w:tr2bl w:val="nil"/>
            </w:tcBorders>
            <w:noWrap w:val="0"/>
            <w:vAlign w:val="center"/>
          </w:tcPr>
          <w:p w14:paraId="12D35BB9">
            <w:pPr>
              <w:adjustRightInd w:val="0"/>
              <w:snapToGrid w:val="0"/>
              <w:spacing w:line="360" w:lineRule="exact"/>
              <w:jc w:val="left"/>
              <w:rPr>
                <w:color w:val="auto"/>
                <w:highlight w:val="none"/>
              </w:rPr>
            </w:pPr>
            <w:r>
              <w:rPr>
                <w:rFonts w:hint="eastAsia" w:ascii="仿宋" w:eastAsia="仿宋" w:cs="仿宋"/>
                <w:color w:val="auto"/>
                <w:sz w:val="24"/>
                <w:highlight w:val="none"/>
                <w:lang w:val="en-US" w:eastAsia="zh-CN"/>
              </w:rPr>
              <w:t>技术及</w:t>
            </w:r>
            <w:r>
              <w:rPr>
                <w:rFonts w:hint="eastAsia" w:ascii="仿宋" w:eastAsia="仿宋" w:cs="仿宋"/>
                <w:color w:val="auto"/>
                <w:sz w:val="24"/>
                <w:highlight w:val="none"/>
              </w:rPr>
              <w:t>人员投入</w:t>
            </w:r>
          </w:p>
        </w:tc>
        <w:tc>
          <w:tcPr>
            <w:tcW w:w="6195" w:type="dxa"/>
            <w:tcBorders>
              <w:tl2br w:val="nil"/>
              <w:tr2bl w:val="nil"/>
            </w:tcBorders>
            <w:noWrap w:val="0"/>
            <w:vAlign w:val="center"/>
          </w:tcPr>
          <w:p w14:paraId="0901FF5C">
            <w:pPr>
              <w:adjustRightInd w:val="0"/>
              <w:snapToGrid w:val="0"/>
              <w:spacing w:line="360" w:lineRule="exact"/>
              <w:rPr>
                <w:rFonts w:hint="eastAsia" w:ascii="仿宋_GB2312" w:eastAsia="仿宋_GB2312" w:cs="仿宋"/>
                <w:color w:val="auto"/>
                <w:sz w:val="24"/>
                <w:szCs w:val="24"/>
                <w:highlight w:val="none"/>
              </w:rPr>
            </w:pPr>
            <w:r>
              <w:rPr>
                <w:rFonts w:hint="eastAsia" w:ascii="仿宋" w:eastAsia="仿宋" w:cs="仿宋"/>
                <w:color w:val="auto"/>
                <w:sz w:val="24"/>
                <w:highlight w:val="none"/>
              </w:rPr>
              <w:t>3.</w:t>
            </w:r>
            <w:r>
              <w:rPr>
                <w:rFonts w:hint="eastAsia" w:ascii="仿宋" w:eastAsia="仿宋" w:cs="仿宋"/>
                <w:color w:val="auto"/>
                <w:sz w:val="24"/>
                <w:highlight w:val="none"/>
                <w:lang w:val="en-US" w:eastAsia="zh-CN"/>
              </w:rPr>
              <w:t>1</w:t>
            </w:r>
            <w:r>
              <w:rPr>
                <w:rFonts w:hint="eastAsia" w:ascii="仿宋" w:eastAsia="仿宋" w:cs="仿宋"/>
                <w:color w:val="auto"/>
                <w:sz w:val="24"/>
                <w:highlight w:val="none"/>
              </w:rPr>
              <w:t xml:space="preserve"> </w:t>
            </w:r>
            <w:r>
              <w:rPr>
                <w:rFonts w:hint="eastAsia" w:ascii="仿宋_GB2312" w:eastAsia="仿宋_GB2312" w:cs="仿宋"/>
                <w:color w:val="auto"/>
                <w:sz w:val="24"/>
                <w:szCs w:val="24"/>
                <w:highlight w:val="none"/>
              </w:rPr>
              <w:t>技术团队：投标人（如为联合体投标的，指任意一方）的项目负责人，具备生态环境类高级职称的，得</w:t>
            </w:r>
            <w:r>
              <w:rPr>
                <w:rFonts w:ascii="仿宋_GB2312" w:eastAsia="仿宋_GB2312" w:cs="仿宋"/>
                <w:color w:val="auto"/>
                <w:sz w:val="24"/>
                <w:szCs w:val="24"/>
                <w:highlight w:val="none"/>
              </w:rPr>
              <w:t>0.5</w:t>
            </w:r>
            <w:r>
              <w:rPr>
                <w:rFonts w:hint="eastAsia" w:ascii="仿宋_GB2312" w:eastAsia="仿宋_GB2312" w:cs="仿宋"/>
                <w:color w:val="auto"/>
                <w:sz w:val="24"/>
                <w:szCs w:val="24"/>
                <w:highlight w:val="none"/>
              </w:rPr>
              <w:t>分；具备注册环保工程师的，得</w:t>
            </w:r>
            <w:r>
              <w:rPr>
                <w:rFonts w:ascii="仿宋_GB2312" w:eastAsia="仿宋_GB2312" w:cs="仿宋"/>
                <w:color w:val="auto"/>
                <w:sz w:val="24"/>
                <w:szCs w:val="24"/>
                <w:highlight w:val="none"/>
              </w:rPr>
              <w:t>0.5</w:t>
            </w:r>
            <w:r>
              <w:rPr>
                <w:rFonts w:hint="eastAsia" w:ascii="仿宋_GB2312" w:eastAsia="仿宋_GB2312" w:cs="仿宋"/>
                <w:color w:val="auto"/>
                <w:sz w:val="24"/>
                <w:szCs w:val="24"/>
                <w:highlight w:val="none"/>
              </w:rPr>
              <w:t>分。本项最高得</w:t>
            </w:r>
            <w:r>
              <w:rPr>
                <w:rFonts w:ascii="仿宋_GB2312" w:eastAsia="仿宋_GB2312" w:cs="仿宋"/>
                <w:color w:val="auto"/>
                <w:sz w:val="24"/>
                <w:szCs w:val="24"/>
                <w:highlight w:val="none"/>
              </w:rPr>
              <w:t>1</w:t>
            </w:r>
            <w:r>
              <w:rPr>
                <w:rFonts w:hint="eastAsia" w:ascii="仿宋_GB2312" w:eastAsia="仿宋_GB2312" w:cs="仿宋"/>
                <w:color w:val="auto"/>
                <w:sz w:val="24"/>
                <w:szCs w:val="24"/>
                <w:highlight w:val="none"/>
              </w:rPr>
              <w:t>分。</w:t>
            </w:r>
          </w:p>
          <w:p w14:paraId="5860A725">
            <w:pPr>
              <w:adjustRightInd w:val="0"/>
              <w:snapToGrid w:val="0"/>
              <w:spacing w:line="360" w:lineRule="exact"/>
              <w:rPr>
                <w:rFonts w:ascii="仿宋" w:eastAsia="仿宋" w:cs="仿宋"/>
                <w:color w:val="auto"/>
                <w:sz w:val="24"/>
                <w:highlight w:val="none"/>
              </w:rPr>
            </w:pPr>
            <w:r>
              <w:rPr>
                <w:rFonts w:hint="eastAsia" w:ascii="仿宋_GB2312" w:eastAsia="仿宋_GB2312"/>
                <w:color w:val="auto"/>
                <w:sz w:val="24"/>
                <w:szCs w:val="24"/>
                <w:highlight w:val="none"/>
              </w:rPr>
              <w:t>（提供相关</w:t>
            </w:r>
            <w:r>
              <w:rPr>
                <w:rFonts w:ascii="仿宋_GB2312" w:eastAsia="仿宋_GB2312"/>
                <w:color w:val="auto"/>
                <w:sz w:val="24"/>
                <w:szCs w:val="24"/>
                <w:highlight w:val="none"/>
              </w:rPr>
              <w:t>材料复印件、有效期内的用人合同证明及投标人为其缴纳的2024年</w:t>
            </w:r>
            <w:r>
              <w:rPr>
                <w:rFonts w:hint="eastAsia" w:ascii="仿宋_GB2312" w:eastAsia="仿宋_GB2312"/>
                <w:color w:val="auto"/>
                <w:sz w:val="24"/>
                <w:szCs w:val="24"/>
                <w:highlight w:val="none"/>
                <w:lang w:val="en-US" w:eastAsia="zh-CN"/>
              </w:rPr>
              <w:t>10</w:t>
            </w:r>
            <w:r>
              <w:rPr>
                <w:rFonts w:ascii="仿宋_GB2312" w:eastAsia="仿宋_GB2312"/>
                <w:color w:val="auto"/>
                <w:sz w:val="24"/>
                <w:szCs w:val="24"/>
                <w:highlight w:val="none"/>
              </w:rPr>
              <w:t>月-2024年</w:t>
            </w:r>
            <w:r>
              <w:rPr>
                <w:rFonts w:hint="eastAsia" w:ascii="仿宋_GB2312" w:eastAsia="仿宋_GB2312"/>
                <w:color w:val="auto"/>
                <w:sz w:val="24"/>
                <w:szCs w:val="24"/>
                <w:highlight w:val="none"/>
                <w:lang w:val="en-US" w:eastAsia="zh-CN"/>
              </w:rPr>
              <w:t>12</w:t>
            </w:r>
            <w:r>
              <w:rPr>
                <w:rFonts w:ascii="仿宋_GB2312" w:eastAsia="仿宋_GB2312"/>
                <w:color w:val="auto"/>
                <w:sz w:val="24"/>
                <w:szCs w:val="24"/>
                <w:highlight w:val="none"/>
              </w:rPr>
              <w:t>月的社保证明复印件并加盖投标人公章，否则不得分。</w:t>
            </w:r>
            <w:r>
              <w:rPr>
                <w:rFonts w:hint="eastAsia" w:ascii="仿宋_GB2312" w:eastAsia="仿宋_GB2312"/>
                <w:color w:val="auto"/>
                <w:sz w:val="24"/>
                <w:szCs w:val="24"/>
                <w:highlight w:val="none"/>
              </w:rPr>
              <w:t>）</w:t>
            </w:r>
          </w:p>
        </w:tc>
        <w:tc>
          <w:tcPr>
            <w:tcW w:w="832" w:type="dxa"/>
            <w:tcBorders>
              <w:tl2br w:val="nil"/>
              <w:tr2bl w:val="nil"/>
            </w:tcBorders>
            <w:noWrap w:val="0"/>
            <w:vAlign w:val="center"/>
          </w:tcPr>
          <w:p w14:paraId="34D8A531">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none"/>
                <w:lang w:val="en-US" w:eastAsia="zh-CN"/>
              </w:rPr>
              <w:t>1</w:t>
            </w:r>
            <w:r>
              <w:rPr>
                <w:rFonts w:hint="eastAsia" w:ascii="仿宋" w:eastAsia="仿宋" w:cs="仿宋"/>
                <w:color w:val="auto"/>
                <w:sz w:val="24"/>
                <w:highlight w:val="none"/>
              </w:rPr>
              <w:t>分</w:t>
            </w:r>
          </w:p>
        </w:tc>
      </w:tr>
      <w:tr w14:paraId="7DBC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0" w:type="dxa"/>
            <w:vMerge w:val="continue"/>
            <w:tcBorders>
              <w:tl2br w:val="nil"/>
              <w:tr2bl w:val="nil"/>
            </w:tcBorders>
            <w:noWrap w:val="0"/>
            <w:vAlign w:val="center"/>
          </w:tcPr>
          <w:p w14:paraId="31BD00DA">
            <w:pPr>
              <w:rPr>
                <w:color w:val="auto"/>
                <w:highlight w:val="none"/>
              </w:rPr>
            </w:pPr>
          </w:p>
        </w:tc>
        <w:tc>
          <w:tcPr>
            <w:tcW w:w="1905" w:type="dxa"/>
            <w:vMerge w:val="continue"/>
            <w:tcBorders>
              <w:tl2br w:val="nil"/>
              <w:tr2bl w:val="nil"/>
            </w:tcBorders>
            <w:noWrap w:val="0"/>
            <w:vAlign w:val="center"/>
          </w:tcPr>
          <w:p w14:paraId="08621F03">
            <w:pPr>
              <w:rPr>
                <w:color w:val="auto"/>
                <w:highlight w:val="none"/>
              </w:rPr>
            </w:pPr>
          </w:p>
        </w:tc>
        <w:tc>
          <w:tcPr>
            <w:tcW w:w="6195" w:type="dxa"/>
            <w:tcBorders>
              <w:tl2br w:val="nil"/>
              <w:tr2bl w:val="nil"/>
            </w:tcBorders>
            <w:noWrap w:val="0"/>
            <w:vAlign w:val="center"/>
          </w:tcPr>
          <w:p w14:paraId="6936737A">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3.</w:t>
            </w:r>
            <w:r>
              <w:rPr>
                <w:rFonts w:hint="eastAsia" w:ascii="仿宋" w:eastAsia="仿宋" w:cs="仿宋"/>
                <w:color w:val="auto"/>
                <w:sz w:val="24"/>
                <w:highlight w:val="none"/>
                <w:lang w:val="en-US" w:eastAsia="zh-CN"/>
              </w:rPr>
              <w:t>2</w:t>
            </w:r>
            <w:r>
              <w:rPr>
                <w:rFonts w:hint="eastAsia" w:ascii="仿宋" w:eastAsia="仿宋" w:cs="仿宋"/>
                <w:color w:val="auto"/>
                <w:sz w:val="24"/>
                <w:highlight w:val="none"/>
              </w:rPr>
              <w:t xml:space="preserve"> </w:t>
            </w:r>
            <w:r>
              <w:rPr>
                <w:rFonts w:ascii="仿宋" w:eastAsia="仿宋" w:cs="仿宋"/>
                <w:color w:val="auto"/>
                <w:sz w:val="24"/>
                <w:highlight w:val="none"/>
              </w:rPr>
              <w:t>重污染天气及重大活动保障</w:t>
            </w:r>
            <w:r>
              <w:rPr>
                <w:rFonts w:hint="eastAsia" w:ascii="仿宋" w:eastAsia="仿宋" w:cs="仿宋"/>
                <w:color w:val="auto"/>
                <w:sz w:val="24"/>
                <w:highlight w:val="none"/>
              </w:rPr>
              <w:t>服务</w:t>
            </w:r>
            <w:r>
              <w:rPr>
                <w:rFonts w:ascii="仿宋" w:eastAsia="仿宋" w:cs="仿宋"/>
                <w:color w:val="auto"/>
                <w:sz w:val="24"/>
                <w:highlight w:val="none"/>
              </w:rPr>
              <w:t>：</w:t>
            </w:r>
          </w:p>
          <w:p w14:paraId="62414B72">
            <w:pPr>
              <w:adjustRightInd w:val="0"/>
              <w:snapToGrid w:val="0"/>
              <w:spacing w:line="360" w:lineRule="exact"/>
              <w:ind w:firstLine="480" w:firstLineChars="200"/>
              <w:jc w:val="left"/>
              <w:rPr>
                <w:rFonts w:ascii="仿宋" w:eastAsia="仿宋" w:cs="仿宋"/>
                <w:color w:val="auto"/>
                <w:sz w:val="24"/>
                <w:highlight w:val="none"/>
              </w:rPr>
            </w:pPr>
            <w:r>
              <w:rPr>
                <w:rFonts w:ascii="仿宋" w:eastAsia="仿宋" w:cs="仿宋"/>
                <w:color w:val="auto"/>
                <w:sz w:val="24"/>
                <w:highlight w:val="none"/>
              </w:rPr>
              <w:t>团队</w:t>
            </w:r>
            <w:r>
              <w:rPr>
                <w:rFonts w:hint="eastAsia" w:ascii="仿宋" w:eastAsia="仿宋" w:cs="仿宋"/>
                <w:color w:val="auto"/>
                <w:sz w:val="24"/>
                <w:highlight w:val="none"/>
                <w:lang w:val="en-US" w:eastAsia="zh-CN"/>
              </w:rPr>
              <w:t>成员</w:t>
            </w:r>
            <w:r>
              <w:rPr>
                <w:rFonts w:ascii="仿宋" w:eastAsia="仿宋" w:cs="仿宋"/>
                <w:color w:val="auto"/>
                <w:sz w:val="24"/>
                <w:highlight w:val="none"/>
              </w:rPr>
              <w:t>具有生态环境相关专业的高级工程师及以上职称的每人</w:t>
            </w:r>
            <w:r>
              <w:rPr>
                <w:rFonts w:ascii="仿宋" w:eastAsia="仿宋" w:cs="仿宋"/>
                <w:color w:val="auto"/>
                <w:sz w:val="24"/>
                <w:highlight w:val="green"/>
              </w:rPr>
              <w:t>得0.</w:t>
            </w:r>
            <w:r>
              <w:rPr>
                <w:rFonts w:hint="eastAsia" w:ascii="仿宋" w:eastAsia="仿宋" w:cs="仿宋"/>
                <w:color w:val="auto"/>
                <w:sz w:val="24"/>
                <w:highlight w:val="green"/>
                <w:lang w:val="en-US" w:eastAsia="zh-CN"/>
              </w:rPr>
              <w:t>4</w:t>
            </w:r>
            <w:r>
              <w:rPr>
                <w:rFonts w:ascii="仿宋" w:eastAsia="仿宋" w:cs="仿宋"/>
                <w:color w:val="auto"/>
                <w:sz w:val="24"/>
                <w:highlight w:val="green"/>
              </w:rPr>
              <w:t>分</w:t>
            </w:r>
            <w:r>
              <w:rPr>
                <w:rFonts w:hint="eastAsia" w:ascii="仿宋" w:eastAsia="仿宋" w:cs="仿宋"/>
                <w:color w:val="auto"/>
                <w:sz w:val="24"/>
                <w:highlight w:val="none"/>
                <w:lang w:eastAsia="zh-CN"/>
              </w:rPr>
              <w:t>，</w:t>
            </w:r>
            <w:r>
              <w:rPr>
                <w:rFonts w:ascii="仿宋" w:eastAsia="仿宋" w:cs="仿宋"/>
                <w:color w:val="auto"/>
                <w:sz w:val="24"/>
                <w:highlight w:val="none"/>
              </w:rPr>
              <w:t>工程师职称的每人得0.1分，最高得</w:t>
            </w:r>
            <w:r>
              <w:rPr>
                <w:rFonts w:hint="eastAsia" w:ascii="仿宋" w:eastAsia="仿宋" w:cs="仿宋"/>
                <w:color w:val="auto"/>
                <w:sz w:val="24"/>
                <w:highlight w:val="green"/>
                <w:lang w:val="en-US" w:eastAsia="zh-CN"/>
              </w:rPr>
              <w:t>0.8</w:t>
            </w:r>
            <w:r>
              <w:rPr>
                <w:rFonts w:ascii="仿宋" w:eastAsia="仿宋" w:cs="仿宋"/>
                <w:color w:val="auto"/>
                <w:sz w:val="24"/>
                <w:highlight w:val="green"/>
              </w:rPr>
              <w:t>分</w:t>
            </w:r>
            <w:r>
              <w:rPr>
                <w:rFonts w:ascii="仿宋" w:eastAsia="仿宋" w:cs="仿宋"/>
                <w:color w:val="auto"/>
                <w:sz w:val="24"/>
                <w:highlight w:val="none"/>
              </w:rPr>
              <w:t>；</w:t>
            </w:r>
          </w:p>
          <w:p w14:paraId="0C4EA16D">
            <w:pPr>
              <w:adjustRightInd w:val="0"/>
              <w:snapToGrid w:val="0"/>
              <w:spacing w:line="360" w:lineRule="exact"/>
              <w:ind w:firstLine="480" w:firstLineChars="200"/>
              <w:jc w:val="left"/>
              <w:rPr>
                <w:rFonts w:ascii="仿宋" w:eastAsia="仿宋" w:cs="仿宋"/>
                <w:color w:val="auto"/>
                <w:sz w:val="24"/>
                <w:highlight w:val="none"/>
              </w:rPr>
            </w:pPr>
            <w:r>
              <w:rPr>
                <w:rFonts w:ascii="仿宋" w:eastAsia="仿宋" w:cs="仿宋"/>
                <w:color w:val="auto"/>
                <w:sz w:val="24"/>
                <w:highlight w:val="none"/>
              </w:rPr>
              <w:t>团队</w:t>
            </w:r>
            <w:r>
              <w:rPr>
                <w:rFonts w:hint="eastAsia" w:ascii="仿宋" w:eastAsia="仿宋" w:cs="仿宋"/>
                <w:color w:val="auto"/>
                <w:sz w:val="24"/>
                <w:highlight w:val="none"/>
                <w:lang w:val="en-US" w:eastAsia="zh-CN"/>
              </w:rPr>
              <w:t>成员</w:t>
            </w:r>
            <w:r>
              <w:rPr>
                <w:rFonts w:ascii="仿宋" w:eastAsia="仿宋" w:cs="仿宋"/>
                <w:color w:val="auto"/>
                <w:sz w:val="24"/>
                <w:highlight w:val="none"/>
              </w:rPr>
              <w:t>具有注册环保工程师的每人得0.</w:t>
            </w:r>
            <w:r>
              <w:rPr>
                <w:rFonts w:hint="eastAsia" w:ascii="仿宋" w:eastAsia="仿宋" w:cs="仿宋"/>
                <w:color w:val="auto"/>
                <w:sz w:val="24"/>
                <w:highlight w:val="none"/>
                <w:lang w:val="en-US" w:eastAsia="zh-CN"/>
              </w:rPr>
              <w:t>2</w:t>
            </w:r>
            <w:r>
              <w:rPr>
                <w:rFonts w:ascii="仿宋" w:eastAsia="仿宋" w:cs="仿宋"/>
                <w:color w:val="auto"/>
                <w:sz w:val="24"/>
                <w:highlight w:val="none"/>
              </w:rPr>
              <w:t>分，最高得</w:t>
            </w:r>
            <w:r>
              <w:rPr>
                <w:rFonts w:hint="eastAsia" w:ascii="仿宋" w:eastAsia="仿宋" w:cs="仿宋"/>
                <w:color w:val="auto"/>
                <w:sz w:val="24"/>
                <w:highlight w:val="none"/>
                <w:lang w:val="en-US" w:eastAsia="zh-CN"/>
              </w:rPr>
              <w:t>0.2</w:t>
            </w:r>
            <w:r>
              <w:rPr>
                <w:rFonts w:ascii="仿宋" w:eastAsia="仿宋" w:cs="仿宋"/>
                <w:color w:val="auto"/>
                <w:sz w:val="24"/>
                <w:highlight w:val="none"/>
              </w:rPr>
              <w:t>分；</w:t>
            </w:r>
          </w:p>
          <w:p w14:paraId="41F78F8C">
            <w:pPr>
              <w:rPr>
                <w:rFonts w:ascii="仿宋" w:eastAsia="仿宋" w:cs="仿宋"/>
                <w:color w:val="auto"/>
                <w:sz w:val="24"/>
                <w:highlight w:val="none"/>
              </w:rPr>
            </w:pPr>
            <w:r>
              <w:rPr>
                <w:rFonts w:ascii="仿宋" w:eastAsia="仿宋" w:cs="仿宋"/>
                <w:color w:val="auto"/>
                <w:sz w:val="24"/>
                <w:highlight w:val="none"/>
              </w:rPr>
              <w:t xml:space="preserve">    </w:t>
            </w:r>
            <w:r>
              <w:rPr>
                <w:rFonts w:hint="eastAsia" w:ascii="仿宋" w:eastAsia="仿宋" w:cs="仿宋"/>
                <w:color w:val="auto"/>
                <w:sz w:val="24"/>
                <w:szCs w:val="24"/>
                <w:highlight w:val="none"/>
              </w:rPr>
              <w:t>（投标文件中提供</w:t>
            </w:r>
            <w:r>
              <w:rPr>
                <w:rFonts w:hint="eastAsia" w:ascii="仿宋" w:eastAsia="仿宋" w:cs="仿宋"/>
                <w:color w:val="auto"/>
                <w:sz w:val="24"/>
                <w:highlight w:val="none"/>
              </w:rPr>
              <w:t>由</w:t>
            </w:r>
            <w:r>
              <w:rPr>
                <w:rFonts w:hint="eastAsia" w:ascii="仿宋" w:eastAsia="仿宋" w:cs="仿宋"/>
                <w:color w:val="auto"/>
                <w:sz w:val="24"/>
                <w:highlight w:val="none"/>
                <w:lang w:eastAsia="zh-CN"/>
              </w:rPr>
              <w:t>省、市级以上</w:t>
            </w:r>
            <w:r>
              <w:rPr>
                <w:rFonts w:hint="eastAsia" w:ascii="仿宋" w:eastAsia="仿宋" w:cs="仿宋"/>
                <w:color w:val="auto"/>
                <w:sz w:val="24"/>
                <w:highlight w:val="none"/>
              </w:rPr>
              <w:t>大型活动空气质量保障项目采购人出具的相关证明文件</w:t>
            </w:r>
            <w:r>
              <w:rPr>
                <w:rFonts w:hint="eastAsia" w:ascii="仿宋" w:eastAsia="仿宋" w:cs="仿宋"/>
                <w:color w:val="auto"/>
                <w:sz w:val="24"/>
                <w:szCs w:val="24"/>
                <w:highlight w:val="none"/>
                <w:lang w:eastAsia="zh-CN"/>
              </w:rPr>
              <w:t>、</w:t>
            </w:r>
            <w:r>
              <w:rPr>
                <w:rFonts w:ascii="仿宋" w:eastAsia="仿宋" w:cs="仿宋"/>
                <w:color w:val="auto"/>
                <w:sz w:val="24"/>
                <w:szCs w:val="24"/>
                <w:highlight w:val="none"/>
                <w:lang w:eastAsia="zh-CN"/>
              </w:rPr>
              <w:t>各类证书复印件、</w:t>
            </w:r>
            <w:r>
              <w:rPr>
                <w:rFonts w:hint="eastAsia" w:ascii="仿宋" w:eastAsia="仿宋" w:cs="仿宋"/>
                <w:color w:val="auto"/>
                <w:sz w:val="24"/>
                <w:highlight w:val="none"/>
              </w:rPr>
              <w:t>有效期内的用人合同证明</w:t>
            </w:r>
            <w:r>
              <w:rPr>
                <w:rFonts w:hint="eastAsia" w:ascii="仿宋" w:eastAsia="仿宋" w:cs="仿宋"/>
                <w:color w:val="auto"/>
                <w:sz w:val="24"/>
                <w:szCs w:val="24"/>
                <w:highlight w:val="none"/>
              </w:rPr>
              <w:t>及投标人为其缴纳的</w:t>
            </w:r>
            <w:r>
              <w:rPr>
                <w:rFonts w:ascii="仿宋_GB2312" w:eastAsia="仿宋_GB2312"/>
                <w:color w:val="auto"/>
                <w:sz w:val="24"/>
                <w:szCs w:val="24"/>
                <w:highlight w:val="none"/>
              </w:rPr>
              <w:t>2024年</w:t>
            </w:r>
            <w:r>
              <w:rPr>
                <w:rFonts w:hint="eastAsia" w:ascii="仿宋_GB2312" w:eastAsia="仿宋_GB2312"/>
                <w:color w:val="auto"/>
                <w:sz w:val="24"/>
                <w:szCs w:val="24"/>
                <w:highlight w:val="none"/>
                <w:lang w:val="en-US" w:eastAsia="zh-CN"/>
              </w:rPr>
              <w:t>10</w:t>
            </w:r>
            <w:r>
              <w:rPr>
                <w:rFonts w:ascii="仿宋_GB2312" w:eastAsia="仿宋_GB2312"/>
                <w:color w:val="auto"/>
                <w:sz w:val="24"/>
                <w:szCs w:val="24"/>
                <w:highlight w:val="none"/>
              </w:rPr>
              <w:t>月-2024年</w:t>
            </w:r>
            <w:r>
              <w:rPr>
                <w:rFonts w:hint="eastAsia" w:ascii="仿宋_GB2312" w:eastAsia="仿宋_GB2312"/>
                <w:color w:val="auto"/>
                <w:sz w:val="24"/>
                <w:szCs w:val="24"/>
                <w:highlight w:val="none"/>
                <w:lang w:val="en-US" w:eastAsia="zh-CN"/>
              </w:rPr>
              <w:t>12</w:t>
            </w:r>
            <w:r>
              <w:rPr>
                <w:rFonts w:ascii="仿宋_GB2312" w:eastAsia="仿宋_GB2312"/>
                <w:color w:val="auto"/>
                <w:sz w:val="24"/>
                <w:szCs w:val="24"/>
                <w:highlight w:val="none"/>
              </w:rPr>
              <w:t>月</w:t>
            </w:r>
            <w:r>
              <w:rPr>
                <w:rFonts w:hint="eastAsia" w:ascii="仿宋" w:eastAsia="仿宋" w:cs="仿宋"/>
                <w:color w:val="auto"/>
                <w:sz w:val="24"/>
                <w:szCs w:val="24"/>
                <w:highlight w:val="none"/>
              </w:rPr>
              <w:t>的社保证明复印件并加盖投标人公章，否则不得分。）</w:t>
            </w:r>
          </w:p>
        </w:tc>
        <w:tc>
          <w:tcPr>
            <w:tcW w:w="832" w:type="dxa"/>
            <w:tcBorders>
              <w:tl2br w:val="nil"/>
              <w:tr2bl w:val="nil"/>
            </w:tcBorders>
            <w:noWrap w:val="0"/>
            <w:vAlign w:val="center"/>
          </w:tcPr>
          <w:p w14:paraId="0D3A95CB">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none"/>
                <w:lang w:val="en-US" w:eastAsia="zh-CN"/>
              </w:rPr>
              <w:t>1</w:t>
            </w:r>
            <w:r>
              <w:rPr>
                <w:rFonts w:hint="eastAsia" w:ascii="仿宋" w:eastAsia="仿宋" w:cs="仿宋"/>
                <w:color w:val="auto"/>
                <w:sz w:val="24"/>
                <w:highlight w:val="none"/>
              </w:rPr>
              <w:t>分</w:t>
            </w:r>
          </w:p>
        </w:tc>
      </w:tr>
      <w:tr w14:paraId="569B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0" w:type="dxa"/>
            <w:tcBorders>
              <w:tl2br w:val="nil"/>
              <w:tr2bl w:val="nil"/>
            </w:tcBorders>
            <w:noWrap w:val="0"/>
            <w:vAlign w:val="center"/>
          </w:tcPr>
          <w:p w14:paraId="3EFD53D4">
            <w:pPr>
              <w:adjustRightInd w:val="0"/>
              <w:snapToGrid w:val="0"/>
              <w:spacing w:line="360" w:lineRule="exact"/>
              <w:jc w:val="center"/>
              <w:rPr>
                <w:rFonts w:hint="eastAsia" w:ascii="仿宋" w:eastAsia="仿宋" w:cs="仿宋"/>
                <w:color w:val="auto"/>
                <w:sz w:val="24"/>
                <w:highlight w:val="none"/>
                <w:lang w:eastAsia="zh-CN"/>
              </w:rPr>
            </w:pPr>
            <w:r>
              <w:rPr>
                <w:rFonts w:hint="eastAsia" w:ascii="仿宋" w:eastAsia="仿宋" w:cs="仿宋"/>
                <w:color w:val="auto"/>
                <w:sz w:val="24"/>
                <w:highlight w:val="none"/>
                <w:lang w:val="en-US" w:eastAsia="zh-CN"/>
              </w:rPr>
              <w:t>4</w:t>
            </w:r>
          </w:p>
        </w:tc>
        <w:tc>
          <w:tcPr>
            <w:tcW w:w="1905" w:type="dxa"/>
            <w:tcBorders>
              <w:tl2br w:val="nil"/>
              <w:tr2bl w:val="nil"/>
            </w:tcBorders>
            <w:noWrap w:val="0"/>
            <w:vAlign w:val="center"/>
          </w:tcPr>
          <w:p w14:paraId="6C4C5820">
            <w:pPr>
              <w:adjustRightInd/>
              <w:rPr>
                <w:rFonts w:hint="eastAsia" w:ascii="仿宋" w:eastAsia="仿宋" w:cs="仿宋"/>
                <w:color w:val="auto"/>
                <w:sz w:val="24"/>
                <w:szCs w:val="22"/>
                <w:highlight w:val="none"/>
              </w:rPr>
            </w:pPr>
            <w:r>
              <w:rPr>
                <w:rFonts w:hint="eastAsia" w:ascii="仿宋" w:eastAsia="仿宋" w:cs="仿宋"/>
                <w:color w:val="auto"/>
                <w:sz w:val="24"/>
                <w:szCs w:val="22"/>
                <w:highlight w:val="none"/>
              </w:rPr>
              <w:t>走航监测分析平台演示</w:t>
            </w:r>
          </w:p>
          <w:p w14:paraId="48BEE98C">
            <w:pPr>
              <w:adjustRightInd w:val="0"/>
              <w:snapToGrid w:val="0"/>
              <w:spacing w:line="360" w:lineRule="exact"/>
              <w:jc w:val="left"/>
              <w:rPr>
                <w:rFonts w:ascii="仿宋" w:eastAsia="仿宋" w:cs="仿宋"/>
                <w:color w:val="auto"/>
                <w:sz w:val="24"/>
                <w:highlight w:val="none"/>
              </w:rPr>
            </w:pPr>
          </w:p>
        </w:tc>
        <w:tc>
          <w:tcPr>
            <w:tcW w:w="6195" w:type="dxa"/>
            <w:tcBorders>
              <w:tl2br w:val="nil"/>
              <w:tr2bl w:val="nil"/>
            </w:tcBorders>
            <w:noWrap w:val="0"/>
            <w:vAlign w:val="center"/>
          </w:tcPr>
          <w:p w14:paraId="449099A3">
            <w:pPr>
              <w:adjustRightInd w:val="0"/>
              <w:snapToGrid w:val="0"/>
              <w:spacing w:line="360" w:lineRule="exact"/>
              <w:rPr>
                <w:rFonts w:hint="eastAsia" w:ascii="仿宋" w:eastAsia="仿宋" w:cs="仿宋"/>
                <w:color w:val="auto"/>
                <w:sz w:val="24"/>
                <w:highlight w:val="none"/>
              </w:rPr>
            </w:pPr>
            <w:r>
              <w:rPr>
                <w:rFonts w:hint="eastAsia" w:ascii="仿宋" w:eastAsia="仿宋" w:cs="仿宋"/>
                <w:color w:val="auto"/>
                <w:sz w:val="24"/>
                <w:highlight w:val="none"/>
              </w:rPr>
              <w:t>根据以下演示要求，投标人需提供大气走航监测分析平台中的功能点演示录屏（演示内容可采用真实系统或原型形式），</w:t>
            </w:r>
            <w:r>
              <w:rPr>
                <w:rFonts w:hint="eastAsia" w:ascii="仿宋" w:hAnsi="Times New Roman" w:eastAsia="仿宋" w:cs="仿宋"/>
                <w:color w:val="auto"/>
                <w:sz w:val="24"/>
                <w:highlight w:val="none"/>
              </w:rPr>
              <w:t>投标人通过视频演示讲解，由投标人提前录制演示讲解内容，视频演示文件以U盘形式储存，密封包装并在封口处标注投标供应商名称，与投标文件一同提交。</w:t>
            </w:r>
            <w:r>
              <w:rPr>
                <w:rFonts w:hint="eastAsia" w:ascii="仿宋" w:eastAsia="仿宋" w:cs="仿宋"/>
                <w:color w:val="auto"/>
                <w:sz w:val="24"/>
                <w:highlight w:val="none"/>
              </w:rPr>
              <w:t>评标委员会根据录屏讲解与演示情况进行综合评定，</w:t>
            </w:r>
            <w:r>
              <w:rPr>
                <w:rFonts w:hint="eastAsia" w:ascii="仿宋" w:hAnsi="Times New Roman" w:eastAsia="仿宋" w:cs="仿宋"/>
                <w:color w:val="auto"/>
                <w:sz w:val="24"/>
                <w:highlight w:val="none"/>
              </w:rPr>
              <w:t>未提供演示U盘，演示分按0分处理。视频演示U盘在评标时出现破损或者打不开等情况的，由投标人自行负责，同样演示分按0分处理。演示顺序以投标人递交投标文件的顺序为准。</w:t>
            </w:r>
            <w:r>
              <w:rPr>
                <w:rFonts w:hint="eastAsia" w:ascii="仿宋" w:eastAsia="仿宋" w:cs="仿宋"/>
                <w:color w:val="auto"/>
                <w:sz w:val="24"/>
                <w:highlight w:val="none"/>
              </w:rPr>
              <w:t>演示环境由投标人自行解决：</w:t>
            </w:r>
          </w:p>
          <w:p w14:paraId="2530B1AA">
            <w:pPr>
              <w:adjustRightInd w:val="0"/>
              <w:snapToGrid w:val="0"/>
              <w:spacing w:line="360" w:lineRule="exact"/>
              <w:rPr>
                <w:rFonts w:ascii="仿宋" w:eastAsia="仿宋" w:cs="仿宋"/>
                <w:b/>
                <w:bCs/>
                <w:color w:val="auto"/>
                <w:sz w:val="24"/>
                <w:highlight w:val="none"/>
              </w:rPr>
            </w:pPr>
            <w:r>
              <w:rPr>
                <w:rFonts w:hint="eastAsia" w:ascii="仿宋" w:eastAsia="仿宋" w:cs="仿宋"/>
                <w:b/>
                <w:bCs/>
                <w:color w:val="auto"/>
                <w:sz w:val="24"/>
                <w:highlight w:val="none"/>
              </w:rPr>
              <w:t>多车路径规划：</w:t>
            </w:r>
          </w:p>
          <w:p w14:paraId="061DEDD8">
            <w:pPr>
              <w:adjustRightInd w:val="0"/>
              <w:snapToGrid w:val="0"/>
              <w:spacing w:line="360" w:lineRule="exact"/>
              <w:rPr>
                <w:rFonts w:hint="default" w:ascii="仿宋" w:eastAsia="仿宋" w:cs="仿宋"/>
                <w:color w:val="auto"/>
                <w:sz w:val="24"/>
                <w:highlight w:val="none"/>
                <w:lang w:val="en-US" w:eastAsia="zh-CN"/>
              </w:rPr>
            </w:pPr>
            <w:r>
              <w:rPr>
                <w:rFonts w:hint="eastAsia" w:ascii="仿宋" w:eastAsia="仿宋" w:cs="仿宋"/>
                <w:color w:val="auto"/>
                <w:sz w:val="24"/>
                <w:highlight w:val="none"/>
              </w:rPr>
              <w:t>1、路径规划功能能够显示监测站点数据位置分布，展示站点监测因子数值和统计图，基于GIS叠加展示污染物浓度分布、温度、湿度、云量、粒子风效果等。</w:t>
            </w:r>
            <w:r>
              <w:rPr>
                <w:rFonts w:hint="eastAsia" w:ascii="仿宋" w:eastAsia="仿宋" w:cs="仿宋"/>
                <w:color w:val="auto"/>
                <w:sz w:val="24"/>
                <w:highlight w:val="green"/>
                <w:lang w:eastAsia="zh-CN"/>
              </w:rPr>
              <w:t>（</w:t>
            </w:r>
            <w:r>
              <w:rPr>
                <w:rFonts w:hint="eastAsia" w:ascii="仿宋" w:eastAsia="仿宋" w:cs="仿宋"/>
                <w:color w:val="auto"/>
                <w:sz w:val="24"/>
                <w:highlight w:val="green"/>
              </w:rPr>
              <w:t>演示功能点完全符合功能参数要求的，得</w:t>
            </w:r>
            <w:r>
              <w:rPr>
                <w:rFonts w:hint="eastAsia" w:ascii="仿宋" w:eastAsia="仿宋" w:cs="仿宋"/>
                <w:color w:val="auto"/>
                <w:sz w:val="24"/>
                <w:highlight w:val="green"/>
                <w:lang w:val="en-US" w:eastAsia="zh-CN"/>
              </w:rPr>
              <w:t>1</w:t>
            </w:r>
            <w:r>
              <w:rPr>
                <w:rFonts w:hint="eastAsia" w:ascii="仿宋" w:eastAsia="仿宋" w:cs="仿宋"/>
                <w:color w:val="auto"/>
                <w:sz w:val="24"/>
                <w:highlight w:val="green"/>
              </w:rPr>
              <w:t>分</w:t>
            </w:r>
            <w:r>
              <w:rPr>
                <w:rFonts w:hint="eastAsia" w:ascii="仿宋" w:eastAsia="仿宋" w:cs="仿宋"/>
                <w:color w:val="auto"/>
                <w:sz w:val="24"/>
                <w:highlight w:val="green"/>
                <w:lang w:eastAsia="zh-CN"/>
              </w:rPr>
              <w:t>，</w:t>
            </w:r>
            <w:r>
              <w:rPr>
                <w:rFonts w:hint="eastAsia" w:ascii="仿宋" w:eastAsia="仿宋" w:cs="仿宋"/>
                <w:color w:val="auto"/>
                <w:sz w:val="24"/>
                <w:highlight w:val="green"/>
                <w:lang w:val="en-US" w:eastAsia="zh-CN"/>
              </w:rPr>
              <w:t>其他不得分。</w:t>
            </w:r>
            <w:r>
              <w:rPr>
                <w:rFonts w:hint="eastAsia" w:ascii="仿宋" w:eastAsia="仿宋" w:cs="仿宋"/>
                <w:color w:val="auto"/>
                <w:sz w:val="24"/>
                <w:highlight w:val="green"/>
                <w:lang w:eastAsia="zh-CN"/>
              </w:rPr>
              <w:t>）</w:t>
            </w:r>
          </w:p>
          <w:p w14:paraId="485D7F8A">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2、支持历史方案的查看，地图上以不同的颜色展示历史方案路径，能够查看方案路径的起点、途经点、距离等，支持路径的修改编辑。</w:t>
            </w:r>
            <w:r>
              <w:rPr>
                <w:rFonts w:hint="eastAsia" w:ascii="仿宋" w:eastAsia="仿宋" w:cs="仿宋"/>
                <w:color w:val="auto"/>
                <w:sz w:val="24"/>
                <w:highlight w:val="green"/>
                <w:lang w:eastAsia="zh-CN"/>
              </w:rPr>
              <w:t>（</w:t>
            </w:r>
            <w:r>
              <w:rPr>
                <w:rFonts w:hint="eastAsia" w:ascii="仿宋" w:eastAsia="仿宋" w:cs="仿宋"/>
                <w:color w:val="auto"/>
                <w:sz w:val="24"/>
                <w:highlight w:val="green"/>
              </w:rPr>
              <w:t>演示功能点完全符合功能参数要求的，得</w:t>
            </w:r>
            <w:r>
              <w:rPr>
                <w:rFonts w:hint="eastAsia" w:ascii="仿宋" w:eastAsia="仿宋" w:cs="仿宋"/>
                <w:color w:val="auto"/>
                <w:sz w:val="24"/>
                <w:highlight w:val="green"/>
                <w:lang w:val="en-US" w:eastAsia="zh-CN"/>
              </w:rPr>
              <w:t>1</w:t>
            </w:r>
            <w:r>
              <w:rPr>
                <w:rFonts w:hint="eastAsia" w:ascii="仿宋" w:eastAsia="仿宋" w:cs="仿宋"/>
                <w:color w:val="auto"/>
                <w:sz w:val="24"/>
                <w:highlight w:val="green"/>
              </w:rPr>
              <w:t>分</w:t>
            </w:r>
            <w:r>
              <w:rPr>
                <w:rFonts w:hint="eastAsia" w:ascii="仿宋" w:eastAsia="仿宋" w:cs="仿宋"/>
                <w:color w:val="auto"/>
                <w:sz w:val="24"/>
                <w:highlight w:val="green"/>
                <w:lang w:eastAsia="zh-CN"/>
              </w:rPr>
              <w:t>，</w:t>
            </w:r>
            <w:r>
              <w:rPr>
                <w:rFonts w:hint="eastAsia" w:ascii="仿宋" w:eastAsia="仿宋" w:cs="仿宋"/>
                <w:color w:val="auto"/>
                <w:sz w:val="24"/>
                <w:highlight w:val="green"/>
                <w:lang w:val="en-US" w:eastAsia="zh-CN"/>
              </w:rPr>
              <w:t>其他不得分。</w:t>
            </w:r>
            <w:r>
              <w:rPr>
                <w:rFonts w:hint="eastAsia" w:ascii="仿宋" w:eastAsia="仿宋" w:cs="仿宋"/>
                <w:color w:val="auto"/>
                <w:sz w:val="24"/>
                <w:highlight w:val="green"/>
                <w:lang w:eastAsia="zh-CN"/>
              </w:rPr>
              <w:t>）</w:t>
            </w:r>
          </w:p>
          <w:p w14:paraId="36CD8888">
            <w:pPr>
              <w:adjustRightInd w:val="0"/>
              <w:snapToGrid w:val="0"/>
              <w:spacing w:line="360" w:lineRule="exact"/>
              <w:rPr>
                <w:rFonts w:ascii="仿宋" w:eastAsia="仿宋" w:cs="仿宋"/>
                <w:b/>
                <w:bCs/>
                <w:color w:val="auto"/>
                <w:sz w:val="24"/>
                <w:highlight w:val="none"/>
              </w:rPr>
            </w:pPr>
            <w:r>
              <w:rPr>
                <w:rFonts w:hint="eastAsia" w:ascii="仿宋" w:eastAsia="仿宋" w:cs="仿宋"/>
                <w:b/>
                <w:bCs/>
                <w:color w:val="auto"/>
                <w:sz w:val="24"/>
                <w:highlight w:val="none"/>
              </w:rPr>
              <w:t>实时走航展示：</w:t>
            </w:r>
          </w:p>
          <w:p w14:paraId="5C6B9648">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3、支持基于GIS展示所有走航车的全局概览，显示车辆数据，展示规划的路径、最近走过的路径及正在走航路径，并展示自本次走航开始至当前时刻的各要素数据，包括车辆行驶路线、可视化的大气污染信息及监测因子浓度随时间变化图。能够对车辆和监测设备进行选择，展示监测数据。</w:t>
            </w:r>
            <w:r>
              <w:rPr>
                <w:rFonts w:hint="eastAsia" w:ascii="仿宋" w:eastAsia="仿宋" w:cs="仿宋"/>
                <w:color w:val="auto"/>
                <w:sz w:val="24"/>
                <w:highlight w:val="green"/>
                <w:lang w:eastAsia="zh-CN"/>
              </w:rPr>
              <w:t>（</w:t>
            </w:r>
            <w:r>
              <w:rPr>
                <w:rFonts w:hint="eastAsia" w:ascii="仿宋" w:eastAsia="仿宋" w:cs="仿宋"/>
                <w:color w:val="auto"/>
                <w:sz w:val="24"/>
                <w:highlight w:val="green"/>
              </w:rPr>
              <w:t>演示功能点完全符合功能参数要求的，得</w:t>
            </w:r>
            <w:r>
              <w:rPr>
                <w:rFonts w:hint="eastAsia" w:ascii="仿宋" w:eastAsia="仿宋" w:cs="仿宋"/>
                <w:color w:val="auto"/>
                <w:sz w:val="24"/>
                <w:highlight w:val="green"/>
                <w:lang w:val="en-US" w:eastAsia="zh-CN"/>
              </w:rPr>
              <w:t>1</w:t>
            </w:r>
            <w:r>
              <w:rPr>
                <w:rFonts w:hint="eastAsia" w:ascii="仿宋" w:eastAsia="仿宋" w:cs="仿宋"/>
                <w:color w:val="auto"/>
                <w:sz w:val="24"/>
                <w:highlight w:val="green"/>
              </w:rPr>
              <w:t>分</w:t>
            </w:r>
            <w:r>
              <w:rPr>
                <w:rFonts w:hint="eastAsia" w:ascii="仿宋" w:eastAsia="仿宋" w:cs="仿宋"/>
                <w:color w:val="auto"/>
                <w:sz w:val="24"/>
                <w:highlight w:val="green"/>
                <w:lang w:eastAsia="zh-CN"/>
              </w:rPr>
              <w:t>，</w:t>
            </w:r>
            <w:r>
              <w:rPr>
                <w:rFonts w:hint="eastAsia" w:ascii="仿宋" w:eastAsia="仿宋" w:cs="仿宋"/>
                <w:color w:val="auto"/>
                <w:sz w:val="24"/>
                <w:highlight w:val="green"/>
                <w:lang w:val="en-US" w:eastAsia="zh-CN"/>
              </w:rPr>
              <w:t>其他不得分。</w:t>
            </w:r>
            <w:r>
              <w:rPr>
                <w:rFonts w:hint="eastAsia" w:ascii="仿宋" w:eastAsia="仿宋" w:cs="仿宋"/>
                <w:color w:val="auto"/>
                <w:sz w:val="24"/>
                <w:highlight w:val="green"/>
                <w:lang w:eastAsia="zh-CN"/>
              </w:rPr>
              <w:t>）</w:t>
            </w:r>
          </w:p>
          <w:p w14:paraId="5BC2E2D5">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4、展示监测因子的实时浓度，所选因子的浓度—时间变化曲线图、直观展示单因子的浓度大小。支持展示车辆行驶路线，监测因子浓度数据跟随走航车实时渲染，展示监测因子的实时浓度，图上展示时间、高度、风向和风速。</w:t>
            </w:r>
            <w:r>
              <w:rPr>
                <w:rFonts w:hint="eastAsia" w:ascii="仿宋" w:eastAsia="仿宋" w:cs="仿宋"/>
                <w:color w:val="auto"/>
                <w:sz w:val="24"/>
                <w:highlight w:val="green"/>
                <w:lang w:eastAsia="zh-CN"/>
              </w:rPr>
              <w:t>（</w:t>
            </w:r>
            <w:r>
              <w:rPr>
                <w:rFonts w:hint="eastAsia" w:ascii="仿宋" w:eastAsia="仿宋" w:cs="仿宋"/>
                <w:color w:val="auto"/>
                <w:sz w:val="24"/>
                <w:highlight w:val="green"/>
              </w:rPr>
              <w:t>演示功能点完全符合功能参数要求的，得</w:t>
            </w:r>
            <w:r>
              <w:rPr>
                <w:rFonts w:hint="eastAsia" w:ascii="仿宋" w:eastAsia="仿宋" w:cs="仿宋"/>
                <w:color w:val="auto"/>
                <w:sz w:val="24"/>
                <w:highlight w:val="green"/>
                <w:lang w:val="en-US" w:eastAsia="zh-CN"/>
              </w:rPr>
              <w:t>1</w:t>
            </w:r>
            <w:r>
              <w:rPr>
                <w:rFonts w:hint="eastAsia" w:ascii="仿宋" w:eastAsia="仿宋" w:cs="仿宋"/>
                <w:color w:val="auto"/>
                <w:sz w:val="24"/>
                <w:highlight w:val="green"/>
              </w:rPr>
              <w:t>分</w:t>
            </w:r>
            <w:r>
              <w:rPr>
                <w:rFonts w:hint="eastAsia" w:ascii="仿宋" w:eastAsia="仿宋" w:cs="仿宋"/>
                <w:color w:val="auto"/>
                <w:sz w:val="24"/>
                <w:highlight w:val="green"/>
                <w:lang w:eastAsia="zh-CN"/>
              </w:rPr>
              <w:t>，</w:t>
            </w:r>
            <w:r>
              <w:rPr>
                <w:rFonts w:hint="eastAsia" w:ascii="仿宋" w:eastAsia="仿宋" w:cs="仿宋"/>
                <w:color w:val="auto"/>
                <w:sz w:val="24"/>
                <w:highlight w:val="green"/>
                <w:lang w:val="en-US" w:eastAsia="zh-CN"/>
              </w:rPr>
              <w:t>其他不得分。</w:t>
            </w:r>
            <w:r>
              <w:rPr>
                <w:rFonts w:hint="eastAsia" w:ascii="仿宋" w:eastAsia="仿宋" w:cs="仿宋"/>
                <w:color w:val="auto"/>
                <w:sz w:val="24"/>
                <w:highlight w:val="green"/>
                <w:lang w:eastAsia="zh-CN"/>
              </w:rPr>
              <w:t>）</w:t>
            </w:r>
          </w:p>
          <w:p w14:paraId="198BACF3">
            <w:pPr>
              <w:adjustRightInd w:val="0"/>
              <w:snapToGrid w:val="0"/>
              <w:spacing w:line="360" w:lineRule="exact"/>
              <w:rPr>
                <w:rFonts w:ascii="仿宋" w:eastAsia="仿宋" w:cs="仿宋"/>
                <w:b/>
                <w:bCs/>
                <w:color w:val="auto"/>
                <w:sz w:val="24"/>
                <w:highlight w:val="none"/>
              </w:rPr>
            </w:pPr>
            <w:r>
              <w:rPr>
                <w:rFonts w:hint="eastAsia" w:ascii="仿宋" w:eastAsia="仿宋" w:cs="仿宋"/>
                <w:b/>
                <w:bCs/>
                <w:color w:val="auto"/>
                <w:sz w:val="24"/>
                <w:highlight w:val="none"/>
              </w:rPr>
              <w:t>统计分析：</w:t>
            </w:r>
          </w:p>
          <w:p w14:paraId="7AD79E34">
            <w:pPr>
              <w:adjustRightInd w:val="0"/>
              <w:snapToGrid w:val="0"/>
              <w:spacing w:line="360" w:lineRule="exact"/>
              <w:rPr>
                <w:rFonts w:ascii="Calibri" w:hAnsi="Calibri"/>
                <w:color w:val="auto"/>
                <w:szCs w:val="22"/>
                <w:highlight w:val="none"/>
              </w:rPr>
            </w:pPr>
            <w:r>
              <w:rPr>
                <w:rFonts w:hint="eastAsia" w:ascii="仿宋" w:eastAsia="仿宋" w:cs="仿宋"/>
                <w:color w:val="auto"/>
                <w:sz w:val="24"/>
                <w:highlight w:val="none"/>
              </w:rPr>
              <w:t>5、统计分析功能可实现对所有车辆走航数据的统计及溯源分析。能够对单车历次走航数据、多车走航数据以及不同任务下的走航数据在时间、空间上统计对比分析和溯源分析。还可针对走航车、仪器类型、任务名称、走航时间进行条件检索，并展示仪器监测因子的统计分析，支持统计图的下载。</w:t>
            </w:r>
            <w:r>
              <w:rPr>
                <w:rFonts w:ascii="仿宋" w:eastAsia="仿宋" w:cs="仿宋"/>
                <w:color w:val="auto"/>
                <w:sz w:val="24"/>
                <w:highlight w:val="none"/>
              </w:rPr>
              <w:t xml:space="preserve"> </w:t>
            </w:r>
            <w:r>
              <w:rPr>
                <w:rFonts w:hint="eastAsia" w:ascii="仿宋" w:eastAsia="仿宋" w:cs="仿宋"/>
                <w:color w:val="auto"/>
                <w:sz w:val="24"/>
                <w:highlight w:val="green"/>
                <w:lang w:eastAsia="zh-CN"/>
              </w:rPr>
              <w:t>（</w:t>
            </w:r>
            <w:r>
              <w:rPr>
                <w:rFonts w:hint="eastAsia" w:ascii="仿宋" w:eastAsia="仿宋" w:cs="仿宋"/>
                <w:color w:val="auto"/>
                <w:sz w:val="24"/>
                <w:highlight w:val="green"/>
              </w:rPr>
              <w:t>演示功能点完全符合功能参数要求的，得</w:t>
            </w:r>
            <w:r>
              <w:rPr>
                <w:rFonts w:hint="eastAsia" w:ascii="仿宋" w:eastAsia="仿宋" w:cs="仿宋"/>
                <w:color w:val="auto"/>
                <w:sz w:val="24"/>
                <w:highlight w:val="green"/>
                <w:lang w:val="en-US" w:eastAsia="zh-CN"/>
              </w:rPr>
              <w:t>1</w:t>
            </w:r>
            <w:r>
              <w:rPr>
                <w:rFonts w:hint="eastAsia" w:ascii="仿宋" w:eastAsia="仿宋" w:cs="仿宋"/>
                <w:color w:val="auto"/>
                <w:sz w:val="24"/>
                <w:highlight w:val="green"/>
              </w:rPr>
              <w:t>分</w:t>
            </w:r>
            <w:r>
              <w:rPr>
                <w:rFonts w:hint="eastAsia" w:ascii="仿宋" w:eastAsia="仿宋" w:cs="仿宋"/>
                <w:color w:val="auto"/>
                <w:sz w:val="24"/>
                <w:highlight w:val="green"/>
                <w:lang w:eastAsia="zh-CN"/>
              </w:rPr>
              <w:t>，</w:t>
            </w:r>
            <w:r>
              <w:rPr>
                <w:rFonts w:hint="eastAsia" w:ascii="仿宋" w:eastAsia="仿宋" w:cs="仿宋"/>
                <w:color w:val="auto"/>
                <w:sz w:val="24"/>
                <w:highlight w:val="green"/>
                <w:lang w:val="en-US" w:eastAsia="zh-CN"/>
              </w:rPr>
              <w:t>其他不得分。</w:t>
            </w:r>
            <w:r>
              <w:rPr>
                <w:rFonts w:hint="eastAsia" w:ascii="仿宋" w:eastAsia="仿宋" w:cs="仿宋"/>
                <w:color w:val="auto"/>
                <w:sz w:val="24"/>
                <w:highlight w:val="green"/>
                <w:lang w:eastAsia="zh-CN"/>
              </w:rPr>
              <w:t>）</w:t>
            </w:r>
          </w:p>
        </w:tc>
        <w:tc>
          <w:tcPr>
            <w:tcW w:w="832" w:type="dxa"/>
            <w:tcBorders>
              <w:tl2br w:val="nil"/>
              <w:tr2bl w:val="nil"/>
            </w:tcBorders>
            <w:noWrap w:val="0"/>
            <w:vAlign w:val="center"/>
          </w:tcPr>
          <w:p w14:paraId="75003C9F">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none"/>
              </w:rPr>
              <w:t>5分</w:t>
            </w:r>
          </w:p>
        </w:tc>
      </w:tr>
      <w:tr w14:paraId="1468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0" w:type="dxa"/>
            <w:vMerge w:val="restart"/>
            <w:tcBorders>
              <w:tl2br w:val="nil"/>
              <w:tr2bl w:val="nil"/>
            </w:tcBorders>
            <w:noWrap w:val="0"/>
            <w:vAlign w:val="center"/>
          </w:tcPr>
          <w:p w14:paraId="6974F357">
            <w:pPr>
              <w:adjustRightInd w:val="0"/>
              <w:snapToGrid w:val="0"/>
              <w:spacing w:line="360" w:lineRule="exact"/>
              <w:jc w:val="center"/>
              <w:rPr>
                <w:rFonts w:hint="eastAsia" w:ascii="仿宋" w:eastAsia="仿宋" w:cs="仿宋"/>
                <w:color w:val="auto"/>
                <w:sz w:val="24"/>
                <w:highlight w:val="none"/>
                <w:lang w:eastAsia="zh-CN"/>
              </w:rPr>
            </w:pPr>
            <w:r>
              <w:rPr>
                <w:rFonts w:hint="eastAsia" w:ascii="仿宋" w:eastAsia="仿宋" w:cs="仿宋"/>
                <w:color w:val="auto"/>
                <w:sz w:val="24"/>
                <w:highlight w:val="none"/>
                <w:lang w:val="en-US" w:eastAsia="zh-CN"/>
              </w:rPr>
              <w:t>5</w:t>
            </w:r>
          </w:p>
        </w:tc>
        <w:tc>
          <w:tcPr>
            <w:tcW w:w="1905" w:type="dxa"/>
            <w:vMerge w:val="restart"/>
            <w:tcBorders>
              <w:tl2br w:val="nil"/>
              <w:tr2bl w:val="nil"/>
            </w:tcBorders>
            <w:noWrap w:val="0"/>
            <w:vAlign w:val="center"/>
          </w:tcPr>
          <w:p w14:paraId="77888078">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服务能力考评</w:t>
            </w:r>
          </w:p>
        </w:tc>
        <w:tc>
          <w:tcPr>
            <w:tcW w:w="6195" w:type="dxa"/>
            <w:tcBorders>
              <w:tl2br w:val="nil"/>
              <w:tr2bl w:val="nil"/>
            </w:tcBorders>
            <w:noWrap w:val="0"/>
            <w:vAlign w:val="center"/>
          </w:tcPr>
          <w:p w14:paraId="74294DC6">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lang w:val="en-US" w:eastAsia="zh-CN"/>
              </w:rPr>
              <w:t>5</w:t>
            </w:r>
            <w:r>
              <w:rPr>
                <w:rFonts w:hint="eastAsia" w:ascii="仿宋" w:eastAsia="仿宋" w:cs="仿宋"/>
                <w:color w:val="auto"/>
                <w:sz w:val="24"/>
                <w:highlight w:val="none"/>
              </w:rPr>
              <w:t>.1 走航服务能力考评（</w:t>
            </w:r>
            <w:r>
              <w:rPr>
                <w:rFonts w:hint="eastAsia" w:ascii="仿宋" w:eastAsia="仿宋" w:cs="仿宋"/>
                <w:color w:val="auto"/>
                <w:sz w:val="24"/>
                <w:highlight w:val="none"/>
                <w:lang w:val="en-US" w:eastAsia="zh-CN"/>
              </w:rPr>
              <w:t>2</w:t>
            </w:r>
            <w:r>
              <w:rPr>
                <w:rFonts w:hint="eastAsia" w:ascii="仿宋" w:eastAsia="仿宋" w:cs="仿宋"/>
                <w:color w:val="auto"/>
                <w:sz w:val="24"/>
                <w:highlight w:val="none"/>
              </w:rPr>
              <w:t>分）</w:t>
            </w:r>
          </w:p>
          <w:p w14:paraId="6BBBEA39">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1）考核目标：考察投标人在走航监测方案设计方面的技术能力</w:t>
            </w:r>
          </w:p>
          <w:p w14:paraId="12FAEF3E">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2）考核内容：由投标人选取某</w:t>
            </w:r>
            <w:r>
              <w:rPr>
                <w:rFonts w:hint="eastAsia" w:ascii="仿宋" w:eastAsia="仿宋" w:cs="仿宋"/>
                <w:color w:val="auto"/>
                <w:sz w:val="24"/>
                <w:highlight w:val="none"/>
                <w:lang w:val="en-US" w:eastAsia="zh-CN"/>
              </w:rPr>
              <w:t>工业</w:t>
            </w:r>
            <w:r>
              <w:rPr>
                <w:rFonts w:hint="eastAsia" w:ascii="仿宋" w:eastAsia="仿宋" w:cs="仿宋"/>
                <w:color w:val="auto"/>
                <w:sz w:val="24"/>
                <w:highlight w:val="none"/>
              </w:rPr>
              <w:t>园区应用场景，设计走航方案并规划科学合理的走航路线。走航方案内容应包括但不限于园区基本情况介绍、路线规划依据、走航路线规划、走航方案设计等内容，供应商可以根据实际情况自行扩充。</w:t>
            </w:r>
          </w:p>
          <w:p w14:paraId="31E79EEA">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3）输出内容：按要求在投标文件中提供某</w:t>
            </w:r>
            <w:r>
              <w:rPr>
                <w:rFonts w:hint="eastAsia" w:ascii="仿宋" w:eastAsia="仿宋" w:cs="仿宋"/>
                <w:color w:val="auto"/>
                <w:sz w:val="24"/>
                <w:highlight w:val="none"/>
                <w:lang w:val="en-US" w:eastAsia="zh-CN"/>
              </w:rPr>
              <w:t>工业</w:t>
            </w:r>
            <w:r>
              <w:rPr>
                <w:rFonts w:hint="eastAsia" w:ascii="仿宋" w:eastAsia="仿宋" w:cs="仿宋"/>
                <w:color w:val="auto"/>
                <w:sz w:val="24"/>
                <w:highlight w:val="none"/>
              </w:rPr>
              <w:t>园区走航设计方案1份。</w:t>
            </w:r>
          </w:p>
          <w:p w14:paraId="576BB47E">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4）结果评价：评标小组对投标单位所提供的走航设计方案的完整性、科学性和可行性进行打分，方案完整、科学</w:t>
            </w:r>
            <w:r>
              <w:rPr>
                <w:rFonts w:hint="eastAsia" w:ascii="仿宋" w:eastAsia="仿宋" w:cs="仿宋"/>
                <w:color w:val="auto"/>
                <w:sz w:val="24"/>
                <w:highlight w:val="none"/>
                <w:lang w:eastAsia="zh-CN"/>
              </w:rPr>
              <w:t>、</w:t>
            </w:r>
            <w:r>
              <w:rPr>
                <w:rFonts w:hint="eastAsia" w:ascii="仿宋" w:eastAsia="仿宋" w:cs="仿宋"/>
                <w:color w:val="auto"/>
                <w:sz w:val="24"/>
                <w:highlight w:val="none"/>
              </w:rPr>
              <w:t>可行性</w:t>
            </w:r>
            <w:r>
              <w:rPr>
                <w:rFonts w:hint="eastAsia" w:ascii="仿宋" w:eastAsia="仿宋" w:cs="仿宋"/>
                <w:color w:val="auto"/>
                <w:sz w:val="24"/>
                <w:highlight w:val="none"/>
                <w:lang w:val="en-US" w:eastAsia="zh-CN"/>
              </w:rPr>
              <w:t>强的</w:t>
            </w:r>
            <w:r>
              <w:rPr>
                <w:rFonts w:hint="eastAsia" w:ascii="仿宋" w:eastAsia="仿宋" w:cs="仿宋"/>
                <w:color w:val="auto"/>
                <w:sz w:val="24"/>
                <w:highlight w:val="none"/>
              </w:rPr>
              <w:t>得</w:t>
            </w:r>
            <w:r>
              <w:rPr>
                <w:rFonts w:hint="eastAsia" w:ascii="仿宋" w:eastAsia="仿宋" w:cs="仿宋"/>
                <w:color w:val="auto"/>
                <w:sz w:val="24"/>
                <w:highlight w:val="none"/>
                <w:lang w:val="en-US" w:eastAsia="zh-CN"/>
              </w:rPr>
              <w:t>1.5-2</w:t>
            </w:r>
            <w:r>
              <w:rPr>
                <w:rFonts w:hint="eastAsia" w:ascii="仿宋" w:eastAsia="仿宋" w:cs="仿宋"/>
                <w:color w:val="auto"/>
                <w:sz w:val="24"/>
                <w:highlight w:val="none"/>
              </w:rPr>
              <w:t>分，方案</w:t>
            </w:r>
            <w:r>
              <w:rPr>
                <w:rFonts w:hint="eastAsia" w:ascii="仿宋" w:eastAsia="仿宋" w:cs="仿宋"/>
                <w:color w:val="auto"/>
                <w:sz w:val="24"/>
                <w:highlight w:val="none"/>
                <w:lang w:val="en-US" w:eastAsia="zh-CN"/>
              </w:rPr>
              <w:t>较</w:t>
            </w:r>
            <w:r>
              <w:rPr>
                <w:rFonts w:hint="eastAsia" w:ascii="仿宋" w:eastAsia="仿宋" w:cs="仿宋"/>
                <w:color w:val="auto"/>
                <w:sz w:val="24"/>
                <w:highlight w:val="none"/>
              </w:rPr>
              <w:t>完整、</w:t>
            </w:r>
            <w:r>
              <w:rPr>
                <w:rFonts w:hint="eastAsia" w:ascii="仿宋" w:eastAsia="仿宋" w:cs="仿宋"/>
                <w:color w:val="auto"/>
                <w:sz w:val="24"/>
                <w:highlight w:val="none"/>
                <w:lang w:val="en-US" w:eastAsia="zh-CN"/>
              </w:rPr>
              <w:t>较</w:t>
            </w:r>
            <w:r>
              <w:rPr>
                <w:rFonts w:hint="eastAsia" w:ascii="仿宋" w:eastAsia="仿宋" w:cs="仿宋"/>
                <w:color w:val="auto"/>
                <w:sz w:val="24"/>
                <w:highlight w:val="none"/>
              </w:rPr>
              <w:t>科学</w:t>
            </w:r>
            <w:r>
              <w:rPr>
                <w:rFonts w:hint="eastAsia" w:ascii="仿宋" w:eastAsia="仿宋" w:cs="仿宋"/>
                <w:color w:val="auto"/>
                <w:sz w:val="24"/>
                <w:highlight w:val="none"/>
                <w:lang w:eastAsia="zh-CN"/>
              </w:rPr>
              <w:t>、</w:t>
            </w:r>
            <w:r>
              <w:rPr>
                <w:rFonts w:hint="eastAsia" w:ascii="仿宋" w:eastAsia="仿宋" w:cs="仿宋"/>
                <w:color w:val="auto"/>
                <w:sz w:val="24"/>
                <w:highlight w:val="none"/>
              </w:rPr>
              <w:t>可行性</w:t>
            </w:r>
            <w:r>
              <w:rPr>
                <w:rFonts w:hint="eastAsia" w:ascii="仿宋" w:eastAsia="仿宋" w:cs="仿宋"/>
                <w:color w:val="auto"/>
                <w:sz w:val="24"/>
                <w:highlight w:val="none"/>
                <w:lang w:val="en-US" w:eastAsia="zh-CN"/>
              </w:rPr>
              <w:t>较好的</w:t>
            </w:r>
            <w:r>
              <w:rPr>
                <w:rFonts w:hint="eastAsia" w:ascii="仿宋" w:eastAsia="仿宋" w:cs="仿宋"/>
                <w:color w:val="auto"/>
                <w:sz w:val="24"/>
                <w:highlight w:val="none"/>
              </w:rPr>
              <w:t>得</w:t>
            </w:r>
            <w:r>
              <w:rPr>
                <w:rFonts w:hint="eastAsia" w:ascii="仿宋" w:eastAsia="仿宋" w:cs="仿宋"/>
                <w:color w:val="auto"/>
                <w:sz w:val="24"/>
                <w:highlight w:val="none"/>
                <w:lang w:val="en-US" w:eastAsia="zh-CN"/>
              </w:rPr>
              <w:t>0.7-1.4</w:t>
            </w:r>
            <w:r>
              <w:rPr>
                <w:rFonts w:hint="eastAsia" w:ascii="仿宋" w:eastAsia="仿宋" w:cs="仿宋"/>
                <w:color w:val="auto"/>
                <w:sz w:val="24"/>
                <w:highlight w:val="none"/>
              </w:rPr>
              <w:t>分，方案</w:t>
            </w:r>
            <w:r>
              <w:rPr>
                <w:rFonts w:hint="eastAsia" w:ascii="仿宋" w:eastAsia="仿宋" w:cs="仿宋"/>
                <w:color w:val="auto"/>
                <w:sz w:val="24"/>
                <w:highlight w:val="none"/>
                <w:lang w:val="en-US" w:eastAsia="zh-CN"/>
              </w:rPr>
              <w:t>不太</w:t>
            </w:r>
            <w:r>
              <w:rPr>
                <w:rFonts w:hint="eastAsia" w:ascii="仿宋" w:eastAsia="仿宋" w:cs="仿宋"/>
                <w:color w:val="auto"/>
                <w:sz w:val="24"/>
                <w:highlight w:val="none"/>
              </w:rPr>
              <w:t>完整、</w:t>
            </w:r>
            <w:r>
              <w:rPr>
                <w:rFonts w:hint="eastAsia" w:ascii="仿宋" w:eastAsia="仿宋" w:cs="仿宋"/>
                <w:color w:val="auto"/>
                <w:sz w:val="24"/>
                <w:highlight w:val="none"/>
                <w:lang w:val="en-US" w:eastAsia="zh-CN"/>
              </w:rPr>
              <w:t>欠</w:t>
            </w:r>
            <w:r>
              <w:rPr>
                <w:rFonts w:hint="eastAsia" w:ascii="仿宋" w:eastAsia="仿宋" w:cs="仿宋"/>
                <w:color w:val="auto"/>
                <w:sz w:val="24"/>
                <w:highlight w:val="none"/>
              </w:rPr>
              <w:t>科学</w:t>
            </w:r>
            <w:r>
              <w:rPr>
                <w:rFonts w:hint="eastAsia" w:ascii="仿宋" w:eastAsia="仿宋" w:cs="仿宋"/>
                <w:color w:val="auto"/>
                <w:sz w:val="24"/>
                <w:highlight w:val="none"/>
                <w:lang w:eastAsia="zh-CN"/>
              </w:rPr>
              <w:t>、</w:t>
            </w:r>
            <w:r>
              <w:rPr>
                <w:rFonts w:hint="eastAsia" w:ascii="仿宋" w:eastAsia="仿宋" w:cs="仿宋"/>
                <w:color w:val="auto"/>
                <w:sz w:val="24"/>
                <w:highlight w:val="none"/>
              </w:rPr>
              <w:t>可行性</w:t>
            </w:r>
            <w:r>
              <w:rPr>
                <w:rFonts w:hint="eastAsia" w:ascii="仿宋" w:eastAsia="仿宋" w:cs="仿宋"/>
                <w:color w:val="auto"/>
                <w:sz w:val="24"/>
                <w:highlight w:val="none"/>
                <w:lang w:val="en-US" w:eastAsia="zh-CN"/>
              </w:rPr>
              <w:t>一般的</w:t>
            </w:r>
            <w:r>
              <w:rPr>
                <w:rFonts w:hint="eastAsia" w:ascii="仿宋" w:eastAsia="仿宋" w:cs="仿宋"/>
                <w:color w:val="auto"/>
                <w:sz w:val="24"/>
                <w:highlight w:val="none"/>
              </w:rPr>
              <w:t>得</w:t>
            </w:r>
            <w:r>
              <w:rPr>
                <w:rFonts w:hint="eastAsia" w:ascii="仿宋" w:eastAsia="仿宋" w:cs="仿宋"/>
                <w:color w:val="auto"/>
                <w:sz w:val="24"/>
                <w:highlight w:val="none"/>
                <w:lang w:val="en-US" w:eastAsia="zh-CN"/>
              </w:rPr>
              <w:t>0.1-0.6</w:t>
            </w:r>
            <w:r>
              <w:rPr>
                <w:rFonts w:hint="eastAsia" w:ascii="仿宋" w:eastAsia="仿宋" w:cs="仿宋"/>
                <w:color w:val="auto"/>
                <w:sz w:val="24"/>
                <w:highlight w:val="none"/>
              </w:rPr>
              <w:t>分，未提供不得分。</w:t>
            </w:r>
          </w:p>
        </w:tc>
        <w:tc>
          <w:tcPr>
            <w:tcW w:w="832" w:type="dxa"/>
            <w:tcBorders>
              <w:tl2br w:val="nil"/>
              <w:tr2bl w:val="nil"/>
            </w:tcBorders>
            <w:noWrap w:val="0"/>
            <w:vAlign w:val="center"/>
          </w:tcPr>
          <w:p w14:paraId="2D983714">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none"/>
                <w:lang w:val="en-US" w:eastAsia="zh-CN"/>
              </w:rPr>
              <w:t>2</w:t>
            </w:r>
            <w:r>
              <w:rPr>
                <w:rFonts w:hint="eastAsia" w:ascii="仿宋" w:eastAsia="仿宋" w:cs="仿宋"/>
                <w:color w:val="auto"/>
                <w:sz w:val="24"/>
                <w:highlight w:val="none"/>
              </w:rPr>
              <w:t>分</w:t>
            </w:r>
          </w:p>
        </w:tc>
      </w:tr>
      <w:tr w14:paraId="2F81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0" w:type="dxa"/>
            <w:vMerge w:val="continue"/>
            <w:tcBorders>
              <w:tl2br w:val="nil"/>
              <w:tr2bl w:val="nil"/>
            </w:tcBorders>
            <w:noWrap w:val="0"/>
            <w:vAlign w:val="center"/>
          </w:tcPr>
          <w:p w14:paraId="39F8527A">
            <w:pPr>
              <w:rPr>
                <w:color w:val="auto"/>
                <w:highlight w:val="none"/>
              </w:rPr>
            </w:pPr>
          </w:p>
        </w:tc>
        <w:tc>
          <w:tcPr>
            <w:tcW w:w="1905" w:type="dxa"/>
            <w:vMerge w:val="continue"/>
            <w:tcBorders>
              <w:tl2br w:val="nil"/>
              <w:tr2bl w:val="nil"/>
            </w:tcBorders>
            <w:noWrap w:val="0"/>
            <w:vAlign w:val="center"/>
          </w:tcPr>
          <w:p w14:paraId="40C3FAE5">
            <w:pPr>
              <w:rPr>
                <w:color w:val="auto"/>
                <w:highlight w:val="none"/>
              </w:rPr>
            </w:pPr>
          </w:p>
        </w:tc>
        <w:tc>
          <w:tcPr>
            <w:tcW w:w="6195" w:type="dxa"/>
            <w:tcBorders>
              <w:tl2br w:val="nil"/>
              <w:tr2bl w:val="nil"/>
            </w:tcBorders>
            <w:noWrap w:val="0"/>
            <w:vAlign w:val="center"/>
          </w:tcPr>
          <w:p w14:paraId="3849F9B4">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lang w:val="en-US" w:eastAsia="zh-CN"/>
              </w:rPr>
              <w:t>5</w:t>
            </w:r>
            <w:r>
              <w:rPr>
                <w:rFonts w:hint="eastAsia" w:ascii="仿宋" w:eastAsia="仿宋" w:cs="仿宋"/>
                <w:color w:val="auto"/>
                <w:sz w:val="24"/>
                <w:highlight w:val="none"/>
              </w:rPr>
              <w:t>.2 数据分析能力考评（</w:t>
            </w:r>
            <w:r>
              <w:rPr>
                <w:rFonts w:ascii="仿宋" w:eastAsia="仿宋" w:cs="仿宋"/>
                <w:color w:val="auto"/>
                <w:sz w:val="24"/>
                <w:highlight w:val="none"/>
              </w:rPr>
              <w:t>2</w:t>
            </w:r>
            <w:r>
              <w:rPr>
                <w:rFonts w:hint="eastAsia" w:ascii="仿宋" w:eastAsia="仿宋" w:cs="仿宋"/>
                <w:color w:val="auto"/>
                <w:sz w:val="24"/>
                <w:highlight w:val="none"/>
              </w:rPr>
              <w:t>分）</w:t>
            </w:r>
          </w:p>
          <w:p w14:paraId="49B9E9BF">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1）考核目标：考察投标单位在走航数据分析方面的技术能力</w:t>
            </w:r>
          </w:p>
          <w:p w14:paraId="0B735503">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2）考核内容：投标人提供1份VOCs和PM2.5走航监测数据综合分析报告，报告内容包括但不限于走航监测概况、污染物溯源分析、结论及管控建议等。</w:t>
            </w:r>
          </w:p>
          <w:p w14:paraId="09B2561F">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3）输出内容：按要求在投标文件中提供走航监测数据综合分析报告1份；</w:t>
            </w:r>
          </w:p>
          <w:p w14:paraId="668C3546">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4）结果评价：评标小组现场将根据报告质量进行综合打分，评分标准如下：</w:t>
            </w:r>
          </w:p>
          <w:p w14:paraId="1CE79AA2">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走航监测数据分析报告具有较好的科学性、合理性、先进性的得</w:t>
            </w:r>
            <w:r>
              <w:rPr>
                <w:rFonts w:hint="eastAsia" w:ascii="仿宋" w:eastAsia="仿宋" w:cs="仿宋"/>
                <w:color w:val="auto"/>
                <w:sz w:val="24"/>
                <w:highlight w:val="none"/>
                <w:lang w:val="en-US" w:eastAsia="zh-CN"/>
              </w:rPr>
              <w:t>1.5-</w:t>
            </w:r>
            <w:r>
              <w:rPr>
                <w:rFonts w:ascii="仿宋" w:eastAsia="仿宋" w:cs="仿宋"/>
                <w:color w:val="auto"/>
                <w:sz w:val="24"/>
                <w:highlight w:val="none"/>
              </w:rPr>
              <w:t>2</w:t>
            </w:r>
            <w:r>
              <w:rPr>
                <w:rFonts w:hint="eastAsia" w:ascii="仿宋" w:eastAsia="仿宋" w:cs="仿宋"/>
                <w:color w:val="auto"/>
                <w:sz w:val="24"/>
                <w:highlight w:val="none"/>
              </w:rPr>
              <w:t>分；</w:t>
            </w:r>
          </w:p>
          <w:p w14:paraId="44E903A3">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走航监测数据分析报告具有一定的科学性、合理性、先进性的得</w:t>
            </w:r>
            <w:r>
              <w:rPr>
                <w:rFonts w:hint="eastAsia" w:ascii="仿宋" w:eastAsia="仿宋" w:cs="仿宋"/>
                <w:color w:val="auto"/>
                <w:sz w:val="24"/>
                <w:highlight w:val="none"/>
                <w:lang w:val="en-US" w:eastAsia="zh-CN"/>
              </w:rPr>
              <w:t>0.7-1.4</w:t>
            </w:r>
            <w:r>
              <w:rPr>
                <w:rFonts w:hint="eastAsia" w:ascii="仿宋" w:eastAsia="仿宋" w:cs="仿宋"/>
                <w:color w:val="auto"/>
                <w:sz w:val="24"/>
                <w:highlight w:val="none"/>
              </w:rPr>
              <w:t>分；</w:t>
            </w:r>
          </w:p>
          <w:p w14:paraId="0A75127E">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走航监测数据分析报告不具有科学性、合理性、先进性的</w:t>
            </w:r>
            <w:r>
              <w:rPr>
                <w:rFonts w:hint="eastAsia" w:ascii="仿宋" w:eastAsia="仿宋" w:cs="仿宋"/>
                <w:color w:val="auto"/>
                <w:sz w:val="24"/>
                <w:highlight w:val="none"/>
                <w:lang w:val="en-US" w:eastAsia="zh-CN"/>
              </w:rPr>
              <w:t>得0.1-0.6分，</w:t>
            </w:r>
            <w:r>
              <w:rPr>
                <w:rFonts w:hint="eastAsia" w:ascii="仿宋" w:eastAsia="仿宋" w:cs="仿宋"/>
                <w:color w:val="auto"/>
                <w:sz w:val="24"/>
                <w:highlight w:val="none"/>
              </w:rPr>
              <w:t>未</w:t>
            </w:r>
            <w:r>
              <w:rPr>
                <w:rFonts w:hint="eastAsia" w:ascii="仿宋" w:eastAsia="仿宋" w:cs="仿宋"/>
                <w:color w:val="auto"/>
                <w:sz w:val="24"/>
                <w:highlight w:val="none"/>
                <w:lang w:val="en-US" w:eastAsia="zh-CN"/>
              </w:rPr>
              <w:t>提供的</w:t>
            </w:r>
            <w:r>
              <w:rPr>
                <w:rFonts w:hint="eastAsia" w:ascii="仿宋" w:eastAsia="仿宋" w:cs="仿宋"/>
                <w:color w:val="auto"/>
                <w:sz w:val="24"/>
                <w:highlight w:val="none"/>
              </w:rPr>
              <w:t>不得分。</w:t>
            </w:r>
          </w:p>
        </w:tc>
        <w:tc>
          <w:tcPr>
            <w:tcW w:w="832" w:type="dxa"/>
            <w:tcBorders>
              <w:tl2br w:val="nil"/>
              <w:tr2bl w:val="nil"/>
            </w:tcBorders>
            <w:noWrap w:val="0"/>
            <w:vAlign w:val="center"/>
          </w:tcPr>
          <w:p w14:paraId="0B989446">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none"/>
              </w:rPr>
              <w:t>2分</w:t>
            </w:r>
          </w:p>
        </w:tc>
      </w:tr>
      <w:tr w14:paraId="3309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0" w:type="dxa"/>
            <w:vMerge w:val="restart"/>
            <w:tcBorders>
              <w:tl2br w:val="nil"/>
              <w:tr2bl w:val="nil"/>
            </w:tcBorders>
            <w:noWrap w:val="0"/>
            <w:vAlign w:val="center"/>
          </w:tcPr>
          <w:p w14:paraId="139A93FD">
            <w:pPr>
              <w:adjustRightInd w:val="0"/>
              <w:snapToGrid w:val="0"/>
              <w:spacing w:line="360" w:lineRule="exact"/>
              <w:jc w:val="center"/>
              <w:rPr>
                <w:rFonts w:hint="eastAsia" w:ascii="仿宋" w:eastAsia="仿宋" w:cs="仿宋"/>
                <w:color w:val="auto"/>
                <w:sz w:val="24"/>
                <w:highlight w:val="none"/>
                <w:lang w:eastAsia="zh-CN"/>
              </w:rPr>
            </w:pPr>
            <w:r>
              <w:rPr>
                <w:rFonts w:hint="eastAsia" w:ascii="仿宋" w:eastAsia="仿宋" w:cs="仿宋"/>
                <w:color w:val="auto"/>
                <w:sz w:val="24"/>
                <w:highlight w:val="none"/>
                <w:lang w:val="en-US" w:eastAsia="zh-CN"/>
              </w:rPr>
              <w:t>6</w:t>
            </w:r>
          </w:p>
        </w:tc>
        <w:tc>
          <w:tcPr>
            <w:tcW w:w="1905" w:type="dxa"/>
            <w:vMerge w:val="restart"/>
            <w:tcBorders>
              <w:tl2br w:val="nil"/>
              <w:tr2bl w:val="nil"/>
            </w:tcBorders>
            <w:noWrap w:val="0"/>
            <w:vAlign w:val="center"/>
          </w:tcPr>
          <w:p w14:paraId="70B31A95">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none"/>
              </w:rPr>
              <w:t>项目实施方案</w:t>
            </w:r>
          </w:p>
        </w:tc>
        <w:tc>
          <w:tcPr>
            <w:tcW w:w="6195" w:type="dxa"/>
            <w:tcBorders>
              <w:tl2br w:val="nil"/>
              <w:tr2bl w:val="nil"/>
            </w:tcBorders>
            <w:noWrap w:val="0"/>
            <w:vAlign w:val="center"/>
          </w:tcPr>
          <w:p w14:paraId="280F8CFB">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lang w:val="en-US" w:eastAsia="zh-CN"/>
              </w:rPr>
              <w:t>6</w:t>
            </w:r>
            <w:r>
              <w:rPr>
                <w:rFonts w:hint="eastAsia" w:ascii="仿宋" w:eastAsia="仿宋" w:cs="仿宋"/>
                <w:color w:val="auto"/>
                <w:sz w:val="24"/>
                <w:highlight w:val="none"/>
              </w:rPr>
              <w:t>.1根据投标人提供的项目实施方案（包括货物配送、安装、调试和验收方案）内容进行综合评议：</w:t>
            </w:r>
          </w:p>
          <w:p w14:paraId="466F19E0">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方案中含配送、安装、调试和验收方案等内容，完全满足用户需求，保障措施详细、合理可行的得</w:t>
            </w:r>
            <w:r>
              <w:rPr>
                <w:rFonts w:hint="eastAsia" w:ascii="仿宋" w:eastAsia="仿宋" w:cs="仿宋"/>
                <w:color w:val="auto"/>
                <w:sz w:val="24"/>
                <w:highlight w:val="none"/>
                <w:lang w:val="en-US" w:eastAsia="zh-CN"/>
              </w:rPr>
              <w:t>1.5-2</w:t>
            </w:r>
            <w:r>
              <w:rPr>
                <w:rFonts w:hint="eastAsia" w:ascii="仿宋" w:eastAsia="仿宋" w:cs="仿宋"/>
                <w:color w:val="auto"/>
                <w:sz w:val="24"/>
                <w:highlight w:val="none"/>
              </w:rPr>
              <w:t>分；方案略有欠缺但合理的得</w:t>
            </w:r>
            <w:r>
              <w:rPr>
                <w:rFonts w:hint="eastAsia" w:ascii="仿宋" w:eastAsia="仿宋" w:cs="仿宋"/>
                <w:color w:val="auto"/>
                <w:sz w:val="24"/>
                <w:highlight w:val="none"/>
                <w:lang w:val="en-US" w:eastAsia="zh-CN"/>
              </w:rPr>
              <w:t>0.7-1.4</w:t>
            </w:r>
            <w:r>
              <w:rPr>
                <w:rFonts w:hint="eastAsia" w:ascii="仿宋" w:eastAsia="仿宋" w:cs="仿宋"/>
                <w:color w:val="auto"/>
                <w:sz w:val="24"/>
                <w:highlight w:val="none"/>
              </w:rPr>
              <w:t>分；方案缺乏详尽内容，描述简单的得0.</w:t>
            </w:r>
            <w:r>
              <w:rPr>
                <w:rFonts w:hint="eastAsia" w:ascii="仿宋" w:eastAsia="仿宋" w:cs="仿宋"/>
                <w:color w:val="auto"/>
                <w:sz w:val="24"/>
                <w:highlight w:val="none"/>
                <w:lang w:val="en-US" w:eastAsia="zh-CN"/>
              </w:rPr>
              <w:t>1-0.6</w:t>
            </w:r>
            <w:r>
              <w:rPr>
                <w:rFonts w:hint="eastAsia" w:ascii="仿宋" w:eastAsia="仿宋" w:cs="仿宋"/>
                <w:color w:val="auto"/>
                <w:sz w:val="24"/>
                <w:highlight w:val="none"/>
              </w:rPr>
              <w:t>分；</w:t>
            </w:r>
            <w:r>
              <w:rPr>
                <w:rFonts w:hint="eastAsia" w:ascii="仿宋" w:eastAsia="仿宋" w:cs="仿宋"/>
                <w:color w:val="auto"/>
                <w:sz w:val="24"/>
                <w:highlight w:val="none"/>
                <w:lang w:val="en-US" w:eastAsia="zh-CN"/>
              </w:rPr>
              <w:t>不提供</w:t>
            </w:r>
            <w:r>
              <w:rPr>
                <w:rFonts w:hint="eastAsia" w:ascii="仿宋" w:eastAsia="仿宋" w:cs="仿宋"/>
                <w:color w:val="auto"/>
                <w:sz w:val="24"/>
                <w:highlight w:val="none"/>
              </w:rPr>
              <w:t>的得0分。</w:t>
            </w:r>
          </w:p>
        </w:tc>
        <w:tc>
          <w:tcPr>
            <w:tcW w:w="832" w:type="dxa"/>
            <w:tcBorders>
              <w:tl2br w:val="nil"/>
              <w:tr2bl w:val="nil"/>
            </w:tcBorders>
            <w:noWrap w:val="0"/>
            <w:vAlign w:val="center"/>
          </w:tcPr>
          <w:p w14:paraId="4A196D2C">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none"/>
                <w:lang w:val="en-US" w:eastAsia="zh-CN"/>
              </w:rPr>
              <w:t>2</w:t>
            </w:r>
            <w:r>
              <w:rPr>
                <w:rFonts w:hint="eastAsia" w:ascii="仿宋" w:eastAsia="仿宋" w:cs="仿宋"/>
                <w:color w:val="auto"/>
                <w:sz w:val="24"/>
                <w:highlight w:val="none"/>
              </w:rPr>
              <w:t>分</w:t>
            </w:r>
          </w:p>
        </w:tc>
      </w:tr>
      <w:tr w14:paraId="79F8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80" w:type="dxa"/>
            <w:vMerge w:val="continue"/>
            <w:tcBorders>
              <w:tl2br w:val="nil"/>
              <w:tr2bl w:val="nil"/>
            </w:tcBorders>
            <w:noWrap w:val="0"/>
            <w:vAlign w:val="center"/>
          </w:tcPr>
          <w:p w14:paraId="514C042E">
            <w:pPr>
              <w:rPr>
                <w:color w:val="auto"/>
                <w:highlight w:val="none"/>
              </w:rPr>
            </w:pPr>
          </w:p>
        </w:tc>
        <w:tc>
          <w:tcPr>
            <w:tcW w:w="1905" w:type="dxa"/>
            <w:vMerge w:val="continue"/>
            <w:tcBorders>
              <w:tl2br w:val="nil"/>
              <w:tr2bl w:val="nil"/>
            </w:tcBorders>
            <w:noWrap w:val="0"/>
            <w:vAlign w:val="center"/>
          </w:tcPr>
          <w:p w14:paraId="28953357">
            <w:pPr>
              <w:rPr>
                <w:color w:val="auto"/>
                <w:highlight w:val="none"/>
              </w:rPr>
            </w:pPr>
          </w:p>
        </w:tc>
        <w:tc>
          <w:tcPr>
            <w:tcW w:w="6195" w:type="dxa"/>
            <w:tcBorders>
              <w:tl2br w:val="nil"/>
              <w:tr2bl w:val="nil"/>
            </w:tcBorders>
            <w:noWrap w:val="0"/>
            <w:vAlign w:val="center"/>
          </w:tcPr>
          <w:p w14:paraId="2366ED27">
            <w:pPr>
              <w:adjustRightInd w:val="0"/>
              <w:snapToGrid w:val="0"/>
              <w:spacing w:line="360" w:lineRule="exact"/>
              <w:jc w:val="left"/>
              <w:rPr>
                <w:rFonts w:hint="eastAsia" w:ascii="仿宋" w:eastAsia="仿宋" w:cs="仿宋"/>
                <w:color w:val="auto"/>
                <w:sz w:val="24"/>
                <w:highlight w:val="none"/>
              </w:rPr>
            </w:pPr>
            <w:r>
              <w:rPr>
                <w:rFonts w:hint="eastAsia" w:ascii="仿宋" w:eastAsia="仿宋" w:cs="仿宋"/>
                <w:color w:val="auto"/>
                <w:sz w:val="24"/>
                <w:highlight w:val="none"/>
                <w:lang w:val="en-US" w:eastAsia="zh-CN"/>
              </w:rPr>
              <w:t>6</w:t>
            </w:r>
            <w:r>
              <w:rPr>
                <w:rFonts w:hint="eastAsia" w:ascii="仿宋" w:eastAsia="仿宋" w:cs="仿宋"/>
                <w:color w:val="auto"/>
                <w:sz w:val="24"/>
                <w:highlight w:val="none"/>
              </w:rPr>
              <w:t>.2投标人提供的项目实施方案需满足数据接入和信息化要求：</w:t>
            </w:r>
          </w:p>
          <w:p w14:paraId="10E493A7">
            <w:pPr>
              <w:adjustRightInd w:val="0"/>
              <w:snapToGrid w:val="0"/>
              <w:spacing w:line="360" w:lineRule="exact"/>
              <w:jc w:val="left"/>
              <w:rPr>
                <w:rFonts w:hint="eastAsia" w:ascii="仿宋" w:eastAsia="仿宋" w:cs="仿宋"/>
                <w:color w:val="auto"/>
                <w:sz w:val="24"/>
                <w:highlight w:val="none"/>
              </w:rPr>
            </w:pPr>
            <w:r>
              <w:rPr>
                <w:rFonts w:hint="eastAsia" w:ascii="仿宋" w:eastAsia="仿宋" w:cs="仿宋"/>
                <w:color w:val="auto"/>
                <w:sz w:val="24"/>
                <w:highlight w:val="none"/>
              </w:rPr>
              <w:t>方案中数据接入和信息化内容完全满足用户需求，保障措施详细、合理可行的得</w:t>
            </w:r>
            <w:r>
              <w:rPr>
                <w:rFonts w:hint="eastAsia" w:ascii="仿宋" w:eastAsia="仿宋" w:cs="仿宋"/>
                <w:color w:val="auto"/>
                <w:sz w:val="24"/>
                <w:highlight w:val="none"/>
                <w:lang w:val="en-US" w:eastAsia="zh-CN"/>
              </w:rPr>
              <w:t>1.5-2</w:t>
            </w:r>
            <w:r>
              <w:rPr>
                <w:rFonts w:hint="eastAsia" w:ascii="仿宋" w:eastAsia="仿宋" w:cs="仿宋"/>
                <w:color w:val="auto"/>
                <w:sz w:val="24"/>
                <w:highlight w:val="none"/>
              </w:rPr>
              <w:t>分；方案略有欠缺但合理的得</w:t>
            </w:r>
            <w:r>
              <w:rPr>
                <w:rFonts w:hint="eastAsia" w:ascii="仿宋" w:eastAsia="仿宋" w:cs="仿宋"/>
                <w:color w:val="auto"/>
                <w:sz w:val="24"/>
                <w:highlight w:val="none"/>
                <w:lang w:val="en-US" w:eastAsia="zh-CN"/>
              </w:rPr>
              <w:t>0.7-1.4</w:t>
            </w:r>
            <w:r>
              <w:rPr>
                <w:rFonts w:hint="eastAsia" w:ascii="仿宋" w:eastAsia="仿宋" w:cs="仿宋"/>
                <w:color w:val="auto"/>
                <w:sz w:val="24"/>
                <w:highlight w:val="none"/>
              </w:rPr>
              <w:t>分；方案缺乏详尽内容，描述简单的得0.</w:t>
            </w:r>
            <w:r>
              <w:rPr>
                <w:rFonts w:hint="eastAsia" w:ascii="仿宋" w:eastAsia="仿宋" w:cs="仿宋"/>
                <w:color w:val="auto"/>
                <w:sz w:val="24"/>
                <w:highlight w:val="none"/>
                <w:lang w:val="en-US" w:eastAsia="zh-CN"/>
              </w:rPr>
              <w:t>1-0.6</w:t>
            </w:r>
            <w:r>
              <w:rPr>
                <w:rFonts w:hint="eastAsia" w:ascii="仿宋" w:eastAsia="仿宋" w:cs="仿宋"/>
                <w:color w:val="auto"/>
                <w:sz w:val="24"/>
                <w:highlight w:val="none"/>
              </w:rPr>
              <w:t>分；</w:t>
            </w:r>
            <w:r>
              <w:rPr>
                <w:rFonts w:hint="eastAsia" w:ascii="仿宋" w:eastAsia="仿宋" w:cs="仿宋"/>
                <w:color w:val="auto"/>
                <w:sz w:val="24"/>
                <w:highlight w:val="none"/>
                <w:lang w:val="en-US" w:eastAsia="zh-CN"/>
              </w:rPr>
              <w:t>不提供方案或</w:t>
            </w:r>
            <w:r>
              <w:rPr>
                <w:rFonts w:hint="eastAsia" w:ascii="仿宋" w:eastAsia="仿宋" w:cs="仿宋"/>
                <w:color w:val="auto"/>
                <w:sz w:val="24"/>
                <w:highlight w:val="none"/>
              </w:rPr>
              <w:t>方案不能满足</w:t>
            </w:r>
            <w:r>
              <w:rPr>
                <w:rFonts w:hint="eastAsia" w:ascii="仿宋" w:eastAsia="仿宋" w:cs="仿宋"/>
                <w:color w:val="auto"/>
                <w:sz w:val="24"/>
                <w:highlight w:val="none"/>
                <w:lang w:val="en-US" w:eastAsia="zh-CN"/>
              </w:rPr>
              <w:t>要求</w:t>
            </w:r>
            <w:r>
              <w:rPr>
                <w:rFonts w:hint="eastAsia" w:ascii="仿宋" w:eastAsia="仿宋" w:cs="仿宋"/>
                <w:color w:val="auto"/>
                <w:sz w:val="24"/>
                <w:highlight w:val="none"/>
              </w:rPr>
              <w:t>的得0分。</w:t>
            </w:r>
          </w:p>
        </w:tc>
        <w:tc>
          <w:tcPr>
            <w:tcW w:w="832" w:type="dxa"/>
            <w:tcBorders>
              <w:tl2br w:val="nil"/>
              <w:tr2bl w:val="nil"/>
            </w:tcBorders>
            <w:noWrap w:val="0"/>
            <w:vAlign w:val="center"/>
          </w:tcPr>
          <w:p w14:paraId="07D4BFA8">
            <w:pPr>
              <w:adjustRightInd w:val="0"/>
              <w:snapToGrid w:val="0"/>
              <w:spacing w:line="360" w:lineRule="exact"/>
              <w:jc w:val="center"/>
              <w:rPr>
                <w:rFonts w:hint="eastAsia" w:ascii="仿宋" w:eastAsia="仿宋" w:cs="仿宋"/>
                <w:color w:val="auto"/>
                <w:sz w:val="24"/>
                <w:highlight w:val="none"/>
              </w:rPr>
            </w:pPr>
            <w:r>
              <w:rPr>
                <w:rFonts w:hint="eastAsia" w:ascii="仿宋" w:eastAsia="仿宋" w:cs="仿宋"/>
                <w:color w:val="auto"/>
                <w:sz w:val="24"/>
                <w:highlight w:val="none"/>
                <w:lang w:val="en-US" w:eastAsia="zh-CN"/>
              </w:rPr>
              <w:t>2</w:t>
            </w:r>
            <w:r>
              <w:rPr>
                <w:rFonts w:hint="eastAsia" w:ascii="仿宋" w:eastAsia="仿宋" w:cs="仿宋"/>
                <w:color w:val="auto"/>
                <w:sz w:val="24"/>
                <w:highlight w:val="none"/>
              </w:rPr>
              <w:t>分</w:t>
            </w:r>
          </w:p>
        </w:tc>
      </w:tr>
      <w:tr w14:paraId="3DB2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780" w:type="dxa"/>
            <w:tcBorders>
              <w:tl2br w:val="nil"/>
              <w:tr2bl w:val="nil"/>
            </w:tcBorders>
            <w:noWrap w:val="0"/>
            <w:vAlign w:val="center"/>
          </w:tcPr>
          <w:p w14:paraId="76E8BDF1">
            <w:pPr>
              <w:adjustRightInd w:val="0"/>
              <w:snapToGrid w:val="0"/>
              <w:spacing w:line="360" w:lineRule="exact"/>
              <w:jc w:val="center"/>
              <w:rPr>
                <w:rFonts w:hint="eastAsia" w:ascii="仿宋" w:eastAsia="仿宋" w:cs="仿宋"/>
                <w:color w:val="auto"/>
                <w:sz w:val="24"/>
                <w:highlight w:val="none"/>
                <w:lang w:eastAsia="zh-CN"/>
              </w:rPr>
            </w:pPr>
            <w:r>
              <w:rPr>
                <w:rFonts w:hint="eastAsia" w:ascii="仿宋" w:eastAsia="仿宋" w:cs="仿宋"/>
                <w:color w:val="auto"/>
                <w:sz w:val="24"/>
                <w:highlight w:val="none"/>
                <w:lang w:val="en-US" w:eastAsia="zh-CN"/>
              </w:rPr>
              <w:t>7</w:t>
            </w:r>
          </w:p>
        </w:tc>
        <w:tc>
          <w:tcPr>
            <w:tcW w:w="1905" w:type="dxa"/>
            <w:tcBorders>
              <w:tl2br w:val="nil"/>
              <w:tr2bl w:val="nil"/>
            </w:tcBorders>
            <w:noWrap w:val="0"/>
            <w:vAlign w:val="center"/>
          </w:tcPr>
          <w:p w14:paraId="34D325FC">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运维服务方案</w:t>
            </w:r>
          </w:p>
        </w:tc>
        <w:tc>
          <w:tcPr>
            <w:tcW w:w="6195" w:type="dxa"/>
            <w:tcBorders>
              <w:tl2br w:val="nil"/>
              <w:tr2bl w:val="nil"/>
            </w:tcBorders>
            <w:noWrap w:val="0"/>
            <w:vAlign w:val="center"/>
          </w:tcPr>
          <w:p w14:paraId="2F14D118">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对投标人提供的运维服务方案的完整性、规范性、可行性等进行综合分析比较评分，重点考察投标人的运维计划、管理制度等，对招标文件中运行维护要求的响应程度进行评分：</w:t>
            </w:r>
          </w:p>
          <w:p w14:paraId="1E2CCCA2">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运维服务方案完整、规范、操作性强，完全满足要求的得</w:t>
            </w:r>
            <w:r>
              <w:rPr>
                <w:rFonts w:hint="eastAsia" w:ascii="仿宋" w:eastAsia="仿宋" w:cs="仿宋"/>
                <w:color w:val="auto"/>
                <w:sz w:val="24"/>
                <w:highlight w:val="none"/>
                <w:lang w:val="en-US" w:eastAsia="zh-CN"/>
              </w:rPr>
              <w:t>1.5-2</w:t>
            </w:r>
            <w:r>
              <w:rPr>
                <w:rFonts w:hint="eastAsia" w:ascii="仿宋" w:eastAsia="仿宋" w:cs="仿宋"/>
                <w:color w:val="auto"/>
                <w:sz w:val="24"/>
                <w:highlight w:val="none"/>
              </w:rPr>
              <w:t>分；方案略有欠缺但合理的得</w:t>
            </w:r>
            <w:r>
              <w:rPr>
                <w:rFonts w:hint="eastAsia" w:ascii="仿宋" w:eastAsia="仿宋" w:cs="仿宋"/>
                <w:color w:val="auto"/>
                <w:sz w:val="24"/>
                <w:highlight w:val="none"/>
                <w:lang w:val="en-US" w:eastAsia="zh-CN"/>
              </w:rPr>
              <w:t>0.7-1.4</w:t>
            </w:r>
            <w:r>
              <w:rPr>
                <w:rFonts w:hint="eastAsia" w:ascii="仿宋" w:eastAsia="仿宋" w:cs="仿宋"/>
                <w:color w:val="auto"/>
                <w:sz w:val="24"/>
                <w:highlight w:val="none"/>
              </w:rPr>
              <w:t>分；方案缺乏详尽内容，描述简单的得0.</w:t>
            </w:r>
            <w:r>
              <w:rPr>
                <w:rFonts w:hint="eastAsia" w:ascii="仿宋" w:eastAsia="仿宋" w:cs="仿宋"/>
                <w:color w:val="auto"/>
                <w:sz w:val="24"/>
                <w:highlight w:val="none"/>
                <w:lang w:val="en-US" w:eastAsia="zh-CN"/>
              </w:rPr>
              <w:t>1-0.6</w:t>
            </w:r>
            <w:r>
              <w:rPr>
                <w:rFonts w:hint="eastAsia" w:ascii="仿宋" w:eastAsia="仿宋" w:cs="仿宋"/>
                <w:color w:val="auto"/>
                <w:sz w:val="24"/>
                <w:highlight w:val="none"/>
              </w:rPr>
              <w:t>分；</w:t>
            </w:r>
            <w:r>
              <w:rPr>
                <w:rFonts w:hint="eastAsia" w:ascii="仿宋" w:eastAsia="仿宋" w:cs="仿宋"/>
                <w:color w:val="auto"/>
                <w:sz w:val="24"/>
                <w:highlight w:val="none"/>
                <w:lang w:val="en-US" w:eastAsia="zh-CN"/>
              </w:rPr>
              <w:t>不提供方案或</w:t>
            </w:r>
            <w:r>
              <w:rPr>
                <w:rFonts w:hint="eastAsia" w:ascii="仿宋" w:eastAsia="仿宋" w:cs="仿宋"/>
                <w:color w:val="auto"/>
                <w:sz w:val="24"/>
                <w:highlight w:val="none"/>
              </w:rPr>
              <w:t>方案不合理的得0分。</w:t>
            </w:r>
          </w:p>
        </w:tc>
        <w:tc>
          <w:tcPr>
            <w:tcW w:w="832" w:type="dxa"/>
            <w:tcBorders>
              <w:tl2br w:val="nil"/>
              <w:tr2bl w:val="nil"/>
            </w:tcBorders>
            <w:noWrap w:val="0"/>
            <w:vAlign w:val="center"/>
          </w:tcPr>
          <w:p w14:paraId="4EE6AC5D">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none"/>
                <w:lang w:val="en-US" w:eastAsia="zh-CN"/>
              </w:rPr>
              <w:t>2</w:t>
            </w:r>
            <w:r>
              <w:rPr>
                <w:rFonts w:hint="eastAsia" w:ascii="仿宋" w:eastAsia="仿宋" w:cs="仿宋"/>
                <w:color w:val="auto"/>
                <w:sz w:val="24"/>
                <w:highlight w:val="none"/>
              </w:rPr>
              <w:t>分</w:t>
            </w:r>
          </w:p>
        </w:tc>
      </w:tr>
      <w:tr w14:paraId="259C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0" w:type="dxa"/>
            <w:tcBorders>
              <w:tl2br w:val="nil"/>
              <w:tr2bl w:val="nil"/>
            </w:tcBorders>
            <w:noWrap w:val="0"/>
            <w:vAlign w:val="center"/>
          </w:tcPr>
          <w:p w14:paraId="072B45FD">
            <w:pPr>
              <w:adjustRightInd w:val="0"/>
              <w:snapToGrid w:val="0"/>
              <w:spacing w:line="360" w:lineRule="exact"/>
              <w:jc w:val="center"/>
              <w:rPr>
                <w:rFonts w:hint="eastAsia" w:ascii="仿宋" w:eastAsia="仿宋" w:cs="仿宋"/>
                <w:color w:val="auto"/>
                <w:sz w:val="24"/>
                <w:highlight w:val="none"/>
                <w:lang w:eastAsia="zh-CN"/>
              </w:rPr>
            </w:pPr>
            <w:r>
              <w:rPr>
                <w:rFonts w:hint="eastAsia" w:ascii="仿宋" w:eastAsia="仿宋" w:cs="仿宋"/>
                <w:color w:val="auto"/>
                <w:sz w:val="24"/>
                <w:highlight w:val="none"/>
                <w:lang w:val="en-US" w:eastAsia="zh-CN"/>
              </w:rPr>
              <w:t>8</w:t>
            </w:r>
          </w:p>
        </w:tc>
        <w:tc>
          <w:tcPr>
            <w:tcW w:w="1905" w:type="dxa"/>
            <w:tcBorders>
              <w:tl2br w:val="nil"/>
              <w:tr2bl w:val="nil"/>
            </w:tcBorders>
            <w:noWrap w:val="0"/>
            <w:vAlign w:val="center"/>
          </w:tcPr>
          <w:p w14:paraId="6E5418EB">
            <w:pPr>
              <w:adjustRightInd w:val="0"/>
              <w:snapToGrid w:val="0"/>
              <w:spacing w:line="360" w:lineRule="exact"/>
              <w:jc w:val="left"/>
              <w:rPr>
                <w:rFonts w:hint="eastAsia" w:ascii="仿宋" w:eastAsia="仿宋" w:cs="仿宋"/>
                <w:color w:val="auto"/>
                <w:sz w:val="24"/>
                <w:highlight w:val="none"/>
              </w:rPr>
            </w:pPr>
            <w:r>
              <w:rPr>
                <w:rFonts w:hint="eastAsia" w:ascii="仿宋" w:eastAsia="仿宋" w:cs="仿宋"/>
                <w:color w:val="auto"/>
                <w:sz w:val="24"/>
                <w:highlight w:val="none"/>
              </w:rPr>
              <w:t>车辆</w:t>
            </w:r>
            <w:r>
              <w:rPr>
                <w:rFonts w:ascii="仿宋" w:eastAsia="仿宋" w:cs="仿宋"/>
                <w:color w:val="auto"/>
                <w:sz w:val="24"/>
                <w:highlight w:val="none"/>
              </w:rPr>
              <w:t>及</w:t>
            </w:r>
            <w:r>
              <w:rPr>
                <w:rFonts w:hint="eastAsia" w:ascii="仿宋" w:eastAsia="仿宋" w:cs="仿宋"/>
                <w:color w:val="auto"/>
                <w:sz w:val="24"/>
                <w:highlight w:val="none"/>
              </w:rPr>
              <w:t>改装方案</w:t>
            </w:r>
          </w:p>
        </w:tc>
        <w:tc>
          <w:tcPr>
            <w:tcW w:w="6195" w:type="dxa"/>
            <w:tcBorders>
              <w:tl2br w:val="nil"/>
              <w:tr2bl w:val="nil"/>
            </w:tcBorders>
            <w:noWrap w:val="0"/>
            <w:vAlign w:val="center"/>
          </w:tcPr>
          <w:p w14:paraId="3580CCF7">
            <w:pPr>
              <w:adjustRightInd w:val="0"/>
              <w:snapToGrid w:val="0"/>
              <w:spacing w:line="360" w:lineRule="exact"/>
              <w:jc w:val="left"/>
              <w:rPr>
                <w:rFonts w:hint="eastAsia" w:ascii="仿宋" w:eastAsia="仿宋" w:cs="仿宋"/>
                <w:color w:val="auto"/>
                <w:sz w:val="24"/>
                <w:highlight w:val="none"/>
              </w:rPr>
            </w:pPr>
            <w:r>
              <w:rPr>
                <w:rFonts w:hint="eastAsia" w:ascii="仿宋" w:eastAsia="仿宋" w:cs="仿宋"/>
                <w:color w:val="auto"/>
                <w:sz w:val="24"/>
                <w:highlight w:val="none"/>
              </w:rPr>
              <w:t>对投标人提供的车辆改装方案的详细程</w:t>
            </w:r>
            <w:r>
              <w:rPr>
                <w:rFonts w:hint="eastAsia" w:ascii="仿宋" w:hAnsi="Times New Roman" w:eastAsia="仿宋" w:cs="仿宋"/>
                <w:color w:val="auto"/>
                <w:sz w:val="24"/>
                <w:highlight w:val="none"/>
              </w:rPr>
              <w:t>度及其合理性</w:t>
            </w:r>
            <w:r>
              <w:rPr>
                <w:rFonts w:hint="eastAsia" w:ascii="仿宋" w:hAnsi="Times New Roman" w:eastAsia="仿宋" w:cs="仿宋"/>
                <w:color w:val="auto"/>
                <w:sz w:val="24"/>
                <w:highlight w:val="none"/>
                <w:lang w:eastAsia="zh-CN"/>
              </w:rPr>
              <w:t>（</w:t>
            </w:r>
            <w:r>
              <w:rPr>
                <w:rFonts w:hint="eastAsia" w:ascii="仿宋" w:hAnsi="Times New Roman" w:eastAsia="仿宋" w:cs="仿宋"/>
                <w:color w:val="auto"/>
                <w:sz w:val="24"/>
                <w:highlight w:val="none"/>
                <w:lang w:val="en-US" w:eastAsia="zh-CN"/>
              </w:rPr>
              <w:t>改装方案须经车辆生产厂商认证认可或经相关改装车辆检测机构检测认定的</w:t>
            </w:r>
            <w:r>
              <w:rPr>
                <w:rFonts w:hint="eastAsia" w:ascii="仿宋" w:hAnsi="Times New Roman" w:eastAsia="仿宋" w:cs="仿宋"/>
                <w:color w:val="auto"/>
                <w:sz w:val="24"/>
                <w:highlight w:val="none"/>
                <w:lang w:eastAsia="zh-CN"/>
              </w:rPr>
              <w:t>）</w:t>
            </w:r>
            <w:r>
              <w:rPr>
                <w:rFonts w:hint="eastAsia" w:ascii="仿宋" w:hAnsi="Times New Roman" w:eastAsia="仿宋" w:cs="仿宋"/>
                <w:color w:val="auto"/>
                <w:sz w:val="24"/>
                <w:highlight w:val="none"/>
              </w:rPr>
              <w:t>进行打分，方案详细且合理的得</w:t>
            </w:r>
            <w:r>
              <w:rPr>
                <w:rFonts w:hint="eastAsia" w:ascii="仿宋" w:eastAsia="仿宋" w:cs="仿宋"/>
                <w:color w:val="auto"/>
                <w:sz w:val="24"/>
                <w:highlight w:val="none"/>
                <w:lang w:val="en-US" w:eastAsia="zh-CN"/>
              </w:rPr>
              <w:t>1.5-</w:t>
            </w:r>
            <w:r>
              <w:rPr>
                <w:rFonts w:hint="eastAsia" w:ascii="仿宋" w:eastAsia="仿宋" w:cs="仿宋"/>
                <w:color w:val="auto"/>
                <w:sz w:val="24"/>
                <w:highlight w:val="none"/>
              </w:rPr>
              <w:t>2</w:t>
            </w:r>
            <w:r>
              <w:rPr>
                <w:rFonts w:hint="eastAsia" w:ascii="仿宋" w:hAnsi="Times New Roman" w:eastAsia="仿宋" w:cs="仿宋"/>
                <w:color w:val="auto"/>
                <w:sz w:val="24"/>
                <w:highlight w:val="none"/>
              </w:rPr>
              <w:t>分</w:t>
            </w:r>
            <w:r>
              <w:rPr>
                <w:rFonts w:hint="eastAsia" w:ascii="仿宋" w:hAnsi="Times New Roman" w:eastAsia="仿宋" w:cs="仿宋"/>
                <w:color w:val="auto"/>
                <w:sz w:val="24"/>
                <w:highlight w:val="none"/>
                <w:lang w:eastAsia="zh-CN"/>
              </w:rPr>
              <w:t>，</w:t>
            </w:r>
            <w:r>
              <w:rPr>
                <w:rFonts w:hint="eastAsia" w:ascii="仿宋" w:hAnsi="Times New Roman" w:eastAsia="仿宋" w:cs="仿宋"/>
                <w:color w:val="auto"/>
                <w:sz w:val="24"/>
                <w:highlight w:val="none"/>
              </w:rPr>
              <w:t>方案比较详细合理的得</w:t>
            </w:r>
            <w:r>
              <w:rPr>
                <w:rFonts w:hint="eastAsia" w:ascii="仿宋" w:eastAsia="仿宋" w:cs="仿宋"/>
                <w:color w:val="auto"/>
                <w:sz w:val="24"/>
                <w:highlight w:val="none"/>
                <w:lang w:val="en-US" w:eastAsia="zh-CN"/>
              </w:rPr>
              <w:t>0.7-1.4</w:t>
            </w:r>
            <w:r>
              <w:rPr>
                <w:rFonts w:hint="eastAsia" w:ascii="仿宋" w:eastAsia="仿宋" w:cs="仿宋"/>
                <w:color w:val="auto"/>
                <w:sz w:val="24"/>
                <w:highlight w:val="none"/>
              </w:rPr>
              <w:t>分</w:t>
            </w:r>
            <w:r>
              <w:rPr>
                <w:rFonts w:hint="eastAsia" w:ascii="仿宋" w:eastAsia="仿宋" w:cs="仿宋"/>
                <w:color w:val="auto"/>
                <w:sz w:val="24"/>
                <w:highlight w:val="none"/>
                <w:lang w:eastAsia="zh-CN"/>
              </w:rPr>
              <w:t>，</w:t>
            </w:r>
            <w:r>
              <w:rPr>
                <w:rFonts w:hint="eastAsia" w:ascii="仿宋" w:eastAsia="仿宋" w:cs="仿宋"/>
                <w:color w:val="auto"/>
                <w:sz w:val="24"/>
                <w:highlight w:val="none"/>
                <w:lang w:val="en-US" w:eastAsia="zh-CN"/>
              </w:rPr>
              <w:t>方案内容一般的得0.1-0.6，不提供方案或</w:t>
            </w:r>
            <w:r>
              <w:rPr>
                <w:rFonts w:hint="eastAsia" w:ascii="仿宋" w:eastAsia="仿宋" w:cs="仿宋"/>
                <w:color w:val="auto"/>
                <w:sz w:val="24"/>
                <w:highlight w:val="none"/>
              </w:rPr>
              <w:t>方案不能满足采购需求、不合理的得0分。</w:t>
            </w:r>
          </w:p>
        </w:tc>
        <w:tc>
          <w:tcPr>
            <w:tcW w:w="832" w:type="dxa"/>
            <w:tcBorders>
              <w:tl2br w:val="nil"/>
              <w:tr2bl w:val="nil"/>
            </w:tcBorders>
            <w:noWrap w:val="0"/>
            <w:vAlign w:val="center"/>
          </w:tcPr>
          <w:p w14:paraId="6EFFD594">
            <w:pPr>
              <w:adjustRightInd w:val="0"/>
              <w:snapToGrid w:val="0"/>
              <w:spacing w:line="360" w:lineRule="exact"/>
              <w:jc w:val="center"/>
              <w:rPr>
                <w:rFonts w:hint="eastAsia" w:ascii="仿宋" w:eastAsia="仿宋" w:cs="仿宋"/>
                <w:color w:val="auto"/>
                <w:sz w:val="24"/>
                <w:highlight w:val="none"/>
              </w:rPr>
            </w:pPr>
            <w:r>
              <w:rPr>
                <w:rFonts w:hint="eastAsia" w:ascii="仿宋" w:eastAsia="仿宋" w:cs="仿宋"/>
                <w:color w:val="auto"/>
                <w:sz w:val="24"/>
                <w:highlight w:val="none"/>
              </w:rPr>
              <w:t>2分</w:t>
            </w:r>
          </w:p>
        </w:tc>
      </w:tr>
      <w:tr w14:paraId="4D61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0" w:type="dxa"/>
            <w:vMerge w:val="restart"/>
            <w:tcBorders>
              <w:tl2br w:val="nil"/>
              <w:tr2bl w:val="nil"/>
            </w:tcBorders>
            <w:noWrap w:val="0"/>
            <w:vAlign w:val="center"/>
          </w:tcPr>
          <w:p w14:paraId="5081BBF9">
            <w:pPr>
              <w:adjustRightInd w:val="0"/>
              <w:snapToGrid w:val="0"/>
              <w:spacing w:line="360" w:lineRule="exact"/>
              <w:jc w:val="center"/>
              <w:rPr>
                <w:rFonts w:hint="default" w:ascii="仿宋" w:eastAsia="仿宋" w:cs="仿宋"/>
                <w:color w:val="auto"/>
                <w:sz w:val="24"/>
                <w:highlight w:val="none"/>
                <w:lang w:val="en-US" w:eastAsia="zh-CN"/>
              </w:rPr>
            </w:pPr>
            <w:r>
              <w:rPr>
                <w:rFonts w:hint="eastAsia" w:ascii="仿宋" w:eastAsia="仿宋" w:cs="仿宋"/>
                <w:color w:val="auto"/>
                <w:sz w:val="24"/>
                <w:highlight w:val="none"/>
                <w:lang w:val="en-US" w:eastAsia="zh-CN"/>
              </w:rPr>
              <w:t>9</w:t>
            </w:r>
          </w:p>
        </w:tc>
        <w:tc>
          <w:tcPr>
            <w:tcW w:w="1905" w:type="dxa"/>
            <w:vMerge w:val="restart"/>
            <w:tcBorders>
              <w:tl2br w:val="nil"/>
              <w:tr2bl w:val="nil"/>
            </w:tcBorders>
            <w:noWrap w:val="0"/>
            <w:vAlign w:val="center"/>
          </w:tcPr>
          <w:p w14:paraId="0DA40029">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重点及难点解决方案</w:t>
            </w:r>
          </w:p>
        </w:tc>
        <w:tc>
          <w:tcPr>
            <w:tcW w:w="6195" w:type="dxa"/>
            <w:tcBorders>
              <w:tl2br w:val="nil"/>
              <w:tr2bl w:val="nil"/>
            </w:tcBorders>
            <w:noWrap w:val="0"/>
            <w:vAlign w:val="center"/>
          </w:tcPr>
          <w:p w14:paraId="5548FC67">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lang w:val="en-US" w:eastAsia="zh-CN"/>
              </w:rPr>
              <w:t>9</w:t>
            </w:r>
            <w:r>
              <w:rPr>
                <w:rFonts w:hint="eastAsia" w:ascii="仿宋" w:eastAsia="仿宋" w:cs="仿宋"/>
                <w:color w:val="auto"/>
                <w:sz w:val="24"/>
                <w:highlight w:val="none"/>
              </w:rPr>
              <w:t>.1 本项目的重点为</w:t>
            </w:r>
            <w:r>
              <w:rPr>
                <w:rFonts w:hint="eastAsia" w:ascii="仿宋" w:eastAsia="仿宋" w:cs="仿宋"/>
                <w:color w:val="auto"/>
                <w:sz w:val="24"/>
                <w:highlight w:val="none"/>
                <w:lang w:eastAsia="zh-CN"/>
              </w:rPr>
              <w:t>重污染天气</w:t>
            </w:r>
            <w:r>
              <w:rPr>
                <w:rFonts w:hint="eastAsia" w:ascii="仿宋" w:eastAsia="仿宋" w:cs="仿宋"/>
                <w:color w:val="auto"/>
                <w:sz w:val="24"/>
                <w:highlight w:val="none"/>
              </w:rPr>
              <w:t>走航工作的组织实施，要求供应商提供</w:t>
            </w:r>
            <w:r>
              <w:rPr>
                <w:rFonts w:hint="eastAsia" w:ascii="仿宋" w:eastAsia="仿宋" w:cs="仿宋"/>
                <w:color w:val="auto"/>
                <w:sz w:val="24"/>
                <w:highlight w:val="none"/>
                <w:lang w:eastAsia="zh-CN"/>
              </w:rPr>
              <w:t>重污染天气应急</w:t>
            </w:r>
            <w:r>
              <w:rPr>
                <w:rFonts w:hint="eastAsia" w:ascii="仿宋" w:eastAsia="仿宋" w:cs="仿宋"/>
                <w:color w:val="auto"/>
                <w:sz w:val="24"/>
                <w:highlight w:val="none"/>
              </w:rPr>
              <w:t>走航工作方案</w:t>
            </w:r>
            <w:r>
              <w:rPr>
                <w:rFonts w:hint="eastAsia" w:ascii="仿宋" w:eastAsia="仿宋" w:cs="仿宋"/>
                <w:color w:val="auto"/>
                <w:sz w:val="24"/>
                <w:highlight w:val="none"/>
                <w:lang w:eastAsia="zh-CN"/>
              </w:rPr>
              <w:t>和管控建议</w:t>
            </w:r>
            <w:r>
              <w:rPr>
                <w:rFonts w:hint="eastAsia" w:ascii="仿宋" w:eastAsia="仿宋" w:cs="仿宋"/>
                <w:color w:val="auto"/>
                <w:sz w:val="24"/>
                <w:highlight w:val="none"/>
              </w:rPr>
              <w:t>，方案内容包括但不限于保障目标、保障组织、</w:t>
            </w:r>
            <w:r>
              <w:rPr>
                <w:rFonts w:hint="eastAsia" w:ascii="仿宋" w:eastAsia="仿宋" w:cs="仿宋"/>
                <w:color w:val="auto"/>
                <w:sz w:val="24"/>
                <w:highlight w:val="none"/>
                <w:lang w:eastAsia="zh-CN"/>
              </w:rPr>
              <w:t>重污染天气发生后</w:t>
            </w:r>
            <w:r>
              <w:rPr>
                <w:rFonts w:hint="eastAsia" w:ascii="仿宋" w:eastAsia="仿宋" w:cs="仿宋"/>
                <w:color w:val="auto"/>
                <w:sz w:val="24"/>
                <w:highlight w:val="none"/>
              </w:rPr>
              <w:t>的走航工作安排、走航保障经验总结</w:t>
            </w:r>
            <w:r>
              <w:rPr>
                <w:rFonts w:hint="eastAsia" w:ascii="仿宋" w:eastAsia="仿宋" w:cs="仿宋"/>
                <w:color w:val="auto"/>
                <w:sz w:val="24"/>
                <w:highlight w:val="none"/>
                <w:lang w:eastAsia="zh-CN"/>
              </w:rPr>
              <w:t>机管控建议</w:t>
            </w:r>
            <w:r>
              <w:rPr>
                <w:rFonts w:hint="eastAsia" w:ascii="仿宋" w:eastAsia="仿宋" w:cs="仿宋"/>
                <w:color w:val="auto"/>
                <w:sz w:val="24"/>
                <w:highlight w:val="none"/>
              </w:rPr>
              <w:t>等，根据阐述的完整性、针对性、可行性等酌情评分。</w:t>
            </w:r>
          </w:p>
          <w:p w14:paraId="56700DCB">
            <w:pPr>
              <w:adjustRightInd w:val="0"/>
              <w:snapToGrid w:val="0"/>
              <w:spacing w:line="360" w:lineRule="exact"/>
              <w:rPr>
                <w:rFonts w:hint="eastAsia" w:ascii="仿宋" w:eastAsia="仿宋" w:cs="仿宋"/>
                <w:color w:val="auto"/>
                <w:sz w:val="24"/>
                <w:highlight w:val="none"/>
              </w:rPr>
            </w:pPr>
            <w:r>
              <w:rPr>
                <w:rFonts w:hint="eastAsia" w:ascii="仿宋" w:eastAsia="仿宋" w:cs="仿宋"/>
                <w:color w:val="auto"/>
                <w:sz w:val="24"/>
                <w:highlight w:val="none"/>
              </w:rPr>
              <w:t>方案内容完整的得</w:t>
            </w:r>
            <w:r>
              <w:rPr>
                <w:rFonts w:hint="eastAsia" w:ascii="仿宋" w:eastAsia="仿宋" w:cs="仿宋"/>
                <w:color w:val="auto"/>
                <w:sz w:val="24"/>
                <w:highlight w:val="none"/>
                <w:lang w:val="en-US" w:eastAsia="zh-CN"/>
              </w:rPr>
              <w:t>2.1-3</w:t>
            </w:r>
            <w:r>
              <w:rPr>
                <w:rFonts w:hint="eastAsia" w:ascii="仿宋" w:eastAsia="仿宋" w:cs="仿宋"/>
                <w:color w:val="auto"/>
                <w:sz w:val="24"/>
                <w:highlight w:val="none"/>
              </w:rPr>
              <w:t>分；</w:t>
            </w:r>
          </w:p>
          <w:p w14:paraId="64BBB68B">
            <w:pPr>
              <w:adjustRightInd w:val="0"/>
              <w:snapToGrid w:val="0"/>
              <w:spacing w:line="360" w:lineRule="exact"/>
              <w:rPr>
                <w:rFonts w:hint="eastAsia" w:ascii="仿宋" w:eastAsia="仿宋" w:cs="仿宋"/>
                <w:color w:val="auto"/>
                <w:sz w:val="24"/>
                <w:highlight w:val="none"/>
              </w:rPr>
            </w:pPr>
            <w:r>
              <w:rPr>
                <w:rFonts w:hint="eastAsia" w:ascii="仿宋" w:eastAsia="仿宋" w:cs="仿宋"/>
                <w:color w:val="auto"/>
                <w:sz w:val="24"/>
                <w:highlight w:val="none"/>
              </w:rPr>
              <w:t>方案内容</w:t>
            </w:r>
            <w:r>
              <w:rPr>
                <w:rFonts w:hint="eastAsia" w:ascii="仿宋" w:eastAsia="仿宋" w:cs="仿宋"/>
                <w:color w:val="auto"/>
                <w:sz w:val="24"/>
                <w:highlight w:val="none"/>
                <w:lang w:val="en-US" w:eastAsia="zh-CN"/>
              </w:rPr>
              <w:t>较</w:t>
            </w:r>
            <w:r>
              <w:rPr>
                <w:rFonts w:hint="eastAsia" w:ascii="仿宋" w:eastAsia="仿宋" w:cs="仿宋"/>
                <w:color w:val="auto"/>
                <w:sz w:val="24"/>
                <w:highlight w:val="none"/>
              </w:rPr>
              <w:t>完整的得</w:t>
            </w:r>
            <w:r>
              <w:rPr>
                <w:rFonts w:hint="eastAsia" w:ascii="仿宋" w:eastAsia="仿宋" w:cs="仿宋"/>
                <w:color w:val="auto"/>
                <w:sz w:val="24"/>
                <w:highlight w:val="none"/>
                <w:lang w:val="en-US" w:eastAsia="zh-CN"/>
              </w:rPr>
              <w:t>1.1-2</w:t>
            </w:r>
            <w:r>
              <w:rPr>
                <w:rFonts w:hint="eastAsia" w:ascii="仿宋" w:eastAsia="仿宋" w:cs="仿宋"/>
                <w:color w:val="auto"/>
                <w:sz w:val="24"/>
                <w:highlight w:val="none"/>
              </w:rPr>
              <w:t>分；</w:t>
            </w:r>
          </w:p>
          <w:p w14:paraId="79CD89C7">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方案内容有所欠缺，部分满足方案要求的得</w:t>
            </w:r>
            <w:r>
              <w:rPr>
                <w:rFonts w:hint="eastAsia" w:ascii="仿宋" w:eastAsia="仿宋" w:cs="仿宋"/>
                <w:color w:val="auto"/>
                <w:sz w:val="24"/>
                <w:highlight w:val="none"/>
                <w:lang w:val="en-US" w:eastAsia="zh-CN"/>
              </w:rPr>
              <w:t>0.1-1</w:t>
            </w:r>
            <w:r>
              <w:rPr>
                <w:rFonts w:hint="eastAsia" w:ascii="仿宋" w:eastAsia="仿宋" w:cs="仿宋"/>
                <w:color w:val="auto"/>
                <w:sz w:val="24"/>
                <w:highlight w:val="none"/>
              </w:rPr>
              <w:t>分；</w:t>
            </w:r>
          </w:p>
          <w:p w14:paraId="270018DB">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方案内容未提供相应内容的不得分。</w:t>
            </w:r>
          </w:p>
        </w:tc>
        <w:tc>
          <w:tcPr>
            <w:tcW w:w="832" w:type="dxa"/>
            <w:tcBorders>
              <w:tl2br w:val="nil"/>
              <w:tr2bl w:val="nil"/>
            </w:tcBorders>
            <w:noWrap w:val="0"/>
            <w:vAlign w:val="center"/>
          </w:tcPr>
          <w:p w14:paraId="46A078E1">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green"/>
                <w:lang w:val="en-US" w:eastAsia="zh-CN"/>
              </w:rPr>
              <w:t>3</w:t>
            </w:r>
            <w:r>
              <w:rPr>
                <w:rFonts w:hint="eastAsia" w:ascii="仿宋" w:eastAsia="仿宋" w:cs="仿宋"/>
                <w:color w:val="auto"/>
                <w:sz w:val="24"/>
                <w:highlight w:val="green"/>
              </w:rPr>
              <w:t>分</w:t>
            </w:r>
          </w:p>
        </w:tc>
      </w:tr>
      <w:tr w14:paraId="539A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0" w:type="dxa"/>
            <w:vMerge w:val="continue"/>
            <w:tcBorders>
              <w:tl2br w:val="nil"/>
              <w:tr2bl w:val="nil"/>
            </w:tcBorders>
            <w:noWrap w:val="0"/>
            <w:vAlign w:val="center"/>
          </w:tcPr>
          <w:p w14:paraId="5037D1CE">
            <w:pPr>
              <w:rPr>
                <w:color w:val="auto"/>
                <w:highlight w:val="none"/>
              </w:rPr>
            </w:pPr>
          </w:p>
        </w:tc>
        <w:tc>
          <w:tcPr>
            <w:tcW w:w="1905" w:type="dxa"/>
            <w:vMerge w:val="continue"/>
            <w:tcBorders>
              <w:tl2br w:val="nil"/>
              <w:tr2bl w:val="nil"/>
            </w:tcBorders>
            <w:noWrap w:val="0"/>
            <w:vAlign w:val="center"/>
          </w:tcPr>
          <w:p w14:paraId="66B91D3C">
            <w:pPr>
              <w:rPr>
                <w:color w:val="auto"/>
                <w:highlight w:val="none"/>
              </w:rPr>
            </w:pPr>
          </w:p>
        </w:tc>
        <w:tc>
          <w:tcPr>
            <w:tcW w:w="6195" w:type="dxa"/>
            <w:tcBorders>
              <w:tl2br w:val="nil"/>
              <w:tr2bl w:val="nil"/>
            </w:tcBorders>
            <w:noWrap w:val="0"/>
            <w:vAlign w:val="center"/>
          </w:tcPr>
          <w:p w14:paraId="4A8995C6">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lang w:val="en-US" w:eastAsia="zh-CN"/>
              </w:rPr>
              <w:t>9</w:t>
            </w:r>
            <w:r>
              <w:rPr>
                <w:rFonts w:hint="eastAsia" w:ascii="仿宋" w:eastAsia="仿宋" w:cs="仿宋"/>
                <w:color w:val="auto"/>
                <w:sz w:val="24"/>
                <w:highlight w:val="none"/>
              </w:rPr>
              <w:t>.2 本项目的难点为核心产品VOCs飞行时间质谱仪的技术原理对部分低碳物质响应低，如丙烷、丙烯，要求供应商针对该难点设计切实可行的解决方案，方案内容包括但不限于设备优缺点阐述、难点分析、难点解决思路及可行方案等，根据阐述的完整性、针对性、可行性等酌情评分。</w:t>
            </w:r>
          </w:p>
          <w:p w14:paraId="068C05EC">
            <w:pPr>
              <w:adjustRightInd w:val="0"/>
              <w:snapToGrid w:val="0"/>
              <w:spacing w:line="240" w:lineRule="auto"/>
              <w:jc w:val="left"/>
              <w:rPr>
                <w:rFonts w:hint="eastAsia" w:ascii="仿宋" w:eastAsia="仿宋" w:cs="仿宋"/>
                <w:color w:val="auto"/>
                <w:sz w:val="24"/>
                <w:highlight w:val="none"/>
              </w:rPr>
            </w:pPr>
            <w:r>
              <w:rPr>
                <w:rFonts w:hint="eastAsia" w:ascii="仿宋" w:eastAsia="仿宋" w:cs="仿宋"/>
                <w:color w:val="auto"/>
                <w:sz w:val="24"/>
                <w:highlight w:val="none"/>
              </w:rPr>
              <w:t>方案内容完整的得</w:t>
            </w:r>
            <w:r>
              <w:rPr>
                <w:rFonts w:hint="eastAsia" w:ascii="仿宋" w:eastAsia="仿宋" w:cs="仿宋"/>
                <w:color w:val="auto"/>
                <w:sz w:val="24"/>
                <w:highlight w:val="none"/>
                <w:lang w:val="en-US" w:eastAsia="zh-CN"/>
              </w:rPr>
              <w:t>2.1-3</w:t>
            </w:r>
            <w:r>
              <w:rPr>
                <w:rFonts w:hint="eastAsia" w:ascii="仿宋" w:eastAsia="仿宋" w:cs="仿宋"/>
                <w:color w:val="auto"/>
                <w:sz w:val="24"/>
                <w:highlight w:val="none"/>
              </w:rPr>
              <w:t>分；</w:t>
            </w:r>
          </w:p>
          <w:p w14:paraId="67B27431">
            <w:pPr>
              <w:adjustRightInd w:val="0"/>
              <w:snapToGrid w:val="0"/>
              <w:spacing w:line="240" w:lineRule="auto"/>
              <w:jc w:val="left"/>
              <w:rPr>
                <w:rFonts w:hint="eastAsia" w:ascii="仿宋" w:eastAsia="仿宋" w:cs="仿宋"/>
                <w:color w:val="auto"/>
                <w:sz w:val="24"/>
                <w:highlight w:val="none"/>
              </w:rPr>
            </w:pPr>
            <w:r>
              <w:rPr>
                <w:rFonts w:hint="eastAsia" w:ascii="仿宋" w:eastAsia="仿宋" w:cs="仿宋"/>
                <w:color w:val="auto"/>
                <w:sz w:val="24"/>
                <w:highlight w:val="none"/>
              </w:rPr>
              <w:t>方案内容</w:t>
            </w:r>
            <w:r>
              <w:rPr>
                <w:rFonts w:hint="eastAsia" w:ascii="仿宋" w:eastAsia="仿宋" w:cs="仿宋"/>
                <w:color w:val="auto"/>
                <w:sz w:val="24"/>
                <w:highlight w:val="none"/>
                <w:lang w:val="en-US" w:eastAsia="zh-CN"/>
              </w:rPr>
              <w:t>较</w:t>
            </w:r>
            <w:r>
              <w:rPr>
                <w:rFonts w:hint="eastAsia" w:ascii="仿宋" w:eastAsia="仿宋" w:cs="仿宋"/>
                <w:color w:val="auto"/>
                <w:sz w:val="24"/>
                <w:highlight w:val="none"/>
              </w:rPr>
              <w:t>完整的得</w:t>
            </w:r>
            <w:r>
              <w:rPr>
                <w:rFonts w:hint="eastAsia" w:ascii="仿宋" w:eastAsia="仿宋" w:cs="仿宋"/>
                <w:color w:val="auto"/>
                <w:sz w:val="24"/>
                <w:highlight w:val="none"/>
                <w:lang w:val="en-US" w:eastAsia="zh-CN"/>
              </w:rPr>
              <w:t>1.1-2</w:t>
            </w:r>
            <w:r>
              <w:rPr>
                <w:rFonts w:hint="eastAsia" w:ascii="仿宋" w:eastAsia="仿宋" w:cs="仿宋"/>
                <w:color w:val="auto"/>
                <w:sz w:val="24"/>
                <w:highlight w:val="none"/>
              </w:rPr>
              <w:t>分；</w:t>
            </w:r>
          </w:p>
          <w:p w14:paraId="30330E36">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方案内容有所欠缺，部分满足方案要求的得</w:t>
            </w:r>
            <w:r>
              <w:rPr>
                <w:rFonts w:hint="eastAsia" w:ascii="仿宋" w:eastAsia="仿宋" w:cs="仿宋"/>
                <w:color w:val="auto"/>
                <w:sz w:val="24"/>
                <w:highlight w:val="none"/>
                <w:lang w:val="en-US" w:eastAsia="zh-CN"/>
              </w:rPr>
              <w:t>0.1-1</w:t>
            </w:r>
            <w:r>
              <w:rPr>
                <w:rFonts w:hint="eastAsia" w:ascii="仿宋" w:eastAsia="仿宋" w:cs="仿宋"/>
                <w:color w:val="auto"/>
                <w:sz w:val="24"/>
                <w:highlight w:val="none"/>
              </w:rPr>
              <w:t>分；</w:t>
            </w:r>
          </w:p>
          <w:p w14:paraId="30E460A2">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方案内容未提供相应内容的不得分。</w:t>
            </w:r>
          </w:p>
        </w:tc>
        <w:tc>
          <w:tcPr>
            <w:tcW w:w="832" w:type="dxa"/>
            <w:tcBorders>
              <w:tl2br w:val="nil"/>
              <w:tr2bl w:val="nil"/>
            </w:tcBorders>
            <w:noWrap w:val="0"/>
            <w:vAlign w:val="center"/>
          </w:tcPr>
          <w:p w14:paraId="33CF2EAF">
            <w:pPr>
              <w:adjustRightInd w:val="0"/>
              <w:snapToGrid w:val="0"/>
              <w:spacing w:line="360" w:lineRule="exact"/>
              <w:jc w:val="center"/>
              <w:rPr>
                <w:rFonts w:ascii="仿宋" w:eastAsia="仿宋" w:cs="仿宋"/>
                <w:color w:val="auto"/>
                <w:sz w:val="24"/>
                <w:highlight w:val="none"/>
              </w:rPr>
            </w:pPr>
            <w:r>
              <w:rPr>
                <w:rFonts w:hint="eastAsia" w:ascii="仿宋" w:eastAsia="仿宋" w:cs="仿宋"/>
                <w:color w:val="auto"/>
                <w:sz w:val="24"/>
                <w:highlight w:val="green"/>
                <w:lang w:val="en-US" w:eastAsia="zh-CN"/>
              </w:rPr>
              <w:t>3</w:t>
            </w:r>
            <w:r>
              <w:rPr>
                <w:rFonts w:hint="eastAsia" w:ascii="仿宋" w:eastAsia="仿宋" w:cs="仿宋"/>
                <w:color w:val="auto"/>
                <w:sz w:val="24"/>
                <w:highlight w:val="green"/>
              </w:rPr>
              <w:t>分</w:t>
            </w:r>
          </w:p>
        </w:tc>
      </w:tr>
      <w:tr w14:paraId="023C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0" w:type="dxa"/>
            <w:tcBorders>
              <w:tl2br w:val="nil"/>
              <w:tr2bl w:val="nil"/>
            </w:tcBorders>
            <w:noWrap w:val="0"/>
            <w:vAlign w:val="center"/>
          </w:tcPr>
          <w:p w14:paraId="42B8A221">
            <w:pPr>
              <w:adjustRightInd w:val="0"/>
              <w:snapToGrid w:val="0"/>
              <w:spacing w:line="360" w:lineRule="exact"/>
              <w:jc w:val="center"/>
              <w:rPr>
                <w:rFonts w:hint="eastAsia" w:ascii="仿宋" w:eastAsia="仿宋" w:cs="仿宋"/>
                <w:color w:val="auto"/>
                <w:sz w:val="24"/>
                <w:highlight w:val="none"/>
                <w:lang w:eastAsia="zh-CN"/>
              </w:rPr>
            </w:pPr>
            <w:r>
              <w:rPr>
                <w:rFonts w:hint="eastAsia" w:ascii="仿宋" w:eastAsia="仿宋" w:cs="仿宋"/>
                <w:color w:val="auto"/>
                <w:sz w:val="24"/>
                <w:highlight w:val="none"/>
              </w:rPr>
              <w:t>1</w:t>
            </w:r>
            <w:r>
              <w:rPr>
                <w:rFonts w:hint="eastAsia" w:ascii="仿宋" w:eastAsia="仿宋" w:cs="仿宋"/>
                <w:color w:val="auto"/>
                <w:sz w:val="24"/>
                <w:highlight w:val="none"/>
                <w:lang w:val="en-US" w:eastAsia="zh-CN"/>
              </w:rPr>
              <w:t>0</w:t>
            </w:r>
          </w:p>
        </w:tc>
        <w:tc>
          <w:tcPr>
            <w:tcW w:w="1905" w:type="dxa"/>
            <w:tcBorders>
              <w:tl2br w:val="nil"/>
              <w:tr2bl w:val="nil"/>
            </w:tcBorders>
            <w:noWrap w:val="0"/>
            <w:vAlign w:val="center"/>
          </w:tcPr>
          <w:p w14:paraId="3800BB67">
            <w:pPr>
              <w:adjustRightInd w:val="0"/>
              <w:snapToGrid w:val="0"/>
              <w:spacing w:line="360" w:lineRule="exact"/>
              <w:jc w:val="left"/>
              <w:rPr>
                <w:rFonts w:ascii="仿宋" w:eastAsia="仿宋" w:cs="仿宋"/>
                <w:color w:val="auto"/>
                <w:sz w:val="24"/>
                <w:highlight w:val="none"/>
              </w:rPr>
            </w:pPr>
            <w:r>
              <w:rPr>
                <w:rFonts w:hint="eastAsia" w:ascii="仿宋" w:eastAsia="仿宋" w:cs="仿宋"/>
                <w:color w:val="auto"/>
                <w:sz w:val="24"/>
                <w:highlight w:val="none"/>
              </w:rPr>
              <w:t>售后服务方案</w:t>
            </w:r>
          </w:p>
        </w:tc>
        <w:tc>
          <w:tcPr>
            <w:tcW w:w="6195" w:type="dxa"/>
            <w:tcBorders>
              <w:tl2br w:val="nil"/>
              <w:tr2bl w:val="nil"/>
            </w:tcBorders>
            <w:noWrap w:val="0"/>
            <w:vAlign w:val="center"/>
          </w:tcPr>
          <w:p w14:paraId="0E76794C">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lang w:val="en-US" w:eastAsia="zh-CN"/>
              </w:rPr>
              <w:t>10.1</w:t>
            </w:r>
            <w:r>
              <w:rPr>
                <w:rFonts w:hint="eastAsia" w:ascii="仿宋" w:eastAsia="仿宋" w:cs="仿宋"/>
                <w:color w:val="auto"/>
                <w:sz w:val="24"/>
                <w:highlight w:val="none"/>
              </w:rPr>
              <w:t>根据投标人提供的服务方案及承诺（包括但不限于备品备件提供、故障响应时间、优惠政策等）内容进行综合评议：</w:t>
            </w:r>
          </w:p>
          <w:p w14:paraId="287F1F7A">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服务方案及承诺中的备品备件、故障响应时间、优惠政策等完全满足用户需求，详细、合理可行的得</w:t>
            </w:r>
            <w:r>
              <w:rPr>
                <w:rFonts w:hint="eastAsia" w:ascii="仿宋" w:eastAsia="仿宋" w:cs="仿宋"/>
                <w:color w:val="auto"/>
                <w:sz w:val="24"/>
                <w:highlight w:val="none"/>
                <w:lang w:val="en-US" w:eastAsia="zh-CN"/>
              </w:rPr>
              <w:t>1.5-2</w:t>
            </w:r>
            <w:r>
              <w:rPr>
                <w:rFonts w:hint="eastAsia" w:ascii="仿宋" w:eastAsia="仿宋" w:cs="仿宋"/>
                <w:color w:val="auto"/>
                <w:sz w:val="24"/>
                <w:highlight w:val="none"/>
              </w:rPr>
              <w:t>分；</w:t>
            </w:r>
          </w:p>
          <w:p w14:paraId="54BA94C1">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服务方案及承诺方案及承诺中的备品备件、故障响应时间、优惠政策等基本满足用户需求，较详细、较合理的得</w:t>
            </w:r>
            <w:r>
              <w:rPr>
                <w:rFonts w:hint="eastAsia" w:ascii="仿宋" w:eastAsia="仿宋" w:cs="仿宋"/>
                <w:color w:val="auto"/>
                <w:sz w:val="24"/>
                <w:highlight w:val="none"/>
                <w:lang w:val="en-US" w:eastAsia="zh-CN"/>
              </w:rPr>
              <w:t>0.7-1.4</w:t>
            </w:r>
            <w:r>
              <w:rPr>
                <w:rFonts w:hint="eastAsia" w:ascii="仿宋" w:eastAsia="仿宋" w:cs="仿宋"/>
                <w:color w:val="auto"/>
                <w:sz w:val="24"/>
                <w:highlight w:val="none"/>
              </w:rPr>
              <w:t>分；</w:t>
            </w:r>
          </w:p>
          <w:p w14:paraId="3151C714">
            <w:pPr>
              <w:adjustRightInd w:val="0"/>
              <w:snapToGrid w:val="0"/>
              <w:spacing w:line="360" w:lineRule="exact"/>
              <w:rPr>
                <w:rFonts w:ascii="仿宋" w:eastAsia="仿宋" w:cs="仿宋"/>
                <w:color w:val="auto"/>
                <w:sz w:val="24"/>
                <w:highlight w:val="none"/>
              </w:rPr>
            </w:pPr>
            <w:r>
              <w:rPr>
                <w:rFonts w:hint="eastAsia" w:ascii="仿宋" w:eastAsia="仿宋" w:cs="仿宋"/>
                <w:color w:val="auto"/>
                <w:sz w:val="24"/>
                <w:highlight w:val="none"/>
              </w:rPr>
              <w:t>服务方案及承诺方案及承诺中的备品备件、故障响应时间、优惠政策等有部分满足用户需求，但不全的得</w:t>
            </w:r>
            <w:r>
              <w:rPr>
                <w:rFonts w:hint="eastAsia" w:ascii="仿宋" w:eastAsia="仿宋" w:cs="仿宋"/>
                <w:color w:val="auto"/>
                <w:sz w:val="24"/>
                <w:highlight w:val="none"/>
                <w:lang w:val="en-US" w:eastAsia="zh-CN"/>
              </w:rPr>
              <w:t>0.</w:t>
            </w:r>
            <w:r>
              <w:rPr>
                <w:rFonts w:hint="eastAsia" w:ascii="仿宋" w:eastAsia="仿宋" w:cs="仿宋"/>
                <w:color w:val="auto"/>
                <w:sz w:val="24"/>
                <w:highlight w:val="none"/>
              </w:rPr>
              <w:t>1</w:t>
            </w:r>
            <w:r>
              <w:rPr>
                <w:rFonts w:hint="eastAsia" w:ascii="仿宋" w:eastAsia="仿宋" w:cs="仿宋"/>
                <w:color w:val="auto"/>
                <w:sz w:val="24"/>
                <w:highlight w:val="none"/>
                <w:lang w:val="en-US" w:eastAsia="zh-CN"/>
              </w:rPr>
              <w:t>-0.6</w:t>
            </w:r>
            <w:r>
              <w:rPr>
                <w:rFonts w:hint="eastAsia" w:ascii="仿宋" w:eastAsia="仿宋" w:cs="仿宋"/>
                <w:color w:val="auto"/>
                <w:sz w:val="24"/>
                <w:highlight w:val="none"/>
              </w:rPr>
              <w:t>分；</w:t>
            </w:r>
          </w:p>
          <w:p w14:paraId="23D293F9">
            <w:pPr>
              <w:adjustRightInd w:val="0"/>
              <w:snapToGrid w:val="0"/>
              <w:spacing w:line="360" w:lineRule="exact"/>
              <w:rPr>
                <w:rFonts w:hint="eastAsia" w:ascii="仿宋" w:eastAsia="仿宋" w:cs="仿宋"/>
                <w:color w:val="auto"/>
                <w:sz w:val="24"/>
                <w:highlight w:val="none"/>
              </w:rPr>
            </w:pPr>
            <w:r>
              <w:rPr>
                <w:rFonts w:hint="eastAsia" w:ascii="仿宋" w:eastAsia="仿宋" w:cs="仿宋"/>
                <w:color w:val="auto"/>
                <w:sz w:val="24"/>
                <w:highlight w:val="none"/>
              </w:rPr>
              <w:t>未提供售后服务方案不得分。</w:t>
            </w:r>
          </w:p>
          <w:p w14:paraId="6045A1B8">
            <w:pPr>
              <w:adjustRightInd w:val="0"/>
              <w:snapToGrid w:val="0"/>
              <w:spacing w:line="360" w:lineRule="exact"/>
              <w:rPr>
                <w:color w:val="auto"/>
                <w:highlight w:val="none"/>
              </w:rPr>
            </w:pPr>
            <w:r>
              <w:rPr>
                <w:rFonts w:hint="eastAsia" w:ascii="仿宋" w:eastAsia="仿宋" w:cs="仿宋"/>
                <w:color w:val="auto"/>
                <w:sz w:val="24"/>
                <w:highlight w:val="none"/>
                <w:lang w:val="en-US" w:eastAsia="zh-CN"/>
              </w:rPr>
              <w:t>10.2</w:t>
            </w:r>
            <w:r>
              <w:rPr>
                <w:rFonts w:ascii="仿宋" w:eastAsia="仿宋" w:cs="仿宋"/>
                <w:color w:val="auto"/>
                <w:sz w:val="24"/>
                <w:highlight w:val="none"/>
              </w:rPr>
              <w:t>在本项目产品质保期2年以外</w:t>
            </w:r>
            <w:r>
              <w:rPr>
                <w:rFonts w:hint="eastAsia" w:ascii="仿宋" w:eastAsia="仿宋" w:cs="仿宋"/>
                <w:color w:val="auto"/>
                <w:sz w:val="24"/>
                <w:highlight w:val="none"/>
                <w:lang w:eastAsia="zh-CN"/>
              </w:rPr>
              <w:t>额外</w:t>
            </w:r>
            <w:r>
              <w:rPr>
                <w:rFonts w:ascii="仿宋" w:eastAsia="仿宋" w:cs="仿宋"/>
                <w:color w:val="auto"/>
                <w:sz w:val="24"/>
                <w:highlight w:val="none"/>
              </w:rPr>
              <w:t>增加1年</w:t>
            </w:r>
            <w:r>
              <w:rPr>
                <w:rFonts w:hint="eastAsia" w:ascii="仿宋" w:eastAsia="仿宋" w:cs="仿宋"/>
                <w:color w:val="auto"/>
                <w:sz w:val="24"/>
                <w:highlight w:val="none"/>
                <w:lang w:eastAsia="zh-CN"/>
              </w:rPr>
              <w:t>及以上的</w:t>
            </w:r>
            <w:r>
              <w:rPr>
                <w:rFonts w:ascii="仿宋" w:eastAsia="仿宋" w:cs="仿宋"/>
                <w:color w:val="auto"/>
                <w:sz w:val="24"/>
                <w:highlight w:val="none"/>
              </w:rPr>
              <w:t>，</w:t>
            </w:r>
            <w:r>
              <w:rPr>
                <w:rFonts w:hint="eastAsia" w:ascii="仿宋" w:eastAsia="仿宋" w:cs="仿宋"/>
                <w:color w:val="auto"/>
                <w:sz w:val="24"/>
                <w:highlight w:val="none"/>
                <w:lang w:eastAsia="zh-CN"/>
              </w:rPr>
              <w:t>得</w:t>
            </w:r>
            <w:r>
              <w:rPr>
                <w:rFonts w:hint="eastAsia" w:ascii="仿宋" w:eastAsia="仿宋" w:cs="仿宋"/>
                <w:color w:val="auto"/>
                <w:sz w:val="24"/>
                <w:highlight w:val="none"/>
                <w:lang w:val="en-US" w:eastAsia="zh-CN"/>
              </w:rPr>
              <w:t>1</w:t>
            </w:r>
            <w:r>
              <w:rPr>
                <w:rFonts w:ascii="仿宋" w:eastAsia="仿宋" w:cs="仿宋"/>
                <w:color w:val="auto"/>
                <w:sz w:val="24"/>
                <w:highlight w:val="none"/>
              </w:rPr>
              <w:t>分</w:t>
            </w:r>
            <w:r>
              <w:rPr>
                <w:rFonts w:hint="eastAsia" w:ascii="仿宋" w:eastAsia="仿宋" w:cs="仿宋"/>
                <w:color w:val="auto"/>
                <w:sz w:val="24"/>
                <w:highlight w:val="none"/>
                <w:lang w:eastAsia="zh-CN"/>
              </w:rPr>
              <w:t>，</w:t>
            </w:r>
            <w:r>
              <w:rPr>
                <w:rFonts w:hint="eastAsia" w:ascii="仿宋" w:eastAsia="仿宋" w:cs="仿宋"/>
                <w:color w:val="auto"/>
                <w:sz w:val="24"/>
                <w:highlight w:val="none"/>
                <w:lang w:val="en-US" w:eastAsia="zh-CN"/>
              </w:rPr>
              <w:t>须提供承诺函，不提供的或内容不符合要求的不得分</w:t>
            </w:r>
            <w:r>
              <w:rPr>
                <w:rFonts w:ascii="仿宋" w:eastAsia="仿宋" w:cs="仿宋"/>
                <w:color w:val="auto"/>
                <w:sz w:val="24"/>
                <w:highlight w:val="none"/>
              </w:rPr>
              <w:t>。</w:t>
            </w:r>
          </w:p>
        </w:tc>
        <w:tc>
          <w:tcPr>
            <w:tcW w:w="832" w:type="dxa"/>
            <w:tcBorders>
              <w:tl2br w:val="nil"/>
              <w:tr2bl w:val="nil"/>
            </w:tcBorders>
            <w:noWrap w:val="0"/>
            <w:vAlign w:val="center"/>
          </w:tcPr>
          <w:p w14:paraId="4B266A04">
            <w:pPr>
              <w:adjustRightInd w:val="0"/>
              <w:snapToGrid w:val="0"/>
              <w:spacing w:line="360" w:lineRule="exact"/>
              <w:jc w:val="center"/>
              <w:rPr>
                <w:rFonts w:ascii="仿宋" w:eastAsia="仿宋" w:cs="仿宋"/>
                <w:color w:val="auto"/>
                <w:sz w:val="24"/>
                <w:highlight w:val="none"/>
              </w:rPr>
            </w:pPr>
            <w:r>
              <w:rPr>
                <w:rFonts w:hint="eastAsia" w:ascii="仿宋" w:eastAsia="仿宋" w:cs="仿宋"/>
                <w:snapToGrid w:val="0"/>
                <w:color w:val="auto"/>
                <w:sz w:val="24"/>
                <w:highlight w:val="none"/>
                <w:lang w:val="en-US" w:eastAsia="zh-CN"/>
              </w:rPr>
              <w:t>3</w:t>
            </w:r>
            <w:r>
              <w:rPr>
                <w:rFonts w:hint="eastAsia" w:ascii="仿宋" w:eastAsia="仿宋" w:cs="仿宋"/>
                <w:snapToGrid w:val="0"/>
                <w:color w:val="auto"/>
                <w:sz w:val="24"/>
                <w:highlight w:val="none"/>
              </w:rPr>
              <w:t>分</w:t>
            </w:r>
          </w:p>
        </w:tc>
      </w:tr>
      <w:tr w14:paraId="3ED8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0" w:type="dxa"/>
            <w:tcBorders>
              <w:tl2br w:val="nil"/>
              <w:tr2bl w:val="nil"/>
            </w:tcBorders>
            <w:noWrap w:val="0"/>
            <w:vAlign w:val="center"/>
          </w:tcPr>
          <w:p w14:paraId="3AE76959">
            <w:pPr>
              <w:spacing w:line="360" w:lineRule="exact"/>
              <w:jc w:val="center"/>
              <w:rPr>
                <w:rFonts w:hint="default" w:ascii="仿宋" w:eastAsia="仿宋" w:cs="仿宋"/>
                <w:color w:val="auto"/>
                <w:sz w:val="24"/>
                <w:highlight w:val="none"/>
                <w:lang w:val="en-US" w:eastAsia="zh-CN"/>
              </w:rPr>
            </w:pPr>
            <w:r>
              <w:rPr>
                <w:rFonts w:hint="eastAsia" w:ascii="仿宋" w:eastAsia="仿宋" w:cs="仿宋"/>
                <w:color w:val="auto"/>
                <w:sz w:val="24"/>
                <w:highlight w:val="none"/>
                <w:lang w:val="en-US" w:eastAsia="zh-CN"/>
              </w:rPr>
              <w:t>11</w:t>
            </w:r>
          </w:p>
        </w:tc>
        <w:tc>
          <w:tcPr>
            <w:tcW w:w="1905" w:type="dxa"/>
            <w:tcBorders>
              <w:tl2br w:val="nil"/>
              <w:tr2bl w:val="nil"/>
            </w:tcBorders>
            <w:noWrap w:val="0"/>
            <w:vAlign w:val="center"/>
          </w:tcPr>
          <w:p w14:paraId="4687CD21">
            <w:pPr>
              <w:spacing w:line="360" w:lineRule="exact"/>
              <w:jc w:val="left"/>
              <w:rPr>
                <w:rFonts w:hint="default" w:ascii="仿宋" w:eastAsia="仿宋" w:cs="仿宋"/>
                <w:color w:val="auto"/>
                <w:sz w:val="24"/>
                <w:highlight w:val="none"/>
                <w:lang w:val="en-US" w:eastAsia="zh-CN"/>
              </w:rPr>
            </w:pPr>
            <w:r>
              <w:rPr>
                <w:rFonts w:hint="eastAsia" w:ascii="仿宋" w:eastAsia="仿宋" w:cs="仿宋"/>
                <w:color w:val="auto"/>
                <w:sz w:val="24"/>
                <w:highlight w:val="none"/>
                <w:lang w:val="en-US" w:eastAsia="zh-CN"/>
              </w:rPr>
              <w:t>培训方案</w:t>
            </w:r>
          </w:p>
        </w:tc>
        <w:tc>
          <w:tcPr>
            <w:tcW w:w="6195" w:type="dxa"/>
            <w:tcBorders>
              <w:tl2br w:val="nil"/>
              <w:tr2bl w:val="nil"/>
            </w:tcBorders>
            <w:noWrap w:val="0"/>
            <w:vAlign w:val="center"/>
          </w:tcPr>
          <w:p w14:paraId="2088D161">
            <w:pPr>
              <w:spacing w:line="360" w:lineRule="exact"/>
              <w:rPr>
                <w:rFonts w:hint="eastAsia" w:ascii="仿宋" w:eastAsia="仿宋" w:cs="仿宋"/>
                <w:bCs/>
                <w:color w:val="auto"/>
                <w:sz w:val="24"/>
                <w:highlight w:val="none"/>
              </w:rPr>
            </w:pPr>
            <w:r>
              <w:rPr>
                <w:rFonts w:hint="eastAsia" w:ascii="仿宋" w:eastAsia="仿宋" w:cs="仿宋"/>
                <w:color w:val="auto"/>
                <w:sz w:val="24"/>
                <w:highlight w:val="none"/>
              </w:rPr>
              <w:t>对投标人提供的</w:t>
            </w:r>
            <w:r>
              <w:rPr>
                <w:rFonts w:hint="eastAsia" w:ascii="仿宋" w:eastAsia="仿宋" w:cs="仿宋"/>
                <w:color w:val="auto"/>
                <w:sz w:val="24"/>
                <w:highlight w:val="none"/>
                <w:lang w:val="en-US" w:eastAsia="zh-CN"/>
              </w:rPr>
              <w:t>培训</w:t>
            </w:r>
            <w:r>
              <w:rPr>
                <w:rFonts w:hint="eastAsia" w:ascii="仿宋" w:eastAsia="仿宋" w:cs="仿宋"/>
                <w:color w:val="auto"/>
                <w:sz w:val="24"/>
                <w:highlight w:val="none"/>
              </w:rPr>
              <w:t>方案的</w:t>
            </w:r>
            <w:r>
              <w:rPr>
                <w:rFonts w:hint="eastAsia" w:ascii="仿宋" w:eastAsia="仿宋" w:cs="仿宋"/>
                <w:color w:val="auto"/>
                <w:sz w:val="24"/>
                <w:highlight w:val="none"/>
                <w:lang w:val="en-US" w:eastAsia="zh-CN"/>
              </w:rPr>
              <w:t>科学性、</w:t>
            </w:r>
            <w:r>
              <w:rPr>
                <w:rFonts w:hint="eastAsia" w:ascii="仿宋" w:hAnsi="Times New Roman" w:eastAsia="仿宋" w:cs="仿宋"/>
                <w:color w:val="auto"/>
                <w:sz w:val="24"/>
                <w:highlight w:val="none"/>
              </w:rPr>
              <w:t>合理性及</w:t>
            </w:r>
            <w:r>
              <w:rPr>
                <w:rFonts w:hint="eastAsia" w:ascii="仿宋" w:eastAsia="仿宋" w:cs="仿宋"/>
                <w:color w:val="auto"/>
                <w:sz w:val="24"/>
                <w:highlight w:val="none"/>
                <w:lang w:val="en-US" w:eastAsia="zh-CN"/>
              </w:rPr>
              <w:t>实用性</w:t>
            </w:r>
            <w:r>
              <w:rPr>
                <w:rFonts w:hint="eastAsia" w:ascii="仿宋" w:hAnsi="Times New Roman" w:eastAsia="仿宋" w:cs="仿宋"/>
                <w:color w:val="auto"/>
                <w:sz w:val="24"/>
                <w:highlight w:val="none"/>
              </w:rPr>
              <w:t>进行打分，方案</w:t>
            </w:r>
            <w:r>
              <w:rPr>
                <w:rFonts w:hint="eastAsia" w:ascii="仿宋" w:hAnsi="Times New Roman" w:eastAsia="仿宋" w:cs="仿宋"/>
                <w:color w:val="auto"/>
                <w:sz w:val="24"/>
                <w:highlight w:val="none"/>
                <w:lang w:val="en-US" w:eastAsia="zh-CN"/>
              </w:rPr>
              <w:t>科学合理</w:t>
            </w:r>
            <w:r>
              <w:rPr>
                <w:rFonts w:hint="eastAsia" w:ascii="仿宋" w:hAnsi="Times New Roman" w:eastAsia="仿宋" w:cs="仿宋"/>
                <w:color w:val="auto"/>
                <w:sz w:val="24"/>
                <w:highlight w:val="none"/>
              </w:rPr>
              <w:t>且</w:t>
            </w:r>
            <w:r>
              <w:rPr>
                <w:rFonts w:hint="eastAsia" w:ascii="仿宋" w:hAnsi="Times New Roman" w:eastAsia="仿宋" w:cs="仿宋"/>
                <w:color w:val="auto"/>
                <w:sz w:val="24"/>
                <w:highlight w:val="none"/>
                <w:lang w:val="en-US" w:eastAsia="zh-CN"/>
              </w:rPr>
              <w:t>实用性强</w:t>
            </w:r>
            <w:r>
              <w:rPr>
                <w:rFonts w:hint="eastAsia" w:ascii="仿宋" w:hAnsi="Times New Roman" w:eastAsia="仿宋" w:cs="仿宋"/>
                <w:color w:val="auto"/>
                <w:sz w:val="24"/>
                <w:highlight w:val="none"/>
              </w:rPr>
              <w:t>的得</w:t>
            </w:r>
            <w:r>
              <w:rPr>
                <w:rFonts w:hint="eastAsia" w:ascii="仿宋" w:hAnsi="Times New Roman" w:eastAsia="仿宋" w:cs="仿宋"/>
                <w:color w:val="auto"/>
                <w:sz w:val="24"/>
                <w:highlight w:val="none"/>
                <w:lang w:val="en-US" w:eastAsia="zh-CN"/>
              </w:rPr>
              <w:t>1.5-2</w:t>
            </w:r>
            <w:r>
              <w:rPr>
                <w:rFonts w:hint="eastAsia" w:ascii="仿宋" w:hAnsi="Times New Roman" w:eastAsia="仿宋" w:cs="仿宋"/>
                <w:color w:val="auto"/>
                <w:sz w:val="24"/>
                <w:highlight w:val="none"/>
              </w:rPr>
              <w:t>分、方案比较</w:t>
            </w:r>
            <w:r>
              <w:rPr>
                <w:rFonts w:hint="eastAsia" w:ascii="仿宋" w:hAnsi="Times New Roman" w:eastAsia="仿宋" w:cs="仿宋"/>
                <w:color w:val="auto"/>
                <w:sz w:val="24"/>
                <w:highlight w:val="none"/>
                <w:lang w:val="en-US" w:eastAsia="zh-CN"/>
              </w:rPr>
              <w:t>科学</w:t>
            </w:r>
            <w:r>
              <w:rPr>
                <w:rFonts w:hint="eastAsia" w:ascii="仿宋" w:hAnsi="Times New Roman" w:eastAsia="仿宋" w:cs="仿宋"/>
                <w:color w:val="auto"/>
                <w:sz w:val="24"/>
                <w:highlight w:val="none"/>
              </w:rPr>
              <w:t>合理</w:t>
            </w:r>
            <w:r>
              <w:rPr>
                <w:rFonts w:hint="eastAsia" w:ascii="仿宋" w:hAnsi="Times New Roman" w:eastAsia="仿宋" w:cs="仿宋"/>
                <w:color w:val="auto"/>
                <w:sz w:val="24"/>
                <w:highlight w:val="none"/>
                <w:lang w:val="en-US" w:eastAsia="zh-CN"/>
              </w:rPr>
              <w:t>实用性较好</w:t>
            </w:r>
            <w:r>
              <w:rPr>
                <w:rFonts w:hint="eastAsia" w:ascii="仿宋" w:hAnsi="Times New Roman" w:eastAsia="仿宋" w:cs="仿宋"/>
                <w:color w:val="auto"/>
                <w:sz w:val="24"/>
                <w:highlight w:val="none"/>
              </w:rPr>
              <w:t>的得</w:t>
            </w:r>
            <w:r>
              <w:rPr>
                <w:rFonts w:hint="eastAsia" w:ascii="仿宋" w:eastAsia="仿宋" w:cs="仿宋"/>
                <w:color w:val="auto"/>
                <w:sz w:val="24"/>
                <w:highlight w:val="none"/>
                <w:lang w:val="en-US" w:eastAsia="zh-CN"/>
              </w:rPr>
              <w:t>0.7-1.4</w:t>
            </w:r>
            <w:r>
              <w:rPr>
                <w:rFonts w:hint="eastAsia" w:ascii="仿宋" w:eastAsia="仿宋" w:cs="仿宋"/>
                <w:color w:val="auto"/>
                <w:sz w:val="24"/>
                <w:highlight w:val="none"/>
              </w:rPr>
              <w:t>分、方案</w:t>
            </w:r>
            <w:r>
              <w:rPr>
                <w:rFonts w:hint="eastAsia" w:ascii="仿宋" w:eastAsia="仿宋" w:cs="仿宋"/>
                <w:color w:val="auto"/>
                <w:sz w:val="24"/>
                <w:highlight w:val="none"/>
                <w:lang w:val="en-US" w:eastAsia="zh-CN"/>
              </w:rPr>
              <w:t>不太科学不怎么实用</w:t>
            </w:r>
            <w:r>
              <w:rPr>
                <w:rFonts w:hint="eastAsia" w:ascii="仿宋" w:eastAsia="仿宋" w:cs="仿宋"/>
                <w:color w:val="auto"/>
                <w:sz w:val="24"/>
                <w:highlight w:val="none"/>
              </w:rPr>
              <w:t>的得0</w:t>
            </w:r>
            <w:r>
              <w:rPr>
                <w:rFonts w:hint="eastAsia" w:ascii="仿宋" w:eastAsia="仿宋" w:cs="仿宋"/>
                <w:color w:val="auto"/>
                <w:sz w:val="24"/>
                <w:highlight w:val="none"/>
                <w:lang w:val="en-US" w:eastAsia="zh-CN"/>
              </w:rPr>
              <w:t>.1-0.6</w:t>
            </w:r>
            <w:r>
              <w:rPr>
                <w:rFonts w:hint="eastAsia" w:ascii="仿宋" w:eastAsia="仿宋" w:cs="仿宋"/>
                <w:color w:val="auto"/>
                <w:sz w:val="24"/>
                <w:highlight w:val="none"/>
              </w:rPr>
              <w:t>分</w:t>
            </w:r>
            <w:r>
              <w:rPr>
                <w:rFonts w:hint="eastAsia" w:ascii="仿宋" w:eastAsia="仿宋" w:cs="仿宋"/>
                <w:color w:val="auto"/>
                <w:sz w:val="24"/>
                <w:highlight w:val="none"/>
                <w:lang w:eastAsia="zh-CN"/>
              </w:rPr>
              <w:t>，</w:t>
            </w:r>
            <w:r>
              <w:rPr>
                <w:rFonts w:hint="eastAsia" w:ascii="仿宋" w:eastAsia="仿宋" w:cs="仿宋"/>
                <w:color w:val="auto"/>
                <w:sz w:val="24"/>
                <w:highlight w:val="none"/>
                <w:lang w:val="en-US" w:eastAsia="zh-CN"/>
              </w:rPr>
              <w:t>不提供的不得分</w:t>
            </w:r>
            <w:r>
              <w:rPr>
                <w:rFonts w:hint="eastAsia" w:ascii="仿宋" w:eastAsia="仿宋" w:cs="仿宋"/>
                <w:color w:val="auto"/>
                <w:sz w:val="24"/>
                <w:highlight w:val="none"/>
              </w:rPr>
              <w:t>。</w:t>
            </w:r>
          </w:p>
        </w:tc>
        <w:tc>
          <w:tcPr>
            <w:tcW w:w="832" w:type="dxa"/>
            <w:tcBorders>
              <w:tl2br w:val="nil"/>
              <w:tr2bl w:val="nil"/>
            </w:tcBorders>
            <w:noWrap w:val="0"/>
            <w:vAlign w:val="center"/>
          </w:tcPr>
          <w:p w14:paraId="760008A0">
            <w:pPr>
              <w:autoSpaceDE w:val="0"/>
              <w:autoSpaceDN w:val="0"/>
              <w:spacing w:line="360" w:lineRule="exact"/>
              <w:jc w:val="center"/>
              <w:rPr>
                <w:rFonts w:hint="default" w:ascii="仿宋" w:eastAsia="仿宋" w:cs="仿宋"/>
                <w:snapToGrid w:val="0"/>
                <w:color w:val="auto"/>
                <w:sz w:val="24"/>
                <w:highlight w:val="none"/>
                <w:lang w:val="en-US" w:eastAsia="zh-CN"/>
              </w:rPr>
            </w:pPr>
            <w:r>
              <w:rPr>
                <w:rFonts w:hint="eastAsia" w:ascii="仿宋" w:eastAsia="仿宋" w:cs="仿宋"/>
                <w:snapToGrid w:val="0"/>
                <w:color w:val="auto"/>
                <w:sz w:val="24"/>
                <w:highlight w:val="none"/>
                <w:lang w:val="en-US" w:eastAsia="zh-CN"/>
              </w:rPr>
              <w:t>2分</w:t>
            </w:r>
          </w:p>
        </w:tc>
      </w:tr>
    </w:tbl>
    <w:p w14:paraId="72E8B54F">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r>
        <w:rPr>
          <w:rFonts w:hint="eastAsia" w:ascii="仿宋" w:eastAsia="仿宋" w:cs="仿宋"/>
          <w:color w:val="auto"/>
          <w:sz w:val="24"/>
          <w:highlight w:val="green"/>
          <w:lang w:eastAsia="zh-CN"/>
        </w:rPr>
        <w:t>（</w:t>
      </w:r>
      <w:r>
        <w:rPr>
          <w:rFonts w:hint="eastAsia" w:ascii="仿宋" w:eastAsia="仿宋" w:cs="仿宋"/>
          <w:color w:val="auto"/>
          <w:sz w:val="24"/>
          <w:highlight w:val="green"/>
          <w:lang w:val="en-US" w:eastAsia="zh-CN"/>
        </w:rPr>
        <w:t>联合体任意一方具有即可</w:t>
      </w:r>
      <w:r>
        <w:rPr>
          <w:rFonts w:hint="eastAsia" w:ascii="仿宋" w:eastAsia="仿宋" w:cs="仿宋"/>
          <w:color w:val="auto"/>
          <w:sz w:val="24"/>
          <w:highlight w:val="green"/>
          <w:lang w:eastAsia="zh-CN"/>
        </w:rPr>
        <w:t>）</w:t>
      </w:r>
    </w:p>
    <w:p w14:paraId="72A94CF1">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07A3A34B">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3647B49C">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12EFA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6FD6C723">
      <w:pPr>
        <w:widowControl/>
        <w:snapToGrid w:val="0"/>
        <w:spacing w:line="480" w:lineRule="exact"/>
        <w:ind w:left="0"/>
        <w:rPr>
          <w:rFonts w:hint="eastAsia"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w:t>
      </w:r>
      <w:r>
        <w:rPr>
          <w:rFonts w:hint="eastAsia" w:ascii="仿宋" w:eastAsia="仿宋"/>
          <w:bCs/>
          <w:iCs/>
          <w:color w:val="auto"/>
          <w:sz w:val="24"/>
          <w:highlight w:val="none"/>
          <w:u w:val="single"/>
          <w:lang w:val="en-US" w:eastAsia="zh-CN"/>
        </w:rPr>
        <w:t>40</w:t>
      </w:r>
      <w:r>
        <w:rPr>
          <w:rFonts w:hint="eastAsia" w:ascii="仿宋" w:eastAsia="仿宋"/>
          <w:bCs/>
          <w:iCs/>
          <w:color w:val="auto"/>
          <w:sz w:val="24"/>
          <w:highlight w:val="none"/>
          <w:u w:val="single"/>
        </w:rPr>
        <w:t xml:space="preserve"> </w:t>
      </w:r>
    </w:p>
    <w:p w14:paraId="3D73EA1D">
      <w:pPr>
        <w:widowControl/>
        <w:snapToGrid w:val="0"/>
        <w:spacing w:line="480" w:lineRule="exact"/>
        <w:ind w:left="0"/>
        <w:rPr>
          <w:rFonts w:ascii="仿宋" w:eastAsia="仿宋"/>
          <w:bCs/>
          <w:iCs/>
          <w:color w:val="auto"/>
          <w:sz w:val="24"/>
          <w:highlight w:val="none"/>
          <w:u w:val="single"/>
        </w:rPr>
      </w:pPr>
    </w:p>
    <w:p w14:paraId="308A032C">
      <w:pPr>
        <w:widowControl/>
        <w:snapToGrid w:val="0"/>
        <w:spacing w:line="480" w:lineRule="exact"/>
        <w:ind w:left="0"/>
        <w:rPr>
          <w:rFonts w:ascii="仿宋" w:eastAsia="仿宋"/>
          <w:bCs/>
          <w:iCs/>
          <w:color w:val="auto"/>
          <w:sz w:val="24"/>
          <w:highlight w:val="none"/>
          <w:u w:val="single"/>
        </w:rPr>
      </w:pPr>
    </w:p>
    <w:p w14:paraId="2163F045">
      <w:pPr>
        <w:widowControl/>
        <w:snapToGrid w:val="0"/>
        <w:spacing w:line="480" w:lineRule="exact"/>
        <w:ind w:left="0"/>
        <w:rPr>
          <w:rFonts w:ascii="仿宋" w:eastAsia="仿宋"/>
          <w:bCs/>
          <w:iCs/>
          <w:color w:val="auto"/>
          <w:sz w:val="24"/>
          <w:highlight w:val="none"/>
          <w:u w:val="single"/>
        </w:rPr>
      </w:pPr>
    </w:p>
    <w:p w14:paraId="608A68D4">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53" w:name="_Toc30897"/>
      <w:r>
        <w:rPr>
          <w:rFonts w:hint="eastAsia" w:ascii="仿宋"/>
          <w:color w:val="auto"/>
          <w:highlight w:val="none"/>
        </w:rPr>
        <w:t>第六章  投标文件格式附件</w:t>
      </w:r>
      <w:bookmarkEnd w:id="53"/>
    </w:p>
    <w:p w14:paraId="36ECC45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45B214B4">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13973CDA">
      <w:pPr>
        <w:snapToGrid w:val="0"/>
        <w:spacing w:before="156" w:beforeLines="50" w:after="50"/>
        <w:jc w:val="right"/>
        <w:rPr>
          <w:rFonts w:hint="eastAsia" w:ascii="仿宋" w:eastAsia="仿宋"/>
          <w:b/>
          <w:color w:val="auto"/>
          <w:sz w:val="30"/>
          <w:szCs w:val="30"/>
          <w:highlight w:val="none"/>
        </w:rPr>
      </w:pPr>
    </w:p>
    <w:p w14:paraId="744C0061">
      <w:pPr>
        <w:snapToGrid w:val="0"/>
        <w:spacing w:before="156" w:beforeLines="50" w:after="50"/>
        <w:jc w:val="right"/>
        <w:rPr>
          <w:rFonts w:hint="eastAsia" w:ascii="仿宋" w:eastAsia="仿宋"/>
          <w:bCs/>
          <w:color w:val="auto"/>
          <w:sz w:val="30"/>
          <w:szCs w:val="30"/>
          <w:highlight w:val="none"/>
        </w:rPr>
      </w:pPr>
    </w:p>
    <w:p w14:paraId="0468586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3454C9ED">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25B96C2D">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28AA135">
      <w:pPr>
        <w:spacing w:line="1200" w:lineRule="exact"/>
        <w:ind w:right="6"/>
        <w:jc w:val="center"/>
        <w:rPr>
          <w:rFonts w:hint="eastAsia" w:ascii="仿宋" w:eastAsia="仿宋"/>
          <w:color w:val="auto"/>
          <w:sz w:val="72"/>
          <w:szCs w:val="72"/>
          <w:highlight w:val="none"/>
        </w:rPr>
      </w:pPr>
    </w:p>
    <w:p w14:paraId="63C652A1">
      <w:pPr>
        <w:spacing w:line="1200" w:lineRule="exact"/>
        <w:ind w:right="6"/>
        <w:jc w:val="center"/>
        <w:rPr>
          <w:rFonts w:hint="eastAsia" w:ascii="仿宋" w:eastAsia="仿宋"/>
          <w:color w:val="auto"/>
          <w:sz w:val="72"/>
          <w:szCs w:val="72"/>
          <w:highlight w:val="none"/>
        </w:rPr>
      </w:pPr>
    </w:p>
    <w:p w14:paraId="75659B5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54B8460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24255A1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AF8FA5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3F81273D">
      <w:pPr>
        <w:spacing w:line="1200" w:lineRule="exact"/>
        <w:ind w:right="6"/>
        <w:jc w:val="center"/>
        <w:rPr>
          <w:rFonts w:hint="eastAsia" w:ascii="仿宋" w:eastAsia="仿宋"/>
          <w:color w:val="auto"/>
          <w:sz w:val="72"/>
          <w:szCs w:val="72"/>
          <w:highlight w:val="none"/>
        </w:rPr>
      </w:pPr>
    </w:p>
    <w:p w14:paraId="5C634FF4">
      <w:pPr>
        <w:spacing w:line="500" w:lineRule="exact"/>
        <w:ind w:right="7"/>
        <w:jc w:val="center"/>
        <w:rPr>
          <w:rFonts w:hint="eastAsia" w:ascii="仿宋" w:eastAsia="仿宋"/>
          <w:color w:val="auto"/>
          <w:sz w:val="36"/>
          <w:szCs w:val="36"/>
          <w:highlight w:val="none"/>
        </w:rPr>
      </w:pPr>
    </w:p>
    <w:p w14:paraId="4E2CCAC2">
      <w:pPr>
        <w:spacing w:line="500" w:lineRule="exact"/>
        <w:ind w:right="7"/>
        <w:jc w:val="center"/>
        <w:rPr>
          <w:rFonts w:hint="eastAsia" w:ascii="仿宋" w:eastAsia="仿宋"/>
          <w:color w:val="auto"/>
          <w:sz w:val="36"/>
          <w:szCs w:val="36"/>
          <w:highlight w:val="none"/>
        </w:rPr>
      </w:pPr>
    </w:p>
    <w:p w14:paraId="2937FC2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55447650">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6B31B9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26086DB2">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448840AC">
      <w:pPr>
        <w:snapToGrid w:val="0"/>
        <w:spacing w:before="156" w:beforeLines="50" w:after="50"/>
        <w:jc w:val="center"/>
        <w:rPr>
          <w:rFonts w:hint="eastAsia" w:ascii="仿宋" w:eastAsia="仿宋" w:cs="仿宋_GB2312"/>
          <w:color w:val="auto"/>
          <w:sz w:val="30"/>
          <w:szCs w:val="30"/>
          <w:highlight w:val="none"/>
        </w:rPr>
      </w:pPr>
      <w:bookmarkStart w:id="54" w:name="_Toc64369786"/>
      <w:r>
        <w:rPr>
          <w:rFonts w:hint="eastAsia" w:ascii="仿宋" w:eastAsia="仿宋" w:cs="仿宋_GB2312"/>
          <w:color w:val="auto"/>
          <w:sz w:val="30"/>
          <w:szCs w:val="30"/>
          <w:highlight w:val="none"/>
        </w:rPr>
        <w:t>目 录</w:t>
      </w:r>
      <w:bookmarkEnd w:id="54"/>
    </w:p>
    <w:p w14:paraId="58C795C2">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2708280E">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381A032A">
      <w:pPr>
        <w:pStyle w:val="40"/>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42CFE11B">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730B8259">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425BCB08">
      <w:pPr>
        <w:pStyle w:val="40"/>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14:paraId="0A12BC03">
      <w:pPr>
        <w:pStyle w:val="40"/>
        <w:spacing w:line="360" w:lineRule="auto"/>
        <w:ind w:firstLine="240" w:firstLineChars="100"/>
        <w:jc w:val="left"/>
        <w:rPr>
          <w:rFonts w:hint="eastAsia" w:ascii="仿宋" w:eastAsia="仿宋" w:cs="仿宋_GB2312"/>
          <w:color w:val="auto"/>
          <w:highlight w:val="none"/>
        </w:rPr>
      </w:pPr>
      <w:bookmarkStart w:id="55"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55"/>
    </w:p>
    <w:p w14:paraId="520E53A6">
      <w:pPr>
        <w:pStyle w:val="40"/>
        <w:spacing w:line="360" w:lineRule="auto"/>
        <w:ind w:firstLine="240" w:firstLineChars="100"/>
        <w:jc w:val="left"/>
        <w:rPr>
          <w:rFonts w:hint="eastAsia" w:ascii="仿宋" w:eastAsia="仿宋" w:cs="仿宋_GB2312"/>
          <w:color w:val="auto"/>
          <w:highlight w:val="none"/>
        </w:rPr>
      </w:pPr>
      <w:bookmarkStart w:id="56" w:name="_Toc64369788"/>
      <w:r>
        <w:rPr>
          <w:rFonts w:hint="eastAsia" w:ascii="仿宋" w:eastAsia="仿宋" w:cs="仿宋_GB2312"/>
          <w:color w:val="auto"/>
          <w:highlight w:val="none"/>
          <w:lang w:val="en-US" w:eastAsia="zh-CN"/>
        </w:rPr>
        <w:t>6</w:t>
      </w:r>
      <w:r>
        <w:rPr>
          <w:rFonts w:hint="eastAsia" w:ascii="仿宋" w:eastAsia="仿宋" w:cs="仿宋_GB2312"/>
          <w:color w:val="auto"/>
          <w:highlight w:val="none"/>
        </w:rPr>
        <w:t>.</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bookmarkEnd w:id="56"/>
    </w:p>
    <w:p w14:paraId="4B97CB76">
      <w:pPr>
        <w:spacing w:line="360" w:lineRule="auto"/>
        <w:jc w:val="left"/>
        <w:rPr>
          <w:rFonts w:hint="eastAsia" w:ascii="仿宋" w:eastAsia="仿宋" w:cs="仿宋_GB2312"/>
          <w:b/>
          <w:bCs/>
          <w:color w:val="auto"/>
          <w:sz w:val="24"/>
          <w:highlight w:val="none"/>
        </w:rPr>
      </w:pPr>
    </w:p>
    <w:p w14:paraId="28C4B9B6">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2E5F6E0A">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41439EDE">
      <w:pPr>
        <w:pStyle w:val="35"/>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7C022BF7">
      <w:pPr>
        <w:pStyle w:val="35"/>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7C5445C3">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37A92E01">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309D89A9">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2E607F24">
      <w:pPr>
        <w:pStyle w:val="35"/>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F097BA6">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47A286E2">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2D0993DC">
      <w:pPr>
        <w:pStyle w:val="35"/>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211DB52D">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60C51EC8">
      <w:pPr>
        <w:pStyle w:val="35"/>
        <w:spacing w:after="50" w:afterLines="0" w:line="440" w:lineRule="exact"/>
        <w:rPr>
          <w:rFonts w:hint="eastAsia" w:ascii="仿宋" w:eastAsia="仿宋"/>
          <w:color w:val="auto"/>
          <w:szCs w:val="24"/>
          <w:highlight w:val="none"/>
        </w:rPr>
      </w:pPr>
    </w:p>
    <w:p w14:paraId="126C3EF9">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0878E775">
      <w:pPr>
        <w:pStyle w:val="35"/>
        <w:spacing w:after="50" w:afterLines="0" w:line="440" w:lineRule="exact"/>
        <w:rPr>
          <w:rFonts w:hint="eastAsia" w:ascii="仿宋" w:eastAsia="仿宋"/>
          <w:color w:val="auto"/>
          <w:szCs w:val="24"/>
          <w:highlight w:val="none"/>
        </w:rPr>
      </w:pPr>
    </w:p>
    <w:p w14:paraId="15C4E07F">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2B52528A">
      <w:pPr>
        <w:pStyle w:val="35"/>
        <w:spacing w:after="50" w:afterLines="0" w:line="440" w:lineRule="exact"/>
        <w:rPr>
          <w:rFonts w:hint="eastAsia" w:ascii="仿宋" w:eastAsia="仿宋"/>
          <w:color w:val="auto"/>
          <w:szCs w:val="24"/>
          <w:highlight w:val="none"/>
        </w:rPr>
      </w:pPr>
    </w:p>
    <w:p w14:paraId="5777A122">
      <w:pPr>
        <w:pStyle w:val="35"/>
        <w:spacing w:after="50" w:afterLines="0" w:line="440" w:lineRule="exact"/>
        <w:rPr>
          <w:rFonts w:hint="eastAsia" w:ascii="仿宋" w:eastAsia="仿宋"/>
          <w:color w:val="auto"/>
          <w:szCs w:val="24"/>
          <w:highlight w:val="none"/>
        </w:rPr>
      </w:pPr>
    </w:p>
    <w:p w14:paraId="2E5DFE42">
      <w:pPr>
        <w:pStyle w:val="35"/>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78AE2953">
      <w:pPr>
        <w:pStyle w:val="9"/>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3D74E616">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0EF12464">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1409D710">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2C506A6E">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0C256677">
      <w:pPr>
        <w:pStyle w:val="9"/>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w:t>
      </w:r>
      <w:r>
        <w:rPr>
          <w:rFonts w:hint="eastAsia" w:ascii="仿宋" w:eastAsia="仿宋"/>
          <w:color w:val="auto"/>
          <w:sz w:val="24"/>
          <w:szCs w:val="24"/>
          <w:highlight w:val="none"/>
          <w:lang w:eastAsia="zh"/>
          <w:woUserID w:val="1"/>
        </w:rPr>
        <w:t>采购活动</w:t>
      </w:r>
      <w:r>
        <w:rPr>
          <w:rFonts w:hint="eastAsia" w:ascii="仿宋" w:eastAsia="仿宋"/>
          <w:color w:val="auto"/>
          <w:sz w:val="24"/>
          <w:szCs w:val="24"/>
          <w:highlight w:val="none"/>
        </w:rPr>
        <w:t>。</w:t>
      </w:r>
    </w:p>
    <w:p w14:paraId="41ECC09F">
      <w:pPr>
        <w:pStyle w:val="9"/>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045725E5">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5D418F85">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750AD9DD">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五、联合体各方不再单独参加或与其他供应商另外组成联合体参加同一标项（项目）的采购活动，否则均被视为无效投标。</w:t>
      </w:r>
    </w:p>
    <w:p w14:paraId="5D162B1E">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5A0FAC9D">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5E5FE10C">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16755092">
      <w:pPr>
        <w:pStyle w:val="9"/>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58D55E6E">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42F436F8">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0DC68667">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5277DFF6">
      <w:pPr>
        <w:pStyle w:val="9"/>
        <w:overflowPunct w:val="0"/>
        <w:spacing w:line="460" w:lineRule="exact"/>
        <w:ind w:firstLine="513" w:firstLineChars="214"/>
        <w:rPr>
          <w:rFonts w:hint="eastAsia" w:ascii="仿宋" w:eastAsia="仿宋"/>
          <w:color w:val="auto"/>
          <w:sz w:val="24"/>
          <w:szCs w:val="24"/>
          <w:highlight w:val="none"/>
        </w:rPr>
      </w:pPr>
    </w:p>
    <w:p w14:paraId="67055699">
      <w:pPr>
        <w:pStyle w:val="9"/>
        <w:overflowPunct w:val="0"/>
        <w:spacing w:line="460" w:lineRule="exact"/>
        <w:ind w:firstLine="513" w:firstLineChars="214"/>
        <w:rPr>
          <w:rFonts w:hint="eastAsia" w:ascii="仿宋" w:eastAsia="仿宋"/>
          <w:color w:val="auto"/>
          <w:sz w:val="24"/>
          <w:szCs w:val="24"/>
          <w:highlight w:val="none"/>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73D9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27924EDC">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1624EE69">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5B10AA67">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65F86C43">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24C8E66B">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34CF655C">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22DD8B7F">
      <w:pPr>
        <w:pStyle w:val="35"/>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003C003D">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0D586705">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7D733249">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4170685C">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4F545D8F">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61EA3F54">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35603757">
      <w:pPr>
        <w:pStyle w:val="9"/>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2EC69377">
      <w:pPr>
        <w:pStyle w:val="9"/>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713354A6">
      <w:pPr>
        <w:pStyle w:val="9"/>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798B4032">
      <w:pPr>
        <w:pStyle w:val="9"/>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1D1F266F">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4A89F70D">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37760021">
      <w:pPr>
        <w:pStyle w:val="9"/>
        <w:overflowPunct w:val="0"/>
        <w:spacing w:line="460" w:lineRule="exact"/>
        <w:ind w:firstLine="513" w:firstLineChars="214"/>
        <w:rPr>
          <w:rFonts w:hint="eastAsia" w:ascii="仿宋" w:hAnsi="Calibri" w:eastAsia="仿宋"/>
          <w:color w:val="auto"/>
          <w:sz w:val="24"/>
          <w:szCs w:val="24"/>
          <w:highlight w:val="none"/>
          <w:lang w:val="zh-CN"/>
        </w:rPr>
      </w:pPr>
    </w:p>
    <w:p w14:paraId="5E9F5B8A">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456063ED">
      <w:pPr>
        <w:pStyle w:val="9"/>
        <w:overflowPunct w:val="0"/>
        <w:spacing w:line="460" w:lineRule="exact"/>
        <w:ind w:firstLine="513" w:firstLineChars="214"/>
        <w:rPr>
          <w:rFonts w:hint="eastAsia" w:ascii="仿宋" w:hAnsi="Calibri" w:eastAsia="仿宋"/>
          <w:color w:val="auto"/>
          <w:sz w:val="24"/>
          <w:szCs w:val="24"/>
          <w:highlight w:val="none"/>
          <w:lang w:val="zh-CN"/>
        </w:rPr>
      </w:pPr>
    </w:p>
    <w:p w14:paraId="5A71BE02">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621558BB">
      <w:pPr>
        <w:pStyle w:val="9"/>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30C98E8C">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78AB20BD">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p>
    <w:p w14:paraId="6AA5EC86">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p>
    <w:p w14:paraId="35A16EB7">
      <w:pPr>
        <w:pStyle w:val="35"/>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0869514F">
      <w:pPr>
        <w:snapToGrid w:val="0"/>
        <w:spacing w:before="50" w:after="50"/>
        <w:jc w:val="center"/>
        <w:rPr>
          <w:rFonts w:hint="eastAsia" w:ascii="仿宋" w:eastAsia="仿宋"/>
          <w:b/>
          <w:color w:val="auto"/>
          <w:sz w:val="36"/>
          <w:szCs w:val="36"/>
          <w:highlight w:val="none"/>
        </w:rPr>
      </w:pPr>
    </w:p>
    <w:p w14:paraId="2AB96449">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7405B3F3">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0B6D477C">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301BF628">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2F9B8D65">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57B8A745">
      <w:pPr>
        <w:snapToGrid w:val="0"/>
        <w:spacing w:before="156" w:beforeLines="50" w:after="50" w:line="460" w:lineRule="exact"/>
        <w:ind w:firstLine="480"/>
        <w:rPr>
          <w:rFonts w:hint="eastAsia" w:ascii="仿宋" w:eastAsia="仿宋"/>
          <w:color w:val="auto"/>
          <w:sz w:val="24"/>
          <w:szCs w:val="24"/>
          <w:highlight w:val="none"/>
        </w:rPr>
      </w:pPr>
    </w:p>
    <w:p w14:paraId="6476DE31">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3FFD4B2D">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4CD9739C">
      <w:pPr>
        <w:snapToGrid w:val="0"/>
        <w:spacing w:before="156" w:beforeLines="50" w:after="50" w:line="460" w:lineRule="exact"/>
        <w:rPr>
          <w:rFonts w:hint="eastAsia" w:ascii="仿宋" w:eastAsia="仿宋"/>
          <w:color w:val="auto"/>
          <w:sz w:val="24"/>
          <w:szCs w:val="24"/>
          <w:highlight w:val="none"/>
        </w:rPr>
      </w:pPr>
    </w:p>
    <w:p w14:paraId="66F4ABF1">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41B5410E">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1C3BBCAF">
      <w:pPr>
        <w:snapToGrid w:val="0"/>
        <w:spacing w:before="156" w:beforeLines="50" w:after="50" w:line="460" w:lineRule="exact"/>
        <w:rPr>
          <w:rFonts w:hint="eastAsia" w:ascii="仿宋" w:eastAsia="仿宋"/>
          <w:color w:val="auto"/>
          <w:sz w:val="24"/>
          <w:szCs w:val="24"/>
          <w:highlight w:val="none"/>
        </w:rPr>
      </w:pPr>
    </w:p>
    <w:p w14:paraId="6BA45C08">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2F59E55E">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199F7B73">
      <w:pPr>
        <w:widowControl/>
        <w:jc w:val="left"/>
        <w:rPr>
          <w:rFonts w:hint="eastAsia" w:ascii="仿宋" w:eastAsia="仿宋"/>
          <w:color w:val="auto"/>
          <w:sz w:val="24"/>
          <w:szCs w:val="24"/>
          <w:highlight w:val="none"/>
          <w:u w:val="single"/>
        </w:rPr>
      </w:pPr>
    </w:p>
    <w:p w14:paraId="18267CF7">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668F0DFE">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59DD018B">
      <w:pPr>
        <w:snapToGrid w:val="0"/>
        <w:spacing w:before="50" w:after="50"/>
        <w:jc w:val="left"/>
        <w:rPr>
          <w:rFonts w:ascii="仿宋" w:eastAsia="仿宋"/>
          <w:b/>
          <w:color w:val="auto"/>
          <w:sz w:val="36"/>
          <w:szCs w:val="36"/>
          <w:highlight w:val="none"/>
        </w:rPr>
      </w:pPr>
    </w:p>
    <w:p w14:paraId="3CD618F7">
      <w:pPr>
        <w:snapToGrid w:val="0"/>
        <w:spacing w:before="50" w:after="50"/>
        <w:jc w:val="left"/>
        <w:rPr>
          <w:rFonts w:hint="eastAsia" w:ascii="仿宋" w:eastAsia="仿宋"/>
          <w:b/>
          <w:color w:val="auto"/>
          <w:sz w:val="36"/>
          <w:szCs w:val="36"/>
          <w:highlight w:val="none"/>
        </w:rPr>
      </w:pPr>
    </w:p>
    <w:p w14:paraId="7410EA77">
      <w:pPr>
        <w:pStyle w:val="35"/>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6801638F">
      <w:pPr>
        <w:pStyle w:val="35"/>
        <w:spacing w:after="50" w:afterLines="0" w:line="440" w:lineRule="exact"/>
        <w:ind w:left="0" w:firstLine="0" w:firstLineChars="0"/>
        <w:rPr>
          <w:rFonts w:hint="eastAsia" w:ascii="仿宋" w:eastAsia="仿宋"/>
          <w:b/>
          <w:bCs/>
          <w:color w:val="auto"/>
          <w:sz w:val="28"/>
          <w:szCs w:val="28"/>
          <w:highlight w:val="none"/>
        </w:rPr>
      </w:pPr>
    </w:p>
    <w:p w14:paraId="21E00B61">
      <w:pPr>
        <w:pStyle w:val="35"/>
        <w:spacing w:after="50" w:afterLines="0" w:line="440" w:lineRule="exact"/>
        <w:ind w:left="0" w:firstLine="0" w:firstLineChars="0"/>
        <w:rPr>
          <w:rFonts w:hint="eastAsia" w:ascii="仿宋" w:eastAsia="仿宋"/>
          <w:b/>
          <w:bCs/>
          <w:color w:val="auto"/>
          <w:sz w:val="28"/>
          <w:szCs w:val="28"/>
          <w:highlight w:val="none"/>
        </w:rPr>
      </w:pPr>
    </w:p>
    <w:p w14:paraId="54569505">
      <w:pPr>
        <w:pStyle w:val="35"/>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1EEFF9BD">
      <w:pPr>
        <w:pStyle w:val="35"/>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4F183753">
      <w:pPr>
        <w:pStyle w:val="35"/>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440955FA">
      <w:pPr>
        <w:pStyle w:val="35"/>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790E0CD4">
      <w:pPr>
        <w:pStyle w:val="35"/>
        <w:spacing w:after="50" w:afterLines="0" w:line="440" w:lineRule="exact"/>
        <w:ind w:left="0" w:firstLine="0" w:firstLineChars="0"/>
        <w:rPr>
          <w:rFonts w:hint="eastAsia" w:ascii="仿宋" w:eastAsia="仿宋"/>
          <w:color w:val="auto"/>
          <w:sz w:val="28"/>
          <w:szCs w:val="28"/>
          <w:highlight w:val="none"/>
        </w:rPr>
      </w:pPr>
    </w:p>
    <w:p w14:paraId="1D4FECE2">
      <w:pPr>
        <w:pStyle w:val="35"/>
        <w:spacing w:after="50" w:afterLines="0" w:line="440" w:lineRule="exact"/>
        <w:ind w:left="0" w:firstLine="0" w:firstLineChars="0"/>
        <w:rPr>
          <w:rFonts w:hint="eastAsia" w:ascii="仿宋" w:eastAsia="仿宋"/>
          <w:color w:val="auto"/>
          <w:sz w:val="28"/>
          <w:szCs w:val="28"/>
          <w:highlight w:val="none"/>
        </w:rPr>
      </w:pPr>
    </w:p>
    <w:p w14:paraId="2BC12FE1">
      <w:pPr>
        <w:pStyle w:val="35"/>
        <w:spacing w:after="50" w:afterLines="0" w:line="440" w:lineRule="exact"/>
        <w:ind w:left="0" w:firstLine="0" w:firstLineChars="0"/>
        <w:rPr>
          <w:rFonts w:hint="eastAsia" w:ascii="仿宋" w:eastAsia="仿宋"/>
          <w:color w:val="auto"/>
          <w:sz w:val="28"/>
          <w:szCs w:val="28"/>
          <w:highlight w:val="none"/>
        </w:rPr>
      </w:pPr>
    </w:p>
    <w:p w14:paraId="7AB4A487">
      <w:pPr>
        <w:pStyle w:val="35"/>
        <w:spacing w:after="50" w:afterLines="0" w:line="440" w:lineRule="exact"/>
        <w:ind w:left="0" w:firstLine="0" w:firstLineChars="0"/>
        <w:rPr>
          <w:rFonts w:hint="eastAsia" w:ascii="仿宋" w:eastAsia="仿宋"/>
          <w:color w:val="auto"/>
          <w:sz w:val="28"/>
          <w:szCs w:val="28"/>
          <w:highlight w:val="none"/>
        </w:rPr>
      </w:pPr>
    </w:p>
    <w:p w14:paraId="4B500D17">
      <w:pPr>
        <w:pStyle w:val="35"/>
        <w:spacing w:after="50" w:afterLines="0" w:line="440" w:lineRule="exact"/>
        <w:ind w:left="0" w:firstLine="0" w:firstLineChars="0"/>
        <w:rPr>
          <w:rFonts w:hint="eastAsia" w:ascii="仿宋" w:eastAsia="仿宋"/>
          <w:color w:val="auto"/>
          <w:sz w:val="28"/>
          <w:szCs w:val="28"/>
          <w:highlight w:val="none"/>
        </w:rPr>
      </w:pPr>
    </w:p>
    <w:p w14:paraId="44AAE181">
      <w:pPr>
        <w:pStyle w:val="35"/>
        <w:spacing w:after="50" w:afterLines="0" w:line="440" w:lineRule="exact"/>
        <w:ind w:left="0" w:firstLine="0" w:firstLineChars="0"/>
        <w:rPr>
          <w:rFonts w:hint="eastAsia" w:ascii="仿宋" w:eastAsia="仿宋"/>
          <w:color w:val="auto"/>
          <w:sz w:val="28"/>
          <w:szCs w:val="28"/>
          <w:highlight w:val="none"/>
        </w:rPr>
      </w:pPr>
    </w:p>
    <w:p w14:paraId="5B08BDBF">
      <w:pPr>
        <w:pStyle w:val="35"/>
        <w:spacing w:after="50" w:afterLines="0" w:line="440" w:lineRule="exact"/>
        <w:ind w:left="0" w:firstLine="0" w:firstLineChars="0"/>
        <w:rPr>
          <w:rFonts w:hint="eastAsia" w:ascii="仿宋" w:eastAsia="仿宋"/>
          <w:color w:val="auto"/>
          <w:sz w:val="28"/>
          <w:szCs w:val="28"/>
          <w:highlight w:val="none"/>
        </w:rPr>
      </w:pPr>
    </w:p>
    <w:p w14:paraId="739321E7">
      <w:pPr>
        <w:pStyle w:val="35"/>
        <w:spacing w:after="50" w:afterLines="0" w:line="440" w:lineRule="exact"/>
        <w:ind w:left="0" w:firstLine="0" w:firstLineChars="0"/>
        <w:rPr>
          <w:rFonts w:hint="eastAsia" w:ascii="仿宋" w:eastAsia="仿宋"/>
          <w:color w:val="auto"/>
          <w:sz w:val="28"/>
          <w:szCs w:val="28"/>
          <w:highlight w:val="none"/>
        </w:rPr>
      </w:pPr>
    </w:p>
    <w:p w14:paraId="18E9BE95">
      <w:pPr>
        <w:pStyle w:val="35"/>
        <w:spacing w:after="50" w:afterLines="0" w:line="440" w:lineRule="exact"/>
        <w:ind w:left="0" w:firstLine="0" w:firstLineChars="0"/>
        <w:rPr>
          <w:rFonts w:hint="eastAsia" w:ascii="仿宋" w:eastAsia="仿宋"/>
          <w:color w:val="auto"/>
          <w:sz w:val="28"/>
          <w:szCs w:val="28"/>
          <w:highlight w:val="none"/>
        </w:rPr>
      </w:pPr>
    </w:p>
    <w:p w14:paraId="272C66C7">
      <w:pPr>
        <w:pStyle w:val="35"/>
        <w:spacing w:after="50" w:afterLines="0" w:line="440" w:lineRule="exact"/>
        <w:ind w:left="0" w:firstLine="0" w:firstLineChars="0"/>
        <w:rPr>
          <w:rFonts w:hint="eastAsia" w:ascii="仿宋" w:eastAsia="仿宋"/>
          <w:color w:val="auto"/>
          <w:sz w:val="28"/>
          <w:szCs w:val="28"/>
          <w:highlight w:val="none"/>
        </w:rPr>
      </w:pPr>
    </w:p>
    <w:p w14:paraId="2BF73604">
      <w:pPr>
        <w:pStyle w:val="35"/>
        <w:spacing w:after="50" w:afterLines="0" w:line="440" w:lineRule="exact"/>
        <w:ind w:left="0" w:firstLine="0" w:firstLineChars="0"/>
        <w:rPr>
          <w:rFonts w:hint="eastAsia" w:ascii="仿宋" w:eastAsia="仿宋"/>
          <w:color w:val="auto"/>
          <w:sz w:val="28"/>
          <w:szCs w:val="28"/>
          <w:highlight w:val="none"/>
        </w:rPr>
      </w:pPr>
    </w:p>
    <w:p w14:paraId="7ED86E4F">
      <w:pPr>
        <w:pStyle w:val="35"/>
        <w:spacing w:after="50" w:afterLines="0" w:line="440" w:lineRule="exact"/>
        <w:ind w:left="0" w:firstLine="0" w:firstLineChars="0"/>
        <w:rPr>
          <w:rFonts w:hint="eastAsia" w:ascii="仿宋" w:eastAsia="仿宋"/>
          <w:color w:val="auto"/>
          <w:sz w:val="28"/>
          <w:szCs w:val="28"/>
          <w:highlight w:val="none"/>
        </w:rPr>
      </w:pPr>
    </w:p>
    <w:p w14:paraId="27EC74D1">
      <w:pPr>
        <w:pStyle w:val="35"/>
        <w:spacing w:after="50" w:afterLines="0" w:line="440" w:lineRule="exact"/>
        <w:ind w:left="0" w:firstLine="0" w:firstLineChars="0"/>
        <w:rPr>
          <w:rFonts w:hint="eastAsia" w:ascii="仿宋" w:eastAsia="仿宋"/>
          <w:color w:val="auto"/>
          <w:sz w:val="28"/>
          <w:szCs w:val="28"/>
          <w:highlight w:val="none"/>
        </w:rPr>
      </w:pPr>
    </w:p>
    <w:p w14:paraId="4276870A">
      <w:pPr>
        <w:pStyle w:val="35"/>
        <w:spacing w:after="50" w:afterLines="0" w:line="440" w:lineRule="exact"/>
        <w:ind w:left="0" w:firstLine="0" w:firstLineChars="0"/>
        <w:rPr>
          <w:rFonts w:hint="eastAsia" w:ascii="仿宋" w:eastAsia="仿宋"/>
          <w:color w:val="auto"/>
          <w:sz w:val="28"/>
          <w:szCs w:val="28"/>
          <w:highlight w:val="none"/>
        </w:rPr>
      </w:pPr>
    </w:p>
    <w:p w14:paraId="5E1BF8B1">
      <w:pPr>
        <w:pStyle w:val="35"/>
        <w:spacing w:after="50" w:afterLines="0" w:line="440" w:lineRule="exact"/>
        <w:ind w:left="0" w:firstLine="0" w:firstLineChars="0"/>
        <w:rPr>
          <w:rFonts w:hint="eastAsia" w:ascii="仿宋" w:eastAsia="仿宋"/>
          <w:color w:val="auto"/>
          <w:sz w:val="28"/>
          <w:szCs w:val="28"/>
          <w:highlight w:val="none"/>
        </w:rPr>
      </w:pPr>
    </w:p>
    <w:p w14:paraId="32D5CFA4">
      <w:pPr>
        <w:pStyle w:val="35"/>
        <w:spacing w:after="50" w:afterLines="0" w:line="440" w:lineRule="exact"/>
        <w:ind w:left="0" w:firstLine="0" w:firstLineChars="0"/>
        <w:rPr>
          <w:rFonts w:hint="eastAsia" w:ascii="仿宋" w:eastAsia="仿宋"/>
          <w:color w:val="auto"/>
          <w:sz w:val="28"/>
          <w:szCs w:val="28"/>
          <w:highlight w:val="none"/>
        </w:rPr>
      </w:pPr>
    </w:p>
    <w:p w14:paraId="0C9EDC85">
      <w:pPr>
        <w:pStyle w:val="35"/>
        <w:spacing w:after="50" w:afterLines="0" w:line="440" w:lineRule="exact"/>
        <w:ind w:left="0" w:firstLine="0" w:firstLineChars="0"/>
        <w:rPr>
          <w:rFonts w:hint="eastAsia" w:ascii="仿宋" w:eastAsia="仿宋"/>
          <w:color w:val="auto"/>
          <w:sz w:val="28"/>
          <w:szCs w:val="28"/>
          <w:highlight w:val="none"/>
        </w:rPr>
      </w:pPr>
    </w:p>
    <w:p w14:paraId="214047B2">
      <w:pPr>
        <w:pStyle w:val="35"/>
        <w:spacing w:after="50" w:afterLines="0" w:line="440" w:lineRule="exact"/>
        <w:ind w:left="0" w:firstLine="0" w:firstLineChars="0"/>
        <w:rPr>
          <w:rFonts w:ascii="仿宋" w:eastAsia="仿宋"/>
          <w:color w:val="auto"/>
          <w:sz w:val="28"/>
          <w:szCs w:val="28"/>
          <w:highlight w:val="none"/>
        </w:rPr>
      </w:pPr>
    </w:p>
    <w:p w14:paraId="686FB2ED">
      <w:pPr>
        <w:pStyle w:val="35"/>
        <w:spacing w:after="50" w:afterLines="0" w:line="440" w:lineRule="exact"/>
        <w:ind w:left="0" w:firstLine="0" w:firstLineChars="0"/>
        <w:rPr>
          <w:rFonts w:hint="eastAsia" w:ascii="仿宋" w:eastAsia="仿宋"/>
          <w:color w:val="auto"/>
          <w:sz w:val="28"/>
          <w:szCs w:val="28"/>
          <w:highlight w:val="none"/>
        </w:rPr>
      </w:pPr>
    </w:p>
    <w:p w14:paraId="02E4B049">
      <w:pPr>
        <w:snapToGrid w:val="0"/>
        <w:spacing w:before="156" w:beforeLines="50" w:after="50"/>
        <w:jc w:val="left"/>
        <w:rPr>
          <w:rFonts w:hint="eastAsia"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color w:val="auto"/>
          <w:sz w:val="30"/>
          <w:szCs w:val="30"/>
          <w:highlight w:val="none"/>
        </w:rPr>
        <w:t>：商务和技术文件封面</w:t>
      </w:r>
    </w:p>
    <w:p w14:paraId="0AF6A341">
      <w:pPr>
        <w:snapToGrid w:val="0"/>
        <w:spacing w:before="156" w:beforeLines="50" w:after="50"/>
        <w:jc w:val="right"/>
        <w:rPr>
          <w:rFonts w:hint="eastAsia" w:ascii="仿宋" w:eastAsia="仿宋"/>
          <w:b/>
          <w:color w:val="auto"/>
          <w:sz w:val="30"/>
          <w:szCs w:val="30"/>
          <w:highlight w:val="none"/>
        </w:rPr>
      </w:pPr>
    </w:p>
    <w:p w14:paraId="133262B2">
      <w:pPr>
        <w:snapToGrid w:val="0"/>
        <w:spacing w:before="156" w:beforeLines="50" w:after="50"/>
        <w:jc w:val="right"/>
        <w:rPr>
          <w:rFonts w:hint="eastAsia" w:ascii="仿宋" w:eastAsia="仿宋"/>
          <w:bCs/>
          <w:color w:val="auto"/>
          <w:sz w:val="30"/>
          <w:szCs w:val="30"/>
          <w:highlight w:val="none"/>
        </w:rPr>
      </w:pPr>
    </w:p>
    <w:p w14:paraId="6F4DE5C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53089275">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4922AE4A">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7479B5D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7BC0C84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43ADBE5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0C287EF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698392E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5B16986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70054E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6AD0215">
      <w:pPr>
        <w:spacing w:line="500" w:lineRule="exact"/>
        <w:ind w:right="7"/>
        <w:jc w:val="center"/>
        <w:rPr>
          <w:rFonts w:hint="eastAsia" w:ascii="仿宋" w:eastAsia="仿宋"/>
          <w:color w:val="auto"/>
          <w:sz w:val="36"/>
          <w:szCs w:val="36"/>
          <w:highlight w:val="none"/>
        </w:rPr>
      </w:pPr>
    </w:p>
    <w:p w14:paraId="28205AFD">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1FD6D36">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570E854C">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47C90CD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：商务和技术文件目录</w:t>
      </w:r>
    </w:p>
    <w:p w14:paraId="7D9C32AB">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0C4E6505">
      <w:pPr>
        <w:pStyle w:val="40"/>
        <w:spacing w:line="360" w:lineRule="auto"/>
        <w:ind w:firstLine="0" w:firstLineChars="0"/>
        <w:jc w:val="left"/>
        <w:rPr>
          <w:rFonts w:hint="eastAsia" w:ascii="仿宋" w:eastAsia="仿宋" w:cs="仿宋_GB2312"/>
          <w:color w:val="auto"/>
          <w:highlight w:val="none"/>
        </w:rPr>
      </w:pPr>
      <w:bookmarkStart w:id="57"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4B826D0D">
      <w:pPr>
        <w:pStyle w:val="40"/>
        <w:spacing w:line="360" w:lineRule="auto"/>
        <w:ind w:firstLine="0" w:firstLineChars="0"/>
        <w:jc w:val="left"/>
        <w:rPr>
          <w:rFonts w:hint="eastAsia" w:ascii="仿宋" w:eastAsia="仿宋" w:cs="仿宋_GB2312"/>
          <w:color w:val="auto"/>
          <w:highlight w:val="none"/>
        </w:rPr>
      </w:pPr>
      <w:bookmarkStart w:id="58" w:name="_Toc64369790"/>
      <w:r>
        <w:rPr>
          <w:rFonts w:hint="eastAsia" w:ascii="仿宋" w:eastAsia="仿宋" w:cs="仿宋_GB2312"/>
          <w:color w:val="auto"/>
          <w:highlight w:val="none"/>
        </w:rPr>
        <w:t>2.技术响应表…………………………………………………………………（页码）</w:t>
      </w:r>
      <w:bookmarkEnd w:id="58"/>
    </w:p>
    <w:p w14:paraId="57778DEF">
      <w:pPr>
        <w:pStyle w:val="40"/>
        <w:spacing w:line="360" w:lineRule="auto"/>
        <w:ind w:firstLine="0" w:firstLineChars="0"/>
        <w:jc w:val="left"/>
        <w:rPr>
          <w:rFonts w:hint="eastAsia" w:ascii="仿宋" w:eastAsia="仿宋" w:cs="仿宋_GB2312"/>
          <w:color w:val="auto"/>
          <w:highlight w:val="none"/>
        </w:rPr>
      </w:pPr>
      <w:bookmarkStart w:id="59" w:name="_Toc64369791"/>
      <w:r>
        <w:rPr>
          <w:rFonts w:hint="eastAsia" w:ascii="仿宋" w:eastAsia="仿宋" w:cs="仿宋_GB2312"/>
          <w:color w:val="auto"/>
          <w:highlight w:val="none"/>
        </w:rPr>
        <w:t>3.商务响应表…………………………………………………………………（页码）</w:t>
      </w:r>
      <w:bookmarkEnd w:id="59"/>
    </w:p>
    <w:p w14:paraId="56D7215D">
      <w:pPr>
        <w:pStyle w:val="40"/>
        <w:spacing w:line="360" w:lineRule="auto"/>
        <w:ind w:firstLine="0" w:firstLineChars="0"/>
        <w:jc w:val="left"/>
        <w:rPr>
          <w:rFonts w:hint="eastAsia" w:ascii="仿宋" w:eastAsia="仿宋" w:cs="仿宋_GB2312"/>
          <w:color w:val="auto"/>
          <w:highlight w:val="none"/>
        </w:rPr>
      </w:pPr>
      <w:bookmarkStart w:id="60"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0"/>
    </w:p>
    <w:p w14:paraId="7BB5FE4D">
      <w:pPr>
        <w:pStyle w:val="40"/>
        <w:spacing w:line="360" w:lineRule="auto"/>
        <w:ind w:firstLine="0" w:firstLineChars="0"/>
        <w:jc w:val="left"/>
        <w:rPr>
          <w:rFonts w:hint="eastAsia" w:ascii="仿宋" w:eastAsia="仿宋" w:cs="仿宋_GB2312"/>
          <w:color w:val="auto"/>
          <w:highlight w:val="none"/>
        </w:rPr>
      </w:pPr>
      <w:bookmarkStart w:id="61"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1"/>
    </w:p>
    <w:p w14:paraId="0630B29A">
      <w:pPr>
        <w:pStyle w:val="40"/>
        <w:spacing w:line="360" w:lineRule="auto"/>
        <w:ind w:firstLine="0" w:firstLineChars="0"/>
        <w:jc w:val="left"/>
        <w:rPr>
          <w:rFonts w:hint="eastAsia" w:ascii="仿宋" w:eastAsia="仿宋" w:cs="仿宋_GB2312"/>
          <w:color w:val="auto"/>
          <w:highlight w:val="none"/>
        </w:rPr>
      </w:pPr>
      <w:bookmarkStart w:id="62" w:name="_Toc64369794"/>
      <w:r>
        <w:rPr>
          <w:rFonts w:hint="eastAsia" w:ascii="仿宋" w:eastAsia="仿宋" w:cs="仿宋_GB2312"/>
          <w:color w:val="auto"/>
          <w:highlight w:val="none"/>
          <w:lang w:val="zh-CN"/>
        </w:rPr>
        <w:t>6.</w:t>
      </w:r>
      <w:bookmarkEnd w:id="62"/>
      <w:bookmarkStart w:id="63" w:name="_Toc64369795"/>
      <w:r>
        <w:rPr>
          <w:rFonts w:hint="eastAsia" w:ascii="仿宋" w:eastAsia="仿宋" w:cs="仿宋_GB2312"/>
          <w:color w:val="auto"/>
          <w:highlight w:val="none"/>
          <w:lang w:val="zh-CN"/>
        </w:rPr>
        <w:t>消耗品、维修零配件及其价格清单（</w:t>
      </w:r>
      <w:r>
        <w:rPr>
          <w:rFonts w:hint="eastAsia" w:ascii="仿宋" w:eastAsia="仿宋" w:cs="仿宋_GB2312"/>
          <w:color w:val="auto"/>
          <w:highlight w:val="none"/>
          <w:lang w:val="en-US" w:eastAsia="zh-CN"/>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3"/>
    </w:p>
    <w:p w14:paraId="076931F8">
      <w:pPr>
        <w:pStyle w:val="40"/>
        <w:spacing w:line="360" w:lineRule="auto"/>
        <w:ind w:firstLine="0" w:firstLineChars="0"/>
        <w:jc w:val="left"/>
        <w:rPr>
          <w:rFonts w:hint="eastAsia" w:ascii="仿宋" w:eastAsia="仿宋" w:cs="仿宋_GB2312"/>
          <w:color w:val="auto"/>
          <w:highlight w:val="none"/>
        </w:rPr>
      </w:pPr>
      <w:bookmarkStart w:id="64" w:name="_Toc64369796"/>
      <w:r>
        <w:rPr>
          <w:rFonts w:hint="eastAsia" w:ascii="仿宋" w:eastAsia="仿宋" w:cs="仿宋_GB2312"/>
          <w:color w:val="auto"/>
          <w:highlight w:val="none"/>
          <w:lang w:val="en-US" w:eastAsia="zh-CN"/>
        </w:rPr>
        <w:t>7</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4"/>
    </w:p>
    <w:p w14:paraId="2D2D47A0">
      <w:pPr>
        <w:pStyle w:val="40"/>
        <w:spacing w:line="360" w:lineRule="auto"/>
        <w:ind w:firstLine="0" w:firstLineChars="0"/>
        <w:jc w:val="left"/>
        <w:rPr>
          <w:rFonts w:hint="eastAsia" w:ascii="仿宋" w:eastAsia="仿宋" w:cs="仿宋_GB2312"/>
          <w:color w:val="auto"/>
          <w:highlight w:val="none"/>
        </w:rPr>
      </w:pPr>
      <w:bookmarkStart w:id="65" w:name="_Toc64369797"/>
      <w:r>
        <w:rPr>
          <w:rFonts w:hint="eastAsia" w:ascii="仿宋" w:eastAsia="仿宋" w:cs="仿宋_GB2312"/>
          <w:color w:val="auto"/>
          <w:highlight w:val="none"/>
          <w:lang w:val="en-US" w:eastAsia="zh"/>
          <w:woUserID w:val="1"/>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5"/>
    </w:p>
    <w:p w14:paraId="1EF70638">
      <w:pPr>
        <w:pStyle w:val="40"/>
        <w:spacing w:line="360" w:lineRule="auto"/>
        <w:ind w:firstLine="0" w:firstLineChars="0"/>
        <w:jc w:val="left"/>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eastAsia="zh"/>
          <w:woUserID w:val="1"/>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5A99A42A">
      <w:pPr>
        <w:pStyle w:val="40"/>
        <w:spacing w:line="360" w:lineRule="auto"/>
        <w:ind w:firstLine="0" w:firstLineChars="0"/>
        <w:jc w:val="left"/>
        <w:rPr>
          <w:rFonts w:hint="eastAsia" w:ascii="仿宋" w:eastAsia="仿宋" w:cs="仿宋_GB2312"/>
          <w:color w:val="auto"/>
          <w:highlight w:val="none"/>
        </w:rPr>
      </w:pPr>
      <w:bookmarkStart w:id="66" w:name="_Toc64369798"/>
      <w:r>
        <w:rPr>
          <w:rFonts w:hint="eastAsia" w:ascii="仿宋" w:eastAsia="仿宋" w:cs="仿宋_GB2312"/>
          <w:color w:val="auto"/>
          <w:highlight w:val="none"/>
          <w:lang w:val="zh-CN"/>
        </w:rPr>
        <w:t>1</w:t>
      </w:r>
      <w:r>
        <w:rPr>
          <w:rFonts w:hint="eastAsia" w:ascii="仿宋" w:eastAsia="仿宋" w:cs="仿宋_GB2312"/>
          <w:color w:val="auto"/>
          <w:highlight w:val="none"/>
          <w:lang w:val="zh-CN" w:eastAsia="zh"/>
          <w:woUserID w:val="1"/>
        </w:rPr>
        <w:t>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6"/>
    </w:p>
    <w:p w14:paraId="5371BDF4">
      <w:pPr>
        <w:pStyle w:val="38"/>
        <w:numPr>
          <w:ilvl w:val="0"/>
          <w:numId w:val="0"/>
        </w:numPr>
        <w:spacing w:line="240" w:lineRule="auto"/>
        <w:ind w:left="0" w:firstLine="0"/>
        <w:rPr>
          <w:rFonts w:hint="eastAsia" w:ascii="仿宋" w:eastAsia="仿宋"/>
          <w:color w:val="auto"/>
          <w:highlight w:val="none"/>
        </w:rPr>
      </w:pPr>
    </w:p>
    <w:p w14:paraId="077366C3">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w:t>
      </w:r>
      <w:r>
        <w:rPr>
          <w:rFonts w:hint="eastAsia" w:ascii="仿宋" w:eastAsia="仿宋" w:cs="仿宋_GB2312"/>
          <w:color w:val="auto"/>
          <w:sz w:val="24"/>
          <w:szCs w:val="24"/>
          <w:highlight w:val="none"/>
          <w:lang w:val="zh-CN" w:eastAsia="zh"/>
          <w:woUserID w:val="1"/>
        </w:rPr>
        <w:t>调整</w:t>
      </w:r>
      <w:r>
        <w:rPr>
          <w:rFonts w:hint="eastAsia" w:ascii="仿宋" w:eastAsia="仿宋" w:cs="仿宋_GB2312"/>
          <w:color w:val="auto"/>
          <w:sz w:val="24"/>
          <w:szCs w:val="24"/>
          <w:highlight w:val="none"/>
          <w:lang w:val="zh-CN"/>
        </w:rPr>
        <w:t>，使得内容更加完备。制作加密电子投标文件时做好关联点设置。</w:t>
      </w:r>
    </w:p>
    <w:p w14:paraId="0F592F4C">
      <w:pPr>
        <w:rPr>
          <w:rFonts w:hint="eastAsia" w:ascii="仿宋" w:eastAsia="仿宋"/>
          <w:color w:val="auto"/>
          <w:highlight w:val="none"/>
        </w:rPr>
      </w:pPr>
    </w:p>
    <w:p w14:paraId="3EB87476">
      <w:pPr>
        <w:rPr>
          <w:rFonts w:hint="eastAsia" w:ascii="仿宋" w:eastAsia="仿宋"/>
          <w:color w:val="auto"/>
          <w:highlight w:val="none"/>
        </w:rPr>
      </w:pPr>
    </w:p>
    <w:p w14:paraId="670364A0">
      <w:pPr>
        <w:rPr>
          <w:rFonts w:hint="eastAsia" w:ascii="仿宋" w:eastAsia="仿宋"/>
          <w:color w:val="auto"/>
          <w:highlight w:val="none"/>
        </w:rPr>
      </w:pPr>
    </w:p>
    <w:p w14:paraId="4C901544">
      <w:pPr>
        <w:rPr>
          <w:rFonts w:hint="eastAsia" w:ascii="仿宋" w:eastAsia="仿宋"/>
          <w:color w:val="auto"/>
          <w:highlight w:val="none"/>
        </w:rPr>
      </w:pPr>
    </w:p>
    <w:p w14:paraId="366B59FB">
      <w:pPr>
        <w:rPr>
          <w:rFonts w:hint="eastAsia" w:ascii="仿宋" w:eastAsia="仿宋"/>
          <w:color w:val="auto"/>
          <w:highlight w:val="none"/>
        </w:rPr>
      </w:pPr>
    </w:p>
    <w:p w14:paraId="456ECBA8">
      <w:pPr>
        <w:rPr>
          <w:rFonts w:hint="eastAsia" w:ascii="仿宋" w:eastAsia="仿宋"/>
          <w:color w:val="auto"/>
          <w:highlight w:val="none"/>
        </w:rPr>
      </w:pPr>
    </w:p>
    <w:p w14:paraId="6953EAE3">
      <w:pPr>
        <w:rPr>
          <w:rFonts w:hint="eastAsia" w:ascii="仿宋" w:eastAsia="仿宋"/>
          <w:color w:val="auto"/>
          <w:highlight w:val="none"/>
        </w:rPr>
      </w:pPr>
    </w:p>
    <w:p w14:paraId="4DB5F2FA">
      <w:pPr>
        <w:rPr>
          <w:rFonts w:hint="eastAsia" w:ascii="仿宋" w:eastAsia="仿宋"/>
          <w:color w:val="auto"/>
          <w:highlight w:val="none"/>
        </w:rPr>
      </w:pPr>
    </w:p>
    <w:p w14:paraId="22AF0F12">
      <w:pPr>
        <w:rPr>
          <w:rFonts w:hint="eastAsia" w:ascii="仿宋" w:eastAsia="仿宋"/>
          <w:color w:val="auto"/>
          <w:highlight w:val="none"/>
        </w:rPr>
      </w:pPr>
    </w:p>
    <w:p w14:paraId="14A758DD">
      <w:pPr>
        <w:rPr>
          <w:rFonts w:hint="eastAsia" w:ascii="仿宋" w:eastAsia="仿宋"/>
          <w:color w:val="auto"/>
          <w:highlight w:val="none"/>
        </w:rPr>
      </w:pPr>
    </w:p>
    <w:p w14:paraId="41288B0C">
      <w:pPr>
        <w:rPr>
          <w:rFonts w:hint="eastAsia" w:ascii="仿宋" w:eastAsia="仿宋"/>
          <w:color w:val="auto"/>
          <w:highlight w:val="none"/>
        </w:rPr>
      </w:pPr>
    </w:p>
    <w:p w14:paraId="44B990B3">
      <w:pPr>
        <w:rPr>
          <w:rFonts w:hint="eastAsia" w:ascii="仿宋" w:eastAsia="仿宋"/>
          <w:color w:val="auto"/>
          <w:highlight w:val="none"/>
        </w:rPr>
      </w:pPr>
    </w:p>
    <w:p w14:paraId="2CCB70E7">
      <w:pPr>
        <w:rPr>
          <w:rFonts w:hint="eastAsia" w:ascii="仿宋" w:eastAsia="仿宋"/>
          <w:color w:val="auto"/>
          <w:highlight w:val="none"/>
        </w:rPr>
      </w:pPr>
    </w:p>
    <w:p w14:paraId="1488C397">
      <w:pPr>
        <w:rPr>
          <w:rFonts w:hint="eastAsia" w:ascii="仿宋" w:eastAsia="仿宋"/>
          <w:color w:val="auto"/>
          <w:highlight w:val="none"/>
        </w:rPr>
      </w:pPr>
    </w:p>
    <w:p w14:paraId="4C8196C5">
      <w:pPr>
        <w:rPr>
          <w:rFonts w:hint="eastAsia" w:ascii="仿宋" w:eastAsia="仿宋"/>
          <w:color w:val="auto"/>
          <w:highlight w:val="none"/>
        </w:rPr>
      </w:pPr>
    </w:p>
    <w:p w14:paraId="636017BC">
      <w:pPr>
        <w:rPr>
          <w:rFonts w:hint="eastAsia" w:ascii="仿宋" w:eastAsia="仿宋"/>
          <w:color w:val="auto"/>
          <w:highlight w:val="none"/>
        </w:rPr>
      </w:pPr>
    </w:p>
    <w:p w14:paraId="4F427283">
      <w:pPr>
        <w:rPr>
          <w:rFonts w:hint="eastAsia" w:ascii="仿宋" w:eastAsia="仿宋"/>
          <w:color w:val="auto"/>
          <w:highlight w:val="none"/>
        </w:rPr>
      </w:pPr>
    </w:p>
    <w:p w14:paraId="2F8B00F9">
      <w:pPr>
        <w:rPr>
          <w:rFonts w:hint="eastAsia" w:ascii="仿宋" w:eastAsia="仿宋"/>
          <w:color w:val="auto"/>
          <w:highlight w:val="none"/>
        </w:rPr>
      </w:pPr>
    </w:p>
    <w:p w14:paraId="1A89F14D">
      <w:pPr>
        <w:rPr>
          <w:rFonts w:hint="eastAsia" w:ascii="仿宋" w:eastAsia="仿宋"/>
          <w:color w:val="auto"/>
          <w:highlight w:val="none"/>
        </w:rPr>
      </w:pPr>
    </w:p>
    <w:p w14:paraId="102FFDC5">
      <w:pPr>
        <w:rPr>
          <w:rFonts w:hint="eastAsia" w:ascii="仿宋" w:eastAsia="仿宋"/>
          <w:color w:val="auto"/>
          <w:highlight w:val="none"/>
        </w:rPr>
      </w:pPr>
    </w:p>
    <w:p w14:paraId="27E16765">
      <w:pPr>
        <w:rPr>
          <w:rFonts w:hint="eastAsia" w:ascii="仿宋" w:eastAsia="仿宋"/>
          <w:color w:val="auto"/>
          <w:highlight w:val="none"/>
        </w:rPr>
      </w:pPr>
    </w:p>
    <w:p w14:paraId="5F4CB194">
      <w:pPr>
        <w:rPr>
          <w:rFonts w:hint="eastAsia" w:ascii="仿宋" w:eastAsia="仿宋"/>
          <w:color w:val="auto"/>
          <w:highlight w:val="none"/>
        </w:rPr>
      </w:pPr>
    </w:p>
    <w:p w14:paraId="1A8BF9E5">
      <w:pPr>
        <w:rPr>
          <w:rFonts w:hint="eastAsia" w:ascii="仿宋" w:eastAsia="仿宋"/>
          <w:color w:val="auto"/>
          <w:highlight w:val="none"/>
        </w:rPr>
      </w:pPr>
    </w:p>
    <w:p w14:paraId="77D836E4">
      <w:pPr>
        <w:pStyle w:val="35"/>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10</w:t>
      </w:r>
      <w:r>
        <w:rPr>
          <w:rFonts w:hint="eastAsia" w:ascii="仿宋" w:eastAsia="仿宋"/>
          <w:b/>
          <w:bCs/>
          <w:color w:val="auto"/>
          <w:sz w:val="28"/>
          <w:szCs w:val="28"/>
          <w:highlight w:val="none"/>
        </w:rPr>
        <w:t>：项目明细清单</w:t>
      </w:r>
    </w:p>
    <w:p w14:paraId="38CF0CF3">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4F4DA180">
      <w:pPr>
        <w:snapToGrid w:val="0"/>
        <w:spacing w:before="50" w:after="156" w:afterLines="50"/>
        <w:jc w:val="center"/>
        <w:rPr>
          <w:rFonts w:hint="eastAsia" w:ascii="仿宋" w:eastAsia="仿宋"/>
          <w:b/>
          <w:color w:val="auto"/>
          <w:spacing w:val="40"/>
          <w:kern w:val="0"/>
          <w:sz w:val="36"/>
          <w:szCs w:val="36"/>
          <w:highlight w:val="none"/>
        </w:rPr>
      </w:pPr>
    </w:p>
    <w:p w14:paraId="1DDD13E2">
      <w:pPr>
        <w:pStyle w:val="10"/>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w:t>
      </w:r>
      <w:r>
        <w:rPr>
          <w:rFonts w:ascii="仿宋" w:eastAsia="仿宋"/>
          <w:color w:val="auto"/>
          <w:sz w:val="30"/>
          <w:szCs w:val="30"/>
          <w:highlight w:val="none"/>
        </w:rPr>
        <w:t>标项</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p w14:paraId="31BBA166">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90A6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5C6453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644783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26B245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E063F9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5A56817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6BCE6A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0F34C03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0D9A0CD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DA9E31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18BA9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0AB839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344BC8B9">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1BDD6DA">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F723E8C">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636546E">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B974BAB">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C5B20FB">
            <w:pPr>
              <w:snapToGrid w:val="0"/>
              <w:spacing w:before="50" w:after="50"/>
              <w:jc w:val="center"/>
              <w:rPr>
                <w:rFonts w:hint="eastAsia" w:ascii="仿宋" w:eastAsia="仿宋"/>
                <w:color w:val="auto"/>
                <w:sz w:val="30"/>
                <w:szCs w:val="30"/>
                <w:highlight w:val="none"/>
              </w:rPr>
            </w:pPr>
          </w:p>
        </w:tc>
      </w:tr>
      <w:tr w14:paraId="3E841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493610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0642D03">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9100861">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C59B894">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CFAA0D5">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1C1D2EB">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78FA05">
            <w:pPr>
              <w:snapToGrid w:val="0"/>
              <w:spacing w:before="50" w:after="50"/>
              <w:jc w:val="center"/>
              <w:rPr>
                <w:rFonts w:hint="eastAsia" w:ascii="仿宋" w:eastAsia="仿宋"/>
                <w:color w:val="auto"/>
                <w:sz w:val="30"/>
                <w:szCs w:val="30"/>
                <w:highlight w:val="none"/>
              </w:rPr>
            </w:pPr>
          </w:p>
        </w:tc>
      </w:tr>
      <w:tr w14:paraId="76381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9F1AA8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C4FBCC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53611B9">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4925484">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B32056D">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2637AF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E6F9F7B">
            <w:pPr>
              <w:snapToGrid w:val="0"/>
              <w:spacing w:before="50" w:after="50"/>
              <w:jc w:val="center"/>
              <w:rPr>
                <w:rFonts w:hint="eastAsia" w:ascii="仿宋" w:eastAsia="仿宋"/>
                <w:color w:val="auto"/>
                <w:sz w:val="30"/>
                <w:szCs w:val="30"/>
                <w:highlight w:val="none"/>
              </w:rPr>
            </w:pPr>
          </w:p>
        </w:tc>
      </w:tr>
    </w:tbl>
    <w:p w14:paraId="06ABFF1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41AD2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D5B7F1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ACD99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30782D9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6740810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49298AF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服务时间</w:t>
            </w:r>
          </w:p>
        </w:tc>
      </w:tr>
      <w:tr w14:paraId="46EFC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6F4FAB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5C6A046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DF1443B">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5CFDB141">
            <w:pPr>
              <w:snapToGrid w:val="0"/>
              <w:spacing w:before="50" w:after="50"/>
              <w:jc w:val="center"/>
              <w:rPr>
                <w:rFonts w:hint="eastAsia" w:ascii="仿宋" w:eastAsia="仿宋"/>
                <w:color w:val="auto"/>
                <w:sz w:val="30"/>
                <w:szCs w:val="30"/>
                <w:highlight w:val="none"/>
              </w:rPr>
            </w:pPr>
          </w:p>
        </w:tc>
      </w:tr>
      <w:tr w14:paraId="564C7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7E4B9F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285A03CC">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304104E">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56ECEEE">
            <w:pPr>
              <w:snapToGrid w:val="0"/>
              <w:spacing w:before="50" w:after="50"/>
              <w:jc w:val="center"/>
              <w:rPr>
                <w:rFonts w:hint="eastAsia" w:ascii="仿宋" w:eastAsia="仿宋"/>
                <w:color w:val="auto"/>
                <w:sz w:val="30"/>
                <w:szCs w:val="30"/>
                <w:highlight w:val="none"/>
              </w:rPr>
            </w:pPr>
          </w:p>
        </w:tc>
      </w:tr>
      <w:tr w14:paraId="36B74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0617D7B">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0431E3E2">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70E8FB5">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2C33AB1">
            <w:pPr>
              <w:snapToGrid w:val="0"/>
              <w:spacing w:before="50" w:after="50"/>
              <w:jc w:val="center"/>
              <w:rPr>
                <w:rFonts w:hint="eastAsia" w:ascii="仿宋" w:eastAsia="仿宋"/>
                <w:color w:val="auto"/>
                <w:sz w:val="30"/>
                <w:szCs w:val="30"/>
                <w:highlight w:val="none"/>
              </w:rPr>
            </w:pPr>
          </w:p>
        </w:tc>
      </w:tr>
    </w:tbl>
    <w:p w14:paraId="1D62117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00DE9BE6">
      <w:pPr>
        <w:snapToGrid w:val="0"/>
        <w:spacing w:before="156" w:beforeLines="50"/>
        <w:rPr>
          <w:rFonts w:hint="eastAsia" w:ascii="仿宋" w:eastAsia="仿宋"/>
          <w:color w:val="auto"/>
          <w:sz w:val="30"/>
          <w:szCs w:val="30"/>
          <w:highlight w:val="none"/>
        </w:rPr>
      </w:pPr>
    </w:p>
    <w:p w14:paraId="17C13EBD">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7D6F7250">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B4246E4">
      <w:pPr>
        <w:snapToGrid w:val="0"/>
        <w:spacing w:before="50" w:after="50"/>
        <w:rPr>
          <w:rFonts w:hint="eastAsia" w:ascii="仿宋" w:eastAsia="仿宋"/>
          <w:color w:val="auto"/>
          <w:spacing w:val="20"/>
          <w:sz w:val="30"/>
          <w:szCs w:val="30"/>
          <w:highlight w:val="none"/>
        </w:rPr>
      </w:pPr>
    </w:p>
    <w:p w14:paraId="6C86057B">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：技术响应表</w:t>
      </w:r>
    </w:p>
    <w:p w14:paraId="261DEF74">
      <w:pPr>
        <w:snapToGrid w:val="0"/>
        <w:spacing w:before="50" w:after="156" w:afterLines="50"/>
        <w:jc w:val="center"/>
        <w:rPr>
          <w:rFonts w:hint="eastAsia" w:ascii="仿宋" w:eastAsia="仿宋"/>
          <w:b/>
          <w:color w:val="auto"/>
          <w:spacing w:val="40"/>
          <w:kern w:val="0"/>
          <w:sz w:val="36"/>
          <w:szCs w:val="36"/>
          <w:highlight w:val="none"/>
        </w:rPr>
      </w:pPr>
    </w:p>
    <w:p w14:paraId="56BC7387">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3CF65092">
      <w:pPr>
        <w:snapToGrid w:val="0"/>
        <w:spacing w:before="50" w:after="156" w:afterLines="50"/>
        <w:jc w:val="center"/>
        <w:rPr>
          <w:rFonts w:hint="eastAsia" w:ascii="仿宋" w:eastAsia="仿宋"/>
          <w:b/>
          <w:color w:val="auto"/>
          <w:sz w:val="32"/>
          <w:szCs w:val="32"/>
          <w:highlight w:val="none"/>
        </w:rPr>
      </w:pPr>
    </w:p>
    <w:p w14:paraId="52E05478">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5B9E10B5">
      <w:pPr>
        <w:pStyle w:val="10"/>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4500C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0A4DC3B">
            <w:pPr>
              <w:snapToGrid w:val="0"/>
              <w:spacing w:before="50" w:after="50"/>
              <w:rPr>
                <w:rFonts w:hint="eastAsia" w:ascii="仿宋" w:eastAsia="仿宋"/>
                <w:color w:val="auto"/>
                <w:spacing w:val="20"/>
                <w:sz w:val="30"/>
                <w:szCs w:val="30"/>
                <w:highlight w:val="none"/>
              </w:rPr>
            </w:pPr>
            <w:bookmarkStart w:id="67" w:name="_Toc64369799"/>
            <w:r>
              <w:rPr>
                <w:rFonts w:hint="eastAsia" w:ascii="仿宋" w:eastAsia="仿宋"/>
                <w:color w:val="auto"/>
                <w:spacing w:val="20"/>
                <w:sz w:val="30"/>
                <w:szCs w:val="30"/>
                <w:highlight w:val="none"/>
              </w:rPr>
              <w:t>货物部分</w:t>
            </w:r>
            <w:bookmarkEnd w:id="67"/>
          </w:p>
        </w:tc>
      </w:tr>
      <w:tr w14:paraId="1C2D6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4B7229D">
            <w:pPr>
              <w:snapToGrid w:val="0"/>
              <w:spacing w:before="50" w:after="50"/>
              <w:jc w:val="center"/>
              <w:rPr>
                <w:rFonts w:hint="eastAsia" w:ascii="仿宋" w:eastAsia="仿宋"/>
                <w:color w:val="auto"/>
                <w:spacing w:val="20"/>
                <w:sz w:val="30"/>
                <w:szCs w:val="30"/>
                <w:highlight w:val="none"/>
              </w:rPr>
            </w:pPr>
            <w:bookmarkStart w:id="68" w:name="_Toc64369800"/>
            <w:r>
              <w:rPr>
                <w:rFonts w:hint="eastAsia" w:ascii="仿宋" w:eastAsia="仿宋"/>
                <w:color w:val="auto"/>
                <w:spacing w:val="20"/>
                <w:sz w:val="30"/>
                <w:szCs w:val="30"/>
                <w:highlight w:val="none"/>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7B9B0BCC">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1FABD6C0">
            <w:pPr>
              <w:snapToGrid w:val="0"/>
              <w:spacing w:before="50" w:after="50"/>
              <w:jc w:val="center"/>
              <w:rPr>
                <w:rFonts w:hint="eastAsia" w:ascii="仿宋" w:eastAsia="仿宋"/>
                <w:color w:val="auto"/>
                <w:spacing w:val="20"/>
                <w:sz w:val="30"/>
                <w:szCs w:val="30"/>
                <w:highlight w:val="none"/>
              </w:rPr>
            </w:pPr>
            <w:bookmarkStart w:id="69" w:name="_Toc64369801"/>
            <w:bookmarkStart w:id="70" w:name="_Toc64369802"/>
            <w:r>
              <w:rPr>
                <w:rFonts w:hint="eastAsia" w:ascii="仿宋" w:eastAsia="仿宋"/>
                <w:color w:val="auto"/>
                <w:spacing w:val="20"/>
                <w:sz w:val="30"/>
                <w:szCs w:val="30"/>
                <w:highlight w:val="none"/>
              </w:rPr>
              <w:t>采购文件</w:t>
            </w:r>
          </w:p>
          <w:p w14:paraId="2B3A6DB5">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9"/>
          </w:p>
        </w:tc>
        <w:tc>
          <w:tcPr>
            <w:tcW w:w="2330" w:type="dxa"/>
            <w:tcBorders>
              <w:top w:val="single" w:color="auto" w:sz="4" w:space="0"/>
              <w:left w:val="single" w:color="auto" w:sz="4" w:space="0"/>
              <w:bottom w:val="single" w:color="auto" w:sz="4" w:space="0"/>
              <w:right w:val="single" w:color="auto" w:sz="4" w:space="0"/>
            </w:tcBorders>
            <w:noWrap/>
            <w:vAlign w:val="center"/>
          </w:tcPr>
          <w:p w14:paraId="1423767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47A7CEAC">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70"/>
          </w:p>
        </w:tc>
        <w:tc>
          <w:tcPr>
            <w:tcW w:w="1365" w:type="dxa"/>
            <w:tcBorders>
              <w:top w:val="single" w:color="auto" w:sz="4" w:space="0"/>
              <w:left w:val="single" w:color="auto" w:sz="4" w:space="0"/>
              <w:bottom w:val="single" w:color="auto" w:sz="4" w:space="0"/>
              <w:right w:val="single" w:color="auto" w:sz="4" w:space="0"/>
            </w:tcBorders>
            <w:noWrap/>
            <w:vAlign w:val="center"/>
          </w:tcPr>
          <w:p w14:paraId="66101EDA">
            <w:pPr>
              <w:snapToGrid w:val="0"/>
              <w:spacing w:before="50" w:after="50"/>
              <w:jc w:val="center"/>
              <w:rPr>
                <w:rFonts w:hint="eastAsia" w:ascii="仿宋" w:eastAsia="仿宋"/>
                <w:color w:val="auto"/>
                <w:spacing w:val="20"/>
                <w:sz w:val="30"/>
                <w:szCs w:val="30"/>
                <w:highlight w:val="none"/>
              </w:rPr>
            </w:pPr>
            <w:bookmarkStart w:id="71" w:name="_Toc64369803"/>
            <w:r>
              <w:rPr>
                <w:rFonts w:hint="eastAsia" w:ascii="仿宋" w:eastAsia="仿宋"/>
                <w:color w:val="auto"/>
                <w:spacing w:val="20"/>
                <w:sz w:val="30"/>
                <w:szCs w:val="30"/>
                <w:highlight w:val="none"/>
              </w:rPr>
              <w:t>偏离</w:t>
            </w:r>
          </w:p>
          <w:p w14:paraId="7F9ADA21">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1"/>
          </w:p>
        </w:tc>
      </w:tr>
      <w:tr w14:paraId="752A1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BC0EBDD">
            <w:pPr>
              <w:snapToGrid w:val="0"/>
              <w:spacing w:before="50" w:after="50"/>
              <w:rPr>
                <w:rFonts w:hint="eastAsia" w:ascii="仿宋" w:eastAsia="仿宋"/>
                <w:color w:val="auto"/>
                <w:spacing w:val="20"/>
                <w:sz w:val="30"/>
                <w:szCs w:val="30"/>
                <w:highlight w:val="none"/>
              </w:rPr>
            </w:pPr>
            <w:bookmarkStart w:id="72" w:name="_Toc64369804"/>
            <w:r>
              <w:rPr>
                <w:rFonts w:hint="eastAsia" w:ascii="仿宋" w:eastAsia="仿宋"/>
                <w:color w:val="auto"/>
                <w:spacing w:val="20"/>
                <w:sz w:val="30"/>
                <w:szCs w:val="30"/>
                <w:highlight w:val="none"/>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97218F5">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DD6B912">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A4A134B">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54BBCEF8">
            <w:pPr>
              <w:snapToGrid w:val="0"/>
              <w:spacing w:before="50" w:after="50"/>
              <w:rPr>
                <w:rFonts w:hint="eastAsia" w:ascii="仿宋" w:eastAsia="仿宋"/>
                <w:color w:val="auto"/>
                <w:spacing w:val="20"/>
                <w:sz w:val="30"/>
                <w:szCs w:val="30"/>
                <w:highlight w:val="none"/>
              </w:rPr>
            </w:pPr>
          </w:p>
        </w:tc>
      </w:tr>
      <w:tr w14:paraId="16980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6C51F65">
            <w:pPr>
              <w:snapToGrid w:val="0"/>
              <w:spacing w:before="50" w:after="50"/>
              <w:rPr>
                <w:rFonts w:hint="eastAsia" w:ascii="仿宋" w:eastAsia="仿宋"/>
                <w:color w:val="auto"/>
                <w:spacing w:val="20"/>
                <w:sz w:val="30"/>
                <w:szCs w:val="30"/>
                <w:highlight w:val="none"/>
              </w:rPr>
            </w:pPr>
            <w:bookmarkStart w:id="73" w:name="_Toc64369805"/>
            <w:r>
              <w:rPr>
                <w:rFonts w:hint="eastAsia" w:ascii="仿宋" w:eastAsia="仿宋"/>
                <w:color w:val="auto"/>
                <w:spacing w:val="20"/>
                <w:sz w:val="30"/>
                <w:szCs w:val="30"/>
                <w:highlight w:val="none"/>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CAF6B93">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C5D7AD9">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E42461C">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54CD76AD">
            <w:pPr>
              <w:snapToGrid w:val="0"/>
              <w:spacing w:before="50" w:after="50"/>
              <w:rPr>
                <w:rFonts w:hint="eastAsia" w:ascii="仿宋" w:eastAsia="仿宋"/>
                <w:color w:val="auto"/>
                <w:spacing w:val="20"/>
                <w:sz w:val="30"/>
                <w:szCs w:val="30"/>
                <w:highlight w:val="none"/>
              </w:rPr>
            </w:pPr>
          </w:p>
        </w:tc>
      </w:tr>
      <w:tr w14:paraId="6B572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FAF4D24">
            <w:pPr>
              <w:snapToGrid w:val="0"/>
              <w:spacing w:before="50" w:after="50"/>
              <w:rPr>
                <w:rFonts w:hint="eastAsia" w:ascii="仿宋" w:eastAsia="仿宋"/>
                <w:color w:val="auto"/>
                <w:spacing w:val="20"/>
                <w:sz w:val="30"/>
                <w:szCs w:val="30"/>
                <w:highlight w:val="none"/>
              </w:rPr>
            </w:pPr>
            <w:bookmarkStart w:id="74" w:name="_Toc64369806"/>
            <w:r>
              <w:rPr>
                <w:rFonts w:hint="eastAsia" w:ascii="仿宋" w:eastAsia="仿宋"/>
                <w:color w:val="auto"/>
                <w:spacing w:val="20"/>
                <w:sz w:val="30"/>
                <w:szCs w:val="30"/>
                <w:highlight w:val="none"/>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D8AAF0A">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F933D9">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060F97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F99B95D">
            <w:pPr>
              <w:snapToGrid w:val="0"/>
              <w:spacing w:before="50" w:after="50"/>
              <w:rPr>
                <w:rFonts w:hint="eastAsia" w:ascii="仿宋" w:eastAsia="仿宋"/>
                <w:color w:val="auto"/>
                <w:spacing w:val="20"/>
                <w:sz w:val="30"/>
                <w:szCs w:val="30"/>
                <w:highlight w:val="none"/>
              </w:rPr>
            </w:pPr>
          </w:p>
        </w:tc>
      </w:tr>
      <w:tr w14:paraId="4E537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54C7C0BB">
            <w:pPr>
              <w:snapToGrid w:val="0"/>
              <w:spacing w:before="50" w:after="50"/>
              <w:rPr>
                <w:rFonts w:hint="eastAsia" w:ascii="仿宋" w:eastAsia="仿宋"/>
                <w:color w:val="auto"/>
                <w:spacing w:val="20"/>
                <w:sz w:val="30"/>
                <w:szCs w:val="30"/>
                <w:highlight w:val="none"/>
              </w:rPr>
            </w:pPr>
            <w:bookmarkStart w:id="75" w:name="_Toc64369807"/>
            <w:r>
              <w:rPr>
                <w:rFonts w:hint="eastAsia" w:ascii="仿宋" w:eastAsia="仿宋"/>
                <w:color w:val="auto"/>
                <w:spacing w:val="20"/>
                <w:sz w:val="30"/>
                <w:szCs w:val="30"/>
                <w:highlight w:val="none"/>
              </w:rPr>
              <w:t>服务部分</w:t>
            </w:r>
            <w:bookmarkEnd w:id="75"/>
            <w:r>
              <w:rPr>
                <w:rFonts w:hint="eastAsia" w:ascii="仿宋" w:eastAsia="仿宋"/>
                <w:color w:val="auto"/>
                <w:spacing w:val="20"/>
                <w:sz w:val="30"/>
                <w:szCs w:val="30"/>
                <w:highlight w:val="none"/>
              </w:rPr>
              <w:t>（如有）</w:t>
            </w:r>
          </w:p>
        </w:tc>
      </w:tr>
      <w:tr w14:paraId="22F30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BC7C7B3">
            <w:pPr>
              <w:snapToGrid w:val="0"/>
              <w:spacing w:before="50" w:after="50"/>
              <w:jc w:val="center"/>
              <w:rPr>
                <w:rFonts w:hint="eastAsia" w:ascii="仿宋" w:eastAsia="仿宋"/>
                <w:color w:val="auto"/>
                <w:spacing w:val="20"/>
                <w:sz w:val="30"/>
                <w:szCs w:val="30"/>
                <w:highlight w:val="none"/>
              </w:rPr>
            </w:pPr>
            <w:bookmarkStart w:id="76" w:name="_Toc64369808"/>
            <w:r>
              <w:rPr>
                <w:rFonts w:hint="eastAsia" w:ascii="仿宋" w:eastAsia="仿宋"/>
                <w:color w:val="auto"/>
                <w:spacing w:val="20"/>
                <w:sz w:val="30"/>
                <w:szCs w:val="30"/>
                <w:highlight w:val="none"/>
              </w:rPr>
              <w:t>序号</w:t>
            </w:r>
            <w:bookmarkEnd w:id="76"/>
          </w:p>
        </w:tc>
        <w:tc>
          <w:tcPr>
            <w:tcW w:w="1711" w:type="dxa"/>
            <w:tcBorders>
              <w:top w:val="single" w:color="auto" w:sz="4" w:space="0"/>
              <w:left w:val="single" w:color="auto" w:sz="4" w:space="0"/>
              <w:bottom w:val="single" w:color="auto" w:sz="4" w:space="0"/>
              <w:right w:val="single" w:color="auto" w:sz="4" w:space="0"/>
            </w:tcBorders>
            <w:noWrap/>
            <w:vAlign w:val="center"/>
          </w:tcPr>
          <w:p w14:paraId="62129119">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35C17189">
            <w:pPr>
              <w:snapToGrid w:val="0"/>
              <w:spacing w:before="50" w:after="50"/>
              <w:jc w:val="center"/>
              <w:rPr>
                <w:rFonts w:hint="eastAsia" w:ascii="仿宋" w:eastAsia="仿宋"/>
                <w:color w:val="auto"/>
                <w:spacing w:val="20"/>
                <w:sz w:val="30"/>
                <w:szCs w:val="30"/>
                <w:highlight w:val="none"/>
              </w:rPr>
            </w:pPr>
            <w:bookmarkStart w:id="77" w:name="_Toc64369809"/>
            <w:bookmarkStart w:id="78" w:name="_Toc64369810"/>
            <w:r>
              <w:rPr>
                <w:rFonts w:hint="eastAsia" w:ascii="仿宋" w:eastAsia="仿宋"/>
                <w:color w:val="auto"/>
                <w:spacing w:val="20"/>
                <w:sz w:val="30"/>
                <w:szCs w:val="30"/>
                <w:highlight w:val="none"/>
              </w:rPr>
              <w:t>采购文件</w:t>
            </w:r>
          </w:p>
          <w:p w14:paraId="7A9B45E3">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77"/>
          </w:p>
        </w:tc>
        <w:tc>
          <w:tcPr>
            <w:tcW w:w="2330" w:type="dxa"/>
            <w:tcBorders>
              <w:top w:val="single" w:color="auto" w:sz="4" w:space="0"/>
              <w:left w:val="single" w:color="auto" w:sz="4" w:space="0"/>
              <w:bottom w:val="single" w:color="auto" w:sz="4" w:space="0"/>
              <w:right w:val="single" w:color="auto" w:sz="4" w:space="0"/>
            </w:tcBorders>
            <w:noWrap/>
          </w:tcPr>
          <w:p w14:paraId="74215781">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1F7214F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78"/>
          </w:p>
        </w:tc>
        <w:tc>
          <w:tcPr>
            <w:tcW w:w="1365" w:type="dxa"/>
            <w:tcBorders>
              <w:top w:val="single" w:color="auto" w:sz="4" w:space="0"/>
              <w:left w:val="single" w:color="auto" w:sz="4" w:space="0"/>
              <w:bottom w:val="single" w:color="auto" w:sz="4" w:space="0"/>
              <w:right w:val="single" w:color="auto" w:sz="4" w:space="0"/>
            </w:tcBorders>
            <w:noWrap/>
          </w:tcPr>
          <w:p w14:paraId="418B822D">
            <w:pPr>
              <w:snapToGrid w:val="0"/>
              <w:spacing w:before="50" w:after="50"/>
              <w:jc w:val="center"/>
              <w:rPr>
                <w:rFonts w:hint="eastAsia" w:ascii="仿宋" w:eastAsia="仿宋"/>
                <w:color w:val="auto"/>
                <w:spacing w:val="20"/>
                <w:sz w:val="30"/>
                <w:szCs w:val="30"/>
                <w:highlight w:val="none"/>
              </w:rPr>
            </w:pPr>
            <w:bookmarkStart w:id="79" w:name="_Toc64369811"/>
            <w:r>
              <w:rPr>
                <w:rFonts w:hint="eastAsia" w:ascii="仿宋" w:eastAsia="仿宋"/>
                <w:color w:val="auto"/>
                <w:spacing w:val="20"/>
                <w:sz w:val="30"/>
                <w:szCs w:val="30"/>
                <w:highlight w:val="none"/>
              </w:rPr>
              <w:t>偏离</w:t>
            </w:r>
          </w:p>
          <w:p w14:paraId="702C02D0">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9"/>
          </w:p>
        </w:tc>
      </w:tr>
      <w:tr w14:paraId="0CD84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796F326">
            <w:pPr>
              <w:snapToGrid w:val="0"/>
              <w:spacing w:before="50" w:after="50"/>
              <w:rPr>
                <w:rFonts w:hint="eastAsia" w:ascii="仿宋" w:eastAsia="仿宋"/>
                <w:color w:val="auto"/>
                <w:spacing w:val="20"/>
                <w:sz w:val="30"/>
                <w:szCs w:val="30"/>
                <w:highlight w:val="none"/>
              </w:rPr>
            </w:pPr>
            <w:bookmarkStart w:id="80" w:name="_Toc64369812"/>
            <w:r>
              <w:rPr>
                <w:rFonts w:hint="eastAsia" w:ascii="仿宋" w:eastAsia="仿宋"/>
                <w:color w:val="auto"/>
                <w:spacing w:val="20"/>
                <w:sz w:val="30"/>
                <w:szCs w:val="30"/>
                <w:highlight w:val="none"/>
              </w:rPr>
              <w:t>1</w:t>
            </w:r>
            <w:bookmarkEnd w:id="8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FA5B1D5">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73027F1">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0DD6DF9">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7FC5249">
            <w:pPr>
              <w:snapToGrid w:val="0"/>
              <w:spacing w:before="50" w:after="50"/>
              <w:rPr>
                <w:rFonts w:hint="eastAsia" w:ascii="仿宋" w:eastAsia="仿宋"/>
                <w:color w:val="auto"/>
                <w:spacing w:val="20"/>
                <w:sz w:val="30"/>
                <w:szCs w:val="30"/>
                <w:highlight w:val="none"/>
              </w:rPr>
            </w:pPr>
          </w:p>
        </w:tc>
      </w:tr>
      <w:tr w14:paraId="6B580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6725544">
            <w:pPr>
              <w:snapToGrid w:val="0"/>
              <w:spacing w:before="50" w:after="50"/>
              <w:rPr>
                <w:rFonts w:hint="eastAsia" w:ascii="仿宋" w:eastAsia="仿宋"/>
                <w:color w:val="auto"/>
                <w:spacing w:val="20"/>
                <w:sz w:val="30"/>
                <w:szCs w:val="30"/>
                <w:highlight w:val="none"/>
              </w:rPr>
            </w:pPr>
            <w:bookmarkStart w:id="81" w:name="_Toc64369813"/>
            <w:r>
              <w:rPr>
                <w:rFonts w:hint="eastAsia" w:ascii="仿宋" w:eastAsia="仿宋"/>
                <w:color w:val="auto"/>
                <w:spacing w:val="20"/>
                <w:sz w:val="30"/>
                <w:szCs w:val="30"/>
                <w:highlight w:val="none"/>
              </w:rPr>
              <w:t>2</w:t>
            </w:r>
            <w:bookmarkEnd w:id="81"/>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5C0306F">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52B616A">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A01DC4D">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BCF34E6">
            <w:pPr>
              <w:snapToGrid w:val="0"/>
              <w:spacing w:before="50" w:after="50"/>
              <w:rPr>
                <w:rFonts w:hint="eastAsia" w:ascii="仿宋" w:eastAsia="仿宋"/>
                <w:color w:val="auto"/>
                <w:spacing w:val="20"/>
                <w:sz w:val="30"/>
                <w:szCs w:val="30"/>
                <w:highlight w:val="none"/>
              </w:rPr>
            </w:pPr>
          </w:p>
        </w:tc>
      </w:tr>
      <w:tr w14:paraId="73D9B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EBFC77A">
            <w:pPr>
              <w:snapToGrid w:val="0"/>
              <w:spacing w:before="50" w:after="50"/>
              <w:rPr>
                <w:rFonts w:hint="eastAsia" w:ascii="仿宋" w:eastAsia="仿宋"/>
                <w:color w:val="auto"/>
                <w:spacing w:val="20"/>
                <w:sz w:val="30"/>
                <w:szCs w:val="30"/>
                <w:highlight w:val="none"/>
              </w:rPr>
            </w:pPr>
            <w:bookmarkStart w:id="82" w:name="_Toc64369814"/>
            <w:r>
              <w:rPr>
                <w:rFonts w:hint="eastAsia" w:ascii="仿宋" w:eastAsia="仿宋"/>
                <w:color w:val="auto"/>
                <w:spacing w:val="20"/>
                <w:sz w:val="30"/>
                <w:szCs w:val="30"/>
                <w:highlight w:val="none"/>
              </w:rPr>
              <w:t>…</w:t>
            </w:r>
            <w:bookmarkEnd w:id="8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2288790">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4B7F866">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AA03AE7">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A0D1FC3">
            <w:pPr>
              <w:snapToGrid w:val="0"/>
              <w:spacing w:before="50" w:after="50"/>
              <w:rPr>
                <w:rFonts w:hint="eastAsia" w:ascii="仿宋" w:eastAsia="仿宋"/>
                <w:color w:val="auto"/>
                <w:spacing w:val="20"/>
                <w:sz w:val="30"/>
                <w:szCs w:val="30"/>
                <w:highlight w:val="none"/>
              </w:rPr>
            </w:pPr>
          </w:p>
        </w:tc>
      </w:tr>
    </w:tbl>
    <w:p w14:paraId="05466DF5">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495E754B">
      <w:pPr>
        <w:snapToGrid w:val="0"/>
        <w:spacing w:before="50" w:after="50"/>
        <w:rPr>
          <w:rFonts w:hint="eastAsia" w:ascii="仿宋" w:eastAsia="仿宋"/>
          <w:color w:val="auto"/>
          <w:spacing w:val="20"/>
          <w:sz w:val="30"/>
          <w:szCs w:val="30"/>
          <w:highlight w:val="none"/>
        </w:rPr>
      </w:pPr>
    </w:p>
    <w:p w14:paraId="5C92064C">
      <w:pPr>
        <w:snapToGrid w:val="0"/>
        <w:spacing w:before="50" w:after="50"/>
        <w:rPr>
          <w:rFonts w:hint="eastAsia" w:ascii="仿宋" w:eastAsia="仿宋"/>
          <w:color w:val="auto"/>
          <w:spacing w:val="20"/>
          <w:sz w:val="30"/>
          <w:szCs w:val="30"/>
          <w:highlight w:val="none"/>
        </w:rPr>
      </w:pPr>
    </w:p>
    <w:p w14:paraId="7E33982F">
      <w:pPr>
        <w:snapToGrid w:val="0"/>
        <w:spacing w:before="50" w:after="50"/>
        <w:rPr>
          <w:rFonts w:hint="eastAsia" w:ascii="仿宋" w:eastAsia="仿宋"/>
          <w:color w:val="auto"/>
          <w:spacing w:val="20"/>
          <w:sz w:val="30"/>
          <w:szCs w:val="30"/>
          <w:highlight w:val="none"/>
        </w:rPr>
      </w:pPr>
    </w:p>
    <w:p w14:paraId="415A28D3">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1D5C1F7">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661B3224">
      <w:pPr>
        <w:snapToGrid w:val="0"/>
        <w:spacing w:before="50" w:after="50"/>
        <w:rPr>
          <w:rFonts w:hint="eastAsia" w:ascii="仿宋" w:eastAsia="仿宋"/>
          <w:color w:val="auto"/>
          <w:spacing w:val="20"/>
          <w:sz w:val="30"/>
          <w:szCs w:val="30"/>
          <w:highlight w:val="none"/>
        </w:rPr>
      </w:pPr>
    </w:p>
    <w:p w14:paraId="05BB74E9">
      <w:pPr>
        <w:snapToGrid w:val="0"/>
        <w:spacing w:before="50" w:after="50"/>
        <w:rPr>
          <w:rFonts w:hint="eastAsia" w:ascii="仿宋" w:eastAsia="仿宋"/>
          <w:color w:val="auto"/>
          <w:spacing w:val="20"/>
          <w:sz w:val="30"/>
          <w:szCs w:val="30"/>
          <w:highlight w:val="none"/>
        </w:rPr>
      </w:pPr>
    </w:p>
    <w:p w14:paraId="5C753409">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：商务响应表</w:t>
      </w:r>
    </w:p>
    <w:p w14:paraId="71193541">
      <w:pPr>
        <w:snapToGrid w:val="0"/>
        <w:spacing w:before="50" w:after="156" w:afterLines="50"/>
        <w:jc w:val="center"/>
        <w:rPr>
          <w:rFonts w:hint="eastAsia" w:ascii="仿宋" w:eastAsia="仿宋"/>
          <w:b/>
          <w:color w:val="auto"/>
          <w:spacing w:val="40"/>
          <w:kern w:val="0"/>
          <w:sz w:val="36"/>
          <w:szCs w:val="36"/>
          <w:highlight w:val="none"/>
        </w:rPr>
      </w:pPr>
    </w:p>
    <w:p w14:paraId="5DEF88F1">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00FAB218">
      <w:pPr>
        <w:snapToGrid w:val="0"/>
        <w:spacing w:before="50" w:after="156" w:afterLines="50"/>
        <w:jc w:val="center"/>
        <w:rPr>
          <w:rFonts w:hint="eastAsia" w:ascii="仿宋" w:eastAsia="仿宋"/>
          <w:b/>
          <w:color w:val="auto"/>
          <w:sz w:val="32"/>
          <w:szCs w:val="32"/>
          <w:highlight w:val="none"/>
        </w:rPr>
      </w:pPr>
    </w:p>
    <w:p w14:paraId="250D9934">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7DB3449E">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1E8B0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BC5B060">
            <w:pPr>
              <w:snapToGrid w:val="0"/>
              <w:spacing w:before="50" w:after="50"/>
              <w:jc w:val="center"/>
              <w:rPr>
                <w:rFonts w:hint="eastAsia" w:ascii="仿宋" w:eastAsia="仿宋" w:cs="仿宋_GB2312"/>
                <w:color w:val="auto"/>
                <w:spacing w:val="20"/>
                <w:sz w:val="28"/>
                <w:szCs w:val="28"/>
                <w:highlight w:val="none"/>
              </w:rPr>
            </w:pPr>
            <w:bookmarkStart w:id="83" w:name="_Toc64369815"/>
            <w:r>
              <w:rPr>
                <w:rFonts w:hint="eastAsia" w:ascii="仿宋" w:eastAsia="仿宋" w:cs="仿宋_GB2312"/>
                <w:color w:val="auto"/>
                <w:spacing w:val="20"/>
                <w:sz w:val="28"/>
                <w:szCs w:val="28"/>
                <w:highlight w:val="none"/>
              </w:rPr>
              <w:t>类别</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004FD408">
            <w:pPr>
              <w:snapToGrid w:val="0"/>
              <w:spacing w:before="156" w:beforeLines="50" w:after="50"/>
              <w:jc w:val="center"/>
              <w:rPr>
                <w:rFonts w:hint="eastAsia" w:ascii="仿宋" w:eastAsia="仿宋" w:cs="仿宋_GB2312"/>
                <w:color w:val="auto"/>
                <w:sz w:val="30"/>
                <w:szCs w:val="30"/>
                <w:highlight w:val="none"/>
              </w:rPr>
            </w:pPr>
            <w:bookmarkStart w:id="84" w:name="_Toc64369816"/>
            <w:r>
              <w:rPr>
                <w:rFonts w:hint="eastAsia" w:ascii="仿宋" w:eastAsia="仿宋" w:cs="仿宋_GB2312"/>
                <w:color w:val="auto"/>
                <w:sz w:val="30"/>
                <w:szCs w:val="30"/>
                <w:highlight w:val="none"/>
              </w:rPr>
              <w:t>采购文件要求</w:t>
            </w:r>
            <w:bookmarkEnd w:id="84"/>
          </w:p>
        </w:tc>
        <w:tc>
          <w:tcPr>
            <w:tcW w:w="2737" w:type="dxa"/>
            <w:tcBorders>
              <w:top w:val="single" w:color="auto" w:sz="4" w:space="0"/>
              <w:left w:val="single" w:color="auto" w:sz="4" w:space="0"/>
              <w:bottom w:val="single" w:color="auto" w:sz="4" w:space="0"/>
              <w:right w:val="single" w:color="auto" w:sz="4" w:space="0"/>
            </w:tcBorders>
            <w:noWrap/>
            <w:vAlign w:val="center"/>
          </w:tcPr>
          <w:p w14:paraId="6FC36876">
            <w:pPr>
              <w:snapToGrid w:val="0"/>
              <w:spacing w:before="156" w:beforeLines="50" w:after="50"/>
              <w:jc w:val="center"/>
              <w:rPr>
                <w:rFonts w:hint="eastAsia" w:ascii="仿宋" w:eastAsia="仿宋" w:cs="仿宋_GB2312"/>
                <w:color w:val="auto"/>
                <w:sz w:val="30"/>
                <w:szCs w:val="30"/>
                <w:highlight w:val="none"/>
              </w:rPr>
            </w:pPr>
            <w:bookmarkStart w:id="85" w:name="_Toc64369817"/>
            <w:r>
              <w:rPr>
                <w:rFonts w:hint="eastAsia" w:ascii="仿宋" w:eastAsia="仿宋" w:cs="仿宋_GB2312"/>
                <w:color w:val="auto"/>
                <w:sz w:val="30"/>
                <w:szCs w:val="30"/>
                <w:highlight w:val="none"/>
              </w:rPr>
              <w:t>投标文件响应</w:t>
            </w:r>
            <w:bookmarkEnd w:id="85"/>
          </w:p>
        </w:tc>
        <w:tc>
          <w:tcPr>
            <w:tcW w:w="1886" w:type="dxa"/>
            <w:tcBorders>
              <w:top w:val="single" w:color="auto" w:sz="4" w:space="0"/>
              <w:left w:val="single" w:color="auto" w:sz="4" w:space="0"/>
              <w:bottom w:val="single" w:color="auto" w:sz="4" w:space="0"/>
              <w:right w:val="single" w:color="auto" w:sz="4" w:space="0"/>
            </w:tcBorders>
            <w:noWrap/>
            <w:vAlign w:val="center"/>
          </w:tcPr>
          <w:p w14:paraId="1486E975">
            <w:pPr>
              <w:snapToGrid w:val="0"/>
              <w:spacing w:before="156" w:beforeLines="50" w:after="50"/>
              <w:jc w:val="center"/>
              <w:rPr>
                <w:rFonts w:hint="eastAsia" w:ascii="仿宋" w:eastAsia="仿宋" w:cs="仿宋_GB2312"/>
                <w:color w:val="auto"/>
                <w:sz w:val="30"/>
                <w:szCs w:val="30"/>
                <w:highlight w:val="none"/>
              </w:rPr>
            </w:pPr>
            <w:bookmarkStart w:id="86" w:name="_Toc64369818"/>
            <w:r>
              <w:rPr>
                <w:rFonts w:hint="eastAsia" w:ascii="仿宋" w:eastAsia="仿宋" w:cs="仿宋_GB2312"/>
                <w:color w:val="auto"/>
                <w:sz w:val="30"/>
                <w:szCs w:val="30"/>
                <w:highlight w:val="none"/>
              </w:rPr>
              <w:t>偏离情况</w:t>
            </w:r>
            <w:bookmarkEnd w:id="86"/>
          </w:p>
        </w:tc>
      </w:tr>
      <w:tr w14:paraId="2E690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5FE4207">
            <w:pPr>
              <w:snapToGrid w:val="0"/>
              <w:spacing w:before="50" w:after="50"/>
              <w:rPr>
                <w:rFonts w:hint="eastAsia" w:ascii="仿宋" w:eastAsia="仿宋"/>
                <w:color w:val="auto"/>
                <w:spacing w:val="20"/>
                <w:sz w:val="28"/>
                <w:szCs w:val="28"/>
                <w:highlight w:val="none"/>
              </w:rPr>
            </w:pPr>
            <w:bookmarkStart w:id="87" w:name="_Toc64369819"/>
            <w:r>
              <w:rPr>
                <w:rFonts w:hint="eastAsia" w:ascii="仿宋" w:eastAsia="仿宋"/>
                <w:color w:val="auto"/>
                <w:spacing w:val="20"/>
                <w:sz w:val="28"/>
                <w:szCs w:val="28"/>
                <w:highlight w:val="none"/>
              </w:rPr>
              <w:t>供货期及供货地点</w:t>
            </w:r>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14:paraId="0DBAD502">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99B39F1">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B9EFFB3">
            <w:pPr>
              <w:pStyle w:val="18"/>
              <w:snapToGrid w:val="0"/>
              <w:spacing w:before="120" w:after="120"/>
              <w:outlineLvl w:val="0"/>
              <w:rPr>
                <w:rFonts w:hint="eastAsia" w:ascii="仿宋" w:eastAsia="仿宋"/>
                <w:color w:val="auto"/>
                <w:sz w:val="28"/>
                <w:szCs w:val="28"/>
                <w:highlight w:val="none"/>
              </w:rPr>
            </w:pPr>
          </w:p>
        </w:tc>
      </w:tr>
      <w:tr w14:paraId="4A4B7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300A60D">
            <w:pPr>
              <w:snapToGrid w:val="0"/>
              <w:spacing w:before="50" w:after="50"/>
              <w:rPr>
                <w:rFonts w:hint="eastAsia" w:ascii="仿宋" w:eastAsia="仿宋"/>
                <w:color w:val="auto"/>
                <w:spacing w:val="20"/>
                <w:sz w:val="28"/>
                <w:szCs w:val="28"/>
                <w:highlight w:val="none"/>
              </w:rPr>
            </w:pPr>
            <w:bookmarkStart w:id="88" w:name="_Toc64369820"/>
            <w:r>
              <w:rPr>
                <w:rFonts w:hint="eastAsia" w:ascii="仿宋" w:eastAsia="仿宋"/>
                <w:color w:val="auto"/>
                <w:spacing w:val="20"/>
                <w:sz w:val="28"/>
                <w:szCs w:val="28"/>
                <w:highlight w:val="none"/>
              </w:rPr>
              <w:t>质保期</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09151D8C">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D21813F">
            <w:pPr>
              <w:pStyle w:val="18"/>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0982B0EA">
            <w:pPr>
              <w:pStyle w:val="18"/>
              <w:snapToGrid w:val="0"/>
              <w:spacing w:before="120" w:after="120" w:line="240" w:lineRule="auto"/>
              <w:outlineLvl w:val="0"/>
              <w:rPr>
                <w:rFonts w:hint="eastAsia" w:ascii="仿宋" w:eastAsia="仿宋"/>
                <w:color w:val="auto"/>
                <w:sz w:val="28"/>
                <w:szCs w:val="28"/>
                <w:highlight w:val="none"/>
              </w:rPr>
            </w:pPr>
          </w:p>
        </w:tc>
      </w:tr>
      <w:tr w14:paraId="218AC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2F69B65">
            <w:pPr>
              <w:snapToGrid w:val="0"/>
              <w:spacing w:before="50" w:after="50"/>
              <w:rPr>
                <w:rFonts w:hint="eastAsia" w:ascii="仿宋" w:eastAsia="仿宋"/>
                <w:color w:val="auto"/>
                <w:spacing w:val="20"/>
                <w:sz w:val="28"/>
                <w:szCs w:val="28"/>
                <w:highlight w:val="none"/>
              </w:rPr>
            </w:pPr>
            <w:bookmarkStart w:id="89" w:name="_Toc64369821"/>
            <w:r>
              <w:rPr>
                <w:rFonts w:hint="eastAsia" w:ascii="仿宋" w:eastAsia="仿宋"/>
                <w:color w:val="auto"/>
                <w:spacing w:val="20"/>
                <w:sz w:val="28"/>
                <w:szCs w:val="28"/>
                <w:highlight w:val="none"/>
              </w:rPr>
              <w:t>技术培训</w:t>
            </w:r>
            <w:bookmarkEnd w:id="89"/>
          </w:p>
        </w:tc>
        <w:tc>
          <w:tcPr>
            <w:tcW w:w="2626" w:type="dxa"/>
            <w:tcBorders>
              <w:top w:val="single" w:color="auto" w:sz="4" w:space="0"/>
              <w:left w:val="single" w:color="auto" w:sz="4" w:space="0"/>
              <w:bottom w:val="single" w:color="auto" w:sz="4" w:space="0"/>
              <w:right w:val="single" w:color="auto" w:sz="4" w:space="0"/>
            </w:tcBorders>
            <w:noWrap/>
            <w:vAlign w:val="center"/>
          </w:tcPr>
          <w:p w14:paraId="567F3CE2">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092EB38">
            <w:pPr>
              <w:pStyle w:val="18"/>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A4D5D4E">
            <w:pPr>
              <w:pStyle w:val="18"/>
              <w:snapToGrid w:val="0"/>
              <w:spacing w:before="120" w:after="120" w:line="240" w:lineRule="auto"/>
              <w:outlineLvl w:val="0"/>
              <w:rPr>
                <w:rFonts w:hint="eastAsia" w:ascii="仿宋" w:eastAsia="仿宋"/>
                <w:color w:val="auto"/>
                <w:sz w:val="28"/>
                <w:szCs w:val="28"/>
                <w:highlight w:val="none"/>
              </w:rPr>
            </w:pPr>
          </w:p>
        </w:tc>
      </w:tr>
      <w:tr w14:paraId="6CDE2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1C67E16">
            <w:pPr>
              <w:snapToGrid w:val="0"/>
              <w:spacing w:before="50" w:after="50"/>
              <w:rPr>
                <w:rFonts w:hint="eastAsia" w:ascii="仿宋" w:eastAsia="仿宋"/>
                <w:color w:val="auto"/>
                <w:spacing w:val="20"/>
                <w:sz w:val="28"/>
                <w:szCs w:val="28"/>
                <w:highlight w:val="none"/>
              </w:rPr>
            </w:pPr>
            <w:bookmarkStart w:id="90" w:name="_Toc64369822"/>
            <w:r>
              <w:rPr>
                <w:rFonts w:hint="eastAsia" w:ascii="仿宋" w:eastAsia="仿宋"/>
                <w:color w:val="auto"/>
                <w:spacing w:val="20"/>
                <w:sz w:val="28"/>
                <w:szCs w:val="28"/>
                <w:highlight w:val="none"/>
              </w:rPr>
              <w:t>售后服务</w:t>
            </w:r>
            <w:bookmarkEnd w:id="90"/>
          </w:p>
        </w:tc>
        <w:tc>
          <w:tcPr>
            <w:tcW w:w="2626" w:type="dxa"/>
            <w:tcBorders>
              <w:top w:val="single" w:color="auto" w:sz="4" w:space="0"/>
              <w:left w:val="single" w:color="auto" w:sz="4" w:space="0"/>
              <w:bottom w:val="single" w:color="auto" w:sz="4" w:space="0"/>
              <w:right w:val="single" w:color="auto" w:sz="4" w:space="0"/>
            </w:tcBorders>
            <w:noWrap/>
            <w:vAlign w:val="center"/>
          </w:tcPr>
          <w:p w14:paraId="5EAB0192">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47EA741">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2E52B3A">
            <w:pPr>
              <w:pStyle w:val="18"/>
              <w:snapToGrid w:val="0"/>
              <w:spacing w:before="120" w:after="120"/>
              <w:outlineLvl w:val="0"/>
              <w:rPr>
                <w:rFonts w:hint="eastAsia" w:ascii="仿宋" w:eastAsia="仿宋"/>
                <w:color w:val="auto"/>
                <w:sz w:val="28"/>
                <w:szCs w:val="28"/>
                <w:highlight w:val="none"/>
              </w:rPr>
            </w:pPr>
          </w:p>
        </w:tc>
      </w:tr>
      <w:tr w14:paraId="3F223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E3ECC81">
            <w:pPr>
              <w:snapToGrid w:val="0"/>
              <w:spacing w:before="50" w:after="50"/>
              <w:rPr>
                <w:rFonts w:hint="eastAsia" w:ascii="仿宋" w:eastAsia="仿宋"/>
                <w:color w:val="auto"/>
                <w:spacing w:val="20"/>
                <w:sz w:val="28"/>
                <w:szCs w:val="28"/>
                <w:highlight w:val="none"/>
              </w:rPr>
            </w:pPr>
            <w:bookmarkStart w:id="91" w:name="_Toc64369823"/>
            <w:r>
              <w:rPr>
                <w:rFonts w:hint="eastAsia" w:ascii="仿宋" w:eastAsia="仿宋"/>
                <w:color w:val="auto"/>
                <w:spacing w:val="20"/>
                <w:sz w:val="28"/>
                <w:szCs w:val="28"/>
                <w:highlight w:val="none"/>
              </w:rPr>
              <w:t>付款方式</w:t>
            </w:r>
            <w:bookmarkEnd w:id="91"/>
          </w:p>
        </w:tc>
        <w:tc>
          <w:tcPr>
            <w:tcW w:w="2626" w:type="dxa"/>
            <w:tcBorders>
              <w:top w:val="single" w:color="auto" w:sz="4" w:space="0"/>
              <w:left w:val="single" w:color="auto" w:sz="4" w:space="0"/>
              <w:bottom w:val="single" w:color="auto" w:sz="4" w:space="0"/>
              <w:right w:val="single" w:color="auto" w:sz="4" w:space="0"/>
            </w:tcBorders>
            <w:noWrap/>
            <w:vAlign w:val="center"/>
          </w:tcPr>
          <w:p w14:paraId="6708BBC4">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384E441">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76FFF83">
            <w:pPr>
              <w:pStyle w:val="18"/>
              <w:snapToGrid w:val="0"/>
              <w:spacing w:before="120" w:after="120"/>
              <w:outlineLvl w:val="0"/>
              <w:rPr>
                <w:rFonts w:hint="eastAsia" w:ascii="仿宋" w:eastAsia="仿宋"/>
                <w:color w:val="auto"/>
                <w:sz w:val="28"/>
                <w:szCs w:val="28"/>
                <w:highlight w:val="none"/>
              </w:rPr>
            </w:pPr>
          </w:p>
        </w:tc>
      </w:tr>
      <w:tr w14:paraId="66C60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5E087F">
            <w:pPr>
              <w:snapToGrid w:val="0"/>
              <w:spacing w:before="50" w:after="50"/>
              <w:rPr>
                <w:rFonts w:hint="eastAsia" w:ascii="仿宋" w:eastAsia="仿宋"/>
                <w:color w:val="auto"/>
                <w:spacing w:val="20"/>
                <w:sz w:val="28"/>
                <w:szCs w:val="28"/>
                <w:highlight w:val="none"/>
              </w:rPr>
            </w:pPr>
            <w:bookmarkStart w:id="92" w:name="_Toc64369824"/>
            <w:r>
              <w:rPr>
                <w:rFonts w:hint="eastAsia" w:ascii="仿宋" w:eastAsia="仿宋"/>
                <w:color w:val="auto"/>
                <w:spacing w:val="20"/>
                <w:sz w:val="28"/>
                <w:szCs w:val="28"/>
                <w:highlight w:val="none"/>
              </w:rPr>
              <w:t>…</w:t>
            </w:r>
            <w:bookmarkEnd w:id="92"/>
          </w:p>
        </w:tc>
        <w:tc>
          <w:tcPr>
            <w:tcW w:w="2626" w:type="dxa"/>
            <w:tcBorders>
              <w:top w:val="single" w:color="auto" w:sz="4" w:space="0"/>
              <w:left w:val="single" w:color="auto" w:sz="4" w:space="0"/>
              <w:bottom w:val="single" w:color="auto" w:sz="4" w:space="0"/>
              <w:right w:val="single" w:color="auto" w:sz="4" w:space="0"/>
            </w:tcBorders>
            <w:noWrap/>
            <w:vAlign w:val="center"/>
          </w:tcPr>
          <w:p w14:paraId="3E2405EA">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B2504D3">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6851384">
            <w:pPr>
              <w:pStyle w:val="18"/>
              <w:snapToGrid w:val="0"/>
              <w:spacing w:before="120" w:after="120"/>
              <w:outlineLvl w:val="0"/>
              <w:rPr>
                <w:rFonts w:hint="eastAsia" w:ascii="仿宋" w:eastAsia="仿宋"/>
                <w:color w:val="auto"/>
                <w:sz w:val="28"/>
                <w:szCs w:val="28"/>
                <w:highlight w:val="none"/>
              </w:rPr>
            </w:pPr>
          </w:p>
        </w:tc>
      </w:tr>
    </w:tbl>
    <w:p w14:paraId="4AEF228E">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23487FB">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61DA23FC">
      <w:pPr>
        <w:snapToGrid w:val="0"/>
        <w:spacing w:before="50" w:after="50"/>
        <w:rPr>
          <w:rFonts w:hint="eastAsia" w:ascii="仿宋" w:eastAsia="仿宋"/>
          <w:color w:val="auto"/>
          <w:spacing w:val="20"/>
          <w:sz w:val="28"/>
          <w:szCs w:val="28"/>
          <w:highlight w:val="none"/>
        </w:rPr>
      </w:pPr>
    </w:p>
    <w:p w14:paraId="1EFC072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EB3BDD0">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6331760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：项目实施人员清单</w:t>
      </w:r>
    </w:p>
    <w:p w14:paraId="7C14CCAA">
      <w:pPr>
        <w:snapToGrid w:val="0"/>
        <w:spacing w:before="50" w:after="156" w:afterLines="50"/>
        <w:jc w:val="center"/>
        <w:rPr>
          <w:rFonts w:hint="eastAsia" w:ascii="仿宋" w:eastAsia="仿宋"/>
          <w:b/>
          <w:color w:val="auto"/>
          <w:kern w:val="0"/>
          <w:sz w:val="36"/>
          <w:szCs w:val="36"/>
          <w:highlight w:val="none"/>
        </w:rPr>
      </w:pPr>
    </w:p>
    <w:p w14:paraId="0E49BD37">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586A6A52">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8BDF5A8">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2E9F8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4408B11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2379838">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52270D9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7CB1DA6B">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92BE6D1">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34009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99EAD8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F0238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C5D57A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ABD2958">
            <w:pPr>
              <w:snapToGrid w:val="0"/>
              <w:spacing w:before="156" w:beforeLines="50" w:after="50" w:line="460" w:lineRule="exact"/>
              <w:rPr>
                <w:rFonts w:hint="eastAsia" w:ascii="仿宋" w:eastAsia="仿宋"/>
                <w:color w:val="auto"/>
                <w:sz w:val="28"/>
                <w:szCs w:val="28"/>
                <w:highlight w:val="none"/>
              </w:rPr>
            </w:pPr>
          </w:p>
        </w:tc>
      </w:tr>
      <w:tr w14:paraId="41AD2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BA9C0D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EAC6E3B">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6EE03F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4D50550">
            <w:pPr>
              <w:snapToGrid w:val="0"/>
              <w:spacing w:before="156" w:beforeLines="50" w:after="50" w:line="460" w:lineRule="exact"/>
              <w:rPr>
                <w:rFonts w:hint="eastAsia" w:ascii="仿宋" w:eastAsia="仿宋"/>
                <w:color w:val="auto"/>
                <w:sz w:val="28"/>
                <w:szCs w:val="28"/>
                <w:highlight w:val="none"/>
              </w:rPr>
            </w:pPr>
          </w:p>
        </w:tc>
      </w:tr>
      <w:tr w14:paraId="1E306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90EB6F4">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51F057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A6F7F08">
            <w:pPr>
              <w:pStyle w:val="19"/>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C414700">
            <w:pPr>
              <w:snapToGrid w:val="0"/>
              <w:spacing w:before="156" w:beforeLines="50" w:after="50" w:line="460" w:lineRule="exact"/>
              <w:rPr>
                <w:rFonts w:hint="eastAsia" w:ascii="仿宋" w:eastAsia="仿宋"/>
                <w:color w:val="auto"/>
                <w:sz w:val="28"/>
                <w:szCs w:val="28"/>
                <w:highlight w:val="none"/>
              </w:rPr>
            </w:pPr>
          </w:p>
        </w:tc>
      </w:tr>
      <w:tr w14:paraId="34A82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D6B58">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8F6D7C1">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700BE1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5C9D8AB">
            <w:pPr>
              <w:snapToGrid w:val="0"/>
              <w:spacing w:before="156" w:beforeLines="50" w:after="50" w:line="460" w:lineRule="exact"/>
              <w:rPr>
                <w:rFonts w:hint="eastAsia" w:ascii="仿宋" w:eastAsia="仿宋"/>
                <w:color w:val="auto"/>
                <w:sz w:val="28"/>
                <w:szCs w:val="28"/>
                <w:highlight w:val="none"/>
              </w:rPr>
            </w:pPr>
          </w:p>
        </w:tc>
      </w:tr>
      <w:tr w14:paraId="083CC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351498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49EEDF6">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C564ACF">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BC9CB39">
            <w:pPr>
              <w:snapToGrid w:val="0"/>
              <w:spacing w:before="156" w:beforeLines="50" w:after="50" w:line="460" w:lineRule="exact"/>
              <w:rPr>
                <w:rFonts w:hint="eastAsia" w:ascii="仿宋" w:eastAsia="仿宋"/>
                <w:color w:val="auto"/>
                <w:sz w:val="28"/>
                <w:szCs w:val="28"/>
                <w:highlight w:val="none"/>
              </w:rPr>
            </w:pPr>
          </w:p>
        </w:tc>
      </w:tr>
      <w:tr w14:paraId="573E6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64C6B57">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661238D">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CA71B7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068F36">
            <w:pPr>
              <w:snapToGrid w:val="0"/>
              <w:spacing w:before="156" w:beforeLines="50" w:after="50" w:line="460" w:lineRule="exact"/>
              <w:rPr>
                <w:rFonts w:hint="eastAsia" w:ascii="仿宋" w:eastAsia="仿宋"/>
                <w:color w:val="auto"/>
                <w:sz w:val="28"/>
                <w:szCs w:val="28"/>
                <w:highlight w:val="none"/>
              </w:rPr>
            </w:pPr>
          </w:p>
        </w:tc>
      </w:tr>
      <w:tr w14:paraId="139E8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75E64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F15A015">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F2761EF">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AAEB7F6">
            <w:pPr>
              <w:snapToGrid w:val="0"/>
              <w:spacing w:before="156" w:beforeLines="50" w:after="50" w:line="460" w:lineRule="exact"/>
              <w:rPr>
                <w:rFonts w:hint="eastAsia" w:ascii="仿宋" w:eastAsia="仿宋"/>
                <w:color w:val="auto"/>
                <w:sz w:val="28"/>
                <w:szCs w:val="28"/>
                <w:highlight w:val="none"/>
              </w:rPr>
            </w:pPr>
          </w:p>
        </w:tc>
      </w:tr>
      <w:tr w14:paraId="7C08B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3C73CD2">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599E33C">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F68173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C1E88D8">
            <w:pPr>
              <w:snapToGrid w:val="0"/>
              <w:spacing w:before="156" w:beforeLines="50" w:after="50" w:line="460" w:lineRule="exact"/>
              <w:rPr>
                <w:rFonts w:hint="eastAsia" w:ascii="仿宋" w:eastAsia="仿宋"/>
                <w:color w:val="auto"/>
                <w:sz w:val="28"/>
                <w:szCs w:val="28"/>
                <w:highlight w:val="none"/>
              </w:rPr>
            </w:pPr>
          </w:p>
        </w:tc>
      </w:tr>
      <w:tr w14:paraId="2AB75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C1DE09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D6587F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DB8B969">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4FBDBA1">
            <w:pPr>
              <w:snapToGrid w:val="0"/>
              <w:spacing w:before="156" w:beforeLines="50" w:after="50" w:line="460" w:lineRule="exact"/>
              <w:rPr>
                <w:rFonts w:hint="eastAsia" w:ascii="仿宋" w:eastAsia="仿宋"/>
                <w:color w:val="auto"/>
                <w:sz w:val="28"/>
                <w:szCs w:val="28"/>
                <w:highlight w:val="none"/>
              </w:rPr>
            </w:pPr>
          </w:p>
        </w:tc>
      </w:tr>
    </w:tbl>
    <w:p w14:paraId="5AC82E0A">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57B8997C">
      <w:pPr>
        <w:snapToGrid w:val="0"/>
        <w:spacing w:before="50" w:after="156" w:afterLines="50" w:line="460" w:lineRule="exact"/>
        <w:jc w:val="left"/>
        <w:rPr>
          <w:rFonts w:hint="eastAsia" w:ascii="仿宋" w:eastAsia="仿宋"/>
          <w:color w:val="auto"/>
          <w:sz w:val="28"/>
          <w:szCs w:val="28"/>
          <w:highlight w:val="none"/>
        </w:rPr>
      </w:pPr>
    </w:p>
    <w:p w14:paraId="478F9FC9">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8831403">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4BA5C9C6">
      <w:pPr>
        <w:snapToGrid w:val="0"/>
        <w:spacing w:before="156" w:beforeLines="50"/>
        <w:rPr>
          <w:rFonts w:ascii="仿宋" w:eastAsia="仿宋"/>
          <w:color w:val="auto"/>
          <w:sz w:val="28"/>
          <w:szCs w:val="28"/>
          <w:highlight w:val="none"/>
        </w:rPr>
      </w:pPr>
    </w:p>
    <w:p w14:paraId="1D1F85D4">
      <w:pPr>
        <w:snapToGrid w:val="0"/>
        <w:spacing w:before="156" w:beforeLines="50"/>
        <w:rPr>
          <w:rFonts w:hint="eastAsia" w:ascii="仿宋" w:eastAsia="仿宋"/>
          <w:color w:val="auto"/>
          <w:sz w:val="28"/>
          <w:szCs w:val="28"/>
          <w:highlight w:val="none"/>
        </w:rPr>
      </w:pPr>
    </w:p>
    <w:p w14:paraId="308162E3">
      <w:pPr>
        <w:snapToGrid w:val="0"/>
        <w:spacing w:before="50" w:after="50"/>
        <w:jc w:val="left"/>
        <w:rPr>
          <w:rFonts w:hint="eastAsia" w:ascii="仿宋" w:eastAsia="仿宋"/>
          <w:b/>
          <w:bCs/>
          <w:color w:val="auto"/>
          <w:sz w:val="30"/>
          <w:szCs w:val="30"/>
          <w:highlight w:val="none"/>
          <w:lang w:eastAsia="zh-CN"/>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14</w:t>
      </w:r>
      <w:r>
        <w:rPr>
          <w:rFonts w:hint="eastAsia" w:ascii="仿宋" w:eastAsia="仿宋"/>
          <w:b/>
          <w:bCs/>
          <w:color w:val="auto"/>
          <w:sz w:val="30"/>
          <w:szCs w:val="30"/>
          <w:highlight w:val="none"/>
        </w:rPr>
        <w:t>：消耗品、维修零配件及其价格清单</w:t>
      </w:r>
      <w:r>
        <w:rPr>
          <w:rFonts w:hint="eastAsia" w:ascii="仿宋" w:eastAsia="仿宋"/>
          <w:b/>
          <w:bCs/>
          <w:color w:val="auto"/>
          <w:sz w:val="30"/>
          <w:szCs w:val="30"/>
          <w:highlight w:val="none"/>
          <w:lang w:eastAsia="zh-CN"/>
        </w:rPr>
        <w:t>（</w:t>
      </w:r>
      <w:r>
        <w:rPr>
          <w:rFonts w:hint="eastAsia" w:ascii="仿宋" w:eastAsia="仿宋"/>
          <w:b/>
          <w:bCs/>
          <w:color w:val="auto"/>
          <w:sz w:val="30"/>
          <w:szCs w:val="30"/>
          <w:highlight w:val="none"/>
          <w:lang w:val="en-US" w:eastAsia="zh-CN"/>
        </w:rPr>
        <w:t>如有</w:t>
      </w:r>
      <w:r>
        <w:rPr>
          <w:rFonts w:hint="eastAsia" w:ascii="仿宋" w:eastAsia="仿宋"/>
          <w:b/>
          <w:bCs/>
          <w:color w:val="auto"/>
          <w:sz w:val="30"/>
          <w:szCs w:val="30"/>
          <w:highlight w:val="none"/>
          <w:lang w:eastAsia="zh-CN"/>
        </w:rPr>
        <w:t>）</w:t>
      </w:r>
    </w:p>
    <w:p w14:paraId="369C7A8B">
      <w:pPr>
        <w:snapToGrid w:val="0"/>
        <w:spacing w:before="50" w:after="156" w:afterLines="50"/>
        <w:jc w:val="center"/>
        <w:rPr>
          <w:rFonts w:hint="eastAsia" w:ascii="仿宋" w:eastAsia="仿宋"/>
          <w:b/>
          <w:color w:val="auto"/>
          <w:kern w:val="0"/>
          <w:sz w:val="36"/>
          <w:szCs w:val="36"/>
          <w:highlight w:val="none"/>
        </w:rPr>
      </w:pPr>
    </w:p>
    <w:p w14:paraId="60CEA573">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478FC711">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75480EB9">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p w14:paraId="348C044B">
      <w:pPr>
        <w:rPr>
          <w:rFonts w:hint="eastAsia" w:ascii="仿宋" w:eastAsia="仿宋"/>
          <w:color w:val="auto"/>
          <w:sz w:val="28"/>
          <w:szCs w:val="28"/>
          <w:highlight w:val="none"/>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67324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1D37A6A">
            <w:pPr>
              <w:jc w:val="center"/>
              <w:rPr>
                <w:rFonts w:hint="eastAsia"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E28C137">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2C1F84">
            <w:pPr>
              <w:jc w:val="center"/>
              <w:rPr>
                <w:rFonts w:hint="eastAsia" w:ascii="仿宋" w:eastAsia="仿宋"/>
                <w:color w:val="auto"/>
                <w:sz w:val="28"/>
                <w:szCs w:val="28"/>
                <w:highlight w:val="none"/>
              </w:rPr>
            </w:pPr>
            <w:r>
              <w:rPr>
                <w:rFonts w:hint="eastAsia" w:ascii="仿宋" w:eastAsia="仿宋"/>
                <w:color w:val="auto"/>
                <w:sz w:val="28"/>
                <w:szCs w:val="28"/>
                <w:highlight w:val="none"/>
              </w:rPr>
              <w:t>制造商</w:t>
            </w:r>
          </w:p>
          <w:p w14:paraId="7816D564">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0F67A23">
            <w:pPr>
              <w:jc w:val="center"/>
              <w:rPr>
                <w:rFonts w:hint="eastAsia" w:ascii="仿宋" w:eastAsia="仿宋"/>
                <w:color w:val="auto"/>
                <w:sz w:val="28"/>
                <w:szCs w:val="28"/>
                <w:highlight w:val="none"/>
              </w:rPr>
            </w:pPr>
            <w:r>
              <w:rPr>
                <w:rFonts w:hint="eastAsia" w:ascii="仿宋" w:eastAsia="仿宋"/>
                <w:color w:val="auto"/>
                <w:sz w:val="28"/>
                <w:szCs w:val="28"/>
                <w:highlight w:val="none"/>
              </w:rPr>
              <w:t>单价</w:t>
            </w:r>
          </w:p>
          <w:p w14:paraId="272B5A6E">
            <w:pPr>
              <w:jc w:val="center"/>
              <w:rPr>
                <w:rFonts w:hint="eastAsia"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64CAE92">
            <w:pPr>
              <w:jc w:val="center"/>
              <w:rPr>
                <w:rFonts w:hint="eastAsia"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21E6B2C">
            <w:pPr>
              <w:jc w:val="center"/>
              <w:rPr>
                <w:rFonts w:hint="eastAsia"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6581D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06021C3">
            <w:pPr>
              <w:rPr>
                <w:rFonts w:hint="eastAsia"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62A0DBA">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4B2D5DF">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E1F2FA9">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BEB0A6">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E178E71">
            <w:pPr>
              <w:rPr>
                <w:rFonts w:hint="eastAsia" w:ascii="仿宋" w:eastAsia="仿宋"/>
                <w:color w:val="auto"/>
                <w:sz w:val="28"/>
                <w:szCs w:val="28"/>
                <w:highlight w:val="none"/>
              </w:rPr>
            </w:pPr>
          </w:p>
        </w:tc>
      </w:tr>
      <w:tr w14:paraId="2B023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77888FC">
            <w:pPr>
              <w:rPr>
                <w:rFonts w:hint="eastAsia"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CA3CE39">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8F2740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DECCC1D">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750838B">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9F7EC5">
            <w:pPr>
              <w:rPr>
                <w:rFonts w:hint="eastAsia" w:ascii="仿宋" w:eastAsia="仿宋"/>
                <w:color w:val="auto"/>
                <w:sz w:val="28"/>
                <w:szCs w:val="28"/>
                <w:highlight w:val="none"/>
              </w:rPr>
            </w:pPr>
          </w:p>
        </w:tc>
      </w:tr>
      <w:tr w14:paraId="08393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43339B4">
            <w:pPr>
              <w:rPr>
                <w:rFonts w:hint="eastAsia"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78C7D3F">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B4F3C9B">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F17FC5">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B5E9C79">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451A88C">
            <w:pPr>
              <w:rPr>
                <w:rFonts w:hint="eastAsia" w:ascii="仿宋" w:eastAsia="仿宋"/>
                <w:color w:val="auto"/>
                <w:sz w:val="28"/>
                <w:szCs w:val="28"/>
                <w:highlight w:val="none"/>
              </w:rPr>
            </w:pPr>
          </w:p>
        </w:tc>
      </w:tr>
      <w:tr w14:paraId="47FF9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D4A05F">
            <w:pPr>
              <w:rPr>
                <w:rFonts w:hint="eastAsia"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E05D26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6AE571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3179AE">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1E951E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AEE712D">
            <w:pPr>
              <w:rPr>
                <w:rFonts w:hint="eastAsia" w:ascii="仿宋" w:eastAsia="仿宋"/>
                <w:color w:val="auto"/>
                <w:sz w:val="28"/>
                <w:szCs w:val="28"/>
                <w:highlight w:val="none"/>
              </w:rPr>
            </w:pPr>
          </w:p>
        </w:tc>
      </w:tr>
      <w:tr w14:paraId="24312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C453510">
            <w:pPr>
              <w:rPr>
                <w:rFonts w:hint="eastAsia"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EFC630B">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DD77C98">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FF1D9">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16200BA">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2824032">
            <w:pPr>
              <w:rPr>
                <w:rFonts w:hint="eastAsia" w:ascii="仿宋" w:eastAsia="仿宋"/>
                <w:color w:val="auto"/>
                <w:sz w:val="28"/>
                <w:szCs w:val="28"/>
                <w:highlight w:val="none"/>
              </w:rPr>
            </w:pPr>
          </w:p>
        </w:tc>
      </w:tr>
      <w:tr w14:paraId="65D7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807C3F2">
            <w:pPr>
              <w:rPr>
                <w:rFonts w:hint="eastAsia"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B23704D">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DCD7257">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4B5DB9F">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E6EF46A">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67D365">
            <w:pPr>
              <w:rPr>
                <w:rFonts w:hint="eastAsia" w:ascii="仿宋" w:eastAsia="仿宋"/>
                <w:color w:val="auto"/>
                <w:sz w:val="28"/>
                <w:szCs w:val="28"/>
                <w:highlight w:val="none"/>
              </w:rPr>
            </w:pPr>
          </w:p>
        </w:tc>
      </w:tr>
    </w:tbl>
    <w:p w14:paraId="7D48F068">
      <w:pPr>
        <w:adjustRightInd w:val="0"/>
        <w:snapToGrid w:val="0"/>
        <w:ind w:right="172" w:rightChars="82"/>
        <w:rPr>
          <w:rFonts w:hint="eastAsia"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295F0D8A">
      <w:pPr>
        <w:adjustRightInd w:val="0"/>
        <w:snapToGrid w:val="0"/>
        <w:ind w:right="172" w:rightChars="82" w:firstLine="484" w:firstLineChars="202"/>
        <w:rPr>
          <w:rFonts w:hint="eastAsia" w:ascii="仿宋" w:eastAsia="仿宋"/>
          <w:color w:val="auto"/>
          <w:sz w:val="24"/>
          <w:szCs w:val="24"/>
          <w:highlight w:val="none"/>
        </w:rPr>
      </w:pPr>
    </w:p>
    <w:p w14:paraId="0F2C7892">
      <w:pPr>
        <w:adjustRightInd w:val="0"/>
        <w:snapToGrid w:val="0"/>
        <w:ind w:right="172" w:rightChars="82" w:firstLine="484" w:firstLineChars="202"/>
        <w:rPr>
          <w:rFonts w:hint="eastAsia" w:ascii="仿宋" w:eastAsia="仿宋"/>
          <w:color w:val="auto"/>
          <w:sz w:val="24"/>
          <w:szCs w:val="24"/>
          <w:highlight w:val="none"/>
        </w:rPr>
      </w:pPr>
    </w:p>
    <w:p w14:paraId="2511A4FE">
      <w:pPr>
        <w:spacing w:line="440" w:lineRule="exact"/>
        <w:jc w:val="left"/>
        <w:rPr>
          <w:rFonts w:hint="eastAsia" w:ascii="仿宋" w:eastAsia="仿宋"/>
          <w:color w:val="auto"/>
          <w:sz w:val="24"/>
          <w:highlight w:val="none"/>
        </w:rPr>
      </w:pPr>
    </w:p>
    <w:p w14:paraId="121DBAD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21257370">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382AB3C5">
      <w:pPr>
        <w:spacing w:line="440" w:lineRule="exact"/>
        <w:ind w:left="-210" w:leftChars="-100" w:firstLine="120" w:firstLineChars="50"/>
        <w:jc w:val="left"/>
        <w:rPr>
          <w:rFonts w:hint="eastAsia" w:ascii="仿宋" w:eastAsia="仿宋"/>
          <w:color w:val="auto"/>
          <w:sz w:val="24"/>
          <w:highlight w:val="none"/>
        </w:rPr>
      </w:pPr>
      <w:r>
        <w:rPr>
          <w:rFonts w:hint="eastAsia" w:ascii="仿宋" w:eastAsia="仿宋"/>
          <w:color w:val="auto"/>
          <w:sz w:val="24"/>
          <w:highlight w:val="none"/>
        </w:rPr>
        <w:tab/>
      </w:r>
      <w:r>
        <w:rPr>
          <w:rFonts w:hint="eastAsia" w:ascii="仿宋" w:eastAsia="仿宋"/>
          <w:color w:val="auto"/>
          <w:sz w:val="24"/>
          <w:highlight w:val="none"/>
        </w:rPr>
        <w:t xml:space="preserve"> </w:t>
      </w:r>
    </w:p>
    <w:p w14:paraId="00F3B6ED">
      <w:pPr>
        <w:spacing w:line="440" w:lineRule="exact"/>
        <w:rPr>
          <w:rFonts w:hint="eastAsia" w:ascii="仿宋" w:eastAsia="仿宋"/>
          <w:b/>
          <w:color w:val="auto"/>
          <w:sz w:val="24"/>
          <w:highlight w:val="none"/>
        </w:rPr>
      </w:pPr>
      <w:r>
        <w:rPr>
          <w:rFonts w:hint="eastAsia" w:ascii="仿宋" w:eastAsia="仿宋"/>
          <w:color w:val="auto"/>
          <w:sz w:val="24"/>
          <w:highlight w:val="none"/>
        </w:rPr>
        <w:t xml:space="preserve">                                             </w:t>
      </w:r>
    </w:p>
    <w:p w14:paraId="79DC292F">
      <w:pPr>
        <w:rPr>
          <w:rFonts w:hint="eastAsia" w:ascii="仿宋" w:eastAsia="仿宋"/>
          <w:color w:val="auto"/>
          <w:kern w:val="2"/>
          <w:sz w:val="24"/>
          <w:szCs w:val="20"/>
          <w:highlight w:val="none"/>
          <w:u w:val="none"/>
        </w:rPr>
      </w:pPr>
    </w:p>
    <w:p w14:paraId="30FEAB81">
      <w:pPr>
        <w:rPr>
          <w:rFonts w:hint="eastAsia" w:ascii="仿宋" w:eastAsia="仿宋"/>
          <w:color w:val="auto"/>
          <w:kern w:val="2"/>
          <w:sz w:val="24"/>
          <w:szCs w:val="20"/>
          <w:highlight w:val="none"/>
          <w:u w:val="none"/>
        </w:rPr>
      </w:pPr>
    </w:p>
    <w:p w14:paraId="40F116D9">
      <w:pPr>
        <w:rPr>
          <w:rFonts w:hint="eastAsia" w:ascii="仿宋" w:eastAsia="仿宋"/>
          <w:color w:val="auto"/>
          <w:kern w:val="2"/>
          <w:sz w:val="24"/>
          <w:szCs w:val="20"/>
          <w:highlight w:val="none"/>
          <w:u w:val="none"/>
        </w:rPr>
      </w:pPr>
    </w:p>
    <w:p w14:paraId="251F1765">
      <w:pPr>
        <w:rPr>
          <w:rFonts w:hint="eastAsia" w:ascii="仿宋" w:eastAsia="仿宋"/>
          <w:color w:val="auto"/>
          <w:kern w:val="2"/>
          <w:sz w:val="24"/>
          <w:szCs w:val="20"/>
          <w:highlight w:val="none"/>
          <w:u w:val="none"/>
        </w:rPr>
      </w:pPr>
    </w:p>
    <w:p w14:paraId="6E22C5CA">
      <w:pPr>
        <w:snapToGrid w:val="0"/>
        <w:spacing w:before="50" w:after="50"/>
        <w:jc w:val="left"/>
        <w:rPr>
          <w:rFonts w:hint="eastAsia" w:ascii="仿宋" w:eastAsia="仿宋"/>
          <w:color w:val="auto"/>
          <w:sz w:val="30"/>
          <w:szCs w:val="30"/>
          <w:highlight w:val="none"/>
        </w:rPr>
      </w:pPr>
    </w:p>
    <w:p w14:paraId="217C6D7A">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1D744A9D">
      <w:pPr>
        <w:snapToGrid w:val="0"/>
        <w:spacing w:before="50" w:after="50"/>
        <w:jc w:val="left"/>
        <w:rPr>
          <w:rFonts w:hint="eastAsia" w:ascii="仿宋" w:eastAsia="仿宋"/>
          <w:color w:val="auto"/>
          <w:sz w:val="30"/>
          <w:szCs w:val="30"/>
          <w:highlight w:val="none"/>
        </w:rPr>
      </w:pPr>
    </w:p>
    <w:p w14:paraId="6247E167">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2D429F1">
      <w:pPr>
        <w:pStyle w:val="10"/>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6C96A3D3">
      <w:pPr>
        <w:pStyle w:val="10"/>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04868657">
      <w:pPr>
        <w:rPr>
          <w:rFonts w:hint="eastAsia" w:ascii="仿宋" w:eastAsia="仿宋"/>
          <w:color w:val="auto"/>
          <w:highlight w:val="non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4786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106544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D3BC65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075B96C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45A8B0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7232A5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A6BDF8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D5D49F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72AFE9B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2BA4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72B203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2A87C1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6BE0C3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D156F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32E916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E50C8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5D4A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8C723C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177DEB7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E12AB2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0B5415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81EA84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BB6330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4F27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0B5DBB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E97AC2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F0EC1D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0C08BB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1B1A0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E162D9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103088D7">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16A3D7D0">
      <w:pPr>
        <w:numPr>
          <w:ilvl w:val="0"/>
          <w:numId w:val="9"/>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1A29E243">
      <w:pPr>
        <w:numPr>
          <w:ilvl w:val="0"/>
          <w:numId w:val="9"/>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w:t>
      </w:r>
      <w:r>
        <w:rPr>
          <w:rFonts w:hint="eastAsia" w:ascii="仿宋" w:eastAsia="仿宋"/>
          <w:color w:val="auto"/>
          <w:sz w:val="24"/>
          <w:highlight w:val="none"/>
          <w:lang w:eastAsia="zh"/>
          <w:woUserID w:val="1"/>
        </w:rPr>
        <w:t>国企</w:t>
      </w:r>
      <w:r>
        <w:rPr>
          <w:rFonts w:hint="eastAsia" w:ascii="仿宋" w:eastAsia="仿宋"/>
          <w:color w:val="auto"/>
          <w:sz w:val="24"/>
          <w:highlight w:val="none"/>
        </w:rPr>
        <w:t>采购活动时该供应商的业绩分为满分。</w:t>
      </w:r>
    </w:p>
    <w:p w14:paraId="175C84C1">
      <w:pPr>
        <w:rPr>
          <w:rFonts w:hint="eastAsia" w:ascii="仿宋" w:eastAsia="仿宋"/>
          <w:color w:val="auto"/>
          <w:kern w:val="2"/>
          <w:sz w:val="24"/>
          <w:szCs w:val="20"/>
          <w:highlight w:val="none"/>
          <w:u w:val="none"/>
        </w:rPr>
      </w:pPr>
    </w:p>
    <w:p w14:paraId="5DAA4E9F">
      <w:pPr>
        <w:rPr>
          <w:rFonts w:hint="eastAsia" w:ascii="仿宋" w:eastAsia="仿宋"/>
          <w:color w:val="auto"/>
          <w:kern w:val="2"/>
          <w:sz w:val="24"/>
          <w:szCs w:val="20"/>
          <w:highlight w:val="none"/>
          <w:u w:val="none"/>
        </w:rPr>
      </w:pPr>
    </w:p>
    <w:p w14:paraId="693B8CA1">
      <w:pPr>
        <w:rPr>
          <w:rFonts w:hint="eastAsia" w:ascii="仿宋" w:eastAsia="仿宋"/>
          <w:color w:val="auto"/>
          <w:kern w:val="2"/>
          <w:sz w:val="24"/>
          <w:szCs w:val="20"/>
          <w:highlight w:val="none"/>
          <w:u w:val="none"/>
        </w:rPr>
      </w:pPr>
    </w:p>
    <w:p w14:paraId="4F850674">
      <w:pPr>
        <w:rPr>
          <w:rFonts w:hint="eastAsia" w:ascii="仿宋" w:eastAsia="仿宋"/>
          <w:color w:val="auto"/>
          <w:kern w:val="2"/>
          <w:sz w:val="24"/>
          <w:szCs w:val="20"/>
          <w:highlight w:val="none"/>
          <w:u w:val="none"/>
        </w:rPr>
      </w:pPr>
    </w:p>
    <w:p w14:paraId="6FE29B70">
      <w:pPr>
        <w:rPr>
          <w:rFonts w:ascii="仿宋" w:eastAsia="仿宋"/>
          <w:color w:val="auto"/>
          <w:kern w:val="2"/>
          <w:sz w:val="24"/>
          <w:szCs w:val="20"/>
          <w:highlight w:val="none"/>
          <w:u w:val="none"/>
        </w:rPr>
      </w:pPr>
    </w:p>
    <w:p w14:paraId="24729E5A">
      <w:pPr>
        <w:rPr>
          <w:rFonts w:ascii="仿宋" w:eastAsia="仿宋"/>
          <w:color w:val="auto"/>
          <w:kern w:val="2"/>
          <w:sz w:val="24"/>
          <w:szCs w:val="20"/>
          <w:highlight w:val="none"/>
          <w:u w:val="none"/>
        </w:rPr>
      </w:pPr>
    </w:p>
    <w:p w14:paraId="786FCF29">
      <w:pPr>
        <w:rPr>
          <w:rFonts w:ascii="仿宋" w:eastAsia="仿宋"/>
          <w:color w:val="auto"/>
          <w:kern w:val="2"/>
          <w:sz w:val="24"/>
          <w:szCs w:val="20"/>
          <w:highlight w:val="none"/>
          <w:u w:val="none"/>
        </w:rPr>
      </w:pPr>
    </w:p>
    <w:p w14:paraId="5D8C6C7E">
      <w:pPr>
        <w:rPr>
          <w:rFonts w:hint="eastAsia" w:ascii="仿宋" w:eastAsia="仿宋"/>
          <w:color w:val="auto"/>
          <w:kern w:val="2"/>
          <w:sz w:val="24"/>
          <w:szCs w:val="20"/>
          <w:highlight w:val="none"/>
          <w:u w:val="none"/>
        </w:rPr>
      </w:pPr>
    </w:p>
    <w:p w14:paraId="61FD5E11">
      <w:pPr>
        <w:rPr>
          <w:rFonts w:hint="eastAsia" w:ascii="仿宋" w:eastAsia="仿宋"/>
          <w:color w:val="auto"/>
          <w:kern w:val="2"/>
          <w:sz w:val="24"/>
          <w:szCs w:val="20"/>
          <w:highlight w:val="none"/>
          <w:u w:val="none"/>
        </w:rPr>
      </w:pPr>
    </w:p>
    <w:p w14:paraId="358E1BD0">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9A977F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6F8DC922">
      <w:pPr>
        <w:rPr>
          <w:rFonts w:ascii="仿宋" w:eastAsia="仿宋"/>
          <w:color w:val="auto"/>
          <w:kern w:val="2"/>
          <w:sz w:val="24"/>
          <w:szCs w:val="20"/>
          <w:highlight w:val="none"/>
          <w:u w:val="none"/>
        </w:rPr>
      </w:pPr>
    </w:p>
    <w:p w14:paraId="47854076">
      <w:pPr>
        <w:rPr>
          <w:rFonts w:hint="eastAsia" w:ascii="仿宋" w:eastAsia="仿宋"/>
          <w:color w:val="auto"/>
          <w:kern w:val="2"/>
          <w:sz w:val="24"/>
          <w:szCs w:val="20"/>
          <w:highlight w:val="none"/>
          <w:u w:val="none"/>
        </w:rPr>
      </w:pPr>
    </w:p>
    <w:p w14:paraId="11D3951C">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eastAsia="zh"/>
          <w:woUserID w:val="1"/>
        </w:rPr>
        <w:t>6</w:t>
      </w:r>
      <w:r>
        <w:rPr>
          <w:rFonts w:hint="eastAsia" w:ascii="仿宋" w:eastAsia="仿宋"/>
          <w:b/>
          <w:bCs/>
          <w:color w:val="auto"/>
          <w:sz w:val="30"/>
          <w:szCs w:val="30"/>
          <w:highlight w:val="none"/>
        </w:rPr>
        <w:t>：报价文件封面</w:t>
      </w:r>
    </w:p>
    <w:p w14:paraId="79DB7E79">
      <w:pPr>
        <w:snapToGrid w:val="0"/>
        <w:spacing w:before="156" w:beforeLines="50" w:after="50"/>
        <w:jc w:val="right"/>
        <w:rPr>
          <w:rFonts w:hint="eastAsia" w:ascii="仿宋" w:eastAsia="仿宋"/>
          <w:b/>
          <w:color w:val="auto"/>
          <w:sz w:val="30"/>
          <w:szCs w:val="30"/>
          <w:highlight w:val="none"/>
        </w:rPr>
      </w:pPr>
    </w:p>
    <w:p w14:paraId="576526A8">
      <w:pPr>
        <w:snapToGrid w:val="0"/>
        <w:spacing w:before="156" w:beforeLines="50" w:after="50"/>
        <w:jc w:val="right"/>
        <w:rPr>
          <w:rFonts w:hint="eastAsia" w:ascii="仿宋" w:eastAsia="仿宋"/>
          <w:bCs/>
          <w:color w:val="auto"/>
          <w:sz w:val="30"/>
          <w:szCs w:val="30"/>
          <w:highlight w:val="none"/>
        </w:rPr>
      </w:pPr>
    </w:p>
    <w:p w14:paraId="73DFABE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DAEE677">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09B51C70">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1C57251A">
      <w:pPr>
        <w:spacing w:line="1200" w:lineRule="exact"/>
        <w:ind w:right="6"/>
        <w:jc w:val="center"/>
        <w:rPr>
          <w:rFonts w:hint="eastAsia" w:ascii="仿宋" w:eastAsia="仿宋"/>
          <w:color w:val="auto"/>
          <w:sz w:val="72"/>
          <w:szCs w:val="72"/>
          <w:highlight w:val="none"/>
        </w:rPr>
      </w:pPr>
    </w:p>
    <w:p w14:paraId="00503EE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35E988C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47BC99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84463C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0F67D082">
      <w:pPr>
        <w:spacing w:line="1200" w:lineRule="exact"/>
        <w:ind w:right="6"/>
        <w:jc w:val="center"/>
        <w:rPr>
          <w:rFonts w:hint="eastAsia" w:ascii="仿宋" w:eastAsia="仿宋"/>
          <w:color w:val="auto"/>
          <w:sz w:val="72"/>
          <w:szCs w:val="72"/>
          <w:highlight w:val="none"/>
        </w:rPr>
      </w:pPr>
    </w:p>
    <w:p w14:paraId="29BB94AB">
      <w:pPr>
        <w:spacing w:line="1200" w:lineRule="exact"/>
        <w:ind w:right="6"/>
        <w:jc w:val="center"/>
        <w:rPr>
          <w:rFonts w:hint="eastAsia" w:ascii="仿宋" w:eastAsia="仿宋"/>
          <w:color w:val="auto"/>
          <w:sz w:val="72"/>
          <w:szCs w:val="72"/>
          <w:highlight w:val="none"/>
        </w:rPr>
      </w:pPr>
    </w:p>
    <w:p w14:paraId="163C36B8">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18F60A07">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C50394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45524D5">
      <w:pPr>
        <w:rPr>
          <w:rFonts w:hint="eastAsia" w:ascii="仿宋" w:eastAsia="仿宋"/>
          <w:color w:val="auto"/>
          <w:kern w:val="2"/>
          <w:sz w:val="24"/>
          <w:szCs w:val="20"/>
          <w:highlight w:val="none"/>
          <w:u w:val="none"/>
        </w:rPr>
      </w:pPr>
    </w:p>
    <w:p w14:paraId="592D692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eastAsia="zh"/>
          <w:woUserID w:val="1"/>
        </w:rPr>
        <w:t>7</w:t>
      </w:r>
      <w:r>
        <w:rPr>
          <w:rFonts w:hint="eastAsia" w:ascii="仿宋" w:eastAsia="仿宋"/>
          <w:b/>
          <w:bCs/>
          <w:color w:val="auto"/>
          <w:sz w:val="30"/>
          <w:szCs w:val="30"/>
          <w:highlight w:val="none"/>
        </w:rPr>
        <w:t>：报价文件目录</w:t>
      </w:r>
    </w:p>
    <w:p w14:paraId="5A74F206">
      <w:pPr>
        <w:snapToGrid w:val="0"/>
        <w:spacing w:before="156" w:beforeLines="50" w:after="50"/>
        <w:jc w:val="left"/>
        <w:rPr>
          <w:rFonts w:hint="eastAsia" w:ascii="仿宋" w:eastAsia="仿宋"/>
          <w:color w:val="auto"/>
          <w:sz w:val="30"/>
          <w:szCs w:val="30"/>
          <w:highlight w:val="none"/>
        </w:rPr>
      </w:pPr>
    </w:p>
    <w:p w14:paraId="7D9B87FB">
      <w:pPr>
        <w:pStyle w:val="40"/>
        <w:spacing w:line="360" w:lineRule="auto"/>
        <w:ind w:firstLine="0" w:firstLineChars="0"/>
        <w:jc w:val="center"/>
        <w:rPr>
          <w:rFonts w:hint="eastAsia" w:ascii="仿宋" w:eastAsia="仿宋" w:cs="仿宋_GB2312"/>
          <w:color w:val="auto"/>
          <w:highlight w:val="none"/>
        </w:rPr>
      </w:pPr>
      <w:bookmarkStart w:id="93" w:name="_Toc64369825"/>
      <w:r>
        <w:rPr>
          <w:rFonts w:hint="eastAsia" w:ascii="仿宋" w:eastAsia="仿宋" w:cs="仿宋_GB2312"/>
          <w:color w:val="auto"/>
          <w:highlight w:val="none"/>
        </w:rPr>
        <w:t>目 录</w:t>
      </w:r>
      <w:bookmarkEnd w:id="93"/>
    </w:p>
    <w:p w14:paraId="296BD98D">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1</w:t>
      </w:r>
      <w:r>
        <w:rPr>
          <w:rFonts w:hint="eastAsia" w:ascii="仿宋" w:eastAsia="仿宋" w:cs="仿宋_GB2312"/>
          <w:color w:val="auto"/>
          <w:highlight w:val="none"/>
        </w:rPr>
        <w:t>.中小企业声明函（如有）…………………………………………………（页码）</w:t>
      </w:r>
    </w:p>
    <w:p w14:paraId="33CC621A">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.残疾人福利性单位声明函（如有）………………………………………（页码）</w:t>
      </w:r>
    </w:p>
    <w:p w14:paraId="611E3971">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.开标一览表 …………………………………………………………………（页码）</w:t>
      </w:r>
    </w:p>
    <w:p w14:paraId="7FD0A3F3">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.关于报价的其他说明（如有，自拟）……………………………………（页码）</w:t>
      </w:r>
    </w:p>
    <w:p w14:paraId="66B0B0AC">
      <w:pPr>
        <w:snapToGrid w:val="0"/>
        <w:spacing w:before="50" w:after="50"/>
        <w:jc w:val="left"/>
        <w:rPr>
          <w:rFonts w:hint="eastAsia" w:ascii="仿宋" w:eastAsia="仿宋"/>
          <w:b/>
          <w:color w:val="auto"/>
          <w:sz w:val="36"/>
          <w:szCs w:val="36"/>
          <w:highlight w:val="none"/>
        </w:rPr>
      </w:pPr>
    </w:p>
    <w:p w14:paraId="597ED127">
      <w:pPr>
        <w:snapToGrid w:val="0"/>
        <w:spacing w:before="50" w:after="50"/>
        <w:jc w:val="left"/>
        <w:rPr>
          <w:rFonts w:ascii="仿宋" w:eastAsia="仿宋"/>
          <w:b/>
          <w:color w:val="auto"/>
          <w:sz w:val="36"/>
          <w:szCs w:val="36"/>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开标一览表</w:t>
      </w:r>
      <w:r>
        <w:rPr>
          <w:rFonts w:hint="eastAsia" w:ascii="仿宋" w:eastAsia="仿宋"/>
          <w:b/>
          <w:bCs/>
          <w:color w:val="auto"/>
          <w:sz w:val="32"/>
          <w:szCs w:val="32"/>
          <w:highlight w:val="none"/>
          <w:u w:val="single"/>
        </w:rPr>
        <w:t>”按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p>
    <w:p w14:paraId="2E64503A">
      <w:pPr>
        <w:snapToGrid w:val="0"/>
        <w:spacing w:before="50" w:after="50"/>
        <w:jc w:val="left"/>
        <w:rPr>
          <w:rFonts w:hint="eastAsia" w:ascii="仿宋" w:eastAsia="仿宋"/>
          <w:b/>
          <w:color w:val="auto"/>
          <w:sz w:val="36"/>
          <w:szCs w:val="36"/>
          <w:highlight w:val="none"/>
        </w:rPr>
      </w:pPr>
    </w:p>
    <w:p w14:paraId="18CDC17A">
      <w:pPr>
        <w:snapToGrid w:val="0"/>
        <w:spacing w:before="50" w:after="50"/>
        <w:jc w:val="left"/>
        <w:rPr>
          <w:rFonts w:hint="eastAsia" w:ascii="仿宋" w:eastAsia="仿宋"/>
          <w:b/>
          <w:color w:val="auto"/>
          <w:sz w:val="36"/>
          <w:szCs w:val="36"/>
          <w:highlight w:val="none"/>
        </w:rPr>
      </w:pPr>
    </w:p>
    <w:p w14:paraId="46A3E4F7">
      <w:pPr>
        <w:snapToGrid w:val="0"/>
        <w:spacing w:before="50" w:after="50"/>
        <w:jc w:val="left"/>
        <w:rPr>
          <w:rFonts w:hint="eastAsia" w:ascii="仿宋" w:eastAsia="仿宋"/>
          <w:b/>
          <w:color w:val="auto"/>
          <w:sz w:val="36"/>
          <w:szCs w:val="36"/>
          <w:highlight w:val="none"/>
        </w:rPr>
      </w:pPr>
    </w:p>
    <w:p w14:paraId="4A7A40AE">
      <w:pPr>
        <w:snapToGrid w:val="0"/>
        <w:spacing w:before="50" w:after="50"/>
        <w:jc w:val="left"/>
        <w:rPr>
          <w:rFonts w:hint="eastAsia" w:ascii="仿宋" w:eastAsia="仿宋"/>
          <w:b/>
          <w:color w:val="auto"/>
          <w:sz w:val="36"/>
          <w:szCs w:val="36"/>
          <w:highlight w:val="none"/>
        </w:rPr>
      </w:pPr>
    </w:p>
    <w:p w14:paraId="675222D1">
      <w:pPr>
        <w:snapToGrid w:val="0"/>
        <w:spacing w:before="50" w:after="50"/>
        <w:jc w:val="left"/>
        <w:rPr>
          <w:rFonts w:hint="eastAsia" w:ascii="仿宋" w:eastAsia="仿宋"/>
          <w:b/>
          <w:color w:val="auto"/>
          <w:sz w:val="36"/>
          <w:szCs w:val="36"/>
          <w:highlight w:val="none"/>
        </w:rPr>
      </w:pPr>
    </w:p>
    <w:p w14:paraId="53032049">
      <w:pPr>
        <w:snapToGrid w:val="0"/>
        <w:spacing w:before="50" w:after="50"/>
        <w:jc w:val="left"/>
        <w:rPr>
          <w:rFonts w:hint="eastAsia" w:ascii="仿宋" w:eastAsia="仿宋"/>
          <w:b/>
          <w:color w:val="auto"/>
          <w:sz w:val="36"/>
          <w:szCs w:val="36"/>
          <w:highlight w:val="none"/>
        </w:rPr>
      </w:pPr>
    </w:p>
    <w:p w14:paraId="45B2E13B">
      <w:pPr>
        <w:snapToGrid w:val="0"/>
        <w:spacing w:before="50" w:after="50"/>
        <w:jc w:val="left"/>
        <w:rPr>
          <w:rFonts w:hint="eastAsia" w:ascii="仿宋" w:eastAsia="仿宋"/>
          <w:b/>
          <w:color w:val="auto"/>
          <w:sz w:val="36"/>
          <w:szCs w:val="36"/>
          <w:highlight w:val="none"/>
        </w:rPr>
      </w:pPr>
    </w:p>
    <w:p w14:paraId="4B6C40FC">
      <w:pPr>
        <w:snapToGrid w:val="0"/>
        <w:spacing w:before="50" w:after="50"/>
        <w:jc w:val="left"/>
        <w:rPr>
          <w:rFonts w:hint="eastAsia" w:ascii="仿宋" w:eastAsia="仿宋"/>
          <w:b/>
          <w:color w:val="auto"/>
          <w:sz w:val="36"/>
          <w:szCs w:val="36"/>
          <w:highlight w:val="none"/>
        </w:rPr>
      </w:pPr>
    </w:p>
    <w:p w14:paraId="5543629E">
      <w:pPr>
        <w:snapToGrid w:val="0"/>
        <w:spacing w:before="50" w:after="50"/>
        <w:jc w:val="left"/>
        <w:rPr>
          <w:rFonts w:hint="eastAsia" w:ascii="仿宋" w:eastAsia="仿宋"/>
          <w:b/>
          <w:color w:val="auto"/>
          <w:sz w:val="36"/>
          <w:szCs w:val="36"/>
          <w:highlight w:val="none"/>
        </w:rPr>
      </w:pPr>
    </w:p>
    <w:p w14:paraId="3C672C79">
      <w:pPr>
        <w:snapToGrid w:val="0"/>
        <w:spacing w:before="50" w:after="50"/>
        <w:jc w:val="left"/>
        <w:rPr>
          <w:rFonts w:hint="eastAsia" w:ascii="仿宋" w:eastAsia="仿宋"/>
          <w:b/>
          <w:color w:val="auto"/>
          <w:sz w:val="36"/>
          <w:szCs w:val="36"/>
          <w:highlight w:val="none"/>
        </w:rPr>
      </w:pPr>
    </w:p>
    <w:p w14:paraId="1E916EC4">
      <w:pPr>
        <w:snapToGrid w:val="0"/>
        <w:spacing w:before="50" w:after="50"/>
        <w:jc w:val="left"/>
        <w:rPr>
          <w:rFonts w:hint="eastAsia" w:ascii="仿宋" w:eastAsia="仿宋"/>
          <w:b/>
          <w:color w:val="auto"/>
          <w:sz w:val="36"/>
          <w:szCs w:val="36"/>
          <w:highlight w:val="none"/>
        </w:rPr>
      </w:pPr>
    </w:p>
    <w:p w14:paraId="344A5A0C">
      <w:pPr>
        <w:snapToGrid w:val="0"/>
        <w:spacing w:before="50" w:after="50"/>
        <w:jc w:val="left"/>
        <w:rPr>
          <w:rFonts w:hint="eastAsia" w:ascii="仿宋" w:eastAsia="仿宋"/>
          <w:b/>
          <w:color w:val="auto"/>
          <w:sz w:val="36"/>
          <w:szCs w:val="36"/>
          <w:highlight w:val="none"/>
        </w:rPr>
      </w:pPr>
    </w:p>
    <w:p w14:paraId="73C4D1DE">
      <w:pPr>
        <w:snapToGrid w:val="0"/>
        <w:spacing w:before="50" w:after="50"/>
        <w:jc w:val="left"/>
        <w:rPr>
          <w:rFonts w:hint="eastAsia" w:ascii="仿宋" w:eastAsia="仿宋"/>
          <w:b/>
          <w:color w:val="auto"/>
          <w:sz w:val="36"/>
          <w:szCs w:val="36"/>
          <w:highlight w:val="none"/>
        </w:rPr>
      </w:pPr>
    </w:p>
    <w:p w14:paraId="2F5694FB">
      <w:pPr>
        <w:snapToGrid w:val="0"/>
        <w:spacing w:before="50" w:after="50"/>
        <w:jc w:val="left"/>
        <w:rPr>
          <w:rFonts w:hint="eastAsia" w:ascii="仿宋" w:eastAsia="仿宋"/>
          <w:b/>
          <w:color w:val="auto"/>
          <w:sz w:val="36"/>
          <w:szCs w:val="36"/>
          <w:highlight w:val="none"/>
        </w:rPr>
      </w:pPr>
    </w:p>
    <w:p w14:paraId="21BF5EB5">
      <w:pPr>
        <w:snapToGrid w:val="0"/>
        <w:spacing w:before="50" w:after="50"/>
        <w:jc w:val="left"/>
        <w:rPr>
          <w:rFonts w:hint="eastAsia" w:ascii="仿宋" w:eastAsia="仿宋"/>
          <w:b/>
          <w:color w:val="auto"/>
          <w:sz w:val="36"/>
          <w:szCs w:val="36"/>
          <w:highlight w:val="none"/>
        </w:rPr>
      </w:pPr>
    </w:p>
    <w:p w14:paraId="4E44D005">
      <w:pPr>
        <w:snapToGrid w:val="0"/>
        <w:spacing w:before="50" w:after="50"/>
        <w:jc w:val="left"/>
        <w:rPr>
          <w:rFonts w:hint="eastAsia" w:ascii="仿宋" w:eastAsia="仿宋"/>
          <w:b/>
          <w:color w:val="auto"/>
          <w:sz w:val="36"/>
          <w:szCs w:val="36"/>
          <w:highlight w:val="none"/>
        </w:rPr>
      </w:pPr>
    </w:p>
    <w:p w14:paraId="71E9D578">
      <w:pPr>
        <w:snapToGrid w:val="0"/>
        <w:spacing w:before="50" w:after="50"/>
        <w:jc w:val="left"/>
        <w:rPr>
          <w:rFonts w:hint="eastAsia" w:ascii="仿宋" w:eastAsia="仿宋"/>
          <w:b/>
          <w:color w:val="auto"/>
          <w:sz w:val="21"/>
          <w:szCs w:val="21"/>
          <w:highlight w:val="none"/>
        </w:rPr>
      </w:pPr>
    </w:p>
    <w:p w14:paraId="7518BE76">
      <w:pPr>
        <w:snapToGrid w:val="0"/>
        <w:spacing w:before="50" w:after="50"/>
        <w:jc w:val="left"/>
        <w:rPr>
          <w:rFonts w:hint="eastAsia" w:ascii="仿宋" w:eastAsia="仿宋"/>
          <w:b/>
          <w:color w:val="auto"/>
          <w:sz w:val="21"/>
          <w:szCs w:val="21"/>
          <w:highlight w:val="none"/>
        </w:rPr>
      </w:pPr>
    </w:p>
    <w:p w14:paraId="7E7DA68C">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lang w:val="en-US" w:eastAsia="zh"/>
          <w:woUserID w:val="1"/>
        </w:rPr>
        <w:t>8</w:t>
      </w:r>
      <w:r>
        <w:rPr>
          <w:rFonts w:hint="eastAsia" w:ascii="仿宋" w:eastAsia="仿宋"/>
          <w:b/>
          <w:bCs/>
          <w:color w:val="auto"/>
          <w:sz w:val="30"/>
          <w:szCs w:val="30"/>
          <w:highlight w:val="none"/>
        </w:rPr>
        <w:t>：（如有）</w:t>
      </w:r>
    </w:p>
    <w:p w14:paraId="095A6E2D">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64666EF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（采购人名称）</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6FAB39A2">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63C2939E">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4CBD2966">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3BB9A0A7">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DAEBAE8">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55FED137">
      <w:pPr>
        <w:snapToGrid w:val="0"/>
        <w:spacing w:before="50" w:after="50" w:line="360" w:lineRule="auto"/>
        <w:ind w:firstLine="480" w:firstLineChars="200"/>
        <w:jc w:val="left"/>
        <w:rPr>
          <w:rFonts w:ascii="仿宋" w:eastAsia="仿宋"/>
          <w:color w:val="auto"/>
          <w:sz w:val="24"/>
          <w:szCs w:val="24"/>
          <w:highlight w:val="none"/>
        </w:rPr>
      </w:pPr>
    </w:p>
    <w:p w14:paraId="09A22578">
      <w:pPr>
        <w:snapToGrid w:val="0"/>
        <w:spacing w:before="50" w:after="50" w:line="360" w:lineRule="auto"/>
        <w:ind w:firstLine="480" w:firstLineChars="200"/>
        <w:jc w:val="left"/>
        <w:rPr>
          <w:rFonts w:ascii="仿宋" w:eastAsia="仿宋"/>
          <w:color w:val="auto"/>
          <w:sz w:val="24"/>
          <w:szCs w:val="24"/>
          <w:highlight w:val="none"/>
        </w:rPr>
      </w:pPr>
    </w:p>
    <w:p w14:paraId="22370C83">
      <w:pPr>
        <w:snapToGrid w:val="0"/>
        <w:spacing w:before="50" w:after="50" w:line="360" w:lineRule="auto"/>
        <w:ind w:firstLine="480" w:firstLineChars="200"/>
        <w:jc w:val="left"/>
        <w:rPr>
          <w:rFonts w:ascii="仿宋" w:eastAsia="仿宋"/>
          <w:color w:val="auto"/>
          <w:sz w:val="24"/>
          <w:szCs w:val="24"/>
          <w:highlight w:val="none"/>
        </w:rPr>
      </w:pPr>
    </w:p>
    <w:p w14:paraId="64B839A7">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71CAE1BF">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6398AE2">
      <w:p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015F38C4">
      <w:pPr>
        <w:numPr>
          <w:ilvl w:val="0"/>
          <w:numId w:val="10"/>
        </w:num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69061B32">
      <w:pPr>
        <w:numPr>
          <w:ilvl w:val="0"/>
          <w:numId w:val="10"/>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78125130">
      <w:pPr>
        <w:numPr>
          <w:ilvl w:val="0"/>
          <w:numId w:val="10"/>
        </w:numPr>
        <w:snapToGrid w:val="0"/>
        <w:spacing w:before="50" w:after="50" w:line="240" w:lineRule="auto"/>
        <w:jc w:val="left"/>
        <w:rPr>
          <w:rFonts w:ascii="仿宋" w:eastAsia="仿宋"/>
          <w:b/>
          <w:color w:val="auto"/>
          <w:sz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“标的名称”、“所属行业”按前附表所列填写，有实质性偏离的将不予享受价格扣除。</w:t>
      </w:r>
    </w:p>
    <w:p w14:paraId="629BA215">
      <w:pPr>
        <w:numPr>
          <w:ilvl w:val="0"/>
          <w:numId w:val="10"/>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5F5888FE">
      <w:pPr>
        <w:spacing w:line="588" w:lineRule="exact"/>
        <w:rPr>
          <w:rFonts w:hint="eastAsia" w:ascii="仿宋" w:eastAsia="仿宋"/>
          <w:b/>
          <w:color w:val="auto"/>
          <w:spacing w:val="6"/>
          <w:sz w:val="30"/>
          <w:szCs w:val="30"/>
          <w:highlight w:val="none"/>
        </w:rPr>
      </w:pPr>
      <w:bookmarkStart w:id="94"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eastAsia="zh"/>
          <w:woUserID w:val="1"/>
        </w:rPr>
        <w:t>19</w:t>
      </w:r>
      <w:r>
        <w:rPr>
          <w:rFonts w:hint="eastAsia" w:ascii="仿宋" w:eastAsia="仿宋"/>
          <w:b/>
          <w:color w:val="auto"/>
          <w:spacing w:val="6"/>
          <w:sz w:val="30"/>
          <w:szCs w:val="30"/>
          <w:highlight w:val="none"/>
        </w:rPr>
        <w:t>：（如有）</w:t>
      </w:r>
    </w:p>
    <w:bookmarkEnd w:id="94"/>
    <w:p w14:paraId="6946061F">
      <w:pPr>
        <w:spacing w:line="588" w:lineRule="exact"/>
        <w:ind w:firstLine="667"/>
        <w:jc w:val="center"/>
        <w:rPr>
          <w:rFonts w:hint="eastAsia" w:ascii="仿宋" w:eastAsia="仿宋"/>
          <w:b/>
          <w:color w:val="auto"/>
          <w:spacing w:val="6"/>
          <w:sz w:val="32"/>
          <w:szCs w:val="32"/>
          <w:highlight w:val="none"/>
        </w:rPr>
      </w:pPr>
    </w:p>
    <w:p w14:paraId="119D7981">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059CF82D">
      <w:pPr>
        <w:spacing w:line="588" w:lineRule="exact"/>
        <w:ind w:firstLine="626"/>
        <w:rPr>
          <w:rFonts w:hint="eastAsia" w:ascii="仿宋" w:eastAsia="仿宋"/>
          <w:b/>
          <w:color w:val="auto"/>
          <w:spacing w:val="6"/>
          <w:sz w:val="30"/>
          <w:szCs w:val="30"/>
          <w:highlight w:val="none"/>
        </w:rPr>
      </w:pPr>
    </w:p>
    <w:p w14:paraId="0AD564AC">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F760D6C">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1EAFF915">
      <w:pPr>
        <w:spacing w:line="588" w:lineRule="exact"/>
        <w:ind w:firstLine="480"/>
        <w:rPr>
          <w:rFonts w:hint="eastAsia" w:ascii="仿宋" w:eastAsia="仿宋" w:cs="仿宋_GB2312"/>
          <w:color w:val="auto"/>
          <w:sz w:val="24"/>
          <w:highlight w:val="none"/>
        </w:rPr>
      </w:pPr>
    </w:p>
    <w:p w14:paraId="3D1C6E0D">
      <w:pPr>
        <w:spacing w:line="588" w:lineRule="exact"/>
        <w:ind w:firstLine="480"/>
        <w:rPr>
          <w:rFonts w:hint="eastAsia" w:ascii="仿宋" w:eastAsia="仿宋" w:cs="仿宋_GB2312"/>
          <w:color w:val="auto"/>
          <w:sz w:val="24"/>
          <w:highlight w:val="none"/>
        </w:rPr>
      </w:pPr>
    </w:p>
    <w:p w14:paraId="530D6F65">
      <w:pPr>
        <w:spacing w:line="588" w:lineRule="exact"/>
        <w:ind w:firstLine="480"/>
        <w:rPr>
          <w:rFonts w:hint="eastAsia" w:ascii="仿宋" w:eastAsia="仿宋" w:cs="仿宋_GB2312"/>
          <w:color w:val="auto"/>
          <w:sz w:val="24"/>
          <w:highlight w:val="none"/>
        </w:rPr>
      </w:pPr>
    </w:p>
    <w:p w14:paraId="7673E145">
      <w:pPr>
        <w:spacing w:line="588" w:lineRule="exact"/>
        <w:ind w:firstLine="480"/>
        <w:rPr>
          <w:rFonts w:hint="eastAsia" w:ascii="仿宋" w:eastAsia="仿宋" w:cs="仿宋_GB2312"/>
          <w:color w:val="auto"/>
          <w:sz w:val="24"/>
          <w:highlight w:val="none"/>
        </w:rPr>
      </w:pPr>
    </w:p>
    <w:p w14:paraId="331B3169">
      <w:pPr>
        <w:spacing w:line="588" w:lineRule="exact"/>
        <w:ind w:firstLine="480"/>
        <w:rPr>
          <w:rFonts w:hint="eastAsia" w:ascii="仿宋" w:eastAsia="仿宋" w:cs="仿宋_GB2312"/>
          <w:color w:val="auto"/>
          <w:sz w:val="24"/>
          <w:highlight w:val="none"/>
        </w:rPr>
      </w:pPr>
    </w:p>
    <w:p w14:paraId="2B9A789D">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0DFCF011">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6F87AF79">
      <w:pPr>
        <w:ind w:firstLine="480"/>
        <w:rPr>
          <w:rFonts w:hint="eastAsia" w:ascii="仿宋" w:eastAsia="仿宋" w:cs="仿宋_GB2312"/>
          <w:color w:val="auto"/>
          <w:sz w:val="24"/>
          <w:highlight w:val="none"/>
        </w:rPr>
      </w:pPr>
    </w:p>
    <w:p w14:paraId="5F46CF8B">
      <w:pPr>
        <w:ind w:firstLine="420"/>
        <w:rPr>
          <w:rFonts w:hint="eastAsia" w:ascii="仿宋" w:eastAsia="仿宋"/>
          <w:color w:val="auto"/>
          <w:highlight w:val="none"/>
        </w:rPr>
      </w:pPr>
    </w:p>
    <w:p w14:paraId="78FA2CF8">
      <w:pPr>
        <w:ind w:firstLine="420"/>
        <w:rPr>
          <w:rFonts w:hint="eastAsia" w:ascii="仿宋" w:eastAsia="仿宋"/>
          <w:color w:val="auto"/>
          <w:highlight w:val="none"/>
        </w:rPr>
      </w:pPr>
    </w:p>
    <w:p w14:paraId="5C2D6222">
      <w:pPr>
        <w:ind w:firstLine="420"/>
        <w:rPr>
          <w:rFonts w:hint="eastAsia" w:ascii="仿宋" w:eastAsia="仿宋"/>
          <w:color w:val="auto"/>
          <w:highlight w:val="none"/>
        </w:rPr>
      </w:pPr>
    </w:p>
    <w:p w14:paraId="2D74E3CB">
      <w:pPr>
        <w:ind w:firstLine="420"/>
        <w:rPr>
          <w:rFonts w:hint="eastAsia" w:ascii="仿宋" w:eastAsia="仿宋"/>
          <w:color w:val="auto"/>
          <w:highlight w:val="none"/>
        </w:rPr>
      </w:pPr>
    </w:p>
    <w:p w14:paraId="014E1888">
      <w:pPr>
        <w:ind w:firstLine="420"/>
        <w:rPr>
          <w:rFonts w:hint="eastAsia" w:ascii="仿宋" w:eastAsia="仿宋"/>
          <w:color w:val="auto"/>
          <w:highlight w:val="none"/>
        </w:rPr>
      </w:pPr>
    </w:p>
    <w:p w14:paraId="6D343BDC">
      <w:pPr>
        <w:ind w:firstLine="420"/>
        <w:rPr>
          <w:rFonts w:hint="eastAsia" w:ascii="仿宋" w:eastAsia="仿宋"/>
          <w:color w:val="auto"/>
          <w:highlight w:val="none"/>
        </w:rPr>
      </w:pPr>
    </w:p>
    <w:p w14:paraId="53B6E2FF">
      <w:pPr>
        <w:ind w:firstLine="420"/>
        <w:rPr>
          <w:rFonts w:hint="eastAsia" w:ascii="仿宋" w:eastAsia="仿宋"/>
          <w:color w:val="auto"/>
          <w:highlight w:val="none"/>
        </w:rPr>
      </w:pPr>
    </w:p>
    <w:p w14:paraId="21DD3530">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35EFB754">
      <w:pPr>
        <w:ind w:firstLine="420"/>
        <w:rPr>
          <w:rFonts w:hint="eastAsia" w:ascii="仿宋" w:eastAsia="仿宋"/>
          <w:color w:val="auto"/>
          <w:highlight w:val="none"/>
        </w:rPr>
      </w:pPr>
    </w:p>
    <w:p w14:paraId="71A5358F">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088E4795">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1860183F">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2</w:t>
      </w:r>
      <w:r>
        <w:rPr>
          <w:rFonts w:hint="eastAsia" w:ascii="仿宋" w:eastAsia="仿宋"/>
          <w:b/>
          <w:bCs/>
          <w:color w:val="auto"/>
          <w:sz w:val="30"/>
          <w:szCs w:val="30"/>
          <w:highlight w:val="none"/>
          <w:lang w:eastAsia="zh"/>
          <w:woUserID w:val="1"/>
        </w:rPr>
        <w:t>0</w:t>
      </w:r>
      <w:r>
        <w:rPr>
          <w:rFonts w:hint="eastAsia" w:ascii="仿宋" w:eastAsia="仿宋"/>
          <w:b/>
          <w:bCs/>
          <w:color w:val="auto"/>
          <w:sz w:val="30"/>
          <w:szCs w:val="30"/>
          <w:highlight w:val="none"/>
        </w:rPr>
        <w:t>：</w:t>
      </w:r>
    </w:p>
    <w:p w14:paraId="5B0104FE">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631C6FC1">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6B9B395E">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8"/>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667E10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16199A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2DCCF6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723004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3FE7C9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5B8FD0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1AD619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3FFE69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64491C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金额</w:t>
            </w:r>
          </w:p>
          <w:p w14:paraId="5F8775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（人民币元）</w:t>
            </w:r>
          </w:p>
        </w:tc>
      </w:tr>
      <w:tr w14:paraId="61C590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F1375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54058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D67C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2ABDE7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54BD9F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F163F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686AFF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D047A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26A03C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E07EB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3BAA4D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ABDF0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1C003D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9C1F0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6008A8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36A73F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EFB31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75EB51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A66EF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cs="仿宋_GB2312"/>
                <w:caps w:val="0"/>
                <w:smallCaps w:val="0"/>
                <w:vanish w:val="0"/>
                <w:color w:val="auto"/>
                <w:sz w:val="28"/>
                <w:szCs w:val="28"/>
                <w:highlight w:val="none"/>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C0385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50B3CE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2A599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7D299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9280D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35928A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5AF82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394E72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E2CBB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285B65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大写：</w:t>
            </w:r>
          </w:p>
        </w:tc>
      </w:tr>
      <w:tr w14:paraId="3F0A47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7A50CCA">
            <w:pPr>
              <w:rPr>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1CDD10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小写：</w:t>
            </w:r>
          </w:p>
        </w:tc>
      </w:tr>
    </w:tbl>
    <w:p w14:paraId="667CC997">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06CB714C">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w:t>
      </w:r>
      <w:r>
        <w:rPr>
          <w:rFonts w:hint="eastAsia" w:ascii="仿宋" w:eastAsia="仿宋" w:cs="仿宋_GB2312"/>
          <w:b/>
          <w:bCs/>
          <w:color w:val="auto"/>
          <w:kern w:val="0"/>
          <w:sz w:val="24"/>
          <w:highlight w:val="none"/>
          <w:lang w:val="en-US" w:eastAsia="zh"/>
          <w:woUserID w:val="1"/>
        </w:rPr>
        <w:t>（或单价预算）</w:t>
      </w:r>
      <w:r>
        <w:rPr>
          <w:rFonts w:hint="eastAsia" w:ascii="仿宋" w:eastAsia="仿宋" w:cs="仿宋_GB2312"/>
          <w:b/>
          <w:bCs/>
          <w:color w:val="auto"/>
          <w:kern w:val="0"/>
          <w:sz w:val="24"/>
          <w:highlight w:val="none"/>
          <w:lang w:val="en-US" w:eastAsia="zh-CN"/>
        </w:rPr>
        <w:t>50%的，应当在报价文件中详细阐述不影响产品质量或诚信履约的具体原因，否则有可能会被认为影响产品质量或诚信履约并作无效投标处理。</w:t>
      </w:r>
    </w:p>
    <w:p w14:paraId="1A31F37C">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211AC994">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6F086366">
      <w:pPr>
        <w:ind w:firstLine="482" w:firstLineChars="200"/>
        <w:rPr>
          <w:rFonts w:hint="eastAsia" w:ascii="仿宋" w:eastAsia="仿宋"/>
          <w:b/>
          <w:color w:val="auto"/>
          <w:kern w:val="0"/>
          <w:sz w:val="24"/>
          <w:highlight w:val="none"/>
          <w:u w:val="single"/>
          <w:lang w:val="zh-CN"/>
        </w:rPr>
      </w:pPr>
    </w:p>
    <w:p w14:paraId="050EFA13">
      <w:pPr>
        <w:snapToGrid w:val="0"/>
        <w:ind w:firstLine="480" w:firstLineChars="200"/>
        <w:jc w:val="left"/>
        <w:rPr>
          <w:rFonts w:hint="eastAsia" w:ascii="仿宋" w:eastAsia="仿宋"/>
          <w:color w:val="auto"/>
          <w:sz w:val="24"/>
          <w:highlight w:val="none"/>
        </w:rPr>
      </w:pPr>
      <w:bookmarkStart w:id="95" w:name="_Toc64369826"/>
    </w:p>
    <w:p w14:paraId="1FCF286E">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 xml:space="preserve">法定代表人或其授权代表签字（或盖章）：          </w:t>
      </w:r>
      <w:bookmarkEnd w:id="95"/>
    </w:p>
    <w:p w14:paraId="5129B106">
      <w:pPr>
        <w:snapToGrid w:val="0"/>
        <w:ind w:firstLine="480" w:firstLineChars="200"/>
        <w:jc w:val="left"/>
        <w:rPr>
          <w:rFonts w:hint="eastAsia" w:ascii="仿宋" w:eastAsia="仿宋"/>
          <w:color w:val="auto"/>
          <w:sz w:val="24"/>
          <w:highlight w:val="none"/>
        </w:rPr>
      </w:pPr>
      <w:bookmarkStart w:id="96" w:name="_Toc64369827"/>
    </w:p>
    <w:p w14:paraId="7F3F73CF">
      <w:pPr>
        <w:snapToGrid w:val="0"/>
        <w:ind w:firstLine="480" w:firstLineChars="200"/>
        <w:jc w:val="left"/>
        <w:rPr>
          <w:rFonts w:hint="eastAsia" w:ascii="仿宋" w:eastAsia="仿宋"/>
          <w:color w:val="auto"/>
          <w:sz w:val="24"/>
          <w:highlight w:val="none"/>
        </w:rPr>
      </w:pPr>
    </w:p>
    <w:p w14:paraId="28003F5E">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日期：    年   月   日</w:t>
      </w:r>
      <w:bookmarkEnd w:id="96"/>
    </w:p>
    <w:p w14:paraId="4B51649E">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56E41C07">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97" w:name="_Toc27807"/>
      <w:r>
        <w:rPr>
          <w:rFonts w:hint="eastAsia" w:ascii="仿宋"/>
          <w:color w:val="auto"/>
          <w:highlight w:val="none"/>
        </w:rPr>
        <w:t>第七章  询问、质疑及投诉</w:t>
      </w:r>
      <w:bookmarkEnd w:id="97"/>
    </w:p>
    <w:p w14:paraId="5947ADDB">
      <w:pPr>
        <w:pStyle w:val="18"/>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lang w:eastAsia="zh"/>
          <w:woUserID w:val="1"/>
        </w:rPr>
        <w:t>参照</w:t>
      </w:r>
      <w:r>
        <w:rPr>
          <w:rFonts w:hint="eastAsia" w:ascii="仿宋" w:eastAsia="仿宋"/>
          <w:color w:val="auto"/>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w:t>
      </w:r>
      <w:r>
        <w:rPr>
          <w:rFonts w:hint="eastAsia" w:ascii="仿宋" w:eastAsia="仿宋"/>
          <w:color w:val="auto"/>
          <w:sz w:val="24"/>
          <w:highlight w:val="none"/>
          <w:lang w:eastAsia="zh"/>
          <w:woUserID w:val="1"/>
        </w:rPr>
        <w:t>国企</w:t>
      </w:r>
      <w:r>
        <w:rPr>
          <w:rFonts w:hint="eastAsia" w:ascii="仿宋" w:eastAsia="仿宋"/>
          <w:color w:val="auto"/>
          <w:sz w:val="24"/>
          <w:highlight w:val="none"/>
        </w:rPr>
        <w:t>采购供应商可以依法提出询问、质疑和投诉。</w:t>
      </w:r>
    </w:p>
    <w:p w14:paraId="53286ECE">
      <w:pPr>
        <w:pStyle w:val="4"/>
        <w:spacing w:line="415" w:lineRule="auto"/>
        <w:jc w:val="center"/>
        <w:rPr>
          <w:rFonts w:hint="eastAsia" w:ascii="仿宋"/>
          <w:color w:val="auto"/>
          <w:highlight w:val="none"/>
        </w:rPr>
      </w:pPr>
      <w:bookmarkStart w:id="98" w:name="_Toc3978"/>
      <w:r>
        <w:rPr>
          <w:rFonts w:hint="eastAsia" w:ascii="仿宋"/>
          <w:color w:val="auto"/>
          <w:highlight w:val="none"/>
        </w:rPr>
        <w:t>一、供应商询问</w:t>
      </w:r>
      <w:bookmarkEnd w:id="98"/>
    </w:p>
    <w:p w14:paraId="50766540">
      <w:pPr>
        <w:pStyle w:val="18"/>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w:t>
      </w:r>
      <w:r>
        <w:rPr>
          <w:rFonts w:hint="eastAsia" w:ascii="仿宋" w:eastAsia="仿宋"/>
          <w:color w:val="auto"/>
          <w:sz w:val="24"/>
          <w:highlight w:val="none"/>
          <w:lang w:eastAsia="zh-CN"/>
        </w:rPr>
        <w:t>乐采云</w:t>
      </w:r>
      <w:r>
        <w:rPr>
          <w:rFonts w:ascii="仿宋" w:eastAsia="仿宋"/>
          <w:color w:val="auto"/>
          <w:sz w:val="24"/>
          <w:highlight w:val="none"/>
        </w:rPr>
        <w:t>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13BAAA61">
      <w:pPr>
        <w:pStyle w:val="18"/>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3ACB60C7">
      <w:pPr>
        <w:pStyle w:val="4"/>
        <w:spacing w:line="415" w:lineRule="auto"/>
        <w:jc w:val="center"/>
        <w:rPr>
          <w:rFonts w:hint="eastAsia" w:ascii="仿宋"/>
          <w:color w:val="auto"/>
          <w:highlight w:val="none"/>
        </w:rPr>
      </w:pPr>
      <w:bookmarkStart w:id="99" w:name="_Toc27416"/>
      <w:r>
        <w:rPr>
          <w:rFonts w:hint="eastAsia" w:ascii="仿宋"/>
          <w:color w:val="auto"/>
          <w:highlight w:val="none"/>
        </w:rPr>
        <w:t>二、供应商质疑</w:t>
      </w:r>
      <w:bookmarkEnd w:id="99"/>
    </w:p>
    <w:p w14:paraId="101E2935">
      <w:pPr>
        <w:pStyle w:val="18"/>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7FBDD2EC">
      <w:pPr>
        <w:pStyle w:val="18"/>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w:t>
      </w:r>
      <w:r>
        <w:rPr>
          <w:rFonts w:hint="eastAsia" w:ascii="仿宋" w:eastAsia="仿宋"/>
          <w:color w:val="auto"/>
          <w:sz w:val="24"/>
          <w:highlight w:val="none"/>
          <w:lang w:eastAsia="zh-CN"/>
        </w:rPr>
        <w:t>乐采云</w:t>
      </w:r>
      <w:r>
        <w:rPr>
          <w:rFonts w:ascii="仿宋" w:eastAsia="仿宋"/>
          <w:color w:val="auto"/>
          <w:sz w:val="24"/>
          <w:highlight w:val="none"/>
        </w:rPr>
        <w:t>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6CEFC345">
      <w:pPr>
        <w:pStyle w:val="18"/>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266BBEA9">
      <w:pPr>
        <w:pStyle w:val="18"/>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3E14931">
      <w:pPr>
        <w:pStyle w:val="18"/>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1968A55F">
      <w:pPr>
        <w:pStyle w:val="18"/>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14F36C02">
      <w:pPr>
        <w:pStyle w:val="18"/>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4A3CA929">
      <w:pPr>
        <w:pStyle w:val="18"/>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618A034F">
      <w:pPr>
        <w:pStyle w:val="18"/>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316F5DBB">
      <w:pPr>
        <w:pStyle w:val="18"/>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w:t>
      </w:r>
      <w:r>
        <w:rPr>
          <w:rFonts w:ascii="仿宋" w:eastAsia="仿宋"/>
          <w:color w:val="auto"/>
          <w:sz w:val="24"/>
          <w:highlight w:val="none"/>
        </w:rPr>
        <w:t>须</w:t>
      </w:r>
      <w:r>
        <w:rPr>
          <w:rFonts w:hint="eastAsia" w:ascii="仿宋" w:eastAsia="仿宋"/>
          <w:color w:val="auto"/>
          <w:sz w:val="24"/>
          <w:highlight w:val="none"/>
        </w:rPr>
        <w:t>存在利害关系,不得提出“自杀式质疑”。</w:t>
      </w:r>
    </w:p>
    <w:p w14:paraId="430A5214">
      <w:pPr>
        <w:pStyle w:val="18"/>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6248BB12">
      <w:pPr>
        <w:pStyle w:val="18"/>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形式通知质疑供应商和其他与质疑处理结果有利害关系的采购当事人。</w:t>
      </w:r>
    </w:p>
    <w:p w14:paraId="154F2F4C">
      <w:pPr>
        <w:pStyle w:val="18"/>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BE5E701">
      <w:pPr>
        <w:pStyle w:val="18"/>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67399A70">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hint="eastAsia" w:ascii="仿宋" w:eastAsia="仿宋"/>
          <w:color w:val="auto"/>
          <w:kern w:val="0"/>
          <w:sz w:val="24"/>
          <w:highlight w:val="none"/>
          <w:lang w:eastAsia="zh-CN"/>
        </w:rPr>
        <w:t>乐采云</w:t>
      </w:r>
      <w:r>
        <w:rPr>
          <w:rFonts w:ascii="仿宋" w:eastAsia="仿宋"/>
          <w:color w:val="auto"/>
          <w:kern w:val="0"/>
          <w:sz w:val="24"/>
          <w:highlight w:val="none"/>
        </w:rPr>
        <w:t>系统</w:t>
      </w:r>
      <w:r>
        <w:rPr>
          <w:rFonts w:hint="eastAsia" w:ascii="仿宋" w:eastAsia="仿宋"/>
          <w:color w:val="auto"/>
          <w:kern w:val="0"/>
          <w:sz w:val="24"/>
          <w:highlight w:val="none"/>
        </w:rPr>
        <w:t>撤回已经被受理的质疑书。</w:t>
      </w:r>
    </w:p>
    <w:p w14:paraId="73C6232A">
      <w:pPr>
        <w:pStyle w:val="4"/>
        <w:keepNext/>
        <w:keepLines/>
        <w:pageBreakBefore w:val="0"/>
        <w:widowControl w:val="0"/>
        <w:suppressLineNumbers w:val="0"/>
        <w:suppressAutoHyphens w:val="0"/>
        <w:spacing w:line="415" w:lineRule="auto"/>
        <w:rPr>
          <w:rFonts w:hint="eastAsia" w:ascii="仿宋"/>
          <w:color w:val="auto"/>
          <w:highlight w:val="none"/>
        </w:rPr>
      </w:pPr>
      <w:bookmarkStart w:id="100" w:name="_Toc2605"/>
      <w:r>
        <w:rPr>
          <w:rFonts w:hint="eastAsia" w:ascii="仿宋"/>
          <w:color w:val="auto"/>
          <w:highlight w:val="none"/>
        </w:rPr>
        <w:t>三、供应商投诉</w:t>
      </w:r>
      <w:bookmarkEnd w:id="100"/>
    </w:p>
    <w:p w14:paraId="16C9E43A">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36E0B7E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w:t>
      </w:r>
      <w:r>
        <w:rPr>
          <w:rFonts w:hint="eastAsia" w:ascii="仿宋" w:eastAsia="仿宋"/>
          <w:color w:val="auto"/>
          <w:kern w:val="0"/>
          <w:sz w:val="24"/>
          <w:highlight w:val="none"/>
          <w:lang w:val="en-US" w:eastAsia="zh-CN"/>
        </w:rPr>
        <w:t>本项目</w:t>
      </w:r>
      <w:r>
        <w:rPr>
          <w:rFonts w:hint="eastAsia" w:ascii="仿宋" w:eastAsia="仿宋"/>
          <w:color w:val="auto"/>
          <w:kern w:val="0"/>
          <w:sz w:val="24"/>
          <w:highlight w:val="none"/>
        </w:rPr>
        <w:t>采购监督部门提起投诉。</w:t>
      </w:r>
    </w:p>
    <w:p w14:paraId="3F237704">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1ECD5236">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7BDEFA68">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0878033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0B36EF2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D827A79">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359A22A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03FA196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6418B7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19E2977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4D156B6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6CC9F341">
      <w:pPr>
        <w:widowControl/>
        <w:snapToGrid w:val="0"/>
        <w:spacing w:line="480" w:lineRule="exact"/>
        <w:rPr>
          <w:rFonts w:hint="eastAsia" w:ascii="仿宋" w:eastAsia="仿宋"/>
          <w:color w:val="auto"/>
          <w:kern w:val="0"/>
          <w:sz w:val="24"/>
          <w:highlight w:val="none"/>
        </w:rPr>
      </w:pPr>
    </w:p>
    <w:p w14:paraId="1C9FCD7E">
      <w:pPr>
        <w:widowControl/>
        <w:snapToGrid w:val="0"/>
        <w:spacing w:line="480" w:lineRule="exact"/>
        <w:rPr>
          <w:rFonts w:ascii="仿宋" w:eastAsia="仿宋"/>
          <w:color w:val="auto"/>
          <w:kern w:val="0"/>
          <w:sz w:val="24"/>
          <w:highlight w:val="none"/>
        </w:rPr>
      </w:pPr>
    </w:p>
    <w:p w14:paraId="2C45275B">
      <w:pPr>
        <w:widowControl/>
        <w:snapToGrid w:val="0"/>
        <w:spacing w:line="480" w:lineRule="exact"/>
        <w:rPr>
          <w:rFonts w:ascii="仿宋" w:eastAsia="仿宋"/>
          <w:color w:val="auto"/>
          <w:kern w:val="0"/>
          <w:sz w:val="24"/>
          <w:highlight w:val="none"/>
        </w:rPr>
      </w:pPr>
    </w:p>
    <w:p w14:paraId="127B03D8">
      <w:pPr>
        <w:widowControl/>
        <w:snapToGrid w:val="0"/>
        <w:spacing w:line="480" w:lineRule="exact"/>
        <w:rPr>
          <w:rFonts w:hint="eastAsia" w:ascii="仿宋" w:eastAsia="仿宋"/>
          <w:color w:val="auto"/>
          <w:kern w:val="0"/>
          <w:sz w:val="24"/>
          <w:highlight w:val="none"/>
        </w:rPr>
      </w:pPr>
    </w:p>
    <w:p w14:paraId="00D90A3D">
      <w:pPr>
        <w:widowControl/>
        <w:snapToGrid w:val="0"/>
        <w:spacing w:line="480" w:lineRule="exact"/>
        <w:rPr>
          <w:rFonts w:hint="eastAsia" w:ascii="仿宋" w:eastAsia="仿宋"/>
          <w:color w:val="auto"/>
          <w:kern w:val="0"/>
          <w:sz w:val="24"/>
          <w:highlight w:val="none"/>
        </w:rPr>
      </w:pPr>
    </w:p>
    <w:p w14:paraId="4D639A31">
      <w:pPr>
        <w:widowControl/>
        <w:snapToGrid w:val="0"/>
        <w:spacing w:line="480" w:lineRule="exact"/>
        <w:rPr>
          <w:rFonts w:hint="eastAsia" w:ascii="仿宋" w:eastAsia="仿宋"/>
          <w:color w:val="auto"/>
          <w:kern w:val="0"/>
          <w:sz w:val="24"/>
          <w:highlight w:val="none"/>
        </w:rPr>
      </w:pPr>
    </w:p>
    <w:p w14:paraId="1DEE6488">
      <w:pPr>
        <w:widowControl/>
        <w:snapToGrid w:val="0"/>
        <w:spacing w:line="480" w:lineRule="exact"/>
        <w:rPr>
          <w:rFonts w:hint="eastAsia" w:ascii="仿宋" w:eastAsia="仿宋"/>
          <w:color w:val="auto"/>
          <w:kern w:val="0"/>
          <w:sz w:val="24"/>
          <w:highlight w:val="none"/>
        </w:rPr>
      </w:pPr>
    </w:p>
    <w:p w14:paraId="6612259A">
      <w:pPr>
        <w:widowControl/>
        <w:snapToGrid w:val="0"/>
        <w:spacing w:line="480" w:lineRule="exact"/>
        <w:rPr>
          <w:rFonts w:hint="eastAsia" w:ascii="仿宋" w:eastAsia="仿宋"/>
          <w:color w:val="auto"/>
          <w:kern w:val="0"/>
          <w:sz w:val="24"/>
          <w:highlight w:val="none"/>
        </w:rPr>
      </w:pPr>
    </w:p>
    <w:p w14:paraId="77C486C3">
      <w:pPr>
        <w:widowControl/>
        <w:snapToGrid w:val="0"/>
        <w:spacing w:line="480" w:lineRule="exact"/>
        <w:rPr>
          <w:rFonts w:hint="eastAsia" w:ascii="仿宋" w:eastAsia="仿宋"/>
          <w:color w:val="auto"/>
          <w:kern w:val="0"/>
          <w:sz w:val="24"/>
          <w:highlight w:val="none"/>
        </w:rPr>
      </w:pPr>
    </w:p>
    <w:p w14:paraId="2B6ED72C">
      <w:pPr>
        <w:widowControl/>
        <w:snapToGrid w:val="0"/>
        <w:spacing w:line="480" w:lineRule="exact"/>
        <w:rPr>
          <w:rFonts w:hint="eastAsia" w:ascii="仿宋" w:eastAsia="仿宋"/>
          <w:color w:val="auto"/>
          <w:kern w:val="0"/>
          <w:sz w:val="24"/>
          <w:highlight w:val="none"/>
        </w:rPr>
      </w:pPr>
    </w:p>
    <w:p w14:paraId="76FDFC0A">
      <w:pPr>
        <w:widowControl/>
        <w:snapToGrid w:val="0"/>
        <w:spacing w:line="480" w:lineRule="exact"/>
        <w:rPr>
          <w:rFonts w:hint="eastAsia" w:ascii="仿宋" w:eastAsia="仿宋"/>
          <w:color w:val="auto"/>
          <w:kern w:val="0"/>
          <w:sz w:val="24"/>
          <w:highlight w:val="none"/>
        </w:rPr>
      </w:pPr>
    </w:p>
    <w:p w14:paraId="26ED5519">
      <w:pPr>
        <w:widowControl/>
        <w:snapToGrid w:val="0"/>
        <w:spacing w:line="480" w:lineRule="exact"/>
        <w:rPr>
          <w:rFonts w:hint="eastAsia" w:ascii="仿宋" w:eastAsia="仿宋"/>
          <w:color w:val="auto"/>
          <w:kern w:val="0"/>
          <w:sz w:val="24"/>
          <w:highlight w:val="none"/>
        </w:rPr>
      </w:pPr>
    </w:p>
    <w:p w14:paraId="01A4AA1E">
      <w:pPr>
        <w:widowControl/>
        <w:snapToGrid w:val="0"/>
        <w:spacing w:line="480" w:lineRule="exact"/>
        <w:rPr>
          <w:rFonts w:hint="eastAsia" w:ascii="仿宋" w:eastAsia="仿宋"/>
          <w:color w:val="auto"/>
          <w:kern w:val="0"/>
          <w:sz w:val="24"/>
          <w:highlight w:val="none"/>
        </w:rPr>
      </w:pPr>
    </w:p>
    <w:p w14:paraId="050D86FC">
      <w:pPr>
        <w:widowControl/>
        <w:snapToGrid w:val="0"/>
        <w:spacing w:line="480" w:lineRule="exact"/>
        <w:rPr>
          <w:rFonts w:hint="eastAsia" w:ascii="仿宋" w:eastAsia="仿宋"/>
          <w:color w:val="auto"/>
          <w:kern w:val="0"/>
          <w:sz w:val="24"/>
          <w:highlight w:val="none"/>
        </w:rPr>
      </w:pPr>
    </w:p>
    <w:p w14:paraId="4A8D12F3">
      <w:pPr>
        <w:widowControl/>
        <w:snapToGrid w:val="0"/>
        <w:spacing w:line="480" w:lineRule="exact"/>
        <w:rPr>
          <w:rFonts w:hint="eastAsia" w:ascii="仿宋" w:eastAsia="仿宋"/>
          <w:color w:val="auto"/>
          <w:kern w:val="0"/>
          <w:sz w:val="24"/>
          <w:highlight w:val="none"/>
        </w:rPr>
      </w:pPr>
    </w:p>
    <w:p w14:paraId="6A52E249">
      <w:pPr>
        <w:widowControl/>
        <w:snapToGrid w:val="0"/>
        <w:spacing w:line="480" w:lineRule="exact"/>
        <w:rPr>
          <w:rFonts w:hint="eastAsia" w:ascii="仿宋" w:eastAsia="仿宋"/>
          <w:color w:val="auto"/>
          <w:kern w:val="0"/>
          <w:sz w:val="24"/>
          <w:highlight w:val="none"/>
        </w:rPr>
      </w:pPr>
    </w:p>
    <w:p w14:paraId="09AB1467">
      <w:pPr>
        <w:widowControl/>
        <w:snapToGrid w:val="0"/>
        <w:spacing w:line="480" w:lineRule="exact"/>
        <w:rPr>
          <w:rFonts w:hint="eastAsia" w:ascii="仿宋" w:eastAsia="仿宋"/>
          <w:color w:val="auto"/>
          <w:kern w:val="0"/>
          <w:sz w:val="24"/>
          <w:highlight w:val="none"/>
        </w:rPr>
      </w:pPr>
    </w:p>
    <w:p w14:paraId="206AC881">
      <w:pPr>
        <w:widowControl/>
        <w:snapToGrid w:val="0"/>
        <w:spacing w:line="480" w:lineRule="exact"/>
        <w:rPr>
          <w:rFonts w:hint="eastAsia" w:ascii="仿宋" w:eastAsia="仿宋"/>
          <w:color w:val="auto"/>
          <w:kern w:val="0"/>
          <w:sz w:val="24"/>
          <w:highlight w:val="none"/>
        </w:rPr>
      </w:pPr>
    </w:p>
    <w:p w14:paraId="2E7EB0BF">
      <w:pPr>
        <w:widowControl/>
        <w:snapToGrid w:val="0"/>
        <w:spacing w:line="480" w:lineRule="exact"/>
        <w:rPr>
          <w:rFonts w:hint="eastAsia" w:ascii="仿宋" w:eastAsia="仿宋"/>
          <w:color w:val="auto"/>
          <w:kern w:val="0"/>
          <w:sz w:val="24"/>
          <w:highlight w:val="none"/>
        </w:rPr>
      </w:pPr>
    </w:p>
    <w:p w14:paraId="1173B9CA">
      <w:pPr>
        <w:widowControl/>
        <w:snapToGrid w:val="0"/>
        <w:spacing w:line="480" w:lineRule="exact"/>
        <w:rPr>
          <w:rFonts w:hint="eastAsia" w:ascii="仿宋" w:eastAsia="仿宋"/>
          <w:color w:val="auto"/>
          <w:kern w:val="0"/>
          <w:sz w:val="24"/>
          <w:highlight w:val="none"/>
        </w:rPr>
      </w:pPr>
    </w:p>
    <w:p w14:paraId="1C392BFB">
      <w:pPr>
        <w:widowControl/>
        <w:snapToGrid w:val="0"/>
        <w:spacing w:line="480" w:lineRule="exact"/>
        <w:rPr>
          <w:rFonts w:hint="eastAsia" w:ascii="仿宋" w:eastAsia="仿宋"/>
          <w:color w:val="auto"/>
          <w:kern w:val="0"/>
          <w:sz w:val="24"/>
          <w:highlight w:val="none"/>
        </w:rPr>
      </w:pPr>
    </w:p>
    <w:p w14:paraId="33175808">
      <w:pPr>
        <w:widowControl/>
        <w:snapToGrid w:val="0"/>
        <w:spacing w:line="480" w:lineRule="exact"/>
        <w:rPr>
          <w:rFonts w:hint="eastAsia" w:ascii="仿宋" w:eastAsia="仿宋"/>
          <w:color w:val="auto"/>
          <w:kern w:val="0"/>
          <w:sz w:val="24"/>
          <w:highlight w:val="none"/>
        </w:rPr>
      </w:pPr>
    </w:p>
    <w:p w14:paraId="79F83648">
      <w:pPr>
        <w:widowControl/>
        <w:snapToGrid w:val="0"/>
        <w:spacing w:line="480" w:lineRule="exact"/>
        <w:rPr>
          <w:rFonts w:hint="eastAsia" w:ascii="仿宋" w:eastAsia="仿宋"/>
          <w:color w:val="auto"/>
          <w:kern w:val="0"/>
          <w:sz w:val="24"/>
          <w:highlight w:val="none"/>
        </w:rPr>
      </w:pPr>
    </w:p>
    <w:p w14:paraId="6AA33520">
      <w:pPr>
        <w:widowControl/>
        <w:snapToGrid w:val="0"/>
        <w:spacing w:line="480" w:lineRule="exact"/>
        <w:rPr>
          <w:rFonts w:hint="eastAsia" w:ascii="仿宋" w:eastAsia="仿宋"/>
          <w:color w:val="auto"/>
          <w:kern w:val="0"/>
          <w:sz w:val="24"/>
          <w:highlight w:val="none"/>
        </w:rPr>
      </w:pPr>
    </w:p>
    <w:p w14:paraId="0B0C2310">
      <w:pPr>
        <w:widowControl/>
        <w:snapToGrid w:val="0"/>
        <w:spacing w:line="480" w:lineRule="exact"/>
        <w:rPr>
          <w:rFonts w:hint="eastAsia" w:ascii="仿宋" w:eastAsia="仿宋"/>
          <w:color w:val="auto"/>
          <w:kern w:val="0"/>
          <w:sz w:val="24"/>
          <w:highlight w:val="none"/>
        </w:rPr>
      </w:pPr>
    </w:p>
    <w:p w14:paraId="5C12BFF7">
      <w:pPr>
        <w:widowControl/>
        <w:snapToGrid w:val="0"/>
        <w:spacing w:line="480" w:lineRule="exact"/>
        <w:rPr>
          <w:rFonts w:hint="eastAsia" w:ascii="仿宋" w:eastAsia="仿宋"/>
          <w:color w:val="auto"/>
          <w:kern w:val="0"/>
          <w:sz w:val="24"/>
          <w:highlight w:val="none"/>
        </w:rPr>
      </w:pPr>
    </w:p>
    <w:p w14:paraId="5724993D">
      <w:pPr>
        <w:widowControl/>
        <w:snapToGrid w:val="0"/>
        <w:spacing w:line="480" w:lineRule="exact"/>
        <w:rPr>
          <w:rFonts w:hint="eastAsia" w:ascii="仿宋" w:eastAsia="仿宋"/>
          <w:color w:val="auto"/>
          <w:kern w:val="0"/>
          <w:sz w:val="24"/>
          <w:highlight w:val="none"/>
        </w:rPr>
      </w:pPr>
    </w:p>
    <w:p w14:paraId="5105806E">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677855EA">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48A1FF3B">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6535359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486D4F06">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40FBCD0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7E35FE5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670B87C1">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2E610FDD">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2536339E">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0FD7A3AC">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3D9B957E">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37A1FD70">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480DB3FC">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4598C4E8">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4962C16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09A7DF4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685D738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47E57729">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50E09D0C">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682FBB35">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2C0B6F8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3ABDD843">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387BFDD1">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62B46D09">
      <w:pPr>
        <w:adjustRightInd w:val="0"/>
        <w:snapToGrid w:val="0"/>
        <w:spacing w:line="360" w:lineRule="auto"/>
        <w:rPr>
          <w:rFonts w:hint="eastAsia" w:ascii="仿宋" w:eastAsia="仿宋" w:cs="仿宋"/>
          <w:color w:val="auto"/>
          <w:sz w:val="24"/>
          <w:szCs w:val="24"/>
          <w:highlight w:val="none"/>
          <w:u w:val="dotted"/>
        </w:rPr>
      </w:pPr>
    </w:p>
    <w:p w14:paraId="10295C5A">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59E44288">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77398C57">
      <w:pPr>
        <w:adjustRightInd w:val="0"/>
        <w:snapToGrid w:val="0"/>
        <w:spacing w:line="360" w:lineRule="auto"/>
        <w:rPr>
          <w:rFonts w:hint="eastAsia" w:ascii="仿宋" w:eastAsia="仿宋" w:cs="仿宋"/>
          <w:color w:val="auto"/>
          <w:sz w:val="24"/>
          <w:szCs w:val="24"/>
          <w:highlight w:val="none"/>
        </w:rPr>
      </w:pPr>
    </w:p>
    <w:p w14:paraId="269E4005">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Helvetica">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4E3D0">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2C6F5B4D">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59D7527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43C2">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2E737">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E113C7F">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3AA05"/>
    <w:multiLevelType w:val="singleLevel"/>
    <w:tmpl w:val="9AF3AA05"/>
    <w:lvl w:ilvl="0" w:tentative="0">
      <w:start w:val="2"/>
      <w:numFmt w:val="chineseCounting"/>
      <w:suff w:val="nothing"/>
      <w:lvlText w:val="%1、"/>
      <w:lvlJc w:val="left"/>
      <w:rPr>
        <w:rFonts w:hint="eastAsia"/>
      </w:r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AB4C77F8"/>
    <w:multiLevelType w:val="singleLevel"/>
    <w:tmpl w:val="AB4C77F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3">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41A42EAB"/>
    <w:multiLevelType w:val="singleLevel"/>
    <w:tmpl w:val="41A42EAB"/>
    <w:lvl w:ilvl="0" w:tentative="0">
      <w:start w:val="1"/>
      <w:numFmt w:val="decimal"/>
      <w:suff w:val="nothing"/>
      <w:lvlText w:val="（%1）"/>
      <w:lvlJc w:val="left"/>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2"/>
  </w:num>
  <w:num w:numId="2">
    <w:abstractNumId w:val="7"/>
  </w:num>
  <w:num w:numId="3">
    <w:abstractNumId w:val="1"/>
  </w:num>
  <w:num w:numId="4">
    <w:abstractNumId w:val="5"/>
  </w:num>
  <w:num w:numId="5">
    <w:abstractNumId w:val="8"/>
  </w:num>
  <w:num w:numId="6">
    <w:abstractNumId w:val="0"/>
  </w:num>
  <w:num w:numId="7">
    <w:abstractNumId w:val="4"/>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1CE57B8"/>
    <w:rsid w:val="03A76330"/>
    <w:rsid w:val="04602913"/>
    <w:rsid w:val="05BB42A5"/>
    <w:rsid w:val="0621413E"/>
    <w:rsid w:val="06C30812"/>
    <w:rsid w:val="087A72A5"/>
    <w:rsid w:val="09DC645D"/>
    <w:rsid w:val="09EA1B90"/>
    <w:rsid w:val="0B1F7084"/>
    <w:rsid w:val="0CB3217A"/>
    <w:rsid w:val="0DEA1BCB"/>
    <w:rsid w:val="0ECB733C"/>
    <w:rsid w:val="0EE01548"/>
    <w:rsid w:val="0F8E47D8"/>
    <w:rsid w:val="0FF534E0"/>
    <w:rsid w:val="115F467E"/>
    <w:rsid w:val="11C43EED"/>
    <w:rsid w:val="121C431D"/>
    <w:rsid w:val="12BB4298"/>
    <w:rsid w:val="132A2796"/>
    <w:rsid w:val="13BD38DE"/>
    <w:rsid w:val="155A38FC"/>
    <w:rsid w:val="15B13D01"/>
    <w:rsid w:val="1662251B"/>
    <w:rsid w:val="16ED44DA"/>
    <w:rsid w:val="175F43E3"/>
    <w:rsid w:val="17732D8B"/>
    <w:rsid w:val="17B374D2"/>
    <w:rsid w:val="19EF056A"/>
    <w:rsid w:val="1A1376B3"/>
    <w:rsid w:val="1BB13E5D"/>
    <w:rsid w:val="1C2344FA"/>
    <w:rsid w:val="1C316C17"/>
    <w:rsid w:val="1E1403B1"/>
    <w:rsid w:val="1F1A1BE5"/>
    <w:rsid w:val="212D20A3"/>
    <w:rsid w:val="213D01F9"/>
    <w:rsid w:val="22252D7A"/>
    <w:rsid w:val="223A6A00"/>
    <w:rsid w:val="22431452"/>
    <w:rsid w:val="236B6EB3"/>
    <w:rsid w:val="239857CE"/>
    <w:rsid w:val="23E10F23"/>
    <w:rsid w:val="26355556"/>
    <w:rsid w:val="26502693"/>
    <w:rsid w:val="29300B3B"/>
    <w:rsid w:val="295977AD"/>
    <w:rsid w:val="298150DD"/>
    <w:rsid w:val="2ADF24F6"/>
    <w:rsid w:val="2AFC4894"/>
    <w:rsid w:val="2B24177C"/>
    <w:rsid w:val="2C0E1D7C"/>
    <w:rsid w:val="2C1F45EB"/>
    <w:rsid w:val="2C4B74B9"/>
    <w:rsid w:val="31AC70FB"/>
    <w:rsid w:val="31B47C77"/>
    <w:rsid w:val="32264B25"/>
    <w:rsid w:val="324700D3"/>
    <w:rsid w:val="32D65713"/>
    <w:rsid w:val="332E65C2"/>
    <w:rsid w:val="33631954"/>
    <w:rsid w:val="3491429F"/>
    <w:rsid w:val="3608233F"/>
    <w:rsid w:val="3765716E"/>
    <w:rsid w:val="386723AF"/>
    <w:rsid w:val="3B084B8F"/>
    <w:rsid w:val="3BFDEB0C"/>
    <w:rsid w:val="3C2E3AE6"/>
    <w:rsid w:val="3D98FE41"/>
    <w:rsid w:val="3F19380F"/>
    <w:rsid w:val="3F2C52F0"/>
    <w:rsid w:val="40351C18"/>
    <w:rsid w:val="404D69D4"/>
    <w:rsid w:val="42162288"/>
    <w:rsid w:val="423D15C3"/>
    <w:rsid w:val="42A21D60"/>
    <w:rsid w:val="42F9198D"/>
    <w:rsid w:val="445F1CC4"/>
    <w:rsid w:val="45372830"/>
    <w:rsid w:val="4614088C"/>
    <w:rsid w:val="477F442B"/>
    <w:rsid w:val="4B7818BD"/>
    <w:rsid w:val="4C2F4E4F"/>
    <w:rsid w:val="4D314F78"/>
    <w:rsid w:val="4D3FF4BB"/>
    <w:rsid w:val="4EEE1861"/>
    <w:rsid w:val="4F075432"/>
    <w:rsid w:val="4F45133E"/>
    <w:rsid w:val="50AC6291"/>
    <w:rsid w:val="51254D76"/>
    <w:rsid w:val="51CE04DE"/>
    <w:rsid w:val="5294522F"/>
    <w:rsid w:val="52D05AF0"/>
    <w:rsid w:val="53803A05"/>
    <w:rsid w:val="5482443D"/>
    <w:rsid w:val="55A00D68"/>
    <w:rsid w:val="56FB2FA5"/>
    <w:rsid w:val="577C035B"/>
    <w:rsid w:val="579843A6"/>
    <w:rsid w:val="57DD31D4"/>
    <w:rsid w:val="586E6522"/>
    <w:rsid w:val="5B58257E"/>
    <w:rsid w:val="5B884F17"/>
    <w:rsid w:val="5B8D3163"/>
    <w:rsid w:val="5BB3D3C1"/>
    <w:rsid w:val="5F4B3119"/>
    <w:rsid w:val="61355E2F"/>
    <w:rsid w:val="61E3588B"/>
    <w:rsid w:val="61E84913"/>
    <w:rsid w:val="630259A0"/>
    <w:rsid w:val="639D7ECC"/>
    <w:rsid w:val="63C90AB0"/>
    <w:rsid w:val="63D27965"/>
    <w:rsid w:val="63ED29F1"/>
    <w:rsid w:val="64D4595F"/>
    <w:rsid w:val="65B02F4A"/>
    <w:rsid w:val="65CA5DF4"/>
    <w:rsid w:val="65DD0843"/>
    <w:rsid w:val="667A42E4"/>
    <w:rsid w:val="66EF6A80"/>
    <w:rsid w:val="67563D5C"/>
    <w:rsid w:val="67952EF0"/>
    <w:rsid w:val="685C0145"/>
    <w:rsid w:val="688C4B45"/>
    <w:rsid w:val="69755AEA"/>
    <w:rsid w:val="6A13332A"/>
    <w:rsid w:val="6A1F767C"/>
    <w:rsid w:val="6A6C5215"/>
    <w:rsid w:val="6A9046A9"/>
    <w:rsid w:val="6AF816BD"/>
    <w:rsid w:val="6BAF4A30"/>
    <w:rsid w:val="6C506213"/>
    <w:rsid w:val="6D036DE1"/>
    <w:rsid w:val="6DD7C015"/>
    <w:rsid w:val="6EB20ABF"/>
    <w:rsid w:val="6F5B16DA"/>
    <w:rsid w:val="6FA04DBB"/>
    <w:rsid w:val="6FB14E1F"/>
    <w:rsid w:val="70473489"/>
    <w:rsid w:val="717E7D50"/>
    <w:rsid w:val="71AB6C92"/>
    <w:rsid w:val="71AC3EEB"/>
    <w:rsid w:val="72C47013"/>
    <w:rsid w:val="73532145"/>
    <w:rsid w:val="74414889"/>
    <w:rsid w:val="75021059"/>
    <w:rsid w:val="75D43A11"/>
    <w:rsid w:val="76057890"/>
    <w:rsid w:val="76AE1873"/>
    <w:rsid w:val="772C33D8"/>
    <w:rsid w:val="777BF5FB"/>
    <w:rsid w:val="777F5BFE"/>
    <w:rsid w:val="785B3F75"/>
    <w:rsid w:val="787C2FE6"/>
    <w:rsid w:val="7A097A01"/>
    <w:rsid w:val="7B6C6BE8"/>
    <w:rsid w:val="7E722019"/>
    <w:rsid w:val="7E760707"/>
    <w:rsid w:val="7EFBAAA7"/>
    <w:rsid w:val="7F176729"/>
    <w:rsid w:val="7F6F8476"/>
    <w:rsid w:val="98FD5991"/>
    <w:rsid w:val="AD9F00D4"/>
    <w:rsid w:val="BF7F930D"/>
    <w:rsid w:val="C7FFBD3C"/>
    <w:rsid w:val="CBF630EB"/>
    <w:rsid w:val="EEFFC128"/>
    <w:rsid w:val="EF248F13"/>
    <w:rsid w:val="EF6D581A"/>
    <w:rsid w:val="F99E676A"/>
    <w:rsid w:val="FDDDBC17"/>
    <w:rsid w:val="FE7F4CCE"/>
    <w:rsid w:val="FEFFAC3A"/>
    <w:rsid w:val="FF6881A4"/>
    <w:rsid w:val="FFBF9D6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jc w:val="left"/>
    </w:p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next w:val="14"/>
    <w:qFormat/>
    <w:uiPriority w:val="1"/>
  </w:style>
  <w:style w:type="paragraph" w:styleId="14">
    <w:name w:val="Body Text First Indent"/>
    <w:basedOn w:val="13"/>
    <w:next w:val="1"/>
    <w:qFormat/>
    <w:uiPriority w:val="0"/>
    <w:pPr>
      <w:ind w:firstLine="420"/>
    </w:pPr>
    <w:rPr>
      <w:rFonts w:eastAsia="Times New Roman"/>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1"/>
    <w:next w:val="11"/>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85</Pages>
  <Words>3111</Words>
  <Characters>3581</Characters>
  <Lines>1618</Lines>
  <Paragraphs>834</Paragraphs>
  <TotalTime>3908</TotalTime>
  <ScaleCrop>false</ScaleCrop>
  <LinksUpToDate>false</LinksUpToDate>
  <CharactersWithSpaces>3819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2020-01-03T15:28:00Z</dcterms:created>
  <dc:creator>admin8</dc:creator>
  <cp:lastModifiedBy>157----0351</cp:lastModifiedBy>
  <cp:lastPrinted>2025-02-13T08:57:00Z</cp:lastPrinted>
  <dcterms:modified xsi:type="dcterms:W3CDTF">2025-02-17T02:26:38Z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FA9F14CF95224CA096734EE64BBA7E6C_13</vt:lpwstr>
  </property>
  <property fmtid="{D5CDD505-2E9C-101B-9397-08002B2CF9AE}" pid="4" name="KSOTemplateDocerSaveRecord">
    <vt:lpwstr>eyJoZGlkIjoiYzQ3YTM0Njg3OTFhMjMwZjNkMDg4MzVjOTU1MTg2OGQiLCJ1c2VySWQiOiIxNDg5MDEzNTc4In0=</vt:lpwstr>
  </property>
</Properties>
</file>